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EC" w:rsidRPr="00CB2DE6" w:rsidRDefault="00A65CEC" w:rsidP="001976CC">
      <w:pPr>
        <w:pStyle w:val="Default"/>
        <w:spacing w:line="360" w:lineRule="auto"/>
        <w:jc w:val="both"/>
        <w:rPr>
          <w:color w:val="auto"/>
        </w:rPr>
        <w:sectPr w:rsidR="00A65CEC" w:rsidRPr="00CB2DE6" w:rsidSect="00E51165">
          <w:footerReference w:type="even" r:id="rId8"/>
          <w:footerReference w:type="default" r:id="rId9"/>
          <w:footnotePr>
            <w:numFmt w:val="chicago"/>
            <w:numStart w:val="2"/>
          </w:footnotePr>
          <w:type w:val="continuous"/>
          <w:pgSz w:w="11906" w:h="16838"/>
          <w:pgMar w:top="1440" w:right="1440" w:bottom="1440" w:left="1440" w:header="706" w:footer="706" w:gutter="0"/>
          <w:pgNumType w:start="1"/>
          <w:cols w:space="708"/>
          <w:titlePg/>
          <w:docGrid w:linePitch="360"/>
        </w:sectPr>
      </w:pPr>
    </w:p>
    <w:p w:rsidR="00E6565B" w:rsidRPr="00CB2DE6" w:rsidRDefault="00E6565B" w:rsidP="00F442AC">
      <w:pPr>
        <w:spacing w:after="480" w:line="360" w:lineRule="auto"/>
        <w:jc w:val="center"/>
        <w:rPr>
          <w:rFonts w:ascii="Times New Roman" w:hAnsi="Times New Roman" w:cs="Times New Roman"/>
          <w:b/>
          <w:sz w:val="28"/>
          <w:szCs w:val="28"/>
        </w:rPr>
      </w:pPr>
    </w:p>
    <w:p w:rsidR="00F442AC" w:rsidRPr="00CB2DE6" w:rsidRDefault="00F442AC" w:rsidP="00F442AC">
      <w:pPr>
        <w:spacing w:after="480" w:line="360" w:lineRule="auto"/>
        <w:jc w:val="center"/>
        <w:rPr>
          <w:rFonts w:ascii="Times New Roman" w:hAnsi="Times New Roman" w:cs="Times New Roman"/>
          <w:b/>
          <w:sz w:val="28"/>
          <w:szCs w:val="28"/>
        </w:rPr>
      </w:pPr>
      <w:r w:rsidRPr="00CB2DE6">
        <w:rPr>
          <w:rFonts w:ascii="Times New Roman" w:hAnsi="Times New Roman" w:cs="Times New Roman"/>
          <w:b/>
          <w:sz w:val="28"/>
          <w:szCs w:val="28"/>
        </w:rPr>
        <w:t>Understanding the Price of Volatility Risk in Carry Trades</w:t>
      </w:r>
    </w:p>
    <w:p w:rsidR="00CC5710" w:rsidRPr="00CB2DE6" w:rsidRDefault="00CC5710" w:rsidP="00F442AC">
      <w:pPr>
        <w:spacing w:after="600" w:line="360" w:lineRule="auto"/>
        <w:jc w:val="center"/>
        <w:rPr>
          <w:rFonts w:ascii="Times New Roman" w:hAnsi="Times New Roman" w:cs="Times New Roman"/>
          <w:sz w:val="24"/>
          <w:szCs w:val="24"/>
        </w:rPr>
      </w:pPr>
    </w:p>
    <w:p w:rsidR="00F442AC" w:rsidRPr="00CB2DE6" w:rsidRDefault="0008180F" w:rsidP="00F442AC">
      <w:pPr>
        <w:spacing w:after="600" w:line="360" w:lineRule="auto"/>
        <w:jc w:val="center"/>
        <w:rPr>
          <w:rFonts w:ascii="Times New Roman" w:hAnsi="Times New Roman" w:cs="Times New Roman"/>
          <w:sz w:val="24"/>
          <w:szCs w:val="24"/>
        </w:rPr>
      </w:pPr>
      <w:r w:rsidRPr="00CB2DE6">
        <w:rPr>
          <w:rFonts w:ascii="Times New Roman" w:hAnsi="Times New Roman" w:cs="Times New Roman"/>
          <w:sz w:val="24"/>
          <w:szCs w:val="24"/>
        </w:rPr>
        <w:t>March</w:t>
      </w:r>
      <w:r w:rsidR="00F2392D" w:rsidRPr="00CB2DE6">
        <w:rPr>
          <w:rFonts w:ascii="Times New Roman" w:hAnsi="Times New Roman" w:cs="Times New Roman"/>
          <w:sz w:val="24"/>
          <w:szCs w:val="24"/>
        </w:rPr>
        <w:t xml:space="preserve"> </w:t>
      </w:r>
      <w:r w:rsidR="006F5D6F">
        <w:rPr>
          <w:rFonts w:ascii="Times New Roman" w:hAnsi="Times New Roman" w:cs="Times New Roman"/>
          <w:sz w:val="24"/>
          <w:szCs w:val="24"/>
        </w:rPr>
        <w:t>1</w:t>
      </w:r>
      <w:r w:rsidR="00F4466E">
        <w:rPr>
          <w:rFonts w:ascii="Times New Roman" w:hAnsi="Times New Roman" w:cs="Times New Roman"/>
          <w:sz w:val="24"/>
          <w:szCs w:val="24"/>
        </w:rPr>
        <w:t>1</w:t>
      </w:r>
      <w:r w:rsidR="00F442AC" w:rsidRPr="00CB2DE6">
        <w:rPr>
          <w:rFonts w:ascii="Times New Roman" w:hAnsi="Times New Roman" w:cs="Times New Roman"/>
          <w:sz w:val="24"/>
          <w:szCs w:val="24"/>
        </w:rPr>
        <w:t xml:space="preserve">, 2015 </w:t>
      </w:r>
    </w:p>
    <w:p w:rsidR="00F442AC" w:rsidRPr="00CB2DE6" w:rsidRDefault="00F442AC" w:rsidP="00F442AC">
      <w:pPr>
        <w:spacing w:line="360" w:lineRule="auto"/>
        <w:jc w:val="center"/>
        <w:rPr>
          <w:rFonts w:ascii="Times New Roman" w:hAnsi="Times New Roman" w:cs="Times New Roman"/>
          <w:sz w:val="24"/>
          <w:szCs w:val="24"/>
        </w:rPr>
      </w:pPr>
    </w:p>
    <w:p w:rsidR="00F442AC" w:rsidRPr="00CB2DE6" w:rsidRDefault="00F442AC" w:rsidP="00F442AC">
      <w:pPr>
        <w:pStyle w:val="Default"/>
        <w:spacing w:after="360" w:line="360" w:lineRule="auto"/>
        <w:jc w:val="center"/>
        <w:rPr>
          <w:b/>
          <w:color w:val="auto"/>
        </w:rPr>
      </w:pPr>
      <w:r w:rsidRPr="00CB2DE6">
        <w:rPr>
          <w:b/>
          <w:color w:val="auto"/>
        </w:rPr>
        <w:t>Abstract</w:t>
      </w:r>
    </w:p>
    <w:p w:rsidR="00F442AC" w:rsidRPr="00CB2DE6" w:rsidRDefault="009F4DDA" w:rsidP="00F442AC">
      <w:pPr>
        <w:spacing w:line="360" w:lineRule="auto"/>
        <w:ind w:left="284" w:right="237"/>
        <w:jc w:val="both"/>
        <w:rPr>
          <w:rFonts w:ascii="Times New Roman" w:hAnsi="Times New Roman" w:cs="Times New Roman"/>
        </w:rPr>
      </w:pPr>
      <w:r w:rsidRPr="00CB2DE6">
        <w:rPr>
          <w:rFonts w:ascii="Times New Roman" w:hAnsi="Times New Roman" w:cs="Times New Roman"/>
        </w:rPr>
        <w:t xml:space="preserve">This paper investigates the cross-sectional pricing ability of the short- and long-run components of global foreign exchange (FX) volatility for carry trade returns. We find a negative and statistically significant factor risk price for the long-run component, but no significant pricing effect due to the short-run volatility component. We </w:t>
      </w:r>
      <w:r>
        <w:rPr>
          <w:rFonts w:ascii="Times New Roman" w:hAnsi="Times New Roman" w:cs="Times New Roman"/>
        </w:rPr>
        <w:t xml:space="preserve">also </w:t>
      </w:r>
      <w:r w:rsidRPr="00CB2DE6">
        <w:rPr>
          <w:rFonts w:ascii="Times New Roman" w:hAnsi="Times New Roman" w:cs="Times New Roman"/>
        </w:rPr>
        <w:t xml:space="preserve">document that the </w:t>
      </w:r>
      <w:r>
        <w:rPr>
          <w:rFonts w:ascii="Times New Roman" w:hAnsi="Times New Roman" w:cs="Times New Roman"/>
        </w:rPr>
        <w:t xml:space="preserve">dynamics of </w:t>
      </w:r>
      <w:r w:rsidR="00A374A5">
        <w:rPr>
          <w:rFonts w:ascii="Times New Roman" w:hAnsi="Times New Roman" w:cs="Times New Roman"/>
        </w:rPr>
        <w:t xml:space="preserve">the </w:t>
      </w:r>
      <w:r w:rsidRPr="00CB2DE6">
        <w:rPr>
          <w:rFonts w:ascii="Times New Roman" w:hAnsi="Times New Roman" w:cs="Times New Roman"/>
        </w:rPr>
        <w:t xml:space="preserve">long-run component of global FX volatility </w:t>
      </w:r>
      <w:r>
        <w:rPr>
          <w:rFonts w:ascii="Times New Roman" w:hAnsi="Times New Roman" w:cs="Times New Roman"/>
        </w:rPr>
        <w:t>are</w:t>
      </w:r>
      <w:r w:rsidRPr="00CB2DE6">
        <w:rPr>
          <w:rFonts w:ascii="Times New Roman" w:hAnsi="Times New Roman" w:cs="Times New Roman"/>
        </w:rPr>
        <w:t xml:space="preserve"> related to US macroeconomic fundamentals. Our results are robust to various parametrizations of the volatility models used to obtain the volatility components and they are invariant to alternative asset pricing testing methodologies and sample periods.</w:t>
      </w:r>
      <w:r w:rsidR="00F442AC" w:rsidRPr="00CB2DE6">
        <w:rPr>
          <w:rFonts w:ascii="Times New Roman" w:hAnsi="Times New Roman" w:cs="Times New Roman"/>
        </w:rPr>
        <w:t xml:space="preserve"> </w:t>
      </w:r>
    </w:p>
    <w:p w:rsidR="00F442AC" w:rsidRPr="00CB2DE6" w:rsidRDefault="00F442AC" w:rsidP="00F442AC">
      <w:pPr>
        <w:spacing w:line="360" w:lineRule="auto"/>
        <w:jc w:val="both"/>
        <w:rPr>
          <w:rFonts w:ascii="Times New Roman" w:hAnsi="Times New Roman" w:cs="Times New Roman"/>
          <w:sz w:val="24"/>
          <w:szCs w:val="24"/>
        </w:rPr>
      </w:pPr>
    </w:p>
    <w:p w:rsidR="00F442AC" w:rsidRPr="00CB2DE6" w:rsidRDefault="00F442AC" w:rsidP="00F442AC">
      <w:pPr>
        <w:spacing w:line="360" w:lineRule="auto"/>
        <w:jc w:val="both"/>
        <w:rPr>
          <w:rFonts w:ascii="Times New Roman" w:hAnsi="Times New Roman" w:cs="Times New Roman"/>
          <w:sz w:val="24"/>
          <w:szCs w:val="24"/>
        </w:rPr>
      </w:pPr>
    </w:p>
    <w:p w:rsidR="00F442AC" w:rsidRPr="00CB2DE6" w:rsidRDefault="00F442AC" w:rsidP="00F442AC">
      <w:pPr>
        <w:spacing w:line="360" w:lineRule="auto"/>
        <w:jc w:val="both"/>
        <w:rPr>
          <w:rFonts w:ascii="Times New Roman" w:hAnsi="Times New Roman" w:cs="Times New Roman"/>
          <w:sz w:val="24"/>
          <w:szCs w:val="24"/>
        </w:rPr>
      </w:pPr>
    </w:p>
    <w:p w:rsidR="00F442AC" w:rsidRPr="00CB2DE6" w:rsidRDefault="00F442AC" w:rsidP="00F442AC">
      <w:pPr>
        <w:spacing w:line="360" w:lineRule="auto"/>
        <w:jc w:val="both"/>
        <w:rPr>
          <w:rFonts w:ascii="Times New Roman" w:hAnsi="Times New Roman" w:cs="Times New Roman"/>
          <w:sz w:val="24"/>
          <w:szCs w:val="24"/>
        </w:rPr>
      </w:pPr>
    </w:p>
    <w:p w:rsidR="00F442AC" w:rsidRPr="00CB2DE6" w:rsidRDefault="00F442AC" w:rsidP="00F442AC">
      <w:pPr>
        <w:spacing w:line="360" w:lineRule="auto"/>
        <w:jc w:val="both"/>
        <w:rPr>
          <w:rFonts w:ascii="Times New Roman" w:hAnsi="Times New Roman" w:cs="Times New Roman"/>
          <w:sz w:val="24"/>
          <w:szCs w:val="24"/>
        </w:rPr>
      </w:pPr>
      <w:r w:rsidRPr="00CB2DE6">
        <w:rPr>
          <w:rFonts w:ascii="Times New Roman" w:hAnsi="Times New Roman" w:cs="Times New Roman"/>
          <w:sz w:val="24"/>
          <w:szCs w:val="24"/>
        </w:rPr>
        <w:t>JEL Classification: F31, G12, and G15.</w:t>
      </w:r>
    </w:p>
    <w:p w:rsidR="00F442AC" w:rsidRPr="00CB2DE6" w:rsidRDefault="00F442AC" w:rsidP="00F442AC">
      <w:pPr>
        <w:spacing w:line="360" w:lineRule="auto"/>
        <w:jc w:val="both"/>
        <w:rPr>
          <w:rFonts w:ascii="Times New Roman" w:hAnsi="Times New Roman" w:cs="Times New Roman"/>
          <w:sz w:val="24"/>
          <w:szCs w:val="24"/>
        </w:rPr>
      </w:pPr>
      <w:r w:rsidRPr="00CB2DE6">
        <w:rPr>
          <w:rFonts w:ascii="Times New Roman" w:hAnsi="Times New Roman" w:cs="Times New Roman"/>
          <w:sz w:val="24"/>
          <w:szCs w:val="24"/>
        </w:rPr>
        <w:t>Keywords: Carry Trade, Forward Premium Puzzle, and Volatility Risk.</w:t>
      </w:r>
    </w:p>
    <w:p w:rsidR="00F442AC" w:rsidRPr="00CB2DE6" w:rsidRDefault="00F442AC" w:rsidP="00F442AC">
      <w:pPr>
        <w:pStyle w:val="Default"/>
        <w:spacing w:line="360" w:lineRule="auto"/>
        <w:jc w:val="both"/>
        <w:rPr>
          <w:color w:val="auto"/>
        </w:rPr>
        <w:sectPr w:rsidR="00F442AC" w:rsidRPr="00CB2DE6" w:rsidSect="00E51165">
          <w:footerReference w:type="even" r:id="rId10"/>
          <w:footerReference w:type="default" r:id="rId11"/>
          <w:footnotePr>
            <w:numFmt w:val="chicago"/>
            <w:numStart w:val="2"/>
          </w:footnotePr>
          <w:type w:val="continuous"/>
          <w:pgSz w:w="11906" w:h="16838"/>
          <w:pgMar w:top="1440" w:right="1440" w:bottom="1440" w:left="1440" w:header="706" w:footer="706" w:gutter="0"/>
          <w:pgNumType w:start="1"/>
          <w:cols w:space="708"/>
          <w:titlePg/>
          <w:docGrid w:linePitch="360"/>
        </w:sectPr>
      </w:pPr>
    </w:p>
    <w:p w:rsidR="00E51165" w:rsidRDefault="00E51165" w:rsidP="00BA4B41">
      <w:pPr>
        <w:spacing w:after="120" w:line="360" w:lineRule="auto"/>
        <w:jc w:val="both"/>
        <w:rPr>
          <w:rFonts w:ascii="Times New Roman" w:hAnsi="Times New Roman" w:cs="Times New Roman"/>
          <w:b/>
          <w:sz w:val="28"/>
          <w:szCs w:val="28"/>
        </w:rPr>
      </w:pPr>
    </w:p>
    <w:p w:rsidR="00E51165" w:rsidRDefault="00E51165" w:rsidP="00BA4B41">
      <w:pPr>
        <w:spacing w:after="120" w:line="360" w:lineRule="auto"/>
        <w:jc w:val="both"/>
        <w:rPr>
          <w:rFonts w:ascii="Times New Roman" w:hAnsi="Times New Roman" w:cs="Times New Roman"/>
          <w:b/>
          <w:sz w:val="28"/>
          <w:szCs w:val="28"/>
        </w:rPr>
      </w:pPr>
    </w:p>
    <w:p w:rsidR="00E51165" w:rsidRDefault="00E51165" w:rsidP="00BA4B41">
      <w:pPr>
        <w:spacing w:after="120" w:line="360" w:lineRule="auto"/>
        <w:jc w:val="both"/>
        <w:rPr>
          <w:rFonts w:ascii="Times New Roman" w:hAnsi="Times New Roman" w:cs="Times New Roman"/>
          <w:b/>
          <w:sz w:val="28"/>
          <w:szCs w:val="28"/>
        </w:rPr>
      </w:pPr>
    </w:p>
    <w:p w:rsidR="00E51165" w:rsidRDefault="00E51165" w:rsidP="00BA4B41">
      <w:pPr>
        <w:spacing w:after="120" w:line="360" w:lineRule="auto"/>
        <w:jc w:val="both"/>
        <w:rPr>
          <w:rFonts w:ascii="Times New Roman" w:hAnsi="Times New Roman" w:cs="Times New Roman"/>
          <w:b/>
          <w:sz w:val="28"/>
          <w:szCs w:val="28"/>
        </w:rPr>
      </w:pPr>
    </w:p>
    <w:p w:rsidR="00E51165" w:rsidRDefault="00E51165" w:rsidP="00BA4B41">
      <w:pPr>
        <w:spacing w:after="120" w:line="360" w:lineRule="auto"/>
        <w:jc w:val="both"/>
        <w:rPr>
          <w:rFonts w:ascii="Times New Roman" w:hAnsi="Times New Roman" w:cs="Times New Roman"/>
          <w:b/>
          <w:sz w:val="28"/>
          <w:szCs w:val="28"/>
        </w:rPr>
      </w:pPr>
    </w:p>
    <w:p w:rsidR="00041D92" w:rsidRPr="00CB2DE6" w:rsidRDefault="008048D7" w:rsidP="00B81DAA">
      <w:pPr>
        <w:spacing w:after="120" w:line="360" w:lineRule="auto"/>
        <w:jc w:val="both"/>
        <w:rPr>
          <w:rFonts w:ascii="Times New Roman" w:hAnsi="Times New Roman" w:cs="Times New Roman"/>
          <w:b/>
          <w:sz w:val="28"/>
          <w:szCs w:val="28"/>
        </w:rPr>
      </w:pPr>
      <w:r w:rsidRPr="00CB2DE6">
        <w:rPr>
          <w:rFonts w:ascii="Times New Roman" w:hAnsi="Times New Roman" w:cs="Times New Roman"/>
          <w:b/>
          <w:sz w:val="28"/>
          <w:szCs w:val="28"/>
        </w:rPr>
        <w:lastRenderedPageBreak/>
        <w:t>1.</w:t>
      </w:r>
      <w:r w:rsidRPr="00CB2DE6">
        <w:rPr>
          <w:rFonts w:ascii="Times New Roman" w:hAnsi="Times New Roman" w:cs="Times New Roman"/>
          <w:b/>
          <w:sz w:val="28"/>
          <w:szCs w:val="28"/>
        </w:rPr>
        <w:tab/>
        <w:t>Introduction</w:t>
      </w:r>
    </w:p>
    <w:p w:rsidR="008D744F" w:rsidRPr="00CB2DE6" w:rsidRDefault="00CA7E93" w:rsidP="003205F2">
      <w:pPr>
        <w:spacing w:line="360" w:lineRule="auto"/>
        <w:jc w:val="both"/>
        <w:rPr>
          <w:rFonts w:ascii="Times New Roman" w:hAnsi="Times New Roman" w:cs="Times New Roman"/>
          <w:sz w:val="24"/>
          <w:szCs w:val="24"/>
        </w:rPr>
      </w:pPr>
      <w:r w:rsidRPr="00CB2DE6">
        <w:rPr>
          <w:rFonts w:ascii="Times New Roman" w:hAnsi="Times New Roman" w:cs="Times New Roman"/>
          <w:sz w:val="24"/>
          <w:szCs w:val="24"/>
        </w:rPr>
        <w:t>The uncovered interest rate parity (UIP) condition postulates that the expected foreign exchange</w:t>
      </w:r>
      <w:r w:rsidR="00273853" w:rsidRPr="00CB2DE6">
        <w:rPr>
          <w:rFonts w:ascii="Times New Roman" w:hAnsi="Times New Roman" w:cs="Times New Roman"/>
          <w:sz w:val="24"/>
          <w:szCs w:val="24"/>
        </w:rPr>
        <w:t xml:space="preserve"> (FX)</w:t>
      </w:r>
      <w:r w:rsidRPr="00CB2DE6">
        <w:rPr>
          <w:rFonts w:ascii="Times New Roman" w:hAnsi="Times New Roman" w:cs="Times New Roman"/>
          <w:sz w:val="24"/>
          <w:szCs w:val="24"/>
        </w:rPr>
        <w:t xml:space="preserve"> gain </w:t>
      </w:r>
      <w:r w:rsidR="00273853" w:rsidRPr="00CB2DE6">
        <w:rPr>
          <w:rFonts w:ascii="Times New Roman" w:hAnsi="Times New Roman" w:cs="Times New Roman"/>
          <w:sz w:val="24"/>
          <w:szCs w:val="24"/>
        </w:rPr>
        <w:t>between</w:t>
      </w:r>
      <w:r w:rsidRPr="00CB2DE6">
        <w:rPr>
          <w:rFonts w:ascii="Times New Roman" w:hAnsi="Times New Roman" w:cs="Times New Roman"/>
          <w:sz w:val="24"/>
          <w:szCs w:val="24"/>
        </w:rPr>
        <w:t xml:space="preserve"> two currencies must be offset by their interest rate differential. Assuming that there are no arbitrage opportunities and therefore the interest rate differential equals the forward premium, UIP then implies that the expected exchange rate change must equal the current forward premium. This condition is routinely assumed in models of international macroeconomics and finance. The empirical failure of UIP has been documented in a vast literature over the past 40 years (see</w:t>
      </w:r>
      <w:r w:rsidR="00667BC7" w:rsidRPr="00CB2DE6">
        <w:rPr>
          <w:rFonts w:ascii="Times New Roman" w:hAnsi="Times New Roman" w:cs="Times New Roman"/>
          <w:sz w:val="24"/>
          <w:szCs w:val="24"/>
        </w:rPr>
        <w:t>,</w:t>
      </w:r>
      <w:r w:rsidRPr="00CB2DE6">
        <w:rPr>
          <w:rFonts w:ascii="Times New Roman" w:hAnsi="Times New Roman" w:cs="Times New Roman"/>
          <w:sz w:val="24"/>
          <w:szCs w:val="24"/>
        </w:rPr>
        <w:t xml:space="preserve"> among others, Hansen and Hodrick</w:t>
      </w:r>
      <w:r w:rsidR="00B21F3C" w:rsidRPr="00CB2DE6">
        <w:rPr>
          <w:rFonts w:ascii="Times New Roman" w:hAnsi="Times New Roman" w:cs="Times New Roman"/>
          <w:sz w:val="24"/>
          <w:szCs w:val="24"/>
        </w:rPr>
        <w:t xml:space="preserve"> (</w:t>
      </w:r>
      <w:r w:rsidRPr="00CB2DE6">
        <w:rPr>
          <w:rFonts w:ascii="Times New Roman" w:hAnsi="Times New Roman" w:cs="Times New Roman"/>
          <w:sz w:val="24"/>
          <w:szCs w:val="24"/>
        </w:rPr>
        <w:t>1980</w:t>
      </w:r>
      <w:r w:rsidR="00B21F3C" w:rsidRPr="00CB2DE6">
        <w:rPr>
          <w:rFonts w:ascii="Times New Roman" w:hAnsi="Times New Roman" w:cs="Times New Roman"/>
          <w:sz w:val="24"/>
          <w:szCs w:val="24"/>
        </w:rPr>
        <w:t xml:space="preserve">), </w:t>
      </w:r>
      <w:r w:rsidRPr="00CB2DE6">
        <w:rPr>
          <w:rFonts w:ascii="Times New Roman" w:hAnsi="Times New Roman" w:cs="Times New Roman"/>
          <w:sz w:val="24"/>
          <w:szCs w:val="24"/>
        </w:rPr>
        <w:t>Fama</w:t>
      </w:r>
      <w:r w:rsidR="00B21F3C" w:rsidRPr="00CB2DE6">
        <w:rPr>
          <w:rFonts w:ascii="Times New Roman" w:hAnsi="Times New Roman" w:cs="Times New Roman"/>
          <w:sz w:val="24"/>
          <w:szCs w:val="24"/>
        </w:rPr>
        <w:t xml:space="preserve"> (</w:t>
      </w:r>
      <w:r w:rsidRPr="00CB2DE6">
        <w:rPr>
          <w:rFonts w:ascii="Times New Roman" w:hAnsi="Times New Roman" w:cs="Times New Roman"/>
          <w:sz w:val="24"/>
          <w:szCs w:val="24"/>
        </w:rPr>
        <w:t>1984</w:t>
      </w:r>
      <w:r w:rsidR="00B21F3C" w:rsidRPr="00CB2DE6">
        <w:rPr>
          <w:rFonts w:ascii="Times New Roman" w:hAnsi="Times New Roman" w:cs="Times New Roman"/>
          <w:sz w:val="24"/>
          <w:szCs w:val="24"/>
        </w:rPr>
        <w:t xml:space="preserve">), </w:t>
      </w:r>
      <w:r w:rsidRPr="00CB2DE6">
        <w:rPr>
          <w:rFonts w:ascii="Times New Roman" w:hAnsi="Times New Roman" w:cs="Times New Roman"/>
          <w:sz w:val="24"/>
          <w:szCs w:val="24"/>
        </w:rPr>
        <w:t>Engel</w:t>
      </w:r>
      <w:r w:rsidR="00B21F3C" w:rsidRPr="00CB2DE6">
        <w:rPr>
          <w:rFonts w:ascii="Times New Roman" w:hAnsi="Times New Roman" w:cs="Times New Roman"/>
          <w:sz w:val="24"/>
          <w:szCs w:val="24"/>
        </w:rPr>
        <w:t xml:space="preserve"> (</w:t>
      </w:r>
      <w:r w:rsidRPr="00CB2DE6">
        <w:rPr>
          <w:rFonts w:ascii="Times New Roman" w:hAnsi="Times New Roman" w:cs="Times New Roman"/>
          <w:sz w:val="24"/>
          <w:szCs w:val="24"/>
        </w:rPr>
        <w:t>1996</w:t>
      </w:r>
      <w:r w:rsidR="00B21F3C" w:rsidRPr="00CB2DE6">
        <w:rPr>
          <w:rFonts w:ascii="Times New Roman" w:hAnsi="Times New Roman" w:cs="Times New Roman"/>
          <w:sz w:val="24"/>
          <w:szCs w:val="24"/>
        </w:rPr>
        <w:t xml:space="preserve">), </w:t>
      </w:r>
      <w:r w:rsidR="00936DB4" w:rsidRPr="00CB2DE6">
        <w:rPr>
          <w:rFonts w:ascii="Times New Roman" w:hAnsi="Times New Roman" w:cs="Times New Roman"/>
          <w:sz w:val="24"/>
          <w:szCs w:val="24"/>
        </w:rPr>
        <w:t>Sarno, Valente</w:t>
      </w:r>
      <w:r w:rsidR="0016507C" w:rsidRPr="00CB2DE6">
        <w:rPr>
          <w:rFonts w:ascii="Times New Roman" w:hAnsi="Times New Roman" w:cs="Times New Roman"/>
          <w:sz w:val="24"/>
          <w:szCs w:val="24"/>
        </w:rPr>
        <w:t>,</w:t>
      </w:r>
      <w:r w:rsidR="00936DB4" w:rsidRPr="00CB2DE6">
        <w:rPr>
          <w:rFonts w:ascii="Times New Roman" w:hAnsi="Times New Roman" w:cs="Times New Roman"/>
          <w:sz w:val="24"/>
          <w:szCs w:val="24"/>
        </w:rPr>
        <w:t xml:space="preserve"> and Leon (200</w:t>
      </w:r>
      <w:r w:rsidR="0016507C" w:rsidRPr="00CB2DE6">
        <w:rPr>
          <w:rFonts w:ascii="Times New Roman" w:hAnsi="Times New Roman" w:cs="Times New Roman"/>
          <w:sz w:val="24"/>
          <w:szCs w:val="24"/>
        </w:rPr>
        <w:t>6</w:t>
      </w:r>
      <w:r w:rsidR="00936DB4" w:rsidRPr="00CB2DE6">
        <w:rPr>
          <w:rFonts w:ascii="Times New Roman" w:hAnsi="Times New Roman" w:cs="Times New Roman"/>
          <w:sz w:val="24"/>
          <w:szCs w:val="24"/>
        </w:rPr>
        <w:t>)</w:t>
      </w:r>
      <w:r w:rsidR="0016507C" w:rsidRPr="00CB2DE6">
        <w:rPr>
          <w:rFonts w:ascii="Times New Roman" w:hAnsi="Times New Roman" w:cs="Times New Roman"/>
          <w:sz w:val="24"/>
          <w:szCs w:val="24"/>
        </w:rPr>
        <w:t xml:space="preserve">, </w:t>
      </w:r>
      <w:r w:rsidRPr="00CB2DE6">
        <w:rPr>
          <w:rFonts w:ascii="Times New Roman" w:hAnsi="Times New Roman" w:cs="Times New Roman"/>
          <w:sz w:val="24"/>
          <w:szCs w:val="24"/>
        </w:rPr>
        <w:t>Burnside</w:t>
      </w:r>
      <w:r w:rsidR="00B21F3C" w:rsidRPr="00CB2DE6">
        <w:rPr>
          <w:rFonts w:ascii="Times New Roman" w:hAnsi="Times New Roman" w:cs="Times New Roman"/>
          <w:sz w:val="24"/>
          <w:szCs w:val="24"/>
        </w:rPr>
        <w:t xml:space="preserve"> (</w:t>
      </w:r>
      <w:r w:rsidRPr="00CB2DE6">
        <w:rPr>
          <w:rFonts w:ascii="Times New Roman" w:hAnsi="Times New Roman" w:cs="Times New Roman"/>
          <w:sz w:val="24"/>
          <w:szCs w:val="24"/>
        </w:rPr>
        <w:t>2012</w:t>
      </w:r>
      <w:r w:rsidR="00B21F3C" w:rsidRPr="00CB2DE6">
        <w:rPr>
          <w:rFonts w:ascii="Times New Roman" w:hAnsi="Times New Roman" w:cs="Times New Roman"/>
          <w:sz w:val="24"/>
          <w:szCs w:val="24"/>
        </w:rPr>
        <w:t>)</w:t>
      </w:r>
      <w:r w:rsidR="00331CB9" w:rsidRPr="00CB2DE6">
        <w:rPr>
          <w:rFonts w:ascii="Times New Roman" w:hAnsi="Times New Roman" w:cs="Times New Roman"/>
          <w:sz w:val="24"/>
          <w:szCs w:val="24"/>
        </w:rPr>
        <w:t>,</w:t>
      </w:r>
      <w:r w:rsidRPr="00CB2DE6">
        <w:rPr>
          <w:rFonts w:ascii="Times New Roman" w:hAnsi="Times New Roman" w:cs="Times New Roman"/>
          <w:sz w:val="24"/>
          <w:szCs w:val="24"/>
        </w:rPr>
        <w:t xml:space="preserve"> and the references therein), and a popular speculative strategy based on the violation of the parity (i.e.</w:t>
      </w:r>
      <w:r w:rsidR="00331CB9" w:rsidRPr="00CB2DE6">
        <w:rPr>
          <w:rFonts w:ascii="Times New Roman" w:hAnsi="Times New Roman" w:cs="Times New Roman"/>
          <w:sz w:val="24"/>
          <w:szCs w:val="24"/>
        </w:rPr>
        <w:t>,</w:t>
      </w:r>
      <w:r w:rsidRPr="00CB2DE6">
        <w:rPr>
          <w:rFonts w:ascii="Times New Roman" w:hAnsi="Times New Roman" w:cs="Times New Roman"/>
          <w:sz w:val="24"/>
          <w:szCs w:val="24"/>
        </w:rPr>
        <w:t xml:space="preserve"> FX carry trade) has gained much attention in recent academic studies. The strategy involves borrowing in low interest rate currencies and investing in high interest rate currencies and over the years it has </w:t>
      </w:r>
      <w:r w:rsidR="00617B0E" w:rsidRPr="00CB2DE6">
        <w:rPr>
          <w:rFonts w:ascii="Times New Roman" w:hAnsi="Times New Roman" w:cs="Times New Roman"/>
          <w:sz w:val="24"/>
          <w:szCs w:val="24"/>
        </w:rPr>
        <w:t>yielded sizable returns. One of the potential rationalizations of this evidence is based on a risk argument:</w:t>
      </w:r>
      <w:r w:rsidRPr="00CB2DE6">
        <w:rPr>
          <w:rFonts w:ascii="Times New Roman" w:hAnsi="Times New Roman" w:cs="Times New Roman"/>
          <w:sz w:val="24"/>
          <w:szCs w:val="24"/>
        </w:rPr>
        <w:t xml:space="preserve"> currencies with high interest rates are risk</w:t>
      </w:r>
      <w:r w:rsidR="00617B0E" w:rsidRPr="00CB2DE6">
        <w:rPr>
          <w:rFonts w:ascii="Times New Roman" w:hAnsi="Times New Roman" w:cs="Times New Roman"/>
          <w:sz w:val="24"/>
          <w:szCs w:val="24"/>
        </w:rPr>
        <w:t>ier</w:t>
      </w:r>
      <w:r w:rsidRPr="00CB2DE6">
        <w:rPr>
          <w:rFonts w:ascii="Times New Roman" w:hAnsi="Times New Roman" w:cs="Times New Roman"/>
          <w:sz w:val="24"/>
          <w:szCs w:val="24"/>
        </w:rPr>
        <w:t xml:space="preserve"> </w:t>
      </w:r>
      <w:r w:rsidR="00617B0E" w:rsidRPr="00CB2DE6">
        <w:rPr>
          <w:rFonts w:ascii="Times New Roman" w:hAnsi="Times New Roman" w:cs="Times New Roman"/>
          <w:sz w:val="24"/>
          <w:szCs w:val="24"/>
        </w:rPr>
        <w:t>than low</w:t>
      </w:r>
      <w:r w:rsidR="00C21533" w:rsidRPr="00CB2DE6">
        <w:rPr>
          <w:rFonts w:ascii="Times New Roman" w:hAnsi="Times New Roman" w:cs="Times New Roman"/>
          <w:sz w:val="24"/>
          <w:szCs w:val="24"/>
        </w:rPr>
        <w:t xml:space="preserve"> </w:t>
      </w:r>
      <w:r w:rsidR="00617B0E" w:rsidRPr="00CB2DE6">
        <w:rPr>
          <w:rFonts w:ascii="Times New Roman" w:hAnsi="Times New Roman" w:cs="Times New Roman"/>
          <w:sz w:val="24"/>
          <w:szCs w:val="24"/>
        </w:rPr>
        <w:t xml:space="preserve">interest </w:t>
      </w:r>
      <w:r w:rsidR="00C21533" w:rsidRPr="00CB2DE6">
        <w:rPr>
          <w:rFonts w:ascii="Times New Roman" w:hAnsi="Times New Roman" w:cs="Times New Roman"/>
          <w:sz w:val="24"/>
          <w:szCs w:val="24"/>
        </w:rPr>
        <w:t xml:space="preserve">rate </w:t>
      </w:r>
      <w:r w:rsidR="00617B0E" w:rsidRPr="00CB2DE6">
        <w:rPr>
          <w:rFonts w:ascii="Times New Roman" w:hAnsi="Times New Roman" w:cs="Times New Roman"/>
          <w:sz w:val="24"/>
          <w:szCs w:val="24"/>
        </w:rPr>
        <w:t xml:space="preserve">currencies </w:t>
      </w:r>
      <w:r w:rsidRPr="00CB2DE6">
        <w:rPr>
          <w:rFonts w:ascii="Times New Roman" w:hAnsi="Times New Roman" w:cs="Times New Roman"/>
          <w:sz w:val="24"/>
          <w:szCs w:val="24"/>
        </w:rPr>
        <w:t xml:space="preserve">and therefore deliver </w:t>
      </w:r>
      <w:r w:rsidR="00617B0E" w:rsidRPr="00CB2DE6">
        <w:rPr>
          <w:rFonts w:ascii="Times New Roman" w:hAnsi="Times New Roman" w:cs="Times New Roman"/>
          <w:sz w:val="24"/>
          <w:szCs w:val="24"/>
        </w:rPr>
        <w:t>higher</w:t>
      </w:r>
      <w:r w:rsidRPr="00CB2DE6">
        <w:rPr>
          <w:rFonts w:ascii="Times New Roman" w:hAnsi="Times New Roman" w:cs="Times New Roman"/>
          <w:sz w:val="24"/>
          <w:szCs w:val="24"/>
        </w:rPr>
        <w:t xml:space="preserve"> expected returns as a compensation for bearing time-varying risk (Fama</w:t>
      </w:r>
      <w:r w:rsidR="00331CB9" w:rsidRPr="00CB2DE6">
        <w:rPr>
          <w:rFonts w:ascii="Times New Roman" w:hAnsi="Times New Roman" w:cs="Times New Roman"/>
          <w:sz w:val="24"/>
          <w:szCs w:val="24"/>
        </w:rPr>
        <w:t xml:space="preserve"> (</w:t>
      </w:r>
      <w:r w:rsidRPr="00CB2DE6">
        <w:rPr>
          <w:rFonts w:ascii="Times New Roman" w:hAnsi="Times New Roman" w:cs="Times New Roman"/>
          <w:sz w:val="24"/>
          <w:szCs w:val="24"/>
        </w:rPr>
        <w:t>1984)</w:t>
      </w:r>
      <w:r w:rsidR="00331CB9" w:rsidRPr="00CB2DE6">
        <w:rPr>
          <w:rFonts w:ascii="Times New Roman" w:hAnsi="Times New Roman" w:cs="Times New Roman"/>
          <w:sz w:val="24"/>
          <w:szCs w:val="24"/>
        </w:rPr>
        <w:t>)</w:t>
      </w:r>
      <w:r w:rsidRPr="00CB2DE6">
        <w:rPr>
          <w:rFonts w:ascii="Times New Roman" w:hAnsi="Times New Roman" w:cs="Times New Roman"/>
          <w:sz w:val="24"/>
          <w:szCs w:val="24"/>
        </w:rPr>
        <w:t xml:space="preserve">. </w:t>
      </w:r>
      <w:r w:rsidR="00617B0E" w:rsidRPr="00CB2DE6">
        <w:rPr>
          <w:rFonts w:ascii="Times New Roman" w:hAnsi="Times New Roman" w:cs="Times New Roman"/>
          <w:sz w:val="24"/>
          <w:szCs w:val="24"/>
        </w:rPr>
        <w:t xml:space="preserve">Albeit appealing, </w:t>
      </w:r>
      <w:r w:rsidRPr="00CB2DE6">
        <w:rPr>
          <w:rFonts w:ascii="Times New Roman" w:hAnsi="Times New Roman" w:cs="Times New Roman"/>
          <w:sz w:val="24"/>
          <w:szCs w:val="24"/>
        </w:rPr>
        <w:t>conventional measure</w:t>
      </w:r>
      <w:r w:rsidR="00617B0E" w:rsidRPr="00CB2DE6">
        <w:rPr>
          <w:rFonts w:ascii="Times New Roman" w:hAnsi="Times New Roman" w:cs="Times New Roman"/>
          <w:sz w:val="24"/>
          <w:szCs w:val="24"/>
        </w:rPr>
        <w:t>s</w:t>
      </w:r>
      <w:r w:rsidRPr="00CB2DE6">
        <w:rPr>
          <w:rFonts w:ascii="Times New Roman" w:hAnsi="Times New Roman" w:cs="Times New Roman"/>
          <w:sz w:val="24"/>
          <w:szCs w:val="24"/>
        </w:rPr>
        <w:t xml:space="preserve"> </w:t>
      </w:r>
      <w:r w:rsidR="00617B0E" w:rsidRPr="00CB2DE6">
        <w:rPr>
          <w:rFonts w:ascii="Times New Roman" w:hAnsi="Times New Roman" w:cs="Times New Roman"/>
          <w:sz w:val="24"/>
          <w:szCs w:val="24"/>
        </w:rPr>
        <w:t>of</w:t>
      </w:r>
      <w:r w:rsidRPr="00CB2DE6">
        <w:rPr>
          <w:rFonts w:ascii="Times New Roman" w:hAnsi="Times New Roman" w:cs="Times New Roman"/>
          <w:sz w:val="24"/>
          <w:szCs w:val="24"/>
        </w:rPr>
        <w:t xml:space="preserve"> </w:t>
      </w:r>
      <w:r w:rsidR="00617B0E" w:rsidRPr="00CB2DE6">
        <w:rPr>
          <w:rFonts w:ascii="Times New Roman" w:hAnsi="Times New Roman" w:cs="Times New Roman"/>
          <w:sz w:val="24"/>
          <w:szCs w:val="24"/>
        </w:rPr>
        <w:t>risk</w:t>
      </w:r>
      <w:r w:rsidRPr="00CB2DE6">
        <w:rPr>
          <w:rFonts w:ascii="Times New Roman" w:hAnsi="Times New Roman" w:cs="Times New Roman"/>
          <w:sz w:val="24"/>
          <w:szCs w:val="24"/>
        </w:rPr>
        <w:t xml:space="preserve">, such as stock market excess returns, consumption growth, </w:t>
      </w:r>
      <w:r w:rsidR="00CE7CAE">
        <w:rPr>
          <w:rFonts w:ascii="Times New Roman" w:hAnsi="Times New Roman" w:cs="Times New Roman"/>
          <w:sz w:val="24"/>
          <w:szCs w:val="24"/>
        </w:rPr>
        <w:t xml:space="preserve">term premium, </w:t>
      </w:r>
      <w:r w:rsidRPr="00CB2DE6">
        <w:rPr>
          <w:rFonts w:ascii="Times New Roman" w:hAnsi="Times New Roman" w:cs="Times New Roman"/>
          <w:sz w:val="24"/>
          <w:szCs w:val="24"/>
        </w:rPr>
        <w:t>and Fama and French (1993) factors</w:t>
      </w:r>
      <w:r w:rsidR="00617B0E" w:rsidRPr="00CB2DE6">
        <w:rPr>
          <w:rFonts w:ascii="Times New Roman" w:hAnsi="Times New Roman" w:cs="Times New Roman"/>
          <w:sz w:val="24"/>
          <w:szCs w:val="24"/>
        </w:rPr>
        <w:t xml:space="preserve"> have</w:t>
      </w:r>
      <w:r w:rsidRPr="00CB2DE6">
        <w:rPr>
          <w:rFonts w:ascii="Times New Roman" w:hAnsi="Times New Roman" w:cs="Times New Roman"/>
          <w:sz w:val="24"/>
          <w:szCs w:val="24"/>
        </w:rPr>
        <w:t xml:space="preserve"> </w:t>
      </w:r>
      <w:r w:rsidR="002D0703" w:rsidRPr="00CB2DE6">
        <w:rPr>
          <w:rFonts w:ascii="Times New Roman" w:hAnsi="Times New Roman" w:cs="Times New Roman"/>
          <w:sz w:val="24"/>
          <w:szCs w:val="24"/>
        </w:rPr>
        <w:t>not</w:t>
      </w:r>
      <w:r w:rsidRPr="00CB2DE6">
        <w:rPr>
          <w:rFonts w:ascii="Times New Roman" w:hAnsi="Times New Roman" w:cs="Times New Roman"/>
          <w:sz w:val="24"/>
          <w:szCs w:val="24"/>
        </w:rPr>
        <w:t xml:space="preserve"> </w:t>
      </w:r>
      <w:r w:rsidR="00617B0E" w:rsidRPr="00CB2DE6">
        <w:rPr>
          <w:rFonts w:ascii="Times New Roman" w:hAnsi="Times New Roman" w:cs="Times New Roman"/>
          <w:sz w:val="24"/>
          <w:szCs w:val="24"/>
        </w:rPr>
        <w:t xml:space="preserve">consistently </w:t>
      </w:r>
      <w:r w:rsidRPr="00CB2DE6">
        <w:rPr>
          <w:rFonts w:ascii="Times New Roman" w:hAnsi="Times New Roman" w:cs="Times New Roman"/>
          <w:sz w:val="24"/>
          <w:szCs w:val="24"/>
        </w:rPr>
        <w:t>explain</w:t>
      </w:r>
      <w:r w:rsidR="002D0703" w:rsidRPr="00CB2DE6">
        <w:rPr>
          <w:rFonts w:ascii="Times New Roman" w:hAnsi="Times New Roman" w:cs="Times New Roman"/>
          <w:sz w:val="24"/>
          <w:szCs w:val="24"/>
        </w:rPr>
        <w:t>ed</w:t>
      </w:r>
      <w:r w:rsidRPr="00CB2DE6">
        <w:rPr>
          <w:rFonts w:ascii="Times New Roman" w:hAnsi="Times New Roman" w:cs="Times New Roman"/>
          <w:sz w:val="24"/>
          <w:szCs w:val="24"/>
        </w:rPr>
        <w:t xml:space="preserve"> </w:t>
      </w:r>
      <w:r w:rsidR="00617B0E" w:rsidRPr="00CB2DE6">
        <w:rPr>
          <w:rFonts w:ascii="Times New Roman" w:hAnsi="Times New Roman" w:cs="Times New Roman"/>
          <w:sz w:val="24"/>
          <w:szCs w:val="24"/>
        </w:rPr>
        <w:t>carry trade returns</w:t>
      </w:r>
      <w:r w:rsidRPr="00CB2DE6">
        <w:rPr>
          <w:rFonts w:ascii="Times New Roman" w:hAnsi="Times New Roman" w:cs="Times New Roman"/>
          <w:sz w:val="24"/>
          <w:szCs w:val="24"/>
        </w:rPr>
        <w:t xml:space="preserve"> (</w:t>
      </w:r>
      <w:r w:rsidR="00617B0E" w:rsidRPr="00CB2DE6">
        <w:rPr>
          <w:rFonts w:ascii="Times New Roman" w:hAnsi="Times New Roman" w:cs="Times New Roman"/>
          <w:sz w:val="24"/>
          <w:szCs w:val="24"/>
        </w:rPr>
        <w:t xml:space="preserve">see </w:t>
      </w:r>
      <w:r w:rsidRPr="00CB2DE6">
        <w:rPr>
          <w:rFonts w:ascii="Times New Roman" w:hAnsi="Times New Roman" w:cs="Times New Roman"/>
          <w:sz w:val="24"/>
          <w:szCs w:val="24"/>
        </w:rPr>
        <w:t>Burnside, Eichenbaum, Kleshchelski, and Rebelo</w:t>
      </w:r>
      <w:r w:rsidR="00C9254E" w:rsidRPr="00CB2DE6">
        <w:rPr>
          <w:rFonts w:ascii="Times New Roman" w:hAnsi="Times New Roman" w:cs="Times New Roman"/>
          <w:sz w:val="24"/>
          <w:szCs w:val="24"/>
        </w:rPr>
        <w:t xml:space="preserve"> (</w:t>
      </w:r>
      <w:r w:rsidRPr="00CB2DE6">
        <w:rPr>
          <w:rFonts w:ascii="Times New Roman" w:hAnsi="Times New Roman" w:cs="Times New Roman"/>
          <w:sz w:val="24"/>
          <w:szCs w:val="24"/>
        </w:rPr>
        <w:t>2011</w:t>
      </w:r>
      <w:r w:rsidR="00C9254E" w:rsidRPr="00CB2DE6">
        <w:rPr>
          <w:rFonts w:ascii="Times New Roman" w:hAnsi="Times New Roman" w:cs="Times New Roman"/>
          <w:sz w:val="24"/>
          <w:szCs w:val="24"/>
        </w:rPr>
        <w:t>)</w:t>
      </w:r>
      <w:r w:rsidR="00617B0E" w:rsidRPr="00CB2DE6">
        <w:rPr>
          <w:rFonts w:ascii="Times New Roman" w:hAnsi="Times New Roman" w:cs="Times New Roman"/>
          <w:sz w:val="24"/>
          <w:szCs w:val="24"/>
        </w:rPr>
        <w:t xml:space="preserve"> and the references therein</w:t>
      </w:r>
      <w:r w:rsidRPr="00CB2DE6">
        <w:rPr>
          <w:rFonts w:ascii="Times New Roman" w:hAnsi="Times New Roman" w:cs="Times New Roman"/>
          <w:sz w:val="24"/>
          <w:szCs w:val="24"/>
        </w:rPr>
        <w:t xml:space="preserve">). </w:t>
      </w:r>
      <w:r w:rsidR="009F4DDA">
        <w:rPr>
          <w:rFonts w:ascii="Times New Roman" w:hAnsi="Times New Roman" w:cs="Times New Roman"/>
          <w:sz w:val="24"/>
          <w:szCs w:val="24"/>
        </w:rPr>
        <w:t>In a recent study</w:t>
      </w:r>
      <w:r w:rsidR="00936DB4" w:rsidRPr="00CB2DE6">
        <w:rPr>
          <w:rFonts w:ascii="Times New Roman" w:hAnsi="Times New Roman" w:cs="Times New Roman"/>
          <w:sz w:val="24"/>
          <w:szCs w:val="24"/>
        </w:rPr>
        <w:t>,</w:t>
      </w:r>
      <w:r w:rsidRPr="00CB2DE6">
        <w:rPr>
          <w:rFonts w:ascii="Times New Roman" w:hAnsi="Times New Roman" w:cs="Times New Roman"/>
          <w:sz w:val="24"/>
          <w:szCs w:val="24"/>
        </w:rPr>
        <w:t xml:space="preserve"> </w:t>
      </w:r>
      <w:r w:rsidR="00617B0E" w:rsidRPr="00CB2DE6">
        <w:rPr>
          <w:rFonts w:ascii="Times New Roman" w:hAnsi="Times New Roman" w:cs="Times New Roman"/>
          <w:sz w:val="24"/>
          <w:szCs w:val="24"/>
        </w:rPr>
        <w:t>Menkhoff, Sarno, Schmeling, and Schrimpf (2012)</w:t>
      </w:r>
      <w:r w:rsidR="00273853" w:rsidRPr="00CB2DE6">
        <w:rPr>
          <w:rFonts w:ascii="Times New Roman" w:hAnsi="Times New Roman" w:cs="Times New Roman"/>
          <w:sz w:val="24"/>
          <w:szCs w:val="24"/>
        </w:rPr>
        <w:t>,</w:t>
      </w:r>
      <w:r w:rsidR="001E01BF" w:rsidRPr="00CB2DE6">
        <w:rPr>
          <w:rFonts w:ascii="Times New Roman" w:hAnsi="Times New Roman" w:cs="Times New Roman"/>
          <w:sz w:val="24"/>
          <w:szCs w:val="24"/>
        </w:rPr>
        <w:t xml:space="preserve"> adopting a cross-sectional asset</w:t>
      </w:r>
      <w:r w:rsidR="00B528A4" w:rsidRPr="00CB2DE6">
        <w:rPr>
          <w:rFonts w:ascii="Times New Roman" w:hAnsi="Times New Roman" w:cs="Times New Roman"/>
          <w:sz w:val="24"/>
          <w:szCs w:val="24"/>
        </w:rPr>
        <w:t xml:space="preserve"> </w:t>
      </w:r>
      <w:r w:rsidR="001E01BF" w:rsidRPr="00CB2DE6">
        <w:rPr>
          <w:rFonts w:ascii="Times New Roman" w:hAnsi="Times New Roman" w:cs="Times New Roman"/>
          <w:sz w:val="24"/>
          <w:szCs w:val="24"/>
        </w:rPr>
        <w:t>pricing framework,</w:t>
      </w:r>
      <w:r w:rsidR="00617B0E" w:rsidRPr="00CB2DE6">
        <w:rPr>
          <w:rFonts w:ascii="Times New Roman" w:hAnsi="Times New Roman" w:cs="Times New Roman"/>
          <w:sz w:val="24"/>
          <w:szCs w:val="24"/>
        </w:rPr>
        <w:t xml:space="preserve"> show that high returns from currency speculation can be understood as compensation for bearing global FX volatility risk.</w:t>
      </w:r>
      <w:r w:rsidR="001E01BF" w:rsidRPr="00CB2DE6">
        <w:rPr>
          <w:rStyle w:val="FootnoteReference"/>
          <w:rFonts w:ascii="Times New Roman" w:hAnsi="Times New Roman" w:cs="Times New Roman"/>
          <w:sz w:val="24"/>
          <w:szCs w:val="24"/>
        </w:rPr>
        <w:footnoteReference w:id="1"/>
      </w:r>
      <w:r w:rsidR="00C47377" w:rsidRPr="00CB2DE6">
        <w:rPr>
          <w:rFonts w:ascii="Times New Roman" w:hAnsi="Times New Roman" w:cs="Times New Roman"/>
          <w:sz w:val="24"/>
          <w:szCs w:val="24"/>
        </w:rPr>
        <w:t xml:space="preserve"> </w:t>
      </w:r>
      <w:r w:rsidR="00617B0E" w:rsidRPr="00CB2DE6">
        <w:rPr>
          <w:rFonts w:ascii="Times New Roman" w:hAnsi="Times New Roman" w:cs="Times New Roman"/>
          <w:sz w:val="24"/>
          <w:szCs w:val="24"/>
        </w:rPr>
        <w:t>On the basis of the predictions of the intertemporal</w:t>
      </w:r>
      <w:r w:rsidR="00DA3595" w:rsidRPr="00CB2DE6">
        <w:rPr>
          <w:rFonts w:ascii="Times New Roman" w:hAnsi="Times New Roman" w:cs="Times New Roman"/>
          <w:sz w:val="24"/>
          <w:szCs w:val="24"/>
        </w:rPr>
        <w:t xml:space="preserve"> capital asset pricing model (I</w:t>
      </w:r>
      <w:r w:rsidR="00617B0E" w:rsidRPr="00CB2DE6">
        <w:rPr>
          <w:rFonts w:ascii="Times New Roman" w:hAnsi="Times New Roman" w:cs="Times New Roman"/>
          <w:sz w:val="24"/>
          <w:szCs w:val="24"/>
        </w:rPr>
        <w:t>CAPM</w:t>
      </w:r>
      <w:r w:rsidR="00DA3595" w:rsidRPr="00CB2DE6">
        <w:rPr>
          <w:rFonts w:ascii="Times New Roman" w:hAnsi="Times New Roman" w:cs="Times New Roman"/>
          <w:sz w:val="24"/>
          <w:szCs w:val="24"/>
        </w:rPr>
        <w:t>)</w:t>
      </w:r>
      <w:r w:rsidR="00617B0E" w:rsidRPr="00CB2DE6">
        <w:rPr>
          <w:rFonts w:ascii="Times New Roman" w:hAnsi="Times New Roman" w:cs="Times New Roman"/>
          <w:sz w:val="24"/>
          <w:szCs w:val="24"/>
        </w:rPr>
        <w:t xml:space="preserve">, the authors argue that </w:t>
      </w:r>
      <w:r w:rsidR="001E01BF" w:rsidRPr="00CB2DE6">
        <w:rPr>
          <w:rFonts w:ascii="Times New Roman" w:hAnsi="Times New Roman" w:cs="Times New Roman"/>
          <w:sz w:val="24"/>
          <w:szCs w:val="24"/>
        </w:rPr>
        <w:t xml:space="preserve">negative volatility risk premia arise </w:t>
      </w:r>
      <w:r w:rsidR="0027119B" w:rsidRPr="00CB2DE6">
        <w:rPr>
          <w:rFonts w:ascii="Times New Roman" w:hAnsi="Times New Roman" w:cs="Times New Roman"/>
          <w:sz w:val="24"/>
          <w:szCs w:val="24"/>
        </w:rPr>
        <w:t>because</w:t>
      </w:r>
      <w:r w:rsidR="001E01BF" w:rsidRPr="00CB2DE6">
        <w:rPr>
          <w:rFonts w:ascii="Times New Roman" w:hAnsi="Times New Roman" w:cs="Times New Roman"/>
          <w:sz w:val="24"/>
          <w:szCs w:val="24"/>
        </w:rPr>
        <w:t xml:space="preserve"> positive volatility sh</w:t>
      </w:r>
      <w:r w:rsidR="00331CB9" w:rsidRPr="00CB2DE6">
        <w:rPr>
          <w:rFonts w:ascii="Times New Roman" w:hAnsi="Times New Roman" w:cs="Times New Roman"/>
          <w:sz w:val="24"/>
          <w:szCs w:val="24"/>
        </w:rPr>
        <w:t>ocks worsen the investors’ risk-</w:t>
      </w:r>
      <w:r w:rsidR="001E01BF" w:rsidRPr="00CB2DE6">
        <w:rPr>
          <w:rFonts w:ascii="Times New Roman" w:hAnsi="Times New Roman" w:cs="Times New Roman"/>
          <w:sz w:val="24"/>
          <w:szCs w:val="24"/>
        </w:rPr>
        <w:t xml:space="preserve">return tradeoff. Their approach is successful in adequately pricing the cross-section of carry trade returns, as their global FX volatility factor dominates other relevant risk measures, including </w:t>
      </w:r>
      <w:r w:rsidR="00273853" w:rsidRPr="00CB2DE6">
        <w:rPr>
          <w:rFonts w:ascii="Times New Roman" w:hAnsi="Times New Roman" w:cs="Times New Roman"/>
          <w:sz w:val="24"/>
          <w:szCs w:val="24"/>
        </w:rPr>
        <w:t xml:space="preserve">FX market </w:t>
      </w:r>
      <w:r w:rsidR="001E01BF" w:rsidRPr="00CB2DE6">
        <w:rPr>
          <w:rFonts w:ascii="Times New Roman" w:hAnsi="Times New Roman" w:cs="Times New Roman"/>
          <w:sz w:val="24"/>
          <w:szCs w:val="24"/>
        </w:rPr>
        <w:t>liquidity.</w:t>
      </w:r>
      <w:r w:rsidR="008D744F" w:rsidRPr="00CB2DE6">
        <w:rPr>
          <w:rFonts w:ascii="Times New Roman" w:hAnsi="Times New Roman" w:cs="Times New Roman"/>
          <w:sz w:val="24"/>
          <w:szCs w:val="24"/>
        </w:rPr>
        <w:t xml:space="preserve"> </w:t>
      </w:r>
    </w:p>
    <w:p w:rsidR="008D744F" w:rsidRPr="00CB2DE6" w:rsidRDefault="008D744F" w:rsidP="008D744F">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A somehow unrelated literature, concerned with modeling the volatility of asset returns, has shown that empirical models containing </w:t>
      </w:r>
      <w:r w:rsidR="00CE7CAE">
        <w:rPr>
          <w:rFonts w:ascii="Times New Roman" w:hAnsi="Times New Roman" w:cs="Times New Roman"/>
          <w:sz w:val="24"/>
          <w:szCs w:val="24"/>
        </w:rPr>
        <w:t xml:space="preserve">only </w:t>
      </w:r>
      <w:r w:rsidRPr="00CB2DE6">
        <w:rPr>
          <w:rFonts w:ascii="Times New Roman" w:hAnsi="Times New Roman" w:cs="Times New Roman"/>
          <w:sz w:val="24"/>
          <w:szCs w:val="24"/>
        </w:rPr>
        <w:t>one component are often inadequate to capture the salient features of asset returns</w:t>
      </w:r>
      <w:r w:rsidR="0027119B" w:rsidRPr="00CB2DE6">
        <w:rPr>
          <w:rFonts w:ascii="Times New Roman" w:hAnsi="Times New Roman" w:cs="Times New Roman"/>
          <w:sz w:val="24"/>
          <w:szCs w:val="24"/>
        </w:rPr>
        <w:t>.</w:t>
      </w:r>
      <w:r w:rsidRPr="00CB2DE6">
        <w:rPr>
          <w:rFonts w:ascii="Times New Roman" w:hAnsi="Times New Roman" w:cs="Times New Roman"/>
          <w:sz w:val="24"/>
          <w:szCs w:val="24"/>
        </w:rPr>
        <w:t xml:space="preserve"> </w:t>
      </w:r>
      <w:r w:rsidR="0027119B" w:rsidRPr="00CB2DE6">
        <w:rPr>
          <w:rFonts w:ascii="Times New Roman" w:hAnsi="Times New Roman" w:cs="Times New Roman"/>
          <w:sz w:val="24"/>
          <w:szCs w:val="24"/>
        </w:rPr>
        <w:t>In fact, e</w:t>
      </w:r>
      <w:r w:rsidRPr="00CB2DE6">
        <w:rPr>
          <w:rFonts w:ascii="Times New Roman" w:hAnsi="Times New Roman" w:cs="Times New Roman"/>
          <w:sz w:val="24"/>
          <w:szCs w:val="24"/>
        </w:rPr>
        <w:t xml:space="preserve">mpirical observation has shown that the </w:t>
      </w:r>
      <w:r w:rsidRPr="00CB2DE6">
        <w:rPr>
          <w:rFonts w:ascii="Times New Roman" w:hAnsi="Times New Roman" w:cs="Times New Roman"/>
          <w:sz w:val="24"/>
          <w:szCs w:val="24"/>
        </w:rPr>
        <w:lastRenderedPageBreak/>
        <w:t>volatility of low</w:t>
      </w:r>
      <w:r w:rsidR="0037304F" w:rsidRPr="00CB2DE6">
        <w:rPr>
          <w:rFonts w:ascii="Times New Roman" w:hAnsi="Times New Roman" w:cs="Times New Roman"/>
          <w:sz w:val="24"/>
          <w:szCs w:val="24"/>
        </w:rPr>
        <w:t>-</w:t>
      </w:r>
      <w:r w:rsidRPr="00CB2DE6">
        <w:rPr>
          <w:rFonts w:ascii="Times New Roman" w:hAnsi="Times New Roman" w:cs="Times New Roman"/>
          <w:sz w:val="24"/>
          <w:szCs w:val="24"/>
        </w:rPr>
        <w:t>frequency returns tend</w:t>
      </w:r>
      <w:r w:rsidR="0027119B" w:rsidRPr="00CB2DE6">
        <w:rPr>
          <w:rFonts w:ascii="Times New Roman" w:hAnsi="Times New Roman" w:cs="Times New Roman"/>
          <w:sz w:val="24"/>
          <w:szCs w:val="24"/>
        </w:rPr>
        <w:t>s</w:t>
      </w:r>
      <w:r w:rsidRPr="00CB2DE6">
        <w:rPr>
          <w:rFonts w:ascii="Times New Roman" w:hAnsi="Times New Roman" w:cs="Times New Roman"/>
          <w:sz w:val="24"/>
          <w:szCs w:val="24"/>
        </w:rPr>
        <w:t xml:space="preserve"> to be more persistent than the volatility of high-frequency returns (Engle and Lee</w:t>
      </w:r>
      <w:r w:rsidR="00C9254E" w:rsidRPr="00CB2DE6">
        <w:rPr>
          <w:rFonts w:ascii="Times New Roman" w:hAnsi="Times New Roman" w:cs="Times New Roman"/>
          <w:sz w:val="24"/>
          <w:szCs w:val="24"/>
        </w:rPr>
        <w:t xml:space="preserve"> (</w:t>
      </w:r>
      <w:r w:rsidRPr="00CB2DE6">
        <w:rPr>
          <w:rFonts w:ascii="Times New Roman" w:hAnsi="Times New Roman" w:cs="Times New Roman"/>
          <w:sz w:val="24"/>
          <w:szCs w:val="24"/>
        </w:rPr>
        <w:t>1999</w:t>
      </w:r>
      <w:r w:rsidR="00C9254E" w:rsidRPr="00CB2DE6">
        <w:rPr>
          <w:rFonts w:ascii="Times New Roman" w:hAnsi="Times New Roman" w:cs="Times New Roman"/>
          <w:sz w:val="24"/>
          <w:szCs w:val="24"/>
        </w:rPr>
        <w:t>)</w:t>
      </w:r>
      <w:r w:rsidRPr="00CB2DE6">
        <w:rPr>
          <w:rFonts w:ascii="Times New Roman" w:hAnsi="Times New Roman" w:cs="Times New Roman"/>
          <w:sz w:val="24"/>
          <w:szCs w:val="24"/>
        </w:rPr>
        <w:t xml:space="preserve"> and the references therein). </w:t>
      </w:r>
      <w:r w:rsidR="0027119B" w:rsidRPr="00CB2DE6">
        <w:rPr>
          <w:rFonts w:ascii="Times New Roman" w:hAnsi="Times New Roman" w:cs="Times New Roman"/>
          <w:sz w:val="24"/>
          <w:szCs w:val="24"/>
        </w:rPr>
        <w:t>As a consequence</w:t>
      </w:r>
      <w:r w:rsidRPr="00CB2DE6">
        <w:rPr>
          <w:rFonts w:ascii="Times New Roman" w:hAnsi="Times New Roman" w:cs="Times New Roman"/>
          <w:sz w:val="24"/>
          <w:szCs w:val="24"/>
        </w:rPr>
        <w:t>, models comprising one highly persistent and one quickly mean-reverting volatility components have been found to systematically outperform one-component specifications (see</w:t>
      </w:r>
      <w:r w:rsidR="00667BC7" w:rsidRPr="00CB2DE6">
        <w:rPr>
          <w:rFonts w:ascii="Times New Roman" w:hAnsi="Times New Roman" w:cs="Times New Roman"/>
          <w:sz w:val="24"/>
          <w:szCs w:val="24"/>
        </w:rPr>
        <w:t>,</w:t>
      </w:r>
      <w:r w:rsidRPr="00CB2DE6">
        <w:rPr>
          <w:rFonts w:ascii="Times New Roman" w:hAnsi="Times New Roman" w:cs="Times New Roman"/>
          <w:sz w:val="24"/>
          <w:szCs w:val="24"/>
        </w:rPr>
        <w:t xml:space="preserve"> among others, Chernov, Gallant, Ghysels, and Tauchen</w:t>
      </w:r>
      <w:r w:rsidR="00C9254E" w:rsidRPr="00CB2DE6">
        <w:rPr>
          <w:rFonts w:ascii="Times New Roman" w:hAnsi="Times New Roman" w:cs="Times New Roman"/>
          <w:sz w:val="24"/>
          <w:szCs w:val="24"/>
        </w:rPr>
        <w:t xml:space="preserve"> (</w:t>
      </w:r>
      <w:r w:rsidRPr="00CB2DE6">
        <w:rPr>
          <w:rFonts w:ascii="Times New Roman" w:hAnsi="Times New Roman" w:cs="Times New Roman"/>
          <w:sz w:val="24"/>
          <w:szCs w:val="24"/>
        </w:rPr>
        <w:t>2003</w:t>
      </w:r>
      <w:r w:rsidR="00C9254E" w:rsidRPr="00CB2DE6">
        <w:rPr>
          <w:rFonts w:ascii="Times New Roman" w:hAnsi="Times New Roman" w:cs="Times New Roman"/>
          <w:sz w:val="24"/>
          <w:szCs w:val="24"/>
        </w:rPr>
        <w:t xml:space="preserve">), </w:t>
      </w:r>
      <w:r w:rsidRPr="00CB2DE6">
        <w:rPr>
          <w:rFonts w:ascii="Times New Roman" w:hAnsi="Times New Roman" w:cs="Times New Roman"/>
          <w:sz w:val="24"/>
          <w:szCs w:val="24"/>
        </w:rPr>
        <w:t>Bollerslev and Zhou</w:t>
      </w:r>
      <w:r w:rsidR="00C9254E" w:rsidRPr="00CB2DE6">
        <w:rPr>
          <w:rFonts w:ascii="Times New Roman" w:hAnsi="Times New Roman" w:cs="Times New Roman"/>
          <w:sz w:val="24"/>
          <w:szCs w:val="24"/>
        </w:rPr>
        <w:t xml:space="preserve"> (</w:t>
      </w:r>
      <w:r w:rsidRPr="00CB2DE6">
        <w:rPr>
          <w:rFonts w:ascii="Times New Roman" w:hAnsi="Times New Roman" w:cs="Times New Roman"/>
          <w:sz w:val="24"/>
          <w:szCs w:val="24"/>
        </w:rPr>
        <w:t>2006</w:t>
      </w:r>
      <w:r w:rsidR="00C9254E" w:rsidRPr="00CB2DE6">
        <w:rPr>
          <w:rFonts w:ascii="Times New Roman" w:hAnsi="Times New Roman" w:cs="Times New Roman"/>
          <w:sz w:val="24"/>
          <w:szCs w:val="24"/>
        </w:rPr>
        <w:t>)</w:t>
      </w:r>
      <w:r w:rsidR="004725C8" w:rsidRPr="00CB2DE6">
        <w:rPr>
          <w:rFonts w:ascii="Times New Roman" w:hAnsi="Times New Roman" w:cs="Times New Roman"/>
          <w:sz w:val="24"/>
          <w:szCs w:val="24"/>
        </w:rPr>
        <w:t xml:space="preserve">, </w:t>
      </w:r>
      <w:r w:rsidRPr="00CB2DE6">
        <w:rPr>
          <w:rFonts w:ascii="Times New Roman" w:hAnsi="Times New Roman" w:cs="Times New Roman"/>
          <w:sz w:val="24"/>
          <w:szCs w:val="24"/>
        </w:rPr>
        <w:t>Christoffersen, Jacobs, Ornthanalai, and Wang</w:t>
      </w:r>
      <w:r w:rsidR="004725C8" w:rsidRPr="00CB2DE6">
        <w:rPr>
          <w:rFonts w:ascii="Times New Roman" w:hAnsi="Times New Roman" w:cs="Times New Roman"/>
          <w:sz w:val="24"/>
          <w:szCs w:val="24"/>
        </w:rPr>
        <w:t xml:space="preserve"> (</w:t>
      </w:r>
      <w:r w:rsidRPr="00CB2DE6">
        <w:rPr>
          <w:rFonts w:ascii="Times New Roman" w:hAnsi="Times New Roman" w:cs="Times New Roman"/>
          <w:sz w:val="24"/>
          <w:szCs w:val="24"/>
        </w:rPr>
        <w:t>2008</w:t>
      </w:r>
      <w:r w:rsidR="004725C8" w:rsidRPr="00CB2DE6">
        <w:rPr>
          <w:rFonts w:ascii="Times New Roman" w:hAnsi="Times New Roman" w:cs="Times New Roman"/>
          <w:sz w:val="24"/>
          <w:szCs w:val="24"/>
        </w:rPr>
        <w:t>)</w:t>
      </w:r>
      <w:r w:rsidR="0061388B" w:rsidRPr="00CB2DE6">
        <w:rPr>
          <w:rFonts w:ascii="Times New Roman" w:hAnsi="Times New Roman" w:cs="Times New Roman"/>
          <w:sz w:val="24"/>
          <w:szCs w:val="24"/>
        </w:rPr>
        <w:t>,</w:t>
      </w:r>
      <w:r w:rsidR="007F19FC" w:rsidRPr="00CB2DE6">
        <w:rPr>
          <w:rFonts w:ascii="Times New Roman" w:hAnsi="Times New Roman" w:cs="Times New Roman"/>
          <w:sz w:val="24"/>
          <w:szCs w:val="24"/>
        </w:rPr>
        <w:t xml:space="preserve"> and the references therein</w:t>
      </w:r>
      <w:r w:rsidRPr="00CB2DE6">
        <w:rPr>
          <w:rFonts w:ascii="Times New Roman" w:hAnsi="Times New Roman" w:cs="Times New Roman"/>
          <w:sz w:val="24"/>
          <w:szCs w:val="24"/>
        </w:rPr>
        <w:t xml:space="preserve">). The two volatility components have been rationalized on various grounds: Andersen and Bollerslev (1997) and </w:t>
      </w:r>
      <w:r w:rsidR="00440B3E" w:rsidRPr="00CB2DE6">
        <w:rPr>
          <w:rFonts w:ascii="Times New Roman" w:hAnsi="Times New Roman" w:cs="Times New Roman"/>
          <w:sz w:val="24"/>
          <w:szCs w:val="24"/>
        </w:rPr>
        <w:t xml:space="preserve">Müller, </w:t>
      </w:r>
      <w:hyperlink r:id="rId12" w:history="1">
        <w:r w:rsidR="00440B3E" w:rsidRPr="00CB2DE6">
          <w:rPr>
            <w:rFonts w:ascii="Times New Roman" w:hAnsi="Times New Roman" w:cs="Times New Roman"/>
            <w:sz w:val="24"/>
            <w:szCs w:val="24"/>
          </w:rPr>
          <w:t>Dacorogna</w:t>
        </w:r>
      </w:hyperlink>
      <w:r w:rsidR="00440B3E" w:rsidRPr="00CB2DE6">
        <w:rPr>
          <w:rFonts w:ascii="Times New Roman" w:hAnsi="Times New Roman" w:cs="Times New Roman"/>
          <w:sz w:val="24"/>
          <w:szCs w:val="24"/>
        </w:rPr>
        <w:t xml:space="preserve">, </w:t>
      </w:r>
      <w:hyperlink r:id="rId13" w:history="1">
        <w:r w:rsidR="00440B3E" w:rsidRPr="00CB2DE6">
          <w:rPr>
            <w:rFonts w:ascii="Times New Roman" w:hAnsi="Times New Roman" w:cs="Times New Roman"/>
            <w:sz w:val="24"/>
            <w:szCs w:val="24"/>
          </w:rPr>
          <w:t>Davé</w:t>
        </w:r>
      </w:hyperlink>
      <w:r w:rsidR="00440B3E" w:rsidRPr="00CB2DE6">
        <w:rPr>
          <w:rFonts w:ascii="Times New Roman" w:hAnsi="Times New Roman" w:cs="Times New Roman"/>
          <w:sz w:val="24"/>
          <w:szCs w:val="24"/>
        </w:rPr>
        <w:t xml:space="preserve">, </w:t>
      </w:r>
      <w:hyperlink r:id="rId14" w:history="1">
        <w:r w:rsidR="00440B3E" w:rsidRPr="00CB2DE6">
          <w:rPr>
            <w:rFonts w:ascii="Times New Roman" w:hAnsi="Times New Roman" w:cs="Times New Roman"/>
            <w:sz w:val="24"/>
            <w:szCs w:val="24"/>
          </w:rPr>
          <w:t>Olsen</w:t>
        </w:r>
      </w:hyperlink>
      <w:r w:rsidR="00440B3E" w:rsidRPr="00CB2DE6">
        <w:rPr>
          <w:rFonts w:ascii="Times New Roman" w:hAnsi="Times New Roman" w:cs="Times New Roman"/>
          <w:sz w:val="24"/>
          <w:szCs w:val="24"/>
        </w:rPr>
        <w:t xml:space="preserve">, </w:t>
      </w:r>
      <w:hyperlink r:id="rId15" w:history="1">
        <w:r w:rsidR="00440B3E" w:rsidRPr="00CB2DE6">
          <w:rPr>
            <w:rFonts w:ascii="Times New Roman" w:hAnsi="Times New Roman" w:cs="Times New Roman"/>
            <w:sz w:val="24"/>
            <w:szCs w:val="24"/>
          </w:rPr>
          <w:t>Pictet</w:t>
        </w:r>
      </w:hyperlink>
      <w:r w:rsidR="00440B3E" w:rsidRPr="00CB2DE6">
        <w:rPr>
          <w:rFonts w:ascii="Times New Roman" w:hAnsi="Times New Roman" w:cs="Times New Roman"/>
          <w:sz w:val="24"/>
          <w:szCs w:val="24"/>
        </w:rPr>
        <w:t xml:space="preserve">, and </w:t>
      </w:r>
      <w:hyperlink r:id="rId16" w:history="1">
        <w:r w:rsidR="00440B3E" w:rsidRPr="00CB2DE6">
          <w:rPr>
            <w:rFonts w:ascii="Times New Roman" w:hAnsi="Times New Roman" w:cs="Times New Roman"/>
            <w:sz w:val="24"/>
            <w:szCs w:val="24"/>
          </w:rPr>
          <w:t>Weizsäcker</w:t>
        </w:r>
      </w:hyperlink>
      <w:r w:rsidR="00440B3E" w:rsidRPr="00CB2DE6">
        <w:rPr>
          <w:rFonts w:ascii="Times New Roman" w:hAnsi="Times New Roman" w:cs="Times New Roman"/>
          <w:sz w:val="24"/>
          <w:szCs w:val="24"/>
        </w:rPr>
        <w:t xml:space="preserve"> </w:t>
      </w:r>
      <w:r w:rsidRPr="00CB2DE6">
        <w:rPr>
          <w:rFonts w:ascii="Times New Roman" w:hAnsi="Times New Roman" w:cs="Times New Roman"/>
          <w:sz w:val="24"/>
          <w:szCs w:val="24"/>
        </w:rPr>
        <w:t>(1997) argue that different degrees of persistence of volatility are driven by the heterogeneity of news arrival process or investors’ investment horizons. Others suggest that investors’ sensitivity to new information is time-varying</w:t>
      </w:r>
      <w:r w:rsidR="00047B1B" w:rsidRPr="00CB2DE6">
        <w:rPr>
          <w:rFonts w:ascii="Times New Roman" w:hAnsi="Times New Roman" w:cs="Times New Roman"/>
          <w:sz w:val="24"/>
          <w:szCs w:val="24"/>
        </w:rPr>
        <w:t>,</w:t>
      </w:r>
      <w:r w:rsidRPr="00CB2DE6">
        <w:rPr>
          <w:rFonts w:ascii="Times New Roman" w:hAnsi="Times New Roman" w:cs="Times New Roman"/>
          <w:sz w:val="24"/>
          <w:szCs w:val="24"/>
        </w:rPr>
        <w:t xml:space="preserve"> which leads to a separate source of randomness (Liesenfeld</w:t>
      </w:r>
      <w:r w:rsidR="004725C8" w:rsidRPr="00CB2DE6">
        <w:rPr>
          <w:rFonts w:ascii="Times New Roman" w:hAnsi="Times New Roman" w:cs="Times New Roman"/>
          <w:sz w:val="24"/>
          <w:szCs w:val="24"/>
        </w:rPr>
        <w:t xml:space="preserve"> (</w:t>
      </w:r>
      <w:r w:rsidRPr="00CB2DE6">
        <w:rPr>
          <w:rFonts w:ascii="Times New Roman" w:hAnsi="Times New Roman" w:cs="Times New Roman"/>
          <w:sz w:val="24"/>
          <w:szCs w:val="24"/>
        </w:rPr>
        <w:t>2001</w:t>
      </w:r>
      <w:r w:rsidR="004725C8" w:rsidRPr="00CB2DE6">
        <w:rPr>
          <w:rFonts w:ascii="Times New Roman" w:hAnsi="Times New Roman" w:cs="Times New Roman"/>
          <w:sz w:val="24"/>
          <w:szCs w:val="24"/>
        </w:rPr>
        <w:t>)</w:t>
      </w:r>
      <w:r w:rsidRPr="00CB2DE6">
        <w:rPr>
          <w:rFonts w:ascii="Times New Roman" w:hAnsi="Times New Roman" w:cs="Times New Roman"/>
          <w:sz w:val="24"/>
          <w:szCs w:val="24"/>
        </w:rPr>
        <w:t>) and short-</w:t>
      </w:r>
      <w:r w:rsidR="00170887" w:rsidRPr="00CB2DE6">
        <w:rPr>
          <w:rFonts w:ascii="Times New Roman" w:hAnsi="Times New Roman" w:cs="Times New Roman"/>
          <w:sz w:val="24"/>
          <w:szCs w:val="24"/>
        </w:rPr>
        <w:t>run</w:t>
      </w:r>
      <w:r w:rsidRPr="00CB2DE6">
        <w:rPr>
          <w:rFonts w:ascii="Times New Roman" w:hAnsi="Times New Roman" w:cs="Times New Roman"/>
          <w:sz w:val="24"/>
          <w:szCs w:val="24"/>
        </w:rPr>
        <w:t xml:space="preserve"> volatility effects can be dominating over certain periods of time because of extreme market movements, </w:t>
      </w:r>
      <w:r w:rsidR="00464BBF" w:rsidRPr="00CB2DE6">
        <w:rPr>
          <w:rFonts w:ascii="Times New Roman" w:hAnsi="Times New Roman" w:cs="Times New Roman"/>
          <w:sz w:val="24"/>
          <w:szCs w:val="24"/>
        </w:rPr>
        <w:t xml:space="preserve">heterogeneous market participants, and </w:t>
      </w:r>
      <w:r w:rsidRPr="00CB2DE6">
        <w:rPr>
          <w:rFonts w:ascii="Times New Roman" w:hAnsi="Times New Roman" w:cs="Times New Roman"/>
          <w:sz w:val="24"/>
          <w:szCs w:val="24"/>
        </w:rPr>
        <w:t>transitory market regulations (MacKinlay and Park</w:t>
      </w:r>
      <w:r w:rsidR="004725C8" w:rsidRPr="00CB2DE6">
        <w:rPr>
          <w:rFonts w:ascii="Times New Roman" w:hAnsi="Times New Roman" w:cs="Times New Roman"/>
          <w:sz w:val="24"/>
          <w:szCs w:val="24"/>
        </w:rPr>
        <w:t xml:space="preserve"> (</w:t>
      </w:r>
      <w:r w:rsidRPr="00CB2DE6">
        <w:rPr>
          <w:rFonts w:ascii="Times New Roman" w:hAnsi="Times New Roman" w:cs="Times New Roman"/>
          <w:sz w:val="24"/>
          <w:szCs w:val="24"/>
        </w:rPr>
        <w:t>2004)</w:t>
      </w:r>
      <w:r w:rsidR="004725C8" w:rsidRPr="00CB2DE6">
        <w:rPr>
          <w:rFonts w:ascii="Times New Roman" w:hAnsi="Times New Roman" w:cs="Times New Roman"/>
          <w:sz w:val="24"/>
          <w:szCs w:val="24"/>
        </w:rPr>
        <w:t>)</w:t>
      </w:r>
      <w:r w:rsidRPr="00CB2DE6">
        <w:rPr>
          <w:rFonts w:ascii="Times New Roman" w:hAnsi="Times New Roman" w:cs="Times New Roman"/>
          <w:sz w:val="24"/>
          <w:szCs w:val="24"/>
        </w:rPr>
        <w:t xml:space="preserve">. The common theme of </w:t>
      </w:r>
      <w:r w:rsidR="007F19FC" w:rsidRPr="00CB2DE6">
        <w:rPr>
          <w:rFonts w:ascii="Times New Roman" w:hAnsi="Times New Roman" w:cs="Times New Roman"/>
          <w:sz w:val="24"/>
          <w:szCs w:val="24"/>
        </w:rPr>
        <w:t xml:space="preserve">the findings recorded in </w:t>
      </w:r>
      <w:r w:rsidRPr="00CB2DE6">
        <w:rPr>
          <w:rFonts w:ascii="Times New Roman" w:hAnsi="Times New Roman" w:cs="Times New Roman"/>
          <w:sz w:val="24"/>
          <w:szCs w:val="24"/>
        </w:rPr>
        <w:t>th</w:t>
      </w:r>
      <w:r w:rsidR="007F19FC" w:rsidRPr="00CB2DE6">
        <w:rPr>
          <w:rFonts w:ascii="Times New Roman" w:hAnsi="Times New Roman" w:cs="Times New Roman"/>
          <w:sz w:val="24"/>
          <w:szCs w:val="24"/>
        </w:rPr>
        <w:t>ese</w:t>
      </w:r>
      <w:r w:rsidRPr="00CB2DE6">
        <w:rPr>
          <w:rFonts w:ascii="Times New Roman" w:hAnsi="Times New Roman" w:cs="Times New Roman"/>
          <w:sz w:val="24"/>
          <w:szCs w:val="24"/>
        </w:rPr>
        <w:t xml:space="preserve"> studies is that </w:t>
      </w:r>
      <w:r w:rsidR="009F4DDA">
        <w:rPr>
          <w:rFonts w:ascii="Times New Roman" w:hAnsi="Times New Roman" w:cs="Times New Roman"/>
          <w:sz w:val="24"/>
          <w:szCs w:val="24"/>
        </w:rPr>
        <w:t xml:space="preserve">empirical </w:t>
      </w:r>
      <w:r w:rsidRPr="00CB2DE6">
        <w:rPr>
          <w:rFonts w:ascii="Times New Roman" w:hAnsi="Times New Roman" w:cs="Times New Roman"/>
          <w:sz w:val="24"/>
          <w:szCs w:val="24"/>
        </w:rPr>
        <w:t>investigation</w:t>
      </w:r>
      <w:r w:rsidR="009F4DDA">
        <w:rPr>
          <w:rFonts w:ascii="Times New Roman" w:hAnsi="Times New Roman" w:cs="Times New Roman"/>
          <w:sz w:val="24"/>
          <w:szCs w:val="24"/>
        </w:rPr>
        <w:t>s</w:t>
      </w:r>
      <w:r w:rsidRPr="00CB2DE6">
        <w:rPr>
          <w:rFonts w:ascii="Times New Roman" w:hAnsi="Times New Roman" w:cs="Times New Roman"/>
          <w:sz w:val="24"/>
          <w:szCs w:val="24"/>
        </w:rPr>
        <w:t xml:space="preserve"> of the asset returns volatility should be carried out using models with multiple factors.</w:t>
      </w:r>
      <w:r w:rsidR="0027119B" w:rsidRPr="00CB2DE6">
        <w:rPr>
          <w:rFonts w:ascii="Times New Roman" w:hAnsi="Times New Roman" w:cs="Times New Roman"/>
          <w:sz w:val="24"/>
          <w:szCs w:val="24"/>
        </w:rPr>
        <w:t xml:space="preserve"> </w:t>
      </w:r>
      <w:r w:rsidR="00273853" w:rsidRPr="00CB2DE6">
        <w:rPr>
          <w:rFonts w:ascii="Times New Roman" w:hAnsi="Times New Roman" w:cs="Times New Roman"/>
          <w:sz w:val="24"/>
          <w:szCs w:val="24"/>
        </w:rPr>
        <w:t>In line with</w:t>
      </w:r>
      <w:r w:rsidR="0027119B" w:rsidRPr="00CB2DE6">
        <w:rPr>
          <w:rFonts w:ascii="Times New Roman" w:hAnsi="Times New Roman" w:cs="Times New Roman"/>
          <w:sz w:val="24"/>
          <w:szCs w:val="24"/>
        </w:rPr>
        <w:t xml:space="preserve"> </w:t>
      </w:r>
      <w:r w:rsidR="00034F02" w:rsidRPr="00CB2DE6">
        <w:rPr>
          <w:rFonts w:ascii="Times New Roman" w:hAnsi="Times New Roman" w:cs="Times New Roman"/>
          <w:sz w:val="24"/>
          <w:szCs w:val="24"/>
        </w:rPr>
        <w:t xml:space="preserve">this </w:t>
      </w:r>
      <w:r w:rsidR="0027119B" w:rsidRPr="00CB2DE6">
        <w:rPr>
          <w:rFonts w:ascii="Times New Roman" w:hAnsi="Times New Roman" w:cs="Times New Roman"/>
          <w:sz w:val="24"/>
          <w:szCs w:val="24"/>
        </w:rPr>
        <w:t xml:space="preserve">prescription, Adrian and </w:t>
      </w:r>
      <w:r w:rsidR="004725C8" w:rsidRPr="00CB2DE6">
        <w:rPr>
          <w:rFonts w:ascii="Times New Roman" w:hAnsi="Times New Roman" w:cs="Times New Roman"/>
          <w:sz w:val="24"/>
          <w:szCs w:val="24"/>
        </w:rPr>
        <w:t>Rosenberg</w:t>
      </w:r>
      <w:r w:rsidR="0027119B" w:rsidRPr="00CB2DE6">
        <w:rPr>
          <w:rFonts w:ascii="Times New Roman" w:hAnsi="Times New Roman" w:cs="Times New Roman"/>
          <w:sz w:val="24"/>
          <w:szCs w:val="24"/>
        </w:rPr>
        <w:t xml:space="preserve"> (2008) investigate the cross-sectional pricing </w:t>
      </w:r>
      <w:r w:rsidR="00464BBF" w:rsidRPr="00CB2DE6">
        <w:rPr>
          <w:rFonts w:ascii="Times New Roman" w:hAnsi="Times New Roman" w:cs="Times New Roman"/>
          <w:sz w:val="24"/>
          <w:szCs w:val="24"/>
        </w:rPr>
        <w:t xml:space="preserve">ability </w:t>
      </w:r>
      <w:r w:rsidR="0027119B" w:rsidRPr="00CB2DE6">
        <w:rPr>
          <w:rFonts w:ascii="Times New Roman" w:hAnsi="Times New Roman" w:cs="Times New Roman"/>
          <w:sz w:val="24"/>
          <w:szCs w:val="24"/>
        </w:rPr>
        <w:t xml:space="preserve">of volatility risk by decomposing </w:t>
      </w:r>
      <w:r w:rsidR="00A374A5">
        <w:rPr>
          <w:rFonts w:ascii="Times New Roman" w:hAnsi="Times New Roman" w:cs="Times New Roman"/>
          <w:sz w:val="24"/>
          <w:szCs w:val="24"/>
        </w:rPr>
        <w:t xml:space="preserve">the </w:t>
      </w:r>
      <w:r w:rsidR="0027119B" w:rsidRPr="00CB2DE6">
        <w:rPr>
          <w:rFonts w:ascii="Times New Roman" w:hAnsi="Times New Roman" w:cs="Times New Roman"/>
          <w:sz w:val="24"/>
          <w:szCs w:val="24"/>
        </w:rPr>
        <w:t xml:space="preserve">US equity market volatility into </w:t>
      </w:r>
      <w:r w:rsidR="00034F02" w:rsidRPr="00CB2DE6">
        <w:rPr>
          <w:rFonts w:ascii="Times New Roman" w:hAnsi="Times New Roman" w:cs="Times New Roman"/>
          <w:sz w:val="24"/>
          <w:szCs w:val="24"/>
        </w:rPr>
        <w:t>short- and long-run components</w:t>
      </w:r>
      <w:r w:rsidR="00DA3595" w:rsidRPr="00CB2DE6">
        <w:rPr>
          <w:rFonts w:ascii="Times New Roman" w:hAnsi="Times New Roman" w:cs="Times New Roman"/>
          <w:sz w:val="24"/>
          <w:szCs w:val="24"/>
        </w:rPr>
        <w:t xml:space="preserve">. The authors </w:t>
      </w:r>
      <w:r w:rsidR="00034F02" w:rsidRPr="00CB2DE6">
        <w:rPr>
          <w:rFonts w:ascii="Times New Roman" w:hAnsi="Times New Roman" w:cs="Times New Roman"/>
          <w:sz w:val="24"/>
          <w:szCs w:val="24"/>
        </w:rPr>
        <w:t xml:space="preserve">find that both components are </w:t>
      </w:r>
      <w:r w:rsidR="00464BBF" w:rsidRPr="00CB2DE6">
        <w:rPr>
          <w:rFonts w:ascii="Times New Roman" w:hAnsi="Times New Roman" w:cs="Times New Roman"/>
          <w:sz w:val="24"/>
          <w:szCs w:val="24"/>
        </w:rPr>
        <w:t xml:space="preserve">significant </w:t>
      </w:r>
      <w:r w:rsidR="00034F02" w:rsidRPr="00CB2DE6">
        <w:rPr>
          <w:rFonts w:ascii="Times New Roman" w:hAnsi="Times New Roman" w:cs="Times New Roman"/>
          <w:sz w:val="24"/>
          <w:szCs w:val="24"/>
        </w:rPr>
        <w:t>priced factors and their proposed model compares favourably against existing benchmark models.</w:t>
      </w:r>
    </w:p>
    <w:p w:rsidR="00034F02" w:rsidRPr="00CB2DE6" w:rsidRDefault="00CA7E93" w:rsidP="00034F02">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In this </w:t>
      </w:r>
      <w:r w:rsidR="007F19FC" w:rsidRPr="00CB2DE6">
        <w:rPr>
          <w:rFonts w:ascii="Times New Roman" w:hAnsi="Times New Roman" w:cs="Times New Roman"/>
          <w:sz w:val="24"/>
          <w:szCs w:val="24"/>
        </w:rPr>
        <w:t>paper</w:t>
      </w:r>
      <w:r w:rsidRPr="00CB2DE6">
        <w:rPr>
          <w:rFonts w:ascii="Times New Roman" w:hAnsi="Times New Roman" w:cs="Times New Roman"/>
          <w:sz w:val="24"/>
          <w:szCs w:val="24"/>
        </w:rPr>
        <w:t xml:space="preserve">, we </w:t>
      </w:r>
      <w:r w:rsidR="007F19FC" w:rsidRPr="00CB2DE6">
        <w:rPr>
          <w:rFonts w:ascii="Times New Roman" w:hAnsi="Times New Roman" w:cs="Times New Roman"/>
          <w:sz w:val="24"/>
          <w:szCs w:val="24"/>
        </w:rPr>
        <w:t xml:space="preserve">combine these two separate literatures and, building upon </w:t>
      </w:r>
      <w:r w:rsidR="00034F02" w:rsidRPr="00CB2DE6">
        <w:rPr>
          <w:rFonts w:ascii="Times New Roman" w:hAnsi="Times New Roman" w:cs="Times New Roman"/>
          <w:sz w:val="24"/>
          <w:szCs w:val="24"/>
        </w:rPr>
        <w:t xml:space="preserve">Adrian and </w:t>
      </w:r>
      <w:r w:rsidR="004725C8" w:rsidRPr="00CB2DE6">
        <w:rPr>
          <w:rFonts w:ascii="Times New Roman" w:hAnsi="Times New Roman" w:cs="Times New Roman"/>
          <w:sz w:val="24"/>
          <w:szCs w:val="24"/>
        </w:rPr>
        <w:t>Rosenberg</w:t>
      </w:r>
      <w:r w:rsidR="00034F02" w:rsidRPr="00CB2DE6">
        <w:rPr>
          <w:rFonts w:ascii="Times New Roman" w:hAnsi="Times New Roman" w:cs="Times New Roman"/>
          <w:sz w:val="24"/>
          <w:szCs w:val="24"/>
        </w:rPr>
        <w:t xml:space="preserve"> (2008) and </w:t>
      </w:r>
      <w:r w:rsidR="007F19FC" w:rsidRPr="00CB2DE6">
        <w:rPr>
          <w:rFonts w:ascii="Times New Roman" w:hAnsi="Times New Roman" w:cs="Times New Roman"/>
          <w:sz w:val="24"/>
          <w:szCs w:val="24"/>
        </w:rPr>
        <w:t xml:space="preserve">Menkhoff, Sarno, Schmeling, and Schrimpf (2012), we </w:t>
      </w:r>
      <w:r w:rsidR="003D7D54" w:rsidRPr="00CB2DE6">
        <w:rPr>
          <w:rFonts w:ascii="Times New Roman" w:hAnsi="Times New Roman" w:cs="Times New Roman"/>
          <w:sz w:val="24"/>
          <w:szCs w:val="24"/>
        </w:rPr>
        <w:t>explore</w:t>
      </w:r>
      <w:r w:rsidR="007F19FC" w:rsidRPr="00CB2DE6">
        <w:rPr>
          <w:rFonts w:ascii="Times New Roman" w:hAnsi="Times New Roman" w:cs="Times New Roman"/>
          <w:sz w:val="24"/>
          <w:szCs w:val="24"/>
        </w:rPr>
        <w:t xml:space="preserve"> the asset pricing power of </w:t>
      </w:r>
      <w:r w:rsidR="00DA3595" w:rsidRPr="00CB2DE6">
        <w:rPr>
          <w:rFonts w:ascii="Times New Roman" w:hAnsi="Times New Roman" w:cs="Times New Roman"/>
          <w:sz w:val="24"/>
          <w:szCs w:val="24"/>
        </w:rPr>
        <w:t>the short</w:t>
      </w:r>
      <w:r w:rsidR="007F19FC" w:rsidRPr="00CB2DE6">
        <w:rPr>
          <w:rFonts w:ascii="Times New Roman" w:hAnsi="Times New Roman" w:cs="Times New Roman"/>
          <w:sz w:val="24"/>
          <w:szCs w:val="24"/>
        </w:rPr>
        <w:t>-</w:t>
      </w:r>
      <w:r w:rsidR="00DA3595" w:rsidRPr="00CB2DE6">
        <w:rPr>
          <w:rFonts w:ascii="Times New Roman" w:hAnsi="Times New Roman" w:cs="Times New Roman"/>
          <w:sz w:val="24"/>
          <w:szCs w:val="24"/>
        </w:rPr>
        <w:t xml:space="preserve"> </w:t>
      </w:r>
      <w:r w:rsidR="007F19FC" w:rsidRPr="00CB2DE6">
        <w:rPr>
          <w:rFonts w:ascii="Times New Roman" w:hAnsi="Times New Roman" w:cs="Times New Roman"/>
          <w:sz w:val="24"/>
          <w:szCs w:val="24"/>
        </w:rPr>
        <w:t xml:space="preserve">and </w:t>
      </w:r>
      <w:r w:rsidR="00DA3595" w:rsidRPr="00CB2DE6">
        <w:rPr>
          <w:rFonts w:ascii="Times New Roman" w:hAnsi="Times New Roman" w:cs="Times New Roman"/>
          <w:sz w:val="24"/>
          <w:szCs w:val="24"/>
        </w:rPr>
        <w:t>long</w:t>
      </w:r>
      <w:r w:rsidR="007F19FC" w:rsidRPr="00CB2DE6">
        <w:rPr>
          <w:rFonts w:ascii="Times New Roman" w:hAnsi="Times New Roman" w:cs="Times New Roman"/>
          <w:sz w:val="24"/>
          <w:szCs w:val="24"/>
        </w:rPr>
        <w:t>-</w:t>
      </w:r>
      <w:r w:rsidR="00170887" w:rsidRPr="00CB2DE6">
        <w:rPr>
          <w:rFonts w:ascii="Times New Roman" w:hAnsi="Times New Roman" w:cs="Times New Roman"/>
          <w:sz w:val="24"/>
          <w:szCs w:val="24"/>
        </w:rPr>
        <w:t>run</w:t>
      </w:r>
      <w:r w:rsidR="007F19FC" w:rsidRPr="00CB2DE6">
        <w:rPr>
          <w:rFonts w:ascii="Times New Roman" w:hAnsi="Times New Roman" w:cs="Times New Roman"/>
          <w:sz w:val="24"/>
          <w:szCs w:val="24"/>
        </w:rPr>
        <w:t xml:space="preserve"> </w:t>
      </w:r>
      <w:r w:rsidR="0009653C" w:rsidRPr="00CB2DE6">
        <w:rPr>
          <w:rFonts w:ascii="Times New Roman" w:hAnsi="Times New Roman" w:cs="Times New Roman"/>
          <w:sz w:val="24"/>
          <w:szCs w:val="24"/>
        </w:rPr>
        <w:t xml:space="preserve">components of </w:t>
      </w:r>
      <w:r w:rsidR="007F19FC" w:rsidRPr="00CB2DE6">
        <w:rPr>
          <w:rFonts w:ascii="Times New Roman" w:hAnsi="Times New Roman" w:cs="Times New Roman"/>
          <w:sz w:val="24"/>
          <w:szCs w:val="24"/>
        </w:rPr>
        <w:t xml:space="preserve">global FX volatility </w:t>
      </w:r>
      <w:r w:rsidR="002E202C">
        <w:rPr>
          <w:rFonts w:ascii="Times New Roman" w:hAnsi="Times New Roman" w:cs="Times New Roman"/>
          <w:sz w:val="24"/>
          <w:szCs w:val="24"/>
        </w:rPr>
        <w:t xml:space="preserve">in </w:t>
      </w:r>
      <w:r w:rsidR="007F19FC" w:rsidRPr="00CB2DE6">
        <w:rPr>
          <w:rFonts w:ascii="Times New Roman" w:hAnsi="Times New Roman" w:cs="Times New Roman"/>
          <w:sz w:val="24"/>
          <w:szCs w:val="24"/>
        </w:rPr>
        <w:t>the cross-section of carry trade returns.</w:t>
      </w:r>
      <w:r w:rsidRPr="00CB2DE6">
        <w:rPr>
          <w:rFonts w:ascii="Times New Roman" w:hAnsi="Times New Roman" w:cs="Times New Roman"/>
          <w:sz w:val="24"/>
          <w:szCs w:val="24"/>
        </w:rPr>
        <w:t xml:space="preserve"> The rationale</w:t>
      </w:r>
      <w:r w:rsidR="007F19FC" w:rsidRPr="00CB2DE6">
        <w:rPr>
          <w:rFonts w:ascii="Times New Roman" w:hAnsi="Times New Roman" w:cs="Times New Roman"/>
          <w:sz w:val="24"/>
          <w:szCs w:val="24"/>
        </w:rPr>
        <w:t xml:space="preserve"> for this </w:t>
      </w:r>
      <w:r w:rsidR="003D7D54" w:rsidRPr="00CB2DE6">
        <w:rPr>
          <w:rFonts w:ascii="Times New Roman" w:hAnsi="Times New Roman" w:cs="Times New Roman"/>
          <w:sz w:val="24"/>
          <w:szCs w:val="24"/>
        </w:rPr>
        <w:t>investigation</w:t>
      </w:r>
      <w:r w:rsidRPr="00CB2DE6">
        <w:rPr>
          <w:rFonts w:ascii="Times New Roman" w:hAnsi="Times New Roman" w:cs="Times New Roman"/>
          <w:sz w:val="24"/>
          <w:szCs w:val="24"/>
        </w:rPr>
        <w:t xml:space="preserve"> is that investors in FX markets may not react in the same way to volatility </w:t>
      </w:r>
      <w:r w:rsidR="003D7D54" w:rsidRPr="00CB2DE6">
        <w:rPr>
          <w:rFonts w:ascii="Times New Roman" w:hAnsi="Times New Roman" w:cs="Times New Roman"/>
          <w:sz w:val="24"/>
          <w:szCs w:val="24"/>
        </w:rPr>
        <w:t>shocks</w:t>
      </w:r>
      <w:r w:rsidRPr="00CB2DE6">
        <w:rPr>
          <w:rFonts w:ascii="Times New Roman" w:hAnsi="Times New Roman" w:cs="Times New Roman"/>
          <w:sz w:val="24"/>
          <w:szCs w:val="24"/>
        </w:rPr>
        <w:t xml:space="preserve"> that are expected to be transitory compared to highly persistent ones. </w:t>
      </w:r>
      <w:r w:rsidR="003D7D54" w:rsidRPr="00CB2DE6">
        <w:rPr>
          <w:rFonts w:ascii="Times New Roman" w:hAnsi="Times New Roman" w:cs="Times New Roman"/>
          <w:sz w:val="24"/>
          <w:szCs w:val="24"/>
        </w:rPr>
        <w:t>Hence,</w:t>
      </w:r>
      <w:r w:rsidRPr="00CB2DE6">
        <w:rPr>
          <w:rFonts w:ascii="Times New Roman" w:hAnsi="Times New Roman" w:cs="Times New Roman"/>
          <w:sz w:val="24"/>
          <w:szCs w:val="24"/>
        </w:rPr>
        <w:t xml:space="preserve"> innovations in the short-run component of global FX volatility </w:t>
      </w:r>
      <w:r w:rsidR="007F19FC" w:rsidRPr="00CB2DE6">
        <w:rPr>
          <w:rFonts w:ascii="Times New Roman" w:hAnsi="Times New Roman" w:cs="Times New Roman"/>
          <w:sz w:val="24"/>
          <w:szCs w:val="24"/>
        </w:rPr>
        <w:t>may</w:t>
      </w:r>
      <w:r w:rsidRPr="00CB2DE6">
        <w:rPr>
          <w:rFonts w:ascii="Times New Roman" w:hAnsi="Times New Roman" w:cs="Times New Roman"/>
          <w:sz w:val="24"/>
          <w:szCs w:val="24"/>
        </w:rPr>
        <w:t xml:space="preserve"> carry a price of risk </w:t>
      </w:r>
      <w:r w:rsidR="003D7D54" w:rsidRPr="00CB2DE6">
        <w:rPr>
          <w:rFonts w:ascii="Times New Roman" w:hAnsi="Times New Roman" w:cs="Times New Roman"/>
          <w:sz w:val="24"/>
          <w:szCs w:val="24"/>
        </w:rPr>
        <w:t>significantly different from the one</w:t>
      </w:r>
      <w:r w:rsidRPr="00CB2DE6">
        <w:rPr>
          <w:rFonts w:ascii="Times New Roman" w:hAnsi="Times New Roman" w:cs="Times New Roman"/>
          <w:sz w:val="24"/>
          <w:szCs w:val="24"/>
        </w:rPr>
        <w:t xml:space="preserve"> </w:t>
      </w:r>
      <w:r w:rsidR="003D7D54" w:rsidRPr="00CB2DE6">
        <w:rPr>
          <w:rFonts w:ascii="Times New Roman" w:hAnsi="Times New Roman" w:cs="Times New Roman"/>
          <w:sz w:val="24"/>
          <w:szCs w:val="24"/>
        </w:rPr>
        <w:t>exhibited</w:t>
      </w:r>
      <w:r w:rsidRPr="00CB2DE6">
        <w:rPr>
          <w:rFonts w:ascii="Times New Roman" w:hAnsi="Times New Roman" w:cs="Times New Roman"/>
          <w:sz w:val="24"/>
          <w:szCs w:val="24"/>
        </w:rPr>
        <w:t xml:space="preserve"> by the long-run component. Put differently, each of the</w:t>
      </w:r>
      <w:r w:rsidR="00273853" w:rsidRPr="00CB2DE6">
        <w:rPr>
          <w:rFonts w:ascii="Times New Roman" w:hAnsi="Times New Roman" w:cs="Times New Roman"/>
          <w:sz w:val="24"/>
          <w:szCs w:val="24"/>
        </w:rPr>
        <w:t xml:space="preserve"> two</w:t>
      </w:r>
      <w:r w:rsidRPr="00CB2DE6">
        <w:rPr>
          <w:rFonts w:ascii="Times New Roman" w:hAnsi="Times New Roman" w:cs="Times New Roman"/>
          <w:sz w:val="24"/>
          <w:szCs w:val="24"/>
        </w:rPr>
        <w:t xml:space="preserve"> </w:t>
      </w:r>
      <w:r w:rsidR="003D7D54" w:rsidRPr="00CB2DE6">
        <w:rPr>
          <w:rFonts w:ascii="Times New Roman" w:hAnsi="Times New Roman" w:cs="Times New Roman"/>
          <w:sz w:val="24"/>
          <w:szCs w:val="24"/>
        </w:rPr>
        <w:t xml:space="preserve">volatility </w:t>
      </w:r>
      <w:r w:rsidRPr="00CB2DE6">
        <w:rPr>
          <w:rFonts w:ascii="Times New Roman" w:hAnsi="Times New Roman" w:cs="Times New Roman"/>
          <w:sz w:val="24"/>
          <w:szCs w:val="24"/>
        </w:rPr>
        <w:t xml:space="preserve">components may have its own asset pricing </w:t>
      </w:r>
      <w:r w:rsidR="003D7D54" w:rsidRPr="00CB2DE6">
        <w:rPr>
          <w:rFonts w:ascii="Times New Roman" w:hAnsi="Times New Roman" w:cs="Times New Roman"/>
          <w:sz w:val="24"/>
          <w:szCs w:val="24"/>
        </w:rPr>
        <w:t>effect</w:t>
      </w:r>
      <w:r w:rsidRPr="00CB2DE6">
        <w:rPr>
          <w:rFonts w:ascii="Times New Roman" w:hAnsi="Times New Roman" w:cs="Times New Roman"/>
          <w:sz w:val="24"/>
          <w:szCs w:val="24"/>
        </w:rPr>
        <w:t xml:space="preserve"> depending on whether </w:t>
      </w:r>
      <w:r w:rsidR="00273853" w:rsidRPr="00CB2DE6">
        <w:rPr>
          <w:rFonts w:ascii="Times New Roman" w:hAnsi="Times New Roman" w:cs="Times New Roman"/>
          <w:sz w:val="24"/>
          <w:szCs w:val="24"/>
        </w:rPr>
        <w:t>it</w:t>
      </w:r>
      <w:r w:rsidRPr="00CB2DE6">
        <w:rPr>
          <w:rFonts w:ascii="Times New Roman" w:hAnsi="Times New Roman" w:cs="Times New Roman"/>
          <w:sz w:val="24"/>
          <w:szCs w:val="24"/>
        </w:rPr>
        <w:t xml:space="preserve"> reflect</w:t>
      </w:r>
      <w:r w:rsidR="00273853" w:rsidRPr="00CB2DE6">
        <w:rPr>
          <w:rFonts w:ascii="Times New Roman" w:hAnsi="Times New Roman" w:cs="Times New Roman"/>
          <w:sz w:val="24"/>
          <w:szCs w:val="24"/>
        </w:rPr>
        <w:t>s</w:t>
      </w:r>
      <w:r w:rsidRPr="00CB2DE6">
        <w:rPr>
          <w:rFonts w:ascii="Times New Roman" w:hAnsi="Times New Roman" w:cs="Times New Roman"/>
          <w:sz w:val="24"/>
          <w:szCs w:val="24"/>
        </w:rPr>
        <w:t xml:space="preserve"> improvements or deteriorations </w:t>
      </w:r>
      <w:r w:rsidR="003D7D54" w:rsidRPr="00CB2DE6">
        <w:rPr>
          <w:rFonts w:ascii="Times New Roman" w:hAnsi="Times New Roman" w:cs="Times New Roman"/>
          <w:sz w:val="24"/>
          <w:szCs w:val="24"/>
        </w:rPr>
        <w:t xml:space="preserve">in different aspects of the </w:t>
      </w:r>
      <w:r w:rsidRPr="00CB2DE6">
        <w:rPr>
          <w:rFonts w:ascii="Times New Roman" w:hAnsi="Times New Roman" w:cs="Times New Roman"/>
          <w:sz w:val="24"/>
          <w:szCs w:val="24"/>
        </w:rPr>
        <w:t>investment opportunity set.</w:t>
      </w:r>
      <w:r w:rsidR="00034F02" w:rsidRPr="00CB2DE6">
        <w:rPr>
          <w:rFonts w:ascii="Times New Roman" w:hAnsi="Times New Roman" w:cs="Times New Roman"/>
          <w:sz w:val="24"/>
          <w:szCs w:val="24"/>
        </w:rPr>
        <w:t xml:space="preserve"> </w:t>
      </w:r>
    </w:p>
    <w:p w:rsidR="002064DE" w:rsidRPr="00CB2DE6" w:rsidRDefault="00034F02" w:rsidP="002064DE">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An</w:t>
      </w:r>
      <w:r w:rsidR="00DC1D81" w:rsidRPr="00CB2DE6">
        <w:rPr>
          <w:rFonts w:ascii="Times New Roman" w:hAnsi="Times New Roman" w:cs="Times New Roman"/>
          <w:sz w:val="24"/>
          <w:szCs w:val="24"/>
        </w:rPr>
        <w:t>other important</w:t>
      </w:r>
      <w:r w:rsidR="002E202C">
        <w:rPr>
          <w:rFonts w:ascii="Times New Roman" w:hAnsi="Times New Roman" w:cs="Times New Roman"/>
          <w:sz w:val="24"/>
          <w:szCs w:val="24"/>
        </w:rPr>
        <w:t xml:space="preserve"> goal of this</w:t>
      </w:r>
      <w:r w:rsidRPr="00CB2DE6">
        <w:rPr>
          <w:rFonts w:ascii="Times New Roman" w:hAnsi="Times New Roman" w:cs="Times New Roman"/>
          <w:sz w:val="24"/>
          <w:szCs w:val="24"/>
        </w:rPr>
        <w:t xml:space="preserve"> paper is to explain FX volatility risk in light of variations in macroeconomic conditions. Since the influential paper by Meese and Rogoff (198</w:t>
      </w:r>
      <w:r w:rsidR="004725C8" w:rsidRPr="00CB2DE6">
        <w:rPr>
          <w:rFonts w:ascii="Times New Roman" w:hAnsi="Times New Roman" w:cs="Times New Roman"/>
          <w:sz w:val="24"/>
          <w:szCs w:val="24"/>
        </w:rPr>
        <w:t>3</w:t>
      </w:r>
      <w:r w:rsidRPr="00CB2DE6">
        <w:rPr>
          <w:rFonts w:ascii="Times New Roman" w:hAnsi="Times New Roman" w:cs="Times New Roman"/>
          <w:sz w:val="24"/>
          <w:szCs w:val="24"/>
        </w:rPr>
        <w:t xml:space="preserve">), </w:t>
      </w:r>
      <w:r w:rsidR="00C7450D" w:rsidRPr="00CB2DE6">
        <w:rPr>
          <w:rFonts w:ascii="Times New Roman" w:hAnsi="Times New Roman" w:cs="Times New Roman"/>
          <w:sz w:val="24"/>
          <w:szCs w:val="24"/>
        </w:rPr>
        <w:t>researchers have focused their attention towards explaining the missing link between exchange rate variations and macroeconomic fundamentals. This link has not been fully recovered although recent attempts have recorded some success (see Della Corte, Riddiough</w:t>
      </w:r>
      <w:r w:rsidR="009152E2" w:rsidRPr="00CB2DE6">
        <w:rPr>
          <w:rFonts w:ascii="Times New Roman" w:hAnsi="Times New Roman" w:cs="Times New Roman"/>
          <w:sz w:val="24"/>
          <w:szCs w:val="24"/>
        </w:rPr>
        <w:t>,</w:t>
      </w:r>
      <w:r w:rsidR="00C7450D" w:rsidRPr="00CB2DE6">
        <w:rPr>
          <w:rFonts w:ascii="Times New Roman" w:hAnsi="Times New Roman" w:cs="Times New Roman"/>
          <w:sz w:val="24"/>
          <w:szCs w:val="24"/>
        </w:rPr>
        <w:t xml:space="preserve"> and Sarno</w:t>
      </w:r>
      <w:r w:rsidR="004725C8" w:rsidRPr="00CB2DE6">
        <w:rPr>
          <w:rFonts w:ascii="Times New Roman" w:hAnsi="Times New Roman" w:cs="Times New Roman"/>
          <w:sz w:val="24"/>
          <w:szCs w:val="24"/>
        </w:rPr>
        <w:t xml:space="preserve"> </w:t>
      </w:r>
      <w:r w:rsidR="004725C8" w:rsidRPr="00CB2DE6">
        <w:rPr>
          <w:rFonts w:ascii="Times New Roman" w:hAnsi="Times New Roman" w:cs="Times New Roman"/>
          <w:sz w:val="24"/>
          <w:szCs w:val="24"/>
        </w:rPr>
        <w:lastRenderedPageBreak/>
        <w:t>(</w:t>
      </w:r>
      <w:r w:rsidR="00C7450D" w:rsidRPr="00CB2DE6">
        <w:rPr>
          <w:rFonts w:ascii="Times New Roman" w:hAnsi="Times New Roman" w:cs="Times New Roman"/>
          <w:sz w:val="24"/>
          <w:szCs w:val="24"/>
        </w:rPr>
        <w:t>2014</w:t>
      </w:r>
      <w:r w:rsidR="004725C8" w:rsidRPr="00CB2DE6">
        <w:rPr>
          <w:rFonts w:ascii="Times New Roman" w:hAnsi="Times New Roman" w:cs="Times New Roman"/>
          <w:sz w:val="24"/>
          <w:szCs w:val="24"/>
        </w:rPr>
        <w:t>)</w:t>
      </w:r>
      <w:r w:rsidR="00C7450D" w:rsidRPr="00CB2DE6">
        <w:rPr>
          <w:rFonts w:ascii="Times New Roman" w:hAnsi="Times New Roman" w:cs="Times New Roman"/>
          <w:sz w:val="24"/>
          <w:szCs w:val="24"/>
        </w:rPr>
        <w:t xml:space="preserve"> and the references therein). The study by Menkhoff, Sarno, Schmeling, and Schrimpf (2012) is certainly successful in explaining the cross-section of carry trade returns</w:t>
      </w:r>
      <w:r w:rsidR="00273853" w:rsidRPr="00CB2DE6">
        <w:rPr>
          <w:rFonts w:ascii="Times New Roman" w:hAnsi="Times New Roman" w:cs="Times New Roman"/>
          <w:sz w:val="24"/>
          <w:szCs w:val="24"/>
        </w:rPr>
        <w:t>.</w:t>
      </w:r>
      <w:r w:rsidR="00C7450D" w:rsidRPr="00CB2DE6">
        <w:rPr>
          <w:rFonts w:ascii="Times New Roman" w:hAnsi="Times New Roman" w:cs="Times New Roman"/>
          <w:sz w:val="24"/>
          <w:szCs w:val="24"/>
        </w:rPr>
        <w:t xml:space="preserve"> </w:t>
      </w:r>
      <w:r w:rsidR="00273853" w:rsidRPr="00CB2DE6">
        <w:rPr>
          <w:rFonts w:ascii="Times New Roman" w:hAnsi="Times New Roman" w:cs="Times New Roman"/>
          <w:sz w:val="24"/>
          <w:szCs w:val="24"/>
        </w:rPr>
        <w:t>H</w:t>
      </w:r>
      <w:r w:rsidR="00C7450D" w:rsidRPr="00CB2DE6">
        <w:rPr>
          <w:rFonts w:ascii="Times New Roman" w:hAnsi="Times New Roman" w:cs="Times New Roman"/>
          <w:sz w:val="24"/>
          <w:szCs w:val="24"/>
        </w:rPr>
        <w:t xml:space="preserve">owever, it is </w:t>
      </w:r>
      <w:r w:rsidR="00667BC7" w:rsidRPr="00CB2DE6">
        <w:rPr>
          <w:rFonts w:ascii="Times New Roman" w:hAnsi="Times New Roman" w:cs="Times New Roman"/>
          <w:sz w:val="24"/>
          <w:szCs w:val="24"/>
        </w:rPr>
        <w:t xml:space="preserve">silent </w:t>
      </w:r>
      <w:r w:rsidR="00C7450D" w:rsidRPr="00CB2DE6">
        <w:rPr>
          <w:rFonts w:ascii="Times New Roman" w:hAnsi="Times New Roman" w:cs="Times New Roman"/>
          <w:sz w:val="24"/>
          <w:szCs w:val="24"/>
        </w:rPr>
        <w:t xml:space="preserve">about any </w:t>
      </w:r>
      <w:r w:rsidR="003151F7" w:rsidRPr="00CB2DE6">
        <w:rPr>
          <w:rFonts w:ascii="Times New Roman" w:hAnsi="Times New Roman" w:cs="Times New Roman"/>
          <w:sz w:val="24"/>
          <w:szCs w:val="24"/>
        </w:rPr>
        <w:t xml:space="preserve">potential </w:t>
      </w:r>
      <w:r w:rsidR="00C7450D" w:rsidRPr="00CB2DE6">
        <w:rPr>
          <w:rFonts w:ascii="Times New Roman" w:hAnsi="Times New Roman" w:cs="Times New Roman"/>
          <w:sz w:val="24"/>
          <w:szCs w:val="24"/>
        </w:rPr>
        <w:t xml:space="preserve">links between volatility risk and macroeconomic fundamentals. Furthermore, Burnside, Eichenbaum, Kleshchelski, and Rebelo (2011) and Burnside (2012) show that, in the context of FX markets, proxies for business cycle risk </w:t>
      </w:r>
      <w:r w:rsidR="00273853" w:rsidRPr="00CB2DE6">
        <w:rPr>
          <w:rFonts w:ascii="Times New Roman" w:hAnsi="Times New Roman" w:cs="Times New Roman"/>
          <w:sz w:val="24"/>
          <w:szCs w:val="24"/>
        </w:rPr>
        <w:t>have</w:t>
      </w:r>
      <w:r w:rsidR="00C7450D" w:rsidRPr="00CB2DE6">
        <w:rPr>
          <w:rFonts w:ascii="Times New Roman" w:hAnsi="Times New Roman" w:cs="Times New Roman"/>
          <w:sz w:val="24"/>
          <w:szCs w:val="24"/>
        </w:rPr>
        <w:t xml:space="preserve"> no significant covariation with carry trade payoffs. Given the large body of evidence relating FX movements to macroeconomic news (</w:t>
      </w:r>
      <w:r w:rsidR="00273853" w:rsidRPr="00CB2DE6">
        <w:rPr>
          <w:rFonts w:ascii="Times New Roman" w:hAnsi="Times New Roman" w:cs="Times New Roman"/>
          <w:sz w:val="24"/>
          <w:szCs w:val="24"/>
        </w:rPr>
        <w:t>see</w:t>
      </w:r>
      <w:r w:rsidR="00667BC7" w:rsidRPr="00CB2DE6">
        <w:rPr>
          <w:rFonts w:ascii="Times New Roman" w:hAnsi="Times New Roman" w:cs="Times New Roman"/>
          <w:sz w:val="24"/>
          <w:szCs w:val="24"/>
        </w:rPr>
        <w:t>,</w:t>
      </w:r>
      <w:r w:rsidR="00273853" w:rsidRPr="00CB2DE6">
        <w:rPr>
          <w:rFonts w:ascii="Times New Roman" w:hAnsi="Times New Roman" w:cs="Times New Roman"/>
          <w:sz w:val="24"/>
          <w:szCs w:val="24"/>
        </w:rPr>
        <w:t xml:space="preserve"> among others, </w:t>
      </w:r>
      <w:r w:rsidR="00C7450D" w:rsidRPr="00CB2DE6">
        <w:rPr>
          <w:rFonts w:ascii="Times New Roman" w:hAnsi="Times New Roman" w:cs="Times New Roman"/>
          <w:sz w:val="24"/>
          <w:szCs w:val="24"/>
        </w:rPr>
        <w:t>Andersen and Bollerslev</w:t>
      </w:r>
      <w:r w:rsidR="004725C8" w:rsidRPr="00CB2DE6">
        <w:rPr>
          <w:rFonts w:ascii="Times New Roman" w:hAnsi="Times New Roman" w:cs="Times New Roman"/>
          <w:sz w:val="24"/>
          <w:szCs w:val="24"/>
        </w:rPr>
        <w:t xml:space="preserve"> (</w:t>
      </w:r>
      <w:r w:rsidR="00C7450D" w:rsidRPr="00CB2DE6">
        <w:rPr>
          <w:rFonts w:ascii="Times New Roman" w:hAnsi="Times New Roman" w:cs="Times New Roman"/>
          <w:sz w:val="24"/>
          <w:szCs w:val="24"/>
        </w:rPr>
        <w:t>1998</w:t>
      </w:r>
      <w:r w:rsidR="004725C8" w:rsidRPr="00CB2DE6">
        <w:rPr>
          <w:rFonts w:ascii="Times New Roman" w:hAnsi="Times New Roman" w:cs="Times New Roman"/>
          <w:sz w:val="24"/>
          <w:szCs w:val="24"/>
        </w:rPr>
        <w:t xml:space="preserve">), </w:t>
      </w:r>
      <w:r w:rsidR="00C7450D" w:rsidRPr="00CB2DE6">
        <w:rPr>
          <w:rFonts w:ascii="Times New Roman" w:hAnsi="Times New Roman" w:cs="Times New Roman"/>
          <w:sz w:val="24"/>
          <w:szCs w:val="24"/>
        </w:rPr>
        <w:t>Andersen, Bollerslev, Diebold, and Vega</w:t>
      </w:r>
      <w:r w:rsidR="004725C8" w:rsidRPr="00CB2DE6">
        <w:rPr>
          <w:rFonts w:ascii="Times New Roman" w:hAnsi="Times New Roman" w:cs="Times New Roman"/>
          <w:sz w:val="24"/>
          <w:szCs w:val="24"/>
        </w:rPr>
        <w:t xml:space="preserve"> (</w:t>
      </w:r>
      <w:r w:rsidR="00C7450D" w:rsidRPr="00CB2DE6">
        <w:rPr>
          <w:rFonts w:ascii="Times New Roman" w:hAnsi="Times New Roman" w:cs="Times New Roman"/>
          <w:sz w:val="24"/>
          <w:szCs w:val="24"/>
        </w:rPr>
        <w:t>2003</w:t>
      </w:r>
      <w:r w:rsidR="004725C8" w:rsidRPr="00CB2DE6">
        <w:rPr>
          <w:rFonts w:ascii="Times New Roman" w:hAnsi="Times New Roman" w:cs="Times New Roman"/>
          <w:sz w:val="24"/>
          <w:szCs w:val="24"/>
        </w:rPr>
        <w:t xml:space="preserve">), </w:t>
      </w:r>
      <w:r w:rsidR="00C7450D" w:rsidRPr="00CB2DE6">
        <w:rPr>
          <w:rFonts w:ascii="Times New Roman" w:hAnsi="Times New Roman" w:cs="Times New Roman"/>
          <w:sz w:val="24"/>
          <w:szCs w:val="24"/>
        </w:rPr>
        <w:t>Engel, Mark, and West</w:t>
      </w:r>
      <w:r w:rsidR="004725C8" w:rsidRPr="00CB2DE6">
        <w:rPr>
          <w:rFonts w:ascii="Times New Roman" w:hAnsi="Times New Roman" w:cs="Times New Roman"/>
          <w:sz w:val="24"/>
          <w:szCs w:val="24"/>
        </w:rPr>
        <w:t xml:space="preserve"> (</w:t>
      </w:r>
      <w:r w:rsidR="00C7450D" w:rsidRPr="00CB2DE6">
        <w:rPr>
          <w:rFonts w:ascii="Times New Roman" w:hAnsi="Times New Roman" w:cs="Times New Roman"/>
          <w:sz w:val="24"/>
          <w:szCs w:val="24"/>
        </w:rPr>
        <w:t>2008</w:t>
      </w:r>
      <w:r w:rsidR="004725C8" w:rsidRPr="00CB2DE6">
        <w:rPr>
          <w:rFonts w:ascii="Times New Roman" w:hAnsi="Times New Roman" w:cs="Times New Roman"/>
          <w:sz w:val="24"/>
          <w:szCs w:val="24"/>
        </w:rPr>
        <w:t xml:space="preserve">), </w:t>
      </w:r>
      <w:r w:rsidR="00C7450D" w:rsidRPr="00CB2DE6">
        <w:rPr>
          <w:rFonts w:ascii="Times New Roman" w:hAnsi="Times New Roman" w:cs="Times New Roman"/>
          <w:sz w:val="24"/>
          <w:szCs w:val="24"/>
        </w:rPr>
        <w:t>and Evans and Lyons</w:t>
      </w:r>
      <w:r w:rsidR="004725C8" w:rsidRPr="00CB2DE6">
        <w:rPr>
          <w:rFonts w:ascii="Times New Roman" w:hAnsi="Times New Roman" w:cs="Times New Roman"/>
          <w:sz w:val="24"/>
          <w:szCs w:val="24"/>
        </w:rPr>
        <w:t xml:space="preserve"> (</w:t>
      </w:r>
      <w:r w:rsidR="00C7450D" w:rsidRPr="00CB2DE6">
        <w:rPr>
          <w:rFonts w:ascii="Times New Roman" w:hAnsi="Times New Roman" w:cs="Times New Roman"/>
          <w:sz w:val="24"/>
          <w:szCs w:val="24"/>
        </w:rPr>
        <w:t>2008)</w:t>
      </w:r>
      <w:r w:rsidR="004725C8" w:rsidRPr="00CB2DE6">
        <w:rPr>
          <w:rFonts w:ascii="Times New Roman" w:hAnsi="Times New Roman" w:cs="Times New Roman"/>
          <w:sz w:val="24"/>
          <w:szCs w:val="24"/>
        </w:rPr>
        <w:t>)</w:t>
      </w:r>
      <w:r w:rsidR="00273853" w:rsidRPr="00CB2DE6">
        <w:rPr>
          <w:rFonts w:ascii="Times New Roman" w:hAnsi="Times New Roman" w:cs="Times New Roman"/>
          <w:sz w:val="24"/>
          <w:szCs w:val="24"/>
        </w:rPr>
        <w:t>,</w:t>
      </w:r>
      <w:r w:rsidR="00C7450D" w:rsidRPr="00CB2DE6">
        <w:rPr>
          <w:rFonts w:ascii="Times New Roman" w:hAnsi="Times New Roman" w:cs="Times New Roman"/>
          <w:sz w:val="24"/>
          <w:szCs w:val="24"/>
        </w:rPr>
        <w:t xml:space="preserve"> it is natural to hypoth</w:t>
      </w:r>
      <w:r w:rsidR="003151F7" w:rsidRPr="00CB2DE6">
        <w:rPr>
          <w:rFonts w:ascii="Times New Roman" w:hAnsi="Times New Roman" w:cs="Times New Roman"/>
          <w:sz w:val="24"/>
          <w:szCs w:val="24"/>
        </w:rPr>
        <w:t>esi</w:t>
      </w:r>
      <w:r w:rsidR="00C71829">
        <w:rPr>
          <w:rFonts w:ascii="Times New Roman" w:hAnsi="Times New Roman" w:cs="Times New Roman"/>
          <w:sz w:val="24"/>
          <w:szCs w:val="24"/>
        </w:rPr>
        <w:t>z</w:t>
      </w:r>
      <w:r w:rsidR="003151F7" w:rsidRPr="00CB2DE6">
        <w:rPr>
          <w:rFonts w:ascii="Times New Roman" w:hAnsi="Times New Roman" w:cs="Times New Roman"/>
          <w:sz w:val="24"/>
          <w:szCs w:val="24"/>
        </w:rPr>
        <w:t xml:space="preserve">e an existing </w:t>
      </w:r>
      <w:r w:rsidR="00C7450D" w:rsidRPr="00CB2DE6">
        <w:rPr>
          <w:rFonts w:ascii="Times New Roman" w:hAnsi="Times New Roman" w:cs="Times New Roman"/>
          <w:sz w:val="24"/>
          <w:szCs w:val="24"/>
        </w:rPr>
        <w:t xml:space="preserve">link between global FX volatility and macroeconomic fundamentals. Hence, </w:t>
      </w:r>
      <w:r w:rsidR="003151F7" w:rsidRPr="00CB2DE6">
        <w:rPr>
          <w:rFonts w:ascii="Times New Roman" w:hAnsi="Times New Roman" w:cs="Times New Roman"/>
          <w:sz w:val="24"/>
          <w:szCs w:val="24"/>
        </w:rPr>
        <w:t>investigating</w:t>
      </w:r>
      <w:r w:rsidR="00C7450D" w:rsidRPr="00CB2DE6">
        <w:rPr>
          <w:rFonts w:ascii="Times New Roman" w:hAnsi="Times New Roman" w:cs="Times New Roman"/>
          <w:sz w:val="24"/>
          <w:szCs w:val="24"/>
        </w:rPr>
        <w:t xml:space="preserve"> whether fluctuations in macroeconomic fundamentals influence the components of global FX volatility can provide new i</w:t>
      </w:r>
      <w:r w:rsidR="003151F7" w:rsidRPr="00CB2DE6">
        <w:rPr>
          <w:rFonts w:ascii="Times New Roman" w:hAnsi="Times New Roman" w:cs="Times New Roman"/>
          <w:sz w:val="24"/>
          <w:szCs w:val="24"/>
        </w:rPr>
        <w:t>nsights into this elusive issue</w:t>
      </w:r>
      <w:r w:rsidR="00C7450D" w:rsidRPr="00CB2DE6">
        <w:rPr>
          <w:rFonts w:ascii="Times New Roman" w:hAnsi="Times New Roman" w:cs="Times New Roman"/>
          <w:sz w:val="24"/>
          <w:szCs w:val="24"/>
        </w:rPr>
        <w:t>.</w:t>
      </w:r>
      <w:r w:rsidR="003E46F7" w:rsidRPr="00CB2DE6">
        <w:rPr>
          <w:rStyle w:val="FootnoteReference"/>
          <w:rFonts w:ascii="Times New Roman" w:hAnsi="Times New Roman" w:cs="Times New Roman"/>
          <w:sz w:val="24"/>
          <w:szCs w:val="24"/>
        </w:rPr>
        <w:footnoteReference w:id="2"/>
      </w:r>
    </w:p>
    <w:p w:rsidR="002064DE" w:rsidRPr="00CB2DE6" w:rsidRDefault="003E46F7" w:rsidP="002064DE">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Our empirical analysis uncovers a host of interesting results</w:t>
      </w:r>
      <w:r w:rsidR="00667BC7"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First, </w:t>
      </w:r>
      <w:r w:rsidR="003F5AC0" w:rsidRPr="00CB2DE6">
        <w:rPr>
          <w:rFonts w:ascii="Times New Roman" w:hAnsi="Times New Roman" w:cs="Times New Roman"/>
          <w:sz w:val="24"/>
          <w:szCs w:val="24"/>
        </w:rPr>
        <w:t>using</w:t>
      </w:r>
      <w:r w:rsidRPr="00CB2DE6">
        <w:rPr>
          <w:rFonts w:ascii="Times New Roman" w:hAnsi="Times New Roman" w:cs="Times New Roman"/>
          <w:sz w:val="24"/>
          <w:szCs w:val="24"/>
        </w:rPr>
        <w:t xml:space="preserve"> a cross-sectional asset pricing </w:t>
      </w:r>
      <w:r w:rsidR="003F5AC0" w:rsidRPr="00CB2DE6">
        <w:rPr>
          <w:rFonts w:ascii="Times New Roman" w:hAnsi="Times New Roman" w:cs="Times New Roman"/>
          <w:sz w:val="24"/>
          <w:szCs w:val="24"/>
        </w:rPr>
        <w:t>framework, we find that</w:t>
      </w:r>
      <w:r w:rsidRPr="00CB2DE6">
        <w:rPr>
          <w:rFonts w:ascii="Times New Roman" w:hAnsi="Times New Roman" w:cs="Times New Roman"/>
          <w:sz w:val="24"/>
          <w:szCs w:val="24"/>
        </w:rPr>
        <w:t xml:space="preserve"> only </w:t>
      </w:r>
      <w:r w:rsidR="00464BBF" w:rsidRPr="00CB2DE6">
        <w:rPr>
          <w:rFonts w:ascii="Times New Roman" w:hAnsi="Times New Roman" w:cs="Times New Roman"/>
          <w:sz w:val="24"/>
          <w:szCs w:val="24"/>
        </w:rPr>
        <w:t xml:space="preserve">the </w:t>
      </w:r>
      <w:r w:rsidRPr="00CB2DE6">
        <w:rPr>
          <w:rFonts w:ascii="Times New Roman" w:hAnsi="Times New Roman" w:cs="Times New Roman"/>
          <w:sz w:val="24"/>
          <w:szCs w:val="24"/>
        </w:rPr>
        <w:t>long-</w:t>
      </w:r>
      <w:r w:rsidR="00170887" w:rsidRPr="00CB2DE6">
        <w:rPr>
          <w:rFonts w:ascii="Times New Roman" w:hAnsi="Times New Roman" w:cs="Times New Roman"/>
          <w:sz w:val="24"/>
          <w:szCs w:val="24"/>
        </w:rPr>
        <w:t>run</w:t>
      </w:r>
      <w:r w:rsidRPr="00CB2DE6">
        <w:rPr>
          <w:rFonts w:ascii="Times New Roman" w:hAnsi="Times New Roman" w:cs="Times New Roman"/>
          <w:sz w:val="24"/>
          <w:szCs w:val="24"/>
        </w:rPr>
        <w:t xml:space="preserve"> </w:t>
      </w:r>
      <w:r w:rsidR="00667BC7" w:rsidRPr="00CB2DE6">
        <w:rPr>
          <w:rFonts w:ascii="Times New Roman" w:hAnsi="Times New Roman" w:cs="Times New Roman"/>
          <w:sz w:val="24"/>
          <w:szCs w:val="24"/>
        </w:rPr>
        <w:t xml:space="preserve">component of </w:t>
      </w:r>
      <w:r w:rsidRPr="00CB2DE6">
        <w:rPr>
          <w:rFonts w:ascii="Times New Roman" w:hAnsi="Times New Roman" w:cs="Times New Roman"/>
          <w:sz w:val="24"/>
          <w:szCs w:val="24"/>
        </w:rPr>
        <w:t xml:space="preserve">global FX volatility is a </w:t>
      </w:r>
      <w:r w:rsidR="003F5AC0" w:rsidRPr="00CB2DE6">
        <w:rPr>
          <w:rFonts w:ascii="Times New Roman" w:hAnsi="Times New Roman" w:cs="Times New Roman"/>
          <w:sz w:val="24"/>
          <w:szCs w:val="24"/>
        </w:rPr>
        <w:t xml:space="preserve">significant </w:t>
      </w:r>
      <w:r w:rsidRPr="00CB2DE6">
        <w:rPr>
          <w:rFonts w:ascii="Times New Roman" w:hAnsi="Times New Roman" w:cs="Times New Roman"/>
          <w:sz w:val="24"/>
          <w:szCs w:val="24"/>
        </w:rPr>
        <w:t xml:space="preserve">priced factor </w:t>
      </w:r>
      <w:r w:rsidR="009152E2" w:rsidRPr="00CB2DE6">
        <w:rPr>
          <w:rFonts w:ascii="Times New Roman" w:hAnsi="Times New Roman" w:cs="Times New Roman"/>
          <w:sz w:val="24"/>
          <w:szCs w:val="24"/>
        </w:rPr>
        <w:t xml:space="preserve">in </w:t>
      </w:r>
      <w:r w:rsidRPr="00CB2DE6">
        <w:rPr>
          <w:rFonts w:ascii="Times New Roman" w:hAnsi="Times New Roman" w:cs="Times New Roman"/>
          <w:sz w:val="24"/>
          <w:szCs w:val="24"/>
        </w:rPr>
        <w:t xml:space="preserve">the cross-section of carry trade returns. In fact, </w:t>
      </w:r>
      <w:r w:rsidR="003F5AC0" w:rsidRPr="00CB2DE6">
        <w:rPr>
          <w:rFonts w:ascii="Times New Roman" w:hAnsi="Times New Roman" w:cs="Times New Roman"/>
          <w:sz w:val="24"/>
          <w:szCs w:val="24"/>
        </w:rPr>
        <w:t>the short-</w:t>
      </w:r>
      <w:r w:rsidR="00170887" w:rsidRPr="00CB2DE6">
        <w:rPr>
          <w:rFonts w:ascii="Times New Roman" w:hAnsi="Times New Roman" w:cs="Times New Roman"/>
          <w:sz w:val="24"/>
          <w:szCs w:val="24"/>
        </w:rPr>
        <w:t xml:space="preserve">run </w:t>
      </w:r>
      <w:r w:rsidR="003F5AC0" w:rsidRPr="00CB2DE6">
        <w:rPr>
          <w:rFonts w:ascii="Times New Roman" w:hAnsi="Times New Roman" w:cs="Times New Roman"/>
          <w:sz w:val="24"/>
          <w:szCs w:val="24"/>
        </w:rPr>
        <w:t xml:space="preserve">component of global FX volatility is not statistically significant in any of the asset pricing tests carried out in this </w:t>
      </w:r>
      <w:r w:rsidR="00464BBF" w:rsidRPr="00CB2DE6">
        <w:rPr>
          <w:rFonts w:ascii="Times New Roman" w:hAnsi="Times New Roman" w:cs="Times New Roman"/>
          <w:sz w:val="24"/>
          <w:szCs w:val="24"/>
        </w:rPr>
        <w:t>paper</w:t>
      </w:r>
      <w:r w:rsidR="003F5AC0" w:rsidRPr="00CB2DE6">
        <w:rPr>
          <w:rFonts w:ascii="Times New Roman" w:hAnsi="Times New Roman" w:cs="Times New Roman"/>
          <w:sz w:val="24"/>
          <w:szCs w:val="24"/>
        </w:rPr>
        <w:t>. This result is robust against different parametrization of the volatility models and different methodologies used to c</w:t>
      </w:r>
      <w:r w:rsidR="00E12E7C" w:rsidRPr="00CB2DE6">
        <w:rPr>
          <w:rFonts w:ascii="Times New Roman" w:hAnsi="Times New Roman" w:cs="Times New Roman"/>
          <w:sz w:val="24"/>
          <w:szCs w:val="24"/>
        </w:rPr>
        <w:t xml:space="preserve">ompute </w:t>
      </w:r>
      <w:r w:rsidR="003F5AC0" w:rsidRPr="00CB2DE6">
        <w:rPr>
          <w:rFonts w:ascii="Times New Roman" w:hAnsi="Times New Roman" w:cs="Times New Roman"/>
          <w:sz w:val="24"/>
          <w:szCs w:val="24"/>
        </w:rPr>
        <w:t xml:space="preserve">volatility components. Second, </w:t>
      </w:r>
      <w:r w:rsidR="00F114CC" w:rsidRPr="00CB2DE6">
        <w:rPr>
          <w:rFonts w:ascii="Times New Roman" w:hAnsi="Times New Roman" w:cs="Times New Roman"/>
          <w:sz w:val="24"/>
          <w:szCs w:val="24"/>
        </w:rPr>
        <w:t xml:space="preserve">we are able to uncover a </w:t>
      </w:r>
      <w:r w:rsidR="00273853" w:rsidRPr="00CB2DE6">
        <w:rPr>
          <w:rFonts w:ascii="Times New Roman" w:hAnsi="Times New Roman" w:cs="Times New Roman"/>
          <w:sz w:val="24"/>
          <w:szCs w:val="24"/>
        </w:rPr>
        <w:t xml:space="preserve">significant </w:t>
      </w:r>
      <w:r w:rsidR="00F114CC" w:rsidRPr="00CB2DE6">
        <w:rPr>
          <w:rFonts w:ascii="Times New Roman" w:hAnsi="Times New Roman" w:cs="Times New Roman"/>
          <w:sz w:val="24"/>
          <w:szCs w:val="24"/>
        </w:rPr>
        <w:t xml:space="preserve">relationship between FX volatility risk and macroeconomic fundamentals as </w:t>
      </w:r>
      <w:r w:rsidR="003F5AC0" w:rsidRPr="00CB2DE6">
        <w:rPr>
          <w:rFonts w:ascii="Times New Roman" w:hAnsi="Times New Roman" w:cs="Times New Roman"/>
          <w:sz w:val="24"/>
          <w:szCs w:val="24"/>
        </w:rPr>
        <w:t>long-</w:t>
      </w:r>
      <w:r w:rsidR="00170887" w:rsidRPr="00CB2DE6">
        <w:rPr>
          <w:rFonts w:ascii="Times New Roman" w:hAnsi="Times New Roman" w:cs="Times New Roman"/>
          <w:sz w:val="24"/>
          <w:szCs w:val="24"/>
        </w:rPr>
        <w:t>run</w:t>
      </w:r>
      <w:r w:rsidR="003F5AC0" w:rsidRPr="00CB2DE6">
        <w:rPr>
          <w:rFonts w:ascii="Times New Roman" w:hAnsi="Times New Roman" w:cs="Times New Roman"/>
          <w:sz w:val="24"/>
          <w:szCs w:val="24"/>
        </w:rPr>
        <w:t xml:space="preserve"> global FX volatility </w:t>
      </w:r>
      <w:r w:rsidR="002D0703" w:rsidRPr="00CB2DE6">
        <w:rPr>
          <w:rFonts w:ascii="Times New Roman" w:hAnsi="Times New Roman" w:cs="Times New Roman"/>
          <w:sz w:val="24"/>
          <w:szCs w:val="24"/>
        </w:rPr>
        <w:t>dynamics are</w:t>
      </w:r>
      <w:r w:rsidR="00CA7E93" w:rsidRPr="00CB2DE6">
        <w:rPr>
          <w:rFonts w:ascii="Times New Roman" w:hAnsi="Times New Roman" w:cs="Times New Roman"/>
          <w:sz w:val="24"/>
          <w:szCs w:val="24"/>
        </w:rPr>
        <w:t xml:space="preserve"> significantly related to US macroeconomic fundamental</w:t>
      </w:r>
      <w:r w:rsidR="002D0703" w:rsidRPr="00CB2DE6">
        <w:rPr>
          <w:rFonts w:ascii="Times New Roman" w:hAnsi="Times New Roman" w:cs="Times New Roman"/>
          <w:sz w:val="24"/>
          <w:szCs w:val="24"/>
        </w:rPr>
        <w:t xml:space="preserve"> shocks</w:t>
      </w:r>
      <w:r w:rsidR="00CA7E93" w:rsidRPr="00CB2DE6">
        <w:rPr>
          <w:rFonts w:ascii="Times New Roman" w:hAnsi="Times New Roman" w:cs="Times New Roman"/>
          <w:sz w:val="24"/>
          <w:szCs w:val="24"/>
        </w:rPr>
        <w:t xml:space="preserve">, especially industrial production and money balances. </w:t>
      </w:r>
      <w:r w:rsidR="002D0703" w:rsidRPr="00CB2DE6">
        <w:rPr>
          <w:rFonts w:ascii="Times New Roman" w:hAnsi="Times New Roman" w:cs="Times New Roman"/>
          <w:sz w:val="24"/>
          <w:szCs w:val="24"/>
        </w:rPr>
        <w:t>All</w:t>
      </w:r>
      <w:r w:rsidR="00F114CC" w:rsidRPr="00CB2DE6">
        <w:rPr>
          <w:rFonts w:ascii="Times New Roman" w:hAnsi="Times New Roman" w:cs="Times New Roman"/>
          <w:sz w:val="24"/>
          <w:szCs w:val="24"/>
        </w:rPr>
        <w:t xml:space="preserve"> results are robust against</w:t>
      </w:r>
      <w:r w:rsidR="002064DE" w:rsidRPr="00CB2DE6">
        <w:rPr>
          <w:rFonts w:ascii="Times New Roman" w:hAnsi="Times New Roman" w:cs="Times New Roman"/>
          <w:sz w:val="24"/>
          <w:szCs w:val="24"/>
        </w:rPr>
        <w:t xml:space="preserve"> different methodologies used to carry out asset pricing tests and across different subperiods of the sample. </w:t>
      </w:r>
    </w:p>
    <w:p w:rsidR="00CA7E93" w:rsidRPr="00CB2DE6" w:rsidRDefault="00CA7E93" w:rsidP="005D5069">
      <w:pPr>
        <w:spacing w:after="360"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The remainder of the paper is organized as follows. The next section </w:t>
      </w:r>
      <w:r w:rsidR="002064DE" w:rsidRPr="00CB2DE6">
        <w:rPr>
          <w:rFonts w:ascii="Times New Roman" w:hAnsi="Times New Roman" w:cs="Times New Roman"/>
          <w:sz w:val="24"/>
          <w:szCs w:val="24"/>
        </w:rPr>
        <w:t>discusse</w:t>
      </w:r>
      <w:r w:rsidR="00667BC7" w:rsidRPr="00CB2DE6">
        <w:rPr>
          <w:rFonts w:ascii="Times New Roman" w:hAnsi="Times New Roman" w:cs="Times New Roman"/>
          <w:sz w:val="24"/>
          <w:szCs w:val="24"/>
        </w:rPr>
        <w:t>s</w:t>
      </w:r>
      <w:r w:rsidR="002064DE" w:rsidRPr="00CB2DE6">
        <w:rPr>
          <w:rFonts w:ascii="Times New Roman" w:hAnsi="Times New Roman" w:cs="Times New Roman"/>
          <w:sz w:val="24"/>
          <w:szCs w:val="24"/>
        </w:rPr>
        <w:t xml:space="preserve"> the empirical framework used to estimate the components of global FX volatility and carry out asset pricing tests.</w:t>
      </w:r>
      <w:r w:rsidRPr="00CB2DE6">
        <w:rPr>
          <w:rFonts w:ascii="Times New Roman" w:hAnsi="Times New Roman" w:cs="Times New Roman"/>
          <w:sz w:val="24"/>
          <w:szCs w:val="24"/>
        </w:rPr>
        <w:t xml:space="preserve"> Section 3 describes </w:t>
      </w:r>
      <w:r w:rsidR="00667BC7" w:rsidRPr="00CB2DE6">
        <w:rPr>
          <w:rFonts w:ascii="Times New Roman" w:hAnsi="Times New Roman" w:cs="Times New Roman"/>
          <w:sz w:val="24"/>
          <w:szCs w:val="24"/>
        </w:rPr>
        <w:t xml:space="preserve">the </w:t>
      </w:r>
      <w:r w:rsidR="002064DE" w:rsidRPr="00CB2DE6">
        <w:rPr>
          <w:rFonts w:ascii="Times New Roman" w:hAnsi="Times New Roman" w:cs="Times New Roman"/>
          <w:sz w:val="24"/>
          <w:szCs w:val="24"/>
        </w:rPr>
        <w:t>data and discusses the descriptive statistics of the carry trade portfolios over the sample period.</w:t>
      </w:r>
      <w:r w:rsidRPr="00CB2DE6">
        <w:rPr>
          <w:rFonts w:ascii="Times New Roman" w:hAnsi="Times New Roman" w:cs="Times New Roman"/>
          <w:sz w:val="24"/>
          <w:szCs w:val="24"/>
        </w:rPr>
        <w:t xml:space="preserve"> Section 4 </w:t>
      </w:r>
      <w:r w:rsidR="002064DE" w:rsidRPr="00CB2DE6">
        <w:rPr>
          <w:rFonts w:ascii="Times New Roman" w:hAnsi="Times New Roman" w:cs="Times New Roman"/>
          <w:sz w:val="24"/>
          <w:szCs w:val="24"/>
        </w:rPr>
        <w:t>reports the main empirical results</w:t>
      </w:r>
      <w:r w:rsidR="00667BC7" w:rsidRPr="00CB2DE6">
        <w:rPr>
          <w:rFonts w:ascii="Times New Roman" w:hAnsi="Times New Roman" w:cs="Times New Roman"/>
          <w:sz w:val="24"/>
          <w:szCs w:val="24"/>
        </w:rPr>
        <w:t>,</w:t>
      </w:r>
      <w:r w:rsidR="002064DE" w:rsidRPr="00CB2DE6">
        <w:rPr>
          <w:rFonts w:ascii="Times New Roman" w:hAnsi="Times New Roman" w:cs="Times New Roman"/>
          <w:sz w:val="24"/>
          <w:szCs w:val="24"/>
        </w:rPr>
        <w:t xml:space="preserve"> while </w:t>
      </w:r>
      <w:r w:rsidRPr="00CB2DE6">
        <w:rPr>
          <w:rFonts w:ascii="Times New Roman" w:hAnsi="Times New Roman" w:cs="Times New Roman"/>
          <w:sz w:val="24"/>
          <w:szCs w:val="24"/>
        </w:rPr>
        <w:t xml:space="preserve">Section 5 </w:t>
      </w:r>
      <w:r w:rsidR="002064DE" w:rsidRPr="00CB2DE6">
        <w:rPr>
          <w:rFonts w:ascii="Times New Roman" w:hAnsi="Times New Roman" w:cs="Times New Roman"/>
          <w:sz w:val="24"/>
          <w:szCs w:val="24"/>
        </w:rPr>
        <w:t xml:space="preserve">discusses a battery of </w:t>
      </w:r>
      <w:r w:rsidRPr="00CB2DE6">
        <w:rPr>
          <w:rFonts w:ascii="Times New Roman" w:hAnsi="Times New Roman" w:cs="Times New Roman"/>
          <w:sz w:val="24"/>
          <w:szCs w:val="24"/>
        </w:rPr>
        <w:t xml:space="preserve">the robustness </w:t>
      </w:r>
      <w:r w:rsidR="002064DE" w:rsidRPr="00CB2DE6">
        <w:rPr>
          <w:rFonts w:ascii="Times New Roman" w:hAnsi="Times New Roman" w:cs="Times New Roman"/>
          <w:sz w:val="24"/>
          <w:szCs w:val="24"/>
        </w:rPr>
        <w:t xml:space="preserve">checks </w:t>
      </w:r>
      <w:r w:rsidRPr="00CB2DE6">
        <w:rPr>
          <w:rFonts w:ascii="Times New Roman" w:hAnsi="Times New Roman" w:cs="Times New Roman"/>
          <w:sz w:val="24"/>
          <w:szCs w:val="24"/>
        </w:rPr>
        <w:t xml:space="preserve">of </w:t>
      </w:r>
      <w:r w:rsidR="002064DE" w:rsidRPr="00CB2DE6">
        <w:rPr>
          <w:rFonts w:ascii="Times New Roman" w:hAnsi="Times New Roman" w:cs="Times New Roman"/>
          <w:sz w:val="24"/>
          <w:szCs w:val="24"/>
        </w:rPr>
        <w:t xml:space="preserve">the </w:t>
      </w:r>
      <w:r w:rsidRPr="00CB2DE6">
        <w:rPr>
          <w:rFonts w:ascii="Times New Roman" w:hAnsi="Times New Roman" w:cs="Times New Roman"/>
          <w:sz w:val="24"/>
          <w:szCs w:val="24"/>
        </w:rPr>
        <w:t>main empirical findings</w:t>
      </w:r>
      <w:r w:rsidR="002064DE" w:rsidRPr="00CB2DE6">
        <w:rPr>
          <w:rFonts w:ascii="Times New Roman" w:hAnsi="Times New Roman" w:cs="Times New Roman"/>
          <w:sz w:val="24"/>
          <w:szCs w:val="24"/>
        </w:rPr>
        <w:t>.</w:t>
      </w:r>
      <w:r w:rsidRPr="00CB2DE6">
        <w:rPr>
          <w:rFonts w:ascii="Times New Roman" w:hAnsi="Times New Roman" w:cs="Times New Roman"/>
          <w:sz w:val="24"/>
          <w:szCs w:val="24"/>
        </w:rPr>
        <w:t xml:space="preserve"> Section 6 </w:t>
      </w:r>
      <w:r w:rsidR="00D55F4D" w:rsidRPr="00CB2DE6">
        <w:rPr>
          <w:rFonts w:ascii="Times New Roman" w:hAnsi="Times New Roman" w:cs="Times New Roman"/>
          <w:sz w:val="24"/>
          <w:szCs w:val="24"/>
        </w:rPr>
        <w:t>explore</w:t>
      </w:r>
      <w:r w:rsidR="00AC577C" w:rsidRPr="00CB2DE6">
        <w:rPr>
          <w:rFonts w:ascii="Times New Roman" w:hAnsi="Times New Roman" w:cs="Times New Roman"/>
          <w:sz w:val="24"/>
          <w:szCs w:val="24"/>
        </w:rPr>
        <w:t>s</w:t>
      </w:r>
      <w:r w:rsidR="00D55F4D" w:rsidRPr="00CB2DE6">
        <w:rPr>
          <w:rFonts w:ascii="Times New Roman" w:hAnsi="Times New Roman" w:cs="Times New Roman"/>
          <w:sz w:val="24"/>
          <w:szCs w:val="24"/>
        </w:rPr>
        <w:t xml:space="preserve"> the </w:t>
      </w:r>
      <w:r w:rsidRPr="00CB2DE6">
        <w:rPr>
          <w:rFonts w:ascii="Times New Roman" w:hAnsi="Times New Roman" w:cs="Times New Roman"/>
          <w:sz w:val="24"/>
          <w:szCs w:val="24"/>
        </w:rPr>
        <w:t>relationship between volatility components and macroeconomic fundamentals</w:t>
      </w:r>
      <w:r w:rsidR="00D55F4D" w:rsidRPr="00CB2DE6">
        <w:rPr>
          <w:rFonts w:ascii="Times New Roman" w:hAnsi="Times New Roman" w:cs="Times New Roman"/>
          <w:sz w:val="24"/>
          <w:szCs w:val="24"/>
        </w:rPr>
        <w:t xml:space="preserve"> and</w:t>
      </w:r>
      <w:r w:rsidRPr="00CB2DE6">
        <w:rPr>
          <w:rFonts w:ascii="Times New Roman" w:hAnsi="Times New Roman" w:cs="Times New Roman"/>
          <w:sz w:val="24"/>
          <w:szCs w:val="24"/>
        </w:rPr>
        <w:t xml:space="preserve"> </w:t>
      </w:r>
      <w:r w:rsidR="00D55F4D" w:rsidRPr="00CB2DE6">
        <w:rPr>
          <w:rFonts w:ascii="Times New Roman" w:hAnsi="Times New Roman" w:cs="Times New Roman"/>
          <w:sz w:val="24"/>
          <w:szCs w:val="24"/>
        </w:rPr>
        <w:t>a</w:t>
      </w:r>
      <w:r w:rsidRPr="00CB2DE6">
        <w:rPr>
          <w:rFonts w:ascii="Times New Roman" w:hAnsi="Times New Roman" w:cs="Times New Roman"/>
          <w:sz w:val="24"/>
          <w:szCs w:val="24"/>
        </w:rPr>
        <w:t xml:space="preserve"> final section </w:t>
      </w:r>
      <w:r w:rsidR="00D55F4D" w:rsidRPr="00CB2DE6">
        <w:rPr>
          <w:rFonts w:ascii="Times New Roman" w:hAnsi="Times New Roman" w:cs="Times New Roman"/>
          <w:sz w:val="24"/>
          <w:szCs w:val="24"/>
        </w:rPr>
        <w:t>concludes</w:t>
      </w:r>
      <w:r w:rsidRPr="00CB2DE6">
        <w:rPr>
          <w:rFonts w:ascii="Times New Roman" w:hAnsi="Times New Roman" w:cs="Times New Roman"/>
          <w:sz w:val="24"/>
          <w:szCs w:val="24"/>
        </w:rPr>
        <w:t>.</w:t>
      </w:r>
    </w:p>
    <w:p w:rsidR="008048D7" w:rsidRPr="00CB2DE6" w:rsidRDefault="00041D92" w:rsidP="003205F2">
      <w:pPr>
        <w:spacing w:after="120" w:line="360" w:lineRule="auto"/>
        <w:jc w:val="both"/>
        <w:rPr>
          <w:rFonts w:ascii="Times New Roman" w:hAnsi="Times New Roman" w:cs="Times New Roman"/>
          <w:b/>
          <w:sz w:val="28"/>
          <w:szCs w:val="28"/>
        </w:rPr>
      </w:pPr>
      <w:r w:rsidRPr="00CB2DE6">
        <w:rPr>
          <w:rFonts w:ascii="Times New Roman" w:hAnsi="Times New Roman" w:cs="Times New Roman"/>
          <w:b/>
          <w:sz w:val="28"/>
          <w:szCs w:val="28"/>
        </w:rPr>
        <w:lastRenderedPageBreak/>
        <w:t>2.</w:t>
      </w:r>
      <w:r w:rsidR="008048D7" w:rsidRPr="00CB2DE6">
        <w:rPr>
          <w:rFonts w:ascii="Times New Roman" w:hAnsi="Times New Roman" w:cs="Times New Roman"/>
          <w:b/>
          <w:sz w:val="28"/>
          <w:szCs w:val="28"/>
        </w:rPr>
        <w:t xml:space="preserve"> </w:t>
      </w:r>
      <w:r w:rsidRPr="00CB2DE6">
        <w:rPr>
          <w:rFonts w:ascii="Times New Roman" w:hAnsi="Times New Roman" w:cs="Times New Roman"/>
          <w:b/>
          <w:sz w:val="28"/>
          <w:szCs w:val="28"/>
        </w:rPr>
        <w:tab/>
        <w:t>Empirical Framework</w:t>
      </w:r>
    </w:p>
    <w:p w:rsidR="00041D92" w:rsidRPr="00CB2DE6" w:rsidRDefault="00041D92" w:rsidP="00B81DAA">
      <w:pPr>
        <w:spacing w:after="240" w:line="360" w:lineRule="auto"/>
        <w:ind w:firstLine="720"/>
        <w:jc w:val="both"/>
        <w:rPr>
          <w:rFonts w:ascii="Times New Roman" w:hAnsi="Times New Roman" w:cs="Times New Roman"/>
          <w:b/>
          <w:sz w:val="24"/>
          <w:szCs w:val="24"/>
        </w:rPr>
      </w:pPr>
      <w:r w:rsidRPr="00CB2DE6">
        <w:rPr>
          <w:rFonts w:ascii="Times New Roman" w:hAnsi="Times New Roman" w:cs="Times New Roman"/>
          <w:b/>
          <w:sz w:val="24"/>
          <w:szCs w:val="24"/>
        </w:rPr>
        <w:t>2.1</w:t>
      </w:r>
      <w:r w:rsidRPr="00CB2DE6">
        <w:rPr>
          <w:rFonts w:ascii="Times New Roman" w:hAnsi="Times New Roman" w:cs="Times New Roman"/>
          <w:b/>
          <w:sz w:val="24"/>
          <w:szCs w:val="24"/>
        </w:rPr>
        <w:tab/>
        <w:t>Global FX Return</w:t>
      </w:r>
      <w:r w:rsidR="00312778" w:rsidRPr="00CB2DE6">
        <w:rPr>
          <w:rFonts w:ascii="Times New Roman" w:hAnsi="Times New Roman" w:cs="Times New Roman"/>
          <w:b/>
          <w:sz w:val="24"/>
          <w:szCs w:val="24"/>
        </w:rPr>
        <w:t>s</w:t>
      </w:r>
    </w:p>
    <w:p w:rsidR="00041D92" w:rsidRPr="00CB2DE6" w:rsidRDefault="00312778" w:rsidP="00472FAA">
      <w:pPr>
        <w:spacing w:line="360" w:lineRule="auto"/>
        <w:ind w:firstLine="720"/>
        <w:jc w:val="both"/>
        <w:rPr>
          <w:rFonts w:ascii="Times New Roman" w:eastAsia="Calibri" w:hAnsi="Times New Roman" w:cs="Times New Roman"/>
          <w:sz w:val="24"/>
          <w:szCs w:val="24"/>
        </w:rPr>
      </w:pPr>
      <w:r w:rsidRPr="00CB2DE6">
        <w:rPr>
          <w:rFonts w:ascii="Times New Roman" w:eastAsia="Calibri" w:hAnsi="Times New Roman" w:cs="Times New Roman"/>
          <w:sz w:val="24"/>
          <w:szCs w:val="24"/>
        </w:rPr>
        <w:t>W</w:t>
      </w:r>
      <w:r w:rsidR="00041D92" w:rsidRPr="00CB2DE6">
        <w:rPr>
          <w:rFonts w:ascii="Times New Roman" w:eastAsia="Calibri" w:hAnsi="Times New Roman" w:cs="Times New Roman"/>
          <w:sz w:val="24"/>
          <w:szCs w:val="24"/>
        </w:rPr>
        <w:t xml:space="preserve">e </w:t>
      </w:r>
      <w:r w:rsidRPr="00CB2DE6">
        <w:rPr>
          <w:rFonts w:ascii="Times New Roman" w:eastAsia="Calibri" w:hAnsi="Times New Roman" w:cs="Times New Roman"/>
          <w:sz w:val="24"/>
          <w:szCs w:val="24"/>
        </w:rPr>
        <w:t xml:space="preserve">first </w:t>
      </w:r>
      <w:r w:rsidR="00041D92" w:rsidRPr="00CB2DE6">
        <w:rPr>
          <w:rFonts w:ascii="Times New Roman" w:eastAsia="Calibri" w:hAnsi="Times New Roman" w:cs="Times New Roman"/>
          <w:sz w:val="24"/>
          <w:szCs w:val="24"/>
        </w:rPr>
        <w:t xml:space="preserve">construct a measure to proxy for global FX return on any trading day </w:t>
      </w:r>
      <m:oMath>
        <m:r>
          <w:rPr>
            <w:rFonts w:ascii="Cambria Math" w:eastAsia="Calibri" w:hAnsi="Cambria Math" w:cs="Times New Roman"/>
            <w:sz w:val="24"/>
            <w:szCs w:val="24"/>
          </w:rPr>
          <m:t>τ</m:t>
        </m:r>
      </m:oMath>
      <w:r w:rsidR="00041D92" w:rsidRPr="00CB2DE6">
        <w:rPr>
          <w:rFonts w:ascii="Times New Roman" w:eastAsia="Calibri" w:hAnsi="Times New Roman" w:cs="Times New Roman"/>
          <w:i/>
          <w:sz w:val="24"/>
          <w:szCs w:val="24"/>
        </w:rPr>
        <w:t xml:space="preserve"> </w:t>
      </w:r>
      <w:r w:rsidR="00041D92" w:rsidRPr="00CB2DE6">
        <w:rPr>
          <w:rFonts w:ascii="Times New Roman" w:eastAsia="Calibri" w:hAnsi="Times New Roman" w:cs="Times New Roman"/>
          <w:sz w:val="24"/>
          <w:szCs w:val="24"/>
        </w:rPr>
        <w:t>as the average of discrete returns for all currencies available on that trading day in the main sample spot FX market. The proxy is thus given by</w:t>
      </w:r>
    </w:p>
    <w:p w:rsidR="00041D92" w:rsidRPr="00CB2DE6" w:rsidRDefault="00041D92" w:rsidP="00472FAA">
      <w:pPr>
        <w:spacing w:before="120" w:after="120" w:line="360" w:lineRule="auto"/>
        <w:ind w:left="720"/>
        <w:jc w:val="both"/>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τ</m:t>
              </m:r>
            </m:sub>
          </m:sSub>
          <m:r>
            <w:rPr>
              <w:rFonts w:ascii="Cambria Math" w:eastAsia="Calibri" w:hAnsi="Cambria Math" w:cs="Times New Roman"/>
              <w:sz w:val="24"/>
              <w:szCs w:val="24"/>
            </w:rPr>
            <m:t>=</m:t>
          </m:r>
          <m:nary>
            <m:naryPr>
              <m:chr m:val="∑"/>
              <m:limLoc m:val="undOvr"/>
              <m:supHide m:val="1"/>
              <m:ctrlPr>
                <w:rPr>
                  <w:rFonts w:ascii="Cambria Math" w:eastAsia="Calibri" w:hAnsi="Cambria Math" w:cs="Times New Roman"/>
                  <w:i/>
                  <w:sz w:val="24"/>
                  <w:szCs w:val="24"/>
                </w:rPr>
              </m:ctrlPr>
            </m:naryPr>
            <m:sub>
              <m:r>
                <w:rPr>
                  <w:rFonts w:ascii="Cambria Math" w:eastAsia="Calibri" w:hAnsi="Cambria Math" w:cs="Times New Roman"/>
                  <w:sz w:val="24"/>
                  <w:szCs w:val="24"/>
                </w:rPr>
                <m:t>k∈</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τ</m:t>
                  </m:r>
                </m:sub>
              </m:sSub>
            </m:sub>
            <m:sup/>
            <m:e>
              <m:d>
                <m:dPr>
                  <m:begChr m:val="["/>
                  <m:endChr m:val="]"/>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τ</m:t>
                              </m:r>
                            </m:sub>
                            <m:sup>
                              <m:r>
                                <w:rPr>
                                  <w:rFonts w:ascii="Cambria Math" w:eastAsia="Calibri" w:hAnsi="Cambria Math" w:cs="Times New Roman"/>
                                  <w:sz w:val="24"/>
                                  <w:szCs w:val="24"/>
                                </w:rPr>
                                <m:t>k</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τ-1</m:t>
                              </m:r>
                            </m:sub>
                            <m:sup>
                              <m:r>
                                <w:rPr>
                                  <w:rFonts w:ascii="Cambria Math" w:eastAsia="Calibri" w:hAnsi="Cambria Math" w:cs="Times New Roman"/>
                                  <w:sz w:val="24"/>
                                  <w:szCs w:val="24"/>
                                </w:rPr>
                                <m:t>k</m:t>
                              </m:r>
                            </m:sup>
                          </m:sSubSup>
                        </m:num>
                        <m:den>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τ-1</m:t>
                              </m:r>
                            </m:sub>
                            <m:sup>
                              <m:r>
                                <w:rPr>
                                  <w:rFonts w:ascii="Cambria Math" w:eastAsia="Calibri" w:hAnsi="Cambria Math" w:cs="Times New Roman"/>
                                  <w:sz w:val="24"/>
                                  <w:szCs w:val="24"/>
                                </w:rPr>
                                <m:t>k</m:t>
                              </m:r>
                            </m:sup>
                          </m:sSubSup>
                        </m:den>
                      </m:f>
                    </m:e>
                  </m:d>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τ</m:t>
                      </m:r>
                    </m:sub>
                  </m:sSub>
                </m:e>
              </m:d>
              <m:r>
                <w:rPr>
                  <w:rFonts w:ascii="Cambria Math" w:eastAsia="Calibri" w:hAnsi="Cambria Math" w:cs="Times New Roman"/>
                  <w:sz w:val="24"/>
                  <w:szCs w:val="24"/>
                </w:rPr>
                <m:t>,</m:t>
              </m:r>
            </m:e>
          </m:nary>
          <m:r>
            <m:rPr>
              <m:sty m:val="p"/>
            </m:rPr>
            <w:rPr>
              <w:rFonts w:ascii="Cambria Math" w:hAnsi="Cambria Math" w:cs="Times New Roman"/>
              <w:sz w:val="24"/>
              <w:szCs w:val="24"/>
            </w:rPr>
            <m:t xml:space="preserve"> </m:t>
          </m:r>
          <m: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rPr>
            <m:t>(1)</m:t>
          </m:r>
        </m:oMath>
      </m:oMathPara>
    </w:p>
    <w:p w:rsidR="00312778" w:rsidRPr="00CB2DE6" w:rsidRDefault="00EB6DEC" w:rsidP="00EB6DEC">
      <w:pPr>
        <w:tabs>
          <w:tab w:val="left" w:pos="2977"/>
          <w:tab w:val="left" w:pos="3119"/>
        </w:tabs>
        <w:spacing w:after="240" w:line="360" w:lineRule="auto"/>
        <w:jc w:val="both"/>
        <w:rPr>
          <w:rFonts w:ascii="Times New Roman" w:hAnsi="Times New Roman" w:cs="Times New Roman"/>
          <w:sz w:val="24"/>
          <w:szCs w:val="24"/>
        </w:rPr>
      </w:pPr>
      <w:r w:rsidRPr="008A772A">
        <w:rPr>
          <w:rFonts w:ascii="Times New Roman" w:eastAsia="Calibri" w:hAnsi="Times New Roman" w:cs="Times New Roman"/>
          <w:sz w:val="24"/>
          <w:szCs w:val="24"/>
        </w:rPr>
        <w:t xml:space="preserve">where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τ</m:t>
            </m:r>
          </m:sub>
          <m:sup>
            <m:r>
              <w:rPr>
                <w:rFonts w:ascii="Cambria Math" w:eastAsia="Calibri" w:hAnsi="Cambria Math" w:cs="Times New Roman"/>
                <w:sz w:val="24"/>
                <w:szCs w:val="24"/>
              </w:rPr>
              <m:t>k</m:t>
            </m:r>
          </m:sup>
        </m:sSubSup>
      </m:oMath>
      <w:r w:rsidR="00630A3B" w:rsidRPr="008A772A">
        <w:rPr>
          <w:rFonts w:ascii="Times New Roman" w:eastAsia="Calibri" w:hAnsi="Times New Roman" w:cs="Times New Roman"/>
          <w:sz w:val="24"/>
          <w:szCs w:val="24"/>
        </w:rPr>
        <w:t xml:space="preserve"> </w:t>
      </w:r>
      <w:r w:rsidR="008A772A" w:rsidRPr="008A772A">
        <w:rPr>
          <w:rFonts w:ascii="Times New Roman" w:eastAsia="Calibri" w:hAnsi="Times New Roman" w:cs="Times New Roman"/>
          <w:sz w:val="24"/>
          <w:szCs w:val="24"/>
        </w:rPr>
        <w:t xml:space="preserve">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τ</m:t>
            </m:r>
          </m:sub>
        </m:sSub>
      </m:oMath>
      <w:r w:rsidR="008A772A" w:rsidRPr="008A772A">
        <w:rPr>
          <w:rFonts w:ascii="Times New Roman" w:eastAsia="Calibri" w:hAnsi="Times New Roman" w:cs="Times New Roman"/>
          <w:sz w:val="24"/>
          <w:szCs w:val="24"/>
        </w:rPr>
        <w:t xml:space="preserve"> </w:t>
      </w:r>
      <w:r w:rsidR="0064484E">
        <w:rPr>
          <w:rFonts w:ascii="Times New Roman" w:eastAsia="Calibri" w:hAnsi="Times New Roman" w:cs="Times New Roman"/>
          <w:sz w:val="24"/>
          <w:szCs w:val="24"/>
        </w:rPr>
        <w:t xml:space="preserve">denote the </w:t>
      </w:r>
      <w:r w:rsidR="00630A3B" w:rsidRPr="008A772A">
        <w:rPr>
          <w:rFonts w:ascii="Times New Roman" w:eastAsia="Calibri" w:hAnsi="Times New Roman" w:cs="Times New Roman"/>
          <w:sz w:val="24"/>
          <w:szCs w:val="24"/>
        </w:rPr>
        <w:t>spot exchange</w:t>
      </w:r>
      <w:r w:rsidR="008A772A" w:rsidRPr="008A772A">
        <w:rPr>
          <w:rFonts w:ascii="Times New Roman" w:eastAsia="Calibri" w:hAnsi="Times New Roman" w:cs="Times New Roman"/>
          <w:sz w:val="24"/>
          <w:szCs w:val="24"/>
        </w:rPr>
        <w:t xml:space="preserve"> </w:t>
      </w:r>
      <w:r w:rsidR="00630A3B" w:rsidRPr="008A772A">
        <w:rPr>
          <w:rFonts w:ascii="Times New Roman" w:eastAsia="Calibri" w:hAnsi="Times New Roman" w:cs="Times New Roman"/>
          <w:sz w:val="24"/>
          <w:szCs w:val="24"/>
        </w:rPr>
        <w:t>rate</w:t>
      </w:r>
      <w:r w:rsidR="008A772A" w:rsidRPr="008A772A">
        <w:rPr>
          <w:rFonts w:ascii="Times New Roman" w:eastAsia="Calibri" w:hAnsi="Times New Roman" w:cs="Times New Roman"/>
          <w:sz w:val="24"/>
          <w:szCs w:val="24"/>
        </w:rPr>
        <w:t xml:space="preserve"> of currency </w:t>
      </w:r>
      <m:oMath>
        <m:r>
          <w:rPr>
            <w:rFonts w:ascii="Cambria Math" w:eastAsia="Calibri" w:hAnsi="Cambria Math" w:cs="Times New Roman"/>
            <w:sz w:val="24"/>
            <w:szCs w:val="24"/>
          </w:rPr>
          <m:t>k</m:t>
        </m:r>
      </m:oMath>
      <w:r w:rsidR="0064484E">
        <w:rPr>
          <w:rFonts w:ascii="Times New Roman" w:eastAsia="Calibri" w:hAnsi="Times New Roman" w:cs="Times New Roman"/>
          <w:sz w:val="24"/>
          <w:szCs w:val="24"/>
        </w:rPr>
        <w:t xml:space="preserve"> </w:t>
      </w:r>
      <w:r w:rsidR="008A772A" w:rsidRPr="008A772A">
        <w:rPr>
          <w:rFonts w:ascii="Times New Roman" w:eastAsia="Calibri" w:hAnsi="Times New Roman" w:cs="Times New Roman"/>
          <w:sz w:val="24"/>
          <w:szCs w:val="24"/>
        </w:rPr>
        <w:t xml:space="preserve">and </w:t>
      </w:r>
      <w:r w:rsidR="0064484E">
        <w:rPr>
          <w:rFonts w:ascii="Times New Roman" w:eastAsia="Calibri" w:hAnsi="Times New Roman" w:cs="Times New Roman"/>
          <w:sz w:val="24"/>
          <w:szCs w:val="24"/>
        </w:rPr>
        <w:t xml:space="preserve">the </w:t>
      </w:r>
      <w:r w:rsidR="008A772A" w:rsidRPr="008A772A">
        <w:rPr>
          <w:rFonts w:ascii="Times New Roman" w:eastAsia="Calibri" w:hAnsi="Times New Roman" w:cs="Times New Roman"/>
          <w:sz w:val="24"/>
          <w:szCs w:val="24"/>
        </w:rPr>
        <w:t xml:space="preserve">number of </w:t>
      </w:r>
      <w:r w:rsidR="00152758">
        <w:rPr>
          <w:rFonts w:ascii="Times New Roman" w:eastAsia="Calibri" w:hAnsi="Times New Roman" w:cs="Times New Roman"/>
          <w:sz w:val="24"/>
          <w:szCs w:val="24"/>
        </w:rPr>
        <w:t xml:space="preserve">available </w:t>
      </w:r>
      <w:r w:rsidR="008A772A" w:rsidRPr="008A772A">
        <w:rPr>
          <w:rFonts w:ascii="Times New Roman" w:eastAsia="Calibri" w:hAnsi="Times New Roman" w:cs="Times New Roman"/>
          <w:sz w:val="24"/>
          <w:szCs w:val="24"/>
        </w:rPr>
        <w:t xml:space="preserve">currencies </w:t>
      </w:r>
      <w:r w:rsidR="00152758">
        <w:rPr>
          <w:rFonts w:ascii="Times New Roman" w:eastAsia="Calibri" w:hAnsi="Times New Roman" w:cs="Times New Roman"/>
          <w:sz w:val="24"/>
          <w:szCs w:val="24"/>
        </w:rPr>
        <w:t>o</w:t>
      </w:r>
      <w:r w:rsidR="008A772A" w:rsidRPr="008A772A">
        <w:rPr>
          <w:rFonts w:ascii="Times New Roman" w:eastAsia="Calibri" w:hAnsi="Times New Roman" w:cs="Times New Roman"/>
          <w:sz w:val="24"/>
          <w:szCs w:val="24"/>
        </w:rPr>
        <w:t xml:space="preserve">n day </w:t>
      </w:r>
      <w:r w:rsidR="008A772A" w:rsidRPr="008A772A">
        <w:rPr>
          <w:rFonts w:ascii="Cambria Math" w:eastAsia="Calibri" w:hAnsi="Cambria Math" w:cs="Cambria Math"/>
          <w:sz w:val="24"/>
          <w:szCs w:val="24"/>
        </w:rPr>
        <w:t>𝜏</w:t>
      </w:r>
      <w:r w:rsidR="008A772A" w:rsidRPr="008A772A">
        <w:rPr>
          <w:rFonts w:ascii="Times New Roman" w:eastAsia="Calibri" w:hAnsi="Times New Roman" w:cs="Times New Roman"/>
          <w:sz w:val="24"/>
          <w:szCs w:val="24"/>
        </w:rPr>
        <w:t>, respectively</w:t>
      </w:r>
      <w:r w:rsidR="00630A3B" w:rsidRPr="008A772A">
        <w:rPr>
          <w:rFonts w:ascii="Times New Roman" w:eastAsia="Calibri" w:hAnsi="Times New Roman" w:cs="Times New Roman"/>
          <w:sz w:val="24"/>
          <w:szCs w:val="24"/>
        </w:rPr>
        <w:t xml:space="preserve">. </w:t>
      </w:r>
      <w:r w:rsidR="00041D92" w:rsidRPr="008A772A">
        <w:rPr>
          <w:rFonts w:ascii="Times New Roman" w:eastAsia="Calibri" w:hAnsi="Times New Roman" w:cs="Times New Roman"/>
          <w:sz w:val="24"/>
          <w:szCs w:val="24"/>
        </w:rPr>
        <w:t>We</w:t>
      </w:r>
      <w:r w:rsidR="00041D92" w:rsidRPr="00CB2DE6">
        <w:rPr>
          <w:rFonts w:ascii="Times New Roman" w:eastAsia="Calibri" w:hAnsi="Times New Roman" w:cs="Times New Roman"/>
          <w:sz w:val="24"/>
          <w:szCs w:val="24"/>
        </w:rPr>
        <w:t xml:space="preserve"> appeal to this equally weighted measure of global FX return on data availability grounds. More specifically, daily data on currency order flows as well as the shares of respective currencies in international trade or reserves are publicly unavailable for a large section of our sample. This prohibits estimating the weights of the constituent currencies in a reasonable way. We consider discrete return for each currency instead of log return, which is consistent with the computation of </w:t>
      </w:r>
      <w:r w:rsidR="00E6565B" w:rsidRPr="00CB2DE6">
        <w:rPr>
          <w:rFonts w:ascii="Times New Roman" w:eastAsia="Calibri" w:hAnsi="Times New Roman" w:cs="Times New Roman"/>
          <w:sz w:val="24"/>
          <w:szCs w:val="24"/>
        </w:rPr>
        <w:t xml:space="preserve">currency </w:t>
      </w:r>
      <w:r w:rsidR="00041D92" w:rsidRPr="00CB2DE6">
        <w:rPr>
          <w:rFonts w:ascii="Times New Roman" w:eastAsia="Calibri" w:hAnsi="Times New Roman" w:cs="Times New Roman"/>
          <w:sz w:val="24"/>
          <w:szCs w:val="24"/>
        </w:rPr>
        <w:t>excess returns</w:t>
      </w:r>
      <w:r w:rsidR="00E12E7C" w:rsidRPr="00CB2DE6">
        <w:rPr>
          <w:rFonts w:ascii="Times New Roman" w:eastAsia="Calibri" w:hAnsi="Times New Roman" w:cs="Times New Roman"/>
          <w:sz w:val="24"/>
          <w:szCs w:val="24"/>
        </w:rPr>
        <w:t xml:space="preserve"> described in Section 3.2</w:t>
      </w:r>
      <w:r w:rsidR="00041D92" w:rsidRPr="00CB2DE6">
        <w:rPr>
          <w:rFonts w:ascii="Times New Roman" w:eastAsia="Calibri" w:hAnsi="Times New Roman" w:cs="Times New Roman"/>
          <w:sz w:val="24"/>
          <w:szCs w:val="24"/>
        </w:rPr>
        <w:t>.</w:t>
      </w:r>
      <w:r w:rsidR="00312778" w:rsidRPr="00CB2DE6">
        <w:rPr>
          <w:rStyle w:val="FootnoteReference"/>
          <w:rFonts w:ascii="Times New Roman" w:hAnsi="Times New Roman" w:cs="Times New Roman"/>
          <w:sz w:val="24"/>
          <w:szCs w:val="24"/>
        </w:rPr>
        <w:footnoteReference w:id="3"/>
      </w:r>
      <w:r w:rsidR="00041D92" w:rsidRPr="00CB2DE6">
        <w:rPr>
          <w:rFonts w:ascii="Times New Roman" w:eastAsia="Calibri" w:hAnsi="Times New Roman" w:cs="Times New Roman"/>
          <w:sz w:val="24"/>
          <w:szCs w:val="24"/>
        </w:rPr>
        <w:t xml:space="preserve"> </w:t>
      </w:r>
    </w:p>
    <w:p w:rsidR="00041D92" w:rsidRPr="00CB2DE6" w:rsidRDefault="00041D92" w:rsidP="00B81DAA">
      <w:pPr>
        <w:spacing w:after="240" w:line="360" w:lineRule="auto"/>
        <w:ind w:firstLine="720"/>
        <w:jc w:val="both"/>
        <w:rPr>
          <w:rFonts w:ascii="Times New Roman" w:hAnsi="Times New Roman" w:cs="Times New Roman"/>
          <w:b/>
          <w:sz w:val="24"/>
          <w:szCs w:val="24"/>
        </w:rPr>
      </w:pPr>
      <w:r w:rsidRPr="00CB2DE6">
        <w:rPr>
          <w:rFonts w:ascii="Times New Roman" w:hAnsi="Times New Roman" w:cs="Times New Roman"/>
          <w:b/>
          <w:sz w:val="24"/>
          <w:szCs w:val="24"/>
        </w:rPr>
        <w:t>2.2</w:t>
      </w:r>
      <w:r w:rsidRPr="00CB2DE6">
        <w:rPr>
          <w:rFonts w:ascii="Times New Roman" w:hAnsi="Times New Roman" w:cs="Times New Roman"/>
          <w:b/>
          <w:sz w:val="24"/>
          <w:szCs w:val="24"/>
        </w:rPr>
        <w:tab/>
        <w:t>Volatility Component Model</w:t>
      </w:r>
      <w:r w:rsidR="00C438A3">
        <w:rPr>
          <w:rFonts w:ascii="Times New Roman" w:hAnsi="Times New Roman" w:cs="Times New Roman"/>
          <w:b/>
          <w:sz w:val="24"/>
          <w:szCs w:val="24"/>
        </w:rPr>
        <w:t>s</w:t>
      </w:r>
    </w:p>
    <w:p w:rsidR="00041D92" w:rsidRPr="00CB2DE6" w:rsidRDefault="00312778" w:rsidP="00472FAA">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We </w:t>
      </w:r>
      <w:r w:rsidR="00FC6724" w:rsidRPr="00CB2DE6">
        <w:rPr>
          <w:rFonts w:ascii="Times New Roman" w:hAnsi="Times New Roman" w:cs="Times New Roman"/>
          <w:sz w:val="24"/>
          <w:szCs w:val="24"/>
        </w:rPr>
        <w:t xml:space="preserve">model the volatility of global FX returns and identify the </w:t>
      </w:r>
      <w:r w:rsidR="009017F8" w:rsidRPr="00CB2DE6">
        <w:rPr>
          <w:rFonts w:ascii="Times New Roman" w:hAnsi="Times New Roman" w:cs="Times New Roman"/>
          <w:sz w:val="24"/>
          <w:szCs w:val="24"/>
        </w:rPr>
        <w:t>short</w:t>
      </w:r>
      <w:r w:rsidR="004C2474" w:rsidRPr="00CB2DE6">
        <w:rPr>
          <w:rFonts w:ascii="Times New Roman" w:hAnsi="Times New Roman" w:cs="Times New Roman"/>
          <w:sz w:val="24"/>
          <w:szCs w:val="24"/>
        </w:rPr>
        <w:t>-</w:t>
      </w:r>
      <w:r w:rsidR="009017F8"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and </w:t>
      </w:r>
      <w:r w:rsidR="009017F8" w:rsidRPr="00CB2DE6">
        <w:rPr>
          <w:rFonts w:ascii="Times New Roman" w:hAnsi="Times New Roman" w:cs="Times New Roman"/>
          <w:sz w:val="24"/>
          <w:szCs w:val="24"/>
        </w:rPr>
        <w:t>long</w:t>
      </w:r>
      <w:r w:rsidR="004C2474" w:rsidRPr="00CB2DE6">
        <w:rPr>
          <w:rFonts w:ascii="Times New Roman" w:hAnsi="Times New Roman" w:cs="Times New Roman"/>
          <w:sz w:val="24"/>
          <w:szCs w:val="24"/>
        </w:rPr>
        <w:t>-</w:t>
      </w:r>
      <w:r w:rsidR="00170887" w:rsidRPr="00CB2DE6">
        <w:rPr>
          <w:rFonts w:ascii="Times New Roman" w:hAnsi="Times New Roman" w:cs="Times New Roman"/>
          <w:sz w:val="24"/>
          <w:szCs w:val="24"/>
        </w:rPr>
        <w:t xml:space="preserve">run </w:t>
      </w:r>
      <w:r w:rsidRPr="00CB2DE6">
        <w:rPr>
          <w:rFonts w:ascii="Times New Roman" w:hAnsi="Times New Roman" w:cs="Times New Roman"/>
          <w:sz w:val="24"/>
          <w:szCs w:val="24"/>
        </w:rPr>
        <w:t xml:space="preserve">components </w:t>
      </w:r>
      <w:r w:rsidR="00FC6724" w:rsidRPr="00CB2DE6">
        <w:rPr>
          <w:rFonts w:ascii="Times New Roman" w:hAnsi="Times New Roman" w:cs="Times New Roman"/>
          <w:sz w:val="24"/>
          <w:szCs w:val="24"/>
        </w:rPr>
        <w:t xml:space="preserve">by </w:t>
      </w:r>
      <w:r w:rsidRPr="00CB2DE6">
        <w:rPr>
          <w:rFonts w:ascii="Times New Roman" w:hAnsi="Times New Roman" w:cs="Times New Roman"/>
          <w:sz w:val="24"/>
          <w:szCs w:val="24"/>
        </w:rPr>
        <w:t xml:space="preserve">using </w:t>
      </w:r>
      <w:r w:rsidR="00FC6724" w:rsidRPr="00CB2DE6">
        <w:rPr>
          <w:rFonts w:ascii="Times New Roman" w:hAnsi="Times New Roman" w:cs="Times New Roman"/>
          <w:sz w:val="24"/>
          <w:szCs w:val="24"/>
        </w:rPr>
        <w:t xml:space="preserve">two </w:t>
      </w:r>
      <w:r w:rsidRPr="00CB2DE6">
        <w:rPr>
          <w:rFonts w:ascii="Times New Roman" w:hAnsi="Times New Roman" w:cs="Times New Roman"/>
          <w:sz w:val="24"/>
          <w:szCs w:val="24"/>
        </w:rPr>
        <w:t xml:space="preserve">empirical models </w:t>
      </w:r>
      <w:r w:rsidR="00FC6724" w:rsidRPr="00CB2DE6">
        <w:rPr>
          <w:rFonts w:ascii="Times New Roman" w:hAnsi="Times New Roman" w:cs="Times New Roman"/>
          <w:sz w:val="24"/>
          <w:szCs w:val="24"/>
        </w:rPr>
        <w:t xml:space="preserve">that have been proven successful at </w:t>
      </w:r>
      <w:r w:rsidRPr="00CB2DE6">
        <w:rPr>
          <w:rFonts w:ascii="Times New Roman" w:hAnsi="Times New Roman" w:cs="Times New Roman"/>
          <w:sz w:val="24"/>
          <w:szCs w:val="24"/>
        </w:rPr>
        <w:t xml:space="preserve">capturing the salient features of the volatility of daily </w:t>
      </w:r>
      <w:r w:rsidR="00FC6724" w:rsidRPr="00CB2DE6">
        <w:rPr>
          <w:rFonts w:ascii="Times New Roman" w:hAnsi="Times New Roman" w:cs="Times New Roman"/>
          <w:sz w:val="24"/>
          <w:szCs w:val="24"/>
        </w:rPr>
        <w:t>asset</w:t>
      </w:r>
      <w:r w:rsidRPr="00CB2DE6">
        <w:rPr>
          <w:rFonts w:ascii="Times New Roman" w:hAnsi="Times New Roman" w:cs="Times New Roman"/>
          <w:sz w:val="24"/>
          <w:szCs w:val="24"/>
        </w:rPr>
        <w:t xml:space="preserve"> returns.</w:t>
      </w:r>
      <w:r w:rsidR="00CD05D8" w:rsidRPr="00CB2DE6">
        <w:rPr>
          <w:rStyle w:val="FootnoteReference"/>
          <w:rFonts w:ascii="Times New Roman" w:hAnsi="Times New Roman" w:cs="Times New Roman"/>
          <w:sz w:val="24"/>
          <w:szCs w:val="24"/>
        </w:rPr>
        <w:footnoteReference w:id="4"/>
      </w:r>
      <w:r w:rsidR="00C47377"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The first candidate we consider is </w:t>
      </w:r>
      <w:r w:rsidR="0008180F" w:rsidRPr="00CB2DE6">
        <w:rPr>
          <w:rFonts w:ascii="Times New Roman" w:hAnsi="Times New Roman" w:cs="Times New Roman"/>
          <w:sz w:val="24"/>
          <w:szCs w:val="24"/>
        </w:rPr>
        <w:t>the</w:t>
      </w:r>
      <w:r w:rsidR="00041D92"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component </w:t>
      </w:r>
      <w:r w:rsidR="009017F8" w:rsidRPr="00CB2DE6">
        <w:rPr>
          <w:rFonts w:ascii="Times New Roman" w:hAnsi="Times New Roman" w:cs="Times New Roman"/>
          <w:sz w:val="24"/>
          <w:szCs w:val="24"/>
        </w:rPr>
        <w:t>GARCH (</w:t>
      </w:r>
      <w:r w:rsidRPr="00CB2DE6">
        <w:rPr>
          <w:rFonts w:ascii="Times New Roman" w:hAnsi="Times New Roman" w:cs="Times New Roman"/>
          <w:sz w:val="24"/>
          <w:szCs w:val="24"/>
        </w:rPr>
        <w:t xml:space="preserve">CGARCH) model </w:t>
      </w:r>
      <w:r w:rsidR="00041D92" w:rsidRPr="00CB2DE6">
        <w:rPr>
          <w:rFonts w:ascii="Times New Roman" w:hAnsi="Times New Roman" w:cs="Times New Roman"/>
          <w:sz w:val="24"/>
          <w:szCs w:val="24"/>
        </w:rPr>
        <w:t>introduced by Engle and Lee (1999) to parametrically capture global FX volatility dynamics at different horizons. The model decomposes the conditional volatility process into two separate AR components: (</w:t>
      </w:r>
      <w:r w:rsidR="003205F2" w:rsidRPr="00CB2DE6">
        <w:rPr>
          <w:rFonts w:ascii="Times New Roman" w:hAnsi="Times New Roman" w:cs="Times New Roman"/>
          <w:sz w:val="24"/>
          <w:szCs w:val="24"/>
        </w:rPr>
        <w:t>1</w:t>
      </w:r>
      <w:r w:rsidR="00041D92" w:rsidRPr="00CB2DE6">
        <w:rPr>
          <w:rFonts w:ascii="Times New Roman" w:hAnsi="Times New Roman" w:cs="Times New Roman"/>
          <w:sz w:val="24"/>
          <w:szCs w:val="24"/>
        </w:rPr>
        <w:t xml:space="preserve">) a time-varying </w:t>
      </w:r>
      <w:r w:rsidR="004C2474" w:rsidRPr="00CB2DE6">
        <w:rPr>
          <w:rFonts w:ascii="Times New Roman" w:hAnsi="Times New Roman" w:cs="Times New Roman"/>
          <w:sz w:val="24"/>
          <w:szCs w:val="24"/>
        </w:rPr>
        <w:t>long-</w:t>
      </w:r>
      <w:r w:rsidR="00170887" w:rsidRPr="00CB2DE6">
        <w:rPr>
          <w:rFonts w:ascii="Times New Roman" w:hAnsi="Times New Roman" w:cs="Times New Roman"/>
          <w:sz w:val="24"/>
          <w:szCs w:val="24"/>
        </w:rPr>
        <w:t xml:space="preserve">run </w:t>
      </w:r>
      <w:r w:rsidR="00041D92" w:rsidRPr="00CB2DE6">
        <w:rPr>
          <w:rFonts w:ascii="Times New Roman" w:hAnsi="Times New Roman" w:cs="Times New Roman"/>
          <w:sz w:val="24"/>
          <w:szCs w:val="24"/>
        </w:rPr>
        <w:t>trend component; and (</w:t>
      </w:r>
      <w:r w:rsidR="003205F2" w:rsidRPr="00CB2DE6">
        <w:rPr>
          <w:rFonts w:ascii="Times New Roman" w:hAnsi="Times New Roman" w:cs="Times New Roman"/>
          <w:sz w:val="24"/>
          <w:szCs w:val="24"/>
        </w:rPr>
        <w:t>2</w:t>
      </w:r>
      <w:r w:rsidR="00041D92" w:rsidRPr="00CB2DE6">
        <w:rPr>
          <w:rFonts w:ascii="Times New Roman" w:hAnsi="Times New Roman" w:cs="Times New Roman"/>
          <w:sz w:val="24"/>
          <w:szCs w:val="24"/>
        </w:rPr>
        <w:t xml:space="preserve">) a </w:t>
      </w:r>
      <w:r w:rsidR="004C2474" w:rsidRPr="00CB2DE6">
        <w:rPr>
          <w:rFonts w:ascii="Times New Roman" w:hAnsi="Times New Roman" w:cs="Times New Roman"/>
          <w:sz w:val="24"/>
          <w:szCs w:val="24"/>
        </w:rPr>
        <w:t>short-</w:t>
      </w:r>
      <w:r w:rsidR="00170887" w:rsidRPr="00CB2DE6">
        <w:rPr>
          <w:rFonts w:ascii="Times New Roman" w:hAnsi="Times New Roman" w:cs="Times New Roman"/>
          <w:sz w:val="24"/>
          <w:szCs w:val="24"/>
        </w:rPr>
        <w:t>run</w:t>
      </w:r>
      <w:r w:rsidR="00041D92" w:rsidRPr="00CB2DE6">
        <w:rPr>
          <w:rFonts w:ascii="Times New Roman" w:hAnsi="Times New Roman" w:cs="Times New Roman"/>
          <w:sz w:val="24"/>
          <w:szCs w:val="24"/>
        </w:rPr>
        <w:t xml:space="preserve"> transitory component as deviations from the trend. The conditional mean and </w:t>
      </w:r>
      <w:r w:rsidR="007A3FC0" w:rsidRPr="00CB2DE6">
        <w:rPr>
          <w:rFonts w:ascii="Times New Roman" w:hAnsi="Times New Roman" w:cs="Times New Roman"/>
          <w:sz w:val="24"/>
          <w:szCs w:val="24"/>
        </w:rPr>
        <w:t xml:space="preserve">the </w:t>
      </w:r>
      <w:r w:rsidR="00041D92" w:rsidRPr="00CB2DE6">
        <w:rPr>
          <w:rFonts w:ascii="Times New Roman" w:hAnsi="Times New Roman" w:cs="Times New Roman"/>
          <w:sz w:val="24"/>
          <w:szCs w:val="24"/>
        </w:rPr>
        <w:t xml:space="preserve">short- and </w:t>
      </w:r>
      <w:r w:rsidR="004C2474" w:rsidRPr="00CB2DE6">
        <w:rPr>
          <w:rFonts w:ascii="Times New Roman" w:hAnsi="Times New Roman" w:cs="Times New Roman"/>
          <w:sz w:val="24"/>
          <w:szCs w:val="24"/>
        </w:rPr>
        <w:t>long-</w:t>
      </w:r>
      <w:r w:rsidR="009017F8" w:rsidRPr="00CB2DE6">
        <w:rPr>
          <w:rFonts w:ascii="Times New Roman" w:hAnsi="Times New Roman" w:cs="Times New Roman"/>
          <w:sz w:val="24"/>
          <w:szCs w:val="24"/>
        </w:rPr>
        <w:t xml:space="preserve">run </w:t>
      </w:r>
      <w:r w:rsidR="00041D92" w:rsidRPr="00CB2DE6">
        <w:rPr>
          <w:rFonts w:ascii="Times New Roman" w:hAnsi="Times New Roman" w:cs="Times New Roman"/>
          <w:sz w:val="24"/>
          <w:szCs w:val="24"/>
        </w:rPr>
        <w:t xml:space="preserve">components are specified as   </w:t>
      </w:r>
    </w:p>
    <w:p w:rsidR="00041D92" w:rsidRPr="00CB2DE6" w:rsidRDefault="00497F73" w:rsidP="00472FAA">
      <w:pPr>
        <w:tabs>
          <w:tab w:val="left" w:pos="2977"/>
        </w:tabs>
        <w:spacing w:before="120" w:line="360" w:lineRule="auto"/>
        <w:ind w:firstLine="720"/>
        <w:jc w:val="both"/>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τ</m:t>
            </m:r>
          </m:sub>
        </m:sSub>
      </m:oMath>
      <w:r w:rsidR="00041D92" w:rsidRPr="00CB2DE6">
        <w:rPr>
          <w:rFonts w:ascii="Times New Roman" w:hAnsi="Times New Roman" w:cs="Times New Roman"/>
          <w:sz w:val="24"/>
          <w:szCs w:val="24"/>
        </w:rPr>
        <w:t xml:space="preserve"> ,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τ</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v</m:t>
            </m:r>
          </m:e>
          <m:sub>
            <m:r>
              <w:rPr>
                <w:rFonts w:ascii="Cambria Math" w:hAnsi="Cambria Math" w:cs="Times New Roman"/>
                <w:sz w:val="24"/>
                <w:szCs w:val="24"/>
              </w:rPr>
              <m:t>τ</m:t>
            </m:r>
          </m:sub>
        </m:sSub>
        <m:r>
          <w:rPr>
            <w:rFonts w:ascii="Cambria Math" w:hAnsi="Cambria Math" w:cs="Times New Roman"/>
            <w:sz w:val="24"/>
            <w:szCs w:val="24"/>
          </w:rPr>
          <m:t>~i.i.d. N</m:t>
        </m:r>
        <m:d>
          <m:dPr>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 xml:space="preserve">                                                                 (2)</m:t>
        </m:r>
      </m:oMath>
    </w:p>
    <w:p w:rsidR="00041D92" w:rsidRPr="00CB2DE6" w:rsidRDefault="00497F73" w:rsidP="00E8022B">
      <w:pPr>
        <w:spacing w:line="360" w:lineRule="auto"/>
        <w:ind w:left="720" w:firstLine="720"/>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τ</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2</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ϵ</m:t>
                  </m:r>
                </m:e>
                <m:sub>
                  <m:r>
                    <w:rPr>
                      <w:rFonts w:ascii="Cambria Math" w:hAnsi="Cambria Math" w:cs="Times New Roman"/>
                      <w:sz w:val="24"/>
                      <w:szCs w:val="24"/>
                    </w:rPr>
                    <m:t>τ-1</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τ-1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3</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ϵ</m:t>
                  </m:r>
                </m:e>
                <m:sub>
                  <m:r>
                    <w:rPr>
                      <w:rFonts w:ascii="Cambria Math" w:hAnsi="Cambria Math" w:cs="Times New Roman"/>
                      <w:sz w:val="24"/>
                      <w:szCs w:val="24"/>
                    </w:rPr>
                    <m:t>τ-1</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τ-1</m:t>
                  </m:r>
                </m:sub>
              </m:sSub>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τ-1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4</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τ-1</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τ-1</m:t>
                  </m:r>
                </m:sub>
              </m:sSub>
            </m:e>
          </m:d>
          <m:r>
            <w:rPr>
              <w:rFonts w:ascii="Cambria Math" w:hAnsi="Cambria Math" w:cs="Times New Roman"/>
              <w:sz w:val="24"/>
              <w:szCs w:val="24"/>
            </w:rPr>
            <m:t xml:space="preserve">                 (3)</m:t>
          </m:r>
        </m:oMath>
      </m:oMathPara>
    </w:p>
    <w:p w:rsidR="00041D92" w:rsidRPr="00CB2DE6" w:rsidRDefault="00497F73" w:rsidP="004D3ED1">
      <w:pPr>
        <w:tabs>
          <w:tab w:val="left" w:pos="2977"/>
        </w:tabs>
        <w:spacing w:after="120" w:line="360" w:lineRule="auto"/>
        <w:ind w:left="709"/>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6</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τ-1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5</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7</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ϵ</m:t>
                  </m:r>
                </m:e>
                <m:sub>
                  <m:r>
                    <w:rPr>
                      <w:rFonts w:ascii="Cambria Math" w:hAnsi="Cambria Math" w:cs="Times New Roman"/>
                      <w:sz w:val="24"/>
                      <w:szCs w:val="24"/>
                    </w:rPr>
                    <m:t>τ-1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τ-1</m:t>
                  </m:r>
                </m:sub>
                <m:sup>
                  <m:r>
                    <w:rPr>
                      <w:rFonts w:ascii="Cambria Math" w:hAnsi="Cambria Math" w:cs="Times New Roman"/>
                      <w:sz w:val="24"/>
                      <w:szCs w:val="24"/>
                    </w:rPr>
                    <m:t>2</m:t>
                  </m:r>
                </m:sup>
              </m:sSubSup>
            </m:e>
          </m:d>
          <m:r>
            <w:rPr>
              <w:rFonts w:ascii="Cambria Math" w:hAnsi="Cambria Math" w:cs="Times New Roman"/>
              <w:sz w:val="24"/>
              <w:szCs w:val="24"/>
            </w:rPr>
            <m:t>.                                                                (4)</m:t>
          </m:r>
        </m:oMath>
      </m:oMathPara>
    </w:p>
    <w:p w:rsidR="006A503E" w:rsidRPr="00CB2DE6" w:rsidRDefault="00041D92" w:rsidP="006A503E">
      <w:pPr>
        <w:tabs>
          <w:tab w:val="left" w:pos="2977"/>
          <w:tab w:val="left" w:pos="3119"/>
        </w:tabs>
        <w:spacing w:line="360" w:lineRule="auto"/>
        <w:ind w:firstLine="709"/>
        <w:jc w:val="both"/>
        <w:rPr>
          <w:rFonts w:ascii="Times New Roman" w:hAnsi="Times New Roman" w:cs="Times New Roman"/>
          <w:sz w:val="24"/>
          <w:szCs w:val="24"/>
        </w:rPr>
      </w:pPr>
      <w:r w:rsidRPr="00CB2DE6">
        <w:rPr>
          <w:rFonts w:ascii="Times New Roman" w:hAnsi="Times New Roman" w:cs="Times New Roman"/>
          <w:sz w:val="24"/>
          <w:szCs w:val="24"/>
        </w:rPr>
        <w:lastRenderedPageBreak/>
        <w:t xml:space="preserve">In equation (2),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τ</m:t>
            </m:r>
          </m:sub>
        </m:sSub>
      </m:oMath>
      <w:r w:rsidRPr="00CB2DE6">
        <w:rPr>
          <w:rFonts w:ascii="Times New Roman" w:hAnsi="Times New Roman" w:cs="Times New Roman"/>
          <w:i/>
          <w:sz w:val="24"/>
          <w:szCs w:val="24"/>
        </w:rPr>
        <w:t xml:space="preserve"> </w:t>
      </w:r>
      <w:r w:rsidRPr="00CB2DE6">
        <w:rPr>
          <w:rFonts w:ascii="Times New Roman" w:hAnsi="Times New Roman" w:cs="Times New Roman"/>
          <w:sz w:val="24"/>
          <w:szCs w:val="24"/>
        </w:rPr>
        <w:t xml:space="preserve">denotes an independently and identically distributed </w:t>
      </w:r>
      <w:r w:rsidR="00F227D6">
        <w:rPr>
          <w:rFonts w:ascii="Times New Roman" w:hAnsi="Times New Roman" w:cs="Times New Roman"/>
          <w:sz w:val="24"/>
          <w:szCs w:val="24"/>
        </w:rPr>
        <w:t xml:space="preserve">normal </w:t>
      </w:r>
      <w:r w:rsidRPr="00CB2DE6">
        <w:rPr>
          <w:rFonts w:ascii="Times New Roman" w:hAnsi="Times New Roman" w:cs="Times New Roman"/>
          <w:sz w:val="24"/>
          <w:szCs w:val="24"/>
        </w:rPr>
        <w:t xml:space="preserve">error term. We use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τ</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τ</m:t>
            </m:r>
          </m:sub>
        </m:sSub>
      </m:oMath>
      <w:r w:rsidRPr="00CB2DE6">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τ</m:t>
            </m:r>
          </m:sub>
        </m:sSub>
      </m:oMath>
      <w:r w:rsidRPr="00CB2DE6">
        <w:rPr>
          <w:rFonts w:ascii="Times New Roman" w:hAnsi="Times New Roman" w:cs="Times New Roman"/>
          <w:sz w:val="24"/>
          <w:szCs w:val="24"/>
        </w:rPr>
        <w:t xml:space="preserve"> to represent the short- and </w:t>
      </w:r>
      <w:r w:rsidR="004C2474" w:rsidRPr="00CB2DE6">
        <w:rPr>
          <w:rFonts w:ascii="Times New Roman" w:hAnsi="Times New Roman" w:cs="Times New Roman"/>
          <w:sz w:val="24"/>
          <w:szCs w:val="24"/>
        </w:rPr>
        <w:t>long-</w:t>
      </w:r>
      <w:r w:rsidR="00170887" w:rsidRPr="00CB2DE6">
        <w:rPr>
          <w:rFonts w:ascii="Times New Roman" w:hAnsi="Times New Roman" w:cs="Times New Roman"/>
          <w:sz w:val="24"/>
          <w:szCs w:val="24"/>
        </w:rPr>
        <w:t>run</w:t>
      </w:r>
      <w:r w:rsidRPr="00CB2DE6">
        <w:rPr>
          <w:rFonts w:ascii="Times New Roman" w:hAnsi="Times New Roman" w:cs="Times New Roman"/>
          <w:sz w:val="24"/>
          <w:szCs w:val="24"/>
        </w:rPr>
        <w:t xml:space="preserve"> components of the conditional variance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τ</m:t>
            </m:r>
          </m:sub>
          <m:sup>
            <m:r>
              <w:rPr>
                <w:rFonts w:ascii="Cambria Math" w:hAnsi="Cambria Math" w:cs="Times New Roman"/>
                <w:sz w:val="24"/>
                <w:szCs w:val="24"/>
              </w:rPr>
              <m:t>2</m:t>
            </m:r>
          </m:sup>
        </m:sSubSup>
      </m:oMath>
      <w:r w:rsidRPr="00CB2DE6">
        <w:rPr>
          <w:rFonts w:ascii="Times New Roman" w:hAnsi="Times New Roman" w:cs="Times New Roman"/>
          <w:sz w:val="24"/>
          <w:szCs w:val="24"/>
        </w:rPr>
        <w:t xml:space="preserve">, respectively. The sum of the parameters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2</m:t>
            </m:r>
          </m:sub>
        </m:sSub>
      </m:oMath>
      <w:r w:rsidRPr="00CB2DE6">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4</m:t>
            </m:r>
          </m:sub>
        </m:sSub>
      </m:oMath>
      <w:r w:rsidRPr="00CB2DE6">
        <w:rPr>
          <w:rFonts w:ascii="Times New Roman" w:hAnsi="Times New Roman" w:cs="Times New Roman"/>
          <w:sz w:val="24"/>
          <w:szCs w:val="24"/>
        </w:rPr>
        <w:t xml:space="preserve"> measures the noisier transitory shock persistence. The parameter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7</m:t>
            </m:r>
          </m:sub>
        </m:sSub>
      </m:oMath>
      <w:r w:rsidRPr="00CB2DE6">
        <w:rPr>
          <w:rFonts w:ascii="Times New Roman" w:hAnsi="Times New Roman" w:cs="Times New Roman"/>
          <w:sz w:val="24"/>
          <w:szCs w:val="24"/>
        </w:rPr>
        <w:t xml:space="preserve"> represents the initial effect of a shock to the </w:t>
      </w:r>
      <w:r w:rsidR="004C2474" w:rsidRPr="00CB2DE6">
        <w:rPr>
          <w:rFonts w:ascii="Times New Roman" w:hAnsi="Times New Roman" w:cs="Times New Roman"/>
          <w:sz w:val="24"/>
          <w:szCs w:val="24"/>
        </w:rPr>
        <w:t>long-</w:t>
      </w:r>
      <w:r w:rsidR="00170887" w:rsidRPr="00CB2DE6">
        <w:rPr>
          <w:rFonts w:ascii="Times New Roman" w:hAnsi="Times New Roman" w:cs="Times New Roman"/>
          <w:sz w:val="24"/>
          <w:szCs w:val="24"/>
        </w:rPr>
        <w:t>run</w:t>
      </w:r>
      <w:r w:rsidRPr="00CB2DE6">
        <w:rPr>
          <w:rFonts w:ascii="Times New Roman" w:hAnsi="Times New Roman" w:cs="Times New Roman"/>
          <w:sz w:val="24"/>
          <w:szCs w:val="24"/>
        </w:rPr>
        <w:t xml:space="preserve"> component, while the AR root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6</m:t>
            </m:r>
          </m:sub>
        </m:sSub>
      </m:oMath>
      <w:r w:rsidRPr="00CB2DE6">
        <w:rPr>
          <w:rFonts w:ascii="Times New Roman" w:hAnsi="Times New Roman" w:cs="Times New Roman"/>
          <w:sz w:val="24"/>
          <w:szCs w:val="24"/>
        </w:rPr>
        <w:t xml:space="preserve"> measures the shock persistence of the </w:t>
      </w:r>
      <w:r w:rsidR="004C2474" w:rsidRPr="00CB2DE6">
        <w:rPr>
          <w:rFonts w:ascii="Times New Roman" w:hAnsi="Times New Roman" w:cs="Times New Roman"/>
          <w:sz w:val="24"/>
          <w:szCs w:val="24"/>
        </w:rPr>
        <w:t>long-</w:t>
      </w:r>
      <w:r w:rsidR="009017F8" w:rsidRPr="00CB2DE6">
        <w:rPr>
          <w:rFonts w:ascii="Times New Roman" w:hAnsi="Times New Roman" w:cs="Times New Roman"/>
          <w:sz w:val="24"/>
          <w:szCs w:val="24"/>
        </w:rPr>
        <w:t xml:space="preserve">run </w:t>
      </w:r>
      <w:r w:rsidRPr="00CB2DE6">
        <w:rPr>
          <w:rFonts w:ascii="Times New Roman" w:hAnsi="Times New Roman" w:cs="Times New Roman"/>
          <w:sz w:val="24"/>
          <w:szCs w:val="24"/>
        </w:rPr>
        <w:t xml:space="preserve">component. The volatility dynamics for the </w:t>
      </w:r>
      <w:r w:rsidR="004C2474" w:rsidRPr="00CB2DE6">
        <w:rPr>
          <w:rFonts w:ascii="Times New Roman" w:hAnsi="Times New Roman" w:cs="Times New Roman"/>
          <w:sz w:val="24"/>
          <w:szCs w:val="24"/>
        </w:rPr>
        <w:t>short-</w:t>
      </w:r>
      <w:r w:rsidR="009017F8" w:rsidRPr="00CB2DE6">
        <w:rPr>
          <w:rFonts w:ascii="Times New Roman" w:hAnsi="Times New Roman" w:cs="Times New Roman"/>
          <w:sz w:val="24"/>
          <w:szCs w:val="24"/>
        </w:rPr>
        <w:t xml:space="preserve">run </w:t>
      </w:r>
      <w:r w:rsidRPr="00CB2DE6">
        <w:rPr>
          <w:rFonts w:ascii="Times New Roman" w:hAnsi="Times New Roman" w:cs="Times New Roman"/>
          <w:sz w:val="24"/>
          <w:szCs w:val="24"/>
        </w:rPr>
        <w:t>component require convergence to zero at a geometric</w:t>
      </w:r>
      <w:r w:rsidR="00C30B18" w:rsidRPr="00CB2DE6">
        <w:rPr>
          <w:rFonts w:ascii="Times New Roman" w:hAnsi="Times New Roman" w:cs="Times New Roman"/>
          <w:sz w:val="24"/>
          <w:szCs w:val="24"/>
        </w:rPr>
        <w:t xml:space="preserve"> rate </w:t>
      </w:r>
      <w:r w:rsidRPr="00CB2DE6">
        <w:rPr>
          <w:rFonts w:ascii="Times New Roman" w:hAnsi="Times New Roman" w:cs="Times New Roman"/>
          <w:sz w:val="24"/>
          <w:szCs w:val="24"/>
        </w:rPr>
        <w:t>of</w:t>
      </w:r>
      <w:r w:rsidR="009017F8" w:rsidRPr="00CB2DE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4</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6</m:t>
            </m:r>
          </m:sub>
        </m:sSub>
      </m:oMath>
      <w:r w:rsidR="00C30B18"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In contrast, the </w:t>
      </w:r>
      <w:r w:rsidR="004C2474" w:rsidRPr="00CB2DE6">
        <w:rPr>
          <w:rFonts w:ascii="Times New Roman" w:hAnsi="Times New Roman" w:cs="Times New Roman"/>
          <w:sz w:val="24"/>
          <w:szCs w:val="24"/>
        </w:rPr>
        <w:t>long-</w:t>
      </w:r>
      <w:r w:rsidR="00BA5C30" w:rsidRPr="00CB2DE6">
        <w:rPr>
          <w:rFonts w:ascii="Times New Roman" w:hAnsi="Times New Roman" w:cs="Times New Roman"/>
          <w:sz w:val="24"/>
          <w:szCs w:val="24"/>
        </w:rPr>
        <w:t>run</w:t>
      </w:r>
      <w:r w:rsidRPr="00CB2DE6">
        <w:rPr>
          <w:rFonts w:ascii="Times New Roman" w:hAnsi="Times New Roman" w:cs="Times New Roman"/>
          <w:sz w:val="24"/>
          <w:szCs w:val="24"/>
        </w:rPr>
        <w:t xml:space="preserve"> component requires slower convergence to its unconditional mean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5</m:t>
            </m:r>
          </m:sub>
        </m:sSub>
      </m:oMath>
      <w:r w:rsidRPr="00CB2DE6">
        <w:rPr>
          <w:rFonts w:ascii="Times New Roman" w:hAnsi="Times New Roman" w:cs="Times New Roman"/>
          <w:sz w:val="24"/>
          <w:szCs w:val="24"/>
        </w:rPr>
        <w:t xml:space="preserve"> at a geometric rate of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6</m:t>
            </m:r>
          </m:sub>
        </m:sSub>
      </m:oMath>
      <w:r w:rsidRPr="00CB2DE6">
        <w:rPr>
          <w:rFonts w:ascii="Times New Roman" w:hAnsi="Times New Roman" w:cs="Times New Roman"/>
          <w:sz w:val="24"/>
          <w:szCs w:val="24"/>
        </w:rPr>
        <w:t xml:space="preserve">. The individual means of the short- and </w:t>
      </w:r>
      <w:r w:rsidR="004C2474" w:rsidRPr="00CB2DE6">
        <w:rPr>
          <w:rFonts w:ascii="Times New Roman" w:hAnsi="Times New Roman" w:cs="Times New Roman"/>
          <w:sz w:val="24"/>
          <w:szCs w:val="24"/>
        </w:rPr>
        <w:t>long-</w:t>
      </w:r>
      <w:r w:rsidR="00BA5C30" w:rsidRPr="00CB2DE6">
        <w:rPr>
          <w:rFonts w:ascii="Times New Roman" w:hAnsi="Times New Roman" w:cs="Times New Roman"/>
          <w:sz w:val="24"/>
          <w:szCs w:val="24"/>
        </w:rPr>
        <w:t>run</w:t>
      </w:r>
      <w:r w:rsidRPr="00CB2DE6">
        <w:rPr>
          <w:rFonts w:ascii="Times New Roman" w:hAnsi="Times New Roman" w:cs="Times New Roman"/>
          <w:sz w:val="24"/>
          <w:szCs w:val="24"/>
        </w:rPr>
        <w:t xml:space="preserve"> components are not separately identifiable in the model. The two components determine the conditional volatility process additively. The model estimates only the unconditional mean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5</m:t>
            </m:r>
          </m:sub>
        </m:sSub>
      </m:oMath>
      <w:r w:rsidRPr="00CB2DE6">
        <w:rPr>
          <w:rFonts w:ascii="Times New Roman" w:hAnsi="Times New Roman" w:cs="Times New Roman"/>
          <w:sz w:val="24"/>
          <w:szCs w:val="24"/>
        </w:rPr>
        <w:t xml:space="preserve"> of the </w:t>
      </w:r>
      <w:r w:rsidR="004C2474" w:rsidRPr="00CB2DE6">
        <w:rPr>
          <w:rFonts w:ascii="Times New Roman" w:hAnsi="Times New Roman" w:cs="Times New Roman"/>
          <w:sz w:val="24"/>
          <w:szCs w:val="24"/>
        </w:rPr>
        <w:t>long-</w:t>
      </w:r>
      <w:r w:rsidR="00BA5C30" w:rsidRPr="00CB2DE6">
        <w:rPr>
          <w:rFonts w:ascii="Times New Roman" w:hAnsi="Times New Roman" w:cs="Times New Roman"/>
          <w:sz w:val="24"/>
          <w:szCs w:val="24"/>
        </w:rPr>
        <w:t xml:space="preserve">run </w:t>
      </w:r>
      <w:r w:rsidRPr="00CB2DE6">
        <w:rPr>
          <w:rFonts w:ascii="Times New Roman" w:hAnsi="Times New Roman" w:cs="Times New Roman"/>
          <w:sz w:val="24"/>
          <w:szCs w:val="24"/>
        </w:rPr>
        <w:t>component.</w:t>
      </w:r>
      <w:r w:rsidR="006A503E" w:rsidRPr="00CB2DE6">
        <w:rPr>
          <w:rFonts w:ascii="Times New Roman" w:hAnsi="Times New Roman" w:cs="Times New Roman"/>
          <w:sz w:val="24"/>
          <w:szCs w:val="24"/>
        </w:rPr>
        <w:t xml:space="preserve"> Finally, the volatility decomposition model allows for asymmetric effects upon “new information” arrival on the </w:t>
      </w:r>
      <w:r w:rsidR="00D54A6A">
        <w:rPr>
          <w:rFonts w:ascii="Times New Roman" w:hAnsi="Times New Roman" w:cs="Times New Roman"/>
          <w:sz w:val="24"/>
          <w:szCs w:val="24"/>
        </w:rPr>
        <w:t xml:space="preserve">short-run component </w:t>
      </w:r>
      <w:r w:rsidR="006A503E" w:rsidRPr="00CB2DE6">
        <w:rPr>
          <w:rFonts w:ascii="Times New Roman" w:hAnsi="Times New Roman" w:cs="Times New Roman"/>
          <w:sz w:val="24"/>
          <w:szCs w:val="24"/>
        </w:rPr>
        <w:t xml:space="preserve">by incorporating a dummy variable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τ-1</m:t>
            </m:r>
          </m:sub>
        </m:sSub>
      </m:oMath>
      <w:r w:rsidR="006A503E" w:rsidRPr="00CB2DE6">
        <w:rPr>
          <w:rFonts w:ascii="Times New Roman" w:hAnsi="Times New Roman" w:cs="Times New Roman"/>
          <w:sz w:val="24"/>
          <w:szCs w:val="24"/>
        </w:rPr>
        <w:t xml:space="preserve"> in equation (3), </w:t>
      </w:r>
      <w:r w:rsidR="00C30B18" w:rsidRPr="00CB2DE6">
        <w:rPr>
          <w:rFonts w:ascii="Times New Roman" w:hAnsi="Times New Roman" w:cs="Times New Roman"/>
          <w:sz w:val="24"/>
          <w:szCs w:val="24"/>
        </w:rPr>
        <w:t xml:space="preserve">that is,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τ-1</m:t>
            </m:r>
          </m:sub>
        </m:sSub>
      </m:oMath>
      <w:r w:rsidR="006A503E" w:rsidRPr="00CB2DE6">
        <w:rPr>
          <w:rFonts w:ascii="Times New Roman" w:hAnsi="Times New Roman" w:cs="Times New Roman"/>
          <w:sz w:val="24"/>
          <w:szCs w:val="24"/>
        </w:rPr>
        <w:t xml:space="preserve"> takes the value 1 if </w:t>
      </w:r>
      <m:oMath>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τ-1</m:t>
            </m:r>
          </m:sub>
        </m:sSub>
        <m:r>
          <w:rPr>
            <w:rFonts w:ascii="Cambria Math" w:hAnsi="Cambria Math" w:cs="Times New Roman"/>
            <w:sz w:val="24"/>
            <w:szCs w:val="24"/>
          </w:rPr>
          <m:t>&lt;0</m:t>
        </m:r>
      </m:oMath>
      <w:r w:rsidR="006A503E" w:rsidRPr="00CB2DE6">
        <w:rPr>
          <w:rFonts w:ascii="Times New Roman" w:hAnsi="Times New Roman" w:cs="Times New Roman"/>
          <w:sz w:val="25"/>
          <w:szCs w:val="25"/>
        </w:rPr>
        <w:t xml:space="preserve"> </w:t>
      </w:r>
      <w:r w:rsidR="006A503E" w:rsidRPr="00CB2DE6">
        <w:rPr>
          <w:rFonts w:ascii="Times New Roman" w:hAnsi="Times New Roman" w:cs="Times New Roman"/>
          <w:sz w:val="24"/>
          <w:szCs w:val="24"/>
        </w:rPr>
        <w:t>and zero otherwise.</w:t>
      </w:r>
      <w:r w:rsidR="006A503E" w:rsidRPr="00CB2DE6">
        <w:rPr>
          <w:rStyle w:val="FootnoteReference"/>
          <w:rFonts w:ascii="Times New Roman" w:hAnsi="Times New Roman" w:cs="Times New Roman"/>
          <w:sz w:val="24"/>
          <w:szCs w:val="24"/>
        </w:rPr>
        <w:footnoteReference w:id="5"/>
      </w:r>
    </w:p>
    <w:p w:rsidR="00C95DBD" w:rsidRPr="00CB2DE6" w:rsidRDefault="007A3FC0" w:rsidP="00472FAA">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The second candidate we consider, i</w:t>
      </w:r>
      <w:r w:rsidR="00C95DBD" w:rsidRPr="00CB2DE6">
        <w:rPr>
          <w:rFonts w:ascii="Times New Roman" w:hAnsi="Times New Roman" w:cs="Times New Roman"/>
          <w:sz w:val="24"/>
          <w:szCs w:val="24"/>
        </w:rPr>
        <w:t xml:space="preserve">n </w:t>
      </w:r>
      <w:r w:rsidRPr="00CB2DE6">
        <w:rPr>
          <w:rFonts w:ascii="Times New Roman" w:hAnsi="Times New Roman" w:cs="Times New Roman"/>
          <w:sz w:val="24"/>
          <w:szCs w:val="24"/>
        </w:rPr>
        <w:t>line with</w:t>
      </w:r>
      <w:r w:rsidR="00C95DBD" w:rsidRPr="00CB2DE6">
        <w:rPr>
          <w:rFonts w:ascii="Times New Roman" w:hAnsi="Times New Roman" w:cs="Times New Roman"/>
          <w:sz w:val="24"/>
          <w:szCs w:val="24"/>
        </w:rPr>
        <w:t xml:space="preserve"> Adrian and </w:t>
      </w:r>
      <w:r w:rsidR="004725C8" w:rsidRPr="00CB2DE6">
        <w:rPr>
          <w:rFonts w:ascii="Times New Roman" w:hAnsi="Times New Roman" w:cs="Times New Roman"/>
          <w:sz w:val="24"/>
          <w:szCs w:val="24"/>
        </w:rPr>
        <w:t>Rosenberg</w:t>
      </w:r>
      <w:r w:rsidR="00C95DBD" w:rsidRPr="00CB2DE6">
        <w:rPr>
          <w:rFonts w:ascii="Times New Roman" w:hAnsi="Times New Roman" w:cs="Times New Roman"/>
          <w:sz w:val="24"/>
          <w:szCs w:val="24"/>
        </w:rPr>
        <w:t xml:space="preserve"> (2008)</w:t>
      </w:r>
      <w:r w:rsidRPr="00CB2DE6">
        <w:rPr>
          <w:rFonts w:ascii="Times New Roman" w:hAnsi="Times New Roman" w:cs="Times New Roman"/>
          <w:sz w:val="24"/>
          <w:szCs w:val="24"/>
        </w:rPr>
        <w:t>,</w:t>
      </w:r>
      <w:r w:rsidR="00C95DBD" w:rsidRPr="00CB2DE6">
        <w:rPr>
          <w:rFonts w:ascii="Times New Roman" w:hAnsi="Times New Roman" w:cs="Times New Roman"/>
          <w:sz w:val="24"/>
          <w:szCs w:val="24"/>
        </w:rPr>
        <w:t xml:space="preserve"> </w:t>
      </w:r>
      <w:r w:rsidRPr="00CB2DE6">
        <w:rPr>
          <w:rFonts w:ascii="Times New Roman" w:hAnsi="Times New Roman" w:cs="Times New Roman"/>
          <w:sz w:val="24"/>
          <w:szCs w:val="24"/>
        </w:rPr>
        <w:t>is</w:t>
      </w:r>
      <w:r w:rsidR="00C95DBD"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a component </w:t>
      </w:r>
      <w:r w:rsidR="00BA5C30" w:rsidRPr="00CB2DE6">
        <w:rPr>
          <w:rFonts w:ascii="Times New Roman" w:hAnsi="Times New Roman" w:cs="Times New Roman"/>
          <w:sz w:val="24"/>
          <w:szCs w:val="24"/>
        </w:rPr>
        <w:t xml:space="preserve">exponential </w:t>
      </w:r>
      <w:r w:rsidRPr="00CB2DE6">
        <w:rPr>
          <w:rFonts w:ascii="Times New Roman" w:hAnsi="Times New Roman" w:cs="Times New Roman"/>
          <w:sz w:val="24"/>
          <w:szCs w:val="24"/>
        </w:rPr>
        <w:t>GARCH-in-mean (</w:t>
      </w:r>
      <w:r w:rsidR="009A79A7" w:rsidRPr="00CB2DE6">
        <w:rPr>
          <w:rFonts w:ascii="Times New Roman" w:hAnsi="Times New Roman" w:cs="Times New Roman"/>
          <w:sz w:val="24"/>
          <w:szCs w:val="24"/>
        </w:rPr>
        <w:t xml:space="preserve">henceforth </w:t>
      </w:r>
      <w:r w:rsidRPr="00CB2DE6">
        <w:rPr>
          <w:rFonts w:ascii="Times New Roman" w:hAnsi="Times New Roman" w:cs="Times New Roman"/>
          <w:sz w:val="24"/>
          <w:szCs w:val="24"/>
        </w:rPr>
        <w:t>CEGARCH) model</w:t>
      </w:r>
      <w:r w:rsidR="00BA5C30" w:rsidRPr="00CB2DE6">
        <w:rPr>
          <w:rFonts w:ascii="Times New Roman" w:hAnsi="Times New Roman" w:cs="Times New Roman"/>
          <w:sz w:val="24"/>
          <w:szCs w:val="24"/>
        </w:rPr>
        <w:t xml:space="preserve">. The model </w:t>
      </w:r>
      <w:r w:rsidR="00C95DBD" w:rsidRPr="00CB2DE6">
        <w:rPr>
          <w:rFonts w:ascii="Times New Roman" w:hAnsi="Times New Roman" w:cs="Times New Roman"/>
          <w:sz w:val="24"/>
          <w:szCs w:val="24"/>
        </w:rPr>
        <w:t xml:space="preserve">allows for </w:t>
      </w:r>
      <w:r w:rsidRPr="00CB2DE6">
        <w:rPr>
          <w:rFonts w:ascii="Times New Roman" w:hAnsi="Times New Roman" w:cs="Times New Roman"/>
          <w:sz w:val="24"/>
          <w:szCs w:val="24"/>
        </w:rPr>
        <w:t>a richer parametrization of the conditional variance of returns</w:t>
      </w:r>
      <w:r w:rsidR="002A0466" w:rsidRPr="00CB2DE6">
        <w:rPr>
          <w:rFonts w:ascii="Times New Roman" w:hAnsi="Times New Roman" w:cs="Times New Roman"/>
          <w:sz w:val="24"/>
          <w:szCs w:val="24"/>
        </w:rPr>
        <w:t xml:space="preserve"> since </w:t>
      </w:r>
      <w:r w:rsidRPr="00CB2DE6">
        <w:rPr>
          <w:rFonts w:ascii="Times New Roman" w:hAnsi="Times New Roman" w:cs="Times New Roman"/>
          <w:sz w:val="24"/>
          <w:szCs w:val="24"/>
        </w:rPr>
        <w:t xml:space="preserve">an </w:t>
      </w:r>
      <w:r w:rsidR="00C95DBD" w:rsidRPr="00CB2DE6">
        <w:rPr>
          <w:rFonts w:ascii="Times New Roman" w:hAnsi="Times New Roman" w:cs="Times New Roman"/>
          <w:sz w:val="24"/>
          <w:szCs w:val="24"/>
        </w:rPr>
        <w:t xml:space="preserve">asymmetric relationship between </w:t>
      </w:r>
      <w:r w:rsidR="00B2447C" w:rsidRPr="00CB2DE6">
        <w:rPr>
          <w:rFonts w:ascii="Times New Roman" w:hAnsi="Times New Roman" w:cs="Times New Roman"/>
          <w:sz w:val="24"/>
          <w:szCs w:val="24"/>
        </w:rPr>
        <w:t xml:space="preserve">global </w:t>
      </w:r>
      <w:r w:rsidR="00C95DBD" w:rsidRPr="00CB2DE6">
        <w:rPr>
          <w:rFonts w:ascii="Times New Roman" w:hAnsi="Times New Roman" w:cs="Times New Roman"/>
          <w:sz w:val="24"/>
          <w:szCs w:val="24"/>
        </w:rPr>
        <w:t xml:space="preserve">FX returns and both the short- and </w:t>
      </w:r>
      <w:r w:rsidR="004C2474" w:rsidRPr="00CB2DE6">
        <w:rPr>
          <w:rFonts w:ascii="Times New Roman" w:hAnsi="Times New Roman" w:cs="Times New Roman"/>
          <w:sz w:val="24"/>
          <w:szCs w:val="24"/>
        </w:rPr>
        <w:t>long-</w:t>
      </w:r>
      <w:r w:rsidR="00BA5C30" w:rsidRPr="00CB2DE6">
        <w:rPr>
          <w:rFonts w:ascii="Times New Roman" w:hAnsi="Times New Roman" w:cs="Times New Roman"/>
          <w:sz w:val="24"/>
          <w:szCs w:val="24"/>
        </w:rPr>
        <w:t xml:space="preserve">run </w:t>
      </w:r>
      <w:r w:rsidR="00C95DBD" w:rsidRPr="00CB2DE6">
        <w:rPr>
          <w:rFonts w:ascii="Times New Roman" w:hAnsi="Times New Roman" w:cs="Times New Roman"/>
          <w:sz w:val="24"/>
          <w:szCs w:val="24"/>
        </w:rPr>
        <w:t>volatility component</w:t>
      </w:r>
      <w:r w:rsidR="00BA5C30" w:rsidRPr="00CB2DE6">
        <w:rPr>
          <w:rFonts w:ascii="Times New Roman" w:hAnsi="Times New Roman" w:cs="Times New Roman"/>
          <w:sz w:val="24"/>
          <w:szCs w:val="24"/>
        </w:rPr>
        <w:t>s</w:t>
      </w:r>
      <w:r w:rsidR="00C95DBD" w:rsidRPr="00CB2DE6">
        <w:rPr>
          <w:rFonts w:ascii="Times New Roman" w:hAnsi="Times New Roman" w:cs="Times New Roman"/>
          <w:sz w:val="24"/>
          <w:szCs w:val="24"/>
        </w:rPr>
        <w:t xml:space="preserve"> </w:t>
      </w:r>
      <w:r w:rsidRPr="00CB2DE6">
        <w:rPr>
          <w:rFonts w:ascii="Times New Roman" w:hAnsi="Times New Roman" w:cs="Times New Roman"/>
          <w:sz w:val="24"/>
          <w:szCs w:val="24"/>
        </w:rPr>
        <w:t>is explicitly considered</w:t>
      </w:r>
      <w:r w:rsidR="00B2447C" w:rsidRPr="00CB2DE6">
        <w:rPr>
          <w:rFonts w:ascii="Times New Roman" w:hAnsi="Times New Roman" w:cs="Times New Roman"/>
          <w:sz w:val="24"/>
          <w:szCs w:val="24"/>
        </w:rPr>
        <w:t>. More precisely, the conditional mean and the volatility components are given by</w:t>
      </w:r>
    </w:p>
    <w:p w:rsidR="00480A52" w:rsidRPr="00CB2DE6" w:rsidRDefault="00497F73" w:rsidP="00472FAA">
      <w:pPr>
        <w:spacing w:before="120" w:line="360" w:lineRule="auto"/>
        <w:ind w:left="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r>
              <w:rPr>
                <w:rFonts w:ascii="Cambria Math" w:hAnsi="Cambria Math" w:cs="Times New Roman"/>
                <w:sz w:val="24"/>
                <w:szCs w:val="24"/>
              </w:rPr>
              <m:t>s</m:t>
            </m:r>
          </m:e>
          <m:sub>
            <m:r>
              <w:rPr>
                <w:rFonts w:ascii="Cambria Math" w:hAnsi="Cambria Math" w:cs="Times New Roman"/>
                <w:sz w:val="24"/>
                <w:szCs w:val="24"/>
              </w:rPr>
              <m:t>τ-1+</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3</m:t>
                </m:r>
              </m:sub>
            </m:sSub>
            <m:r>
              <w:rPr>
                <w:rFonts w:ascii="Cambria Math" w:hAnsi="Cambria Math" w:cs="Times New Roman"/>
                <w:sz w:val="24"/>
                <w:szCs w:val="24"/>
              </w:rPr>
              <m:t>l</m:t>
            </m:r>
          </m:e>
          <m:sub>
            <m:r>
              <w:rPr>
                <w:rFonts w:ascii="Cambria Math" w:hAnsi="Cambria Math" w:cs="Times New Roman"/>
                <w:sz w:val="24"/>
                <w:szCs w:val="24"/>
              </w:rPr>
              <m:t>τ-1+</m:t>
            </m:r>
          </m:sub>
        </m:sSub>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τ-1</m:t>
                </m:r>
              </m:sub>
            </m:sSub>
          </m:e>
        </m:ra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τ</m:t>
            </m:r>
          </m:sub>
        </m:sSub>
        <m:r>
          <w:rPr>
            <w:rFonts w:ascii="Cambria Math" w:hAnsi="Cambria Math" w:cs="Times New Roman"/>
            <w:sz w:val="24"/>
            <w:szCs w:val="24"/>
          </w:rPr>
          <m:t xml:space="preserve">,  </m:t>
        </m:r>
      </m:oMath>
      <w:r w:rsidR="00E17BDA" w:rsidRPr="00CB2DE6">
        <w:rPr>
          <w:rFonts w:ascii="Times New Roman" w:hAnsi="Times New Roman" w:cs="Times New Roman"/>
          <w:sz w:val="24"/>
          <w:szCs w:val="24"/>
        </w:rPr>
        <w:t xml:space="preserve"> </w:t>
      </w:r>
      <m:oMath>
        <m:r>
          <w:rPr>
            <w:rFonts w:ascii="Cambria Math" w:hAnsi="Cambria Math" w:cs="Times New Roman"/>
            <w:sz w:val="24"/>
            <w:szCs w:val="24"/>
          </w:rPr>
          <m:t>log</m:t>
        </m:r>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τ</m:t>
                </m:r>
              </m:sub>
            </m:sSub>
          </m:e>
        </m:ra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ε</m:t>
            </m:r>
          </m:e>
          <m:sub>
            <m:r>
              <w:rPr>
                <w:rFonts w:ascii="Cambria Math" w:hAnsi="Cambria Math" w:cs="Times New Roman"/>
                <w:sz w:val="24"/>
                <w:szCs w:val="24"/>
              </w:rPr>
              <m:t>τ</m:t>
            </m:r>
          </m:sub>
        </m:sSub>
        <m:r>
          <w:rPr>
            <w:rFonts w:ascii="Cambria Math" w:hAnsi="Cambria Math" w:cs="Times New Roman"/>
            <w:sz w:val="24"/>
            <w:szCs w:val="24"/>
          </w:rPr>
          <m:t>~i.i.d. N</m:t>
        </m:r>
        <m:d>
          <m:dPr>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 xml:space="preserve">             (5)</m:t>
        </m:r>
      </m:oMath>
    </w:p>
    <w:p w:rsidR="00480A52" w:rsidRPr="00CB2DE6" w:rsidRDefault="00497F73" w:rsidP="00480A52">
      <w:pPr>
        <w:spacing w:line="360" w:lineRule="auto"/>
        <w:ind w:left="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τ-1</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5</m:t>
                </m:r>
              </m:sub>
            </m:sSub>
            <m:r>
              <w:rPr>
                <w:rFonts w:ascii="Cambria Math" w:hAnsi="Cambria Math" w:cs="Times New Roman"/>
                <w:sz w:val="24"/>
                <w:szCs w:val="24"/>
              </w:rPr>
              <m:t>ε</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6</m:t>
            </m:r>
          </m:sub>
        </m:sSub>
        <m:d>
          <m:dPr>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τ</m:t>
                    </m:r>
                  </m:sub>
                </m:sSub>
              </m:e>
            </m:d>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type m:val="lin"/>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e>
            </m:rad>
          </m:e>
        </m:d>
        <m:r>
          <m:rPr>
            <m:sty m:val="p"/>
          </m:rPr>
          <w:rPr>
            <w:rFonts w:ascii="Cambria Math" w:hAnsi="Cambria Math" w:cs="Times New Roman"/>
            <w:sz w:val="24"/>
            <w:szCs w:val="24"/>
          </w:rPr>
          <m:t xml:space="preserve">                                                                            (6)</m:t>
        </m:r>
      </m:oMath>
      <w:r w:rsidR="00E17BDA" w:rsidRPr="00CB2DE6">
        <w:rPr>
          <w:rFonts w:ascii="Times New Roman" w:hAnsi="Times New Roman" w:cs="Times New Roman"/>
          <w:sz w:val="24"/>
          <w:szCs w:val="24"/>
        </w:rPr>
        <w:t xml:space="preserve"> </w:t>
      </w:r>
    </w:p>
    <w:p w:rsidR="00E17BDA" w:rsidRPr="00CB2DE6" w:rsidRDefault="00497F73" w:rsidP="004D3ED1">
      <w:pPr>
        <w:spacing w:after="120" w:line="360" w:lineRule="auto"/>
        <w:ind w:left="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7</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8</m:t>
            </m:r>
          </m:sub>
        </m:sSub>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τ-1</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9</m:t>
                </m:r>
              </m:sub>
            </m:sSub>
            <m:r>
              <w:rPr>
                <w:rFonts w:ascii="Cambria Math" w:hAnsi="Cambria Math" w:cs="Times New Roman"/>
                <w:sz w:val="24"/>
                <w:szCs w:val="24"/>
              </w:rPr>
              <m:t>ε</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10</m:t>
            </m:r>
          </m:sub>
        </m:sSub>
        <m:d>
          <m:dPr>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τ</m:t>
                    </m:r>
                  </m:sub>
                </m:sSub>
              </m:e>
            </m:d>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type m:val="lin"/>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e>
            </m:rad>
          </m:e>
        </m:d>
        <m:r>
          <w:rPr>
            <w:rFonts w:ascii="Cambria Math" w:hAnsi="Cambria Math" w:cs="Times New Roman"/>
            <w:sz w:val="24"/>
            <w:szCs w:val="24"/>
          </w:rPr>
          <m:t>,                                                                (7)</m:t>
        </m:r>
      </m:oMath>
      <w:r w:rsidR="00E17BDA" w:rsidRPr="00CB2DE6">
        <w:rPr>
          <w:rFonts w:ascii="Times New Roman" w:hAnsi="Times New Roman" w:cs="Times New Roman"/>
          <w:sz w:val="24"/>
          <w:szCs w:val="24"/>
        </w:rPr>
        <w:t xml:space="preserve"> </w:t>
      </w:r>
    </w:p>
    <w:p w:rsidR="003377B4" w:rsidRPr="00CB2DE6" w:rsidRDefault="00E525DB" w:rsidP="004602FC">
      <w:pPr>
        <w:tabs>
          <w:tab w:val="left" w:pos="2977"/>
          <w:tab w:val="left" w:pos="3119"/>
        </w:tabs>
        <w:spacing w:after="240" w:line="360" w:lineRule="auto"/>
        <w:jc w:val="both"/>
        <w:rPr>
          <w:rFonts w:ascii="Times New Roman" w:hAnsi="Times New Roman" w:cs="Times New Roman"/>
          <w:sz w:val="24"/>
          <w:szCs w:val="24"/>
        </w:rPr>
      </w:pPr>
      <w:r w:rsidRPr="00CB2DE6">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τ</m:t>
            </m:r>
          </m:sub>
        </m:sSub>
      </m:oMath>
      <w:r w:rsidRPr="00CB2DE6">
        <w:rPr>
          <w:rFonts w:ascii="Times New Roman" w:hAnsi="Times New Roman" w:cs="Times New Roman"/>
          <w:i/>
          <w:sz w:val="24"/>
          <w:szCs w:val="24"/>
        </w:rPr>
        <w:t xml:space="preserve"> </w:t>
      </w:r>
      <w:r w:rsidRPr="00CB2DE6">
        <w:rPr>
          <w:rFonts w:ascii="Times New Roman" w:hAnsi="Times New Roman" w:cs="Times New Roman"/>
          <w:sz w:val="24"/>
          <w:szCs w:val="24"/>
        </w:rPr>
        <w:t xml:space="preserve">is an independently and identically distributed </w:t>
      </w:r>
      <w:r w:rsidR="006A2DFA" w:rsidRPr="00CB2DE6">
        <w:rPr>
          <w:rFonts w:ascii="Times New Roman" w:hAnsi="Times New Roman" w:cs="Times New Roman"/>
          <w:sz w:val="24"/>
          <w:szCs w:val="24"/>
        </w:rPr>
        <w:t xml:space="preserve">normal </w:t>
      </w:r>
      <w:r w:rsidRPr="00CB2DE6">
        <w:rPr>
          <w:rFonts w:ascii="Times New Roman" w:hAnsi="Times New Roman" w:cs="Times New Roman"/>
          <w:sz w:val="24"/>
          <w:szCs w:val="24"/>
        </w:rPr>
        <w:t>error term</w:t>
      </w:r>
      <w:r w:rsidR="006A2DFA" w:rsidRPr="00CB2DE6">
        <w:rPr>
          <w:rFonts w:ascii="Times New Roman" w:hAnsi="Times New Roman" w:cs="Times New Roman"/>
          <w:sz w:val="24"/>
          <w:szCs w:val="24"/>
        </w:rPr>
        <w:t xml:space="preserve"> with zero mean and unit variance,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τ</m:t>
            </m:r>
          </m:sub>
        </m:sSub>
      </m:oMath>
      <w:r w:rsidR="006A2DFA" w:rsidRPr="00CB2DE6">
        <w:rPr>
          <w:rFonts w:ascii="Times New Roman" w:hAnsi="Times New Roman" w:cs="Times New Roman"/>
          <w:sz w:val="24"/>
          <w:szCs w:val="24"/>
        </w:rPr>
        <w:t xml:space="preserve"> is the </w:t>
      </w:r>
      <w:r w:rsidR="00C40A8B">
        <w:rPr>
          <w:rFonts w:ascii="Times New Roman" w:hAnsi="Times New Roman" w:cs="Times New Roman"/>
          <w:sz w:val="24"/>
          <w:szCs w:val="24"/>
        </w:rPr>
        <w:t>(</w:t>
      </w:r>
      <w:r w:rsidR="003377B4" w:rsidRPr="00CB2DE6">
        <w:rPr>
          <w:rFonts w:ascii="Times New Roman" w:hAnsi="Times New Roman" w:cs="Times New Roman"/>
          <w:sz w:val="24"/>
          <w:szCs w:val="24"/>
        </w:rPr>
        <w:t>quickly mean-reverting</w:t>
      </w:r>
      <w:r w:rsidR="00C40A8B">
        <w:rPr>
          <w:rFonts w:ascii="Times New Roman" w:hAnsi="Times New Roman" w:cs="Times New Roman"/>
          <w:sz w:val="24"/>
          <w:szCs w:val="24"/>
        </w:rPr>
        <w:t>)</w:t>
      </w:r>
      <w:r w:rsidR="003377B4" w:rsidRPr="00CB2DE6">
        <w:rPr>
          <w:rFonts w:ascii="Times New Roman" w:hAnsi="Times New Roman" w:cs="Times New Roman"/>
          <w:sz w:val="24"/>
          <w:szCs w:val="24"/>
        </w:rPr>
        <w:t xml:space="preserve"> </w:t>
      </w:r>
      <w:r w:rsidR="006A2DFA" w:rsidRPr="00CB2DE6">
        <w:rPr>
          <w:rFonts w:ascii="Times New Roman" w:hAnsi="Times New Roman" w:cs="Times New Roman"/>
          <w:sz w:val="24"/>
          <w:szCs w:val="24"/>
        </w:rPr>
        <w:t>short-run component</w:t>
      </w:r>
      <w:r w:rsidR="003377B4" w:rsidRPr="00CB2DE6">
        <w:rPr>
          <w:rFonts w:ascii="Times New Roman" w:hAnsi="Times New Roman" w:cs="Times New Roman"/>
          <w:sz w:val="24"/>
          <w:szCs w:val="24"/>
        </w:rPr>
        <w:t xml:space="preserve"> </w:t>
      </w:r>
      <m:oMath>
        <m:d>
          <m:dPr>
            <m:ctrlPr>
              <w:rPr>
                <w:rFonts w:ascii="Cambria Math" w:hAnsi="Cambria Math" w:cs="Times New Roman"/>
                <w:i/>
                <w:sz w:val="24"/>
                <w:szCs w:val="24"/>
              </w:rPr>
            </m:ctrlPr>
          </m:dPr>
          <m:e>
            <m:r>
              <m:rPr>
                <m:sty m:val="p"/>
              </m:rPr>
              <w:rPr>
                <w:rFonts w:ascii="Cambria Math" w:hAnsi="Cambria Math" w:cs="Times New Roman"/>
                <w:sz w:val="24"/>
                <w:szCs w:val="24"/>
              </w:rPr>
              <m:t>with</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4</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8</m:t>
                </m:r>
              </m:sub>
            </m:sSub>
          </m:e>
        </m:d>
      </m:oMath>
      <w:r w:rsidR="003377B4" w:rsidRPr="00CB2DE6">
        <w:rPr>
          <w:rFonts w:ascii="Times New Roman" w:hAnsi="Times New Roman" w:cs="Times New Roman"/>
          <w:sz w:val="24"/>
          <w:szCs w:val="24"/>
        </w:rPr>
        <w:t xml:space="preserve"> </w:t>
      </w:r>
      <w:r w:rsidR="006A2DFA" w:rsidRPr="00CB2DE6">
        <w:rPr>
          <w:rFonts w:ascii="Times New Roman" w:hAnsi="Times New Roman" w:cs="Times New Roman"/>
          <w:sz w:val="24"/>
          <w:szCs w:val="24"/>
        </w:rPr>
        <w:t xml:space="preserve">, </w:t>
      </w:r>
      <w:r w:rsidR="00E30443" w:rsidRPr="00CB2DE6">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τ</m:t>
            </m:r>
          </m:sub>
        </m:sSub>
      </m:oMath>
      <w:r w:rsidR="006A2DFA" w:rsidRPr="00CB2DE6">
        <w:rPr>
          <w:rFonts w:ascii="Times New Roman" w:hAnsi="Times New Roman" w:cs="Times New Roman"/>
          <w:sz w:val="24"/>
          <w:szCs w:val="24"/>
        </w:rPr>
        <w:t xml:space="preserve"> is the </w:t>
      </w:r>
      <w:r w:rsidR="00C40A8B">
        <w:rPr>
          <w:rFonts w:ascii="Times New Roman" w:hAnsi="Times New Roman" w:cs="Times New Roman"/>
          <w:sz w:val="24"/>
          <w:szCs w:val="24"/>
        </w:rPr>
        <w:t>(</w:t>
      </w:r>
      <w:r w:rsidR="003377B4" w:rsidRPr="00CB2DE6">
        <w:rPr>
          <w:rFonts w:ascii="Times New Roman" w:hAnsi="Times New Roman" w:cs="Times New Roman"/>
          <w:sz w:val="24"/>
          <w:szCs w:val="24"/>
        </w:rPr>
        <w:t>slowly mean-reverting</w:t>
      </w:r>
      <w:r w:rsidR="00C40A8B">
        <w:rPr>
          <w:rFonts w:ascii="Times New Roman" w:hAnsi="Times New Roman" w:cs="Times New Roman"/>
          <w:sz w:val="24"/>
          <w:szCs w:val="24"/>
        </w:rPr>
        <w:t>)</w:t>
      </w:r>
      <w:r w:rsidR="003377B4" w:rsidRPr="00CB2DE6">
        <w:rPr>
          <w:rFonts w:ascii="Times New Roman" w:hAnsi="Times New Roman" w:cs="Times New Roman"/>
          <w:sz w:val="24"/>
          <w:szCs w:val="24"/>
        </w:rPr>
        <w:t xml:space="preserve"> </w:t>
      </w:r>
      <w:r w:rsidR="006A2DFA" w:rsidRPr="00CB2DE6">
        <w:rPr>
          <w:rFonts w:ascii="Times New Roman" w:hAnsi="Times New Roman" w:cs="Times New Roman"/>
          <w:sz w:val="24"/>
          <w:szCs w:val="24"/>
        </w:rPr>
        <w:t>long-run component</w:t>
      </w:r>
      <w:r w:rsidR="00E30443" w:rsidRPr="00CB2DE6">
        <w:rPr>
          <w:rFonts w:ascii="Times New Roman" w:hAnsi="Times New Roman" w:cs="Times New Roman"/>
          <w:sz w:val="24"/>
          <w:szCs w:val="24"/>
        </w:rPr>
        <w:t xml:space="preserve">. The terms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τ</m:t>
                </m:r>
              </m:sub>
            </m:sSub>
          </m:e>
        </m:d>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type m:val="lin"/>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e>
        </m:rad>
      </m:oMath>
      <w:r w:rsidR="00E30443" w:rsidRPr="00CB2DE6">
        <w:rPr>
          <w:rFonts w:ascii="Times New Roman" w:hAnsi="Times New Roman" w:cs="Times New Roman"/>
          <w:sz w:val="24"/>
          <w:szCs w:val="24"/>
        </w:rPr>
        <w:t xml:space="preserve"> in equations (6)</w:t>
      </w:r>
      <w:r w:rsidR="006A6AB0" w:rsidRPr="00CB2DE6">
        <w:rPr>
          <w:rFonts w:ascii="Times New Roman" w:hAnsi="Times New Roman" w:cs="Times New Roman"/>
          <w:sz w:val="24"/>
          <w:szCs w:val="24"/>
        </w:rPr>
        <w:t xml:space="preserve"> and </w:t>
      </w:r>
      <w:r w:rsidR="00E30443" w:rsidRPr="00CB2DE6">
        <w:rPr>
          <w:rFonts w:ascii="Times New Roman" w:hAnsi="Times New Roman" w:cs="Times New Roman"/>
          <w:sz w:val="24"/>
          <w:szCs w:val="24"/>
        </w:rPr>
        <w:t>(7) denote the shocks to the volatility components</w:t>
      </w:r>
      <w:r w:rsidR="00B2447C" w:rsidRPr="00CB2DE6">
        <w:rPr>
          <w:rFonts w:ascii="Times New Roman" w:hAnsi="Times New Roman" w:cs="Times New Roman"/>
          <w:sz w:val="24"/>
          <w:szCs w:val="24"/>
        </w:rPr>
        <w:t xml:space="preserve"> and their expected values are equal to z</w:t>
      </w:r>
      <w:r w:rsidR="003000E0" w:rsidRPr="00CB2DE6">
        <w:rPr>
          <w:rFonts w:ascii="Times New Roman" w:hAnsi="Times New Roman" w:cs="Times New Roman"/>
          <w:sz w:val="24"/>
          <w:szCs w:val="24"/>
        </w:rPr>
        <w:t xml:space="preserve">ero under the normality of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τ</m:t>
            </m:r>
          </m:sub>
        </m:sSub>
      </m:oMath>
      <w:r w:rsidR="00E30443" w:rsidRPr="00CB2DE6">
        <w:rPr>
          <w:rFonts w:ascii="Times New Roman" w:hAnsi="Times New Roman" w:cs="Times New Roman"/>
          <w:sz w:val="24"/>
          <w:szCs w:val="24"/>
        </w:rPr>
        <w:t>.</w:t>
      </w:r>
      <w:r w:rsidR="003000E0" w:rsidRPr="00CB2DE6">
        <w:rPr>
          <w:rFonts w:ascii="Times New Roman" w:hAnsi="Times New Roman" w:cs="Times New Roman"/>
          <w:sz w:val="24"/>
          <w:szCs w:val="24"/>
        </w:rPr>
        <w:t xml:space="preserve"> </w:t>
      </w:r>
      <w:r w:rsidR="003377B4" w:rsidRPr="00CB2DE6">
        <w:rPr>
          <w:rFonts w:ascii="Times New Roman" w:hAnsi="Times New Roman" w:cs="Times New Roman"/>
          <w:sz w:val="24"/>
          <w:szCs w:val="24"/>
        </w:rPr>
        <w:t xml:space="preserve">Similar to Adrian and Rosenberg (2008), we </w:t>
      </w:r>
      <w:r w:rsidR="00B2447C" w:rsidRPr="00CB2DE6">
        <w:rPr>
          <w:rFonts w:ascii="Times New Roman" w:hAnsi="Times New Roman" w:cs="Times New Roman"/>
          <w:sz w:val="24"/>
          <w:szCs w:val="24"/>
        </w:rPr>
        <w:t xml:space="preserve">also </w:t>
      </w:r>
      <w:r w:rsidR="003377B4" w:rsidRPr="00CB2DE6">
        <w:rPr>
          <w:rFonts w:ascii="Times New Roman" w:hAnsi="Times New Roman" w:cs="Times New Roman"/>
          <w:sz w:val="24"/>
          <w:szCs w:val="24"/>
        </w:rPr>
        <w:t xml:space="preserve">normalize the </w:t>
      </w:r>
      <w:r w:rsidR="003377B4" w:rsidRPr="00CB2DE6">
        <w:rPr>
          <w:rFonts w:ascii="Times New Roman" w:hAnsi="Times New Roman" w:cs="Times New Roman"/>
          <w:sz w:val="24"/>
          <w:szCs w:val="24"/>
        </w:rPr>
        <w:lastRenderedPageBreak/>
        <w:t xml:space="preserve">unconditional mean of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τ</m:t>
            </m:r>
          </m:sub>
        </m:sSub>
        <m:r>
          <w:rPr>
            <w:rFonts w:ascii="Cambria Math" w:hAnsi="Cambria Math" w:cs="Times New Roman"/>
            <w:sz w:val="24"/>
            <w:szCs w:val="24"/>
          </w:rPr>
          <m:t xml:space="preserve"> </m:t>
        </m:r>
      </m:oMath>
      <w:r w:rsidR="003377B4" w:rsidRPr="00CB2DE6">
        <w:rPr>
          <w:rFonts w:ascii="Times New Roman" w:hAnsi="Times New Roman" w:cs="Times New Roman"/>
          <w:sz w:val="24"/>
          <w:szCs w:val="24"/>
        </w:rPr>
        <w:t>to be zero.</w:t>
      </w:r>
      <w:r w:rsidR="006A6AB0" w:rsidRPr="00CB2DE6">
        <w:rPr>
          <w:rFonts w:ascii="Times New Roman" w:hAnsi="Times New Roman" w:cs="Times New Roman"/>
          <w:sz w:val="24"/>
          <w:szCs w:val="24"/>
        </w:rPr>
        <w:t xml:space="preserve"> </w:t>
      </w:r>
      <w:r w:rsidR="003377B4" w:rsidRPr="00CB2DE6">
        <w:rPr>
          <w:rFonts w:ascii="Times New Roman" w:hAnsi="Times New Roman" w:cs="Times New Roman"/>
          <w:sz w:val="24"/>
          <w:szCs w:val="24"/>
        </w:rPr>
        <w:t>The coefficient</w:t>
      </w:r>
      <w:r w:rsidR="006A6AB0" w:rsidRPr="00CB2DE6">
        <w:rPr>
          <w:rFonts w:ascii="Times New Roman" w:hAnsi="Times New Roman" w:cs="Times New Roman"/>
          <w:sz w:val="24"/>
          <w:szCs w:val="24"/>
        </w:rPr>
        <w:t xml:space="preserve">s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5</m:t>
            </m:r>
          </m:sub>
        </m:sSub>
      </m:oMath>
      <w:r w:rsidR="006A6AB0" w:rsidRPr="00CB2DE6">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9</m:t>
            </m:r>
          </m:sub>
        </m:sSub>
      </m:oMath>
      <w:r w:rsidR="006A6AB0" w:rsidRPr="00CB2DE6">
        <w:rPr>
          <w:rFonts w:ascii="Times New Roman" w:hAnsi="Times New Roman" w:cs="Times New Roman"/>
          <w:sz w:val="24"/>
          <w:szCs w:val="24"/>
        </w:rPr>
        <w:t xml:space="preserve"> </w:t>
      </w:r>
      <w:r w:rsidR="003377B4" w:rsidRPr="00CB2DE6">
        <w:rPr>
          <w:rFonts w:ascii="Times New Roman" w:hAnsi="Times New Roman" w:cs="Times New Roman"/>
          <w:sz w:val="24"/>
          <w:szCs w:val="24"/>
        </w:rPr>
        <w:t xml:space="preserve">measure the </w:t>
      </w:r>
      <w:r w:rsidR="006A6AB0" w:rsidRPr="00CB2DE6">
        <w:rPr>
          <w:rFonts w:ascii="Times New Roman" w:hAnsi="Times New Roman" w:cs="Times New Roman"/>
          <w:sz w:val="24"/>
          <w:szCs w:val="24"/>
        </w:rPr>
        <w:t>asymmetric</w:t>
      </w:r>
      <w:r w:rsidR="003377B4" w:rsidRPr="00CB2DE6">
        <w:rPr>
          <w:rFonts w:ascii="Times New Roman" w:hAnsi="Times New Roman" w:cs="Times New Roman"/>
          <w:sz w:val="24"/>
          <w:szCs w:val="24"/>
        </w:rPr>
        <w:t xml:space="preserve"> effects of returns on </w:t>
      </w:r>
      <w:r w:rsidR="006A6AB0" w:rsidRPr="00CB2DE6">
        <w:rPr>
          <w:rFonts w:ascii="Times New Roman" w:hAnsi="Times New Roman" w:cs="Times New Roman"/>
          <w:sz w:val="24"/>
          <w:szCs w:val="24"/>
        </w:rPr>
        <w:t xml:space="preserve">the </w:t>
      </w:r>
      <w:r w:rsidR="003377B4" w:rsidRPr="00CB2DE6">
        <w:rPr>
          <w:rFonts w:ascii="Times New Roman" w:hAnsi="Times New Roman" w:cs="Times New Roman"/>
          <w:sz w:val="24"/>
          <w:szCs w:val="24"/>
        </w:rPr>
        <w:t>short- and long-run components of</w:t>
      </w:r>
      <w:r w:rsidR="006A6AB0" w:rsidRPr="00CB2DE6">
        <w:rPr>
          <w:rFonts w:ascii="Times New Roman" w:hAnsi="Times New Roman" w:cs="Times New Roman"/>
          <w:sz w:val="24"/>
          <w:szCs w:val="24"/>
        </w:rPr>
        <w:t xml:space="preserve"> volatility.</w:t>
      </w:r>
      <w:r w:rsidR="003377B4"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 </w:t>
      </w:r>
    </w:p>
    <w:p w:rsidR="00041D92" w:rsidRPr="00CB2DE6" w:rsidRDefault="00041D92" w:rsidP="00041D92">
      <w:pPr>
        <w:spacing w:after="120" w:line="360" w:lineRule="auto"/>
        <w:ind w:firstLine="720"/>
        <w:jc w:val="both"/>
        <w:rPr>
          <w:rFonts w:ascii="Times New Roman" w:hAnsi="Times New Roman" w:cs="Times New Roman"/>
          <w:b/>
          <w:sz w:val="24"/>
          <w:szCs w:val="24"/>
        </w:rPr>
      </w:pPr>
      <w:r w:rsidRPr="00CB2DE6">
        <w:rPr>
          <w:rFonts w:ascii="Times New Roman" w:hAnsi="Times New Roman" w:cs="Times New Roman"/>
          <w:b/>
          <w:sz w:val="24"/>
          <w:szCs w:val="24"/>
        </w:rPr>
        <w:t>2.3</w:t>
      </w:r>
      <w:r w:rsidRPr="00CB2DE6">
        <w:rPr>
          <w:rFonts w:ascii="Times New Roman" w:hAnsi="Times New Roman" w:cs="Times New Roman"/>
          <w:b/>
          <w:sz w:val="24"/>
          <w:szCs w:val="24"/>
        </w:rPr>
        <w:tab/>
      </w:r>
      <w:r w:rsidR="00CD05D8" w:rsidRPr="00CB2DE6">
        <w:rPr>
          <w:rFonts w:ascii="Times New Roman" w:hAnsi="Times New Roman" w:cs="Times New Roman"/>
          <w:b/>
          <w:sz w:val="24"/>
          <w:szCs w:val="24"/>
        </w:rPr>
        <w:t>Asset Pricing Tests</w:t>
      </w:r>
    </w:p>
    <w:p w:rsidR="00041D92" w:rsidRPr="00CB2DE6" w:rsidRDefault="00041D92" w:rsidP="00472FAA">
      <w:pPr>
        <w:tabs>
          <w:tab w:val="left" w:pos="709"/>
        </w:tabs>
        <w:spacing w:line="360" w:lineRule="auto"/>
        <w:jc w:val="both"/>
        <w:rPr>
          <w:rFonts w:ascii="Times New Roman" w:hAnsi="Times New Roman" w:cs="Times New Roman"/>
          <w:sz w:val="24"/>
          <w:szCs w:val="24"/>
        </w:rPr>
      </w:pPr>
      <w:r w:rsidRPr="00CB2DE6">
        <w:rPr>
          <w:rFonts w:ascii="Times New Roman" w:hAnsi="Times New Roman" w:cs="Times New Roman"/>
          <w:b/>
          <w:sz w:val="24"/>
          <w:szCs w:val="24"/>
        </w:rPr>
        <w:tab/>
      </w:r>
      <w:r w:rsidR="00FC6724" w:rsidRPr="00CB2DE6">
        <w:rPr>
          <w:rFonts w:ascii="Times New Roman" w:hAnsi="Times New Roman" w:cs="Times New Roman"/>
          <w:sz w:val="24"/>
          <w:szCs w:val="24"/>
        </w:rPr>
        <w:t xml:space="preserve">After decomposing the volatility of </w:t>
      </w:r>
      <w:r w:rsidR="00CA615C" w:rsidRPr="00CB2DE6">
        <w:rPr>
          <w:rFonts w:ascii="Times New Roman" w:hAnsi="Times New Roman" w:cs="Times New Roman"/>
          <w:sz w:val="24"/>
          <w:szCs w:val="24"/>
        </w:rPr>
        <w:t xml:space="preserve">global FX returns into </w:t>
      </w:r>
      <w:r w:rsidR="004602FC" w:rsidRPr="00CB2DE6">
        <w:rPr>
          <w:rFonts w:ascii="Times New Roman" w:hAnsi="Times New Roman" w:cs="Times New Roman"/>
          <w:sz w:val="24"/>
          <w:szCs w:val="24"/>
        </w:rPr>
        <w:t xml:space="preserve">short- </w:t>
      </w:r>
      <w:r w:rsidR="00CA615C" w:rsidRPr="00CB2DE6">
        <w:rPr>
          <w:rFonts w:ascii="Times New Roman" w:hAnsi="Times New Roman" w:cs="Times New Roman"/>
          <w:sz w:val="24"/>
          <w:szCs w:val="24"/>
        </w:rPr>
        <w:t xml:space="preserve">and </w:t>
      </w:r>
      <w:r w:rsidR="004602FC" w:rsidRPr="00CB2DE6">
        <w:rPr>
          <w:rFonts w:ascii="Times New Roman" w:hAnsi="Times New Roman" w:cs="Times New Roman"/>
          <w:sz w:val="24"/>
          <w:szCs w:val="24"/>
        </w:rPr>
        <w:t xml:space="preserve">long-run </w:t>
      </w:r>
      <w:r w:rsidR="00CA615C" w:rsidRPr="00CB2DE6">
        <w:rPr>
          <w:rFonts w:ascii="Times New Roman" w:hAnsi="Times New Roman" w:cs="Times New Roman"/>
          <w:sz w:val="24"/>
          <w:szCs w:val="24"/>
        </w:rPr>
        <w:t xml:space="preserve">components, we assess their pricing power </w:t>
      </w:r>
      <w:r w:rsidR="004D3ED1">
        <w:rPr>
          <w:rFonts w:ascii="Times New Roman" w:hAnsi="Times New Roman" w:cs="Times New Roman"/>
          <w:sz w:val="24"/>
          <w:szCs w:val="24"/>
        </w:rPr>
        <w:t xml:space="preserve">in </w:t>
      </w:r>
      <w:r w:rsidR="00CA615C" w:rsidRPr="00CB2DE6">
        <w:rPr>
          <w:rFonts w:ascii="Times New Roman" w:hAnsi="Times New Roman" w:cs="Times New Roman"/>
          <w:sz w:val="24"/>
          <w:szCs w:val="24"/>
        </w:rPr>
        <w:t xml:space="preserve">the cross-section of carry trade returns. </w:t>
      </w:r>
      <w:r w:rsidRPr="00CB2DE6">
        <w:rPr>
          <w:rFonts w:ascii="Times New Roman" w:hAnsi="Times New Roman" w:cs="Times New Roman"/>
          <w:sz w:val="24"/>
          <w:szCs w:val="24"/>
        </w:rPr>
        <w:t xml:space="preserve">Risk-based explanations for carry trade returns suggest that in the absence of arbitrage opportunities, excess return on each portfolio </w:t>
      </w:r>
      <m:oMath>
        <m:r>
          <w:rPr>
            <w:rFonts w:ascii="Cambria Math" w:hAnsi="Cambria Math" w:cs="Times New Roman"/>
            <w:sz w:val="24"/>
            <w:szCs w:val="24"/>
          </w:rPr>
          <m:t>i</m:t>
        </m:r>
      </m:oMath>
      <w:r w:rsidRPr="00CB2DE6">
        <w:rPr>
          <w:rFonts w:ascii="Times New Roman" w:hAnsi="Times New Roman" w:cs="Times New Roman"/>
          <w:sz w:val="24"/>
          <w:szCs w:val="24"/>
        </w:rPr>
        <w:t xml:space="preserve"> </w:t>
      </w:r>
      <w:r w:rsidR="00106670" w:rsidRPr="00CB2DE6">
        <w:rPr>
          <w:rFonts w:ascii="Times New Roman" w:hAnsi="Times New Roman" w:cs="Times New Roman"/>
          <w:sz w:val="24"/>
          <w:szCs w:val="24"/>
        </w:rPr>
        <w:t xml:space="preserve">has </w:t>
      </w:r>
      <w:r w:rsidRPr="00CB2DE6">
        <w:rPr>
          <w:rFonts w:ascii="Times New Roman" w:hAnsi="Times New Roman" w:cs="Times New Roman"/>
          <w:sz w:val="24"/>
          <w:szCs w:val="24"/>
        </w:rPr>
        <w:t xml:space="preserve">a zero price. This implies that excess return to a portfolio must satisfy: </w:t>
      </w:r>
    </w:p>
    <w:p w:rsidR="00041D92" w:rsidRPr="00CB2DE6" w:rsidRDefault="00041D92" w:rsidP="00472FAA">
      <w:pPr>
        <w:tabs>
          <w:tab w:val="left" w:pos="567"/>
          <w:tab w:val="left" w:pos="709"/>
          <w:tab w:val="left" w:pos="851"/>
        </w:tabs>
        <w:spacing w:before="120" w:after="120"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E</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t+1</m:t>
                  </m:r>
                </m:sub>
              </m:sSub>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t+1</m:t>
                  </m:r>
                </m:sub>
                <m:sup>
                  <m:r>
                    <w:rPr>
                      <w:rFonts w:ascii="Cambria Math" w:hAnsi="Cambria Math" w:cs="Times New Roman"/>
                      <w:sz w:val="24"/>
                      <w:szCs w:val="24"/>
                    </w:rPr>
                    <m:t>i</m:t>
                  </m:r>
                </m:sup>
              </m:sSubSup>
            </m:e>
          </m:d>
          <m:r>
            <w:rPr>
              <w:rFonts w:ascii="Cambria Math" w:hAnsi="Cambria Math" w:cs="Times New Roman"/>
              <w:sz w:val="24"/>
              <w:szCs w:val="24"/>
            </w:rPr>
            <m:t xml:space="preserve">=0,                                                                                                                    </m:t>
          </m:r>
          <m:d>
            <m:dPr>
              <m:ctrlPr>
                <w:rPr>
                  <w:rFonts w:ascii="Cambria Math" w:hAnsi="Cambria Math" w:cs="Times New Roman"/>
                  <w:i/>
                  <w:sz w:val="24"/>
                  <w:szCs w:val="24"/>
                </w:rPr>
              </m:ctrlPr>
            </m:dPr>
            <m:e>
              <m:r>
                <w:rPr>
                  <w:rFonts w:ascii="Cambria Math" w:hAnsi="Cambria Math" w:cs="Times New Roman"/>
                  <w:sz w:val="24"/>
                  <w:szCs w:val="24"/>
                </w:rPr>
                <m:t>8</m:t>
              </m:r>
            </m:e>
          </m:d>
        </m:oMath>
      </m:oMathPara>
    </w:p>
    <w:p w:rsidR="00041D92" w:rsidRPr="00CB2DE6" w:rsidRDefault="00106670" w:rsidP="00472FAA">
      <w:pPr>
        <w:tabs>
          <w:tab w:val="left" w:pos="567"/>
          <w:tab w:val="left" w:pos="709"/>
          <w:tab w:val="left" w:pos="851"/>
        </w:tabs>
        <w:spacing w:line="360" w:lineRule="auto"/>
        <w:jc w:val="both"/>
        <w:rPr>
          <w:rFonts w:ascii="Times New Roman" w:hAnsi="Times New Roman" w:cs="Times New Roman"/>
          <w:sz w:val="24"/>
          <w:szCs w:val="24"/>
        </w:rPr>
      </w:pPr>
      <w:r w:rsidRPr="00CB2DE6">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 xml:space="preserve">t </m:t>
            </m:r>
          </m:sub>
        </m:sSub>
      </m:oMath>
      <w:r w:rsidRPr="00CB2DE6">
        <w:rPr>
          <w:rFonts w:ascii="Times New Roman" w:hAnsi="Times New Roman" w:cs="Times New Roman"/>
          <w:sz w:val="24"/>
          <w:szCs w:val="24"/>
        </w:rPr>
        <w:t xml:space="preserve">is the expectations operator conditional on information available at the end of period </w:t>
      </w:r>
      <m:oMath>
        <m:r>
          <w:rPr>
            <w:rFonts w:ascii="Cambria Math" w:hAnsi="Cambria Math" w:cs="Times New Roman"/>
            <w:sz w:val="24"/>
            <w:szCs w:val="24"/>
          </w:rPr>
          <m:t>t</m:t>
        </m:r>
      </m:oMath>
      <w:r w:rsidRPr="00CB2DE6">
        <w:rPr>
          <w:rFonts w:ascii="Times New Roman" w:hAnsi="Times New Roman" w:cs="Times New Roman"/>
          <w:sz w:val="24"/>
          <w:szCs w:val="24"/>
        </w:rPr>
        <w:t>,</w:t>
      </w:r>
      <w:r w:rsidRPr="00CB2DE6">
        <w:rPr>
          <w:rStyle w:val="FootnoteReference"/>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t+1</m:t>
            </m:r>
          </m:sub>
          <m:sup>
            <m:r>
              <w:rPr>
                <w:rFonts w:ascii="Cambria Math" w:hAnsi="Cambria Math" w:cs="Times New Roman"/>
                <w:sz w:val="24"/>
                <w:szCs w:val="24"/>
              </w:rPr>
              <m:t>i</m:t>
            </m:r>
          </m:sup>
        </m:sSubSup>
      </m:oMath>
      <w:r w:rsidR="007810F8" w:rsidRPr="00CB2DE6">
        <w:rPr>
          <w:rFonts w:ascii="Times New Roman" w:hAnsi="Times New Roman" w:cs="Times New Roman"/>
          <w:sz w:val="24"/>
          <w:szCs w:val="24"/>
        </w:rPr>
        <w:t xml:space="preserve"> </w:t>
      </w:r>
      <w:r w:rsidR="004602FC" w:rsidRPr="00CB2DE6">
        <w:rPr>
          <w:rFonts w:ascii="Times New Roman" w:hAnsi="Times New Roman" w:cs="Times New Roman"/>
          <w:sz w:val="24"/>
          <w:szCs w:val="24"/>
        </w:rPr>
        <w:t xml:space="preserve">is </w:t>
      </w:r>
      <w:r w:rsidR="007810F8" w:rsidRPr="00CB2DE6">
        <w:rPr>
          <w:rFonts w:ascii="Times New Roman" w:hAnsi="Times New Roman" w:cs="Times New Roman"/>
          <w:sz w:val="24"/>
          <w:szCs w:val="24"/>
        </w:rPr>
        <w:t xml:space="preserve">the excess return on a carry trade portfolio </w:t>
      </w:r>
      <w:r w:rsidR="007810F8" w:rsidRPr="00CB2DE6">
        <w:rPr>
          <w:rFonts w:ascii="Times New Roman" w:hAnsi="Times New Roman" w:cs="Times New Roman"/>
          <w:i/>
          <w:sz w:val="24"/>
          <w:szCs w:val="24"/>
        </w:rPr>
        <w:t>i</w:t>
      </w:r>
      <w:r w:rsidR="007810F8" w:rsidRPr="00CB2DE6">
        <w:rPr>
          <w:rFonts w:ascii="Times New Roman" w:hAnsi="Times New Roman" w:cs="Times New Roman"/>
          <w:sz w:val="24"/>
          <w:szCs w:val="24"/>
        </w:rPr>
        <w:t>,</w:t>
      </w:r>
      <w:r w:rsidRPr="00CB2DE6">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t+1 </m:t>
            </m:r>
          </m:sub>
        </m:sSub>
      </m:oMath>
      <w:r w:rsidR="007810F8" w:rsidRPr="00CB2DE6">
        <w:rPr>
          <w:rFonts w:ascii="Times New Roman" w:hAnsi="Times New Roman" w:cs="Times New Roman"/>
          <w:sz w:val="24"/>
          <w:szCs w:val="24"/>
        </w:rPr>
        <w:t>is</w:t>
      </w:r>
      <w:r w:rsidR="00041D92" w:rsidRPr="00CB2DE6">
        <w:rPr>
          <w:rFonts w:ascii="Times New Roman" w:hAnsi="Times New Roman" w:cs="Times New Roman"/>
          <w:sz w:val="24"/>
          <w:szCs w:val="24"/>
        </w:rPr>
        <w:t xml:space="preserve"> the stochastic discount factor</w:t>
      </w:r>
      <w:r w:rsidR="007810F8" w:rsidRPr="00CB2DE6">
        <w:rPr>
          <w:rFonts w:ascii="Times New Roman" w:hAnsi="Times New Roman" w:cs="Times New Roman"/>
          <w:sz w:val="24"/>
          <w:szCs w:val="24"/>
        </w:rPr>
        <w:t xml:space="preserve"> (SDF)</w:t>
      </w:r>
      <w:r w:rsidR="003C7E58" w:rsidRPr="00CB2DE6">
        <w:rPr>
          <w:rFonts w:ascii="Times New Roman" w:hAnsi="Times New Roman" w:cs="Times New Roman"/>
          <w:sz w:val="24"/>
          <w:szCs w:val="24"/>
        </w:rPr>
        <w:t xml:space="preserve">. </w:t>
      </w:r>
      <w:r w:rsidR="00041D92" w:rsidRPr="00CB2DE6">
        <w:rPr>
          <w:rFonts w:ascii="Times New Roman" w:hAnsi="Times New Roman" w:cs="Times New Roman"/>
          <w:sz w:val="24"/>
          <w:szCs w:val="24"/>
        </w:rPr>
        <w:t>Restricting the SDF to be linear in the vector of pricing factors gives</w:t>
      </w:r>
    </w:p>
    <w:p w:rsidR="00041D92" w:rsidRPr="00CB2DE6" w:rsidRDefault="00041D92" w:rsidP="00472FAA">
      <w:pPr>
        <w:tabs>
          <w:tab w:val="left" w:pos="567"/>
          <w:tab w:val="left" w:pos="709"/>
          <w:tab w:val="left" w:pos="851"/>
        </w:tabs>
        <w:spacing w:before="120" w:after="120"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=1-</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r>
                    <w:rPr>
                      <w:rFonts w:ascii="Cambria Math" w:hAnsi="Cambria Math" w:cs="Times New Roman"/>
                      <w:sz w:val="24"/>
                      <w:szCs w:val="24"/>
                    </w:rPr>
                    <m:t>-μ</m:t>
                  </m:r>
                </m:e>
              </m:d>
            </m:e>
            <m:sup>
              <m:r>
                <w:rPr>
                  <w:rFonts w:ascii="Cambria Math" w:hAnsi="Cambria Math" w:cs="Times New Roman"/>
                  <w:sz w:val="24"/>
                  <w:szCs w:val="24"/>
                </w:rPr>
                <m:t>'</m:t>
              </m:r>
            </m:sup>
          </m:sSup>
          <m:r>
            <w:rPr>
              <w:rFonts w:ascii="Cambria Math" w:hAnsi="Cambria Math" w:cs="Times New Roman"/>
              <w:sz w:val="24"/>
              <w:szCs w:val="24"/>
            </w:rPr>
            <m:t xml:space="preserve">b,                                                                                                               </m:t>
          </m:r>
          <m:d>
            <m:dPr>
              <m:ctrlPr>
                <w:rPr>
                  <w:rFonts w:ascii="Cambria Math" w:hAnsi="Cambria Math" w:cs="Times New Roman"/>
                  <w:i/>
                  <w:sz w:val="24"/>
                  <w:szCs w:val="24"/>
                </w:rPr>
              </m:ctrlPr>
            </m:dPr>
            <m:e>
              <m:r>
                <w:rPr>
                  <w:rFonts w:ascii="Cambria Math" w:hAnsi="Cambria Math" w:cs="Times New Roman"/>
                  <w:sz w:val="24"/>
                  <w:szCs w:val="24"/>
                </w:rPr>
                <m:t>9</m:t>
              </m:r>
            </m:e>
          </m:d>
        </m:oMath>
      </m:oMathPara>
    </w:p>
    <w:p w:rsidR="00041D92" w:rsidRPr="00CB2DE6" w:rsidRDefault="00041D92" w:rsidP="00472FAA">
      <w:pPr>
        <w:spacing w:line="360" w:lineRule="auto"/>
        <w:jc w:val="both"/>
        <w:rPr>
          <w:rFonts w:ascii="Times New Roman" w:hAnsi="Times New Roman" w:cs="Times New Roman"/>
          <w:sz w:val="24"/>
          <w:szCs w:val="24"/>
        </w:rPr>
      </w:pPr>
      <w:r w:rsidRPr="00CB2DE6">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Pr="00CB2DE6">
        <w:rPr>
          <w:rFonts w:ascii="Times New Roman" w:hAnsi="Times New Roman" w:cs="Times New Roman"/>
          <w:sz w:val="24"/>
          <w:szCs w:val="24"/>
        </w:rPr>
        <w:t xml:space="preserve"> is a </w:t>
      </w:r>
      <m:oMath>
        <m:r>
          <w:rPr>
            <w:rFonts w:ascii="Cambria Math" w:hAnsi="Cambria Math" w:cs="Times New Roman"/>
            <w:sz w:val="24"/>
            <w:szCs w:val="24"/>
          </w:rPr>
          <m:t>j×1</m:t>
        </m:r>
      </m:oMath>
      <w:r w:rsidRPr="00CB2DE6">
        <w:rPr>
          <w:rFonts w:ascii="Times New Roman" w:hAnsi="Times New Roman" w:cs="Times New Roman"/>
          <w:sz w:val="24"/>
          <w:szCs w:val="24"/>
        </w:rPr>
        <w:t xml:space="preserve"> vector of risk factors, </w:t>
      </w:r>
      <m:oMath>
        <m:r>
          <w:rPr>
            <w:rFonts w:ascii="Cambria Math" w:hAnsi="Cambria Math" w:cs="Times New Roman"/>
            <w:sz w:val="24"/>
            <w:szCs w:val="24"/>
          </w:rPr>
          <m:t xml:space="preserve"> μ=E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e>
        </m:d>
      </m:oMath>
      <w:r w:rsidRPr="00CB2DE6">
        <w:rPr>
          <w:rFonts w:ascii="Times New Roman" w:hAnsi="Times New Roman" w:cs="Times New Roman"/>
          <w:sz w:val="24"/>
          <w:szCs w:val="24"/>
        </w:rPr>
        <w:t xml:space="preserve">, and </w:t>
      </w:r>
      <m:oMath>
        <m:r>
          <w:rPr>
            <w:rFonts w:ascii="Cambria Math" w:hAnsi="Cambria Math" w:cs="Times New Roman"/>
            <w:sz w:val="24"/>
            <w:szCs w:val="24"/>
          </w:rPr>
          <m:t xml:space="preserve">b </m:t>
        </m:r>
      </m:oMath>
      <w:r w:rsidRPr="00CB2DE6">
        <w:rPr>
          <w:rFonts w:ascii="Times New Roman" w:hAnsi="Times New Roman" w:cs="Times New Roman"/>
          <w:sz w:val="24"/>
          <w:szCs w:val="24"/>
        </w:rPr>
        <w:t xml:space="preserve">is a </w:t>
      </w:r>
      <m:oMath>
        <m:r>
          <w:rPr>
            <w:rFonts w:ascii="Cambria Math" w:hAnsi="Cambria Math" w:cs="Times New Roman"/>
            <w:sz w:val="24"/>
            <w:szCs w:val="24"/>
          </w:rPr>
          <m:t>j×1</m:t>
        </m:r>
      </m:oMath>
      <w:r w:rsidRPr="00CB2DE6">
        <w:rPr>
          <w:rFonts w:ascii="Times New Roman" w:hAnsi="Times New Roman" w:cs="Times New Roman"/>
          <w:sz w:val="24"/>
          <w:szCs w:val="24"/>
        </w:rPr>
        <w:t xml:space="preserve"> vector of SDF parameters. Given equations (</w:t>
      </w:r>
      <w:r w:rsidR="00CA615C" w:rsidRPr="00CB2DE6">
        <w:rPr>
          <w:rFonts w:ascii="Times New Roman" w:hAnsi="Times New Roman" w:cs="Times New Roman"/>
          <w:sz w:val="24"/>
          <w:szCs w:val="24"/>
        </w:rPr>
        <w:t>8</w:t>
      </w:r>
      <w:r w:rsidRPr="00CB2DE6">
        <w:rPr>
          <w:rFonts w:ascii="Times New Roman" w:hAnsi="Times New Roman" w:cs="Times New Roman"/>
          <w:sz w:val="24"/>
          <w:szCs w:val="24"/>
        </w:rPr>
        <w:t>) and (</w:t>
      </w:r>
      <w:r w:rsidR="00CA615C" w:rsidRPr="00CB2DE6">
        <w:rPr>
          <w:rFonts w:ascii="Times New Roman" w:hAnsi="Times New Roman" w:cs="Times New Roman"/>
          <w:sz w:val="24"/>
          <w:szCs w:val="24"/>
        </w:rPr>
        <w:t>9</w:t>
      </w:r>
      <w:r w:rsidRPr="00CB2DE6">
        <w:rPr>
          <w:rFonts w:ascii="Times New Roman" w:hAnsi="Times New Roman" w:cs="Times New Roman"/>
          <w:sz w:val="24"/>
          <w:szCs w:val="24"/>
        </w:rPr>
        <w:t xml:space="preserve">), there exists a </w:t>
      </w:r>
      <m:oMath>
        <m:r>
          <w:rPr>
            <w:rFonts w:ascii="Cambria Math" w:hAnsi="Cambria Math" w:cs="Times New Roman"/>
            <w:sz w:val="24"/>
            <w:szCs w:val="24"/>
          </w:rPr>
          <m:t>j×1</m:t>
        </m:r>
      </m:oMath>
      <w:r w:rsidRPr="00CB2DE6">
        <w:rPr>
          <w:rFonts w:ascii="Times New Roman" w:hAnsi="Times New Roman" w:cs="Times New Roman"/>
          <w:sz w:val="24"/>
          <w:szCs w:val="24"/>
        </w:rPr>
        <w:t xml:space="preserve"> vector of factor risk prices </w:t>
      </w:r>
      <m:oMath>
        <m:r>
          <w:rPr>
            <w:rFonts w:ascii="Cambria Math" w:hAnsi="Cambria Math" w:cs="Times New Roman"/>
            <w:sz w:val="24"/>
            <w:szCs w:val="24"/>
          </w:rPr>
          <m:t>λ=</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h</m:t>
            </m:r>
          </m:sub>
          <m:sup/>
          <m:e>
            <m:r>
              <w:rPr>
                <w:rFonts w:ascii="Cambria Math" w:hAnsi="Cambria Math" w:cs="Times New Roman"/>
                <w:sz w:val="24"/>
                <w:szCs w:val="24"/>
              </w:rPr>
              <m:t>b</m:t>
            </m:r>
          </m:e>
        </m:nary>
        <m:r>
          <w:rPr>
            <w:rFonts w:ascii="Cambria Math" w:hAnsi="Cambria Math" w:cs="Times New Roman"/>
            <w:sz w:val="24"/>
            <w:szCs w:val="24"/>
          </w:rPr>
          <m:t xml:space="preserve"> </m:t>
        </m:r>
      </m:oMath>
      <w:r w:rsidRPr="00CB2DE6">
        <w:rPr>
          <w:rFonts w:ascii="Times New Roman" w:hAnsi="Times New Roman" w:cs="Times New Roman"/>
          <w:sz w:val="24"/>
          <w:szCs w:val="24"/>
        </w:rPr>
        <w:t>such that</w:t>
      </w:r>
    </w:p>
    <w:p w:rsidR="00041D92" w:rsidRPr="00CB2DE6" w:rsidRDefault="00041D92" w:rsidP="00472FAA">
      <w:pPr>
        <w:tabs>
          <w:tab w:val="left" w:pos="567"/>
          <w:tab w:val="left" w:pos="709"/>
          <w:tab w:val="left" w:pos="851"/>
        </w:tabs>
        <w:spacing w:before="120" w:after="120"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             E</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rPr>
                    <m:t>i</m:t>
                  </m:r>
                </m:sup>
              </m:sSubSup>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 xml:space="preserve">λ,                                                                                                                             </m:t>
          </m:r>
          <m:d>
            <m:dPr>
              <m:ctrlPr>
                <w:rPr>
                  <w:rFonts w:ascii="Cambria Math" w:hAnsi="Cambria Math" w:cs="Times New Roman"/>
                  <w:i/>
                  <w:sz w:val="24"/>
                  <w:szCs w:val="24"/>
                </w:rPr>
              </m:ctrlPr>
            </m:dPr>
            <m:e>
              <m:r>
                <w:rPr>
                  <w:rFonts w:ascii="Cambria Math" w:hAnsi="Cambria Math" w:cs="Times New Roman"/>
                  <w:sz w:val="24"/>
                  <w:szCs w:val="24"/>
                </w:rPr>
                <m:t>10</m:t>
              </m:r>
            </m:e>
          </m:d>
        </m:oMath>
      </m:oMathPara>
    </w:p>
    <w:p w:rsidR="00041D92" w:rsidRPr="00CB2DE6" w:rsidRDefault="00041D92" w:rsidP="00472FAA">
      <w:pPr>
        <w:tabs>
          <w:tab w:val="left" w:pos="709"/>
        </w:tabs>
        <w:spacing w:line="360" w:lineRule="auto"/>
        <w:jc w:val="both"/>
        <w:rPr>
          <w:rFonts w:ascii="Times New Roman" w:hAnsi="Times New Roman" w:cs="Times New Roman"/>
          <w:sz w:val="24"/>
          <w:szCs w:val="24"/>
        </w:rPr>
      </w:pPr>
      <w:r w:rsidRPr="00CB2DE6">
        <w:rPr>
          <w:rFonts w:ascii="Times New Roman" w:hAnsi="Times New Roman" w:cs="Times New Roman"/>
          <w:sz w:val="24"/>
          <w:szCs w:val="24"/>
        </w:rPr>
        <w:t xml:space="preserve">where </w:t>
      </w:r>
      <m:oMath>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h</m:t>
            </m:r>
          </m:sub>
          <m:sup/>
          <m:e>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r>
                      <w:rPr>
                        <w:rFonts w:ascii="Cambria Math" w:hAnsi="Cambria Math" w:cs="Times New Roman"/>
                        <w:sz w:val="24"/>
                        <w:szCs w:val="24"/>
                      </w:rPr>
                      <m:t>-μ</m:t>
                    </m:r>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r>
                      <w:rPr>
                        <w:rFonts w:ascii="Cambria Math" w:hAnsi="Cambria Math" w:cs="Times New Roman"/>
                        <w:sz w:val="24"/>
                        <w:szCs w:val="24"/>
                      </w:rPr>
                      <m:t>-μ</m:t>
                    </m:r>
                  </m:e>
                </m:d>
                <m:r>
                  <w:rPr>
                    <w:rFonts w:ascii="Cambria Math" w:hAnsi="Cambria Math" w:cs="Times New Roman"/>
                    <w:sz w:val="24"/>
                    <w:szCs w:val="24"/>
                  </w:rPr>
                  <m:t>'</m:t>
                </m:r>
              </m:e>
            </m:d>
          </m:e>
        </m:nary>
      </m:oMath>
      <w:r w:rsidRPr="00CB2DE6">
        <w:rPr>
          <w:rFonts w:ascii="Times New Roman" w:hAnsi="Times New Roman" w:cs="Times New Roman"/>
          <w:sz w:val="24"/>
          <w:szCs w:val="24"/>
        </w:rPr>
        <w:t xml:space="preserve"> is the </w:t>
      </w:r>
      <w:r w:rsidR="00C63B6F">
        <w:rPr>
          <w:rFonts w:ascii="Times New Roman" w:hAnsi="Times New Roman" w:cs="Times New Roman"/>
          <w:sz w:val="24"/>
          <w:szCs w:val="24"/>
        </w:rPr>
        <w:t xml:space="preserve">factor </w:t>
      </w:r>
      <w:r w:rsidRPr="00CB2DE6">
        <w:rPr>
          <w:rFonts w:ascii="Times New Roman" w:hAnsi="Times New Roman" w:cs="Times New Roman"/>
          <w:sz w:val="24"/>
          <w:szCs w:val="24"/>
        </w:rPr>
        <w:t xml:space="preserve">covariance matrix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oMath>
      <w:r w:rsidR="004602FC" w:rsidRPr="00CB2DE6">
        <w:rPr>
          <w:rFonts w:ascii="Times New Roman" w:hAnsi="Times New Roman" w:cs="Times New Roman"/>
          <w:sz w:val="24"/>
          <w:szCs w:val="24"/>
        </w:rPr>
        <w:t xml:space="preserve"> </w:t>
      </w:r>
      <w:r w:rsidR="00C63B6F">
        <w:rPr>
          <w:rFonts w:ascii="Times New Roman" w:hAnsi="Times New Roman" w:cs="Times New Roman"/>
          <w:sz w:val="24"/>
          <w:szCs w:val="24"/>
        </w:rPr>
        <w:t xml:space="preserve">are </w:t>
      </w:r>
      <w:r w:rsidRPr="00CB2DE6">
        <w:rPr>
          <w:rFonts w:ascii="Times New Roman" w:hAnsi="Times New Roman" w:cs="Times New Roman"/>
          <w:sz w:val="24"/>
          <w:szCs w:val="24"/>
        </w:rPr>
        <w:t xml:space="preserve">the population coefficients in a regression of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rPr>
              <m:t>i</m:t>
            </m:r>
          </m:sup>
        </m:sSubSup>
        <m:r>
          <w:rPr>
            <w:rFonts w:ascii="Cambria Math" w:hAnsi="Cambria Math" w:cs="Times New Roman"/>
            <w:sz w:val="24"/>
            <w:szCs w:val="24"/>
          </w:rPr>
          <m:t xml:space="preserve"> </m:t>
        </m:r>
      </m:oMath>
      <w:r w:rsidRPr="00CB2DE6">
        <w:rPr>
          <w:rFonts w:ascii="Times New Roman" w:hAnsi="Times New Roman" w:cs="Times New Roman"/>
          <w:sz w:val="24"/>
          <w:szCs w:val="24"/>
        </w:rPr>
        <w:t xml:space="preserve">on risk factors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Pr="00CB2DE6">
        <w:rPr>
          <w:rFonts w:ascii="Times New Roman" w:hAnsi="Times New Roman" w:cs="Times New Roman"/>
          <w:sz w:val="24"/>
          <w:szCs w:val="24"/>
        </w:rPr>
        <w:t>. The beta representation in equation (</w:t>
      </w:r>
      <w:r w:rsidR="00CA615C" w:rsidRPr="00CB2DE6">
        <w:rPr>
          <w:rFonts w:ascii="Times New Roman" w:hAnsi="Times New Roman" w:cs="Times New Roman"/>
          <w:sz w:val="24"/>
          <w:szCs w:val="24"/>
        </w:rPr>
        <w:t>10</w:t>
      </w:r>
      <w:r w:rsidRPr="00CB2DE6">
        <w:rPr>
          <w:rFonts w:ascii="Times New Roman" w:hAnsi="Times New Roman" w:cs="Times New Roman"/>
          <w:sz w:val="24"/>
          <w:szCs w:val="24"/>
        </w:rPr>
        <w:t xml:space="preserve">) states that expected excess returns for portfolio </w:t>
      </w:r>
      <m:oMath>
        <m:r>
          <w:rPr>
            <w:rFonts w:ascii="Cambria Math" w:hAnsi="Cambria Math" w:cs="Times New Roman"/>
            <w:sz w:val="24"/>
            <w:szCs w:val="24"/>
          </w:rPr>
          <m:t>i</m:t>
        </m:r>
      </m:oMath>
      <w:r w:rsidRPr="00CB2DE6">
        <w:rPr>
          <w:rFonts w:ascii="Times New Roman" w:hAnsi="Times New Roman" w:cs="Times New Roman"/>
          <w:sz w:val="24"/>
          <w:szCs w:val="24"/>
        </w:rPr>
        <w:t xml:space="preserve"> depends on aggregate risk exposure quantities (also called factor sensitivities or loadings)</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oMath>
      <w:r w:rsidRPr="00CB2DE6">
        <w:rPr>
          <w:rFonts w:ascii="Times New Roman" w:hAnsi="Times New Roman" w:cs="Times New Roman"/>
          <w:sz w:val="24"/>
          <w:szCs w:val="24"/>
        </w:rPr>
        <w:t xml:space="preserve"> and factor risk prices</w:t>
      </w:r>
      <m:oMath>
        <m:r>
          <w:rPr>
            <w:rFonts w:ascii="Cambria Math" w:hAnsi="Cambria Math" w:cs="Times New Roman"/>
            <w:sz w:val="24"/>
            <w:szCs w:val="24"/>
          </w:rPr>
          <m:t xml:space="preserve"> λ</m:t>
        </m:r>
      </m:oMath>
      <w:r w:rsidRPr="00CB2DE6">
        <w:rPr>
          <w:rFonts w:ascii="Times New Roman" w:hAnsi="Times New Roman" w:cs="Times New Roman"/>
          <w:sz w:val="24"/>
          <w:szCs w:val="24"/>
        </w:rPr>
        <w:t xml:space="preserve">. Focusing on the innovations of the short- and </w:t>
      </w:r>
      <w:r w:rsidR="004C2474" w:rsidRPr="00CB2DE6">
        <w:rPr>
          <w:rFonts w:ascii="Times New Roman" w:hAnsi="Times New Roman" w:cs="Times New Roman"/>
          <w:sz w:val="24"/>
          <w:szCs w:val="24"/>
        </w:rPr>
        <w:t>long-</w:t>
      </w:r>
      <w:r w:rsidR="004602FC" w:rsidRPr="00CB2DE6">
        <w:rPr>
          <w:rFonts w:ascii="Times New Roman" w:hAnsi="Times New Roman" w:cs="Times New Roman"/>
          <w:sz w:val="24"/>
          <w:szCs w:val="24"/>
        </w:rPr>
        <w:t xml:space="preserve">run </w:t>
      </w:r>
      <w:r w:rsidRPr="00CB2DE6">
        <w:rPr>
          <w:rFonts w:ascii="Times New Roman" w:hAnsi="Times New Roman" w:cs="Times New Roman"/>
          <w:sz w:val="24"/>
          <w:szCs w:val="24"/>
        </w:rPr>
        <w:t>components of global FX volatility (</w:t>
      </w:r>
      <w:r w:rsidR="00B620E3" w:rsidRPr="00CB2DE6">
        <w:rPr>
          <w:rFonts w:ascii="Times New Roman" w:hAnsi="Times New Roman" w:cs="Times New Roman"/>
          <w:sz w:val="24"/>
          <w:szCs w:val="24"/>
        </w:rPr>
        <w:t xml:space="preserve">denoted </w:t>
      </w:r>
      <w:r w:rsidR="003C7E58" w:rsidRPr="00CB2DE6">
        <w:rPr>
          <w:rFonts w:ascii="Times New Roman" w:hAnsi="Times New Roman" w:cs="Times New Roman"/>
          <w:sz w:val="24"/>
          <w:szCs w:val="24"/>
        </w:rPr>
        <w:t xml:space="preserve">by </w:t>
      </w:r>
      <w:r w:rsidRPr="00CB2DE6">
        <w:rPr>
          <w:rFonts w:ascii="Times New Roman" w:hAnsi="Times New Roman" w:cs="Times New Roman"/>
          <w:sz w:val="24"/>
          <w:szCs w:val="24"/>
        </w:rPr>
        <w:t>SRVI and LRVI, respectively)</w:t>
      </w:r>
      <w:r w:rsidR="00CA615C" w:rsidRPr="00CB2DE6">
        <w:rPr>
          <w:rFonts w:ascii="Times New Roman" w:hAnsi="Times New Roman" w:cs="Times New Roman"/>
          <w:sz w:val="24"/>
          <w:szCs w:val="24"/>
        </w:rPr>
        <w:t xml:space="preserve"> in addition to other risk factors found to be successful in pricing the cross-section of carry trade returns (denoted by </w:t>
      </w:r>
      <m:oMath>
        <m:r>
          <w:rPr>
            <w:rFonts w:ascii="Cambria Math" w:hAnsi="Cambria Math" w:cs="Times New Roman"/>
            <w:sz w:val="24"/>
            <w:szCs w:val="24"/>
          </w:rPr>
          <m:t>X</m:t>
        </m:r>
      </m:oMath>
      <w:r w:rsidR="00CA615C" w:rsidRPr="00CB2DE6">
        <w:rPr>
          <w:rFonts w:ascii="Times New Roman" w:hAnsi="Times New Roman" w:cs="Times New Roman"/>
          <w:sz w:val="24"/>
          <w:szCs w:val="24"/>
        </w:rPr>
        <w:t>)</w:t>
      </w:r>
      <w:r w:rsidRPr="00CB2DE6">
        <w:rPr>
          <w:rFonts w:ascii="Times New Roman" w:hAnsi="Times New Roman" w:cs="Times New Roman"/>
          <w:sz w:val="24"/>
          <w:szCs w:val="24"/>
        </w:rPr>
        <w:t xml:space="preserve">, the beta representation of the corresponding linear factor pricing model can therefore be written as </w:t>
      </w:r>
    </w:p>
    <w:p w:rsidR="00041D92" w:rsidRPr="00CB2DE6" w:rsidRDefault="00041D92" w:rsidP="00472FAA">
      <w:pPr>
        <w:tabs>
          <w:tab w:val="left" w:pos="567"/>
          <w:tab w:val="left" w:pos="709"/>
          <w:tab w:val="left" w:pos="851"/>
        </w:tabs>
        <w:spacing w:before="120" w:after="120"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             E</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rPr>
                    <m:t>i</m:t>
                  </m:r>
                </m:sup>
              </m:sSub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X</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i,X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SRVI</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i,SRVI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LRVI</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i,LRVI </m:t>
                  </m:r>
                </m:sub>
              </m:sSub>
            </m:e>
            <m:sub>
              <m:r>
                <w:rPr>
                  <w:rFonts w:ascii="Cambria Math" w:hAnsi="Cambria Math" w:cs="Times New Roman"/>
                  <w:sz w:val="24"/>
                  <w:szCs w:val="24"/>
                </w:rPr>
                <m:t xml:space="preserve"> </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11</m:t>
              </m:r>
            </m:e>
          </m:d>
        </m:oMath>
      </m:oMathPara>
    </w:p>
    <w:p w:rsidR="00041D92" w:rsidRPr="00CB2DE6" w:rsidRDefault="00041D92" w:rsidP="00472FAA">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Fama and MacBeth (1973) show a two-pass ordinary least squares regression procedure which we follow to estimate the parameters of equation (</w:t>
      </w:r>
      <w:r w:rsidR="007810F8" w:rsidRPr="00CB2DE6">
        <w:rPr>
          <w:rFonts w:ascii="Times New Roman" w:hAnsi="Times New Roman" w:cs="Times New Roman"/>
          <w:sz w:val="24"/>
          <w:szCs w:val="24"/>
        </w:rPr>
        <w:t>11</w:t>
      </w:r>
      <w:r w:rsidRPr="00CB2DE6">
        <w:rPr>
          <w:rFonts w:ascii="Times New Roman" w:hAnsi="Times New Roman" w:cs="Times New Roman"/>
          <w:sz w:val="24"/>
          <w:szCs w:val="24"/>
        </w:rPr>
        <w:t xml:space="preserve">). The first-pass involves time-series regressions of monthly excess returns for portfolio </w:t>
      </w:r>
      <m:oMath>
        <m:r>
          <w:rPr>
            <w:rFonts w:ascii="Cambria Math" w:hAnsi="Cambria Math" w:cs="Times New Roman"/>
            <w:sz w:val="24"/>
            <w:szCs w:val="24"/>
          </w:rPr>
          <m:t>i</m:t>
        </m:r>
      </m:oMath>
      <w:r w:rsidRPr="00CB2DE6">
        <w:rPr>
          <w:rFonts w:ascii="Times New Roman" w:hAnsi="Times New Roman" w:cs="Times New Roman"/>
          <w:sz w:val="24"/>
          <w:szCs w:val="24"/>
        </w:rPr>
        <w:t xml:space="preserve"> on a constant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oMath>
      <w:r w:rsidRPr="00CB2DE6">
        <w:rPr>
          <w:rFonts w:ascii="Times New Roman" w:hAnsi="Times New Roman" w:cs="Times New Roman"/>
          <w:sz w:val="24"/>
          <w:szCs w:val="24"/>
        </w:rPr>
        <w:t>, factor</w:t>
      </w:r>
      <w:r w:rsidR="009E7C26" w:rsidRPr="00CB2DE6">
        <w:rPr>
          <w:rFonts w:ascii="Times New Roman" w:hAnsi="Times New Roman" w:cs="Times New Roman"/>
          <w:sz w:val="24"/>
          <w:szCs w:val="24"/>
        </w:rPr>
        <w:t xml:space="preserve"> </w:t>
      </w:r>
      <m:oMath>
        <m:r>
          <w:rPr>
            <w:rFonts w:ascii="Cambria Math" w:hAnsi="Cambria Math" w:cs="Times New Roman"/>
            <w:sz w:val="24"/>
            <w:szCs w:val="24"/>
          </w:rPr>
          <m:t>X</m:t>
        </m:r>
      </m:oMath>
      <w:r w:rsidRPr="00CB2DE6">
        <w:rPr>
          <w:rFonts w:ascii="Times New Roman" w:hAnsi="Times New Roman" w:cs="Times New Roman"/>
          <w:sz w:val="24"/>
          <w:szCs w:val="24"/>
        </w:rPr>
        <w:t xml:space="preserve">, and innovations of the short- and </w:t>
      </w:r>
      <w:r w:rsidR="004C2474" w:rsidRPr="00CB2DE6">
        <w:rPr>
          <w:rFonts w:ascii="Times New Roman" w:hAnsi="Times New Roman" w:cs="Times New Roman"/>
          <w:sz w:val="24"/>
          <w:szCs w:val="24"/>
        </w:rPr>
        <w:t>long-</w:t>
      </w:r>
      <w:r w:rsidR="00C34864" w:rsidRPr="00CB2DE6">
        <w:rPr>
          <w:rFonts w:ascii="Times New Roman" w:hAnsi="Times New Roman" w:cs="Times New Roman"/>
          <w:sz w:val="24"/>
          <w:szCs w:val="24"/>
        </w:rPr>
        <w:t xml:space="preserve">run </w:t>
      </w:r>
      <w:r w:rsidRPr="00CB2DE6">
        <w:rPr>
          <w:rFonts w:ascii="Times New Roman" w:hAnsi="Times New Roman" w:cs="Times New Roman"/>
          <w:sz w:val="24"/>
          <w:szCs w:val="24"/>
        </w:rPr>
        <w:t>components. The regression specification is given by</w:t>
      </w:r>
    </w:p>
    <w:p w:rsidR="00041D92" w:rsidRPr="00CB2DE6" w:rsidRDefault="00041D92" w:rsidP="00472FAA">
      <w:pPr>
        <w:tabs>
          <w:tab w:val="left" w:pos="567"/>
          <w:tab w:val="left" w:pos="709"/>
          <w:tab w:val="left" w:pos="851"/>
        </w:tabs>
        <w:spacing w:before="120" w:after="120"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rPr>
                <m:t>i</m:t>
              </m:r>
            </m:sup>
          </m:sSubSup>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+β</m:t>
              </m:r>
            </m:e>
            <m:sub>
              <m:r>
                <w:rPr>
                  <w:rFonts w:ascii="Cambria Math" w:hAnsi="Cambria Math" w:cs="Times New Roman"/>
                  <w:sz w:val="24"/>
                  <w:szCs w:val="24"/>
                </w:rPr>
                <m:t xml:space="preserve">i,X </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i,SRVI</m:t>
              </m:r>
            </m:sub>
          </m:sSub>
          <m:sSub>
            <m:sSubPr>
              <m:ctrlPr>
                <w:rPr>
                  <w:rFonts w:ascii="Cambria Math" w:hAnsi="Cambria Math" w:cs="Times New Roman"/>
                  <w:i/>
                  <w:sz w:val="24"/>
                  <w:szCs w:val="24"/>
                </w:rPr>
              </m:ctrlPr>
            </m:sSubPr>
            <m:e>
              <m:r>
                <w:rPr>
                  <w:rFonts w:ascii="Cambria Math" w:hAnsi="Cambria Math" w:cs="Times New Roman"/>
                  <w:sz w:val="24"/>
                  <w:szCs w:val="24"/>
                </w:rPr>
                <m:t>SRVI</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i,LRVI </m:t>
              </m:r>
            </m:sub>
          </m:sSub>
          <m:sSub>
            <m:sSubPr>
              <m:ctrlPr>
                <w:rPr>
                  <w:rFonts w:ascii="Cambria Math" w:hAnsi="Cambria Math" w:cs="Times New Roman"/>
                  <w:i/>
                  <w:sz w:val="24"/>
                  <w:szCs w:val="24"/>
                </w:rPr>
              </m:ctrlPr>
            </m:sSubPr>
            <m:e>
              <m:r>
                <w:rPr>
                  <w:rFonts w:ascii="Cambria Math" w:hAnsi="Cambria Math" w:cs="Times New Roman"/>
                  <w:sz w:val="24"/>
                  <w:szCs w:val="24"/>
                </w:rPr>
                <m:t>LRVI</m:t>
              </m:r>
            </m:e>
            <m:sub>
              <m:r>
                <w:rPr>
                  <w:rFonts w:ascii="Cambria Math" w:hAnsi="Cambria Math" w:cs="Times New Roman"/>
                  <w:sz w:val="24"/>
                  <w:szCs w:val="24"/>
                </w:rPr>
                <m:t>t</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r>
                <w:rPr>
                  <w:rFonts w:ascii="Cambria Math" w:hAnsi="Cambria Math" w:cs="Times New Roman"/>
                  <w:sz w:val="24"/>
                  <w:szCs w:val="24"/>
                </w:rPr>
                <m:t>i</m:t>
              </m:r>
            </m:sup>
          </m:sSubSup>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12</m:t>
              </m:r>
            </m:e>
          </m:d>
        </m:oMath>
      </m:oMathPara>
    </w:p>
    <w:p w:rsidR="00041D92" w:rsidRPr="00CB2DE6" w:rsidRDefault="00041D92" w:rsidP="00472FAA">
      <w:pPr>
        <w:tabs>
          <w:tab w:val="left" w:pos="567"/>
          <w:tab w:val="left" w:pos="709"/>
          <w:tab w:val="left" w:pos="851"/>
        </w:tabs>
        <w:spacing w:line="360" w:lineRule="auto"/>
        <w:jc w:val="both"/>
        <w:rPr>
          <w:rFonts w:ascii="Times New Roman" w:hAnsi="Times New Roman" w:cs="Times New Roman"/>
          <w:sz w:val="24"/>
          <w:szCs w:val="24"/>
        </w:rPr>
      </w:pPr>
      <w:r w:rsidRPr="00CB2DE6">
        <w:rPr>
          <w:rFonts w:ascii="Times New Roman" w:hAnsi="Times New Roman" w:cs="Times New Roman"/>
          <w:sz w:val="24"/>
          <w:szCs w:val="24"/>
        </w:rPr>
        <w:t xml:space="preserve">where </w:t>
      </w:r>
      <m:oMath>
        <m:r>
          <w:rPr>
            <w:rFonts w:ascii="Cambria Math" w:hAnsi="Cambria Math" w:cs="Times New Roman"/>
            <w:sz w:val="24"/>
            <w:szCs w:val="24"/>
          </w:rPr>
          <m:t>t=1, 2,……, T</m:t>
        </m:r>
      </m:oMath>
      <w:r w:rsidRPr="00CB2DE6">
        <w:rPr>
          <w:rFonts w:ascii="Times New Roman" w:hAnsi="Times New Roman" w:cs="Times New Roman"/>
          <w:sz w:val="24"/>
          <w:szCs w:val="24"/>
        </w:rPr>
        <w:t>. The obtained betas are then utilized in the second-pass cross-sectional regression of average excess returns to get estimated factor risk prices</w:t>
      </w:r>
      <m:oMath>
        <m:r>
          <w:rPr>
            <w:rFonts w:ascii="Cambria Math" w:hAnsi="Cambria Math" w:cs="Times New Roman"/>
            <w:sz w:val="24"/>
            <w:szCs w:val="24"/>
          </w:rPr>
          <m:t xml:space="preserve"> </m:t>
        </m:r>
        <m:acc>
          <m:accPr>
            <m:ctrlPr>
              <w:rPr>
                <w:rFonts w:ascii="Cambria Math" w:hAnsi="Cambria Math" w:cs="Times New Roman"/>
                <w:i/>
                <w:sz w:val="24"/>
                <w:szCs w:val="24"/>
              </w:rPr>
            </m:ctrlPr>
          </m:accPr>
          <m:e>
            <m:r>
              <w:rPr>
                <w:rFonts w:ascii="Cambria Math" w:hAnsi="Cambria Math" w:cs="Times New Roman"/>
                <w:sz w:val="24"/>
                <w:szCs w:val="24"/>
              </w:rPr>
              <m:t>λ</m:t>
            </m:r>
          </m:e>
        </m:acc>
      </m:oMath>
      <w:r w:rsidRPr="00CB2DE6">
        <w:rPr>
          <w:rFonts w:ascii="Times New Roman" w:hAnsi="Times New Roman" w:cs="Times New Roman"/>
          <w:sz w:val="24"/>
          <w:szCs w:val="24"/>
        </w:rPr>
        <w:t>. The cross-sectional regression is expressed as</w:t>
      </w:r>
    </w:p>
    <w:p w:rsidR="00041D92" w:rsidRPr="00CB2DE6" w:rsidRDefault="00041D92" w:rsidP="00472FAA">
      <w:pPr>
        <w:tabs>
          <w:tab w:val="left" w:pos="567"/>
          <w:tab w:val="left" w:pos="709"/>
          <w:tab w:val="left" w:pos="851"/>
        </w:tabs>
        <w:spacing w:before="120" w:after="120"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p>
              <m:r>
                <w:rPr>
                  <w:rFonts w:ascii="Cambria Math" w:hAnsi="Cambria Math" w:cs="Times New Roman"/>
                  <w:sz w:val="24"/>
                  <w:szCs w:val="24"/>
                </w:rPr>
                <m:t>i</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X</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 xml:space="preserve">i,X </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SRVI</m:t>
                  </m:r>
                </m:sub>
              </m:sSub>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 xml:space="preserve">i,SRVI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LRVI</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 xml:space="preserve">i,LRVI </m:t>
                  </m:r>
                </m:sub>
              </m:sSub>
              <m:r>
                <w:rPr>
                  <w:rFonts w:ascii="Cambria Math" w:hAnsi="Cambria Math" w:cs="Times New Roman"/>
                  <w:sz w:val="24"/>
                  <w:szCs w:val="24"/>
                </w:rPr>
                <m:t>+</m:t>
              </m:r>
            </m:e>
            <m:sub>
              <m:r>
                <w:rPr>
                  <w:rFonts w:ascii="Cambria Math" w:hAnsi="Cambria Math" w:cs="Times New Roman"/>
                  <w:sz w:val="24"/>
                  <w:szCs w:val="24"/>
                </w:rPr>
                <m:t xml:space="preserve"> </m:t>
              </m:r>
            </m:sub>
          </m:sSub>
          <m:sSub>
            <m:sSubPr>
              <m:ctrlPr>
                <w:rPr>
                  <w:rFonts w:ascii="Cambria Math" w:hAnsi="Cambria Math" w:cs="Times New Roman"/>
                  <w:i/>
                  <w:sz w:val="24"/>
                  <w:szCs w:val="24"/>
                </w:rPr>
              </m:ctrlPr>
            </m:sSubPr>
            <m:e>
              <m:r>
                <w:rPr>
                  <w:rFonts w:ascii="Cambria Math" w:hAnsi="Cambria Math" w:cs="Times New Roman"/>
                  <w:sz w:val="24"/>
                  <w:szCs w:val="24"/>
                </w:rPr>
                <m:t>ϛ</m:t>
              </m:r>
            </m:e>
            <m:sub>
              <m:r>
                <w:rPr>
                  <w:rFonts w:ascii="Cambria Math" w:hAnsi="Cambria Math" w:cs="Times New Roman"/>
                  <w:sz w:val="24"/>
                  <w:szCs w:val="24"/>
                </w:rPr>
                <m:t>i</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13</m:t>
              </m:r>
            </m:e>
          </m:d>
        </m:oMath>
      </m:oMathPara>
    </w:p>
    <w:p w:rsidR="00041D92" w:rsidRPr="00CB2DE6" w:rsidRDefault="00041D92" w:rsidP="00041D92">
      <w:pPr>
        <w:spacing w:line="360" w:lineRule="auto"/>
        <w:jc w:val="both"/>
        <w:rPr>
          <w:rFonts w:ascii="Times New Roman" w:hAnsi="Times New Roman" w:cs="Times New Roman"/>
          <w:sz w:val="24"/>
          <w:szCs w:val="24"/>
        </w:rPr>
      </w:pPr>
      <w:r w:rsidRPr="00CB2DE6">
        <w:rPr>
          <w:rFonts w:ascii="Times New Roman" w:hAnsi="Times New Roman" w:cs="Times New Roman"/>
          <w:sz w:val="24"/>
          <w:szCs w:val="24"/>
        </w:rPr>
        <w:t>where</w:t>
      </w:r>
      <m:oMath>
        <m:sSup>
          <m:sSupPr>
            <m:ctrlPr>
              <w:rPr>
                <w:rFonts w:ascii="Cambria Math" w:hAnsi="Cambria Math" w:cs="Times New Roman"/>
                <w:i/>
                <w:sz w:val="24"/>
                <w:szCs w:val="24"/>
              </w:rPr>
            </m:ctrlPr>
          </m:sSupPr>
          <m:e>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z</m:t>
                </m:r>
              </m:e>
            </m:acc>
          </m:e>
          <m:sup>
            <m:r>
              <w:rPr>
                <w:rFonts w:ascii="Cambria Math" w:hAnsi="Cambria Math" w:cs="Times New Roman"/>
                <w:sz w:val="24"/>
                <w:szCs w:val="24"/>
              </w:rPr>
              <m:t>i</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nary>
          <m:naryPr>
            <m:chr m:val="∑"/>
            <m:limLoc m:val="subSup"/>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rPr>
                  <m:t>i</m:t>
                </m:r>
              </m:sup>
            </m:sSubSup>
          </m:e>
        </m:nary>
      </m:oMath>
      <w:r w:rsidRPr="00CB2DE6">
        <w:rPr>
          <w:rFonts w:ascii="Times New Roman" w:hAnsi="Times New Roman" w:cs="Times New Roman"/>
          <w:sz w:val="24"/>
          <w:szCs w:val="24"/>
        </w:rPr>
        <w:t xml:space="preserve"> and the regression residuals</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ϛ</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Pr="00CB2DE6">
        <w:rPr>
          <w:rFonts w:ascii="Times New Roman" w:hAnsi="Times New Roman" w:cs="Times New Roman"/>
          <w:sz w:val="24"/>
          <w:szCs w:val="24"/>
        </w:rPr>
        <w:t xml:space="preserve">represent the pricing errors. The second-pass regression is performed without a constant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0</m:t>
            </m:r>
          </m:sub>
        </m:sSub>
        <m:r>
          <w:rPr>
            <w:rFonts w:ascii="Cambria Math" w:hAnsi="Cambria Math" w:cs="Times New Roman"/>
            <w:sz w:val="24"/>
            <w:szCs w:val="24"/>
          </w:rPr>
          <m:t>=0)</m:t>
        </m:r>
      </m:oMath>
      <w:r w:rsidRPr="00CB2DE6">
        <w:rPr>
          <w:rFonts w:ascii="Times New Roman" w:hAnsi="Times New Roman" w:cs="Times New Roman"/>
          <w:sz w:val="24"/>
          <w:szCs w:val="24"/>
        </w:rPr>
        <w:t xml:space="preserve"> since we do not allow mispricing common to the cross-section of excess returns for portfolios.</w:t>
      </w:r>
      <w:r w:rsidR="007810F8" w:rsidRPr="00CB2DE6">
        <w:rPr>
          <w:rStyle w:val="FootnoteReference"/>
          <w:rFonts w:ascii="Times New Roman" w:hAnsi="Times New Roman" w:cs="Times New Roman"/>
          <w:sz w:val="24"/>
          <w:szCs w:val="24"/>
        </w:rPr>
        <w:footnoteReference w:id="6"/>
      </w:r>
      <w:r w:rsidRPr="00CB2DE6">
        <w:rPr>
          <w:rFonts w:ascii="Times New Roman" w:hAnsi="Times New Roman" w:cs="Times New Roman"/>
          <w:sz w:val="24"/>
          <w:szCs w:val="24"/>
        </w:rPr>
        <w:t xml:space="preserve"> </w:t>
      </w:r>
    </w:p>
    <w:p w:rsidR="00041D92" w:rsidRPr="00CB2DE6" w:rsidRDefault="00041D92" w:rsidP="005D5069">
      <w:pPr>
        <w:spacing w:after="360"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The two-pass regressions, however, suffer from an errors-in-variable problem. The betas used in the second-pass are estimates of the true unknown betas. To overcome this econometric issue, we correct standard errors following Shanken (1992). Jagannathan and Wang (1998) point out that the Shanken (1992) correction is inappropriate as well under heteroskedastic returns. For this reason, we also </w:t>
      </w:r>
      <w:r w:rsidR="009F4DDA">
        <w:rPr>
          <w:rFonts w:ascii="Times New Roman" w:hAnsi="Times New Roman" w:cs="Times New Roman"/>
          <w:sz w:val="24"/>
          <w:szCs w:val="24"/>
        </w:rPr>
        <w:t>carry out</w:t>
      </w:r>
      <w:r w:rsidRPr="00CB2DE6">
        <w:rPr>
          <w:rFonts w:ascii="Times New Roman" w:hAnsi="Times New Roman" w:cs="Times New Roman"/>
          <w:sz w:val="24"/>
          <w:szCs w:val="24"/>
        </w:rPr>
        <w:t xml:space="preserve"> a generalized method of moments (GMM) procedure advocated by Cochrane (2005).</w:t>
      </w:r>
      <w:r w:rsidR="009F4DDA" w:rsidRPr="00CB2DE6">
        <w:rPr>
          <w:rStyle w:val="FootnoteReference"/>
          <w:rFonts w:ascii="Times New Roman" w:hAnsi="Times New Roman" w:cs="Times New Roman"/>
          <w:sz w:val="24"/>
          <w:szCs w:val="24"/>
        </w:rPr>
        <w:footnoteReference w:id="7"/>
      </w:r>
      <w:r w:rsidRPr="00CB2DE6">
        <w:rPr>
          <w:rFonts w:ascii="Times New Roman" w:hAnsi="Times New Roman" w:cs="Times New Roman"/>
          <w:sz w:val="24"/>
          <w:szCs w:val="24"/>
        </w:rPr>
        <w:t xml:space="preserve"> </w:t>
      </w:r>
    </w:p>
    <w:p w:rsidR="001723CC" w:rsidRPr="00CB2DE6" w:rsidRDefault="00BB3AB8" w:rsidP="00C11E4B">
      <w:pPr>
        <w:spacing w:after="120" w:line="360" w:lineRule="auto"/>
        <w:jc w:val="both"/>
        <w:rPr>
          <w:rFonts w:ascii="Times New Roman" w:hAnsi="Times New Roman" w:cs="Times New Roman"/>
          <w:b/>
          <w:sz w:val="28"/>
          <w:szCs w:val="28"/>
        </w:rPr>
      </w:pPr>
      <w:r w:rsidRPr="00CB2DE6">
        <w:rPr>
          <w:rFonts w:ascii="Times New Roman" w:hAnsi="Times New Roman" w:cs="Times New Roman"/>
          <w:b/>
          <w:sz w:val="28"/>
          <w:szCs w:val="28"/>
        </w:rPr>
        <w:t>3</w:t>
      </w:r>
      <w:r w:rsidR="001723CC" w:rsidRPr="00CB2DE6">
        <w:rPr>
          <w:rFonts w:ascii="Times New Roman" w:hAnsi="Times New Roman" w:cs="Times New Roman"/>
          <w:b/>
          <w:sz w:val="28"/>
          <w:szCs w:val="28"/>
        </w:rPr>
        <w:t>.</w:t>
      </w:r>
      <w:r w:rsidR="001723CC" w:rsidRPr="00CB2DE6">
        <w:rPr>
          <w:rFonts w:ascii="Times New Roman" w:hAnsi="Times New Roman" w:cs="Times New Roman"/>
          <w:b/>
          <w:sz w:val="28"/>
          <w:szCs w:val="28"/>
        </w:rPr>
        <w:tab/>
        <w:t xml:space="preserve">Data and Currency Portfolios </w:t>
      </w:r>
    </w:p>
    <w:p w:rsidR="001723CC" w:rsidRPr="00CB2DE6" w:rsidRDefault="00BB3AB8" w:rsidP="00B159F4">
      <w:pPr>
        <w:spacing w:after="120" w:line="360" w:lineRule="auto"/>
        <w:ind w:firstLine="720"/>
        <w:jc w:val="both"/>
        <w:rPr>
          <w:rFonts w:ascii="Times New Roman" w:hAnsi="Times New Roman" w:cs="Times New Roman"/>
          <w:b/>
          <w:sz w:val="24"/>
          <w:szCs w:val="24"/>
        </w:rPr>
      </w:pPr>
      <w:r w:rsidRPr="00CB2DE6">
        <w:rPr>
          <w:rFonts w:ascii="Times New Roman" w:hAnsi="Times New Roman" w:cs="Times New Roman"/>
          <w:b/>
          <w:sz w:val="24"/>
          <w:szCs w:val="24"/>
        </w:rPr>
        <w:t>3</w:t>
      </w:r>
      <w:r w:rsidR="007B38CD" w:rsidRPr="00CB2DE6">
        <w:rPr>
          <w:rFonts w:ascii="Times New Roman" w:hAnsi="Times New Roman" w:cs="Times New Roman"/>
          <w:b/>
          <w:sz w:val="24"/>
          <w:szCs w:val="24"/>
        </w:rPr>
        <w:t>.1</w:t>
      </w:r>
      <w:r w:rsidR="001723CC" w:rsidRPr="00CB2DE6">
        <w:rPr>
          <w:rFonts w:ascii="Times New Roman" w:hAnsi="Times New Roman" w:cs="Times New Roman"/>
          <w:b/>
          <w:sz w:val="24"/>
          <w:szCs w:val="24"/>
        </w:rPr>
        <w:tab/>
        <w:t>Data</w:t>
      </w:r>
    </w:p>
    <w:p w:rsidR="004C3B89" w:rsidRPr="00CB2DE6" w:rsidRDefault="001723CC" w:rsidP="00BB3AB8">
      <w:pPr>
        <w:spacing w:after="240" w:line="360" w:lineRule="auto"/>
        <w:ind w:firstLine="720"/>
        <w:jc w:val="both"/>
        <w:rPr>
          <w:rFonts w:ascii="Times New Roman" w:eastAsia="Calibri" w:hAnsi="Times New Roman" w:cs="Times New Roman"/>
          <w:sz w:val="24"/>
          <w:szCs w:val="24"/>
        </w:rPr>
      </w:pPr>
      <w:r w:rsidRPr="00CB2DE6">
        <w:rPr>
          <w:rFonts w:ascii="Times New Roman" w:eastAsia="Calibri" w:hAnsi="Times New Roman" w:cs="Times New Roman"/>
          <w:sz w:val="24"/>
          <w:szCs w:val="24"/>
        </w:rPr>
        <w:t xml:space="preserve">The data </w:t>
      </w:r>
      <w:r w:rsidR="004F6A48" w:rsidRPr="00CB2DE6">
        <w:rPr>
          <w:rFonts w:ascii="Times New Roman" w:eastAsia="Calibri" w:hAnsi="Times New Roman" w:cs="Times New Roman"/>
          <w:sz w:val="24"/>
          <w:szCs w:val="24"/>
        </w:rPr>
        <w:t xml:space="preserve">used in this </w:t>
      </w:r>
      <w:r w:rsidR="00835DB5" w:rsidRPr="00CB2DE6">
        <w:rPr>
          <w:rFonts w:ascii="Times New Roman" w:eastAsia="Calibri" w:hAnsi="Times New Roman" w:cs="Times New Roman"/>
          <w:sz w:val="24"/>
          <w:szCs w:val="24"/>
        </w:rPr>
        <w:t xml:space="preserve">paper </w:t>
      </w:r>
      <w:r w:rsidR="00D749DD" w:rsidRPr="00CB2DE6">
        <w:rPr>
          <w:rFonts w:ascii="Times New Roman" w:eastAsia="Calibri" w:hAnsi="Times New Roman" w:cs="Times New Roman"/>
          <w:sz w:val="24"/>
          <w:szCs w:val="24"/>
        </w:rPr>
        <w:t xml:space="preserve">consist of bid, ask, and midpoint quotes for daily spot and one-month forward exchange rates against the US dollar (USD) sourced from Barclays Bank International and World Markets PLC/Reuters (WMR) via Datastream. We construct the proxy for global FX return using the midpoint spot quotes at a daily frequency covering the sample period from November 2, 1983 to February 28, 2013. The main sample contains currencies from 48 countries: Australia, Austria, Belgium, Brazil, Bulgaria, Canada, Croatia, Cyprus, the Czech Republic, Denmark, Egypt, Euro area, Finland, France, Germany, Greece, Hong Kong, Hungary, Iceland, India, Indonesia, Ireland, Israel, Italy, Japan, Kuwait, Malaysia, Mexico, the </w:t>
      </w:r>
      <w:r w:rsidR="00D749DD" w:rsidRPr="00CB2DE6">
        <w:rPr>
          <w:rFonts w:ascii="Times New Roman" w:eastAsia="Calibri" w:hAnsi="Times New Roman" w:cs="Times New Roman"/>
          <w:sz w:val="24"/>
          <w:szCs w:val="24"/>
        </w:rPr>
        <w:lastRenderedPageBreak/>
        <w:t>Netherlands, New Zealand, Norway, Philippines, Poland, Portugal, Russia, Saudi Arabia, Singapore, Slovakia, Slovenia, South Africa, South Korea, Spain, Sweden, Switzerland, Taiwan, Thailand, Ukraine, and the United Kingdom.</w:t>
      </w:r>
      <w:r w:rsidR="00CC5710" w:rsidRPr="00CB2DE6">
        <w:rPr>
          <w:rStyle w:val="FootnoteReference"/>
          <w:rFonts w:ascii="Times New Roman" w:hAnsi="Times New Roman" w:cs="Times New Roman"/>
          <w:sz w:val="24"/>
          <w:szCs w:val="24"/>
        </w:rPr>
        <w:footnoteReference w:id="8"/>
      </w:r>
      <w:r w:rsidR="00D749DD" w:rsidRPr="00CB2DE6">
        <w:rPr>
          <w:rFonts w:ascii="Times New Roman" w:eastAsia="Calibri" w:hAnsi="Times New Roman" w:cs="Times New Roman"/>
          <w:sz w:val="24"/>
          <w:szCs w:val="24"/>
        </w:rPr>
        <w:t xml:space="preserve"> The number of currencies increases as data on more currencies, especially from developing countries, become available. The total number of currencies varies over the sample period with a mi</w:t>
      </w:r>
      <w:r w:rsidR="00041D92" w:rsidRPr="00CB2DE6">
        <w:rPr>
          <w:rFonts w:ascii="Times New Roman" w:eastAsia="Calibri" w:hAnsi="Times New Roman" w:cs="Times New Roman"/>
          <w:sz w:val="24"/>
          <w:szCs w:val="24"/>
        </w:rPr>
        <w:t>nimum of 9 and a maximum of 37.</w:t>
      </w:r>
    </w:p>
    <w:p w:rsidR="00690F89" w:rsidRPr="00CB2DE6" w:rsidRDefault="00BB3AB8" w:rsidP="00CC5710">
      <w:pPr>
        <w:spacing w:after="120" w:line="360" w:lineRule="auto"/>
        <w:ind w:firstLine="720"/>
        <w:jc w:val="both"/>
        <w:rPr>
          <w:rFonts w:ascii="Times New Roman" w:hAnsi="Times New Roman" w:cs="Times New Roman"/>
          <w:b/>
          <w:sz w:val="24"/>
          <w:szCs w:val="24"/>
        </w:rPr>
      </w:pPr>
      <w:r w:rsidRPr="00CB2DE6">
        <w:rPr>
          <w:rFonts w:ascii="Times New Roman" w:hAnsi="Times New Roman" w:cs="Times New Roman"/>
          <w:b/>
          <w:sz w:val="24"/>
          <w:szCs w:val="24"/>
        </w:rPr>
        <w:t>3</w:t>
      </w:r>
      <w:r w:rsidR="00A42659" w:rsidRPr="00CB2DE6">
        <w:rPr>
          <w:rFonts w:ascii="Times New Roman" w:hAnsi="Times New Roman" w:cs="Times New Roman"/>
          <w:b/>
          <w:sz w:val="24"/>
          <w:szCs w:val="24"/>
        </w:rPr>
        <w:t>.2</w:t>
      </w:r>
      <w:r w:rsidR="00BB0085" w:rsidRPr="00CB2DE6">
        <w:rPr>
          <w:rFonts w:ascii="Times New Roman" w:hAnsi="Times New Roman" w:cs="Times New Roman"/>
          <w:b/>
          <w:sz w:val="24"/>
          <w:szCs w:val="24"/>
        </w:rPr>
        <w:tab/>
      </w:r>
      <w:r w:rsidR="004F6A48" w:rsidRPr="00CB2DE6">
        <w:rPr>
          <w:rFonts w:ascii="Times New Roman" w:hAnsi="Times New Roman" w:cs="Times New Roman"/>
          <w:b/>
          <w:sz w:val="24"/>
          <w:szCs w:val="24"/>
        </w:rPr>
        <w:t xml:space="preserve">Carry Trade </w:t>
      </w:r>
      <w:r w:rsidR="00470678" w:rsidRPr="00CB2DE6">
        <w:rPr>
          <w:rFonts w:ascii="Times New Roman" w:hAnsi="Times New Roman" w:cs="Times New Roman"/>
          <w:b/>
          <w:sz w:val="24"/>
          <w:szCs w:val="24"/>
        </w:rPr>
        <w:t>Portfolio</w:t>
      </w:r>
      <w:r w:rsidR="004F6A48" w:rsidRPr="00CB2DE6">
        <w:rPr>
          <w:rFonts w:ascii="Times New Roman" w:hAnsi="Times New Roman" w:cs="Times New Roman"/>
          <w:b/>
          <w:sz w:val="24"/>
          <w:szCs w:val="24"/>
        </w:rPr>
        <w:t>s</w:t>
      </w:r>
    </w:p>
    <w:p w:rsidR="006F5B38" w:rsidRPr="00CB2DE6" w:rsidRDefault="00CC5710" w:rsidP="004769C9">
      <w:pPr>
        <w:spacing w:line="360" w:lineRule="auto"/>
        <w:ind w:firstLine="720"/>
        <w:jc w:val="both"/>
        <w:rPr>
          <w:rFonts w:ascii="Times New Roman" w:eastAsia="Calibri" w:hAnsi="Times New Roman" w:cs="Times New Roman"/>
          <w:sz w:val="24"/>
          <w:szCs w:val="24"/>
        </w:rPr>
      </w:pPr>
      <w:r w:rsidRPr="00CB2DE6">
        <w:rPr>
          <w:rFonts w:ascii="Times New Roman" w:eastAsia="Calibri" w:hAnsi="Times New Roman" w:cs="Times New Roman"/>
          <w:sz w:val="24"/>
          <w:szCs w:val="24"/>
        </w:rPr>
        <w:t>A</w:t>
      </w:r>
      <w:r w:rsidR="00BF6988" w:rsidRPr="00CB2DE6">
        <w:rPr>
          <w:rFonts w:ascii="Times New Roman" w:eastAsia="Calibri" w:hAnsi="Times New Roman" w:cs="Times New Roman"/>
          <w:sz w:val="24"/>
          <w:szCs w:val="24"/>
        </w:rPr>
        <w:t xml:space="preserve">t </w:t>
      </w:r>
      <w:r w:rsidR="00445489" w:rsidRPr="00CB2DE6">
        <w:rPr>
          <w:rFonts w:ascii="Times New Roman" w:eastAsia="Calibri" w:hAnsi="Times New Roman" w:cs="Times New Roman"/>
          <w:sz w:val="24"/>
          <w:szCs w:val="24"/>
        </w:rPr>
        <w:t>the end of each month</w:t>
      </w:r>
      <m:oMath>
        <m:r>
          <w:rPr>
            <w:rFonts w:ascii="Cambria Math" w:eastAsia="Calibri" w:hAnsi="Cambria Math" w:cs="Times New Roman"/>
            <w:sz w:val="24"/>
            <w:szCs w:val="24"/>
          </w:rPr>
          <m:t xml:space="preserve"> </m:t>
        </m:r>
        <m:r>
          <w:rPr>
            <w:rFonts w:ascii="Cambria Math" w:hAnsi="Cambria Math" w:cs="Times New Roman"/>
            <w:sz w:val="24"/>
            <w:szCs w:val="24"/>
          </w:rPr>
          <m:t>t</m:t>
        </m:r>
      </m:oMath>
      <w:r w:rsidR="00261FB2" w:rsidRPr="00CB2DE6">
        <w:rPr>
          <w:rFonts w:ascii="Times New Roman" w:eastAsia="Calibri" w:hAnsi="Times New Roman" w:cs="Times New Roman"/>
          <w:sz w:val="24"/>
          <w:szCs w:val="24"/>
        </w:rPr>
        <w:t xml:space="preserve">, </w:t>
      </w:r>
      <w:r w:rsidR="00690F89" w:rsidRPr="00CB2DE6">
        <w:rPr>
          <w:rFonts w:ascii="Times New Roman" w:eastAsia="Calibri" w:hAnsi="Times New Roman" w:cs="Times New Roman"/>
          <w:sz w:val="24"/>
          <w:szCs w:val="24"/>
        </w:rPr>
        <w:t xml:space="preserve">currencies </w:t>
      </w:r>
      <w:r w:rsidR="00E92269" w:rsidRPr="00CB2DE6">
        <w:rPr>
          <w:rFonts w:ascii="Times New Roman" w:eastAsia="Calibri" w:hAnsi="Times New Roman" w:cs="Times New Roman"/>
          <w:sz w:val="24"/>
          <w:szCs w:val="24"/>
        </w:rPr>
        <w:t xml:space="preserve">are </w:t>
      </w:r>
      <w:r w:rsidR="00BF7E7A" w:rsidRPr="00CB2DE6">
        <w:rPr>
          <w:rFonts w:ascii="Times New Roman" w:eastAsia="Calibri" w:hAnsi="Times New Roman" w:cs="Times New Roman"/>
          <w:sz w:val="24"/>
          <w:szCs w:val="24"/>
        </w:rPr>
        <w:t xml:space="preserve">assigned to five </w:t>
      </w:r>
      <w:r w:rsidR="00690F89" w:rsidRPr="00CB2DE6">
        <w:rPr>
          <w:rFonts w:ascii="Times New Roman" w:eastAsia="Calibri" w:hAnsi="Times New Roman" w:cs="Times New Roman"/>
          <w:sz w:val="24"/>
          <w:szCs w:val="24"/>
        </w:rPr>
        <w:t xml:space="preserve">portfolios </w:t>
      </w:r>
      <w:r w:rsidR="003E29A7" w:rsidRPr="00CB2DE6">
        <w:rPr>
          <w:rFonts w:ascii="Times New Roman" w:eastAsia="Calibri" w:hAnsi="Times New Roman" w:cs="Times New Roman"/>
          <w:sz w:val="24"/>
          <w:szCs w:val="24"/>
        </w:rPr>
        <w:t xml:space="preserve">based </w:t>
      </w:r>
      <w:r w:rsidR="008B580C" w:rsidRPr="00CB2DE6">
        <w:rPr>
          <w:rFonts w:ascii="Times New Roman" w:eastAsia="Calibri" w:hAnsi="Times New Roman" w:cs="Times New Roman"/>
          <w:sz w:val="24"/>
          <w:szCs w:val="24"/>
        </w:rPr>
        <w:t xml:space="preserve">on </w:t>
      </w:r>
      <w:r w:rsidR="00690F89" w:rsidRPr="00CB2DE6">
        <w:rPr>
          <w:rFonts w:ascii="Times New Roman" w:eastAsia="Calibri" w:hAnsi="Times New Roman" w:cs="Times New Roman"/>
          <w:sz w:val="24"/>
          <w:szCs w:val="24"/>
        </w:rPr>
        <w:t>th</w:t>
      </w:r>
      <w:r w:rsidR="004F6744" w:rsidRPr="00CB2DE6">
        <w:rPr>
          <w:rFonts w:ascii="Times New Roman" w:eastAsia="Calibri" w:hAnsi="Times New Roman" w:cs="Times New Roman"/>
          <w:sz w:val="24"/>
          <w:szCs w:val="24"/>
        </w:rPr>
        <w:t xml:space="preserve">eir forward discounts </w:t>
      </w:r>
      <m:oMath>
        <m:f>
          <m:fPr>
            <m:type m:val="lin"/>
            <m:ctrlPr>
              <w:rPr>
                <w:rFonts w:ascii="Cambria Math" w:eastAsia="Calibri" w:hAnsi="Cambria Math" w:cs="Times New Roman"/>
                <w:i/>
                <w:sz w:val="24"/>
                <w:szCs w:val="24"/>
              </w:rPr>
            </m:ctrlPr>
          </m:fPr>
          <m:num>
            <m:d>
              <m:dPr>
                <m:ctrlPr>
                  <w:rPr>
                    <w:rFonts w:ascii="Cambria Math" w:eastAsia="Calibri" w:hAnsi="Cambria Math" w:cs="Times New Roman"/>
                    <w:i/>
                    <w:sz w:val="24"/>
                    <w:szCs w:val="24"/>
                  </w:rPr>
                </m:ctrlPr>
              </m:dPr>
              <m:e>
                <m:sSubSup>
                  <m:sSubSupPr>
                    <m:ctrlPr>
                      <w:rPr>
                        <w:rFonts w:ascii="Cambria Math" w:eastAsia="Calibri" w:hAnsi="Cambria Math" w:cs="Times New Roman"/>
                        <w:i/>
                        <w:sz w:val="24"/>
                        <w:szCs w:val="24"/>
                      </w:rPr>
                    </m:ctrlPr>
                  </m:sSubSupPr>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F</m:t>
                        </m:r>
                      </m:e>
                      <m:sub>
                        <m:r>
                          <w:rPr>
                            <w:rFonts w:ascii="Cambria Math" w:eastAsia="Calibri" w:hAnsi="Cambria Math" w:cs="Times New Roman"/>
                            <w:sz w:val="24"/>
                            <w:szCs w:val="24"/>
                          </w:rPr>
                          <m:t>t</m:t>
                        </m:r>
                      </m:sub>
                      <m:sup>
                        <m:r>
                          <w:rPr>
                            <w:rFonts w:ascii="Cambria Math" w:eastAsia="Calibri" w:hAnsi="Cambria Math" w:cs="Times New Roman"/>
                            <w:sz w:val="24"/>
                            <w:szCs w:val="24"/>
                          </w:rPr>
                          <m:t>k</m:t>
                        </m:r>
                      </m:sup>
                    </m:sSubSup>
                    <m:r>
                      <w:rPr>
                        <w:rFonts w:ascii="Cambria Math" w:eastAsia="Calibri" w:hAnsi="Cambria Math" w:cs="Times New Roman"/>
                        <w:sz w:val="24"/>
                        <w:szCs w:val="24"/>
                      </w:rPr>
                      <m:t>-S</m:t>
                    </m:r>
                  </m:e>
                  <m:sub>
                    <m:r>
                      <w:rPr>
                        <w:rFonts w:ascii="Cambria Math" w:eastAsia="Calibri" w:hAnsi="Cambria Math" w:cs="Times New Roman"/>
                        <w:sz w:val="24"/>
                        <w:szCs w:val="24"/>
                      </w:rPr>
                      <m:t>t</m:t>
                    </m:r>
                  </m:sub>
                  <m:sup>
                    <m:r>
                      <w:rPr>
                        <w:rFonts w:ascii="Cambria Math" w:eastAsia="Calibri" w:hAnsi="Cambria Math" w:cs="Times New Roman"/>
                        <w:sz w:val="24"/>
                        <w:szCs w:val="24"/>
                      </w:rPr>
                      <m:t>k</m:t>
                    </m:r>
                  </m:sup>
                </m:sSubSup>
              </m:e>
            </m:d>
          </m:num>
          <m:den>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t</m:t>
                </m:r>
              </m:sub>
              <m:sup>
                <m:r>
                  <w:rPr>
                    <w:rFonts w:ascii="Cambria Math" w:eastAsia="Calibri" w:hAnsi="Cambria Math" w:cs="Times New Roman"/>
                    <w:sz w:val="24"/>
                    <w:szCs w:val="24"/>
                  </w:rPr>
                  <m:t>k</m:t>
                </m:r>
              </m:sup>
            </m:sSubSup>
          </m:den>
        </m:f>
      </m:oMath>
      <w:r w:rsidR="0008555D" w:rsidRPr="00CB2DE6">
        <w:rPr>
          <w:rFonts w:ascii="Times New Roman" w:eastAsia="Calibri" w:hAnsi="Times New Roman" w:cs="Times New Roman"/>
          <w:sz w:val="24"/>
          <w:szCs w:val="24"/>
        </w:rPr>
        <w:t xml:space="preserve"> </w:t>
      </w:r>
      <w:r w:rsidR="004F6744" w:rsidRPr="00CB2DE6">
        <w:rPr>
          <w:rFonts w:ascii="Times New Roman" w:eastAsia="Calibri" w:hAnsi="Times New Roman" w:cs="Times New Roman"/>
          <w:sz w:val="24"/>
          <w:szCs w:val="24"/>
        </w:rPr>
        <w:t xml:space="preserve">observed </w:t>
      </w:r>
      <w:r w:rsidR="000B62B2" w:rsidRPr="00CB2DE6">
        <w:rPr>
          <w:rFonts w:ascii="Times New Roman" w:eastAsia="Calibri" w:hAnsi="Times New Roman" w:cs="Times New Roman"/>
          <w:sz w:val="24"/>
          <w:szCs w:val="24"/>
        </w:rPr>
        <w:t xml:space="preserve">at the end of </w:t>
      </w:r>
      <w:r w:rsidR="00445489" w:rsidRPr="00CB2DE6">
        <w:rPr>
          <w:rFonts w:ascii="Times New Roman" w:eastAsia="Calibri" w:hAnsi="Times New Roman" w:cs="Times New Roman"/>
          <w:sz w:val="24"/>
          <w:szCs w:val="24"/>
        </w:rPr>
        <w:t>month</w:t>
      </w:r>
      <m:oMath>
        <m:r>
          <w:rPr>
            <w:rFonts w:ascii="Cambria Math" w:eastAsia="Calibri" w:hAnsi="Cambria Math" w:cs="Times New Roman"/>
            <w:sz w:val="24"/>
            <w:szCs w:val="24"/>
          </w:rPr>
          <m:t xml:space="preserve"> </m:t>
        </m:r>
        <m:r>
          <w:rPr>
            <w:rFonts w:ascii="Cambria Math" w:hAnsi="Cambria Math" w:cs="Times New Roman"/>
            <w:sz w:val="24"/>
            <w:szCs w:val="24"/>
          </w:rPr>
          <m:t>t</m:t>
        </m:r>
      </m:oMath>
      <w:r w:rsidR="00364005" w:rsidRPr="00CB2DE6">
        <w:rPr>
          <w:rFonts w:ascii="Times New Roman" w:eastAsia="Calibri" w:hAnsi="Times New Roman" w:cs="Times New Roman"/>
          <w:sz w:val="24"/>
          <w:szCs w:val="24"/>
        </w:rPr>
        <w:t>.</w:t>
      </w:r>
      <w:r w:rsidR="00DE3801" w:rsidRPr="00CB2DE6">
        <w:rPr>
          <w:rFonts w:ascii="Times New Roman" w:eastAsia="Calibri" w:hAnsi="Times New Roman" w:cs="Times New Roman"/>
          <w:sz w:val="24"/>
          <w:szCs w:val="24"/>
        </w:rPr>
        <w:t xml:space="preserve"> </w:t>
      </w:r>
      <w:r w:rsidR="004769C9" w:rsidRPr="00CB2DE6">
        <w:rPr>
          <w:rFonts w:ascii="Times New Roman" w:eastAsia="Calibri" w:hAnsi="Times New Roman" w:cs="Times New Roman"/>
          <w:sz w:val="24"/>
          <w:szCs w:val="24"/>
        </w:rPr>
        <w:t xml:space="preserve">We </w:t>
      </w:r>
      <w:r w:rsidR="003E29A7" w:rsidRPr="00CB2DE6">
        <w:rPr>
          <w:rFonts w:ascii="Times New Roman" w:eastAsia="Calibri" w:hAnsi="Times New Roman" w:cs="Times New Roman"/>
          <w:sz w:val="24"/>
          <w:szCs w:val="24"/>
        </w:rPr>
        <w:t>use</w:t>
      </w:r>
      <w:r w:rsidR="00364005" w:rsidRPr="00CB2DE6">
        <w:rPr>
          <w:rFonts w:ascii="Times New Roman" w:eastAsia="Calibri" w:hAnsi="Times New Roman" w:cs="Times New Roman"/>
          <w:sz w:val="24"/>
          <w:szCs w:val="24"/>
        </w:rPr>
        <w:t xml:space="preserve">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t</m:t>
            </m:r>
          </m:sub>
          <m:sup>
            <m:r>
              <w:rPr>
                <w:rFonts w:ascii="Cambria Math" w:eastAsia="Calibri" w:hAnsi="Cambria Math" w:cs="Times New Roman"/>
                <w:sz w:val="24"/>
                <w:szCs w:val="24"/>
              </w:rPr>
              <m:t>k</m:t>
            </m:r>
          </m:sup>
        </m:sSubSup>
      </m:oMath>
      <w:r w:rsidR="00364005" w:rsidRPr="00CB2DE6">
        <w:rPr>
          <w:rFonts w:ascii="Times New Roman" w:eastAsia="Calibri" w:hAnsi="Times New Roman" w:cs="Times New Roman"/>
          <w:sz w:val="24"/>
          <w:szCs w:val="24"/>
        </w:rPr>
        <w:t xml:space="preserve"> </w:t>
      </w:r>
      <w:r w:rsidR="004769C9" w:rsidRPr="00CB2DE6">
        <w:rPr>
          <w:rFonts w:ascii="Times New Roman" w:eastAsia="Calibri" w:hAnsi="Times New Roman" w:cs="Times New Roman"/>
          <w:sz w:val="24"/>
          <w:szCs w:val="24"/>
        </w:rPr>
        <w:t xml:space="preserve">and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F</m:t>
            </m:r>
          </m:e>
          <m:sub>
            <m:r>
              <w:rPr>
                <w:rFonts w:ascii="Cambria Math" w:eastAsia="Calibri" w:hAnsi="Cambria Math" w:cs="Times New Roman"/>
                <w:sz w:val="24"/>
                <w:szCs w:val="24"/>
              </w:rPr>
              <m:t>t</m:t>
            </m:r>
          </m:sub>
          <m:sup>
            <m:r>
              <w:rPr>
                <w:rFonts w:ascii="Cambria Math" w:eastAsia="Calibri" w:hAnsi="Cambria Math" w:cs="Times New Roman"/>
                <w:sz w:val="24"/>
                <w:szCs w:val="24"/>
              </w:rPr>
              <m:t>k</m:t>
            </m:r>
          </m:sup>
        </m:sSubSup>
      </m:oMath>
      <w:r w:rsidR="004769C9" w:rsidRPr="00CB2DE6">
        <w:rPr>
          <w:rFonts w:ascii="Times New Roman" w:eastAsia="Calibri" w:hAnsi="Times New Roman" w:cs="Times New Roman"/>
          <w:sz w:val="24"/>
          <w:szCs w:val="24"/>
        </w:rPr>
        <w:t xml:space="preserve"> </w:t>
      </w:r>
      <w:r w:rsidR="003E29A7" w:rsidRPr="00CB2DE6">
        <w:rPr>
          <w:rFonts w:ascii="Times New Roman" w:eastAsia="Calibri" w:hAnsi="Times New Roman" w:cs="Times New Roman"/>
          <w:sz w:val="24"/>
          <w:szCs w:val="24"/>
        </w:rPr>
        <w:t xml:space="preserve">to </w:t>
      </w:r>
      <w:r w:rsidR="00AD48E4" w:rsidRPr="00CB2DE6">
        <w:rPr>
          <w:rFonts w:ascii="Times New Roman" w:eastAsia="Calibri" w:hAnsi="Times New Roman" w:cs="Times New Roman"/>
          <w:sz w:val="24"/>
          <w:szCs w:val="24"/>
        </w:rPr>
        <w:t>denote</w:t>
      </w:r>
      <w:r w:rsidR="00FD467C" w:rsidRPr="00CB2DE6">
        <w:rPr>
          <w:rFonts w:ascii="Times New Roman" w:eastAsia="Calibri" w:hAnsi="Times New Roman" w:cs="Times New Roman"/>
          <w:sz w:val="24"/>
          <w:szCs w:val="24"/>
        </w:rPr>
        <w:t xml:space="preserve"> the </w:t>
      </w:r>
      <w:r w:rsidR="00F37F66" w:rsidRPr="00CB2DE6">
        <w:rPr>
          <w:rFonts w:ascii="Times New Roman" w:eastAsia="Calibri" w:hAnsi="Times New Roman" w:cs="Times New Roman"/>
          <w:sz w:val="24"/>
          <w:szCs w:val="24"/>
        </w:rPr>
        <w:t xml:space="preserve">levels of </w:t>
      </w:r>
      <w:r w:rsidR="00FD467C" w:rsidRPr="00CB2DE6">
        <w:rPr>
          <w:rFonts w:ascii="Times New Roman" w:hAnsi="Times New Roman" w:cs="Times New Roman"/>
          <w:sz w:val="24"/>
          <w:szCs w:val="24"/>
        </w:rPr>
        <w:t xml:space="preserve">daily spot and </w:t>
      </w:r>
      <w:r w:rsidR="007054DD" w:rsidRPr="00CB2DE6">
        <w:rPr>
          <w:rFonts w:ascii="Times New Roman" w:hAnsi="Times New Roman" w:cs="Times New Roman"/>
          <w:sz w:val="24"/>
          <w:szCs w:val="24"/>
        </w:rPr>
        <w:t>one</w:t>
      </w:r>
      <w:r w:rsidR="00FD467C" w:rsidRPr="00CB2DE6">
        <w:rPr>
          <w:rFonts w:ascii="Times New Roman" w:hAnsi="Times New Roman" w:cs="Times New Roman"/>
          <w:sz w:val="24"/>
          <w:szCs w:val="24"/>
        </w:rPr>
        <w:t xml:space="preserve">-month forward exchange rates of currency </w:t>
      </w:r>
      <m:oMath>
        <m:r>
          <w:rPr>
            <w:rFonts w:ascii="Cambria Math" w:hAnsi="Cambria Math" w:cs="Times New Roman"/>
            <w:sz w:val="24"/>
            <w:szCs w:val="24"/>
          </w:rPr>
          <m:t>k</m:t>
        </m:r>
      </m:oMath>
      <w:r w:rsidR="00A31338" w:rsidRPr="00CB2DE6">
        <w:rPr>
          <w:rFonts w:ascii="Times New Roman" w:hAnsi="Times New Roman" w:cs="Times New Roman"/>
          <w:sz w:val="24"/>
          <w:szCs w:val="24"/>
        </w:rPr>
        <w:t xml:space="preserve"> </w:t>
      </w:r>
      <w:r w:rsidR="009C0B01" w:rsidRPr="00CB2DE6">
        <w:rPr>
          <w:rFonts w:ascii="Times New Roman" w:hAnsi="Times New Roman" w:cs="Times New Roman"/>
          <w:sz w:val="24"/>
          <w:szCs w:val="24"/>
        </w:rPr>
        <w:t>against the USD</w:t>
      </w:r>
      <w:r w:rsidR="00470678" w:rsidRPr="00CB2DE6">
        <w:rPr>
          <w:rFonts w:ascii="Times New Roman" w:hAnsi="Times New Roman" w:cs="Times New Roman"/>
          <w:sz w:val="24"/>
          <w:szCs w:val="24"/>
        </w:rPr>
        <w:t>, respectively</w:t>
      </w:r>
      <w:r w:rsidR="004C02CC">
        <w:rPr>
          <w:rFonts w:ascii="Times New Roman" w:hAnsi="Times New Roman" w:cs="Times New Roman"/>
          <w:sz w:val="24"/>
          <w:szCs w:val="24"/>
        </w:rPr>
        <w:t>, a</w:t>
      </w:r>
      <w:r w:rsidR="004C02CC" w:rsidRPr="00CB2DE6">
        <w:rPr>
          <w:rFonts w:ascii="Times New Roman" w:eastAsia="Calibri" w:hAnsi="Times New Roman" w:cs="Times New Roman"/>
          <w:sz w:val="24"/>
          <w:szCs w:val="24"/>
        </w:rPr>
        <w:t>t the end of month</w:t>
      </w:r>
      <m:oMath>
        <m:r>
          <w:rPr>
            <w:rFonts w:ascii="Cambria Math" w:eastAsia="Calibri" w:hAnsi="Cambria Math" w:cs="Times New Roman"/>
            <w:sz w:val="24"/>
            <w:szCs w:val="24"/>
          </w:rPr>
          <m:t xml:space="preserve"> </m:t>
        </m:r>
        <m:r>
          <w:rPr>
            <w:rFonts w:ascii="Cambria Math" w:hAnsi="Cambria Math" w:cs="Times New Roman"/>
            <w:sz w:val="24"/>
            <w:szCs w:val="24"/>
          </w:rPr>
          <m:t>t</m:t>
        </m:r>
      </m:oMath>
      <w:r w:rsidR="00690F89" w:rsidRPr="00CB2DE6">
        <w:rPr>
          <w:rFonts w:ascii="Times New Roman" w:eastAsia="Calibri" w:hAnsi="Times New Roman" w:cs="Times New Roman"/>
          <w:sz w:val="24"/>
          <w:szCs w:val="24"/>
        </w:rPr>
        <w:t>.</w:t>
      </w:r>
      <w:r w:rsidR="004769C9" w:rsidRPr="00CB2DE6">
        <w:rPr>
          <w:rFonts w:ascii="Times New Roman" w:eastAsia="Calibri" w:hAnsi="Times New Roman" w:cs="Times New Roman"/>
          <w:sz w:val="24"/>
          <w:szCs w:val="24"/>
        </w:rPr>
        <w:t xml:space="preserve"> We </w:t>
      </w:r>
      <w:r w:rsidR="00070FD2" w:rsidRPr="00CB2DE6">
        <w:rPr>
          <w:rFonts w:ascii="Times New Roman" w:eastAsia="Calibri" w:hAnsi="Times New Roman" w:cs="Times New Roman"/>
          <w:sz w:val="24"/>
          <w:szCs w:val="24"/>
        </w:rPr>
        <w:t xml:space="preserve">rebalance </w:t>
      </w:r>
      <w:r w:rsidR="007215FF" w:rsidRPr="00CB2DE6">
        <w:rPr>
          <w:rFonts w:ascii="Times New Roman" w:eastAsia="Calibri" w:hAnsi="Times New Roman" w:cs="Times New Roman"/>
          <w:sz w:val="24"/>
          <w:szCs w:val="24"/>
        </w:rPr>
        <w:t xml:space="preserve">currency portfolios </w:t>
      </w:r>
      <w:r w:rsidR="00DD269B" w:rsidRPr="00CB2DE6">
        <w:rPr>
          <w:rFonts w:ascii="Times New Roman" w:eastAsia="Calibri" w:hAnsi="Times New Roman" w:cs="Times New Roman"/>
          <w:sz w:val="24"/>
          <w:szCs w:val="24"/>
        </w:rPr>
        <w:t xml:space="preserve">at the end of every </w:t>
      </w:r>
      <w:r w:rsidR="00690F89" w:rsidRPr="00CB2DE6">
        <w:rPr>
          <w:rFonts w:ascii="Times New Roman" w:eastAsia="Calibri" w:hAnsi="Times New Roman" w:cs="Times New Roman"/>
          <w:sz w:val="24"/>
          <w:szCs w:val="24"/>
        </w:rPr>
        <w:t>month</w:t>
      </w:r>
      <w:r w:rsidR="00504FC8" w:rsidRPr="00CB2DE6">
        <w:rPr>
          <w:rFonts w:ascii="Times New Roman" w:eastAsia="Calibri" w:hAnsi="Times New Roman" w:cs="Times New Roman"/>
          <w:sz w:val="24"/>
          <w:szCs w:val="24"/>
        </w:rPr>
        <w:t>.</w:t>
      </w:r>
      <w:r w:rsidR="00BA7C04" w:rsidRPr="00CB2DE6">
        <w:rPr>
          <w:rFonts w:ascii="Times New Roman" w:eastAsia="Calibri" w:hAnsi="Times New Roman" w:cs="Times New Roman"/>
          <w:sz w:val="24"/>
          <w:szCs w:val="24"/>
        </w:rPr>
        <w:t xml:space="preserve"> </w:t>
      </w:r>
      <w:r w:rsidR="00504FC8" w:rsidRPr="00CB2DE6">
        <w:rPr>
          <w:rFonts w:ascii="Times New Roman" w:eastAsia="Calibri" w:hAnsi="Times New Roman" w:cs="Times New Roman"/>
          <w:sz w:val="24"/>
          <w:szCs w:val="24"/>
        </w:rPr>
        <w:t xml:space="preserve">Currencies are </w:t>
      </w:r>
      <w:r w:rsidR="00941AD8" w:rsidRPr="00CB2DE6">
        <w:rPr>
          <w:rFonts w:ascii="Times New Roman" w:eastAsia="Calibri" w:hAnsi="Times New Roman" w:cs="Times New Roman"/>
          <w:sz w:val="24"/>
          <w:szCs w:val="24"/>
        </w:rPr>
        <w:t>rank</w:t>
      </w:r>
      <w:r w:rsidR="00504FC8" w:rsidRPr="00CB2DE6">
        <w:rPr>
          <w:rFonts w:ascii="Times New Roman" w:eastAsia="Calibri" w:hAnsi="Times New Roman" w:cs="Times New Roman"/>
          <w:sz w:val="24"/>
          <w:szCs w:val="24"/>
        </w:rPr>
        <w:t>ed</w:t>
      </w:r>
      <w:r w:rsidR="00941AD8" w:rsidRPr="00CB2DE6">
        <w:rPr>
          <w:rFonts w:ascii="Times New Roman" w:eastAsia="Calibri" w:hAnsi="Times New Roman" w:cs="Times New Roman"/>
          <w:sz w:val="24"/>
          <w:szCs w:val="24"/>
        </w:rPr>
        <w:t xml:space="preserve"> </w:t>
      </w:r>
      <w:r w:rsidR="003B6046" w:rsidRPr="00CB2DE6">
        <w:rPr>
          <w:rFonts w:ascii="Times New Roman" w:eastAsia="Calibri" w:hAnsi="Times New Roman" w:cs="Times New Roman"/>
          <w:sz w:val="24"/>
          <w:szCs w:val="24"/>
        </w:rPr>
        <w:t xml:space="preserve">in ascending order with respect </w:t>
      </w:r>
      <w:r w:rsidR="00261603" w:rsidRPr="00CB2DE6">
        <w:rPr>
          <w:rFonts w:ascii="Times New Roman" w:eastAsia="Calibri" w:hAnsi="Times New Roman" w:cs="Times New Roman"/>
          <w:sz w:val="24"/>
          <w:szCs w:val="24"/>
        </w:rPr>
        <w:t xml:space="preserve">to </w:t>
      </w:r>
      <w:r w:rsidR="00731C6A" w:rsidRPr="00CB2DE6">
        <w:rPr>
          <w:rFonts w:ascii="Times New Roman" w:eastAsia="Calibri" w:hAnsi="Times New Roman" w:cs="Times New Roman"/>
          <w:sz w:val="24"/>
          <w:szCs w:val="24"/>
        </w:rPr>
        <w:t xml:space="preserve">their </w:t>
      </w:r>
      <w:r w:rsidR="00C00CE1" w:rsidRPr="00CB2DE6">
        <w:rPr>
          <w:rFonts w:ascii="Times New Roman" w:eastAsia="Calibri" w:hAnsi="Times New Roman" w:cs="Times New Roman"/>
          <w:sz w:val="24"/>
          <w:szCs w:val="24"/>
        </w:rPr>
        <w:t xml:space="preserve">forward discounts </w:t>
      </w:r>
      <w:r w:rsidR="00D57713" w:rsidRPr="00CB2DE6">
        <w:rPr>
          <w:rFonts w:ascii="Times New Roman" w:eastAsia="Calibri" w:hAnsi="Times New Roman" w:cs="Times New Roman"/>
          <w:sz w:val="24"/>
          <w:szCs w:val="24"/>
        </w:rPr>
        <w:t>or</w:t>
      </w:r>
      <w:r w:rsidR="00ED1922" w:rsidRPr="00CB2DE6">
        <w:rPr>
          <w:rFonts w:ascii="Times New Roman" w:eastAsia="Calibri" w:hAnsi="Times New Roman" w:cs="Times New Roman"/>
          <w:sz w:val="24"/>
          <w:szCs w:val="24"/>
        </w:rPr>
        <w:t>,</w:t>
      </w:r>
      <w:r w:rsidR="00D57713" w:rsidRPr="00CB2DE6">
        <w:rPr>
          <w:rFonts w:ascii="Times New Roman" w:eastAsia="Calibri" w:hAnsi="Times New Roman" w:cs="Times New Roman"/>
          <w:sz w:val="24"/>
          <w:szCs w:val="24"/>
        </w:rPr>
        <w:t xml:space="preserve"> equivalently</w:t>
      </w:r>
      <w:r w:rsidR="00ED1922" w:rsidRPr="00CB2DE6">
        <w:rPr>
          <w:rFonts w:ascii="Times New Roman" w:eastAsia="Calibri" w:hAnsi="Times New Roman" w:cs="Times New Roman"/>
          <w:sz w:val="24"/>
          <w:szCs w:val="24"/>
        </w:rPr>
        <w:t>,</w:t>
      </w:r>
      <w:r w:rsidR="00D57713" w:rsidRPr="00CB2DE6">
        <w:rPr>
          <w:rFonts w:ascii="Times New Roman" w:eastAsia="Calibri" w:hAnsi="Times New Roman" w:cs="Times New Roman"/>
          <w:sz w:val="24"/>
          <w:szCs w:val="24"/>
        </w:rPr>
        <w:t xml:space="preserve"> </w:t>
      </w:r>
      <w:r w:rsidR="003B6046" w:rsidRPr="00CB2DE6">
        <w:rPr>
          <w:rFonts w:ascii="Times New Roman" w:eastAsia="Calibri" w:hAnsi="Times New Roman" w:cs="Times New Roman"/>
          <w:sz w:val="24"/>
          <w:szCs w:val="24"/>
        </w:rPr>
        <w:t xml:space="preserve">to </w:t>
      </w:r>
      <w:r w:rsidR="009207E1" w:rsidRPr="00CB2DE6">
        <w:rPr>
          <w:rFonts w:ascii="Times New Roman" w:eastAsia="Calibri" w:hAnsi="Times New Roman" w:cs="Times New Roman"/>
          <w:sz w:val="24"/>
          <w:szCs w:val="24"/>
        </w:rPr>
        <w:t xml:space="preserve">their </w:t>
      </w:r>
      <w:r w:rsidR="0098226A" w:rsidRPr="00CB2DE6">
        <w:rPr>
          <w:rFonts w:ascii="Times New Roman" w:eastAsia="Calibri" w:hAnsi="Times New Roman" w:cs="Times New Roman"/>
          <w:sz w:val="24"/>
          <w:szCs w:val="24"/>
        </w:rPr>
        <w:t>interest rate</w:t>
      </w:r>
      <w:r w:rsidR="00E50CAC" w:rsidRPr="00CB2DE6">
        <w:rPr>
          <w:rFonts w:ascii="Times New Roman" w:eastAsia="Calibri" w:hAnsi="Times New Roman" w:cs="Times New Roman"/>
          <w:sz w:val="24"/>
          <w:szCs w:val="24"/>
        </w:rPr>
        <w:t xml:space="preserve"> differentials</w:t>
      </w:r>
      <w:r w:rsidR="00A8273B" w:rsidRPr="00CB2DE6">
        <w:rPr>
          <w:rFonts w:ascii="Times New Roman" w:eastAsia="Calibri" w:hAnsi="Times New Roman" w:cs="Times New Roman"/>
          <w:sz w:val="24"/>
          <w:szCs w:val="24"/>
        </w:rPr>
        <w:t>.</w:t>
      </w:r>
      <w:r w:rsidR="00DD269B" w:rsidRPr="00CB2DE6">
        <w:rPr>
          <w:rFonts w:ascii="Times New Roman" w:eastAsia="Calibri" w:hAnsi="Times New Roman" w:cs="Times New Roman"/>
          <w:sz w:val="24"/>
          <w:szCs w:val="24"/>
        </w:rPr>
        <w:t xml:space="preserve"> </w:t>
      </w:r>
      <w:r w:rsidR="00D22161" w:rsidRPr="00CB2DE6">
        <w:rPr>
          <w:rFonts w:ascii="Times New Roman" w:eastAsia="Calibri" w:hAnsi="Times New Roman" w:cs="Times New Roman"/>
          <w:sz w:val="24"/>
          <w:szCs w:val="24"/>
        </w:rPr>
        <w:t>Th</w:t>
      </w:r>
      <w:r w:rsidR="001672A1" w:rsidRPr="00CB2DE6">
        <w:rPr>
          <w:rFonts w:ascii="Times New Roman" w:eastAsia="Calibri" w:hAnsi="Times New Roman" w:cs="Times New Roman"/>
          <w:sz w:val="24"/>
          <w:szCs w:val="24"/>
        </w:rPr>
        <w:t xml:space="preserve">is results in </w:t>
      </w:r>
      <w:r w:rsidR="00731C6A" w:rsidRPr="00CB2DE6">
        <w:rPr>
          <w:rFonts w:ascii="Times New Roman" w:eastAsia="Calibri" w:hAnsi="Times New Roman" w:cs="Times New Roman"/>
          <w:sz w:val="24"/>
          <w:szCs w:val="24"/>
        </w:rPr>
        <w:t xml:space="preserve">portfolio </w:t>
      </w:r>
      <w:r w:rsidR="00476315" w:rsidRPr="00CB2DE6">
        <w:rPr>
          <w:rFonts w:ascii="Times New Roman" w:eastAsia="Calibri" w:hAnsi="Times New Roman" w:cs="Times New Roman"/>
          <w:sz w:val="24"/>
          <w:szCs w:val="24"/>
        </w:rPr>
        <w:t xml:space="preserve">1 </w:t>
      </w:r>
      <w:r w:rsidR="00D22161" w:rsidRPr="00CB2DE6">
        <w:rPr>
          <w:rFonts w:ascii="Times New Roman" w:eastAsia="Calibri" w:hAnsi="Times New Roman" w:cs="Times New Roman"/>
          <w:sz w:val="24"/>
          <w:szCs w:val="24"/>
        </w:rPr>
        <w:t>compris</w:t>
      </w:r>
      <w:r w:rsidR="001672A1" w:rsidRPr="00CB2DE6">
        <w:rPr>
          <w:rFonts w:ascii="Times New Roman" w:eastAsia="Calibri" w:hAnsi="Times New Roman" w:cs="Times New Roman"/>
          <w:sz w:val="24"/>
          <w:szCs w:val="24"/>
        </w:rPr>
        <w:t xml:space="preserve">ing </w:t>
      </w:r>
      <w:r w:rsidR="004F6744" w:rsidRPr="00CB2DE6">
        <w:rPr>
          <w:rFonts w:ascii="Times New Roman" w:eastAsia="Calibri" w:hAnsi="Times New Roman" w:cs="Times New Roman"/>
          <w:sz w:val="24"/>
          <w:szCs w:val="24"/>
        </w:rPr>
        <w:t>20</w:t>
      </w:r>
      <w:r w:rsidR="00BC1572" w:rsidRPr="00CB2DE6">
        <w:rPr>
          <w:rFonts w:ascii="Times New Roman" w:eastAsia="Calibri" w:hAnsi="Times New Roman" w:cs="Times New Roman"/>
          <w:sz w:val="24"/>
          <w:szCs w:val="24"/>
        </w:rPr>
        <w:t xml:space="preserve">% </w:t>
      </w:r>
      <w:r w:rsidR="001D401D" w:rsidRPr="00CB2DE6">
        <w:rPr>
          <w:rFonts w:ascii="Times New Roman" w:eastAsia="Calibri" w:hAnsi="Times New Roman" w:cs="Times New Roman"/>
          <w:sz w:val="24"/>
          <w:szCs w:val="24"/>
        </w:rPr>
        <w:t xml:space="preserve">of </w:t>
      </w:r>
      <w:r w:rsidR="00690F89" w:rsidRPr="00CB2DE6">
        <w:rPr>
          <w:rFonts w:ascii="Times New Roman" w:eastAsia="Calibri" w:hAnsi="Times New Roman" w:cs="Times New Roman"/>
          <w:sz w:val="24"/>
          <w:szCs w:val="24"/>
        </w:rPr>
        <w:t xml:space="preserve">currencies with </w:t>
      </w:r>
      <w:r w:rsidR="00826442" w:rsidRPr="00CB2DE6">
        <w:rPr>
          <w:rFonts w:ascii="Times New Roman" w:eastAsia="Calibri" w:hAnsi="Times New Roman" w:cs="Times New Roman"/>
          <w:sz w:val="24"/>
          <w:szCs w:val="24"/>
        </w:rPr>
        <w:t xml:space="preserve">the smallest forward discounts </w:t>
      </w:r>
      <w:r w:rsidR="004769C9" w:rsidRPr="00CB2DE6">
        <w:rPr>
          <w:rFonts w:ascii="Times New Roman" w:eastAsia="Calibri" w:hAnsi="Times New Roman" w:cs="Times New Roman"/>
          <w:sz w:val="24"/>
          <w:szCs w:val="24"/>
        </w:rPr>
        <w:t>(</w:t>
      </w:r>
      <w:r w:rsidR="00690F89" w:rsidRPr="00CB2DE6">
        <w:rPr>
          <w:rFonts w:ascii="Times New Roman" w:eastAsia="Calibri" w:hAnsi="Times New Roman" w:cs="Times New Roman"/>
          <w:sz w:val="24"/>
          <w:szCs w:val="24"/>
        </w:rPr>
        <w:t>or</w:t>
      </w:r>
      <w:r w:rsidR="00901276" w:rsidRPr="00CB2DE6">
        <w:rPr>
          <w:rFonts w:ascii="Times New Roman" w:eastAsia="Calibri" w:hAnsi="Times New Roman" w:cs="Times New Roman"/>
          <w:sz w:val="24"/>
          <w:szCs w:val="24"/>
        </w:rPr>
        <w:t xml:space="preserve"> l</w:t>
      </w:r>
      <w:r w:rsidR="00826442" w:rsidRPr="00CB2DE6">
        <w:rPr>
          <w:rFonts w:ascii="Times New Roman" w:eastAsia="Calibri" w:hAnsi="Times New Roman" w:cs="Times New Roman"/>
          <w:sz w:val="24"/>
          <w:szCs w:val="24"/>
        </w:rPr>
        <w:t>owest interest rates</w:t>
      </w:r>
      <w:r w:rsidR="004769C9" w:rsidRPr="00CB2DE6">
        <w:rPr>
          <w:rFonts w:ascii="Times New Roman" w:eastAsia="Calibri" w:hAnsi="Times New Roman" w:cs="Times New Roman"/>
          <w:sz w:val="24"/>
          <w:szCs w:val="24"/>
        </w:rPr>
        <w:t>)</w:t>
      </w:r>
      <w:r w:rsidR="00695483" w:rsidRPr="00CB2DE6">
        <w:rPr>
          <w:rFonts w:ascii="Times New Roman" w:eastAsia="Calibri" w:hAnsi="Times New Roman" w:cs="Times New Roman"/>
          <w:sz w:val="24"/>
          <w:szCs w:val="24"/>
        </w:rPr>
        <w:t>,</w:t>
      </w:r>
      <w:r w:rsidR="00C12209" w:rsidRPr="00CB2DE6">
        <w:rPr>
          <w:rFonts w:ascii="Times New Roman" w:eastAsia="Calibri" w:hAnsi="Times New Roman" w:cs="Times New Roman"/>
          <w:sz w:val="24"/>
          <w:szCs w:val="24"/>
        </w:rPr>
        <w:t xml:space="preserve"> </w:t>
      </w:r>
      <w:r w:rsidR="00DA056D" w:rsidRPr="00CB2DE6">
        <w:rPr>
          <w:rFonts w:ascii="Times New Roman" w:eastAsia="Calibri" w:hAnsi="Times New Roman" w:cs="Times New Roman"/>
          <w:sz w:val="24"/>
          <w:szCs w:val="24"/>
        </w:rPr>
        <w:t>while</w:t>
      </w:r>
      <w:r w:rsidR="00731C6A" w:rsidRPr="00CB2DE6">
        <w:rPr>
          <w:rFonts w:ascii="Times New Roman" w:eastAsia="Calibri" w:hAnsi="Times New Roman" w:cs="Times New Roman"/>
          <w:sz w:val="24"/>
          <w:szCs w:val="24"/>
        </w:rPr>
        <w:t xml:space="preserve"> portfolio 5 </w:t>
      </w:r>
      <w:r w:rsidR="00D22161" w:rsidRPr="00CB2DE6">
        <w:rPr>
          <w:rFonts w:ascii="Times New Roman" w:eastAsia="Calibri" w:hAnsi="Times New Roman" w:cs="Times New Roman"/>
          <w:sz w:val="24"/>
          <w:szCs w:val="24"/>
        </w:rPr>
        <w:t>compris</w:t>
      </w:r>
      <w:r w:rsidR="001672A1" w:rsidRPr="00CB2DE6">
        <w:rPr>
          <w:rFonts w:ascii="Times New Roman" w:eastAsia="Calibri" w:hAnsi="Times New Roman" w:cs="Times New Roman"/>
          <w:sz w:val="24"/>
          <w:szCs w:val="24"/>
        </w:rPr>
        <w:t xml:space="preserve">ing </w:t>
      </w:r>
      <w:r w:rsidR="004F6744" w:rsidRPr="00CB2DE6">
        <w:rPr>
          <w:rFonts w:ascii="Times New Roman" w:eastAsia="Calibri" w:hAnsi="Times New Roman" w:cs="Times New Roman"/>
          <w:sz w:val="24"/>
          <w:szCs w:val="24"/>
        </w:rPr>
        <w:t>20</w:t>
      </w:r>
      <w:r w:rsidR="00BC1572" w:rsidRPr="00CB2DE6">
        <w:rPr>
          <w:rFonts w:ascii="Times New Roman" w:eastAsia="Calibri" w:hAnsi="Times New Roman" w:cs="Times New Roman"/>
          <w:sz w:val="24"/>
          <w:szCs w:val="24"/>
        </w:rPr>
        <w:t xml:space="preserve">% </w:t>
      </w:r>
      <w:r w:rsidR="001D401D" w:rsidRPr="00CB2DE6">
        <w:rPr>
          <w:rFonts w:ascii="Times New Roman" w:eastAsia="Calibri" w:hAnsi="Times New Roman" w:cs="Times New Roman"/>
          <w:sz w:val="24"/>
          <w:szCs w:val="24"/>
        </w:rPr>
        <w:t xml:space="preserve">of </w:t>
      </w:r>
      <w:r w:rsidR="00690F89" w:rsidRPr="00CB2DE6">
        <w:rPr>
          <w:rFonts w:ascii="Times New Roman" w:eastAsia="Calibri" w:hAnsi="Times New Roman" w:cs="Times New Roman"/>
          <w:sz w:val="24"/>
          <w:szCs w:val="24"/>
        </w:rPr>
        <w:t>currencies with the largest forward disc</w:t>
      </w:r>
      <w:r w:rsidR="00826442" w:rsidRPr="00CB2DE6">
        <w:rPr>
          <w:rFonts w:ascii="Times New Roman" w:eastAsia="Calibri" w:hAnsi="Times New Roman" w:cs="Times New Roman"/>
          <w:sz w:val="24"/>
          <w:szCs w:val="24"/>
        </w:rPr>
        <w:t xml:space="preserve">ounts </w:t>
      </w:r>
      <w:r w:rsidR="004769C9" w:rsidRPr="00CB2DE6">
        <w:rPr>
          <w:rFonts w:ascii="Times New Roman" w:eastAsia="Calibri" w:hAnsi="Times New Roman" w:cs="Times New Roman"/>
          <w:sz w:val="24"/>
          <w:szCs w:val="24"/>
        </w:rPr>
        <w:t>(</w:t>
      </w:r>
      <w:r w:rsidR="00826442" w:rsidRPr="00CB2DE6">
        <w:rPr>
          <w:rFonts w:ascii="Times New Roman" w:eastAsia="Calibri" w:hAnsi="Times New Roman" w:cs="Times New Roman"/>
          <w:sz w:val="24"/>
          <w:szCs w:val="24"/>
        </w:rPr>
        <w:t>or highest interest rates</w:t>
      </w:r>
      <w:r w:rsidR="004769C9" w:rsidRPr="00CB2DE6">
        <w:rPr>
          <w:rFonts w:ascii="Times New Roman" w:eastAsia="Calibri" w:hAnsi="Times New Roman" w:cs="Times New Roman"/>
          <w:sz w:val="24"/>
          <w:szCs w:val="24"/>
        </w:rPr>
        <w:t>)</w:t>
      </w:r>
      <w:r w:rsidR="00690F89" w:rsidRPr="00CB2DE6">
        <w:rPr>
          <w:rFonts w:ascii="Times New Roman" w:eastAsia="Calibri" w:hAnsi="Times New Roman" w:cs="Times New Roman"/>
          <w:sz w:val="24"/>
          <w:szCs w:val="24"/>
        </w:rPr>
        <w:t>.</w:t>
      </w:r>
      <w:r w:rsidR="00941AD8" w:rsidRPr="00CB2DE6">
        <w:rPr>
          <w:rFonts w:ascii="Times New Roman" w:eastAsia="Calibri" w:hAnsi="Times New Roman" w:cs="Times New Roman"/>
          <w:sz w:val="24"/>
          <w:szCs w:val="24"/>
        </w:rPr>
        <w:t xml:space="preserve"> </w:t>
      </w:r>
      <w:r w:rsidR="00452AD6" w:rsidRPr="00CB2DE6">
        <w:rPr>
          <w:rFonts w:ascii="Times New Roman" w:eastAsia="Calibri" w:hAnsi="Times New Roman" w:cs="Times New Roman"/>
          <w:sz w:val="24"/>
          <w:szCs w:val="24"/>
        </w:rPr>
        <w:t>The m</w:t>
      </w:r>
      <w:r w:rsidR="00974D42" w:rsidRPr="00CB2DE6">
        <w:rPr>
          <w:rFonts w:ascii="Times New Roman" w:eastAsia="Calibri" w:hAnsi="Times New Roman" w:cs="Times New Roman"/>
          <w:sz w:val="24"/>
          <w:szCs w:val="24"/>
        </w:rPr>
        <w:t xml:space="preserve">onthly </w:t>
      </w:r>
      <w:r w:rsidR="004F6744" w:rsidRPr="00CB2DE6">
        <w:rPr>
          <w:rFonts w:ascii="Times New Roman" w:eastAsia="Calibri" w:hAnsi="Times New Roman" w:cs="Times New Roman"/>
          <w:sz w:val="24"/>
          <w:szCs w:val="24"/>
        </w:rPr>
        <w:t>excess return</w:t>
      </w:r>
      <w:r w:rsidR="00690F89" w:rsidRPr="00CB2DE6">
        <w:rPr>
          <w:rFonts w:ascii="Times New Roman" w:eastAsia="Calibri" w:hAnsi="Times New Roman" w:cs="Times New Roman"/>
          <w:sz w:val="24"/>
          <w:szCs w:val="24"/>
        </w:rPr>
        <w:t xml:space="preserve"> </w:t>
      </w:r>
      <w:r w:rsidR="00690A1E" w:rsidRPr="00CB2DE6">
        <w:rPr>
          <w:rFonts w:ascii="Times New Roman" w:hAnsi="Times New Roman" w:cs="Times New Roman"/>
          <w:sz w:val="24"/>
          <w:szCs w:val="24"/>
        </w:rPr>
        <w:t>to a</w:t>
      </w:r>
      <w:r w:rsidR="00376FA5" w:rsidRPr="00CB2DE6">
        <w:rPr>
          <w:rFonts w:ascii="Times New Roman" w:hAnsi="Times New Roman" w:cs="Times New Roman"/>
          <w:sz w:val="24"/>
          <w:szCs w:val="24"/>
        </w:rPr>
        <w:t>n</w:t>
      </w:r>
      <w:r w:rsidR="003546F6" w:rsidRPr="00CB2DE6">
        <w:rPr>
          <w:rFonts w:ascii="Times New Roman" w:hAnsi="Times New Roman" w:cs="Times New Roman"/>
          <w:sz w:val="24"/>
          <w:szCs w:val="24"/>
        </w:rPr>
        <w:t xml:space="preserve"> </w:t>
      </w:r>
      <w:r w:rsidR="00DF4802" w:rsidRPr="00CB2DE6">
        <w:rPr>
          <w:rFonts w:ascii="Times New Roman" w:hAnsi="Times New Roman" w:cs="Times New Roman"/>
          <w:sz w:val="24"/>
          <w:szCs w:val="24"/>
        </w:rPr>
        <w:t xml:space="preserve">investor </w:t>
      </w:r>
      <w:r w:rsidR="003546F6" w:rsidRPr="00CB2DE6">
        <w:rPr>
          <w:rFonts w:ascii="Times New Roman" w:hAnsi="Times New Roman" w:cs="Times New Roman"/>
          <w:sz w:val="24"/>
          <w:szCs w:val="24"/>
        </w:rPr>
        <w:t>buy</w:t>
      </w:r>
      <w:r w:rsidR="00364005" w:rsidRPr="00CB2DE6">
        <w:rPr>
          <w:rFonts w:ascii="Times New Roman" w:hAnsi="Times New Roman" w:cs="Times New Roman"/>
          <w:sz w:val="24"/>
          <w:szCs w:val="24"/>
        </w:rPr>
        <w:t>ing</w:t>
      </w:r>
      <w:r w:rsidR="00DF4802" w:rsidRPr="00CB2DE6">
        <w:rPr>
          <w:rFonts w:ascii="Times New Roman" w:hAnsi="Times New Roman" w:cs="Times New Roman"/>
          <w:sz w:val="24"/>
          <w:szCs w:val="24"/>
        </w:rPr>
        <w:t xml:space="preserve"> </w:t>
      </w:r>
      <w:r w:rsidR="00236C75" w:rsidRPr="00CB2DE6">
        <w:rPr>
          <w:rFonts w:ascii="Times New Roman" w:hAnsi="Times New Roman" w:cs="Times New Roman"/>
          <w:sz w:val="24"/>
          <w:szCs w:val="24"/>
        </w:rPr>
        <w:t xml:space="preserve">a </w:t>
      </w:r>
      <w:r w:rsidR="003A5DB2" w:rsidRPr="00CB2DE6">
        <w:rPr>
          <w:rFonts w:ascii="Times New Roman" w:hAnsi="Times New Roman" w:cs="Times New Roman"/>
          <w:sz w:val="24"/>
          <w:szCs w:val="24"/>
        </w:rPr>
        <w:t xml:space="preserve">foreign </w:t>
      </w:r>
      <w:r w:rsidR="006D13A2" w:rsidRPr="00CB2DE6">
        <w:rPr>
          <w:rFonts w:ascii="Times New Roman" w:hAnsi="Times New Roman" w:cs="Times New Roman"/>
          <w:sz w:val="24"/>
          <w:szCs w:val="24"/>
        </w:rPr>
        <w:t xml:space="preserve">currency </w:t>
      </w:r>
      <m:oMath>
        <m:r>
          <w:rPr>
            <w:rFonts w:ascii="Cambria Math" w:hAnsi="Cambria Math" w:cs="Times New Roman"/>
            <w:sz w:val="24"/>
            <w:szCs w:val="24"/>
          </w:rPr>
          <m:t>k</m:t>
        </m:r>
      </m:oMath>
      <w:r w:rsidR="00DF4802" w:rsidRPr="00CB2DE6">
        <w:rPr>
          <w:rFonts w:ascii="Times New Roman" w:hAnsi="Times New Roman" w:cs="Times New Roman"/>
          <w:sz w:val="24"/>
          <w:szCs w:val="24"/>
        </w:rPr>
        <w:t xml:space="preserve"> in the forward </w:t>
      </w:r>
      <w:r w:rsidR="00143ED3" w:rsidRPr="00CB2DE6">
        <w:rPr>
          <w:rFonts w:ascii="Times New Roman" w:hAnsi="Times New Roman" w:cs="Times New Roman"/>
          <w:sz w:val="24"/>
          <w:szCs w:val="24"/>
        </w:rPr>
        <w:t xml:space="preserve">exchange </w:t>
      </w:r>
      <w:r w:rsidR="00DF4802" w:rsidRPr="00CB2DE6">
        <w:rPr>
          <w:rFonts w:ascii="Times New Roman" w:hAnsi="Times New Roman" w:cs="Times New Roman"/>
          <w:sz w:val="24"/>
          <w:szCs w:val="24"/>
        </w:rPr>
        <w:t>market and sell</w:t>
      </w:r>
      <w:r w:rsidR="00364005" w:rsidRPr="00CB2DE6">
        <w:rPr>
          <w:rFonts w:ascii="Times New Roman" w:hAnsi="Times New Roman" w:cs="Times New Roman"/>
          <w:sz w:val="24"/>
          <w:szCs w:val="24"/>
        </w:rPr>
        <w:t>ing</w:t>
      </w:r>
      <w:r w:rsidR="003546F6" w:rsidRPr="00CB2DE6">
        <w:rPr>
          <w:rFonts w:ascii="Times New Roman" w:hAnsi="Times New Roman" w:cs="Times New Roman"/>
          <w:sz w:val="24"/>
          <w:szCs w:val="24"/>
        </w:rPr>
        <w:t xml:space="preserve"> </w:t>
      </w:r>
      <w:r w:rsidR="00FD6EE2" w:rsidRPr="00CB2DE6">
        <w:rPr>
          <w:rFonts w:ascii="Times New Roman" w:hAnsi="Times New Roman" w:cs="Times New Roman"/>
          <w:sz w:val="24"/>
          <w:szCs w:val="24"/>
        </w:rPr>
        <w:t xml:space="preserve">back </w:t>
      </w:r>
      <w:r w:rsidR="00DF4802" w:rsidRPr="00CB2DE6">
        <w:rPr>
          <w:rFonts w:ascii="Times New Roman" w:hAnsi="Times New Roman" w:cs="Times New Roman"/>
          <w:sz w:val="24"/>
          <w:szCs w:val="24"/>
        </w:rPr>
        <w:t>t</w:t>
      </w:r>
      <w:r w:rsidR="000158A7" w:rsidRPr="00CB2DE6">
        <w:rPr>
          <w:rFonts w:ascii="Times New Roman" w:hAnsi="Times New Roman" w:cs="Times New Roman"/>
          <w:sz w:val="24"/>
          <w:szCs w:val="24"/>
        </w:rPr>
        <w:t>h</w:t>
      </w:r>
      <w:r w:rsidR="00072383" w:rsidRPr="00CB2DE6">
        <w:rPr>
          <w:rFonts w:ascii="Times New Roman" w:hAnsi="Times New Roman" w:cs="Times New Roman"/>
          <w:sz w:val="24"/>
          <w:szCs w:val="24"/>
        </w:rPr>
        <w:t xml:space="preserve">e </w:t>
      </w:r>
      <w:r w:rsidR="00AD48E4" w:rsidRPr="00CB2DE6">
        <w:rPr>
          <w:rFonts w:ascii="Times New Roman" w:hAnsi="Times New Roman" w:cs="Times New Roman"/>
          <w:sz w:val="24"/>
          <w:szCs w:val="24"/>
        </w:rPr>
        <w:t xml:space="preserve">currency </w:t>
      </w:r>
      <w:r w:rsidR="000158A7" w:rsidRPr="00CB2DE6">
        <w:rPr>
          <w:rFonts w:ascii="Times New Roman" w:hAnsi="Times New Roman" w:cs="Times New Roman"/>
          <w:sz w:val="24"/>
          <w:szCs w:val="24"/>
        </w:rPr>
        <w:t xml:space="preserve">in the spot market </w:t>
      </w:r>
      <w:r w:rsidR="00261FB2" w:rsidRPr="00CB2DE6">
        <w:rPr>
          <w:rFonts w:ascii="Times New Roman" w:hAnsi="Times New Roman" w:cs="Times New Roman"/>
          <w:sz w:val="24"/>
          <w:szCs w:val="24"/>
        </w:rPr>
        <w:t xml:space="preserve">next </w:t>
      </w:r>
      <w:r w:rsidR="00DF4802" w:rsidRPr="00CB2DE6">
        <w:rPr>
          <w:rFonts w:ascii="Times New Roman" w:hAnsi="Times New Roman" w:cs="Times New Roman"/>
          <w:sz w:val="24"/>
          <w:szCs w:val="24"/>
        </w:rPr>
        <w:t xml:space="preserve">month </w:t>
      </w:r>
      <w:r w:rsidR="00D809E0" w:rsidRPr="00CB2DE6">
        <w:rPr>
          <w:rFonts w:ascii="Times New Roman" w:hAnsi="Times New Roman" w:cs="Times New Roman"/>
          <w:sz w:val="24"/>
          <w:szCs w:val="24"/>
        </w:rPr>
        <w:t xml:space="preserve">is </w:t>
      </w:r>
      <w:r w:rsidR="00F026E4" w:rsidRPr="00CB2DE6">
        <w:rPr>
          <w:rFonts w:ascii="Times New Roman" w:hAnsi="Times New Roman" w:cs="Times New Roman"/>
          <w:sz w:val="24"/>
          <w:szCs w:val="24"/>
        </w:rPr>
        <w:t xml:space="preserve">estimated </w:t>
      </w:r>
      <w:r w:rsidR="00660801" w:rsidRPr="00CB2DE6">
        <w:rPr>
          <w:rFonts w:ascii="Times New Roman" w:hAnsi="Times New Roman" w:cs="Times New Roman"/>
          <w:sz w:val="24"/>
          <w:szCs w:val="24"/>
        </w:rPr>
        <w:t>as</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t+1</m:t>
            </m:r>
          </m:sub>
          <m:sup>
            <m:r>
              <w:rPr>
                <w:rFonts w:ascii="Cambria Math" w:hAnsi="Cambria Math" w:cs="Times New Roman"/>
                <w:sz w:val="24"/>
                <w:szCs w:val="24"/>
              </w:rPr>
              <m:t>k</m:t>
            </m:r>
          </m:sup>
        </m:sSubSup>
        <m:r>
          <w:rPr>
            <w:rFonts w:ascii="Cambria Math" w:hAnsi="Cambria Math" w:cs="Times New Roman"/>
            <w:sz w:val="24"/>
            <w:szCs w:val="24"/>
          </w:rPr>
          <m:t>=</m:t>
        </m:r>
        <m:f>
          <m:fPr>
            <m:type m:val="lin"/>
            <m:ctrlPr>
              <w:rPr>
                <w:rFonts w:ascii="Cambria Math" w:eastAsia="Calibri" w:hAnsi="Cambria Math" w:cs="Times New Roman"/>
                <w:i/>
                <w:sz w:val="24"/>
                <w:szCs w:val="24"/>
              </w:rPr>
            </m:ctrlPr>
          </m:fPr>
          <m:num>
            <m:d>
              <m:dPr>
                <m:ctrlPr>
                  <w:rPr>
                    <w:rFonts w:ascii="Cambria Math" w:eastAsia="Calibri" w:hAnsi="Cambria Math" w:cs="Times New Roman"/>
                    <w:i/>
                    <w:sz w:val="24"/>
                    <w:szCs w:val="24"/>
                  </w:rPr>
                </m:ctrlPr>
              </m:dPr>
              <m:e>
                <m:sSubSup>
                  <m:sSubSupPr>
                    <m:ctrlPr>
                      <w:rPr>
                        <w:rFonts w:ascii="Cambria Math" w:eastAsia="Calibri" w:hAnsi="Cambria Math" w:cs="Times New Roman"/>
                        <w:i/>
                        <w:sz w:val="24"/>
                        <w:szCs w:val="24"/>
                      </w:rPr>
                    </m:ctrlPr>
                  </m:sSubSupPr>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F</m:t>
                        </m:r>
                      </m:e>
                      <m:sub>
                        <m:r>
                          <w:rPr>
                            <w:rFonts w:ascii="Cambria Math" w:eastAsia="Calibri" w:hAnsi="Cambria Math" w:cs="Times New Roman"/>
                            <w:sz w:val="24"/>
                            <w:szCs w:val="24"/>
                          </w:rPr>
                          <m:t>t</m:t>
                        </m:r>
                      </m:sub>
                      <m:sup>
                        <m:r>
                          <w:rPr>
                            <w:rFonts w:ascii="Cambria Math" w:eastAsia="Calibri" w:hAnsi="Cambria Math" w:cs="Times New Roman"/>
                            <w:sz w:val="24"/>
                            <w:szCs w:val="24"/>
                          </w:rPr>
                          <m:t>k</m:t>
                        </m:r>
                      </m:sup>
                    </m:sSubSup>
                    <m:r>
                      <w:rPr>
                        <w:rFonts w:ascii="Cambria Math" w:eastAsia="Calibri" w:hAnsi="Cambria Math" w:cs="Times New Roman"/>
                        <w:sz w:val="24"/>
                        <w:szCs w:val="24"/>
                      </w:rPr>
                      <m:t>-S</m:t>
                    </m:r>
                  </m:e>
                  <m:sub>
                    <m:r>
                      <w:rPr>
                        <w:rFonts w:ascii="Cambria Math" w:eastAsia="Calibri" w:hAnsi="Cambria Math" w:cs="Times New Roman"/>
                        <w:sz w:val="24"/>
                        <w:szCs w:val="24"/>
                      </w:rPr>
                      <m:t>t+1</m:t>
                    </m:r>
                  </m:sub>
                  <m:sup>
                    <m:r>
                      <w:rPr>
                        <w:rFonts w:ascii="Cambria Math" w:eastAsia="Calibri" w:hAnsi="Cambria Math" w:cs="Times New Roman"/>
                        <w:sz w:val="24"/>
                        <w:szCs w:val="24"/>
                      </w:rPr>
                      <m:t>k</m:t>
                    </m:r>
                  </m:sup>
                </m:sSubSup>
              </m:e>
            </m:d>
          </m:num>
          <m:den>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t</m:t>
                </m:r>
              </m:sub>
              <m:sup>
                <m:r>
                  <w:rPr>
                    <w:rFonts w:ascii="Cambria Math" w:eastAsia="Calibri" w:hAnsi="Cambria Math" w:cs="Times New Roman"/>
                    <w:sz w:val="24"/>
                    <w:szCs w:val="24"/>
                  </w:rPr>
                  <m:t>k</m:t>
                </m:r>
              </m:sup>
            </m:sSubSup>
          </m:den>
        </m:f>
      </m:oMath>
      <w:r w:rsidR="0007108B" w:rsidRPr="00CB2DE6">
        <w:rPr>
          <w:rFonts w:ascii="Times New Roman" w:hAnsi="Times New Roman" w:cs="Times New Roman"/>
          <w:sz w:val="24"/>
          <w:szCs w:val="24"/>
        </w:rPr>
        <w:t>.</w:t>
      </w:r>
      <w:r w:rsidR="005E136F" w:rsidRPr="00CB2DE6">
        <w:rPr>
          <w:rFonts w:ascii="Times New Roman" w:hAnsi="Times New Roman" w:cs="Times New Roman"/>
          <w:sz w:val="24"/>
          <w:szCs w:val="24"/>
        </w:rPr>
        <w:t xml:space="preserve"> </w:t>
      </w:r>
      <w:r w:rsidR="004769C9" w:rsidRPr="00CB2DE6">
        <w:rPr>
          <w:rFonts w:ascii="Times New Roman" w:hAnsi="Times New Roman" w:cs="Times New Roman"/>
          <w:sz w:val="24"/>
          <w:szCs w:val="24"/>
        </w:rPr>
        <w:t xml:space="preserve">We </w:t>
      </w:r>
      <w:r w:rsidR="000B4E37" w:rsidRPr="00CB2DE6">
        <w:rPr>
          <w:rFonts w:ascii="Times New Roman" w:hAnsi="Times New Roman" w:cs="Times New Roman"/>
          <w:sz w:val="24"/>
          <w:szCs w:val="24"/>
        </w:rPr>
        <w:t xml:space="preserve">compute </w:t>
      </w:r>
      <w:r w:rsidR="00695483" w:rsidRPr="00CB2DE6">
        <w:rPr>
          <w:rFonts w:ascii="Times New Roman" w:hAnsi="Times New Roman" w:cs="Times New Roman"/>
          <w:sz w:val="24"/>
          <w:szCs w:val="24"/>
        </w:rPr>
        <w:t xml:space="preserve">the </w:t>
      </w:r>
      <w:r w:rsidR="002671BC" w:rsidRPr="00CB2DE6">
        <w:rPr>
          <w:rFonts w:ascii="Times New Roman" w:hAnsi="Times New Roman" w:cs="Times New Roman"/>
          <w:sz w:val="24"/>
          <w:szCs w:val="24"/>
        </w:rPr>
        <w:t>excess return</w:t>
      </w:r>
      <w:r w:rsidR="00D22161" w:rsidRPr="00CB2DE6">
        <w:rPr>
          <w:rFonts w:ascii="Times New Roman" w:hAnsi="Times New Roman" w:cs="Times New Roman"/>
          <w:sz w:val="24"/>
          <w:szCs w:val="24"/>
        </w:rPr>
        <w:t xml:space="preserve"> </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t+1</m:t>
            </m:r>
          </m:sub>
          <m:sup>
            <m:r>
              <w:rPr>
                <w:rFonts w:ascii="Cambria Math" w:hAnsi="Cambria Math" w:cs="Times New Roman"/>
                <w:sz w:val="24"/>
                <w:szCs w:val="24"/>
              </w:rPr>
              <m:t>i</m:t>
            </m:r>
          </m:sup>
        </m:sSubSup>
      </m:oMath>
      <w:r w:rsidR="00D22161" w:rsidRPr="00CB2DE6">
        <w:rPr>
          <w:rFonts w:ascii="Times New Roman" w:hAnsi="Times New Roman" w:cs="Times New Roman"/>
          <w:sz w:val="24"/>
          <w:szCs w:val="24"/>
        </w:rPr>
        <w:t xml:space="preserve"> </w:t>
      </w:r>
      <w:r w:rsidR="007E3CF3" w:rsidRPr="00CB2DE6">
        <w:rPr>
          <w:rFonts w:ascii="Times New Roman" w:hAnsi="Times New Roman" w:cs="Times New Roman"/>
          <w:sz w:val="24"/>
          <w:szCs w:val="24"/>
        </w:rPr>
        <w:t xml:space="preserve">for </w:t>
      </w:r>
      <w:r w:rsidR="001A3E7E" w:rsidRPr="00CB2DE6">
        <w:rPr>
          <w:rFonts w:ascii="Times New Roman" w:hAnsi="Times New Roman" w:cs="Times New Roman"/>
          <w:sz w:val="24"/>
          <w:szCs w:val="24"/>
        </w:rPr>
        <w:t>c</w:t>
      </w:r>
      <w:r w:rsidR="00DF319F" w:rsidRPr="00CB2DE6">
        <w:rPr>
          <w:rFonts w:ascii="Times New Roman" w:hAnsi="Times New Roman" w:cs="Times New Roman"/>
          <w:sz w:val="24"/>
          <w:szCs w:val="24"/>
        </w:rPr>
        <w:t xml:space="preserve">urrency </w:t>
      </w:r>
      <w:r w:rsidR="001A3E7E" w:rsidRPr="00CB2DE6">
        <w:rPr>
          <w:rFonts w:ascii="Times New Roman" w:hAnsi="Times New Roman" w:cs="Times New Roman"/>
          <w:sz w:val="24"/>
          <w:szCs w:val="24"/>
        </w:rPr>
        <w:t xml:space="preserve">portfolio </w:t>
      </w:r>
      <m:oMath>
        <m:r>
          <w:rPr>
            <w:rFonts w:ascii="Cambria Math" w:hAnsi="Cambria Math" w:cs="Times New Roman"/>
            <w:sz w:val="24"/>
            <w:szCs w:val="24"/>
          </w:rPr>
          <m:t>i=1, 2, …., 5</m:t>
        </m:r>
      </m:oMath>
      <w:r w:rsidR="00660801" w:rsidRPr="00CB2DE6">
        <w:rPr>
          <w:rFonts w:ascii="Times New Roman" w:hAnsi="Times New Roman" w:cs="Times New Roman"/>
          <w:sz w:val="24"/>
          <w:szCs w:val="24"/>
        </w:rPr>
        <w:t xml:space="preserve"> </w:t>
      </w:r>
      <w:r w:rsidR="008713DA" w:rsidRPr="00CB2DE6">
        <w:rPr>
          <w:rFonts w:ascii="Times New Roman" w:hAnsi="Times New Roman" w:cs="Times New Roman"/>
          <w:sz w:val="24"/>
          <w:szCs w:val="24"/>
        </w:rPr>
        <w:t xml:space="preserve">constructed </w:t>
      </w:r>
      <w:r w:rsidR="002671BC" w:rsidRPr="00CB2DE6">
        <w:rPr>
          <w:rFonts w:ascii="Times New Roman" w:hAnsi="Times New Roman" w:cs="Times New Roman"/>
          <w:sz w:val="24"/>
          <w:szCs w:val="24"/>
        </w:rPr>
        <w:t>at the end of month</w:t>
      </w:r>
      <m:oMath>
        <m:r>
          <w:rPr>
            <w:rFonts w:ascii="Cambria Math" w:hAnsi="Cambria Math" w:cs="Times New Roman"/>
            <w:sz w:val="24"/>
            <w:szCs w:val="24"/>
          </w:rPr>
          <m:t xml:space="preserve"> t</m:t>
        </m:r>
      </m:oMath>
      <w:r w:rsidR="00A8273B" w:rsidRPr="00CB2DE6">
        <w:rPr>
          <w:rFonts w:ascii="Times New Roman" w:hAnsi="Times New Roman" w:cs="Times New Roman"/>
          <w:sz w:val="24"/>
          <w:szCs w:val="24"/>
        </w:rPr>
        <w:t xml:space="preserve">, </w:t>
      </w:r>
      <w:r w:rsidR="001A3E7E" w:rsidRPr="00CB2DE6">
        <w:rPr>
          <w:rFonts w:ascii="Times New Roman" w:hAnsi="Times New Roman" w:cs="Times New Roman"/>
          <w:sz w:val="24"/>
          <w:szCs w:val="24"/>
        </w:rPr>
        <w:t xml:space="preserve">but realized at the end of </w:t>
      </w:r>
      <w:r w:rsidR="00B94BF9" w:rsidRPr="00CB2DE6">
        <w:rPr>
          <w:rFonts w:ascii="Times New Roman" w:hAnsi="Times New Roman" w:cs="Times New Roman"/>
          <w:sz w:val="24"/>
          <w:szCs w:val="24"/>
        </w:rPr>
        <w:t>month</w:t>
      </w:r>
      <w:r w:rsidR="005E146F" w:rsidRPr="00CB2DE6">
        <w:rPr>
          <w:rFonts w:ascii="Times New Roman" w:hAnsi="Times New Roman" w:cs="Times New Roman"/>
          <w:sz w:val="24"/>
          <w:szCs w:val="24"/>
        </w:rPr>
        <w:t xml:space="preserve"> </w:t>
      </w:r>
      <m:oMath>
        <m:r>
          <w:rPr>
            <w:rFonts w:ascii="Cambria Math" w:hAnsi="Cambria Math" w:cs="Times New Roman"/>
            <w:sz w:val="24"/>
            <w:szCs w:val="24"/>
          </w:rPr>
          <m:t xml:space="preserve"> t+1</m:t>
        </m:r>
      </m:oMath>
      <w:r w:rsidR="00B94BF9" w:rsidRPr="00CB2DE6">
        <w:rPr>
          <w:rFonts w:ascii="Times New Roman" w:hAnsi="Times New Roman" w:cs="Times New Roman"/>
          <w:sz w:val="24"/>
          <w:szCs w:val="24"/>
        </w:rPr>
        <w:t xml:space="preserve"> </w:t>
      </w:r>
      <w:r w:rsidR="001A3E7E" w:rsidRPr="00CB2DE6">
        <w:rPr>
          <w:rFonts w:ascii="Times New Roman" w:hAnsi="Times New Roman" w:cs="Times New Roman"/>
          <w:sz w:val="24"/>
          <w:szCs w:val="24"/>
        </w:rPr>
        <w:t>as the equ</w:t>
      </w:r>
      <w:r w:rsidR="00170DC2" w:rsidRPr="00CB2DE6">
        <w:rPr>
          <w:rFonts w:ascii="Times New Roman" w:hAnsi="Times New Roman" w:cs="Times New Roman"/>
          <w:sz w:val="24"/>
          <w:szCs w:val="24"/>
        </w:rPr>
        <w:t xml:space="preserve">ally weighted average of </w:t>
      </w:r>
      <w:r w:rsidR="001A3E7E" w:rsidRPr="00CB2DE6">
        <w:rPr>
          <w:rFonts w:ascii="Times New Roman" w:hAnsi="Times New Roman" w:cs="Times New Roman"/>
          <w:sz w:val="24"/>
          <w:szCs w:val="24"/>
        </w:rPr>
        <w:t xml:space="preserve">excess returns </w:t>
      </w:r>
      <w:r w:rsidR="00A1424F" w:rsidRPr="00CB2DE6">
        <w:rPr>
          <w:rFonts w:ascii="Times New Roman" w:hAnsi="Times New Roman" w:cs="Times New Roman"/>
          <w:sz w:val="24"/>
          <w:szCs w:val="24"/>
        </w:rPr>
        <w:t xml:space="preserve">for </w:t>
      </w:r>
      <w:r w:rsidR="0070765C" w:rsidRPr="00CB2DE6">
        <w:rPr>
          <w:rFonts w:ascii="Times New Roman" w:hAnsi="Times New Roman" w:cs="Times New Roman"/>
          <w:sz w:val="24"/>
          <w:szCs w:val="24"/>
        </w:rPr>
        <w:t xml:space="preserve">the </w:t>
      </w:r>
      <w:r w:rsidR="002671BC" w:rsidRPr="00CB2DE6">
        <w:rPr>
          <w:rFonts w:ascii="Times New Roman" w:hAnsi="Times New Roman" w:cs="Times New Roman"/>
          <w:sz w:val="24"/>
          <w:szCs w:val="24"/>
        </w:rPr>
        <w:t>constituent currencies</w:t>
      </w:r>
      <w:r w:rsidR="001A3E7E" w:rsidRPr="00CB2DE6">
        <w:rPr>
          <w:rFonts w:ascii="Times New Roman" w:hAnsi="Times New Roman" w:cs="Times New Roman"/>
          <w:sz w:val="24"/>
          <w:szCs w:val="24"/>
        </w:rPr>
        <w:t>.</w:t>
      </w:r>
    </w:p>
    <w:p w:rsidR="002D0703" w:rsidRPr="00CB2DE6" w:rsidRDefault="002656E9" w:rsidP="00881377">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Previous empirical studies (e.g., </w:t>
      </w:r>
      <w:r w:rsidR="003B09C0" w:rsidRPr="00CB2DE6">
        <w:rPr>
          <w:rFonts w:ascii="Times New Roman" w:hAnsi="Times New Roman" w:cs="Times New Roman"/>
          <w:sz w:val="24"/>
          <w:szCs w:val="24"/>
        </w:rPr>
        <w:t>Burnside, Eichenbaum, and Rebelo (2007), Burnside, Eichenbaum, Kleshchelski, and Rebelo (</w:t>
      </w:r>
      <w:r w:rsidRPr="00CB2DE6">
        <w:rPr>
          <w:rFonts w:ascii="Times New Roman" w:hAnsi="Times New Roman" w:cs="Times New Roman"/>
          <w:sz w:val="24"/>
          <w:szCs w:val="24"/>
        </w:rPr>
        <w:t>20</w:t>
      </w:r>
      <w:r w:rsidR="00FC6181" w:rsidRPr="00CB2DE6">
        <w:rPr>
          <w:rFonts w:ascii="Times New Roman" w:hAnsi="Times New Roman" w:cs="Times New Roman"/>
          <w:sz w:val="24"/>
          <w:szCs w:val="24"/>
        </w:rPr>
        <w:t>1</w:t>
      </w:r>
      <w:r w:rsidR="000A0B38" w:rsidRPr="00CB2DE6">
        <w:rPr>
          <w:rFonts w:ascii="Times New Roman" w:hAnsi="Times New Roman" w:cs="Times New Roman"/>
          <w:sz w:val="24"/>
          <w:szCs w:val="24"/>
        </w:rPr>
        <w:t>1</w:t>
      </w:r>
      <w:r w:rsidRPr="00CB2DE6">
        <w:rPr>
          <w:rFonts w:ascii="Times New Roman" w:hAnsi="Times New Roman" w:cs="Times New Roman"/>
          <w:sz w:val="24"/>
          <w:szCs w:val="24"/>
        </w:rPr>
        <w:t>)</w:t>
      </w:r>
      <w:r w:rsidR="008E791F" w:rsidRPr="00CB2DE6">
        <w:rPr>
          <w:rFonts w:ascii="Times New Roman" w:hAnsi="Times New Roman" w:cs="Times New Roman"/>
          <w:sz w:val="24"/>
          <w:szCs w:val="24"/>
        </w:rPr>
        <w:t xml:space="preserve">, </w:t>
      </w:r>
      <w:r w:rsidR="00FA1FDC" w:rsidRPr="00CB2DE6">
        <w:rPr>
          <w:rFonts w:ascii="Times New Roman" w:hAnsi="Times New Roman" w:cs="Times New Roman"/>
          <w:sz w:val="24"/>
          <w:szCs w:val="24"/>
        </w:rPr>
        <w:t xml:space="preserve">and </w:t>
      </w:r>
      <w:r w:rsidR="00722E2A" w:rsidRPr="00CB2DE6">
        <w:rPr>
          <w:rFonts w:ascii="Times New Roman" w:hAnsi="Times New Roman" w:cs="Times New Roman"/>
          <w:sz w:val="24"/>
          <w:szCs w:val="24"/>
        </w:rPr>
        <w:t>Lustig, Roussanov, and Verdelhan (2011</w:t>
      </w:r>
      <w:r w:rsidR="00FA1FDC" w:rsidRPr="00CB2DE6">
        <w:rPr>
          <w:rFonts w:ascii="Times New Roman" w:hAnsi="Times New Roman" w:cs="Times New Roman"/>
          <w:sz w:val="24"/>
          <w:szCs w:val="24"/>
        </w:rPr>
        <w:t>,</w:t>
      </w:r>
      <w:r w:rsidR="00761B2C" w:rsidRPr="00CB2DE6">
        <w:rPr>
          <w:rFonts w:ascii="Times New Roman" w:hAnsi="Times New Roman" w:cs="Times New Roman"/>
          <w:sz w:val="24"/>
          <w:szCs w:val="24"/>
        </w:rPr>
        <w:t xml:space="preserve"> 2014</w:t>
      </w:r>
      <w:r w:rsidR="00722E2A" w:rsidRPr="00CB2DE6">
        <w:rPr>
          <w:rFonts w:ascii="Times New Roman" w:hAnsi="Times New Roman" w:cs="Times New Roman"/>
          <w:sz w:val="24"/>
          <w:szCs w:val="24"/>
        </w:rPr>
        <w:t>)</w:t>
      </w:r>
      <w:r w:rsidR="00761B2C"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on </w:t>
      </w:r>
      <w:r w:rsidR="00885869" w:rsidRPr="00CB2DE6">
        <w:rPr>
          <w:rFonts w:ascii="Times New Roman" w:hAnsi="Times New Roman" w:cs="Times New Roman"/>
          <w:sz w:val="24"/>
          <w:szCs w:val="24"/>
        </w:rPr>
        <w:t>carry trade</w:t>
      </w:r>
      <w:r w:rsidR="00FC2247" w:rsidRPr="00CB2DE6">
        <w:rPr>
          <w:rFonts w:ascii="Times New Roman" w:hAnsi="Times New Roman" w:cs="Times New Roman"/>
          <w:sz w:val="24"/>
          <w:szCs w:val="24"/>
        </w:rPr>
        <w:t xml:space="preserve">s </w:t>
      </w:r>
      <w:r w:rsidRPr="00CB2DE6">
        <w:rPr>
          <w:rFonts w:ascii="Times New Roman" w:hAnsi="Times New Roman" w:cs="Times New Roman"/>
          <w:sz w:val="24"/>
          <w:szCs w:val="24"/>
        </w:rPr>
        <w:t>suggest that transaction costs are quantitatively important, especially f</w:t>
      </w:r>
      <w:r w:rsidR="00695483" w:rsidRPr="00CB2DE6">
        <w:rPr>
          <w:rFonts w:ascii="Times New Roman" w:hAnsi="Times New Roman" w:cs="Times New Roman"/>
          <w:sz w:val="24"/>
          <w:szCs w:val="24"/>
        </w:rPr>
        <w:t>or</w:t>
      </w:r>
      <w:r w:rsidR="009809DA" w:rsidRPr="00CB2DE6">
        <w:rPr>
          <w:rFonts w:ascii="Times New Roman" w:hAnsi="Times New Roman" w:cs="Times New Roman"/>
          <w:sz w:val="24"/>
          <w:szCs w:val="24"/>
        </w:rPr>
        <w:t xml:space="preserve"> </w:t>
      </w:r>
      <w:r w:rsidR="00761B2C" w:rsidRPr="00CB2DE6">
        <w:rPr>
          <w:rFonts w:ascii="Times New Roman" w:hAnsi="Times New Roman" w:cs="Times New Roman"/>
          <w:sz w:val="24"/>
          <w:szCs w:val="24"/>
        </w:rPr>
        <w:t>developing countries</w:t>
      </w:r>
      <w:r w:rsidR="009809DA" w:rsidRPr="00CB2DE6">
        <w:rPr>
          <w:rFonts w:ascii="Times New Roman" w:hAnsi="Times New Roman" w:cs="Times New Roman"/>
          <w:sz w:val="24"/>
          <w:szCs w:val="24"/>
        </w:rPr>
        <w:t xml:space="preserve">. </w:t>
      </w:r>
      <w:r w:rsidR="004A5EC7" w:rsidRPr="00CB2DE6">
        <w:rPr>
          <w:rFonts w:ascii="Times New Roman" w:hAnsi="Times New Roman" w:cs="Times New Roman"/>
          <w:sz w:val="24"/>
          <w:szCs w:val="24"/>
        </w:rPr>
        <w:t xml:space="preserve">Acknowledging </w:t>
      </w:r>
      <w:r w:rsidRPr="00CB2DE6">
        <w:rPr>
          <w:rFonts w:ascii="Times New Roman" w:hAnsi="Times New Roman" w:cs="Times New Roman"/>
          <w:sz w:val="24"/>
          <w:szCs w:val="24"/>
        </w:rPr>
        <w:t xml:space="preserve">this </w:t>
      </w:r>
      <w:r w:rsidR="0026569C" w:rsidRPr="00CB2DE6">
        <w:rPr>
          <w:rFonts w:ascii="Times New Roman" w:hAnsi="Times New Roman" w:cs="Times New Roman"/>
          <w:sz w:val="24"/>
          <w:szCs w:val="24"/>
        </w:rPr>
        <w:t>possibility</w:t>
      </w:r>
      <w:r w:rsidR="004A5EC7" w:rsidRPr="00CB2DE6">
        <w:rPr>
          <w:rFonts w:ascii="Times New Roman" w:hAnsi="Times New Roman" w:cs="Times New Roman"/>
          <w:sz w:val="24"/>
          <w:szCs w:val="24"/>
        </w:rPr>
        <w:t>,</w:t>
      </w:r>
      <w:r w:rsidR="00B63E51" w:rsidRPr="00CB2DE6">
        <w:rPr>
          <w:rFonts w:ascii="Times New Roman" w:hAnsi="Times New Roman" w:cs="Times New Roman"/>
          <w:sz w:val="24"/>
          <w:szCs w:val="24"/>
        </w:rPr>
        <w:t xml:space="preserve"> </w:t>
      </w:r>
      <w:r w:rsidR="00761B2C" w:rsidRPr="00CB2DE6">
        <w:rPr>
          <w:rFonts w:ascii="Times New Roman" w:hAnsi="Times New Roman" w:cs="Times New Roman"/>
          <w:sz w:val="24"/>
          <w:szCs w:val="24"/>
        </w:rPr>
        <w:t xml:space="preserve">we </w:t>
      </w:r>
      <w:r w:rsidR="00934739" w:rsidRPr="00CB2DE6">
        <w:rPr>
          <w:rFonts w:ascii="Times New Roman" w:hAnsi="Times New Roman" w:cs="Times New Roman"/>
          <w:sz w:val="24"/>
          <w:szCs w:val="24"/>
        </w:rPr>
        <w:t xml:space="preserve">also </w:t>
      </w:r>
      <w:r w:rsidR="001C5816" w:rsidRPr="00CB2DE6">
        <w:rPr>
          <w:rFonts w:ascii="Times New Roman" w:hAnsi="Times New Roman" w:cs="Times New Roman"/>
          <w:sz w:val="24"/>
          <w:szCs w:val="24"/>
        </w:rPr>
        <w:t xml:space="preserve">compute </w:t>
      </w:r>
      <w:r w:rsidR="00934739" w:rsidRPr="00CB2DE6">
        <w:rPr>
          <w:rFonts w:ascii="Times New Roman" w:hAnsi="Times New Roman" w:cs="Times New Roman"/>
          <w:sz w:val="24"/>
          <w:szCs w:val="24"/>
        </w:rPr>
        <w:t xml:space="preserve">net </w:t>
      </w:r>
      <w:r w:rsidR="004A5EC7" w:rsidRPr="00CB2DE6">
        <w:rPr>
          <w:rFonts w:ascii="Times New Roman" w:hAnsi="Times New Roman" w:cs="Times New Roman"/>
          <w:sz w:val="24"/>
          <w:szCs w:val="24"/>
        </w:rPr>
        <w:t>excess return</w:t>
      </w:r>
      <w:r w:rsidR="008833E9" w:rsidRPr="00CB2DE6">
        <w:rPr>
          <w:rFonts w:ascii="Times New Roman" w:hAnsi="Times New Roman" w:cs="Times New Roman"/>
          <w:sz w:val="24"/>
          <w:szCs w:val="24"/>
        </w:rPr>
        <w:t>s</w:t>
      </w:r>
      <w:r w:rsidR="00A1424F" w:rsidRPr="00CB2DE6">
        <w:rPr>
          <w:rFonts w:ascii="Times New Roman" w:hAnsi="Times New Roman" w:cs="Times New Roman"/>
          <w:sz w:val="24"/>
          <w:szCs w:val="24"/>
        </w:rPr>
        <w:t xml:space="preserve"> for </w:t>
      </w:r>
      <w:r w:rsidR="004A5EC7" w:rsidRPr="00CB2DE6">
        <w:rPr>
          <w:rFonts w:ascii="Times New Roman" w:hAnsi="Times New Roman" w:cs="Times New Roman"/>
          <w:sz w:val="24"/>
          <w:szCs w:val="24"/>
        </w:rPr>
        <w:t xml:space="preserve">all </w:t>
      </w:r>
      <w:r w:rsidR="007F6222" w:rsidRPr="00CB2DE6">
        <w:rPr>
          <w:rFonts w:ascii="Times New Roman" w:hAnsi="Times New Roman" w:cs="Times New Roman"/>
          <w:sz w:val="24"/>
          <w:szCs w:val="24"/>
        </w:rPr>
        <w:t xml:space="preserve">foreign </w:t>
      </w:r>
      <w:r w:rsidR="001C5816" w:rsidRPr="00CB2DE6">
        <w:rPr>
          <w:rFonts w:ascii="Times New Roman" w:hAnsi="Times New Roman" w:cs="Times New Roman"/>
          <w:sz w:val="24"/>
          <w:szCs w:val="24"/>
        </w:rPr>
        <w:t xml:space="preserve">currencies </w:t>
      </w:r>
      <w:r w:rsidR="000B4CF2" w:rsidRPr="00CB2DE6">
        <w:rPr>
          <w:rFonts w:ascii="Times New Roman" w:hAnsi="Times New Roman" w:cs="Times New Roman"/>
          <w:sz w:val="24"/>
          <w:szCs w:val="24"/>
        </w:rPr>
        <w:t xml:space="preserve">using the bid-ask </w:t>
      </w:r>
      <w:r w:rsidR="001A419D" w:rsidRPr="00CB2DE6">
        <w:rPr>
          <w:rFonts w:ascii="Times New Roman" w:hAnsi="Times New Roman" w:cs="Times New Roman"/>
          <w:sz w:val="24"/>
          <w:szCs w:val="24"/>
        </w:rPr>
        <w:t>quotes</w:t>
      </w:r>
      <w:r w:rsidR="00041D92" w:rsidRPr="00CB2DE6">
        <w:rPr>
          <w:rFonts w:ascii="Times New Roman" w:hAnsi="Times New Roman" w:cs="Times New Roman"/>
          <w:sz w:val="24"/>
          <w:szCs w:val="24"/>
        </w:rPr>
        <w:t xml:space="preserve"> as in Menkhoff</w:t>
      </w:r>
      <w:r w:rsidR="00BB3AB8" w:rsidRPr="00CB2DE6">
        <w:rPr>
          <w:rFonts w:ascii="Times New Roman" w:hAnsi="Times New Roman" w:cs="Times New Roman"/>
          <w:sz w:val="24"/>
          <w:szCs w:val="24"/>
        </w:rPr>
        <w:t>, Sarno, Schmeling, and Schrimpf</w:t>
      </w:r>
      <w:r w:rsidR="00041D92" w:rsidRPr="00CB2DE6">
        <w:rPr>
          <w:rFonts w:ascii="Times New Roman" w:hAnsi="Times New Roman" w:cs="Times New Roman"/>
          <w:sz w:val="24"/>
          <w:szCs w:val="24"/>
        </w:rPr>
        <w:t xml:space="preserve"> (2012).</w:t>
      </w:r>
      <w:r w:rsidR="00761B2C" w:rsidRPr="00CB2DE6">
        <w:rPr>
          <w:rStyle w:val="FootnoteReference"/>
          <w:rFonts w:ascii="Times New Roman" w:eastAsia="Calibri" w:hAnsi="Times New Roman" w:cs="Times New Roman"/>
          <w:sz w:val="24"/>
          <w:szCs w:val="24"/>
        </w:rPr>
        <w:footnoteReference w:id="9"/>
      </w:r>
      <w:r w:rsidR="009001EB" w:rsidRPr="00CB2DE6">
        <w:rPr>
          <w:rFonts w:ascii="Times New Roman" w:hAnsi="Times New Roman" w:cs="Times New Roman"/>
          <w:sz w:val="24"/>
          <w:szCs w:val="24"/>
        </w:rPr>
        <w:t xml:space="preserve"> </w:t>
      </w:r>
      <w:r w:rsidR="00835DB5" w:rsidRPr="00CB2DE6">
        <w:rPr>
          <w:rFonts w:ascii="Times New Roman" w:hAnsi="Times New Roman" w:cs="Times New Roman"/>
          <w:sz w:val="24"/>
          <w:szCs w:val="24"/>
        </w:rPr>
        <w:t xml:space="preserve">Following </w:t>
      </w:r>
      <w:r w:rsidR="00041D92" w:rsidRPr="00CB2DE6">
        <w:rPr>
          <w:rFonts w:ascii="Times New Roman" w:hAnsi="Times New Roman" w:cs="Times New Roman"/>
          <w:sz w:val="24"/>
          <w:szCs w:val="24"/>
        </w:rPr>
        <w:t>Lustig, Roussanov, and Verdelhan (2011) w</w:t>
      </w:r>
      <w:r w:rsidR="00A42659" w:rsidRPr="00CB2DE6">
        <w:rPr>
          <w:rFonts w:ascii="Times New Roman" w:hAnsi="Times New Roman" w:cs="Times New Roman"/>
          <w:sz w:val="24"/>
          <w:szCs w:val="24"/>
        </w:rPr>
        <w:t xml:space="preserve">e </w:t>
      </w:r>
      <w:r w:rsidR="005706DD" w:rsidRPr="00CB2DE6">
        <w:rPr>
          <w:rFonts w:ascii="Times New Roman" w:hAnsi="Times New Roman" w:cs="Times New Roman"/>
          <w:sz w:val="24"/>
          <w:szCs w:val="24"/>
        </w:rPr>
        <w:t xml:space="preserve">also construct two </w:t>
      </w:r>
      <w:r w:rsidR="00560B62" w:rsidRPr="00CB2DE6">
        <w:rPr>
          <w:rFonts w:ascii="Times New Roman" w:hAnsi="Times New Roman" w:cs="Times New Roman"/>
          <w:sz w:val="24"/>
          <w:szCs w:val="24"/>
        </w:rPr>
        <w:t>additional</w:t>
      </w:r>
      <w:r w:rsidR="005706DD" w:rsidRPr="00CB2DE6">
        <w:rPr>
          <w:rFonts w:ascii="Times New Roman" w:hAnsi="Times New Roman" w:cs="Times New Roman"/>
          <w:sz w:val="24"/>
          <w:szCs w:val="24"/>
        </w:rPr>
        <w:t xml:space="preserve"> </w:t>
      </w:r>
      <w:r w:rsidR="005706DD" w:rsidRPr="00CB2DE6">
        <w:rPr>
          <w:rFonts w:ascii="Times New Roman" w:hAnsi="Times New Roman" w:cs="Times New Roman"/>
          <w:sz w:val="24"/>
          <w:szCs w:val="24"/>
        </w:rPr>
        <w:lastRenderedPageBreak/>
        <w:t>portfolios</w:t>
      </w:r>
      <w:r w:rsidR="007A6EF8" w:rsidRPr="00CB2DE6">
        <w:rPr>
          <w:rFonts w:ascii="Times New Roman" w:hAnsi="Times New Roman" w:cs="Times New Roman"/>
          <w:sz w:val="24"/>
          <w:szCs w:val="24"/>
        </w:rPr>
        <w:t xml:space="preserve"> both for </w:t>
      </w:r>
      <w:r w:rsidR="00C62175">
        <w:rPr>
          <w:rFonts w:ascii="Times New Roman" w:hAnsi="Times New Roman" w:cs="Times New Roman"/>
          <w:sz w:val="24"/>
          <w:szCs w:val="24"/>
        </w:rPr>
        <w:t xml:space="preserve">transaction </w:t>
      </w:r>
      <w:r w:rsidR="007A6EF8" w:rsidRPr="00CB2DE6">
        <w:rPr>
          <w:rFonts w:ascii="Times New Roman" w:hAnsi="Times New Roman" w:cs="Times New Roman"/>
          <w:sz w:val="24"/>
          <w:szCs w:val="24"/>
        </w:rPr>
        <w:t>cost</w:t>
      </w:r>
      <w:r w:rsidR="00835DB5" w:rsidRPr="00CB2DE6">
        <w:rPr>
          <w:rFonts w:ascii="Times New Roman" w:hAnsi="Times New Roman" w:cs="Times New Roman"/>
          <w:sz w:val="24"/>
          <w:szCs w:val="24"/>
        </w:rPr>
        <w:t xml:space="preserve"> </w:t>
      </w:r>
      <w:r w:rsidR="001E1BC3" w:rsidRPr="00CB2DE6">
        <w:rPr>
          <w:rFonts w:ascii="Times New Roman" w:hAnsi="Times New Roman" w:cs="Times New Roman"/>
          <w:sz w:val="24"/>
          <w:szCs w:val="24"/>
        </w:rPr>
        <w:t xml:space="preserve">unadjusted and </w:t>
      </w:r>
      <w:r w:rsidR="007A6EF8" w:rsidRPr="00CB2DE6">
        <w:rPr>
          <w:rFonts w:ascii="Times New Roman" w:hAnsi="Times New Roman" w:cs="Times New Roman"/>
          <w:sz w:val="24"/>
          <w:szCs w:val="24"/>
        </w:rPr>
        <w:t xml:space="preserve">adjusted </w:t>
      </w:r>
      <w:r w:rsidR="00751E0C" w:rsidRPr="00CB2DE6">
        <w:rPr>
          <w:rFonts w:ascii="Times New Roman" w:hAnsi="Times New Roman" w:cs="Times New Roman"/>
          <w:sz w:val="24"/>
          <w:szCs w:val="24"/>
        </w:rPr>
        <w:t>returns</w:t>
      </w:r>
      <w:r w:rsidR="007A6EF8" w:rsidRPr="00CB2DE6">
        <w:rPr>
          <w:rFonts w:ascii="Times New Roman" w:hAnsi="Times New Roman" w:cs="Times New Roman"/>
          <w:sz w:val="24"/>
          <w:szCs w:val="24"/>
        </w:rPr>
        <w:t xml:space="preserve">. </w:t>
      </w:r>
      <w:r w:rsidR="00B56272" w:rsidRPr="00CB2DE6">
        <w:rPr>
          <w:rFonts w:ascii="Times New Roman" w:hAnsi="Times New Roman" w:cs="Times New Roman"/>
          <w:sz w:val="24"/>
          <w:szCs w:val="24"/>
        </w:rPr>
        <w:t>They are: (</w:t>
      </w:r>
      <w:r w:rsidR="003205F2" w:rsidRPr="00CB2DE6">
        <w:rPr>
          <w:rFonts w:ascii="Times New Roman" w:hAnsi="Times New Roman" w:cs="Times New Roman"/>
          <w:sz w:val="24"/>
          <w:szCs w:val="24"/>
        </w:rPr>
        <w:t>1</w:t>
      </w:r>
      <w:r w:rsidR="00B56272" w:rsidRPr="00CB2DE6">
        <w:rPr>
          <w:rFonts w:ascii="Times New Roman" w:hAnsi="Times New Roman" w:cs="Times New Roman"/>
          <w:sz w:val="24"/>
          <w:szCs w:val="24"/>
        </w:rPr>
        <w:t xml:space="preserve">) the average portfolio denoted </w:t>
      </w:r>
      <w:r w:rsidR="009001EB" w:rsidRPr="00CB2DE6">
        <w:rPr>
          <w:rFonts w:ascii="Times New Roman" w:hAnsi="Times New Roman" w:cs="Times New Roman"/>
          <w:sz w:val="24"/>
          <w:szCs w:val="24"/>
        </w:rPr>
        <w:t xml:space="preserve">by </w:t>
      </w:r>
      <w:r w:rsidR="00B56272" w:rsidRPr="00CB2DE6">
        <w:rPr>
          <w:rFonts w:ascii="Times New Roman" w:hAnsi="Times New Roman" w:cs="Times New Roman"/>
          <w:sz w:val="24"/>
          <w:szCs w:val="24"/>
        </w:rPr>
        <w:t>DOL</w:t>
      </w:r>
      <w:r w:rsidR="00A42659" w:rsidRPr="00CB2DE6">
        <w:rPr>
          <w:rFonts w:ascii="Times New Roman" w:hAnsi="Times New Roman" w:cs="Times New Roman"/>
          <w:sz w:val="24"/>
          <w:szCs w:val="24"/>
        </w:rPr>
        <w:t xml:space="preserve"> (</w:t>
      </w:r>
      <w:r w:rsidR="004F6A48" w:rsidRPr="00CB2DE6">
        <w:rPr>
          <w:rFonts w:ascii="Times New Roman" w:hAnsi="Times New Roman" w:cs="Times New Roman"/>
          <w:sz w:val="24"/>
          <w:szCs w:val="24"/>
        </w:rPr>
        <w:t>i.e.</w:t>
      </w:r>
      <w:r w:rsidR="00835DB5" w:rsidRPr="00CB2DE6">
        <w:rPr>
          <w:rFonts w:ascii="Times New Roman" w:hAnsi="Times New Roman" w:cs="Times New Roman"/>
          <w:sz w:val="24"/>
          <w:szCs w:val="24"/>
        </w:rPr>
        <w:t>,</w:t>
      </w:r>
      <w:r w:rsidR="004F6A48" w:rsidRPr="00CB2DE6">
        <w:rPr>
          <w:rFonts w:ascii="Times New Roman" w:hAnsi="Times New Roman" w:cs="Times New Roman"/>
          <w:sz w:val="24"/>
          <w:szCs w:val="24"/>
        </w:rPr>
        <w:t xml:space="preserve"> the US </w:t>
      </w:r>
      <w:r w:rsidR="00A42659" w:rsidRPr="00CB2DE6">
        <w:rPr>
          <w:rFonts w:ascii="Times New Roman" w:hAnsi="Times New Roman" w:cs="Times New Roman"/>
          <w:sz w:val="24"/>
          <w:szCs w:val="24"/>
        </w:rPr>
        <w:t>dollar risk factor)</w:t>
      </w:r>
      <w:r w:rsidR="00B56272" w:rsidRPr="00CB2DE6">
        <w:rPr>
          <w:rFonts w:ascii="Times New Roman" w:hAnsi="Times New Roman" w:cs="Times New Roman"/>
          <w:sz w:val="24"/>
          <w:szCs w:val="24"/>
        </w:rPr>
        <w:t xml:space="preserve">, </w:t>
      </w:r>
      <w:r w:rsidR="00B56272" w:rsidRPr="00CB2DE6">
        <w:rPr>
          <w:rFonts w:ascii="Times New Roman" w:eastAsia="Calibri" w:hAnsi="Times New Roman" w:cs="Times New Roman"/>
          <w:sz w:val="24"/>
          <w:szCs w:val="24"/>
        </w:rPr>
        <w:t>which is the equally weighted average of the five currency portfolios; and (</w:t>
      </w:r>
      <w:r w:rsidR="003205F2" w:rsidRPr="00CB2DE6">
        <w:rPr>
          <w:rFonts w:ascii="Times New Roman" w:eastAsia="Calibri" w:hAnsi="Times New Roman" w:cs="Times New Roman"/>
          <w:sz w:val="24"/>
          <w:szCs w:val="24"/>
        </w:rPr>
        <w:t>2</w:t>
      </w:r>
      <w:r w:rsidR="00B56272" w:rsidRPr="00CB2DE6">
        <w:rPr>
          <w:rFonts w:ascii="Times New Roman" w:eastAsia="Calibri" w:hAnsi="Times New Roman" w:cs="Times New Roman"/>
          <w:sz w:val="24"/>
          <w:szCs w:val="24"/>
        </w:rPr>
        <w:t xml:space="preserve">) the long-short carry trade portfolio denoted </w:t>
      </w:r>
      <w:r w:rsidR="009001EB" w:rsidRPr="00CB2DE6">
        <w:rPr>
          <w:rFonts w:ascii="Times New Roman" w:eastAsia="Calibri" w:hAnsi="Times New Roman" w:cs="Times New Roman"/>
          <w:sz w:val="24"/>
          <w:szCs w:val="24"/>
        </w:rPr>
        <w:t xml:space="preserve">by </w:t>
      </w:r>
      <w:r w:rsidR="00B56272" w:rsidRPr="00CB2DE6">
        <w:rPr>
          <w:rFonts w:ascii="Times New Roman" w:eastAsia="Calibri" w:hAnsi="Times New Roman" w:cs="Times New Roman"/>
          <w:sz w:val="24"/>
          <w:szCs w:val="24"/>
        </w:rPr>
        <w:t>H</w:t>
      </w:r>
      <w:r w:rsidR="007A6EF8" w:rsidRPr="00CB2DE6">
        <w:rPr>
          <w:rFonts w:ascii="Times New Roman" w:eastAsia="Calibri" w:hAnsi="Times New Roman" w:cs="Times New Roman"/>
          <w:sz w:val="24"/>
          <w:szCs w:val="24"/>
        </w:rPr>
        <w:t>M</w:t>
      </w:r>
      <w:r w:rsidR="00B56272" w:rsidRPr="00CB2DE6">
        <w:rPr>
          <w:rFonts w:ascii="Times New Roman" w:eastAsia="Calibri" w:hAnsi="Times New Roman" w:cs="Times New Roman"/>
          <w:sz w:val="24"/>
          <w:szCs w:val="24"/>
        </w:rPr>
        <w:t xml:space="preserve">L, which is the combination of a long position in portfolio 5 and a short position in portfolio 1. </w:t>
      </w:r>
    </w:p>
    <w:p w:rsidR="009F4DDA" w:rsidRDefault="0086764F" w:rsidP="002D0703">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The </w:t>
      </w:r>
      <w:r w:rsidR="002D0703" w:rsidRPr="00CB2DE6">
        <w:rPr>
          <w:rFonts w:ascii="Times New Roman" w:hAnsi="Times New Roman" w:cs="Times New Roman"/>
          <w:sz w:val="24"/>
          <w:szCs w:val="24"/>
        </w:rPr>
        <w:t xml:space="preserve">summary </w:t>
      </w:r>
      <w:r w:rsidRPr="00CB2DE6">
        <w:rPr>
          <w:rFonts w:ascii="Times New Roman" w:hAnsi="Times New Roman" w:cs="Times New Roman"/>
          <w:sz w:val="24"/>
          <w:szCs w:val="24"/>
        </w:rPr>
        <w:t>statistic</w:t>
      </w:r>
      <w:r w:rsidR="002D0703" w:rsidRPr="00CB2DE6">
        <w:rPr>
          <w:rFonts w:ascii="Times New Roman" w:hAnsi="Times New Roman" w:cs="Times New Roman"/>
          <w:sz w:val="24"/>
          <w:szCs w:val="24"/>
        </w:rPr>
        <w:t>s</w:t>
      </w:r>
      <w:r w:rsidRPr="00CB2DE6">
        <w:rPr>
          <w:rFonts w:ascii="Times New Roman" w:hAnsi="Times New Roman" w:cs="Times New Roman"/>
          <w:sz w:val="24"/>
          <w:szCs w:val="24"/>
        </w:rPr>
        <w:t xml:space="preserve"> of the five currency portfolios, the DOL and HML portfolios based on the sample of 48 countries are presented in Table 1. Panel A reports results for cost</w:t>
      </w:r>
      <w:r w:rsidR="0067499B"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unadjusted excess returns, while panel B provides results for excess returns net of transaction costs. Both unadjusted and adjusted annualized average excess returns increase monotonically when moving from portfolio 1 to portfolio 5 and the HML portfolio. But the payoffs to the carry trade portfolios shrink with the bid-ask spreads relative to those of the unadjusted returns. </w:t>
      </w:r>
      <w:r w:rsidR="009F4DDA">
        <w:rPr>
          <w:rFonts w:ascii="Times New Roman" w:hAnsi="Times New Roman" w:cs="Times New Roman"/>
          <w:sz w:val="24"/>
          <w:szCs w:val="24"/>
        </w:rPr>
        <w:t>We also carry out a formal test for the null of no-</w:t>
      </w:r>
      <w:r w:rsidR="00C62175">
        <w:rPr>
          <w:rFonts w:ascii="Times New Roman" w:hAnsi="Times New Roman" w:cs="Times New Roman"/>
          <w:sz w:val="24"/>
          <w:szCs w:val="24"/>
        </w:rPr>
        <w:t xml:space="preserve">increasing </w:t>
      </w:r>
      <w:r w:rsidR="009F4DDA">
        <w:rPr>
          <w:rFonts w:ascii="Times New Roman" w:hAnsi="Times New Roman" w:cs="Times New Roman"/>
          <w:sz w:val="24"/>
          <w:szCs w:val="24"/>
        </w:rPr>
        <w:t xml:space="preserve">monotonicity </w:t>
      </w:r>
      <w:r w:rsidR="00561261">
        <w:rPr>
          <w:rFonts w:ascii="Times New Roman" w:hAnsi="Times New Roman" w:cs="Times New Roman"/>
          <w:sz w:val="24"/>
          <w:szCs w:val="24"/>
        </w:rPr>
        <w:t xml:space="preserve">of </w:t>
      </w:r>
      <w:r w:rsidR="009F4DDA">
        <w:rPr>
          <w:rFonts w:ascii="Times New Roman" w:hAnsi="Times New Roman" w:cs="Times New Roman"/>
          <w:sz w:val="24"/>
          <w:szCs w:val="24"/>
        </w:rPr>
        <w:t>portfolio returns as in Patton and Timmermann (2010) and find that the null hypothesis is rejected with p-values virtually equal to zero.</w:t>
      </w:r>
    </w:p>
    <w:p w:rsidR="0086764F" w:rsidRPr="00CB2DE6" w:rsidRDefault="0086764F" w:rsidP="005D5069">
      <w:pPr>
        <w:spacing w:after="360"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The annualized </w:t>
      </w:r>
      <w:r w:rsidR="009F4DDA">
        <w:rPr>
          <w:rFonts w:ascii="Times New Roman" w:hAnsi="Times New Roman" w:cs="Times New Roman"/>
          <w:sz w:val="24"/>
          <w:szCs w:val="24"/>
        </w:rPr>
        <w:t>average</w:t>
      </w:r>
      <w:r w:rsidRPr="00CB2DE6">
        <w:rPr>
          <w:rFonts w:ascii="Times New Roman" w:hAnsi="Times New Roman" w:cs="Times New Roman"/>
          <w:sz w:val="24"/>
          <w:szCs w:val="24"/>
        </w:rPr>
        <w:t xml:space="preserve"> excess return for the DOL portfolio is 1.91% </w:t>
      </w:r>
      <w:r w:rsidR="002103B7">
        <w:rPr>
          <w:rFonts w:ascii="Times New Roman" w:hAnsi="Times New Roman" w:cs="Times New Roman"/>
          <w:sz w:val="24"/>
          <w:szCs w:val="24"/>
        </w:rPr>
        <w:t xml:space="preserve">and this </w:t>
      </w:r>
      <w:r w:rsidR="009F4DDA">
        <w:rPr>
          <w:rFonts w:ascii="Times New Roman" w:hAnsi="Times New Roman" w:cs="Times New Roman"/>
          <w:sz w:val="24"/>
          <w:szCs w:val="24"/>
        </w:rPr>
        <w:t>becomes</w:t>
      </w:r>
      <w:r w:rsidRPr="00CB2DE6">
        <w:rPr>
          <w:rFonts w:ascii="Times New Roman" w:hAnsi="Times New Roman" w:cs="Times New Roman"/>
          <w:sz w:val="24"/>
          <w:szCs w:val="24"/>
        </w:rPr>
        <w:t xml:space="preserve"> 1.07% when bid-ask spreads are </w:t>
      </w:r>
      <w:r w:rsidR="009F4DDA">
        <w:rPr>
          <w:rFonts w:ascii="Times New Roman" w:hAnsi="Times New Roman" w:cs="Times New Roman"/>
          <w:sz w:val="24"/>
          <w:szCs w:val="24"/>
        </w:rPr>
        <w:t>taken into account</w:t>
      </w:r>
      <w:r w:rsidRPr="00CB2DE6">
        <w:rPr>
          <w:rFonts w:ascii="Times New Roman" w:hAnsi="Times New Roman" w:cs="Times New Roman"/>
          <w:sz w:val="24"/>
          <w:szCs w:val="24"/>
        </w:rPr>
        <w:t>. These numbers imply that currency speculators with access to forward markets demand a low but positive risk premium for taking long position in foreign currency. There is a sizable spread of 7.99%</w:t>
      </w:r>
      <w:r w:rsidR="005D5BE9">
        <w:rPr>
          <w:rFonts w:ascii="Times New Roman" w:hAnsi="Times New Roman" w:cs="Times New Roman"/>
          <w:sz w:val="24"/>
          <w:szCs w:val="24"/>
        </w:rPr>
        <w:t xml:space="preserve"> (5.09% net of transaction costs) </w:t>
      </w:r>
      <w:r w:rsidRPr="00CB2DE6">
        <w:rPr>
          <w:rFonts w:ascii="Times New Roman" w:hAnsi="Times New Roman" w:cs="Times New Roman"/>
          <w:sz w:val="24"/>
          <w:szCs w:val="24"/>
        </w:rPr>
        <w:t>between the annualized excess returns on portfolio 5 and portfolio 1 (i.e., excess</w:t>
      </w:r>
      <w:r w:rsidR="005D5BE9">
        <w:rPr>
          <w:rFonts w:ascii="Times New Roman" w:hAnsi="Times New Roman" w:cs="Times New Roman"/>
          <w:sz w:val="24"/>
          <w:szCs w:val="24"/>
        </w:rPr>
        <w:t xml:space="preserve"> return for the HML portfolio). </w:t>
      </w:r>
      <w:r w:rsidRPr="00CB2DE6">
        <w:rPr>
          <w:rFonts w:ascii="Times New Roman" w:hAnsi="Times New Roman" w:cs="Times New Roman"/>
          <w:sz w:val="24"/>
          <w:szCs w:val="24"/>
        </w:rPr>
        <w:t xml:space="preserve">The skewness </w:t>
      </w:r>
      <w:r w:rsidR="005D5BE9">
        <w:rPr>
          <w:rFonts w:ascii="Times New Roman" w:hAnsi="Times New Roman" w:cs="Times New Roman"/>
          <w:sz w:val="24"/>
          <w:szCs w:val="24"/>
        </w:rPr>
        <w:t xml:space="preserve">of portfolio excess returns recorded in Table 1 </w:t>
      </w:r>
      <w:r w:rsidRPr="00CB2DE6">
        <w:rPr>
          <w:rFonts w:ascii="Times New Roman" w:hAnsi="Times New Roman" w:cs="Times New Roman"/>
          <w:sz w:val="24"/>
          <w:szCs w:val="24"/>
        </w:rPr>
        <w:t>is generally consistent with Brunnermeier, Nagel, and Pedersen (2009), who show that currencies with high interest rate differentials are related to negative conditional skewness of exchange rate movements. The annualized Sharpe ratios increase monotonically as we move from currency portfolio 1 to portfolio 5 an</w:t>
      </w:r>
      <w:r w:rsidR="005D5BE9">
        <w:rPr>
          <w:rFonts w:ascii="Times New Roman" w:hAnsi="Times New Roman" w:cs="Times New Roman"/>
          <w:sz w:val="24"/>
          <w:szCs w:val="24"/>
        </w:rPr>
        <w:t>d the HML carry trade portfolio and,</w:t>
      </w:r>
      <w:r w:rsidR="009A2A09">
        <w:rPr>
          <w:rFonts w:ascii="Times New Roman" w:hAnsi="Times New Roman" w:cs="Times New Roman"/>
          <w:sz w:val="24"/>
          <w:szCs w:val="24"/>
        </w:rPr>
        <w:t xml:space="preserve"> </w:t>
      </w:r>
      <w:r w:rsidRPr="00CB2DE6">
        <w:rPr>
          <w:rFonts w:ascii="Times New Roman" w:hAnsi="Times New Roman" w:cs="Times New Roman"/>
          <w:sz w:val="24"/>
          <w:szCs w:val="24"/>
        </w:rPr>
        <w:t>even after controlling for bid-ask spreads, the Sharpe ratios for portfolio 5 and</w:t>
      </w:r>
      <w:r w:rsidR="004F6A48" w:rsidRPr="00CB2DE6">
        <w:rPr>
          <w:rFonts w:ascii="Times New Roman" w:hAnsi="Times New Roman" w:cs="Times New Roman"/>
          <w:sz w:val="24"/>
          <w:szCs w:val="24"/>
        </w:rPr>
        <w:t xml:space="preserve"> the HML portfolio are notable.</w:t>
      </w:r>
      <w:r w:rsidR="00D37DAC" w:rsidRPr="00CB2DE6">
        <w:rPr>
          <w:rStyle w:val="FootnoteReference"/>
          <w:rFonts w:ascii="Times New Roman" w:eastAsia="Calibri" w:hAnsi="Times New Roman" w:cs="Times New Roman"/>
          <w:sz w:val="24"/>
          <w:szCs w:val="24"/>
        </w:rPr>
        <w:footnoteReference w:id="10"/>
      </w:r>
    </w:p>
    <w:p w:rsidR="00041D92" w:rsidRPr="00CB2DE6" w:rsidRDefault="00B159F4" w:rsidP="00041D92">
      <w:pPr>
        <w:spacing w:after="120" w:line="360" w:lineRule="auto"/>
        <w:jc w:val="both"/>
        <w:rPr>
          <w:rFonts w:ascii="Times New Roman" w:hAnsi="Times New Roman" w:cs="Times New Roman"/>
          <w:b/>
          <w:sz w:val="28"/>
          <w:szCs w:val="28"/>
        </w:rPr>
      </w:pPr>
      <w:r w:rsidRPr="00CB2DE6">
        <w:rPr>
          <w:rFonts w:ascii="Times New Roman" w:hAnsi="Times New Roman" w:cs="Times New Roman"/>
          <w:b/>
          <w:sz w:val="28"/>
          <w:szCs w:val="28"/>
        </w:rPr>
        <w:t>4</w:t>
      </w:r>
      <w:r w:rsidR="008A11FD" w:rsidRPr="00CB2DE6">
        <w:rPr>
          <w:rFonts w:ascii="Times New Roman" w:hAnsi="Times New Roman" w:cs="Times New Roman"/>
          <w:b/>
          <w:sz w:val="28"/>
          <w:szCs w:val="28"/>
        </w:rPr>
        <w:t>.</w:t>
      </w:r>
      <w:r w:rsidR="00BB0085" w:rsidRPr="00CB2DE6">
        <w:rPr>
          <w:rFonts w:ascii="Times New Roman" w:hAnsi="Times New Roman" w:cs="Times New Roman"/>
          <w:b/>
          <w:sz w:val="28"/>
          <w:szCs w:val="28"/>
        </w:rPr>
        <w:tab/>
      </w:r>
      <w:r w:rsidR="000B0E1A" w:rsidRPr="00CB2DE6">
        <w:rPr>
          <w:rFonts w:ascii="Times New Roman" w:hAnsi="Times New Roman" w:cs="Times New Roman"/>
          <w:b/>
          <w:sz w:val="28"/>
          <w:szCs w:val="28"/>
        </w:rPr>
        <w:t>Empirical Results</w:t>
      </w:r>
    </w:p>
    <w:p w:rsidR="00C95DBD" w:rsidRPr="00CB2DE6" w:rsidRDefault="004F6A48" w:rsidP="00C95DBD">
      <w:pPr>
        <w:spacing w:after="120" w:line="360" w:lineRule="auto"/>
        <w:ind w:firstLine="720"/>
        <w:jc w:val="both"/>
        <w:rPr>
          <w:rFonts w:ascii="Times New Roman" w:hAnsi="Times New Roman" w:cs="Times New Roman"/>
          <w:b/>
          <w:sz w:val="24"/>
          <w:szCs w:val="24"/>
        </w:rPr>
      </w:pPr>
      <w:r w:rsidRPr="00CB2DE6">
        <w:rPr>
          <w:rFonts w:ascii="Times New Roman" w:hAnsi="Times New Roman" w:cs="Times New Roman"/>
          <w:b/>
          <w:sz w:val="24"/>
          <w:szCs w:val="24"/>
        </w:rPr>
        <w:t>4</w:t>
      </w:r>
      <w:r w:rsidR="00C95DBD" w:rsidRPr="00CB2DE6">
        <w:rPr>
          <w:rFonts w:ascii="Times New Roman" w:hAnsi="Times New Roman" w:cs="Times New Roman"/>
          <w:b/>
          <w:sz w:val="24"/>
          <w:szCs w:val="24"/>
        </w:rPr>
        <w:t>.</w:t>
      </w:r>
      <w:r w:rsidRPr="00CB2DE6">
        <w:rPr>
          <w:rFonts w:ascii="Times New Roman" w:hAnsi="Times New Roman" w:cs="Times New Roman"/>
          <w:b/>
          <w:sz w:val="24"/>
          <w:szCs w:val="24"/>
        </w:rPr>
        <w:t>1</w:t>
      </w:r>
      <w:r w:rsidR="00C95DBD" w:rsidRPr="00CB2DE6">
        <w:rPr>
          <w:rFonts w:ascii="Times New Roman" w:hAnsi="Times New Roman" w:cs="Times New Roman"/>
          <w:b/>
          <w:sz w:val="24"/>
          <w:szCs w:val="24"/>
        </w:rPr>
        <w:tab/>
        <w:t>Estimation of the Volatility Components</w:t>
      </w:r>
    </w:p>
    <w:p w:rsidR="003A4165" w:rsidRPr="00CB2DE6" w:rsidRDefault="00CD05D8" w:rsidP="003A4165">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In line with the existing literature</w:t>
      </w:r>
      <w:r w:rsidR="005B1317" w:rsidRPr="00CB2DE6">
        <w:rPr>
          <w:rFonts w:ascii="Times New Roman" w:hAnsi="Times New Roman" w:cs="Times New Roman"/>
          <w:sz w:val="24"/>
          <w:szCs w:val="24"/>
        </w:rPr>
        <w:t xml:space="preserve"> (see, among others, Merton (1980), Nelson (1992), and Andersen, Bollerslev, Diebold, and Labys (2003), and the references therein)</w:t>
      </w:r>
      <w:r w:rsidRPr="00CB2DE6">
        <w:rPr>
          <w:rFonts w:ascii="Times New Roman" w:hAnsi="Times New Roman" w:cs="Times New Roman"/>
          <w:sz w:val="24"/>
          <w:szCs w:val="24"/>
        </w:rPr>
        <w:t>, w</w:t>
      </w:r>
      <w:r w:rsidR="00C95DBD" w:rsidRPr="00CB2DE6">
        <w:rPr>
          <w:rFonts w:ascii="Times New Roman" w:hAnsi="Times New Roman" w:cs="Times New Roman"/>
          <w:sz w:val="24"/>
          <w:szCs w:val="24"/>
        </w:rPr>
        <w:t>e</w:t>
      </w:r>
      <w:r w:rsidR="00C95DBD" w:rsidRPr="00CB2DE6">
        <w:rPr>
          <w:rFonts w:ascii="Times New Roman" w:hAnsi="Times New Roman" w:cs="Times New Roman"/>
        </w:rPr>
        <w:t xml:space="preserve"> </w:t>
      </w:r>
      <w:r w:rsidRPr="00CB2DE6">
        <w:rPr>
          <w:rFonts w:ascii="Times New Roman" w:hAnsi="Times New Roman" w:cs="Times New Roman"/>
          <w:sz w:val="24"/>
          <w:szCs w:val="24"/>
        </w:rPr>
        <w:t>estimate</w:t>
      </w:r>
      <w:r w:rsidR="00C95DBD" w:rsidRPr="00CB2DE6">
        <w:rPr>
          <w:rFonts w:ascii="Times New Roman" w:hAnsi="Times New Roman" w:cs="Times New Roman"/>
          <w:sz w:val="24"/>
          <w:szCs w:val="24"/>
        </w:rPr>
        <w:t xml:space="preserve"> </w:t>
      </w:r>
      <w:r w:rsidR="00C95DBD" w:rsidRPr="00CB2DE6">
        <w:rPr>
          <w:rFonts w:ascii="Times New Roman" w:hAnsi="Times New Roman" w:cs="Times New Roman"/>
          <w:sz w:val="24"/>
          <w:szCs w:val="24"/>
        </w:rPr>
        <w:lastRenderedPageBreak/>
        <w:t xml:space="preserve">the </w:t>
      </w:r>
      <w:r w:rsidRPr="00CB2DE6">
        <w:rPr>
          <w:rFonts w:ascii="Times New Roman" w:hAnsi="Times New Roman" w:cs="Times New Roman"/>
          <w:sz w:val="24"/>
          <w:szCs w:val="24"/>
        </w:rPr>
        <w:t xml:space="preserve">volatility </w:t>
      </w:r>
      <w:r w:rsidR="00C95DBD" w:rsidRPr="00CB2DE6">
        <w:rPr>
          <w:rFonts w:ascii="Times New Roman" w:hAnsi="Times New Roman" w:cs="Times New Roman"/>
          <w:sz w:val="24"/>
          <w:szCs w:val="24"/>
        </w:rPr>
        <w:t>component model</w:t>
      </w:r>
      <w:r w:rsidRPr="00CB2DE6">
        <w:rPr>
          <w:rFonts w:ascii="Times New Roman" w:hAnsi="Times New Roman" w:cs="Times New Roman"/>
          <w:sz w:val="24"/>
          <w:szCs w:val="24"/>
        </w:rPr>
        <w:t>s</w:t>
      </w:r>
      <w:r w:rsidR="00C95DBD"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introduced in Section 2.2 </w:t>
      </w:r>
      <w:r w:rsidR="00C95DBD" w:rsidRPr="00CB2DE6">
        <w:rPr>
          <w:rFonts w:ascii="Times New Roman" w:hAnsi="Times New Roman" w:cs="Times New Roman"/>
          <w:sz w:val="24"/>
          <w:szCs w:val="24"/>
        </w:rPr>
        <w:t xml:space="preserve">using daily data on global FX return. </w:t>
      </w:r>
      <w:r w:rsidRPr="00CB2DE6">
        <w:rPr>
          <w:rFonts w:ascii="Times New Roman" w:hAnsi="Times New Roman" w:cs="Times New Roman"/>
          <w:sz w:val="24"/>
          <w:szCs w:val="24"/>
        </w:rPr>
        <w:t>W</w:t>
      </w:r>
      <w:r w:rsidR="00C95DBD" w:rsidRPr="00CB2DE6">
        <w:rPr>
          <w:rFonts w:ascii="Times New Roman" w:hAnsi="Times New Roman" w:cs="Times New Roman"/>
          <w:sz w:val="24"/>
          <w:szCs w:val="24"/>
        </w:rPr>
        <w:t xml:space="preserve">e </w:t>
      </w:r>
      <w:r w:rsidRPr="00CB2DE6">
        <w:rPr>
          <w:rFonts w:ascii="Times New Roman" w:hAnsi="Times New Roman" w:cs="Times New Roman"/>
          <w:sz w:val="24"/>
          <w:szCs w:val="24"/>
        </w:rPr>
        <w:t xml:space="preserve">also </w:t>
      </w:r>
      <w:r w:rsidR="0008180F" w:rsidRPr="00CB2DE6">
        <w:rPr>
          <w:rFonts w:ascii="Times New Roman" w:hAnsi="Times New Roman" w:cs="Times New Roman"/>
          <w:sz w:val="24"/>
          <w:szCs w:val="24"/>
        </w:rPr>
        <w:t>apply an</w:t>
      </w:r>
      <w:r w:rsidR="00C95DBD" w:rsidRPr="00CB2DE6">
        <w:rPr>
          <w:rFonts w:ascii="Times New Roman" w:hAnsi="Times New Roman" w:cs="Times New Roman"/>
          <w:sz w:val="24"/>
          <w:szCs w:val="24"/>
        </w:rPr>
        <w:t xml:space="preserve"> ARMA(3,1) filter in the conditional mean </w:t>
      </w:r>
      <w:r w:rsidR="005B1317" w:rsidRPr="00CB2DE6">
        <w:rPr>
          <w:rFonts w:ascii="Times New Roman" w:hAnsi="Times New Roman" w:cs="Times New Roman"/>
          <w:sz w:val="24"/>
          <w:szCs w:val="24"/>
        </w:rPr>
        <w:t xml:space="preserve">of the CGARCH model </w:t>
      </w:r>
      <w:r w:rsidR="00C95DBD" w:rsidRPr="00CB2DE6">
        <w:rPr>
          <w:rFonts w:ascii="Times New Roman" w:hAnsi="Times New Roman" w:cs="Times New Roman"/>
          <w:sz w:val="24"/>
          <w:szCs w:val="24"/>
        </w:rPr>
        <w:t>to remove lower order autocorrelation de</w:t>
      </w:r>
      <w:r w:rsidR="003A4165" w:rsidRPr="00CB2DE6">
        <w:rPr>
          <w:rFonts w:ascii="Times New Roman" w:hAnsi="Times New Roman" w:cs="Times New Roman"/>
          <w:sz w:val="24"/>
          <w:szCs w:val="24"/>
        </w:rPr>
        <w:t xml:space="preserve">pendencies in the disturbances. </w:t>
      </w:r>
    </w:p>
    <w:p w:rsidR="00B73052" w:rsidRPr="00CB2DE6" w:rsidRDefault="00CD05D8" w:rsidP="00B73052">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The results </w:t>
      </w:r>
      <w:r w:rsidR="005B1317" w:rsidRPr="00CB2DE6">
        <w:rPr>
          <w:rFonts w:ascii="Times New Roman" w:hAnsi="Times New Roman" w:cs="Times New Roman"/>
          <w:sz w:val="24"/>
          <w:szCs w:val="24"/>
        </w:rPr>
        <w:t xml:space="preserve">on </w:t>
      </w:r>
      <w:r w:rsidRPr="00CB2DE6">
        <w:rPr>
          <w:rFonts w:ascii="Times New Roman" w:hAnsi="Times New Roman" w:cs="Times New Roman"/>
          <w:sz w:val="24"/>
          <w:szCs w:val="24"/>
        </w:rPr>
        <w:t xml:space="preserve">the estimation of the CGARCH model are reported in </w:t>
      </w:r>
      <w:r w:rsidR="00C95DBD" w:rsidRPr="00CB2DE6">
        <w:rPr>
          <w:rFonts w:ascii="Times New Roman" w:hAnsi="Times New Roman" w:cs="Times New Roman"/>
          <w:sz w:val="24"/>
          <w:szCs w:val="24"/>
        </w:rPr>
        <w:t xml:space="preserve">Table </w:t>
      </w:r>
      <w:r w:rsidR="003A4165" w:rsidRPr="00CB2DE6">
        <w:rPr>
          <w:rFonts w:ascii="Times New Roman" w:hAnsi="Times New Roman" w:cs="Times New Roman"/>
          <w:sz w:val="24"/>
          <w:szCs w:val="24"/>
        </w:rPr>
        <w:t>2</w:t>
      </w:r>
      <w:r w:rsidR="00C95DBD" w:rsidRPr="00CB2DE6">
        <w:rPr>
          <w:rFonts w:ascii="Times New Roman" w:hAnsi="Times New Roman" w:cs="Times New Roman"/>
          <w:sz w:val="24"/>
          <w:szCs w:val="24"/>
        </w:rPr>
        <w:t xml:space="preserve">. The short- and </w:t>
      </w:r>
      <w:r w:rsidR="004C2474" w:rsidRPr="00CB2DE6">
        <w:rPr>
          <w:rFonts w:ascii="Times New Roman" w:hAnsi="Times New Roman" w:cs="Times New Roman"/>
          <w:sz w:val="24"/>
          <w:szCs w:val="24"/>
        </w:rPr>
        <w:t>long-</w:t>
      </w:r>
      <w:r w:rsidR="005B1317" w:rsidRPr="00CB2DE6">
        <w:rPr>
          <w:rFonts w:ascii="Times New Roman" w:hAnsi="Times New Roman" w:cs="Times New Roman"/>
          <w:sz w:val="24"/>
          <w:szCs w:val="24"/>
        </w:rPr>
        <w:t xml:space="preserve">run </w:t>
      </w:r>
      <w:r w:rsidR="00C95DBD" w:rsidRPr="00CB2DE6">
        <w:rPr>
          <w:rFonts w:ascii="Times New Roman" w:hAnsi="Times New Roman" w:cs="Times New Roman"/>
          <w:sz w:val="24"/>
          <w:szCs w:val="24"/>
        </w:rPr>
        <w:t xml:space="preserve">components of global FX conditional volatility are identified by their relative magnitudes of autocorrelation coefficients. In particular, the </w:t>
      </w:r>
      <w:r w:rsidR="00BB3AB8" w:rsidRPr="00CB2DE6">
        <w:rPr>
          <w:rFonts w:ascii="Times New Roman" w:hAnsi="Times New Roman" w:cs="Times New Roman"/>
          <w:sz w:val="24"/>
          <w:szCs w:val="24"/>
        </w:rPr>
        <w:t xml:space="preserve">estimated </w:t>
      </w:r>
      <w:r w:rsidR="00C95DBD" w:rsidRPr="00CB2DE6">
        <w:rPr>
          <w:rFonts w:ascii="Times New Roman" w:hAnsi="Times New Roman" w:cs="Times New Roman"/>
          <w:sz w:val="24"/>
          <w:szCs w:val="24"/>
        </w:rPr>
        <w:t xml:space="preserve">AR coefficient </w:t>
      </w:r>
      <m:oMath>
        <m:r>
          <w:rPr>
            <w:rFonts w:ascii="Cambria Math"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4</m:t>
                </m:r>
              </m:sub>
            </m:sSub>
          </m:e>
        </m:acc>
        <m:r>
          <w:rPr>
            <w:rFonts w:ascii="Cambria Math" w:hAnsi="Cambria Math" w:cs="Times New Roman"/>
            <w:sz w:val="24"/>
            <w:szCs w:val="24"/>
          </w:rPr>
          <m:t>)</m:t>
        </m:r>
      </m:oMath>
      <w:r w:rsidR="00C95DBD" w:rsidRPr="00CB2DE6">
        <w:rPr>
          <w:rFonts w:ascii="Times New Roman" w:hAnsi="Times New Roman" w:cs="Times New Roman"/>
          <w:sz w:val="24"/>
          <w:szCs w:val="24"/>
        </w:rPr>
        <w:t xml:space="preserve"> for the </w:t>
      </w:r>
      <w:r w:rsidR="004C2474" w:rsidRPr="00CB2DE6">
        <w:rPr>
          <w:rFonts w:ascii="Times New Roman" w:hAnsi="Times New Roman" w:cs="Times New Roman"/>
          <w:sz w:val="24"/>
          <w:szCs w:val="24"/>
        </w:rPr>
        <w:t>short-</w:t>
      </w:r>
      <w:r w:rsidR="005B1317" w:rsidRPr="00CB2DE6">
        <w:rPr>
          <w:rFonts w:ascii="Times New Roman" w:hAnsi="Times New Roman" w:cs="Times New Roman"/>
          <w:sz w:val="24"/>
          <w:szCs w:val="24"/>
        </w:rPr>
        <w:t xml:space="preserve">run </w:t>
      </w:r>
      <w:r w:rsidR="00C95DBD" w:rsidRPr="00CB2DE6">
        <w:rPr>
          <w:rFonts w:ascii="Times New Roman" w:hAnsi="Times New Roman" w:cs="Times New Roman"/>
          <w:sz w:val="24"/>
          <w:szCs w:val="24"/>
        </w:rPr>
        <w:t>component is 0.879, which is relatively smaller than the AR coefficient</w:t>
      </w:r>
      <w:r w:rsidR="00BB3AB8" w:rsidRPr="00CB2DE6">
        <w:rPr>
          <w:rFonts w:ascii="Times New Roman" w:hAnsi="Times New Roman" w:cs="Times New Roman"/>
          <w:sz w:val="24"/>
          <w:szCs w:val="24"/>
        </w:rPr>
        <w:t xml:space="preserve"> </w:t>
      </w:r>
      <m:oMath>
        <m:r>
          <w:rPr>
            <w:rFonts w:ascii="Cambria Math"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6</m:t>
                </m:r>
              </m:sub>
            </m:sSub>
          </m:e>
        </m:acc>
        <m:r>
          <w:rPr>
            <w:rFonts w:ascii="Cambria Math" w:hAnsi="Cambria Math" w:cs="Times New Roman"/>
            <w:sz w:val="24"/>
            <w:szCs w:val="24"/>
          </w:rPr>
          <m:t>)</m:t>
        </m:r>
      </m:oMath>
      <w:r w:rsidR="00C95DBD" w:rsidRPr="00CB2DE6">
        <w:rPr>
          <w:rFonts w:ascii="Times New Roman" w:hAnsi="Times New Roman" w:cs="Times New Roman"/>
          <w:sz w:val="24"/>
          <w:szCs w:val="24"/>
        </w:rPr>
        <w:t xml:space="preserve"> of 0.994 for the </w:t>
      </w:r>
      <w:r w:rsidR="004C2474" w:rsidRPr="00CB2DE6">
        <w:rPr>
          <w:rFonts w:ascii="Times New Roman" w:hAnsi="Times New Roman" w:cs="Times New Roman"/>
          <w:sz w:val="24"/>
          <w:szCs w:val="24"/>
        </w:rPr>
        <w:t>long-</w:t>
      </w:r>
      <w:r w:rsidR="005B1317" w:rsidRPr="00CB2DE6">
        <w:rPr>
          <w:rFonts w:ascii="Times New Roman" w:hAnsi="Times New Roman" w:cs="Times New Roman"/>
          <w:sz w:val="24"/>
          <w:szCs w:val="24"/>
        </w:rPr>
        <w:t xml:space="preserve">run </w:t>
      </w:r>
      <w:r w:rsidR="00C95DBD" w:rsidRPr="00CB2DE6">
        <w:rPr>
          <w:rFonts w:ascii="Times New Roman" w:hAnsi="Times New Roman" w:cs="Times New Roman"/>
          <w:sz w:val="24"/>
          <w:szCs w:val="24"/>
        </w:rPr>
        <w:t>component.</w:t>
      </w:r>
      <w:r w:rsidR="00C95DBD" w:rsidRPr="00CB2DE6">
        <w:rPr>
          <w:rStyle w:val="FootnoteReference"/>
          <w:rFonts w:ascii="Times New Roman" w:eastAsia="Calibri" w:hAnsi="Times New Roman" w:cs="Times New Roman"/>
          <w:sz w:val="24"/>
          <w:szCs w:val="24"/>
        </w:rPr>
        <w:footnoteReference w:id="11"/>
      </w:r>
      <w:r w:rsidR="00C95DBD" w:rsidRPr="00CB2DE6">
        <w:rPr>
          <w:rFonts w:ascii="Times New Roman" w:hAnsi="Times New Roman" w:cs="Times New Roman"/>
          <w:sz w:val="24"/>
          <w:szCs w:val="24"/>
        </w:rPr>
        <w:t xml:space="preserve"> Both these coefficient estimates are significantly different from zero</w:t>
      </w:r>
      <w:r w:rsidRPr="00CB2DE6">
        <w:rPr>
          <w:rFonts w:ascii="Times New Roman" w:hAnsi="Times New Roman" w:cs="Times New Roman"/>
          <w:sz w:val="24"/>
          <w:szCs w:val="24"/>
        </w:rPr>
        <w:t xml:space="preserve"> at the 1</w:t>
      </w:r>
      <w:r w:rsidR="005B1317" w:rsidRPr="00CB2DE6">
        <w:rPr>
          <w:rFonts w:ascii="Times New Roman" w:hAnsi="Times New Roman" w:cs="Times New Roman"/>
          <w:sz w:val="24"/>
          <w:szCs w:val="24"/>
        </w:rPr>
        <w:t xml:space="preserve">% </w:t>
      </w:r>
      <w:r w:rsidRPr="00CB2DE6">
        <w:rPr>
          <w:rFonts w:ascii="Times New Roman" w:hAnsi="Times New Roman" w:cs="Times New Roman"/>
          <w:sz w:val="24"/>
          <w:szCs w:val="24"/>
        </w:rPr>
        <w:t>conventional level</w:t>
      </w:r>
      <w:r w:rsidR="00C95DBD" w:rsidRPr="00CB2DE6">
        <w:rPr>
          <w:rFonts w:ascii="Times New Roman" w:hAnsi="Times New Roman" w:cs="Times New Roman"/>
          <w:sz w:val="24"/>
          <w:szCs w:val="24"/>
        </w:rPr>
        <w:t xml:space="preserve">. Although the </w:t>
      </w:r>
      <w:r w:rsidR="004C2474" w:rsidRPr="00CB2DE6">
        <w:rPr>
          <w:rFonts w:ascii="Times New Roman" w:hAnsi="Times New Roman" w:cs="Times New Roman"/>
          <w:sz w:val="24"/>
          <w:szCs w:val="24"/>
        </w:rPr>
        <w:t>long-</w:t>
      </w:r>
      <w:r w:rsidR="005B1317" w:rsidRPr="00CB2DE6">
        <w:rPr>
          <w:rFonts w:ascii="Times New Roman" w:hAnsi="Times New Roman" w:cs="Times New Roman"/>
          <w:sz w:val="24"/>
          <w:szCs w:val="24"/>
        </w:rPr>
        <w:t xml:space="preserve">run </w:t>
      </w:r>
      <w:r w:rsidR="00C95DBD" w:rsidRPr="00CB2DE6">
        <w:rPr>
          <w:rFonts w:ascii="Times New Roman" w:hAnsi="Times New Roman" w:cs="Times New Roman"/>
          <w:sz w:val="24"/>
          <w:szCs w:val="24"/>
        </w:rPr>
        <w:t xml:space="preserve">component exhibits a highly persistent shock process, it is not permanent. We reject the null hypothesis that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6</m:t>
            </m:r>
          </m:sub>
        </m:sSub>
        <m:r>
          <w:rPr>
            <w:rFonts w:ascii="Cambria Math" w:hAnsi="Cambria Math" w:cs="Times New Roman"/>
            <w:sz w:val="24"/>
            <w:szCs w:val="24"/>
          </w:rPr>
          <m:t>=</m:t>
        </m:r>
        <m:r>
          <m:rPr>
            <m:sty m:val="p"/>
          </m:rPr>
          <w:rPr>
            <w:rFonts w:ascii="Cambria Math" w:hAnsi="Cambria Math" w:cs="Times New Roman"/>
            <w:sz w:val="24"/>
            <w:szCs w:val="24"/>
          </w:rPr>
          <m:t>1</m:t>
        </m:r>
        <m:r>
          <w:rPr>
            <w:rFonts w:ascii="Cambria Math" w:hAnsi="Cambria Math" w:cs="Times New Roman"/>
            <w:sz w:val="24"/>
            <w:szCs w:val="24"/>
          </w:rPr>
          <m:t xml:space="preserve"> </m:t>
        </m:r>
      </m:oMath>
      <w:r w:rsidR="00C95DBD" w:rsidRPr="00CB2DE6">
        <w:rPr>
          <w:rFonts w:ascii="Times New Roman" w:hAnsi="Times New Roman" w:cs="Times New Roman"/>
          <w:sz w:val="24"/>
          <w:szCs w:val="24"/>
        </w:rPr>
        <w:t>at the 5</w:t>
      </w:r>
      <w:r w:rsidR="000D54C4" w:rsidRPr="00CB2DE6">
        <w:rPr>
          <w:rFonts w:ascii="Times New Roman" w:hAnsi="Times New Roman" w:cs="Times New Roman"/>
          <w:sz w:val="24"/>
          <w:szCs w:val="24"/>
        </w:rPr>
        <w:t xml:space="preserve">% </w:t>
      </w:r>
      <w:r w:rsidR="00C95DBD" w:rsidRPr="00CB2DE6">
        <w:rPr>
          <w:rFonts w:ascii="Times New Roman" w:hAnsi="Times New Roman" w:cs="Times New Roman"/>
          <w:sz w:val="24"/>
          <w:szCs w:val="24"/>
        </w:rPr>
        <w:t xml:space="preserve">significance level. The AR coefficient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6</m:t>
                </m:r>
              </m:sub>
            </m:sSub>
          </m:e>
        </m:acc>
      </m:oMath>
      <w:r w:rsidR="00C95DBD" w:rsidRPr="00CB2DE6">
        <w:rPr>
          <w:rFonts w:ascii="Times New Roman" w:hAnsi="Times New Roman" w:cs="Times New Roman"/>
          <w:sz w:val="24"/>
          <w:szCs w:val="24"/>
        </w:rPr>
        <w:t xml:space="preserve"> exceeds the sum of coefficients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2</m:t>
                </m:r>
              </m:sub>
            </m:sSub>
          </m:e>
        </m:acc>
      </m:oMath>
      <w:r w:rsidR="00C95DBD" w:rsidRPr="00CB2DE6">
        <w:rPr>
          <w:rFonts w:ascii="Times New Roman" w:hAnsi="Times New Roman" w:cs="Times New Roman"/>
          <w:iCs/>
          <w:sz w:val="24"/>
          <w:szCs w:val="24"/>
        </w:rPr>
        <w:t xml:space="preserve"> </w:t>
      </w:r>
      <w:r w:rsidR="00C95DBD" w:rsidRPr="00CB2DE6">
        <w:rPr>
          <w:rFonts w:ascii="Times New Roman" w:hAnsi="Times New Roman" w:cs="Times New Roman"/>
          <w:sz w:val="24"/>
          <w:szCs w:val="24"/>
        </w:rPr>
        <w:t xml:space="preserve">and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4</m:t>
                </m:r>
              </m:sub>
            </m:sSub>
          </m:e>
        </m:acc>
      </m:oMath>
      <w:r w:rsidR="00C95DBD" w:rsidRPr="00CB2DE6">
        <w:rPr>
          <w:rFonts w:ascii="Times New Roman" w:hAnsi="Times New Roman" w:cs="Times New Roman"/>
          <w:sz w:val="24"/>
          <w:szCs w:val="24"/>
        </w:rPr>
        <w:t xml:space="preserve"> in magnitude implying relatively slower mean-reversion process in the </w:t>
      </w:r>
      <w:r w:rsidR="004C2474" w:rsidRPr="00CB2DE6">
        <w:rPr>
          <w:rFonts w:ascii="Times New Roman" w:hAnsi="Times New Roman" w:cs="Times New Roman"/>
          <w:sz w:val="24"/>
          <w:szCs w:val="24"/>
        </w:rPr>
        <w:t>long-</w:t>
      </w:r>
      <w:r w:rsidR="005B1317" w:rsidRPr="00CB2DE6">
        <w:rPr>
          <w:rFonts w:ascii="Times New Roman" w:hAnsi="Times New Roman" w:cs="Times New Roman"/>
          <w:sz w:val="24"/>
          <w:szCs w:val="24"/>
        </w:rPr>
        <w:t>run</w:t>
      </w:r>
      <w:r w:rsidR="00C95DBD" w:rsidRPr="00CB2DE6">
        <w:rPr>
          <w:rFonts w:ascii="Times New Roman" w:hAnsi="Times New Roman" w:cs="Times New Roman"/>
          <w:sz w:val="24"/>
          <w:szCs w:val="24"/>
        </w:rPr>
        <w:t xml:space="preserve">. The </w:t>
      </w:r>
      <w:r w:rsidR="000D54C4" w:rsidRPr="00CB2DE6">
        <w:rPr>
          <w:rFonts w:ascii="Times New Roman" w:hAnsi="Times New Roman" w:cs="Times New Roman"/>
          <w:sz w:val="24"/>
          <w:szCs w:val="24"/>
        </w:rPr>
        <w:t xml:space="preserve">estimated </w:t>
      </w:r>
      <w:r w:rsidR="00C95DBD" w:rsidRPr="00CB2DE6">
        <w:rPr>
          <w:rFonts w:ascii="Times New Roman" w:hAnsi="Times New Roman" w:cs="Times New Roman"/>
          <w:sz w:val="24"/>
          <w:szCs w:val="24"/>
        </w:rPr>
        <w:t xml:space="preserve">coefficient </w:t>
      </w:r>
      <m:oMath>
        <m:r>
          <w:rPr>
            <w:rFonts w:ascii="Cambria Math" w:hAnsi="Cambria Math" w:cs="Times New Roman"/>
            <w:sz w:val="24"/>
            <w:szCs w:val="24"/>
          </w:rPr>
          <m:t>(</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3</m:t>
                </m:r>
              </m:sub>
            </m:sSub>
          </m:e>
        </m:acc>
        <m:r>
          <w:rPr>
            <w:rFonts w:ascii="Cambria Math" w:hAnsi="Cambria Math" w:cs="Times New Roman"/>
            <w:sz w:val="24"/>
            <w:szCs w:val="24"/>
          </w:rPr>
          <m:t>)</m:t>
        </m:r>
      </m:oMath>
      <w:r w:rsidR="00C95DBD" w:rsidRPr="00CB2DE6">
        <w:rPr>
          <w:rFonts w:ascii="Times New Roman" w:hAnsi="Times New Roman" w:cs="Times New Roman"/>
          <w:sz w:val="24"/>
          <w:szCs w:val="24"/>
        </w:rPr>
        <w:t xml:space="preserve"> for the asymmetric effects is negative and significant, which suggests </w:t>
      </w:r>
      <w:r w:rsidR="00335E63">
        <w:rPr>
          <w:rFonts w:ascii="Times New Roman" w:hAnsi="Times New Roman" w:cs="Times New Roman"/>
          <w:sz w:val="24"/>
          <w:szCs w:val="24"/>
        </w:rPr>
        <w:t>that short</w:t>
      </w:r>
      <w:r w:rsidR="00D54A6A">
        <w:rPr>
          <w:rFonts w:ascii="Times New Roman" w:hAnsi="Times New Roman" w:cs="Times New Roman"/>
          <w:sz w:val="24"/>
          <w:szCs w:val="24"/>
        </w:rPr>
        <w:t xml:space="preserve">-run volatility </w:t>
      </w:r>
      <w:r w:rsidR="00335E63">
        <w:rPr>
          <w:rFonts w:ascii="Times New Roman" w:hAnsi="Times New Roman" w:cs="Times New Roman"/>
          <w:sz w:val="24"/>
          <w:szCs w:val="24"/>
        </w:rPr>
        <w:t xml:space="preserve">increases more </w:t>
      </w:r>
      <w:r w:rsidR="00D54A6A">
        <w:rPr>
          <w:rFonts w:ascii="Times New Roman" w:hAnsi="Times New Roman" w:cs="Times New Roman"/>
          <w:sz w:val="24"/>
          <w:szCs w:val="24"/>
        </w:rPr>
        <w:t xml:space="preserve">in </w:t>
      </w:r>
      <w:r w:rsidR="00A33FD7" w:rsidRPr="00CB2DE6">
        <w:rPr>
          <w:rFonts w:ascii="Times New Roman" w:hAnsi="Times New Roman" w:cs="Times New Roman"/>
          <w:sz w:val="24"/>
          <w:szCs w:val="24"/>
        </w:rPr>
        <w:t>reaction to</w:t>
      </w:r>
      <w:r w:rsidRPr="00CB2DE6">
        <w:rPr>
          <w:rFonts w:ascii="Times New Roman" w:hAnsi="Times New Roman" w:cs="Times New Roman"/>
          <w:sz w:val="24"/>
          <w:szCs w:val="24"/>
        </w:rPr>
        <w:t xml:space="preserve"> </w:t>
      </w:r>
      <w:r w:rsidR="00766EB2">
        <w:rPr>
          <w:rFonts w:ascii="Times New Roman" w:hAnsi="Times New Roman" w:cs="Times New Roman"/>
          <w:sz w:val="24"/>
          <w:szCs w:val="24"/>
        </w:rPr>
        <w:t xml:space="preserve">unexpected </w:t>
      </w:r>
      <w:r w:rsidR="00A33FD7" w:rsidRPr="00CB2DE6">
        <w:rPr>
          <w:rFonts w:ascii="Times New Roman" w:hAnsi="Times New Roman" w:cs="Times New Roman"/>
          <w:sz w:val="24"/>
          <w:szCs w:val="24"/>
        </w:rPr>
        <w:t>US</w:t>
      </w:r>
      <w:r w:rsidR="005B1317" w:rsidRPr="00CB2DE6">
        <w:rPr>
          <w:rFonts w:ascii="Times New Roman" w:hAnsi="Times New Roman" w:cs="Times New Roman"/>
          <w:sz w:val="24"/>
          <w:szCs w:val="24"/>
        </w:rPr>
        <w:t>D</w:t>
      </w:r>
      <w:r w:rsidR="00A33FD7" w:rsidRPr="00CB2DE6">
        <w:rPr>
          <w:rFonts w:ascii="Times New Roman" w:hAnsi="Times New Roman" w:cs="Times New Roman"/>
          <w:sz w:val="24"/>
          <w:szCs w:val="24"/>
        </w:rPr>
        <w:t xml:space="preserve"> </w:t>
      </w:r>
      <w:r w:rsidR="00C95DBD" w:rsidRPr="00CB2DE6">
        <w:rPr>
          <w:rFonts w:ascii="Times New Roman" w:hAnsi="Times New Roman" w:cs="Times New Roman"/>
          <w:sz w:val="24"/>
          <w:szCs w:val="24"/>
        </w:rPr>
        <w:t>appreciation. All other coefficients are statistically significant at the 1% or 5% level and have the expected signs.</w:t>
      </w:r>
      <w:r w:rsidR="00C95DBD" w:rsidRPr="00CB2DE6">
        <w:rPr>
          <w:rStyle w:val="FootnoteReference"/>
          <w:rFonts w:ascii="Times New Roman" w:hAnsi="Times New Roman" w:cs="Times New Roman"/>
          <w:sz w:val="24"/>
          <w:szCs w:val="24"/>
        </w:rPr>
        <w:footnoteReference w:id="12"/>
      </w:r>
      <w:r w:rsidR="00C95DBD" w:rsidRPr="00CB2DE6">
        <w:rPr>
          <w:rFonts w:ascii="Times New Roman" w:hAnsi="Times New Roman" w:cs="Times New Roman"/>
          <w:sz w:val="24"/>
          <w:szCs w:val="24"/>
        </w:rPr>
        <w:t xml:space="preserve"> The Ljung and Box (1978) </w:t>
      </w:r>
      <w:r w:rsidR="00C95DBD" w:rsidRPr="00CB2DE6">
        <w:rPr>
          <w:rFonts w:ascii="Times New Roman" w:hAnsi="Times New Roman" w:cs="Times New Roman"/>
          <w:i/>
          <w:sz w:val="24"/>
          <w:szCs w:val="24"/>
        </w:rPr>
        <w:t>Q</w:t>
      </w:r>
      <w:r w:rsidR="00C95DBD" w:rsidRPr="00CB2DE6">
        <w:rPr>
          <w:rFonts w:ascii="Times New Roman" w:hAnsi="Times New Roman" w:cs="Times New Roman"/>
          <w:sz w:val="24"/>
          <w:szCs w:val="24"/>
        </w:rPr>
        <w:t>-statistics at 10, 20, and 30 lags, respectively, confirm that both the standardized and squared standardized residuals are serially uncorrelated.</w:t>
      </w:r>
      <w:r w:rsidR="00B73052" w:rsidRPr="00CB2DE6">
        <w:rPr>
          <w:rFonts w:ascii="Times New Roman" w:hAnsi="Times New Roman" w:cs="Times New Roman"/>
          <w:sz w:val="24"/>
          <w:szCs w:val="24"/>
        </w:rPr>
        <w:t xml:space="preserve"> </w:t>
      </w:r>
    </w:p>
    <w:p w:rsidR="002D0703" w:rsidRPr="00CB2DE6" w:rsidRDefault="005B1317" w:rsidP="003C19DD">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We report the</w:t>
      </w:r>
      <w:r w:rsidR="00A33FD7" w:rsidRPr="00CB2DE6">
        <w:rPr>
          <w:rFonts w:ascii="Times New Roman" w:hAnsi="Times New Roman" w:cs="Times New Roman"/>
          <w:sz w:val="24"/>
          <w:szCs w:val="24"/>
        </w:rPr>
        <w:t xml:space="preserve"> results </w:t>
      </w:r>
      <w:r w:rsidRPr="00CB2DE6">
        <w:rPr>
          <w:rFonts w:ascii="Times New Roman" w:hAnsi="Times New Roman" w:cs="Times New Roman"/>
          <w:sz w:val="24"/>
          <w:szCs w:val="24"/>
        </w:rPr>
        <w:t xml:space="preserve">on </w:t>
      </w:r>
      <w:r w:rsidR="00A33FD7" w:rsidRPr="00CB2DE6">
        <w:rPr>
          <w:rFonts w:ascii="Times New Roman" w:hAnsi="Times New Roman" w:cs="Times New Roman"/>
          <w:sz w:val="24"/>
          <w:szCs w:val="24"/>
        </w:rPr>
        <w:t xml:space="preserve">the estimation of the CEGARCH model </w:t>
      </w:r>
      <w:r w:rsidR="00C95DBD" w:rsidRPr="00CB2DE6">
        <w:rPr>
          <w:rFonts w:ascii="Times New Roman" w:hAnsi="Times New Roman" w:cs="Times New Roman"/>
          <w:sz w:val="24"/>
          <w:szCs w:val="24"/>
        </w:rPr>
        <w:t xml:space="preserve">in Table </w:t>
      </w:r>
      <w:r w:rsidR="003A4165" w:rsidRPr="00CB2DE6">
        <w:rPr>
          <w:rFonts w:ascii="Times New Roman" w:hAnsi="Times New Roman" w:cs="Times New Roman"/>
          <w:sz w:val="24"/>
          <w:szCs w:val="24"/>
        </w:rPr>
        <w:t>3</w:t>
      </w:r>
      <w:r w:rsidR="00C95DBD" w:rsidRPr="00CB2DE6">
        <w:rPr>
          <w:rFonts w:ascii="Times New Roman" w:hAnsi="Times New Roman" w:cs="Times New Roman"/>
          <w:sz w:val="24"/>
          <w:szCs w:val="24"/>
        </w:rPr>
        <w:t xml:space="preserve">. The model identifies a </w:t>
      </w:r>
      <w:r w:rsidR="004C2474" w:rsidRPr="00CB2DE6">
        <w:rPr>
          <w:rFonts w:ascii="Times New Roman" w:hAnsi="Times New Roman" w:cs="Times New Roman"/>
          <w:sz w:val="24"/>
          <w:szCs w:val="24"/>
        </w:rPr>
        <w:t>long-</w:t>
      </w:r>
      <w:r w:rsidRPr="00CB2DE6">
        <w:rPr>
          <w:rFonts w:ascii="Times New Roman" w:hAnsi="Times New Roman" w:cs="Times New Roman"/>
          <w:sz w:val="24"/>
          <w:szCs w:val="24"/>
        </w:rPr>
        <w:t xml:space="preserve">run </w:t>
      </w:r>
      <w:r w:rsidR="00C95DBD" w:rsidRPr="00CB2DE6">
        <w:rPr>
          <w:rFonts w:ascii="Times New Roman" w:hAnsi="Times New Roman" w:cs="Times New Roman"/>
          <w:sz w:val="24"/>
          <w:szCs w:val="24"/>
        </w:rPr>
        <w:t xml:space="preserve">volatility component whose first-order serial correlation is virtually indistinguishable from the one exhibited by the </w:t>
      </w:r>
      <w:r w:rsidR="00A33FD7" w:rsidRPr="00CB2DE6">
        <w:rPr>
          <w:rFonts w:ascii="Times New Roman" w:hAnsi="Times New Roman" w:cs="Times New Roman"/>
          <w:sz w:val="24"/>
          <w:szCs w:val="24"/>
        </w:rPr>
        <w:t>C</w:t>
      </w:r>
      <w:r w:rsidR="00C95DBD" w:rsidRPr="00CB2DE6">
        <w:rPr>
          <w:rFonts w:ascii="Times New Roman" w:hAnsi="Times New Roman" w:cs="Times New Roman"/>
          <w:sz w:val="24"/>
          <w:szCs w:val="24"/>
        </w:rPr>
        <w:t xml:space="preserve">GARCH model </w:t>
      </w:r>
      <w:r w:rsidR="00A33FD7" w:rsidRPr="00CB2DE6">
        <w:rPr>
          <w:rFonts w:ascii="Times New Roman" w:hAnsi="Times New Roman" w:cs="Times New Roman"/>
          <w:sz w:val="24"/>
          <w:szCs w:val="24"/>
        </w:rPr>
        <w:t xml:space="preserve">in Table </w:t>
      </w:r>
      <w:r w:rsidRPr="00CB2DE6">
        <w:rPr>
          <w:rFonts w:ascii="Times New Roman" w:hAnsi="Times New Roman" w:cs="Times New Roman"/>
          <w:sz w:val="24"/>
          <w:szCs w:val="24"/>
        </w:rPr>
        <w:t>2</w:t>
      </w:r>
      <w:r w:rsidR="00A33FD7" w:rsidRPr="00CB2DE6">
        <w:rPr>
          <w:rFonts w:ascii="Times New Roman" w:hAnsi="Times New Roman" w:cs="Times New Roman"/>
          <w:sz w:val="24"/>
          <w:szCs w:val="24"/>
        </w:rPr>
        <w:t xml:space="preserve"> </w:t>
      </w:r>
      <w:r w:rsidR="00C95DBD" w:rsidRPr="00CB2DE6">
        <w:rPr>
          <w:rFonts w:ascii="Times New Roman" w:hAnsi="Times New Roman" w:cs="Times New Roman"/>
          <w:sz w:val="24"/>
          <w:szCs w:val="24"/>
        </w:rPr>
        <w:t>(0.992 vs</w:t>
      </w:r>
      <w:r w:rsidRPr="00CB2DE6">
        <w:rPr>
          <w:rFonts w:ascii="Times New Roman" w:hAnsi="Times New Roman" w:cs="Times New Roman"/>
          <w:sz w:val="24"/>
          <w:szCs w:val="24"/>
        </w:rPr>
        <w:t>.</w:t>
      </w:r>
      <w:r w:rsidR="00C95DBD" w:rsidRPr="00CB2DE6">
        <w:rPr>
          <w:rFonts w:ascii="Times New Roman" w:hAnsi="Times New Roman" w:cs="Times New Roman"/>
          <w:sz w:val="24"/>
          <w:szCs w:val="24"/>
        </w:rPr>
        <w:t xml:space="preserve"> 0.994). However, the serial correlation of the short-</w:t>
      </w:r>
      <w:r w:rsidRPr="00CB2DE6">
        <w:rPr>
          <w:rFonts w:ascii="Times New Roman" w:hAnsi="Times New Roman" w:cs="Times New Roman"/>
          <w:sz w:val="24"/>
          <w:szCs w:val="24"/>
        </w:rPr>
        <w:t xml:space="preserve">run </w:t>
      </w:r>
      <w:r w:rsidR="00C95DBD" w:rsidRPr="00CB2DE6">
        <w:rPr>
          <w:rFonts w:ascii="Times New Roman" w:hAnsi="Times New Roman" w:cs="Times New Roman"/>
          <w:sz w:val="24"/>
          <w:szCs w:val="24"/>
        </w:rPr>
        <w:t xml:space="preserve">volatility component is substantially lower. Consistent with Adrian and </w:t>
      </w:r>
      <w:r w:rsidR="00674B5A" w:rsidRPr="00CB2DE6">
        <w:rPr>
          <w:rFonts w:ascii="Times New Roman" w:hAnsi="Times New Roman" w:cs="Times New Roman"/>
          <w:sz w:val="24"/>
          <w:szCs w:val="24"/>
        </w:rPr>
        <w:t>Rosenberg</w:t>
      </w:r>
      <w:r w:rsidR="00C95DBD" w:rsidRPr="00CB2DE6">
        <w:rPr>
          <w:rFonts w:ascii="Times New Roman" w:hAnsi="Times New Roman" w:cs="Times New Roman"/>
          <w:sz w:val="24"/>
          <w:szCs w:val="24"/>
        </w:rPr>
        <w:t xml:space="preserve"> (2008), the </w:t>
      </w:r>
      <w:r w:rsidR="007A5399">
        <w:rPr>
          <w:rFonts w:ascii="Times New Roman" w:hAnsi="Times New Roman" w:cs="Times New Roman"/>
          <w:sz w:val="24"/>
          <w:szCs w:val="24"/>
        </w:rPr>
        <w:t xml:space="preserve">estimated </w:t>
      </w:r>
      <w:r w:rsidR="00C95DBD" w:rsidRPr="00CB2DE6">
        <w:rPr>
          <w:rFonts w:ascii="Times New Roman" w:hAnsi="Times New Roman" w:cs="Times New Roman"/>
          <w:sz w:val="24"/>
          <w:szCs w:val="24"/>
        </w:rPr>
        <w:t xml:space="preserve">parameters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e>
        </m:acc>
      </m:oMath>
      <w:r w:rsidR="00674B5A" w:rsidRPr="00CB2DE6">
        <w:rPr>
          <w:rFonts w:ascii="Times New Roman" w:hAnsi="Times New Roman" w:cs="Times New Roman"/>
          <w:sz w:val="24"/>
          <w:szCs w:val="24"/>
        </w:rPr>
        <w:t xml:space="preserve"> </w:t>
      </w:r>
      <w:r w:rsidR="00C95DBD" w:rsidRPr="00CB2DE6">
        <w:rPr>
          <w:rFonts w:ascii="Times New Roman" w:hAnsi="Times New Roman" w:cs="Times New Roman"/>
          <w:sz w:val="24"/>
          <w:szCs w:val="24"/>
        </w:rPr>
        <w:t xml:space="preserve">and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3</m:t>
                </m:r>
              </m:sub>
            </m:sSub>
          </m:e>
        </m:acc>
      </m:oMath>
      <w:r w:rsidR="00674B5A" w:rsidRPr="00CB2DE6">
        <w:rPr>
          <w:rFonts w:ascii="Times New Roman" w:hAnsi="Times New Roman" w:cs="Times New Roman"/>
          <w:sz w:val="24"/>
          <w:szCs w:val="24"/>
        </w:rPr>
        <w:t xml:space="preserve"> </w:t>
      </w:r>
      <w:r w:rsidR="00C95DBD" w:rsidRPr="00CB2DE6">
        <w:rPr>
          <w:rFonts w:ascii="Times New Roman" w:hAnsi="Times New Roman" w:cs="Times New Roman"/>
          <w:sz w:val="24"/>
          <w:szCs w:val="24"/>
        </w:rPr>
        <w:t xml:space="preserve">are statistically significant and exhibit the same sign pattern recorded for the US equity market volatility. </w:t>
      </w:r>
      <w:r w:rsidR="003A4165" w:rsidRPr="00CB2DE6">
        <w:rPr>
          <w:rFonts w:ascii="Times New Roman" w:hAnsi="Times New Roman" w:cs="Times New Roman"/>
          <w:sz w:val="24"/>
          <w:szCs w:val="24"/>
        </w:rPr>
        <w:t>However, differently from the US equity market,</w:t>
      </w:r>
      <w:r w:rsidR="00C95DBD" w:rsidRPr="00CB2DE6">
        <w:rPr>
          <w:rFonts w:ascii="Times New Roman" w:hAnsi="Times New Roman" w:cs="Times New Roman"/>
          <w:sz w:val="24"/>
          <w:szCs w:val="24"/>
        </w:rPr>
        <w:t xml:space="preserve"> the asymmetric effect is </w:t>
      </w:r>
      <w:r w:rsidR="00335E63">
        <w:rPr>
          <w:rFonts w:ascii="Times New Roman" w:hAnsi="Times New Roman" w:cs="Times New Roman"/>
          <w:sz w:val="24"/>
          <w:szCs w:val="24"/>
        </w:rPr>
        <w:t xml:space="preserve">positive </w:t>
      </w:r>
      <w:r w:rsidR="00C95DBD" w:rsidRPr="00CB2DE6">
        <w:rPr>
          <w:rFonts w:ascii="Times New Roman" w:hAnsi="Times New Roman" w:cs="Times New Roman"/>
          <w:sz w:val="24"/>
          <w:szCs w:val="24"/>
        </w:rPr>
        <w:t xml:space="preserve">and statistically significant </w:t>
      </w:r>
      <w:r w:rsidR="003A4165" w:rsidRPr="00CB2DE6">
        <w:rPr>
          <w:rFonts w:ascii="Times New Roman" w:hAnsi="Times New Roman" w:cs="Times New Roman"/>
          <w:sz w:val="24"/>
          <w:szCs w:val="24"/>
        </w:rPr>
        <w:t xml:space="preserve">only for </w:t>
      </w:r>
      <w:r w:rsidR="00C95DBD" w:rsidRPr="00CB2DE6">
        <w:rPr>
          <w:rFonts w:ascii="Times New Roman" w:hAnsi="Times New Roman" w:cs="Times New Roman"/>
          <w:sz w:val="24"/>
          <w:szCs w:val="24"/>
        </w:rPr>
        <w:t xml:space="preserve">the </w:t>
      </w:r>
      <w:r w:rsidR="004C2474" w:rsidRPr="00CB2DE6">
        <w:rPr>
          <w:rFonts w:ascii="Times New Roman" w:hAnsi="Times New Roman" w:cs="Times New Roman"/>
          <w:sz w:val="24"/>
          <w:szCs w:val="24"/>
        </w:rPr>
        <w:t>short-</w:t>
      </w:r>
      <w:r w:rsidRPr="00CB2DE6">
        <w:rPr>
          <w:rFonts w:ascii="Times New Roman" w:hAnsi="Times New Roman" w:cs="Times New Roman"/>
          <w:sz w:val="24"/>
          <w:szCs w:val="24"/>
        </w:rPr>
        <w:t xml:space="preserve">run </w:t>
      </w:r>
      <w:r w:rsidR="00335E63">
        <w:rPr>
          <w:rFonts w:ascii="Times New Roman" w:hAnsi="Times New Roman" w:cs="Times New Roman"/>
          <w:sz w:val="24"/>
          <w:szCs w:val="24"/>
        </w:rPr>
        <w:t>component of volatility</w:t>
      </w:r>
      <w:r w:rsidR="007A5399">
        <w:rPr>
          <w:rFonts w:ascii="Times New Roman" w:hAnsi="Times New Roman" w:cs="Times New Roman"/>
          <w:sz w:val="24"/>
          <w:szCs w:val="24"/>
        </w:rPr>
        <w:t xml:space="preserve"> (i.e., USD appreciation increases short-run volatility)</w:t>
      </w:r>
      <w:r w:rsidR="003A4165" w:rsidRPr="00CB2DE6">
        <w:rPr>
          <w:rFonts w:ascii="Times New Roman" w:hAnsi="Times New Roman" w:cs="Times New Roman"/>
          <w:sz w:val="24"/>
          <w:szCs w:val="24"/>
        </w:rPr>
        <w:t>,</w:t>
      </w:r>
      <w:r w:rsidR="00A33FD7" w:rsidRPr="00CB2DE6">
        <w:rPr>
          <w:rFonts w:ascii="Times New Roman" w:hAnsi="Times New Roman" w:cs="Times New Roman"/>
          <w:sz w:val="24"/>
          <w:szCs w:val="24"/>
        </w:rPr>
        <w:t xml:space="preserve"> </w:t>
      </w:r>
      <w:r w:rsidR="003A4165" w:rsidRPr="00CB2DE6">
        <w:rPr>
          <w:rFonts w:ascii="Times New Roman" w:hAnsi="Times New Roman" w:cs="Times New Roman"/>
          <w:sz w:val="24"/>
          <w:szCs w:val="24"/>
        </w:rPr>
        <w:t>in line</w:t>
      </w:r>
      <w:r w:rsidR="00A33FD7" w:rsidRPr="00CB2DE6">
        <w:rPr>
          <w:rFonts w:ascii="Times New Roman" w:hAnsi="Times New Roman" w:cs="Times New Roman"/>
          <w:sz w:val="24"/>
          <w:szCs w:val="24"/>
        </w:rPr>
        <w:t xml:space="preserve"> with the </w:t>
      </w:r>
      <w:r w:rsidR="00335E63">
        <w:rPr>
          <w:rFonts w:ascii="Times New Roman" w:hAnsi="Times New Roman" w:cs="Times New Roman"/>
          <w:sz w:val="24"/>
          <w:szCs w:val="24"/>
        </w:rPr>
        <w:t>im</w:t>
      </w:r>
      <w:r w:rsidR="00A26792">
        <w:rPr>
          <w:rFonts w:ascii="Times New Roman" w:hAnsi="Times New Roman" w:cs="Times New Roman"/>
          <w:sz w:val="24"/>
          <w:szCs w:val="24"/>
        </w:rPr>
        <w:t xml:space="preserve">plication of the </w:t>
      </w:r>
      <w:r w:rsidR="00A33FD7" w:rsidRPr="00CB2DE6">
        <w:rPr>
          <w:rFonts w:ascii="Times New Roman" w:hAnsi="Times New Roman" w:cs="Times New Roman"/>
          <w:sz w:val="24"/>
          <w:szCs w:val="24"/>
        </w:rPr>
        <w:t xml:space="preserve">estimate reported in Table </w:t>
      </w:r>
      <w:r w:rsidR="003A4165" w:rsidRPr="00CB2DE6">
        <w:rPr>
          <w:rFonts w:ascii="Times New Roman" w:hAnsi="Times New Roman" w:cs="Times New Roman"/>
          <w:sz w:val="24"/>
          <w:szCs w:val="24"/>
        </w:rPr>
        <w:t>2.</w:t>
      </w:r>
      <w:r w:rsidR="00C95DBD" w:rsidRPr="00CB2DE6">
        <w:rPr>
          <w:rFonts w:ascii="Times New Roman" w:hAnsi="Times New Roman" w:cs="Times New Roman"/>
          <w:sz w:val="24"/>
          <w:szCs w:val="24"/>
        </w:rPr>
        <w:t xml:space="preserve"> </w:t>
      </w:r>
      <w:r w:rsidR="003A4165" w:rsidRPr="00CB2DE6">
        <w:rPr>
          <w:rFonts w:ascii="Times New Roman" w:hAnsi="Times New Roman" w:cs="Times New Roman"/>
          <w:sz w:val="24"/>
          <w:szCs w:val="24"/>
        </w:rPr>
        <w:t>S</w:t>
      </w:r>
      <w:r w:rsidR="00C95DBD" w:rsidRPr="00CB2DE6">
        <w:rPr>
          <w:rFonts w:ascii="Times New Roman" w:hAnsi="Times New Roman" w:cs="Times New Roman"/>
          <w:sz w:val="24"/>
          <w:szCs w:val="24"/>
        </w:rPr>
        <w:t xml:space="preserve">uch effect is not present in the </w:t>
      </w:r>
      <w:r w:rsidR="004C2474" w:rsidRPr="00CB2DE6">
        <w:rPr>
          <w:rFonts w:ascii="Times New Roman" w:hAnsi="Times New Roman" w:cs="Times New Roman"/>
          <w:sz w:val="24"/>
          <w:szCs w:val="24"/>
        </w:rPr>
        <w:t>long-</w:t>
      </w:r>
      <w:r w:rsidRPr="00CB2DE6">
        <w:rPr>
          <w:rFonts w:ascii="Times New Roman" w:hAnsi="Times New Roman" w:cs="Times New Roman"/>
          <w:sz w:val="24"/>
          <w:szCs w:val="24"/>
        </w:rPr>
        <w:t xml:space="preserve">run </w:t>
      </w:r>
      <w:r w:rsidR="00C95DBD" w:rsidRPr="00CB2DE6">
        <w:rPr>
          <w:rFonts w:ascii="Times New Roman" w:hAnsi="Times New Roman" w:cs="Times New Roman"/>
          <w:sz w:val="24"/>
          <w:szCs w:val="24"/>
        </w:rPr>
        <w:t xml:space="preserve">volatility component, as the parameter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9</m:t>
                </m:r>
              </m:sub>
            </m:sSub>
          </m:e>
        </m:acc>
      </m:oMath>
      <w:r w:rsidRPr="00CB2DE6">
        <w:rPr>
          <w:rFonts w:ascii="Times New Roman" w:hAnsi="Times New Roman" w:cs="Times New Roman"/>
          <w:sz w:val="24"/>
          <w:szCs w:val="24"/>
        </w:rPr>
        <w:t xml:space="preserve"> </w:t>
      </w:r>
      <w:r w:rsidR="00C95DBD" w:rsidRPr="00CB2DE6">
        <w:rPr>
          <w:rFonts w:ascii="Times New Roman" w:hAnsi="Times New Roman" w:cs="Times New Roman"/>
          <w:sz w:val="24"/>
          <w:szCs w:val="24"/>
        </w:rPr>
        <w:lastRenderedPageBreak/>
        <w:t>is i</w:t>
      </w:r>
      <w:r w:rsidR="00A26792">
        <w:rPr>
          <w:rFonts w:ascii="Times New Roman" w:hAnsi="Times New Roman" w:cs="Times New Roman"/>
          <w:sz w:val="24"/>
          <w:szCs w:val="24"/>
        </w:rPr>
        <w:t>nsignificant</w:t>
      </w:r>
      <w:r w:rsidR="007A5399">
        <w:rPr>
          <w:rFonts w:ascii="Times New Roman" w:hAnsi="Times New Roman" w:cs="Times New Roman"/>
          <w:sz w:val="24"/>
          <w:szCs w:val="24"/>
        </w:rPr>
        <w:t xml:space="preserve">ly </w:t>
      </w:r>
      <w:r w:rsidR="00A26792">
        <w:rPr>
          <w:rFonts w:ascii="Times New Roman" w:hAnsi="Times New Roman" w:cs="Times New Roman"/>
          <w:sz w:val="24"/>
          <w:szCs w:val="24"/>
        </w:rPr>
        <w:t xml:space="preserve">positive. </w:t>
      </w:r>
      <w:r w:rsidR="007020AF" w:rsidRPr="00CB2DE6">
        <w:rPr>
          <w:rFonts w:ascii="Times New Roman" w:hAnsi="Times New Roman" w:cs="Times New Roman"/>
          <w:sz w:val="24"/>
          <w:szCs w:val="24"/>
        </w:rPr>
        <w:t xml:space="preserve">These results are generally in line with the findings reported in existing </w:t>
      </w:r>
      <w:r w:rsidR="006D57E3" w:rsidRPr="00CB2DE6">
        <w:rPr>
          <w:rFonts w:ascii="Times New Roman" w:hAnsi="Times New Roman" w:cs="Times New Roman"/>
          <w:sz w:val="24"/>
          <w:szCs w:val="24"/>
        </w:rPr>
        <w:t>studies</w:t>
      </w:r>
      <w:r w:rsidR="007020AF" w:rsidRPr="00CB2DE6">
        <w:rPr>
          <w:rFonts w:ascii="Times New Roman" w:hAnsi="Times New Roman" w:cs="Times New Roman"/>
          <w:sz w:val="24"/>
          <w:szCs w:val="24"/>
        </w:rPr>
        <w:t xml:space="preserve"> which </w:t>
      </w:r>
      <w:r w:rsidR="006D57E3" w:rsidRPr="00CB2DE6">
        <w:rPr>
          <w:rFonts w:ascii="Times New Roman" w:hAnsi="Times New Roman" w:cs="Times New Roman"/>
          <w:sz w:val="24"/>
          <w:szCs w:val="24"/>
        </w:rPr>
        <w:t>consider</w:t>
      </w:r>
      <w:r w:rsidR="007020AF" w:rsidRPr="00CB2DE6">
        <w:rPr>
          <w:rFonts w:ascii="Times New Roman" w:hAnsi="Times New Roman" w:cs="Times New Roman"/>
          <w:sz w:val="24"/>
          <w:szCs w:val="24"/>
        </w:rPr>
        <w:t xml:space="preserve"> asymmetric</w:t>
      </w:r>
      <w:r w:rsidR="006D57E3" w:rsidRPr="00CB2DE6">
        <w:rPr>
          <w:rFonts w:ascii="Times New Roman" w:hAnsi="Times New Roman" w:cs="Times New Roman"/>
          <w:sz w:val="24"/>
          <w:szCs w:val="24"/>
        </w:rPr>
        <w:t xml:space="preserve"> effects only in the short-run component of FX volatility (see Byrne and Davis</w:t>
      </w:r>
      <w:r w:rsidR="00C56D41" w:rsidRPr="00CB2DE6">
        <w:rPr>
          <w:rFonts w:ascii="Times New Roman" w:hAnsi="Times New Roman" w:cs="Times New Roman"/>
          <w:sz w:val="24"/>
          <w:szCs w:val="24"/>
        </w:rPr>
        <w:t xml:space="preserve"> (</w:t>
      </w:r>
      <w:r w:rsidR="006D57E3" w:rsidRPr="00CB2DE6">
        <w:rPr>
          <w:rFonts w:ascii="Times New Roman" w:hAnsi="Times New Roman" w:cs="Times New Roman"/>
          <w:sz w:val="24"/>
          <w:szCs w:val="24"/>
        </w:rPr>
        <w:t>2005</w:t>
      </w:r>
      <w:r w:rsidR="00C56D41" w:rsidRPr="00CB2DE6">
        <w:rPr>
          <w:rFonts w:ascii="Times New Roman" w:hAnsi="Times New Roman" w:cs="Times New Roman"/>
          <w:sz w:val="24"/>
          <w:szCs w:val="24"/>
        </w:rPr>
        <w:t>)</w:t>
      </w:r>
      <w:r w:rsidR="006D57E3" w:rsidRPr="00CB2DE6">
        <w:rPr>
          <w:rFonts w:ascii="Times New Roman" w:hAnsi="Times New Roman" w:cs="Times New Roman"/>
          <w:sz w:val="24"/>
          <w:szCs w:val="24"/>
        </w:rPr>
        <w:t xml:space="preserve"> and the references therein)</w:t>
      </w:r>
      <w:r w:rsidR="006D57E3" w:rsidRPr="00CB2DE6">
        <w:rPr>
          <w:rFonts w:ascii="Times New Roman" w:hAnsi="Times New Roman" w:cs="Times New Roman"/>
          <w:b/>
          <w:sz w:val="24"/>
          <w:szCs w:val="24"/>
        </w:rPr>
        <w:t xml:space="preserve">. </w:t>
      </w:r>
      <w:r w:rsidR="006D57E3" w:rsidRPr="00CB2DE6">
        <w:rPr>
          <w:rFonts w:ascii="Times New Roman" w:hAnsi="Times New Roman" w:cs="Times New Roman"/>
          <w:sz w:val="24"/>
          <w:szCs w:val="24"/>
        </w:rPr>
        <w:t>Furthermore,</w:t>
      </w:r>
      <w:r w:rsidR="00C95DBD" w:rsidRPr="00CB2DE6">
        <w:rPr>
          <w:rFonts w:ascii="Times New Roman" w:hAnsi="Times New Roman" w:cs="Times New Roman"/>
          <w:sz w:val="24"/>
          <w:szCs w:val="24"/>
        </w:rPr>
        <w:t xml:space="preserve"> the Ljung and Box (1978) </w:t>
      </w:r>
      <w:r w:rsidR="00C95DBD" w:rsidRPr="00CB2DE6">
        <w:rPr>
          <w:rFonts w:ascii="Times New Roman" w:hAnsi="Times New Roman" w:cs="Times New Roman"/>
          <w:i/>
          <w:sz w:val="24"/>
          <w:szCs w:val="24"/>
        </w:rPr>
        <w:t>Q</w:t>
      </w:r>
      <w:r w:rsidR="00C95DBD" w:rsidRPr="00CB2DE6">
        <w:rPr>
          <w:rFonts w:ascii="Times New Roman" w:hAnsi="Times New Roman" w:cs="Times New Roman"/>
          <w:sz w:val="24"/>
          <w:szCs w:val="24"/>
        </w:rPr>
        <w:t xml:space="preserve">-statistics suggest a potential misspecification of the </w:t>
      </w:r>
      <w:r w:rsidR="00C56D41" w:rsidRPr="00CB2DE6">
        <w:rPr>
          <w:rFonts w:ascii="Times New Roman" w:hAnsi="Times New Roman" w:cs="Times New Roman"/>
          <w:sz w:val="24"/>
          <w:szCs w:val="24"/>
        </w:rPr>
        <w:t xml:space="preserve">volatility decomposition </w:t>
      </w:r>
      <w:r w:rsidR="00C95DBD" w:rsidRPr="00CB2DE6">
        <w:rPr>
          <w:rFonts w:ascii="Times New Roman" w:hAnsi="Times New Roman" w:cs="Times New Roman"/>
          <w:sz w:val="24"/>
          <w:szCs w:val="24"/>
        </w:rPr>
        <w:t>model in the form suggested by Adrian and Rose</w:t>
      </w:r>
      <w:r w:rsidRPr="00CB2DE6">
        <w:rPr>
          <w:rFonts w:ascii="Times New Roman" w:hAnsi="Times New Roman" w:cs="Times New Roman"/>
          <w:sz w:val="24"/>
          <w:szCs w:val="24"/>
        </w:rPr>
        <w:t>n</w:t>
      </w:r>
      <w:r w:rsidR="00C95DBD" w:rsidRPr="00CB2DE6">
        <w:rPr>
          <w:rFonts w:ascii="Times New Roman" w:hAnsi="Times New Roman" w:cs="Times New Roman"/>
          <w:sz w:val="24"/>
          <w:szCs w:val="24"/>
        </w:rPr>
        <w:t xml:space="preserve">berg (2008) when applied to </w:t>
      </w:r>
      <w:r w:rsidR="00FD2121" w:rsidRPr="00CB2DE6">
        <w:rPr>
          <w:rFonts w:ascii="Times New Roman" w:hAnsi="Times New Roman" w:cs="Times New Roman"/>
          <w:sz w:val="24"/>
          <w:szCs w:val="24"/>
        </w:rPr>
        <w:t xml:space="preserve">the </w:t>
      </w:r>
      <w:r w:rsidR="00C95DBD" w:rsidRPr="00CB2DE6">
        <w:rPr>
          <w:rFonts w:ascii="Times New Roman" w:hAnsi="Times New Roman" w:cs="Times New Roman"/>
          <w:sz w:val="24"/>
          <w:szCs w:val="24"/>
        </w:rPr>
        <w:t>FX market.</w:t>
      </w:r>
      <w:r w:rsidR="00A33FD7" w:rsidRPr="00CB2DE6">
        <w:rPr>
          <w:rFonts w:ascii="Times New Roman" w:hAnsi="Times New Roman" w:cs="Times New Roman"/>
          <w:sz w:val="24"/>
          <w:szCs w:val="24"/>
        </w:rPr>
        <w:t xml:space="preserve"> </w:t>
      </w:r>
    </w:p>
    <w:p w:rsidR="00D03147" w:rsidRPr="0086764F" w:rsidRDefault="00C7013C" w:rsidP="00D03147">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At face value, t</w:t>
      </w:r>
      <w:r w:rsidR="00A33FD7" w:rsidRPr="00CB2DE6">
        <w:rPr>
          <w:rFonts w:ascii="Times New Roman" w:hAnsi="Times New Roman" w:cs="Times New Roman"/>
          <w:sz w:val="24"/>
          <w:szCs w:val="24"/>
        </w:rPr>
        <w:t>he</w:t>
      </w:r>
      <w:r w:rsidR="00C95DBD" w:rsidRPr="00CB2DE6">
        <w:rPr>
          <w:rFonts w:ascii="Times New Roman" w:hAnsi="Times New Roman" w:cs="Times New Roman"/>
          <w:sz w:val="24"/>
          <w:szCs w:val="24"/>
        </w:rPr>
        <w:t xml:space="preserve"> results reported in Table</w:t>
      </w:r>
      <w:r w:rsidR="00A33FD7" w:rsidRPr="00CB2DE6">
        <w:rPr>
          <w:rFonts w:ascii="Times New Roman" w:hAnsi="Times New Roman" w:cs="Times New Roman"/>
          <w:sz w:val="24"/>
          <w:szCs w:val="24"/>
        </w:rPr>
        <w:t>s</w:t>
      </w:r>
      <w:r w:rsidR="00C95DBD" w:rsidRPr="00CB2DE6">
        <w:rPr>
          <w:rFonts w:ascii="Times New Roman" w:hAnsi="Times New Roman" w:cs="Times New Roman"/>
          <w:sz w:val="24"/>
          <w:szCs w:val="24"/>
        </w:rPr>
        <w:t xml:space="preserve"> </w:t>
      </w:r>
      <w:r w:rsidR="003A4165" w:rsidRPr="00CB2DE6">
        <w:rPr>
          <w:rFonts w:ascii="Times New Roman" w:hAnsi="Times New Roman" w:cs="Times New Roman"/>
          <w:sz w:val="24"/>
          <w:szCs w:val="24"/>
        </w:rPr>
        <w:t>2</w:t>
      </w:r>
      <w:r w:rsidR="00A33FD7" w:rsidRPr="00CB2DE6">
        <w:rPr>
          <w:rFonts w:ascii="Times New Roman" w:hAnsi="Times New Roman" w:cs="Times New Roman"/>
          <w:sz w:val="24"/>
          <w:szCs w:val="24"/>
        </w:rPr>
        <w:t xml:space="preserve"> and </w:t>
      </w:r>
      <w:r w:rsidR="003A4165" w:rsidRPr="00CB2DE6">
        <w:rPr>
          <w:rFonts w:ascii="Times New Roman" w:hAnsi="Times New Roman" w:cs="Times New Roman"/>
          <w:sz w:val="24"/>
          <w:szCs w:val="24"/>
        </w:rPr>
        <w:t>3</w:t>
      </w:r>
      <w:r w:rsidR="00C95DBD" w:rsidRPr="00CB2DE6">
        <w:rPr>
          <w:rFonts w:ascii="Times New Roman" w:hAnsi="Times New Roman" w:cs="Times New Roman"/>
          <w:sz w:val="24"/>
          <w:szCs w:val="24"/>
        </w:rPr>
        <w:t xml:space="preserve"> </w:t>
      </w:r>
      <w:r w:rsidR="00A33FD7" w:rsidRPr="00CB2DE6">
        <w:rPr>
          <w:rFonts w:ascii="Times New Roman" w:hAnsi="Times New Roman" w:cs="Times New Roman"/>
          <w:sz w:val="24"/>
          <w:szCs w:val="24"/>
        </w:rPr>
        <w:t xml:space="preserve">suggest that a CGARCH model </w:t>
      </w:r>
      <w:r w:rsidRPr="00CB2DE6">
        <w:rPr>
          <w:rFonts w:ascii="Times New Roman" w:hAnsi="Times New Roman" w:cs="Times New Roman"/>
          <w:sz w:val="24"/>
          <w:szCs w:val="24"/>
        </w:rPr>
        <w:t xml:space="preserve">may represent a better parametrization, in comparison with a CEGARCH model, to capture the salient features of global FX volatility. </w:t>
      </w:r>
      <w:r w:rsidR="005D5BE9">
        <w:rPr>
          <w:rFonts w:ascii="Times New Roman" w:hAnsi="Times New Roman" w:cs="Times New Roman"/>
          <w:sz w:val="24"/>
          <w:szCs w:val="24"/>
        </w:rPr>
        <w:t>W</w:t>
      </w:r>
      <w:r w:rsidRPr="00CB2DE6">
        <w:rPr>
          <w:rFonts w:ascii="Times New Roman" w:hAnsi="Times New Roman" w:cs="Times New Roman"/>
          <w:sz w:val="24"/>
          <w:szCs w:val="24"/>
        </w:rPr>
        <w:t xml:space="preserve">e formally </w:t>
      </w:r>
      <w:r w:rsidR="003A4165" w:rsidRPr="00CB2DE6">
        <w:rPr>
          <w:rFonts w:ascii="Times New Roman" w:hAnsi="Times New Roman" w:cs="Times New Roman"/>
          <w:sz w:val="24"/>
          <w:szCs w:val="24"/>
        </w:rPr>
        <w:t>evaluate</w:t>
      </w:r>
      <w:r w:rsidRPr="00CB2DE6">
        <w:rPr>
          <w:rFonts w:ascii="Times New Roman" w:hAnsi="Times New Roman" w:cs="Times New Roman"/>
          <w:sz w:val="24"/>
          <w:szCs w:val="24"/>
        </w:rPr>
        <w:t xml:space="preserve"> this finding by</w:t>
      </w:r>
      <w:r w:rsidR="00C95DBD" w:rsidRPr="00CB2DE6">
        <w:rPr>
          <w:rFonts w:ascii="Times New Roman" w:hAnsi="Times New Roman" w:cs="Times New Roman"/>
          <w:sz w:val="24"/>
          <w:szCs w:val="24"/>
        </w:rPr>
        <w:t xml:space="preserve"> </w:t>
      </w:r>
      <w:r w:rsidR="003A4165" w:rsidRPr="00CB2DE6">
        <w:rPr>
          <w:rFonts w:ascii="Times New Roman" w:hAnsi="Times New Roman" w:cs="Times New Roman"/>
          <w:sz w:val="24"/>
          <w:szCs w:val="24"/>
        </w:rPr>
        <w:t xml:space="preserve">carrying out a battery of </w:t>
      </w:r>
      <w:r w:rsidR="00C95DBD" w:rsidRPr="00CB2DE6">
        <w:rPr>
          <w:rFonts w:ascii="Times New Roman" w:hAnsi="Times New Roman" w:cs="Times New Roman"/>
          <w:sz w:val="24"/>
          <w:szCs w:val="24"/>
        </w:rPr>
        <w:t>additional tests</w:t>
      </w:r>
      <w:r w:rsidR="00044BFF" w:rsidRPr="00CB2DE6">
        <w:rPr>
          <w:rFonts w:ascii="Times New Roman" w:hAnsi="Times New Roman" w:cs="Times New Roman"/>
          <w:sz w:val="24"/>
          <w:szCs w:val="24"/>
        </w:rPr>
        <w:t>.</w:t>
      </w:r>
      <w:r w:rsidR="00C95DBD" w:rsidRPr="00CB2DE6">
        <w:rPr>
          <w:rFonts w:ascii="Times New Roman" w:hAnsi="Times New Roman" w:cs="Times New Roman"/>
          <w:sz w:val="24"/>
          <w:szCs w:val="24"/>
        </w:rPr>
        <w:t xml:space="preserve"> </w:t>
      </w:r>
      <w:r w:rsidR="00B73052" w:rsidRPr="00CB2DE6">
        <w:rPr>
          <w:rFonts w:ascii="Times New Roman" w:hAnsi="Times New Roman" w:cs="Times New Roman"/>
          <w:sz w:val="24"/>
          <w:szCs w:val="24"/>
        </w:rPr>
        <w:t>C</w:t>
      </w:r>
      <w:r w:rsidR="00044BFF" w:rsidRPr="00CB2DE6">
        <w:rPr>
          <w:rFonts w:ascii="Times New Roman" w:hAnsi="Times New Roman" w:cs="Times New Roman"/>
          <w:sz w:val="24"/>
          <w:szCs w:val="24"/>
        </w:rPr>
        <w:t xml:space="preserve">onventional </w:t>
      </w:r>
      <w:r w:rsidR="00C95DBD" w:rsidRPr="00CB2DE6">
        <w:rPr>
          <w:rFonts w:ascii="Times New Roman" w:hAnsi="Times New Roman" w:cs="Times New Roman"/>
          <w:sz w:val="24"/>
          <w:szCs w:val="24"/>
        </w:rPr>
        <w:t>likelihood ratio tests are not easily applicable in our context because the two volatility models are not nested</w:t>
      </w:r>
      <w:r w:rsidR="00B73052" w:rsidRPr="00CB2DE6">
        <w:rPr>
          <w:rFonts w:ascii="Times New Roman" w:hAnsi="Times New Roman" w:cs="Times New Roman"/>
          <w:sz w:val="24"/>
          <w:szCs w:val="24"/>
        </w:rPr>
        <w:t>.</w:t>
      </w:r>
      <w:r w:rsidR="00C95DBD" w:rsidRPr="00CB2DE6">
        <w:rPr>
          <w:rStyle w:val="FootnoteReference"/>
          <w:rFonts w:ascii="Times New Roman" w:hAnsi="Times New Roman" w:cs="Times New Roman"/>
          <w:sz w:val="24"/>
          <w:szCs w:val="24"/>
        </w:rPr>
        <w:footnoteReference w:id="13"/>
      </w:r>
      <w:r w:rsidR="00C95DBD" w:rsidRPr="00CB2DE6">
        <w:rPr>
          <w:rFonts w:ascii="Times New Roman" w:hAnsi="Times New Roman" w:cs="Times New Roman"/>
          <w:sz w:val="24"/>
          <w:szCs w:val="24"/>
        </w:rPr>
        <w:t xml:space="preserve"> </w:t>
      </w:r>
      <w:r w:rsidR="00E67033" w:rsidRPr="00CB2DE6">
        <w:rPr>
          <w:rFonts w:ascii="Times New Roman" w:hAnsi="Times New Roman" w:cs="Times New Roman"/>
          <w:sz w:val="24"/>
          <w:szCs w:val="24"/>
        </w:rPr>
        <w:t>As an alternative, s</w:t>
      </w:r>
      <w:r w:rsidR="00B73052" w:rsidRPr="00CB2DE6">
        <w:rPr>
          <w:rFonts w:ascii="Times New Roman" w:hAnsi="Times New Roman" w:cs="Times New Roman"/>
          <w:sz w:val="24"/>
          <w:szCs w:val="24"/>
        </w:rPr>
        <w:t>everal studies</w:t>
      </w:r>
      <w:r w:rsidR="00E67033" w:rsidRPr="00CB2DE6">
        <w:rPr>
          <w:rFonts w:ascii="Times New Roman" w:hAnsi="Times New Roman" w:cs="Times New Roman"/>
          <w:sz w:val="24"/>
          <w:szCs w:val="24"/>
        </w:rPr>
        <w:t xml:space="preserve"> </w:t>
      </w:r>
      <w:r w:rsidR="00B73052" w:rsidRPr="00CB2DE6">
        <w:rPr>
          <w:rFonts w:ascii="Times New Roman" w:hAnsi="Times New Roman" w:cs="Times New Roman"/>
          <w:sz w:val="24"/>
          <w:szCs w:val="24"/>
        </w:rPr>
        <w:t>have used out-of-sample tests for model validation (</w:t>
      </w:r>
      <w:r w:rsidR="00FD2121" w:rsidRPr="00CB2DE6">
        <w:rPr>
          <w:rFonts w:ascii="Times New Roman" w:hAnsi="Times New Roman" w:cs="Times New Roman"/>
          <w:sz w:val="24"/>
          <w:szCs w:val="24"/>
        </w:rPr>
        <w:t xml:space="preserve">see, among others, </w:t>
      </w:r>
      <w:r w:rsidR="00B73052" w:rsidRPr="00CB2DE6">
        <w:rPr>
          <w:rFonts w:ascii="Times New Roman" w:hAnsi="Times New Roman" w:cs="Times New Roman"/>
          <w:sz w:val="24"/>
          <w:szCs w:val="24"/>
        </w:rPr>
        <w:t>Inoue and Kilian</w:t>
      </w:r>
      <w:r w:rsidR="00674B5A" w:rsidRPr="00CB2DE6">
        <w:rPr>
          <w:rFonts w:ascii="Times New Roman" w:hAnsi="Times New Roman" w:cs="Times New Roman"/>
          <w:sz w:val="24"/>
          <w:szCs w:val="24"/>
        </w:rPr>
        <w:t xml:space="preserve"> (</w:t>
      </w:r>
      <w:r w:rsidR="00B73052" w:rsidRPr="00CB2DE6">
        <w:rPr>
          <w:rFonts w:ascii="Times New Roman" w:hAnsi="Times New Roman" w:cs="Times New Roman"/>
          <w:sz w:val="24"/>
          <w:szCs w:val="24"/>
        </w:rPr>
        <w:t>2004</w:t>
      </w:r>
      <w:r w:rsidR="00674B5A" w:rsidRPr="00CB2DE6">
        <w:rPr>
          <w:rFonts w:ascii="Times New Roman" w:hAnsi="Times New Roman" w:cs="Times New Roman"/>
          <w:sz w:val="24"/>
          <w:szCs w:val="24"/>
        </w:rPr>
        <w:t xml:space="preserve">, </w:t>
      </w:r>
      <w:r w:rsidR="00B73052" w:rsidRPr="00CB2DE6">
        <w:rPr>
          <w:rFonts w:ascii="Times New Roman" w:hAnsi="Times New Roman" w:cs="Times New Roman"/>
          <w:sz w:val="24"/>
          <w:szCs w:val="24"/>
        </w:rPr>
        <w:t>2006</w:t>
      </w:r>
      <w:r w:rsidR="00674B5A" w:rsidRPr="00CB2DE6">
        <w:rPr>
          <w:rFonts w:ascii="Times New Roman" w:hAnsi="Times New Roman" w:cs="Times New Roman"/>
          <w:sz w:val="24"/>
          <w:szCs w:val="24"/>
        </w:rPr>
        <w:t xml:space="preserve">), </w:t>
      </w:r>
      <w:r w:rsidR="00B73052" w:rsidRPr="00CB2DE6">
        <w:rPr>
          <w:rFonts w:ascii="Times New Roman" w:hAnsi="Times New Roman" w:cs="Times New Roman"/>
          <w:sz w:val="24"/>
          <w:szCs w:val="24"/>
        </w:rPr>
        <w:t>Caporin and McAleer</w:t>
      </w:r>
      <w:r w:rsidR="00674B5A" w:rsidRPr="00CB2DE6">
        <w:rPr>
          <w:rFonts w:ascii="Times New Roman" w:hAnsi="Times New Roman" w:cs="Times New Roman"/>
          <w:sz w:val="24"/>
          <w:szCs w:val="24"/>
        </w:rPr>
        <w:t xml:space="preserve"> (</w:t>
      </w:r>
      <w:r w:rsidR="00B73052" w:rsidRPr="00CB2DE6">
        <w:rPr>
          <w:rFonts w:ascii="Times New Roman" w:hAnsi="Times New Roman" w:cs="Times New Roman"/>
          <w:sz w:val="24"/>
          <w:szCs w:val="24"/>
        </w:rPr>
        <w:t>2010</w:t>
      </w:r>
      <w:r w:rsidR="00674B5A" w:rsidRPr="00CB2DE6">
        <w:rPr>
          <w:rFonts w:ascii="Times New Roman" w:hAnsi="Times New Roman" w:cs="Times New Roman"/>
          <w:sz w:val="24"/>
          <w:szCs w:val="24"/>
        </w:rPr>
        <w:t>),</w:t>
      </w:r>
      <w:r w:rsidR="00B73052" w:rsidRPr="00CB2DE6">
        <w:rPr>
          <w:rFonts w:ascii="Times New Roman" w:hAnsi="Times New Roman" w:cs="Times New Roman"/>
          <w:sz w:val="24"/>
          <w:szCs w:val="24"/>
        </w:rPr>
        <w:t xml:space="preserve"> and the references therein). </w:t>
      </w:r>
      <w:r w:rsidR="00E67033" w:rsidRPr="00CB2DE6">
        <w:rPr>
          <w:rFonts w:ascii="Times New Roman" w:hAnsi="Times New Roman" w:cs="Times New Roman"/>
          <w:sz w:val="24"/>
          <w:szCs w:val="24"/>
        </w:rPr>
        <w:t xml:space="preserve">In fact, </w:t>
      </w:r>
      <w:r w:rsidR="005D5BE9">
        <w:rPr>
          <w:rFonts w:ascii="Times New Roman" w:hAnsi="Times New Roman" w:cs="Times New Roman"/>
          <w:sz w:val="24"/>
          <w:szCs w:val="24"/>
        </w:rPr>
        <w:t>out-of-sample forecasting tests</w:t>
      </w:r>
      <w:r w:rsidR="00B73052" w:rsidRPr="00CB2DE6">
        <w:rPr>
          <w:rFonts w:ascii="Times New Roman" w:hAnsi="Times New Roman" w:cs="Times New Roman"/>
          <w:sz w:val="24"/>
          <w:szCs w:val="24"/>
        </w:rPr>
        <w:t xml:space="preserve"> allow</w:t>
      </w:r>
      <w:r w:rsidR="00E67033" w:rsidRPr="00CB2DE6">
        <w:rPr>
          <w:rFonts w:ascii="Times New Roman" w:hAnsi="Times New Roman" w:cs="Times New Roman"/>
          <w:sz w:val="24"/>
          <w:szCs w:val="24"/>
        </w:rPr>
        <w:t>ed</w:t>
      </w:r>
      <w:r w:rsidR="00B73052" w:rsidRPr="00CB2DE6">
        <w:rPr>
          <w:rFonts w:ascii="Times New Roman" w:hAnsi="Times New Roman" w:cs="Times New Roman"/>
          <w:sz w:val="24"/>
          <w:szCs w:val="24"/>
        </w:rPr>
        <w:t xml:space="preserve"> </w:t>
      </w:r>
      <w:r w:rsidR="00E67033" w:rsidRPr="00CB2DE6">
        <w:rPr>
          <w:rFonts w:ascii="Times New Roman" w:hAnsi="Times New Roman" w:cs="Times New Roman"/>
          <w:sz w:val="24"/>
          <w:szCs w:val="24"/>
        </w:rPr>
        <w:t xml:space="preserve">researchers to </w:t>
      </w:r>
      <w:r w:rsidR="00B73052" w:rsidRPr="00CB2DE6">
        <w:rPr>
          <w:rFonts w:ascii="Times New Roman" w:hAnsi="Times New Roman" w:cs="Times New Roman"/>
          <w:sz w:val="24"/>
          <w:szCs w:val="24"/>
        </w:rPr>
        <w:t xml:space="preserve">circumvent the inference problems associated with testing non-nested models. </w:t>
      </w:r>
      <w:r w:rsidR="005D5BE9">
        <w:rPr>
          <w:rFonts w:ascii="Times New Roman" w:hAnsi="Times New Roman" w:cs="Times New Roman"/>
          <w:sz w:val="24"/>
          <w:szCs w:val="24"/>
        </w:rPr>
        <w:t>Along this line of reasoning</w:t>
      </w:r>
      <w:r w:rsidR="00B73052" w:rsidRPr="00CB2DE6">
        <w:rPr>
          <w:rFonts w:ascii="Times New Roman" w:hAnsi="Times New Roman" w:cs="Times New Roman"/>
          <w:sz w:val="24"/>
          <w:szCs w:val="24"/>
        </w:rPr>
        <w:t xml:space="preserve">, we </w:t>
      </w:r>
      <w:r w:rsidR="00E67033" w:rsidRPr="00CB2DE6">
        <w:rPr>
          <w:rFonts w:ascii="Times New Roman" w:hAnsi="Times New Roman" w:cs="Times New Roman"/>
          <w:sz w:val="24"/>
          <w:szCs w:val="24"/>
        </w:rPr>
        <w:t>carry out</w:t>
      </w:r>
      <w:r w:rsidR="00C95DBD" w:rsidRPr="00CB2DE6">
        <w:rPr>
          <w:rFonts w:ascii="Times New Roman" w:hAnsi="Times New Roman" w:cs="Times New Roman"/>
          <w:sz w:val="24"/>
          <w:szCs w:val="24"/>
        </w:rPr>
        <w:t xml:space="preserve"> </w:t>
      </w:r>
      <w:r w:rsidR="00E67033" w:rsidRPr="00CB2DE6">
        <w:rPr>
          <w:rFonts w:ascii="Times New Roman" w:hAnsi="Times New Roman" w:cs="Times New Roman"/>
          <w:sz w:val="24"/>
          <w:szCs w:val="24"/>
        </w:rPr>
        <w:t>the</w:t>
      </w:r>
      <w:r w:rsidR="00C95DBD" w:rsidRPr="00CB2DE6">
        <w:rPr>
          <w:rFonts w:ascii="Times New Roman" w:hAnsi="Times New Roman" w:cs="Times New Roman"/>
          <w:sz w:val="24"/>
          <w:szCs w:val="24"/>
        </w:rPr>
        <w:t xml:space="preserve"> test</w:t>
      </w:r>
      <w:r w:rsidR="00516D8D" w:rsidRPr="00CB2DE6">
        <w:rPr>
          <w:rFonts w:ascii="Times New Roman" w:hAnsi="Times New Roman" w:cs="Times New Roman"/>
          <w:sz w:val="24"/>
          <w:szCs w:val="24"/>
        </w:rPr>
        <w:t xml:space="preserve">ing procedure </w:t>
      </w:r>
      <w:r w:rsidR="00B73052" w:rsidRPr="00CB2DE6">
        <w:rPr>
          <w:rFonts w:ascii="Times New Roman" w:hAnsi="Times New Roman" w:cs="Times New Roman"/>
          <w:sz w:val="24"/>
          <w:szCs w:val="24"/>
        </w:rPr>
        <w:t xml:space="preserve">recently </w:t>
      </w:r>
      <w:r w:rsidR="00C95DBD" w:rsidRPr="00CB2DE6">
        <w:rPr>
          <w:rFonts w:ascii="Times New Roman" w:hAnsi="Times New Roman" w:cs="Times New Roman"/>
          <w:sz w:val="24"/>
          <w:szCs w:val="24"/>
        </w:rPr>
        <w:t>proposed by Patton (2011)</w:t>
      </w:r>
      <w:r w:rsidR="00516D8D" w:rsidRPr="00CB2DE6">
        <w:rPr>
          <w:rFonts w:ascii="Times New Roman" w:hAnsi="Times New Roman" w:cs="Times New Roman"/>
          <w:sz w:val="24"/>
          <w:szCs w:val="24"/>
        </w:rPr>
        <w:t xml:space="preserve"> </w:t>
      </w:r>
      <w:r w:rsidR="00C95DBD" w:rsidRPr="00CB2DE6">
        <w:rPr>
          <w:rFonts w:ascii="Times New Roman" w:hAnsi="Times New Roman" w:cs="Times New Roman"/>
          <w:sz w:val="24"/>
          <w:szCs w:val="24"/>
        </w:rPr>
        <w:t xml:space="preserve">for </w:t>
      </w:r>
      <w:r w:rsidR="00E67033" w:rsidRPr="00CB2DE6">
        <w:rPr>
          <w:rFonts w:ascii="Times New Roman" w:hAnsi="Times New Roman" w:cs="Times New Roman"/>
          <w:sz w:val="24"/>
          <w:szCs w:val="24"/>
        </w:rPr>
        <w:t xml:space="preserve">testing </w:t>
      </w:r>
      <w:r w:rsidR="00C95DBD" w:rsidRPr="00CB2DE6">
        <w:rPr>
          <w:rFonts w:ascii="Times New Roman" w:hAnsi="Times New Roman" w:cs="Times New Roman"/>
          <w:sz w:val="24"/>
          <w:szCs w:val="24"/>
        </w:rPr>
        <w:t xml:space="preserve">the null </w:t>
      </w:r>
      <w:r w:rsidR="00E67033" w:rsidRPr="00CB2DE6">
        <w:rPr>
          <w:rFonts w:ascii="Times New Roman" w:hAnsi="Times New Roman" w:cs="Times New Roman"/>
          <w:sz w:val="24"/>
          <w:szCs w:val="24"/>
        </w:rPr>
        <w:t xml:space="preserve">hypothesis </w:t>
      </w:r>
      <w:r w:rsidR="00C95DBD" w:rsidRPr="00CB2DE6">
        <w:rPr>
          <w:rFonts w:ascii="Times New Roman" w:hAnsi="Times New Roman" w:cs="Times New Roman"/>
          <w:sz w:val="24"/>
          <w:szCs w:val="24"/>
        </w:rPr>
        <w:t xml:space="preserve">of equal predictions originating from </w:t>
      </w:r>
      <w:r w:rsidR="00B73052" w:rsidRPr="00CB2DE6">
        <w:rPr>
          <w:rFonts w:ascii="Times New Roman" w:hAnsi="Times New Roman" w:cs="Times New Roman"/>
          <w:sz w:val="24"/>
          <w:szCs w:val="24"/>
        </w:rPr>
        <w:t>volatility models</w:t>
      </w:r>
      <w:r w:rsidR="00C95DBD" w:rsidRPr="00CB2DE6">
        <w:rPr>
          <w:rFonts w:ascii="Times New Roman" w:hAnsi="Times New Roman" w:cs="Times New Roman"/>
          <w:sz w:val="24"/>
          <w:szCs w:val="24"/>
        </w:rPr>
        <w:t xml:space="preserve"> even in the presence of imperfect volatility proxies.</w:t>
      </w:r>
      <w:r w:rsidR="00D03147" w:rsidRPr="00DE019C">
        <w:rPr>
          <w:rStyle w:val="FootnoteReference"/>
          <w:rFonts w:ascii="Times New Roman" w:hAnsi="Times New Roman" w:cs="Times New Roman"/>
          <w:sz w:val="24"/>
          <w:szCs w:val="24"/>
        </w:rPr>
        <w:footnoteReference w:id="14"/>
      </w:r>
      <w:r w:rsidR="00D03147">
        <w:rPr>
          <w:rFonts w:ascii="Times New Roman" w:hAnsi="Times New Roman" w:cs="Times New Roman"/>
          <w:sz w:val="24"/>
          <w:szCs w:val="24"/>
        </w:rPr>
        <w:t xml:space="preserve"> </w:t>
      </w:r>
    </w:p>
    <w:p w:rsidR="005D5BE9" w:rsidRDefault="00C95DBD" w:rsidP="00736D2C">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The results of </w:t>
      </w:r>
      <w:r w:rsidR="00B73052" w:rsidRPr="00CB2DE6">
        <w:rPr>
          <w:rFonts w:ascii="Times New Roman" w:hAnsi="Times New Roman" w:cs="Times New Roman"/>
          <w:sz w:val="24"/>
          <w:szCs w:val="24"/>
        </w:rPr>
        <w:t>this exercise</w:t>
      </w:r>
      <w:r w:rsidRPr="00CB2DE6">
        <w:rPr>
          <w:rFonts w:ascii="Times New Roman" w:hAnsi="Times New Roman" w:cs="Times New Roman"/>
          <w:sz w:val="24"/>
          <w:szCs w:val="24"/>
        </w:rPr>
        <w:t xml:space="preserve"> are reported in Panel A of Table </w:t>
      </w:r>
      <w:r w:rsidR="00B73052" w:rsidRPr="00CB2DE6">
        <w:rPr>
          <w:rFonts w:ascii="Times New Roman" w:hAnsi="Times New Roman" w:cs="Times New Roman"/>
          <w:sz w:val="24"/>
          <w:szCs w:val="24"/>
        </w:rPr>
        <w:t>4</w:t>
      </w:r>
      <w:r w:rsidRPr="00CB2DE6">
        <w:rPr>
          <w:rFonts w:ascii="Times New Roman" w:hAnsi="Times New Roman" w:cs="Times New Roman"/>
          <w:sz w:val="24"/>
          <w:szCs w:val="24"/>
        </w:rPr>
        <w:t>. The test</w:t>
      </w:r>
      <w:r w:rsidR="007F627F" w:rsidRPr="00CB2DE6">
        <w:rPr>
          <w:rFonts w:ascii="Times New Roman" w:hAnsi="Times New Roman" w:cs="Times New Roman"/>
          <w:sz w:val="24"/>
          <w:szCs w:val="24"/>
        </w:rPr>
        <w:t xml:space="preserve"> statistics </w:t>
      </w:r>
      <w:r w:rsidRPr="00CB2DE6">
        <w:rPr>
          <w:rFonts w:ascii="Times New Roman" w:hAnsi="Times New Roman" w:cs="Times New Roman"/>
          <w:sz w:val="24"/>
          <w:szCs w:val="24"/>
        </w:rPr>
        <w:t xml:space="preserve">are computed for different </w:t>
      </w:r>
      <w:r w:rsidR="007F627F" w:rsidRPr="00CB2DE6">
        <w:rPr>
          <w:rFonts w:ascii="Times New Roman" w:hAnsi="Times New Roman" w:cs="Times New Roman"/>
          <w:sz w:val="24"/>
          <w:szCs w:val="24"/>
        </w:rPr>
        <w:t xml:space="preserve">functional form </w:t>
      </w:r>
      <w:r w:rsidRPr="00CB2DE6">
        <w:rPr>
          <w:rFonts w:ascii="Times New Roman" w:hAnsi="Times New Roman" w:cs="Times New Roman"/>
          <w:sz w:val="24"/>
          <w:szCs w:val="24"/>
        </w:rPr>
        <w:t>of the loss function, as suggested in Patton (2011, p</w:t>
      </w:r>
      <w:r w:rsidR="00117130" w:rsidRPr="00CB2DE6">
        <w:rPr>
          <w:rFonts w:ascii="Times New Roman" w:hAnsi="Times New Roman" w:cs="Times New Roman"/>
          <w:sz w:val="24"/>
          <w:szCs w:val="24"/>
        </w:rPr>
        <w:t>p</w:t>
      </w:r>
      <w:r w:rsidRPr="00CB2DE6">
        <w:rPr>
          <w:rFonts w:ascii="Times New Roman" w:hAnsi="Times New Roman" w:cs="Times New Roman"/>
          <w:sz w:val="24"/>
          <w:szCs w:val="24"/>
        </w:rPr>
        <w:t xml:space="preserve">. </w:t>
      </w:r>
      <w:r w:rsidR="00117130" w:rsidRPr="00CB2DE6">
        <w:rPr>
          <w:rFonts w:ascii="Times New Roman" w:hAnsi="Times New Roman" w:cs="Times New Roman"/>
          <w:sz w:val="24"/>
          <w:szCs w:val="24"/>
        </w:rPr>
        <w:t>252−</w:t>
      </w:r>
      <w:r w:rsidRPr="00CB2DE6">
        <w:rPr>
          <w:rFonts w:ascii="Times New Roman" w:hAnsi="Times New Roman" w:cs="Times New Roman"/>
          <w:sz w:val="24"/>
          <w:szCs w:val="24"/>
        </w:rPr>
        <w:t xml:space="preserve">253), and for </w:t>
      </w:r>
      <w:r w:rsidR="00044BFF" w:rsidRPr="00CB2DE6">
        <w:rPr>
          <w:rFonts w:ascii="Times New Roman" w:hAnsi="Times New Roman" w:cs="Times New Roman"/>
          <w:sz w:val="24"/>
          <w:szCs w:val="24"/>
        </w:rPr>
        <w:t xml:space="preserve">global FX </w:t>
      </w:r>
      <w:r w:rsidRPr="00CB2DE6">
        <w:rPr>
          <w:rFonts w:ascii="Times New Roman" w:hAnsi="Times New Roman" w:cs="Times New Roman"/>
          <w:sz w:val="24"/>
          <w:szCs w:val="24"/>
        </w:rPr>
        <w:t xml:space="preserve">volatility forecasts computed both at daily and monthly frequencies. In all cases, the null of equality of volatility predictions originating from the </w:t>
      </w:r>
      <w:r w:rsidR="00044BFF" w:rsidRPr="00CB2DE6">
        <w:rPr>
          <w:rFonts w:ascii="Times New Roman" w:hAnsi="Times New Roman" w:cs="Times New Roman"/>
          <w:sz w:val="24"/>
          <w:szCs w:val="24"/>
        </w:rPr>
        <w:t>C</w:t>
      </w:r>
      <w:r w:rsidRPr="00CB2DE6">
        <w:rPr>
          <w:rFonts w:ascii="Times New Roman" w:hAnsi="Times New Roman" w:cs="Times New Roman"/>
          <w:sz w:val="24"/>
          <w:szCs w:val="24"/>
        </w:rPr>
        <w:t xml:space="preserve">GARCH and </w:t>
      </w:r>
      <w:r w:rsidR="00044BFF" w:rsidRPr="00CB2DE6">
        <w:rPr>
          <w:rFonts w:ascii="Times New Roman" w:hAnsi="Times New Roman" w:cs="Times New Roman"/>
          <w:sz w:val="24"/>
          <w:szCs w:val="24"/>
        </w:rPr>
        <w:t>C</w:t>
      </w:r>
      <w:r w:rsidRPr="00CB2DE6">
        <w:rPr>
          <w:rFonts w:ascii="Times New Roman" w:hAnsi="Times New Roman" w:cs="Times New Roman"/>
          <w:sz w:val="24"/>
          <w:szCs w:val="24"/>
        </w:rPr>
        <w:t>EGARCH models cannot be rejected</w:t>
      </w:r>
      <w:r w:rsidR="005B1317" w:rsidRPr="00CB2DE6">
        <w:rPr>
          <w:rFonts w:ascii="Times New Roman" w:hAnsi="Times New Roman" w:cs="Times New Roman"/>
          <w:sz w:val="24"/>
          <w:szCs w:val="24"/>
        </w:rPr>
        <w:t xml:space="preserve"> at any conventional level</w:t>
      </w:r>
      <w:r w:rsidRPr="00CB2DE6">
        <w:rPr>
          <w:rFonts w:ascii="Times New Roman" w:hAnsi="Times New Roman" w:cs="Times New Roman"/>
          <w:sz w:val="24"/>
          <w:szCs w:val="24"/>
        </w:rPr>
        <w:t xml:space="preserve">. This </w:t>
      </w:r>
      <w:r w:rsidR="00B73052" w:rsidRPr="00CB2DE6">
        <w:rPr>
          <w:rFonts w:ascii="Times New Roman" w:hAnsi="Times New Roman" w:cs="Times New Roman"/>
          <w:sz w:val="24"/>
          <w:szCs w:val="24"/>
        </w:rPr>
        <w:t>suggests</w:t>
      </w:r>
      <w:r w:rsidRPr="00CB2DE6">
        <w:rPr>
          <w:rFonts w:ascii="Times New Roman" w:hAnsi="Times New Roman" w:cs="Times New Roman"/>
          <w:sz w:val="24"/>
          <w:szCs w:val="24"/>
        </w:rPr>
        <w:t xml:space="preserve"> that </w:t>
      </w:r>
      <w:r w:rsidR="00044BFF" w:rsidRPr="00CB2DE6">
        <w:rPr>
          <w:rFonts w:ascii="Times New Roman" w:hAnsi="Times New Roman" w:cs="Times New Roman"/>
          <w:sz w:val="24"/>
          <w:szCs w:val="24"/>
        </w:rPr>
        <w:t xml:space="preserve">the </w:t>
      </w:r>
      <w:r w:rsidRPr="00CB2DE6">
        <w:rPr>
          <w:rFonts w:ascii="Times New Roman" w:hAnsi="Times New Roman" w:cs="Times New Roman"/>
          <w:sz w:val="24"/>
          <w:szCs w:val="24"/>
        </w:rPr>
        <w:t xml:space="preserve">more </w:t>
      </w:r>
      <w:r w:rsidR="00044BFF" w:rsidRPr="00CB2DE6">
        <w:rPr>
          <w:rFonts w:ascii="Times New Roman" w:hAnsi="Times New Roman" w:cs="Times New Roman"/>
          <w:sz w:val="24"/>
          <w:szCs w:val="24"/>
        </w:rPr>
        <w:t xml:space="preserve">parsimonious </w:t>
      </w:r>
      <w:r w:rsidR="00B73052" w:rsidRPr="00CB2DE6">
        <w:rPr>
          <w:rFonts w:ascii="Times New Roman" w:hAnsi="Times New Roman" w:cs="Times New Roman"/>
          <w:sz w:val="24"/>
          <w:szCs w:val="24"/>
        </w:rPr>
        <w:t xml:space="preserve">CGARCH </w:t>
      </w:r>
      <w:r w:rsidR="00044BFF" w:rsidRPr="00CB2DE6">
        <w:rPr>
          <w:rFonts w:ascii="Times New Roman" w:hAnsi="Times New Roman" w:cs="Times New Roman"/>
          <w:sz w:val="24"/>
          <w:szCs w:val="24"/>
        </w:rPr>
        <w:t>model</w:t>
      </w:r>
      <w:r w:rsidRPr="00CB2DE6">
        <w:rPr>
          <w:rFonts w:ascii="Times New Roman" w:hAnsi="Times New Roman" w:cs="Times New Roman"/>
          <w:sz w:val="24"/>
          <w:szCs w:val="24"/>
        </w:rPr>
        <w:t xml:space="preserve"> is able to generate forecasts which are not statistically different from the ones generated from the richer </w:t>
      </w:r>
      <w:r w:rsidR="00044BFF" w:rsidRPr="00CB2DE6">
        <w:rPr>
          <w:rFonts w:ascii="Times New Roman" w:hAnsi="Times New Roman" w:cs="Times New Roman"/>
          <w:sz w:val="24"/>
          <w:szCs w:val="24"/>
        </w:rPr>
        <w:t>C</w:t>
      </w:r>
      <w:r w:rsidRPr="00CB2DE6">
        <w:rPr>
          <w:rFonts w:ascii="Times New Roman" w:hAnsi="Times New Roman" w:cs="Times New Roman"/>
          <w:sz w:val="24"/>
          <w:szCs w:val="24"/>
        </w:rPr>
        <w:t>EGARCH</w:t>
      </w:r>
      <w:r w:rsidR="004C2474" w:rsidRPr="00CB2DE6">
        <w:rPr>
          <w:rFonts w:ascii="Times New Roman" w:hAnsi="Times New Roman" w:cs="Times New Roman"/>
          <w:sz w:val="24"/>
          <w:szCs w:val="24"/>
        </w:rPr>
        <w:t xml:space="preserve"> model</w:t>
      </w:r>
      <w:r w:rsidRPr="00CB2DE6">
        <w:rPr>
          <w:rFonts w:ascii="Times New Roman" w:hAnsi="Times New Roman" w:cs="Times New Roman"/>
          <w:sz w:val="24"/>
          <w:szCs w:val="24"/>
        </w:rPr>
        <w:t xml:space="preserve">. </w:t>
      </w:r>
      <w:r w:rsidR="00736D2C" w:rsidRPr="00736D2C">
        <w:rPr>
          <w:rFonts w:ascii="Times New Roman" w:hAnsi="Times New Roman" w:cs="Times New Roman"/>
          <w:sz w:val="24"/>
          <w:szCs w:val="24"/>
        </w:rPr>
        <w:t>Moreover, the out-of-sample predictions (both</w:t>
      </w:r>
      <w:r w:rsidR="00736D2C">
        <w:rPr>
          <w:rFonts w:ascii="Times New Roman" w:hAnsi="Times New Roman" w:cs="Times New Roman"/>
          <w:sz w:val="24"/>
          <w:szCs w:val="24"/>
        </w:rPr>
        <w:t xml:space="preserve"> </w:t>
      </w:r>
      <w:r w:rsidR="00736D2C" w:rsidRPr="00736D2C">
        <w:rPr>
          <w:rFonts w:ascii="Times New Roman" w:hAnsi="Times New Roman" w:cs="Times New Roman"/>
          <w:sz w:val="24"/>
          <w:szCs w:val="24"/>
        </w:rPr>
        <w:t>at daily and monthly frequencies) of the short- and long-run</w:t>
      </w:r>
      <w:r w:rsidR="00736D2C">
        <w:rPr>
          <w:rFonts w:ascii="Times New Roman" w:hAnsi="Times New Roman" w:cs="Times New Roman"/>
          <w:sz w:val="24"/>
          <w:szCs w:val="24"/>
        </w:rPr>
        <w:t xml:space="preserve"> </w:t>
      </w:r>
      <w:r w:rsidR="00736D2C" w:rsidRPr="00736D2C">
        <w:rPr>
          <w:rFonts w:ascii="Times New Roman" w:hAnsi="Times New Roman" w:cs="Times New Roman"/>
          <w:sz w:val="24"/>
          <w:szCs w:val="24"/>
        </w:rPr>
        <w:t>volatilities generated by the CGARCH model are highly correlated</w:t>
      </w:r>
      <w:r w:rsidR="00736D2C">
        <w:rPr>
          <w:rFonts w:ascii="Times New Roman" w:hAnsi="Times New Roman" w:cs="Times New Roman"/>
          <w:sz w:val="24"/>
          <w:szCs w:val="24"/>
        </w:rPr>
        <w:t xml:space="preserve"> </w:t>
      </w:r>
      <w:r w:rsidR="00736D2C" w:rsidRPr="00736D2C">
        <w:rPr>
          <w:rFonts w:ascii="Times New Roman" w:hAnsi="Times New Roman" w:cs="Times New Roman"/>
          <w:sz w:val="24"/>
          <w:szCs w:val="24"/>
        </w:rPr>
        <w:t>with those generated by the CEGARCH model. The correlation</w:t>
      </w:r>
      <w:r w:rsidR="00736D2C">
        <w:rPr>
          <w:rFonts w:ascii="Times New Roman" w:hAnsi="Times New Roman" w:cs="Times New Roman"/>
          <w:sz w:val="24"/>
          <w:szCs w:val="24"/>
        </w:rPr>
        <w:t xml:space="preserve"> </w:t>
      </w:r>
      <w:r w:rsidR="00736D2C" w:rsidRPr="00736D2C">
        <w:rPr>
          <w:rFonts w:ascii="Times New Roman" w:hAnsi="Times New Roman" w:cs="Times New Roman"/>
          <w:sz w:val="24"/>
          <w:szCs w:val="24"/>
        </w:rPr>
        <w:t>exceeds +80% in all cases.</w:t>
      </w:r>
      <w:r w:rsidR="002B75A9" w:rsidRPr="00CB2DE6">
        <w:rPr>
          <w:rFonts w:ascii="Times New Roman" w:hAnsi="Times New Roman" w:cs="Times New Roman"/>
          <w:sz w:val="24"/>
          <w:szCs w:val="24"/>
        </w:rPr>
        <w:t xml:space="preserve"> </w:t>
      </w:r>
    </w:p>
    <w:p w:rsidR="00C95DBD" w:rsidRPr="00CB2DE6" w:rsidRDefault="005D5BE9" w:rsidP="00A26792">
      <w:pPr>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light of these results</w:t>
      </w:r>
      <w:r w:rsidR="00C95DBD" w:rsidRPr="00CB2DE6">
        <w:rPr>
          <w:rFonts w:ascii="Times New Roman" w:hAnsi="Times New Roman" w:cs="Times New Roman"/>
          <w:sz w:val="24"/>
          <w:szCs w:val="24"/>
        </w:rPr>
        <w:t xml:space="preserve">, </w:t>
      </w:r>
      <w:r>
        <w:rPr>
          <w:rFonts w:ascii="Times New Roman" w:hAnsi="Times New Roman" w:cs="Times New Roman"/>
          <w:sz w:val="24"/>
          <w:szCs w:val="24"/>
        </w:rPr>
        <w:t>and consistent with a parsimony argument, we will use a</w:t>
      </w:r>
      <w:r w:rsidR="00C95DBD" w:rsidRPr="00CB2DE6">
        <w:rPr>
          <w:rFonts w:ascii="Times New Roman" w:hAnsi="Times New Roman" w:cs="Times New Roman"/>
          <w:sz w:val="24"/>
          <w:szCs w:val="24"/>
        </w:rPr>
        <w:t xml:space="preserve"> </w:t>
      </w:r>
      <w:r w:rsidR="004C2474" w:rsidRPr="00CB2DE6">
        <w:rPr>
          <w:rFonts w:ascii="Times New Roman" w:hAnsi="Times New Roman" w:cs="Times New Roman"/>
          <w:sz w:val="24"/>
          <w:szCs w:val="24"/>
        </w:rPr>
        <w:t>C</w:t>
      </w:r>
      <w:r w:rsidR="00C95DBD" w:rsidRPr="00CB2DE6">
        <w:rPr>
          <w:rFonts w:ascii="Times New Roman" w:hAnsi="Times New Roman" w:cs="Times New Roman"/>
          <w:sz w:val="24"/>
          <w:szCs w:val="24"/>
        </w:rPr>
        <w:t xml:space="preserve">GARCH model </w:t>
      </w:r>
      <w:r w:rsidR="00624221" w:rsidRPr="00CB2DE6">
        <w:rPr>
          <w:rFonts w:ascii="Times New Roman" w:hAnsi="Times New Roman" w:cs="Times New Roman"/>
          <w:sz w:val="24"/>
          <w:szCs w:val="24"/>
        </w:rPr>
        <w:t xml:space="preserve">in the subsequent </w:t>
      </w:r>
      <w:r w:rsidR="003233C3">
        <w:rPr>
          <w:rFonts w:ascii="Times New Roman" w:hAnsi="Times New Roman" w:cs="Times New Roman"/>
          <w:sz w:val="24"/>
          <w:szCs w:val="24"/>
        </w:rPr>
        <w:t xml:space="preserve">sections </w:t>
      </w:r>
      <w:r w:rsidR="00624221" w:rsidRPr="00CB2DE6">
        <w:rPr>
          <w:rFonts w:ascii="Times New Roman" w:hAnsi="Times New Roman" w:cs="Times New Roman"/>
          <w:sz w:val="24"/>
          <w:szCs w:val="24"/>
        </w:rPr>
        <w:t xml:space="preserve">of this </w:t>
      </w:r>
      <w:r w:rsidR="003233C3">
        <w:rPr>
          <w:rFonts w:ascii="Times New Roman" w:hAnsi="Times New Roman" w:cs="Times New Roman"/>
          <w:sz w:val="24"/>
          <w:szCs w:val="24"/>
        </w:rPr>
        <w:t xml:space="preserve">paper </w:t>
      </w:r>
      <w:r w:rsidR="00C95DBD" w:rsidRPr="00CB2DE6">
        <w:rPr>
          <w:rFonts w:ascii="Times New Roman" w:hAnsi="Times New Roman" w:cs="Times New Roman"/>
          <w:sz w:val="24"/>
          <w:szCs w:val="24"/>
        </w:rPr>
        <w:t xml:space="preserve">to explore the asset pricing effects </w:t>
      </w:r>
      <w:r w:rsidR="002B75A9" w:rsidRPr="00CB2DE6">
        <w:rPr>
          <w:rFonts w:ascii="Times New Roman" w:hAnsi="Times New Roman" w:cs="Times New Roman"/>
          <w:sz w:val="24"/>
          <w:szCs w:val="24"/>
        </w:rPr>
        <w:t xml:space="preserve">of </w:t>
      </w:r>
      <w:r w:rsidR="00C95DBD" w:rsidRPr="00CB2DE6">
        <w:rPr>
          <w:rFonts w:ascii="Times New Roman" w:hAnsi="Times New Roman" w:cs="Times New Roman"/>
          <w:sz w:val="24"/>
          <w:szCs w:val="24"/>
        </w:rPr>
        <w:t xml:space="preserve">FX volatility </w:t>
      </w:r>
      <w:r w:rsidR="00523F1C">
        <w:rPr>
          <w:rFonts w:ascii="Times New Roman" w:hAnsi="Times New Roman" w:cs="Times New Roman"/>
          <w:sz w:val="24"/>
          <w:szCs w:val="24"/>
        </w:rPr>
        <w:t xml:space="preserve">risk </w:t>
      </w:r>
      <w:r w:rsidR="00516D8D" w:rsidRPr="00CB2DE6">
        <w:rPr>
          <w:rFonts w:ascii="Times New Roman" w:hAnsi="Times New Roman" w:cs="Times New Roman"/>
          <w:sz w:val="24"/>
          <w:szCs w:val="24"/>
        </w:rPr>
        <w:t xml:space="preserve">in </w:t>
      </w:r>
      <w:r w:rsidR="00C95DBD" w:rsidRPr="00CB2DE6">
        <w:rPr>
          <w:rFonts w:ascii="Times New Roman" w:hAnsi="Times New Roman" w:cs="Times New Roman"/>
          <w:sz w:val="24"/>
          <w:szCs w:val="24"/>
        </w:rPr>
        <w:t xml:space="preserve">the cross-section of carry trade </w:t>
      </w:r>
      <w:r w:rsidR="00E339A0">
        <w:rPr>
          <w:rFonts w:ascii="Times New Roman" w:hAnsi="Times New Roman" w:cs="Times New Roman"/>
          <w:sz w:val="24"/>
          <w:szCs w:val="24"/>
        </w:rPr>
        <w:t>returns</w:t>
      </w:r>
      <w:r w:rsidR="00C95DBD" w:rsidRPr="00CB2DE6">
        <w:rPr>
          <w:rFonts w:ascii="Times New Roman" w:hAnsi="Times New Roman" w:cs="Times New Roman"/>
          <w:sz w:val="24"/>
          <w:szCs w:val="24"/>
        </w:rPr>
        <w:t>.</w:t>
      </w:r>
      <w:r w:rsidR="00C95DBD" w:rsidRPr="00CB2DE6">
        <w:rPr>
          <w:rStyle w:val="FootnoteReference"/>
          <w:rFonts w:ascii="Times New Roman" w:hAnsi="Times New Roman" w:cs="Times New Roman"/>
          <w:sz w:val="24"/>
          <w:szCs w:val="24"/>
        </w:rPr>
        <w:footnoteReference w:id="15"/>
      </w:r>
      <w:r w:rsidR="00C95DBD" w:rsidRPr="00CB2DE6">
        <w:rPr>
          <w:rFonts w:ascii="Times New Roman" w:hAnsi="Times New Roman" w:cs="Times New Roman"/>
          <w:sz w:val="24"/>
          <w:szCs w:val="24"/>
        </w:rPr>
        <w:t xml:space="preserve">         </w:t>
      </w:r>
    </w:p>
    <w:p w:rsidR="001C3128" w:rsidRPr="00CB2DE6" w:rsidRDefault="00B159F4" w:rsidP="00190331">
      <w:pPr>
        <w:spacing w:after="120" w:line="360" w:lineRule="auto"/>
        <w:ind w:firstLine="720"/>
        <w:jc w:val="both"/>
        <w:rPr>
          <w:rFonts w:ascii="Times New Roman" w:hAnsi="Times New Roman" w:cs="Times New Roman"/>
          <w:b/>
          <w:sz w:val="24"/>
          <w:szCs w:val="24"/>
        </w:rPr>
      </w:pPr>
      <w:r w:rsidRPr="00CB2DE6">
        <w:rPr>
          <w:rFonts w:ascii="Times New Roman" w:hAnsi="Times New Roman" w:cs="Times New Roman"/>
          <w:b/>
          <w:sz w:val="24"/>
          <w:szCs w:val="24"/>
        </w:rPr>
        <w:lastRenderedPageBreak/>
        <w:t>4.2</w:t>
      </w:r>
      <w:r w:rsidR="00BB0085" w:rsidRPr="00CB2DE6">
        <w:rPr>
          <w:rFonts w:ascii="Times New Roman" w:hAnsi="Times New Roman" w:cs="Times New Roman"/>
          <w:b/>
          <w:sz w:val="24"/>
          <w:szCs w:val="24"/>
        </w:rPr>
        <w:tab/>
      </w:r>
      <w:r w:rsidR="00905868" w:rsidRPr="00CB2DE6">
        <w:rPr>
          <w:rFonts w:ascii="Times New Roman" w:hAnsi="Times New Roman" w:cs="Times New Roman"/>
          <w:b/>
          <w:sz w:val="24"/>
          <w:szCs w:val="24"/>
        </w:rPr>
        <w:t>Asset Pricing Results</w:t>
      </w:r>
    </w:p>
    <w:p w:rsidR="004C2474" w:rsidRPr="00CB2DE6" w:rsidRDefault="004C2474" w:rsidP="00DC2F99">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We carry out asset pricing test</w:t>
      </w:r>
      <w:r w:rsidR="00946C5C" w:rsidRPr="00CB2DE6">
        <w:rPr>
          <w:rFonts w:ascii="Times New Roman" w:hAnsi="Times New Roman" w:cs="Times New Roman"/>
          <w:sz w:val="24"/>
          <w:szCs w:val="24"/>
        </w:rPr>
        <w:t>s</w:t>
      </w:r>
      <w:r w:rsidRPr="00CB2DE6">
        <w:rPr>
          <w:rFonts w:ascii="Times New Roman" w:hAnsi="Times New Roman" w:cs="Times New Roman"/>
          <w:sz w:val="24"/>
          <w:szCs w:val="24"/>
        </w:rPr>
        <w:t xml:space="preserve"> by using the innovations in the short- and long-</w:t>
      </w:r>
      <w:r w:rsidR="00DC2F99" w:rsidRPr="00CB2DE6">
        <w:rPr>
          <w:rFonts w:ascii="Times New Roman" w:hAnsi="Times New Roman" w:cs="Times New Roman"/>
          <w:sz w:val="24"/>
          <w:szCs w:val="24"/>
        </w:rPr>
        <w:t xml:space="preserve">run </w:t>
      </w:r>
      <w:r w:rsidRPr="00CB2DE6">
        <w:rPr>
          <w:rFonts w:ascii="Times New Roman" w:hAnsi="Times New Roman" w:cs="Times New Roman"/>
          <w:sz w:val="24"/>
          <w:szCs w:val="24"/>
        </w:rPr>
        <w:t>components from the CGARCH model. As the analysis is carried out at the monthly level, for consistency with previous studies, we compute monthly short- and long-</w:t>
      </w:r>
      <w:r w:rsidR="00DC2F99" w:rsidRPr="00CB2DE6">
        <w:rPr>
          <w:rFonts w:ascii="Times New Roman" w:hAnsi="Times New Roman" w:cs="Times New Roman"/>
          <w:sz w:val="24"/>
          <w:szCs w:val="24"/>
        </w:rPr>
        <w:t>run</w:t>
      </w:r>
      <w:r w:rsidRPr="00CB2DE6">
        <w:rPr>
          <w:rFonts w:ascii="Times New Roman" w:hAnsi="Times New Roman" w:cs="Times New Roman"/>
          <w:sz w:val="24"/>
          <w:szCs w:val="24"/>
        </w:rPr>
        <w:t xml:space="preserve"> components as the end-of-month </w:t>
      </w:r>
      <w:r w:rsidR="00946C5C" w:rsidRPr="00CB2DE6">
        <w:rPr>
          <w:rFonts w:ascii="Times New Roman" w:hAnsi="Times New Roman" w:cs="Times New Roman"/>
          <w:sz w:val="24"/>
          <w:szCs w:val="24"/>
        </w:rPr>
        <w:t>values</w:t>
      </w:r>
      <w:r w:rsidRPr="00CB2DE6">
        <w:rPr>
          <w:rFonts w:ascii="Times New Roman" w:hAnsi="Times New Roman" w:cs="Times New Roman"/>
          <w:sz w:val="24"/>
          <w:szCs w:val="24"/>
        </w:rPr>
        <w:t xml:space="preserve"> of the corresponding daily series.</w:t>
      </w:r>
      <w:r w:rsidRPr="00CB2DE6">
        <w:rPr>
          <w:rStyle w:val="FootnoteReference"/>
          <w:rFonts w:ascii="Times New Roman" w:hAnsi="Times New Roman" w:cs="Times New Roman"/>
          <w:sz w:val="24"/>
          <w:szCs w:val="24"/>
        </w:rPr>
        <w:footnoteReference w:id="16"/>
      </w:r>
      <w:r w:rsidRPr="00CB2DE6">
        <w:rPr>
          <w:rFonts w:ascii="Times New Roman" w:hAnsi="Times New Roman" w:cs="Times New Roman"/>
          <w:sz w:val="24"/>
          <w:szCs w:val="24"/>
        </w:rPr>
        <w:t xml:space="preserve"> Figure </w:t>
      </w:r>
      <w:r w:rsidR="00E339A0">
        <w:rPr>
          <w:rFonts w:ascii="Times New Roman" w:hAnsi="Times New Roman" w:cs="Times New Roman"/>
          <w:sz w:val="24"/>
          <w:szCs w:val="24"/>
        </w:rPr>
        <w:t>1</w:t>
      </w:r>
      <w:r w:rsidRPr="00CB2DE6">
        <w:rPr>
          <w:rFonts w:ascii="Times New Roman" w:hAnsi="Times New Roman" w:cs="Times New Roman"/>
          <w:sz w:val="24"/>
          <w:szCs w:val="24"/>
        </w:rPr>
        <w:t xml:space="preserve"> shows the time-series plots of the global FX volatility components at the monthly frequency. Innovations of the short- and long-</w:t>
      </w:r>
      <w:r w:rsidR="00DC2F99" w:rsidRPr="00CB2DE6">
        <w:rPr>
          <w:rFonts w:ascii="Times New Roman" w:hAnsi="Times New Roman" w:cs="Times New Roman"/>
          <w:sz w:val="24"/>
          <w:szCs w:val="24"/>
        </w:rPr>
        <w:t xml:space="preserve">run </w:t>
      </w:r>
      <w:r w:rsidRPr="00CB2DE6">
        <w:rPr>
          <w:rFonts w:ascii="Times New Roman" w:hAnsi="Times New Roman" w:cs="Times New Roman"/>
          <w:sz w:val="24"/>
          <w:szCs w:val="24"/>
        </w:rPr>
        <w:t>components are computed as first differences of the estimated monthly volatility components.</w:t>
      </w:r>
      <w:r w:rsidRPr="00CB2DE6">
        <w:rPr>
          <w:rStyle w:val="FootnoteReference"/>
          <w:rFonts w:ascii="Times New Roman" w:hAnsi="Times New Roman" w:cs="Times New Roman"/>
          <w:sz w:val="24"/>
          <w:szCs w:val="24"/>
        </w:rPr>
        <w:footnoteReference w:id="17"/>
      </w:r>
      <w:r w:rsidRPr="00CB2DE6">
        <w:rPr>
          <w:rFonts w:ascii="Times New Roman" w:hAnsi="Times New Roman" w:cs="Times New Roman"/>
          <w:sz w:val="24"/>
          <w:szCs w:val="24"/>
        </w:rPr>
        <w:t xml:space="preserve"> </w:t>
      </w:r>
    </w:p>
    <w:p w:rsidR="00AA0E12" w:rsidRPr="00CB2DE6" w:rsidRDefault="00DC1D81" w:rsidP="00F23FCF">
      <w:pPr>
        <w:tabs>
          <w:tab w:val="left" w:pos="709"/>
        </w:tabs>
        <w:spacing w:line="360" w:lineRule="auto"/>
        <w:jc w:val="both"/>
        <w:rPr>
          <w:rFonts w:ascii="Times New Roman" w:hAnsi="Times New Roman" w:cs="Times New Roman"/>
          <w:sz w:val="24"/>
          <w:szCs w:val="24"/>
        </w:rPr>
      </w:pPr>
      <w:r w:rsidRPr="00CB2DE6">
        <w:rPr>
          <w:rFonts w:ascii="Times New Roman" w:hAnsi="Times New Roman" w:cs="Times New Roman"/>
          <w:sz w:val="24"/>
          <w:szCs w:val="24"/>
        </w:rPr>
        <w:tab/>
      </w:r>
      <w:r w:rsidR="007E5914" w:rsidRPr="00CB2DE6">
        <w:rPr>
          <w:rFonts w:ascii="Times New Roman" w:hAnsi="Times New Roman" w:cs="Times New Roman"/>
          <w:sz w:val="24"/>
          <w:szCs w:val="24"/>
        </w:rPr>
        <w:t>The results of the asset</w:t>
      </w:r>
      <w:r w:rsidR="00AA0E12" w:rsidRPr="00CB2DE6">
        <w:rPr>
          <w:rFonts w:ascii="Times New Roman" w:hAnsi="Times New Roman" w:cs="Times New Roman"/>
          <w:sz w:val="24"/>
          <w:szCs w:val="24"/>
        </w:rPr>
        <w:t xml:space="preserve"> pricing </w:t>
      </w:r>
      <w:r w:rsidR="007E5914" w:rsidRPr="00CB2DE6">
        <w:rPr>
          <w:rFonts w:ascii="Times New Roman" w:hAnsi="Times New Roman" w:cs="Times New Roman"/>
          <w:sz w:val="24"/>
          <w:szCs w:val="24"/>
        </w:rPr>
        <w:t xml:space="preserve">tests </w:t>
      </w:r>
      <w:r w:rsidR="00AA0E12" w:rsidRPr="00CB2DE6">
        <w:rPr>
          <w:rFonts w:ascii="Times New Roman" w:hAnsi="Times New Roman" w:cs="Times New Roman"/>
          <w:sz w:val="24"/>
          <w:szCs w:val="24"/>
        </w:rPr>
        <w:t>for transaction</w:t>
      </w:r>
      <w:r w:rsidR="00DC2F99" w:rsidRPr="00CB2DE6">
        <w:rPr>
          <w:rFonts w:ascii="Times New Roman" w:hAnsi="Times New Roman" w:cs="Times New Roman"/>
          <w:sz w:val="24"/>
          <w:szCs w:val="24"/>
        </w:rPr>
        <w:t xml:space="preserve"> </w:t>
      </w:r>
      <w:r w:rsidR="00AA0E12" w:rsidRPr="00CB2DE6">
        <w:rPr>
          <w:rFonts w:ascii="Times New Roman" w:hAnsi="Times New Roman" w:cs="Times New Roman"/>
          <w:sz w:val="24"/>
          <w:szCs w:val="24"/>
        </w:rPr>
        <w:t>cost</w:t>
      </w:r>
      <w:r w:rsidR="00DC2F99" w:rsidRPr="00CB2DE6">
        <w:rPr>
          <w:rFonts w:ascii="Times New Roman" w:hAnsi="Times New Roman" w:cs="Times New Roman"/>
          <w:sz w:val="24"/>
          <w:szCs w:val="24"/>
        </w:rPr>
        <w:t xml:space="preserve"> </w:t>
      </w:r>
      <w:r w:rsidR="00AA0E12" w:rsidRPr="00CB2DE6">
        <w:rPr>
          <w:rFonts w:ascii="Times New Roman" w:hAnsi="Times New Roman" w:cs="Times New Roman"/>
          <w:sz w:val="24"/>
          <w:szCs w:val="24"/>
        </w:rPr>
        <w:t xml:space="preserve">unadjusted currency portfolios </w:t>
      </w:r>
      <w:r w:rsidR="007E5914" w:rsidRPr="00CB2DE6">
        <w:rPr>
          <w:rFonts w:ascii="Times New Roman" w:hAnsi="Times New Roman" w:cs="Times New Roman"/>
          <w:sz w:val="24"/>
          <w:szCs w:val="24"/>
        </w:rPr>
        <w:t xml:space="preserve">are reported </w:t>
      </w:r>
      <w:r w:rsidR="00946C5C" w:rsidRPr="00CB2DE6">
        <w:rPr>
          <w:rFonts w:ascii="Times New Roman" w:hAnsi="Times New Roman" w:cs="Times New Roman"/>
          <w:sz w:val="24"/>
          <w:szCs w:val="24"/>
        </w:rPr>
        <w:t xml:space="preserve">in </w:t>
      </w:r>
      <w:r w:rsidR="00AA0E12" w:rsidRPr="00CB2DE6">
        <w:rPr>
          <w:rFonts w:ascii="Times New Roman" w:hAnsi="Times New Roman" w:cs="Times New Roman"/>
          <w:sz w:val="24"/>
          <w:szCs w:val="24"/>
        </w:rPr>
        <w:t>Table</w:t>
      </w:r>
      <w:r w:rsidR="00F23FCF" w:rsidRPr="00CB2DE6">
        <w:rPr>
          <w:rFonts w:ascii="Times New Roman" w:hAnsi="Times New Roman" w:cs="Times New Roman"/>
          <w:sz w:val="24"/>
          <w:szCs w:val="24"/>
        </w:rPr>
        <w:t xml:space="preserve"> </w:t>
      </w:r>
      <w:r w:rsidR="00AA0E12" w:rsidRPr="00CB2DE6">
        <w:rPr>
          <w:rFonts w:ascii="Times New Roman" w:hAnsi="Times New Roman" w:cs="Times New Roman"/>
          <w:sz w:val="24"/>
          <w:szCs w:val="24"/>
        </w:rPr>
        <w:t xml:space="preserve">5. Panel A reports estimated factor betas from the first-pass time-series regressions for five portfolios built using all and developed country samples. Portfolio 1 has a positive loading on innovations of the </w:t>
      </w:r>
      <w:r w:rsidR="004C2474" w:rsidRPr="00CB2DE6">
        <w:rPr>
          <w:rFonts w:ascii="Times New Roman" w:hAnsi="Times New Roman" w:cs="Times New Roman"/>
          <w:sz w:val="24"/>
          <w:szCs w:val="24"/>
        </w:rPr>
        <w:t>short-</w:t>
      </w:r>
      <w:r w:rsidR="00DC2F99" w:rsidRPr="00CB2DE6">
        <w:rPr>
          <w:rFonts w:ascii="Times New Roman" w:hAnsi="Times New Roman" w:cs="Times New Roman"/>
          <w:sz w:val="24"/>
          <w:szCs w:val="24"/>
        </w:rPr>
        <w:t xml:space="preserve">run </w:t>
      </w:r>
      <w:r w:rsidR="00AA0E12" w:rsidRPr="00CB2DE6">
        <w:rPr>
          <w:rFonts w:ascii="Times New Roman" w:hAnsi="Times New Roman" w:cs="Times New Roman"/>
          <w:sz w:val="24"/>
          <w:szCs w:val="24"/>
        </w:rPr>
        <w:t xml:space="preserve">component of global FX volatility, while portfolio 5 a negative loading for all countries. The corresponding loadings are both negative for the sample of developed countries. The beta estimates for portfolios 2 to 4 are all positive except that for portfolio 3 in both samples. </w:t>
      </w:r>
      <w:r w:rsidR="00946C5C" w:rsidRPr="00CB2DE6">
        <w:rPr>
          <w:rFonts w:ascii="Times New Roman" w:hAnsi="Times New Roman" w:cs="Times New Roman"/>
          <w:sz w:val="24"/>
          <w:szCs w:val="24"/>
        </w:rPr>
        <w:t>T</w:t>
      </w:r>
      <w:r w:rsidR="00AA0E12" w:rsidRPr="00CB2DE6">
        <w:rPr>
          <w:rFonts w:ascii="Times New Roman" w:hAnsi="Times New Roman" w:cs="Times New Roman"/>
          <w:sz w:val="24"/>
          <w:szCs w:val="24"/>
        </w:rPr>
        <w:t xml:space="preserve">he estimated factor loadings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i,SRVI</m:t>
            </m:r>
          </m:sub>
        </m:sSub>
        <m:r>
          <w:rPr>
            <w:rFonts w:ascii="Cambria Math" w:hAnsi="Cambria Math" w:cs="Times New Roman"/>
            <w:sz w:val="24"/>
            <w:szCs w:val="24"/>
          </w:rPr>
          <m:t xml:space="preserve"> </m:t>
        </m:r>
      </m:oMath>
      <w:r w:rsidR="00F23FCF" w:rsidRPr="00CB2DE6">
        <w:rPr>
          <w:rFonts w:ascii="Times New Roman" w:hAnsi="Times New Roman" w:cs="Times New Roman"/>
          <w:sz w:val="24"/>
          <w:szCs w:val="24"/>
        </w:rPr>
        <w:t>for</w:t>
      </w:r>
      <w:r w:rsidR="00AA0E12" w:rsidRPr="00CB2DE6">
        <w:rPr>
          <w:rFonts w:ascii="Times New Roman" w:hAnsi="Times New Roman" w:cs="Times New Roman"/>
          <w:sz w:val="24"/>
          <w:szCs w:val="24"/>
        </w:rPr>
        <w:t xml:space="preserve"> all but portfolio 3 turn out to be statistically insignificant based on </w:t>
      </w:r>
      <w:r w:rsidR="00DC2F99" w:rsidRPr="00CB2DE6">
        <w:rPr>
          <w:rFonts w:ascii="Times New Roman" w:hAnsi="Times New Roman" w:cs="Times New Roman"/>
          <w:sz w:val="24"/>
          <w:szCs w:val="24"/>
        </w:rPr>
        <w:t xml:space="preserve">the </w:t>
      </w:r>
      <w:r w:rsidR="00AA0E12" w:rsidRPr="00CB2DE6">
        <w:rPr>
          <w:rFonts w:ascii="Times New Roman" w:hAnsi="Times New Roman" w:cs="Times New Roman"/>
          <w:sz w:val="24"/>
          <w:szCs w:val="24"/>
        </w:rPr>
        <w:t xml:space="preserve">GMM-HAC standard errors. Focusing on </w:t>
      </w:r>
      <w:r w:rsidR="00851094" w:rsidRPr="00CB2DE6">
        <w:rPr>
          <w:rFonts w:ascii="Times New Roman" w:hAnsi="Times New Roman" w:cs="Times New Roman"/>
          <w:sz w:val="24"/>
          <w:szCs w:val="24"/>
        </w:rPr>
        <w:t xml:space="preserve">the </w:t>
      </w:r>
      <w:r w:rsidR="00AA0E12" w:rsidRPr="00CB2DE6">
        <w:rPr>
          <w:rFonts w:ascii="Times New Roman" w:hAnsi="Times New Roman" w:cs="Times New Roman"/>
          <w:sz w:val="24"/>
          <w:szCs w:val="24"/>
        </w:rPr>
        <w:t xml:space="preserve">innovations </w:t>
      </w:r>
      <w:r w:rsidR="00851094" w:rsidRPr="00CB2DE6">
        <w:rPr>
          <w:rFonts w:ascii="Times New Roman" w:hAnsi="Times New Roman" w:cs="Times New Roman"/>
          <w:sz w:val="24"/>
          <w:szCs w:val="24"/>
        </w:rPr>
        <w:t xml:space="preserve">of </w:t>
      </w:r>
      <w:r w:rsidR="00AA0E12" w:rsidRPr="00CB2DE6">
        <w:rPr>
          <w:rFonts w:ascii="Times New Roman" w:hAnsi="Times New Roman" w:cs="Times New Roman"/>
          <w:sz w:val="24"/>
          <w:szCs w:val="24"/>
        </w:rPr>
        <w:t xml:space="preserve">the </w:t>
      </w:r>
      <w:r w:rsidR="004C2474" w:rsidRPr="00CB2DE6">
        <w:rPr>
          <w:rFonts w:ascii="Times New Roman" w:hAnsi="Times New Roman" w:cs="Times New Roman"/>
          <w:sz w:val="24"/>
          <w:szCs w:val="24"/>
        </w:rPr>
        <w:t>long-</w:t>
      </w:r>
      <w:r w:rsidR="00DC2F99" w:rsidRPr="00CB2DE6">
        <w:rPr>
          <w:rFonts w:ascii="Times New Roman" w:hAnsi="Times New Roman" w:cs="Times New Roman"/>
          <w:sz w:val="24"/>
          <w:szCs w:val="24"/>
        </w:rPr>
        <w:t xml:space="preserve">run </w:t>
      </w:r>
      <w:r w:rsidR="00AA0E12" w:rsidRPr="00CB2DE6">
        <w:rPr>
          <w:rFonts w:ascii="Times New Roman" w:hAnsi="Times New Roman" w:cs="Times New Roman"/>
          <w:sz w:val="24"/>
          <w:szCs w:val="24"/>
        </w:rPr>
        <w:t>component, we find that the loadings are positive for portfolio 1 and negative for portfolio 5. That is, excess return</w:t>
      </w:r>
      <w:r w:rsidR="005D5A99">
        <w:rPr>
          <w:rFonts w:ascii="Times New Roman" w:hAnsi="Times New Roman" w:cs="Times New Roman"/>
          <w:sz w:val="24"/>
          <w:szCs w:val="24"/>
        </w:rPr>
        <w:t>s</w:t>
      </w:r>
      <w:r w:rsidR="00AA0E12" w:rsidRPr="00CB2DE6">
        <w:rPr>
          <w:rFonts w:ascii="Times New Roman" w:hAnsi="Times New Roman" w:cs="Times New Roman"/>
          <w:sz w:val="24"/>
          <w:szCs w:val="24"/>
        </w:rPr>
        <w:t xml:space="preserve"> for the portfolio with currencies in the lowest forward discount (or, equivalently, interest rate) quintile covar</w:t>
      </w:r>
      <w:r w:rsidR="005D5A99">
        <w:rPr>
          <w:rFonts w:ascii="Times New Roman" w:hAnsi="Times New Roman" w:cs="Times New Roman"/>
          <w:sz w:val="24"/>
          <w:szCs w:val="24"/>
        </w:rPr>
        <w:t>y</w:t>
      </w:r>
      <w:r w:rsidR="00AA0E12" w:rsidRPr="00CB2DE6">
        <w:rPr>
          <w:rFonts w:ascii="Times New Roman" w:hAnsi="Times New Roman" w:cs="Times New Roman"/>
          <w:sz w:val="24"/>
          <w:szCs w:val="24"/>
        </w:rPr>
        <w:t xml:space="preserve"> positively with innovations in the </w:t>
      </w:r>
      <w:r w:rsidR="004C2474" w:rsidRPr="00CB2DE6">
        <w:rPr>
          <w:rFonts w:ascii="Times New Roman" w:hAnsi="Times New Roman" w:cs="Times New Roman"/>
          <w:sz w:val="24"/>
          <w:szCs w:val="24"/>
        </w:rPr>
        <w:t>long-</w:t>
      </w:r>
      <w:r w:rsidR="00DC2F99" w:rsidRPr="00CB2DE6">
        <w:rPr>
          <w:rFonts w:ascii="Times New Roman" w:hAnsi="Times New Roman" w:cs="Times New Roman"/>
          <w:sz w:val="24"/>
          <w:szCs w:val="24"/>
        </w:rPr>
        <w:t xml:space="preserve">run </w:t>
      </w:r>
      <w:r w:rsidR="00AA0E12" w:rsidRPr="00CB2DE6">
        <w:rPr>
          <w:rFonts w:ascii="Times New Roman" w:hAnsi="Times New Roman" w:cs="Times New Roman"/>
          <w:sz w:val="24"/>
          <w:szCs w:val="24"/>
        </w:rPr>
        <w:t>component of global FX volatility. Conversely, excess return</w:t>
      </w:r>
      <w:r w:rsidR="005D5BE9">
        <w:rPr>
          <w:rFonts w:ascii="Times New Roman" w:hAnsi="Times New Roman" w:cs="Times New Roman"/>
          <w:sz w:val="24"/>
          <w:szCs w:val="24"/>
        </w:rPr>
        <w:t>s</w:t>
      </w:r>
      <w:r w:rsidR="00AA0E12" w:rsidRPr="00CB2DE6">
        <w:rPr>
          <w:rFonts w:ascii="Times New Roman" w:hAnsi="Times New Roman" w:cs="Times New Roman"/>
          <w:sz w:val="24"/>
          <w:szCs w:val="24"/>
        </w:rPr>
        <w:t xml:space="preserve"> </w:t>
      </w:r>
      <w:r w:rsidR="005D5BE9">
        <w:rPr>
          <w:rFonts w:ascii="Times New Roman" w:hAnsi="Times New Roman" w:cs="Times New Roman"/>
          <w:sz w:val="24"/>
          <w:szCs w:val="24"/>
        </w:rPr>
        <w:t>of</w:t>
      </w:r>
      <w:r w:rsidR="00AA0E12" w:rsidRPr="00CB2DE6">
        <w:rPr>
          <w:rFonts w:ascii="Times New Roman" w:hAnsi="Times New Roman" w:cs="Times New Roman"/>
          <w:sz w:val="24"/>
          <w:szCs w:val="24"/>
        </w:rPr>
        <w:t xml:space="preserve"> the portfolio with currencies in the highest forward discount quintile covar</w:t>
      </w:r>
      <w:r w:rsidR="005D5BE9">
        <w:rPr>
          <w:rFonts w:ascii="Times New Roman" w:hAnsi="Times New Roman" w:cs="Times New Roman"/>
          <w:sz w:val="24"/>
          <w:szCs w:val="24"/>
        </w:rPr>
        <w:t>y</w:t>
      </w:r>
      <w:r w:rsidR="00AA0E12" w:rsidRPr="00CB2DE6">
        <w:rPr>
          <w:rFonts w:ascii="Times New Roman" w:hAnsi="Times New Roman" w:cs="Times New Roman"/>
          <w:sz w:val="24"/>
          <w:szCs w:val="24"/>
        </w:rPr>
        <w:t xml:space="preserve"> negatively. The GMM-HAC standard errors suggest that the estimated factor loadings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1,LRVI</m:t>
            </m:r>
          </m:sub>
        </m:sSub>
        <m:r>
          <w:rPr>
            <w:rFonts w:ascii="Cambria Math" w:hAnsi="Cambria Math" w:cs="Times New Roman"/>
            <w:sz w:val="24"/>
            <w:szCs w:val="24"/>
          </w:rPr>
          <m:t xml:space="preserve"> </m:t>
        </m:r>
      </m:oMath>
      <w:r w:rsidR="00F23FCF" w:rsidRPr="00CB2DE6">
        <w:rPr>
          <w:rFonts w:ascii="Times New Roman" w:hAnsi="Times New Roman" w:cs="Times New Roman"/>
          <w:sz w:val="24"/>
          <w:szCs w:val="24"/>
        </w:rPr>
        <w:t>and</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5,LRVI</m:t>
            </m:r>
          </m:sub>
        </m:sSub>
      </m:oMath>
      <w:r w:rsidR="00F23FCF" w:rsidRPr="00CB2DE6">
        <w:rPr>
          <w:rFonts w:ascii="Times New Roman" w:hAnsi="Times New Roman" w:cs="Times New Roman"/>
          <w:sz w:val="24"/>
          <w:szCs w:val="24"/>
        </w:rPr>
        <w:t xml:space="preserve"> are </w:t>
      </w:r>
      <w:r w:rsidR="00AA0E12" w:rsidRPr="00CB2DE6">
        <w:rPr>
          <w:rFonts w:ascii="Times New Roman" w:hAnsi="Times New Roman" w:cs="Times New Roman"/>
          <w:sz w:val="24"/>
          <w:szCs w:val="24"/>
        </w:rPr>
        <w:t xml:space="preserve">significantly different from zero. Besides, a monotonically decreasing pattern emerges for the loadings </w:t>
      </w: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i,LRVI</m:t>
            </m:r>
          </m:sub>
        </m:sSub>
      </m:oMath>
      <w:r w:rsidR="00F23FCF" w:rsidRPr="00CB2DE6">
        <w:rPr>
          <w:rFonts w:ascii="Times New Roman" w:hAnsi="Times New Roman" w:cs="Times New Roman"/>
          <w:sz w:val="24"/>
          <w:szCs w:val="24"/>
        </w:rPr>
        <w:t xml:space="preserve"> </w:t>
      </w:r>
      <w:r w:rsidR="00AA0E12" w:rsidRPr="00CB2DE6">
        <w:rPr>
          <w:rFonts w:ascii="Times New Roman" w:hAnsi="Times New Roman" w:cs="Times New Roman"/>
          <w:sz w:val="24"/>
          <w:szCs w:val="24"/>
        </w:rPr>
        <w:t xml:space="preserve">as we move from portfolio 1 to portfolio 5 based on the sample of all countries. The beta estimates exhibit a decreasing pattern for developed countries. The portfolios load positively on the DOL factor as expected and the betas hover </w:t>
      </w:r>
      <w:r w:rsidR="00AA0E12" w:rsidRPr="00CB2DE6">
        <w:rPr>
          <w:rFonts w:ascii="Times New Roman" w:hAnsi="Times New Roman" w:cs="Times New Roman"/>
          <w:sz w:val="24"/>
          <w:szCs w:val="24"/>
        </w:rPr>
        <w:lastRenderedPageBreak/>
        <w:t xml:space="preserve">closely around one. The estimated risk quantities </w:t>
      </w: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i,DOL</m:t>
            </m:r>
          </m:sub>
        </m:sSub>
      </m:oMath>
      <w:r w:rsidR="00F23FCF" w:rsidRPr="00CB2DE6">
        <w:rPr>
          <w:rFonts w:ascii="Times New Roman" w:hAnsi="Times New Roman" w:cs="Times New Roman"/>
          <w:sz w:val="24"/>
          <w:szCs w:val="24"/>
        </w:rPr>
        <w:t xml:space="preserve"> </w:t>
      </w:r>
      <w:r w:rsidR="00AA0E12" w:rsidRPr="00CB2DE6">
        <w:rPr>
          <w:rFonts w:ascii="Times New Roman" w:hAnsi="Times New Roman" w:cs="Times New Roman"/>
          <w:sz w:val="24"/>
          <w:szCs w:val="24"/>
        </w:rPr>
        <w:t xml:space="preserve">are highly significant regardless of sample currency compositions.  </w:t>
      </w:r>
    </w:p>
    <w:p w:rsidR="00AA0E12" w:rsidRPr="00CB2DE6" w:rsidRDefault="00F23FCF" w:rsidP="001A4FD0">
      <w:pPr>
        <w:tabs>
          <w:tab w:val="left" w:pos="709"/>
        </w:tabs>
        <w:spacing w:line="360" w:lineRule="auto"/>
        <w:jc w:val="both"/>
        <w:rPr>
          <w:rFonts w:ascii="Times New Roman" w:hAnsi="Times New Roman" w:cs="Times New Roman"/>
          <w:sz w:val="24"/>
          <w:szCs w:val="24"/>
        </w:rPr>
      </w:pPr>
      <w:r w:rsidRPr="00CB2DE6">
        <w:rPr>
          <w:rFonts w:ascii="Times New Roman" w:hAnsi="Times New Roman" w:cs="Times New Roman"/>
          <w:sz w:val="24"/>
          <w:szCs w:val="24"/>
        </w:rPr>
        <w:tab/>
      </w:r>
      <w:r w:rsidR="00AA0E12" w:rsidRPr="00CB2DE6">
        <w:rPr>
          <w:rFonts w:ascii="Times New Roman" w:hAnsi="Times New Roman" w:cs="Times New Roman"/>
          <w:sz w:val="24"/>
          <w:szCs w:val="24"/>
        </w:rPr>
        <w:t xml:space="preserve">Panel B </w:t>
      </w:r>
      <w:r w:rsidR="00DC2F99" w:rsidRPr="00CB2DE6">
        <w:rPr>
          <w:rFonts w:ascii="Times New Roman" w:hAnsi="Times New Roman" w:cs="Times New Roman"/>
          <w:sz w:val="24"/>
          <w:szCs w:val="24"/>
        </w:rPr>
        <w:t xml:space="preserve">in Table 5 </w:t>
      </w:r>
      <w:r w:rsidR="00AA0E12" w:rsidRPr="00CB2DE6">
        <w:rPr>
          <w:rFonts w:ascii="Times New Roman" w:hAnsi="Times New Roman" w:cs="Times New Roman"/>
          <w:sz w:val="24"/>
          <w:szCs w:val="24"/>
        </w:rPr>
        <w:t xml:space="preserve">shows estimates of </w:t>
      </w:r>
      <w:r w:rsidR="00851094" w:rsidRPr="00CB2DE6">
        <w:rPr>
          <w:rFonts w:ascii="Times New Roman" w:hAnsi="Times New Roman" w:cs="Times New Roman"/>
          <w:sz w:val="24"/>
          <w:szCs w:val="24"/>
        </w:rPr>
        <w:t xml:space="preserve">the </w:t>
      </w:r>
      <w:r w:rsidR="00AA0E12" w:rsidRPr="00CB2DE6">
        <w:rPr>
          <w:rFonts w:ascii="Times New Roman" w:hAnsi="Times New Roman" w:cs="Times New Roman"/>
          <w:sz w:val="24"/>
          <w:szCs w:val="24"/>
        </w:rPr>
        <w:t xml:space="preserve">factor risk prices obtained from the second-pass cross-sectional regressions. The risk price estimate for the </w:t>
      </w:r>
      <w:r w:rsidR="004C2474" w:rsidRPr="00CB2DE6">
        <w:rPr>
          <w:rFonts w:ascii="Times New Roman" w:hAnsi="Times New Roman" w:cs="Times New Roman"/>
          <w:sz w:val="24"/>
          <w:szCs w:val="24"/>
        </w:rPr>
        <w:t>short-</w:t>
      </w:r>
      <w:r w:rsidR="003205F2" w:rsidRPr="00CB2DE6">
        <w:rPr>
          <w:rFonts w:ascii="Times New Roman" w:hAnsi="Times New Roman" w:cs="Times New Roman"/>
          <w:sz w:val="24"/>
          <w:szCs w:val="24"/>
        </w:rPr>
        <w:t xml:space="preserve">run </w:t>
      </w:r>
      <w:r w:rsidR="00AA0E12" w:rsidRPr="00CB2DE6">
        <w:rPr>
          <w:rFonts w:ascii="Times New Roman" w:hAnsi="Times New Roman" w:cs="Times New Roman"/>
          <w:sz w:val="24"/>
          <w:szCs w:val="24"/>
        </w:rPr>
        <w:t xml:space="preserve">volatility component,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λ</m:t>
                </m:r>
              </m:e>
            </m:acc>
          </m:e>
          <m:sub>
            <m:r>
              <w:rPr>
                <w:rFonts w:ascii="Cambria Math" w:hAnsi="Cambria Math" w:cs="Times New Roman"/>
                <w:sz w:val="24"/>
                <w:szCs w:val="24"/>
              </w:rPr>
              <m:t xml:space="preserve">SRVI </m:t>
            </m:r>
          </m:sub>
        </m:sSub>
      </m:oMath>
      <w:r w:rsidR="001A4FD0" w:rsidRPr="00CB2DE6">
        <w:rPr>
          <w:rFonts w:ascii="Times New Roman" w:hAnsi="Times New Roman" w:cs="Times New Roman"/>
          <w:sz w:val="24"/>
          <w:szCs w:val="24"/>
        </w:rPr>
        <w:t xml:space="preserve">, </w:t>
      </w:r>
      <w:r w:rsidR="00AA0E12" w:rsidRPr="00CB2DE6">
        <w:rPr>
          <w:rFonts w:ascii="Times New Roman" w:hAnsi="Times New Roman" w:cs="Times New Roman"/>
          <w:sz w:val="24"/>
          <w:szCs w:val="24"/>
        </w:rPr>
        <w:t>is negative but economically negligible. The GMM-HAC and Shanken</w:t>
      </w:r>
      <w:r w:rsidR="001A4FD0" w:rsidRPr="00CB2DE6">
        <w:rPr>
          <w:rFonts w:ascii="Times New Roman" w:hAnsi="Times New Roman" w:cs="Times New Roman"/>
          <w:sz w:val="24"/>
          <w:szCs w:val="24"/>
        </w:rPr>
        <w:t xml:space="preserve"> (</w:t>
      </w:r>
      <w:r w:rsidR="00AA0E12" w:rsidRPr="00CB2DE6">
        <w:rPr>
          <w:rFonts w:ascii="Times New Roman" w:hAnsi="Times New Roman" w:cs="Times New Roman"/>
          <w:sz w:val="24"/>
          <w:szCs w:val="24"/>
        </w:rPr>
        <w:t>1992</w:t>
      </w:r>
      <w:r w:rsidR="001A4FD0" w:rsidRPr="00CB2DE6">
        <w:rPr>
          <w:rFonts w:ascii="Times New Roman" w:hAnsi="Times New Roman" w:cs="Times New Roman"/>
          <w:sz w:val="24"/>
          <w:szCs w:val="24"/>
        </w:rPr>
        <w:t>)</w:t>
      </w:r>
      <w:r w:rsidR="00AA0E12" w:rsidRPr="00CB2DE6">
        <w:rPr>
          <w:rFonts w:ascii="Times New Roman" w:hAnsi="Times New Roman" w:cs="Times New Roman"/>
          <w:sz w:val="24"/>
          <w:szCs w:val="24"/>
        </w:rPr>
        <w:t xml:space="preserve"> corrected standard errors also imply that the estimated risk price is statistically insignificant irrespective of samples. This is not too surprising since most of the corresponding estimated betas in the first-pass regressions are insignificantly different from zero. We find that the risk price estimate for the </w:t>
      </w:r>
      <w:r w:rsidR="004C2474" w:rsidRPr="00CB2DE6">
        <w:rPr>
          <w:rFonts w:ascii="Times New Roman" w:hAnsi="Times New Roman" w:cs="Times New Roman"/>
          <w:sz w:val="24"/>
          <w:szCs w:val="24"/>
        </w:rPr>
        <w:t>long-</w:t>
      </w:r>
      <w:r w:rsidR="003205F2" w:rsidRPr="00CB2DE6">
        <w:rPr>
          <w:rFonts w:ascii="Times New Roman" w:hAnsi="Times New Roman" w:cs="Times New Roman"/>
          <w:sz w:val="24"/>
          <w:szCs w:val="24"/>
        </w:rPr>
        <w:t xml:space="preserve">run </w:t>
      </w:r>
      <w:r w:rsidR="00AA0E12" w:rsidRPr="00CB2DE6">
        <w:rPr>
          <w:rFonts w:ascii="Times New Roman" w:hAnsi="Times New Roman" w:cs="Times New Roman"/>
          <w:sz w:val="24"/>
          <w:szCs w:val="24"/>
        </w:rPr>
        <w:t xml:space="preserve">volatility component,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λ</m:t>
                </m:r>
              </m:e>
            </m:acc>
          </m:e>
          <m:sub>
            <m:r>
              <w:rPr>
                <w:rFonts w:ascii="Cambria Math" w:hAnsi="Cambria Math" w:cs="Times New Roman"/>
                <w:sz w:val="24"/>
                <w:szCs w:val="24"/>
              </w:rPr>
              <m:t xml:space="preserve">LRVI </m:t>
            </m:r>
          </m:sub>
        </m:sSub>
      </m:oMath>
      <w:r w:rsidR="00AA0E12" w:rsidRPr="00CB2DE6">
        <w:rPr>
          <w:rFonts w:ascii="Times New Roman" w:hAnsi="Times New Roman" w:cs="Times New Roman"/>
          <w:sz w:val="24"/>
          <w:szCs w:val="24"/>
        </w:rPr>
        <w:t xml:space="preserve">, is -0.097 for the all country sample and -0.048 for the developed country sample. The estimated factor risk prices are also significantly different from zero. The negative factor risk price estimate </w:t>
      </w:r>
      <w:r w:rsidR="00BE1272" w:rsidRPr="00CB2DE6">
        <w:rPr>
          <w:rFonts w:ascii="Times New Roman" w:hAnsi="Times New Roman" w:cs="Times New Roman"/>
          <w:sz w:val="24"/>
          <w:szCs w:val="24"/>
        </w:rPr>
        <w:t>implies that</w:t>
      </w:r>
      <w:r w:rsidR="00AA0E12" w:rsidRPr="00CB2DE6">
        <w:rPr>
          <w:rFonts w:ascii="Times New Roman" w:hAnsi="Times New Roman" w:cs="Times New Roman"/>
          <w:sz w:val="24"/>
          <w:szCs w:val="24"/>
        </w:rPr>
        <w:t xml:space="preserve"> </w:t>
      </w:r>
      <w:r w:rsidR="00BE1272" w:rsidRPr="00CB2DE6">
        <w:rPr>
          <w:rFonts w:ascii="Times New Roman" w:hAnsi="Times New Roman" w:cs="Times New Roman"/>
          <w:sz w:val="24"/>
          <w:szCs w:val="24"/>
        </w:rPr>
        <w:t>c</w:t>
      </w:r>
      <w:r w:rsidR="00AA0E12" w:rsidRPr="00CB2DE6">
        <w:rPr>
          <w:rFonts w:ascii="Times New Roman" w:hAnsi="Times New Roman" w:cs="Times New Roman"/>
          <w:sz w:val="24"/>
          <w:szCs w:val="24"/>
        </w:rPr>
        <w:t xml:space="preserve">urrency portfolios whose excess returns covary positively with </w:t>
      </w:r>
      <w:r w:rsidR="004C2474" w:rsidRPr="00CB2DE6">
        <w:rPr>
          <w:rFonts w:ascii="Times New Roman" w:hAnsi="Times New Roman" w:cs="Times New Roman"/>
          <w:sz w:val="24"/>
          <w:szCs w:val="24"/>
        </w:rPr>
        <w:t>long-</w:t>
      </w:r>
      <w:r w:rsidR="003205F2" w:rsidRPr="00CB2DE6">
        <w:rPr>
          <w:rFonts w:ascii="Times New Roman" w:hAnsi="Times New Roman" w:cs="Times New Roman"/>
          <w:sz w:val="24"/>
          <w:szCs w:val="24"/>
        </w:rPr>
        <w:t xml:space="preserve">run </w:t>
      </w:r>
      <w:r w:rsidR="00AA0E12" w:rsidRPr="00CB2DE6">
        <w:rPr>
          <w:rFonts w:ascii="Times New Roman" w:hAnsi="Times New Roman" w:cs="Times New Roman"/>
          <w:sz w:val="24"/>
          <w:szCs w:val="24"/>
        </w:rPr>
        <w:t>component inn</w:t>
      </w:r>
      <w:r w:rsidR="00BE1272" w:rsidRPr="00CB2DE6">
        <w:rPr>
          <w:rFonts w:ascii="Times New Roman" w:hAnsi="Times New Roman" w:cs="Times New Roman"/>
          <w:sz w:val="24"/>
          <w:szCs w:val="24"/>
        </w:rPr>
        <w:t>ovations earn lower risk premia as they</w:t>
      </w:r>
      <w:r w:rsidR="00AA0E12" w:rsidRPr="00CB2DE6">
        <w:rPr>
          <w:rFonts w:ascii="Times New Roman" w:hAnsi="Times New Roman" w:cs="Times New Roman"/>
          <w:sz w:val="24"/>
          <w:szCs w:val="24"/>
        </w:rPr>
        <w:t xml:space="preserve"> provide </w:t>
      </w:r>
      <w:r w:rsidR="00BE1272" w:rsidRPr="00CB2DE6">
        <w:rPr>
          <w:rFonts w:ascii="Times New Roman" w:hAnsi="Times New Roman" w:cs="Times New Roman"/>
          <w:sz w:val="24"/>
          <w:szCs w:val="24"/>
        </w:rPr>
        <w:t xml:space="preserve">a </w:t>
      </w:r>
      <w:r w:rsidR="00AA0E12" w:rsidRPr="00CB2DE6">
        <w:rPr>
          <w:rFonts w:ascii="Times New Roman" w:hAnsi="Times New Roman" w:cs="Times New Roman"/>
          <w:sz w:val="24"/>
          <w:szCs w:val="24"/>
        </w:rPr>
        <w:t xml:space="preserve">hedge against increased volatility risk attributed to the </w:t>
      </w:r>
      <w:r w:rsidR="004C2474" w:rsidRPr="00CB2DE6">
        <w:rPr>
          <w:rFonts w:ascii="Times New Roman" w:hAnsi="Times New Roman" w:cs="Times New Roman"/>
          <w:sz w:val="24"/>
          <w:szCs w:val="24"/>
        </w:rPr>
        <w:t>long-</w:t>
      </w:r>
      <w:r w:rsidR="003205F2" w:rsidRPr="00CB2DE6">
        <w:rPr>
          <w:rFonts w:ascii="Times New Roman" w:hAnsi="Times New Roman" w:cs="Times New Roman"/>
          <w:sz w:val="24"/>
          <w:szCs w:val="24"/>
        </w:rPr>
        <w:t xml:space="preserve">run </w:t>
      </w:r>
      <w:r w:rsidR="00AA0E12" w:rsidRPr="00CB2DE6">
        <w:rPr>
          <w:rFonts w:ascii="Times New Roman" w:hAnsi="Times New Roman" w:cs="Times New Roman"/>
          <w:sz w:val="24"/>
          <w:szCs w:val="24"/>
        </w:rPr>
        <w:t xml:space="preserve">component. In contrast, portfolios whose excess returns covary negatively with </w:t>
      </w:r>
      <w:r w:rsidR="004C2474" w:rsidRPr="00CB2DE6">
        <w:rPr>
          <w:rFonts w:ascii="Times New Roman" w:hAnsi="Times New Roman" w:cs="Times New Roman"/>
          <w:sz w:val="24"/>
          <w:szCs w:val="24"/>
        </w:rPr>
        <w:t>long-</w:t>
      </w:r>
      <w:r w:rsidR="003205F2" w:rsidRPr="00CB2DE6">
        <w:rPr>
          <w:rFonts w:ascii="Times New Roman" w:hAnsi="Times New Roman" w:cs="Times New Roman"/>
          <w:sz w:val="24"/>
          <w:szCs w:val="24"/>
        </w:rPr>
        <w:t xml:space="preserve">run </w:t>
      </w:r>
      <w:r w:rsidR="00AA0E12" w:rsidRPr="00CB2DE6">
        <w:rPr>
          <w:rFonts w:ascii="Times New Roman" w:hAnsi="Times New Roman" w:cs="Times New Roman"/>
          <w:sz w:val="24"/>
          <w:szCs w:val="24"/>
        </w:rPr>
        <w:t>component innovation</w:t>
      </w:r>
      <w:r w:rsidR="0002775F" w:rsidRPr="00CB2DE6">
        <w:rPr>
          <w:rFonts w:ascii="Times New Roman" w:hAnsi="Times New Roman" w:cs="Times New Roman"/>
          <w:sz w:val="24"/>
          <w:szCs w:val="24"/>
        </w:rPr>
        <w:t xml:space="preserve">s demand a higher risk premium. </w:t>
      </w:r>
      <w:r w:rsidR="00BE1272" w:rsidRPr="00CB2DE6">
        <w:rPr>
          <w:rFonts w:ascii="Times New Roman" w:hAnsi="Times New Roman" w:cs="Times New Roman"/>
          <w:sz w:val="24"/>
          <w:szCs w:val="24"/>
        </w:rPr>
        <w:t>C</w:t>
      </w:r>
      <w:r w:rsidR="00AA0E12" w:rsidRPr="00CB2DE6">
        <w:rPr>
          <w:rFonts w:ascii="Times New Roman" w:hAnsi="Times New Roman" w:cs="Times New Roman"/>
          <w:sz w:val="24"/>
          <w:szCs w:val="24"/>
        </w:rPr>
        <w:t xml:space="preserve">onsistent with </w:t>
      </w:r>
      <w:r w:rsidR="0002775F" w:rsidRPr="00CB2DE6">
        <w:rPr>
          <w:rFonts w:ascii="Times New Roman" w:hAnsi="Times New Roman" w:cs="Times New Roman"/>
          <w:sz w:val="24"/>
          <w:szCs w:val="24"/>
        </w:rPr>
        <w:t xml:space="preserve">other studies in this </w:t>
      </w:r>
      <w:r w:rsidR="003B07E3" w:rsidRPr="00CB2DE6">
        <w:rPr>
          <w:rFonts w:ascii="Times New Roman" w:hAnsi="Times New Roman" w:cs="Times New Roman"/>
          <w:sz w:val="24"/>
          <w:szCs w:val="24"/>
        </w:rPr>
        <w:t xml:space="preserve">strand of </w:t>
      </w:r>
      <w:r w:rsidR="0002775F" w:rsidRPr="00CB2DE6">
        <w:rPr>
          <w:rFonts w:ascii="Times New Roman" w:hAnsi="Times New Roman" w:cs="Times New Roman"/>
          <w:sz w:val="24"/>
          <w:szCs w:val="24"/>
        </w:rPr>
        <w:t>literature</w:t>
      </w:r>
      <w:r w:rsidR="00AA0E12" w:rsidRPr="00CB2DE6">
        <w:rPr>
          <w:rFonts w:ascii="Times New Roman" w:hAnsi="Times New Roman" w:cs="Times New Roman"/>
          <w:sz w:val="24"/>
          <w:szCs w:val="24"/>
        </w:rPr>
        <w:t xml:space="preserve"> (e.g., Burnside</w:t>
      </w:r>
      <w:r w:rsidR="001A4FD0" w:rsidRPr="00CB2DE6">
        <w:rPr>
          <w:rFonts w:ascii="Times New Roman" w:hAnsi="Times New Roman" w:cs="Times New Roman"/>
          <w:sz w:val="24"/>
          <w:szCs w:val="24"/>
        </w:rPr>
        <w:t xml:space="preserve"> (2012)</w:t>
      </w:r>
      <w:r w:rsidR="00AA0E12" w:rsidRPr="00CB2DE6">
        <w:rPr>
          <w:rFonts w:ascii="Times New Roman" w:hAnsi="Times New Roman" w:cs="Times New Roman"/>
          <w:sz w:val="24"/>
          <w:szCs w:val="24"/>
        </w:rPr>
        <w:t xml:space="preserve"> and Lustig</w:t>
      </w:r>
      <w:r w:rsidR="001A4FD0" w:rsidRPr="00CB2DE6">
        <w:rPr>
          <w:rFonts w:ascii="Times New Roman" w:hAnsi="Times New Roman" w:cs="Times New Roman"/>
          <w:sz w:val="24"/>
          <w:szCs w:val="24"/>
        </w:rPr>
        <w:t xml:space="preserve">, </w:t>
      </w:r>
      <w:r w:rsidR="00AA0E12" w:rsidRPr="00CB2DE6">
        <w:rPr>
          <w:rFonts w:ascii="Times New Roman" w:hAnsi="Times New Roman" w:cs="Times New Roman"/>
          <w:sz w:val="24"/>
          <w:szCs w:val="24"/>
        </w:rPr>
        <w:t>Roussanov</w:t>
      </w:r>
      <w:r w:rsidR="001A4FD0" w:rsidRPr="00CB2DE6">
        <w:rPr>
          <w:rFonts w:ascii="Times New Roman" w:hAnsi="Times New Roman" w:cs="Times New Roman"/>
          <w:sz w:val="24"/>
          <w:szCs w:val="24"/>
        </w:rPr>
        <w:t xml:space="preserve">, and </w:t>
      </w:r>
      <w:r w:rsidR="00AA0E12" w:rsidRPr="00CB2DE6">
        <w:rPr>
          <w:rFonts w:ascii="Times New Roman" w:hAnsi="Times New Roman" w:cs="Times New Roman"/>
          <w:sz w:val="24"/>
          <w:szCs w:val="24"/>
        </w:rPr>
        <w:t>Verdelhan</w:t>
      </w:r>
      <w:r w:rsidR="001A4FD0" w:rsidRPr="00CB2DE6">
        <w:rPr>
          <w:rFonts w:ascii="Times New Roman" w:hAnsi="Times New Roman" w:cs="Times New Roman"/>
          <w:sz w:val="24"/>
          <w:szCs w:val="24"/>
        </w:rPr>
        <w:t xml:space="preserve"> (</w:t>
      </w:r>
      <w:r w:rsidR="00AA0E12" w:rsidRPr="00CB2DE6">
        <w:rPr>
          <w:rFonts w:ascii="Times New Roman" w:hAnsi="Times New Roman" w:cs="Times New Roman"/>
          <w:sz w:val="24"/>
          <w:szCs w:val="24"/>
        </w:rPr>
        <w:t>2011</w:t>
      </w:r>
      <w:r w:rsidR="001A4FD0" w:rsidRPr="00CB2DE6">
        <w:rPr>
          <w:rFonts w:ascii="Times New Roman" w:hAnsi="Times New Roman" w:cs="Times New Roman"/>
          <w:sz w:val="24"/>
          <w:szCs w:val="24"/>
        </w:rPr>
        <w:t>)</w:t>
      </w:r>
      <w:r w:rsidR="00AA0E12" w:rsidRPr="00CB2DE6">
        <w:rPr>
          <w:rFonts w:ascii="Times New Roman" w:hAnsi="Times New Roman" w:cs="Times New Roman"/>
          <w:sz w:val="24"/>
          <w:szCs w:val="24"/>
        </w:rPr>
        <w:t xml:space="preserve">), the estimated risk price on the DOL factor is positive but insignificantly different from zero. This implies that the factor explains none of the cross-sectional variation in payoffs to the currency speculation strategy. Recall that the estimated betas for DOL are close to one and therefore the finding does not come as a surprise. The DOL factor only explains the average level of excess returns for currency portfolios. </w:t>
      </w:r>
      <w:r w:rsidR="001A4FD0" w:rsidRPr="00CB2DE6">
        <w:rPr>
          <w:rFonts w:ascii="Times New Roman" w:hAnsi="Times New Roman" w:cs="Times New Roman"/>
          <w:sz w:val="24"/>
          <w:szCs w:val="24"/>
        </w:rPr>
        <w:t xml:space="preserve">The cross-sectional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1A4FD0" w:rsidRPr="00CB2DE6">
        <w:rPr>
          <w:rFonts w:ascii="Times New Roman" w:hAnsi="Times New Roman" w:cs="Times New Roman"/>
          <w:sz w:val="24"/>
          <w:szCs w:val="24"/>
        </w:rPr>
        <w:t xml:space="preserve"> is very high at 98% for all and 86% for developed country samples. The mean absolute pricing error is reasonably low at 0.02% and 0.06% for all and developed country samples, respectively. The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sidR="001A4FD0" w:rsidRPr="00CB2DE6">
        <w:rPr>
          <w:rFonts w:ascii="Times New Roman" w:hAnsi="Times New Roman" w:cs="Times New Roman"/>
          <w:sz w:val="24"/>
          <w:szCs w:val="24"/>
        </w:rPr>
        <w:t xml:space="preserve">-statistics based on </w:t>
      </w:r>
      <w:r w:rsidR="003205F2" w:rsidRPr="00CB2DE6">
        <w:rPr>
          <w:rFonts w:ascii="Times New Roman" w:hAnsi="Times New Roman" w:cs="Times New Roman"/>
          <w:sz w:val="24"/>
          <w:szCs w:val="24"/>
        </w:rPr>
        <w:t xml:space="preserve">the </w:t>
      </w:r>
      <w:r w:rsidR="001A4FD0" w:rsidRPr="00CB2DE6">
        <w:rPr>
          <w:rFonts w:ascii="Times New Roman" w:hAnsi="Times New Roman" w:cs="Times New Roman"/>
          <w:sz w:val="24"/>
          <w:szCs w:val="24"/>
        </w:rPr>
        <w:t xml:space="preserve">GMM-HAC and Shanken (1992) suggest that the null hypothesis of no joint pricing errors cannot be rejected: all of the </w:t>
      </w:r>
      <w:r w:rsidR="001A4FD0" w:rsidRPr="00CB2DE6">
        <w:rPr>
          <w:rFonts w:ascii="Times New Roman" w:hAnsi="Times New Roman" w:cs="Times New Roman"/>
          <w:i/>
          <w:sz w:val="24"/>
          <w:szCs w:val="24"/>
        </w:rPr>
        <w:t>p</w:t>
      </w:r>
      <w:r w:rsidR="003205F2" w:rsidRPr="00CB2DE6">
        <w:rPr>
          <w:rFonts w:ascii="Times New Roman" w:hAnsi="Times New Roman" w:cs="Times New Roman"/>
          <w:sz w:val="24"/>
          <w:szCs w:val="24"/>
        </w:rPr>
        <w:t xml:space="preserve">-values exceed 10%. </w:t>
      </w:r>
      <w:r w:rsidR="00946C5C" w:rsidRPr="00CB2DE6">
        <w:rPr>
          <w:rFonts w:ascii="Times New Roman" w:hAnsi="Times New Roman" w:cs="Times New Roman"/>
          <w:sz w:val="24"/>
          <w:szCs w:val="24"/>
        </w:rPr>
        <w:t xml:space="preserve">The results of the estimations are qualitatively and quantitatively similar when portfolio returns are adjusted for transaction costs (see </w:t>
      </w:r>
      <w:r w:rsidR="00AA0E12" w:rsidRPr="00CB2DE6">
        <w:rPr>
          <w:rFonts w:ascii="Times New Roman" w:hAnsi="Times New Roman" w:cs="Times New Roman"/>
          <w:sz w:val="24"/>
          <w:szCs w:val="24"/>
        </w:rPr>
        <w:t>Table</w:t>
      </w:r>
      <w:r w:rsidR="001A4FD0" w:rsidRPr="00CB2DE6">
        <w:rPr>
          <w:rFonts w:ascii="Times New Roman" w:hAnsi="Times New Roman" w:cs="Times New Roman"/>
          <w:sz w:val="24"/>
          <w:szCs w:val="24"/>
        </w:rPr>
        <w:t xml:space="preserve"> </w:t>
      </w:r>
      <w:r w:rsidR="002007A7" w:rsidRPr="00CB2DE6">
        <w:rPr>
          <w:rFonts w:ascii="Times New Roman" w:hAnsi="Times New Roman" w:cs="Times New Roman"/>
          <w:sz w:val="24"/>
          <w:szCs w:val="24"/>
        </w:rPr>
        <w:t>I</w:t>
      </w:r>
      <w:r w:rsidR="00946C5C" w:rsidRPr="00CB2DE6">
        <w:rPr>
          <w:rFonts w:ascii="Times New Roman" w:hAnsi="Times New Roman" w:cs="Times New Roman"/>
          <w:sz w:val="24"/>
          <w:szCs w:val="24"/>
        </w:rPr>
        <w:t xml:space="preserve">A3 </w:t>
      </w:r>
      <w:r w:rsidR="002176D4">
        <w:rPr>
          <w:rFonts w:ascii="Times New Roman" w:hAnsi="Times New Roman" w:cs="Times New Roman"/>
          <w:sz w:val="24"/>
          <w:szCs w:val="24"/>
        </w:rPr>
        <w:t xml:space="preserve">in </w:t>
      </w:r>
      <w:r w:rsidR="00946C5C" w:rsidRPr="00CB2DE6">
        <w:rPr>
          <w:rFonts w:ascii="Times New Roman" w:hAnsi="Times New Roman" w:cs="Times New Roman"/>
          <w:sz w:val="24"/>
          <w:szCs w:val="24"/>
        </w:rPr>
        <w:t xml:space="preserve">the </w:t>
      </w:r>
      <w:r w:rsidR="00851094" w:rsidRPr="00CB2DE6">
        <w:rPr>
          <w:rFonts w:ascii="Times New Roman" w:hAnsi="Times New Roman" w:cs="Times New Roman"/>
          <w:sz w:val="24"/>
          <w:szCs w:val="24"/>
        </w:rPr>
        <w:t>I</w:t>
      </w:r>
      <w:r w:rsidR="00946C5C" w:rsidRPr="00CB2DE6">
        <w:rPr>
          <w:rFonts w:ascii="Times New Roman" w:hAnsi="Times New Roman" w:cs="Times New Roman"/>
          <w:sz w:val="24"/>
          <w:szCs w:val="24"/>
        </w:rPr>
        <w:t xml:space="preserve">nternet </w:t>
      </w:r>
      <w:r w:rsidR="00851094" w:rsidRPr="00CB2DE6">
        <w:rPr>
          <w:rFonts w:ascii="Times New Roman" w:hAnsi="Times New Roman" w:cs="Times New Roman"/>
          <w:sz w:val="24"/>
          <w:szCs w:val="24"/>
        </w:rPr>
        <w:t>A</w:t>
      </w:r>
      <w:r w:rsidR="00946C5C" w:rsidRPr="00CB2DE6">
        <w:rPr>
          <w:rFonts w:ascii="Times New Roman" w:hAnsi="Times New Roman" w:cs="Times New Roman"/>
          <w:sz w:val="24"/>
          <w:szCs w:val="24"/>
        </w:rPr>
        <w:t>ppendix)</w:t>
      </w:r>
      <w:r w:rsidR="003205F2" w:rsidRPr="00CB2DE6">
        <w:rPr>
          <w:rFonts w:ascii="Times New Roman" w:hAnsi="Times New Roman" w:cs="Times New Roman"/>
          <w:sz w:val="24"/>
          <w:szCs w:val="24"/>
        </w:rPr>
        <w:t>.</w:t>
      </w:r>
      <w:r w:rsidR="00AA0E12" w:rsidRPr="00CB2DE6">
        <w:rPr>
          <w:rFonts w:ascii="Times New Roman" w:hAnsi="Times New Roman" w:cs="Times New Roman"/>
          <w:sz w:val="24"/>
          <w:szCs w:val="24"/>
        </w:rPr>
        <w:t xml:space="preserve"> </w:t>
      </w:r>
    </w:p>
    <w:p w:rsidR="001A4FD0" w:rsidRPr="00CB2DE6" w:rsidRDefault="00BE1272" w:rsidP="005D5069">
      <w:pPr>
        <w:tabs>
          <w:tab w:val="left" w:pos="709"/>
        </w:tabs>
        <w:spacing w:after="360" w:line="360" w:lineRule="auto"/>
        <w:jc w:val="both"/>
        <w:rPr>
          <w:rFonts w:ascii="Times New Roman" w:hAnsi="Times New Roman" w:cs="Times New Roman"/>
          <w:sz w:val="24"/>
          <w:szCs w:val="24"/>
        </w:rPr>
      </w:pPr>
      <w:r w:rsidRPr="00CB2DE6">
        <w:rPr>
          <w:rFonts w:ascii="Times New Roman" w:hAnsi="Times New Roman" w:cs="Times New Roman"/>
          <w:sz w:val="24"/>
          <w:szCs w:val="24"/>
        </w:rPr>
        <w:tab/>
      </w:r>
      <w:r w:rsidR="006D57E3" w:rsidRPr="00CB2DE6">
        <w:rPr>
          <w:rFonts w:ascii="Times New Roman" w:hAnsi="Times New Roman" w:cs="Times New Roman"/>
          <w:sz w:val="24"/>
          <w:szCs w:val="24"/>
        </w:rPr>
        <w:t>Overall</w:t>
      </w:r>
      <w:r w:rsidR="00CD71F0" w:rsidRPr="00CB2DE6">
        <w:rPr>
          <w:rFonts w:ascii="Times New Roman" w:hAnsi="Times New Roman" w:cs="Times New Roman"/>
          <w:sz w:val="24"/>
          <w:szCs w:val="24"/>
        </w:rPr>
        <w:t>,</w:t>
      </w:r>
      <w:r w:rsidR="006D57E3" w:rsidRPr="00CB2DE6">
        <w:rPr>
          <w:rFonts w:ascii="Times New Roman" w:hAnsi="Times New Roman" w:cs="Times New Roman"/>
          <w:sz w:val="24"/>
          <w:szCs w:val="24"/>
        </w:rPr>
        <w:t xml:space="preserve"> our results suggest that the pricing effect of global FX volatility on the cross-section of carry trade returns recorded in existing studies is due to the pricing effect of the long-run component of FX volatility. Although, this finding confirms some preliminary evidence reported in earlier studies</w:t>
      </w:r>
      <w:r w:rsidR="00705591" w:rsidRPr="00CB2DE6">
        <w:rPr>
          <w:rFonts w:ascii="Times New Roman" w:hAnsi="Times New Roman" w:cs="Times New Roman"/>
          <w:sz w:val="24"/>
          <w:szCs w:val="24"/>
        </w:rPr>
        <w:t xml:space="preserve"> in the context of FX markets</w:t>
      </w:r>
      <w:r w:rsidR="006D57E3" w:rsidRPr="00CB2DE6">
        <w:rPr>
          <w:rFonts w:ascii="Times New Roman" w:hAnsi="Times New Roman" w:cs="Times New Roman"/>
          <w:sz w:val="24"/>
          <w:szCs w:val="24"/>
        </w:rPr>
        <w:t xml:space="preserve">, it is </w:t>
      </w:r>
      <w:r w:rsidR="004B1B88" w:rsidRPr="00CB2DE6">
        <w:rPr>
          <w:rFonts w:ascii="Times New Roman" w:hAnsi="Times New Roman" w:cs="Times New Roman"/>
          <w:sz w:val="24"/>
          <w:szCs w:val="24"/>
        </w:rPr>
        <w:t>different from</w:t>
      </w:r>
      <w:r w:rsidR="006D57E3" w:rsidRPr="00CB2DE6">
        <w:rPr>
          <w:rFonts w:ascii="Times New Roman" w:hAnsi="Times New Roman" w:cs="Times New Roman"/>
          <w:sz w:val="24"/>
          <w:szCs w:val="24"/>
        </w:rPr>
        <w:t xml:space="preserve"> the results </w:t>
      </w:r>
      <w:r w:rsidR="00705591" w:rsidRPr="00CB2DE6">
        <w:rPr>
          <w:rFonts w:ascii="Times New Roman" w:hAnsi="Times New Roman" w:cs="Times New Roman"/>
          <w:sz w:val="24"/>
          <w:szCs w:val="24"/>
        </w:rPr>
        <w:t xml:space="preserve">recorded in Adrian and </w:t>
      </w:r>
      <w:r w:rsidR="000C4AF6" w:rsidRPr="00CB2DE6">
        <w:rPr>
          <w:rFonts w:ascii="Times New Roman" w:hAnsi="Times New Roman" w:cs="Times New Roman"/>
          <w:sz w:val="24"/>
          <w:szCs w:val="24"/>
        </w:rPr>
        <w:t>Rosenberg</w:t>
      </w:r>
      <w:r w:rsidR="00705591" w:rsidRPr="00CB2DE6">
        <w:rPr>
          <w:rFonts w:ascii="Times New Roman" w:hAnsi="Times New Roman" w:cs="Times New Roman"/>
          <w:sz w:val="24"/>
          <w:szCs w:val="24"/>
        </w:rPr>
        <w:t xml:space="preserve"> (2008)</w:t>
      </w:r>
      <w:r w:rsidR="009D6259">
        <w:rPr>
          <w:rFonts w:ascii="Times New Roman" w:hAnsi="Times New Roman" w:cs="Times New Roman"/>
          <w:sz w:val="24"/>
          <w:szCs w:val="24"/>
        </w:rPr>
        <w:t>,</w:t>
      </w:r>
      <w:r w:rsidR="00705591" w:rsidRPr="00CB2DE6">
        <w:rPr>
          <w:rFonts w:ascii="Times New Roman" w:hAnsi="Times New Roman" w:cs="Times New Roman"/>
          <w:sz w:val="24"/>
          <w:szCs w:val="24"/>
        </w:rPr>
        <w:t xml:space="preserve"> who show that both components of stock market volatility exert a pricing effect on the cross-section of US equity returns. The difference between these </w:t>
      </w:r>
      <w:r w:rsidR="00705591" w:rsidRPr="00CB2DE6">
        <w:rPr>
          <w:rFonts w:ascii="Times New Roman" w:hAnsi="Times New Roman" w:cs="Times New Roman"/>
          <w:sz w:val="24"/>
          <w:szCs w:val="24"/>
        </w:rPr>
        <w:lastRenderedPageBreak/>
        <w:t xml:space="preserve">two results can be rationalized on the ground of different institutional settings characterizing FX and US equity markets. In fact, Adrian and </w:t>
      </w:r>
      <w:r w:rsidR="000C4AF6" w:rsidRPr="00CB2DE6">
        <w:rPr>
          <w:rFonts w:ascii="Times New Roman" w:hAnsi="Times New Roman" w:cs="Times New Roman"/>
          <w:sz w:val="24"/>
          <w:szCs w:val="24"/>
        </w:rPr>
        <w:t>Rosenberg</w:t>
      </w:r>
      <w:r w:rsidR="00705591" w:rsidRPr="00CB2DE6">
        <w:rPr>
          <w:rFonts w:ascii="Times New Roman" w:hAnsi="Times New Roman" w:cs="Times New Roman"/>
          <w:sz w:val="24"/>
          <w:szCs w:val="24"/>
        </w:rPr>
        <w:t xml:space="preserve"> (2008, p. 3012) argue that the short-run component of market volatility is correlated with the tightness of financial constraints and price impact of large trades of portfolio managers. It is well-known that FX markets are less regulated than equity markets. Hence, it is easier for currency managers to leverage their positions (King, Osler</w:t>
      </w:r>
      <w:r w:rsidR="00430F9C" w:rsidRPr="00CB2DE6">
        <w:rPr>
          <w:rFonts w:ascii="Times New Roman" w:hAnsi="Times New Roman" w:cs="Times New Roman"/>
          <w:sz w:val="24"/>
          <w:szCs w:val="24"/>
        </w:rPr>
        <w:t>,</w:t>
      </w:r>
      <w:r w:rsidR="00705591" w:rsidRPr="00CB2DE6">
        <w:rPr>
          <w:rFonts w:ascii="Times New Roman" w:hAnsi="Times New Roman" w:cs="Times New Roman"/>
          <w:sz w:val="24"/>
          <w:szCs w:val="24"/>
        </w:rPr>
        <w:t xml:space="preserve"> and Rime</w:t>
      </w:r>
      <w:r w:rsidR="00430F9C" w:rsidRPr="00CB2DE6">
        <w:rPr>
          <w:rFonts w:ascii="Times New Roman" w:hAnsi="Times New Roman" w:cs="Times New Roman"/>
          <w:sz w:val="24"/>
          <w:szCs w:val="24"/>
        </w:rPr>
        <w:t xml:space="preserve"> (</w:t>
      </w:r>
      <w:r w:rsidR="00705591" w:rsidRPr="00CB2DE6">
        <w:rPr>
          <w:rFonts w:ascii="Times New Roman" w:hAnsi="Times New Roman" w:cs="Times New Roman"/>
          <w:sz w:val="24"/>
          <w:szCs w:val="24"/>
        </w:rPr>
        <w:t>20</w:t>
      </w:r>
      <w:r w:rsidR="00A8110A" w:rsidRPr="00CB2DE6">
        <w:rPr>
          <w:rFonts w:ascii="Times New Roman" w:hAnsi="Times New Roman" w:cs="Times New Roman"/>
          <w:sz w:val="24"/>
          <w:szCs w:val="24"/>
        </w:rPr>
        <w:t>11)</w:t>
      </w:r>
      <w:r w:rsidR="00430F9C" w:rsidRPr="00CB2DE6">
        <w:rPr>
          <w:rFonts w:ascii="Times New Roman" w:hAnsi="Times New Roman" w:cs="Times New Roman"/>
          <w:sz w:val="24"/>
          <w:szCs w:val="24"/>
        </w:rPr>
        <w:t>)</w:t>
      </w:r>
      <w:r w:rsidR="00705591" w:rsidRPr="00CB2DE6">
        <w:rPr>
          <w:rFonts w:ascii="Times New Roman" w:hAnsi="Times New Roman" w:cs="Times New Roman"/>
          <w:sz w:val="24"/>
          <w:szCs w:val="24"/>
        </w:rPr>
        <w:t xml:space="preserve">. As a consequence, </w:t>
      </w:r>
      <w:r w:rsidR="00A8110A" w:rsidRPr="00CB2DE6">
        <w:rPr>
          <w:rFonts w:ascii="Times New Roman" w:hAnsi="Times New Roman" w:cs="Times New Roman"/>
          <w:sz w:val="24"/>
          <w:szCs w:val="24"/>
        </w:rPr>
        <w:t xml:space="preserve">in FX markets </w:t>
      </w:r>
      <w:r w:rsidR="005D5BE9">
        <w:rPr>
          <w:rFonts w:ascii="Times New Roman" w:hAnsi="Times New Roman" w:cs="Times New Roman"/>
          <w:sz w:val="24"/>
          <w:szCs w:val="24"/>
        </w:rPr>
        <w:t>financial</w:t>
      </w:r>
      <w:r w:rsidR="00705591" w:rsidRPr="00CB2DE6">
        <w:rPr>
          <w:rFonts w:ascii="Times New Roman" w:hAnsi="Times New Roman" w:cs="Times New Roman"/>
          <w:sz w:val="24"/>
          <w:szCs w:val="24"/>
        </w:rPr>
        <w:t xml:space="preserve"> constraints may bind less </w:t>
      </w:r>
      <w:r w:rsidR="00A8110A" w:rsidRPr="00CB2DE6">
        <w:rPr>
          <w:rFonts w:ascii="Times New Roman" w:hAnsi="Times New Roman" w:cs="Times New Roman"/>
          <w:sz w:val="24"/>
          <w:szCs w:val="24"/>
        </w:rPr>
        <w:t>than in equity markets. In addition, FX markets exhibit smaller price impact of trades as the amounts traded are an order of magnitude larger than equity markets</w:t>
      </w:r>
      <w:r w:rsidR="00430F9C" w:rsidRPr="00CB2DE6">
        <w:rPr>
          <w:rFonts w:ascii="Times New Roman" w:hAnsi="Times New Roman" w:cs="Times New Roman"/>
          <w:sz w:val="24"/>
          <w:szCs w:val="24"/>
        </w:rPr>
        <w:t xml:space="preserve"> </w:t>
      </w:r>
      <w:r w:rsidR="00A8110A" w:rsidRPr="00CB2DE6">
        <w:rPr>
          <w:rFonts w:ascii="Times New Roman" w:hAnsi="Times New Roman" w:cs="Times New Roman"/>
          <w:sz w:val="24"/>
          <w:szCs w:val="24"/>
        </w:rPr>
        <w:t>(Mancini, Ranaldo</w:t>
      </w:r>
      <w:r w:rsidR="00430F9C" w:rsidRPr="00CB2DE6">
        <w:rPr>
          <w:rFonts w:ascii="Times New Roman" w:hAnsi="Times New Roman" w:cs="Times New Roman"/>
          <w:sz w:val="24"/>
          <w:szCs w:val="24"/>
        </w:rPr>
        <w:t>,</w:t>
      </w:r>
      <w:r w:rsidR="00A8110A" w:rsidRPr="00CB2DE6">
        <w:rPr>
          <w:rFonts w:ascii="Times New Roman" w:hAnsi="Times New Roman" w:cs="Times New Roman"/>
          <w:sz w:val="24"/>
          <w:szCs w:val="24"/>
        </w:rPr>
        <w:t xml:space="preserve"> and Wrampelmeyer</w:t>
      </w:r>
      <w:r w:rsidR="00430F9C" w:rsidRPr="00CB2DE6">
        <w:rPr>
          <w:rFonts w:ascii="Times New Roman" w:hAnsi="Times New Roman" w:cs="Times New Roman"/>
          <w:sz w:val="24"/>
          <w:szCs w:val="24"/>
        </w:rPr>
        <w:t xml:space="preserve"> (</w:t>
      </w:r>
      <w:r w:rsidR="00A8110A" w:rsidRPr="00CB2DE6">
        <w:rPr>
          <w:rFonts w:ascii="Times New Roman" w:hAnsi="Times New Roman" w:cs="Times New Roman"/>
          <w:sz w:val="24"/>
          <w:szCs w:val="24"/>
        </w:rPr>
        <w:t>2013)</w:t>
      </w:r>
      <w:r w:rsidR="00430F9C" w:rsidRPr="00CB2DE6">
        <w:rPr>
          <w:rFonts w:ascii="Times New Roman" w:hAnsi="Times New Roman" w:cs="Times New Roman"/>
          <w:sz w:val="24"/>
          <w:szCs w:val="24"/>
        </w:rPr>
        <w:t>).</w:t>
      </w:r>
      <w:r w:rsidR="00A8110A" w:rsidRPr="00CB2DE6">
        <w:rPr>
          <w:rStyle w:val="FootnoteReference"/>
          <w:rFonts w:ascii="Times New Roman" w:hAnsi="Times New Roman" w:cs="Times New Roman"/>
          <w:sz w:val="24"/>
          <w:szCs w:val="24"/>
        </w:rPr>
        <w:footnoteReference w:id="18"/>
      </w:r>
      <w:r w:rsidR="004B1B88" w:rsidRPr="00CB2DE6">
        <w:rPr>
          <w:rFonts w:ascii="Times New Roman" w:hAnsi="Times New Roman" w:cs="Times New Roman"/>
          <w:sz w:val="24"/>
          <w:szCs w:val="24"/>
        </w:rPr>
        <w:t xml:space="preserve"> These differences suggest that, if short-run volatility pricing effects are really due to binding financial constraints and to price impact of large trades, such effects </w:t>
      </w:r>
      <w:r w:rsidR="0002775F" w:rsidRPr="00CB2DE6">
        <w:rPr>
          <w:rFonts w:ascii="Times New Roman" w:hAnsi="Times New Roman" w:cs="Times New Roman"/>
          <w:sz w:val="24"/>
          <w:szCs w:val="24"/>
        </w:rPr>
        <w:t>may</w:t>
      </w:r>
      <w:r w:rsidR="004B1B88" w:rsidRPr="00CB2DE6">
        <w:rPr>
          <w:rFonts w:ascii="Times New Roman" w:hAnsi="Times New Roman" w:cs="Times New Roman"/>
          <w:sz w:val="24"/>
          <w:szCs w:val="24"/>
        </w:rPr>
        <w:t xml:space="preserve"> exert less power on the cross-section of carry trade returns.</w:t>
      </w:r>
    </w:p>
    <w:p w:rsidR="0000247E" w:rsidRPr="00CB2DE6" w:rsidRDefault="001A4FD0" w:rsidP="00C11E4B">
      <w:pPr>
        <w:spacing w:after="120" w:line="360" w:lineRule="auto"/>
        <w:jc w:val="both"/>
        <w:rPr>
          <w:rFonts w:ascii="Times New Roman" w:hAnsi="Times New Roman" w:cs="Times New Roman"/>
          <w:b/>
          <w:sz w:val="28"/>
          <w:szCs w:val="28"/>
        </w:rPr>
      </w:pPr>
      <w:r w:rsidRPr="00CB2DE6">
        <w:rPr>
          <w:rFonts w:ascii="Times New Roman" w:hAnsi="Times New Roman" w:cs="Times New Roman"/>
          <w:b/>
          <w:sz w:val="28"/>
          <w:szCs w:val="28"/>
        </w:rPr>
        <w:t>5</w:t>
      </w:r>
      <w:r w:rsidR="008A11FD" w:rsidRPr="00CB2DE6">
        <w:rPr>
          <w:rFonts w:ascii="Times New Roman" w:hAnsi="Times New Roman" w:cs="Times New Roman"/>
          <w:b/>
          <w:sz w:val="28"/>
          <w:szCs w:val="28"/>
        </w:rPr>
        <w:t>.</w:t>
      </w:r>
      <w:r w:rsidR="00BB0085" w:rsidRPr="00CB2DE6">
        <w:rPr>
          <w:rFonts w:ascii="Times New Roman" w:hAnsi="Times New Roman" w:cs="Times New Roman"/>
          <w:b/>
          <w:sz w:val="28"/>
          <w:szCs w:val="28"/>
        </w:rPr>
        <w:tab/>
      </w:r>
      <w:r w:rsidR="0095596F" w:rsidRPr="00CB2DE6">
        <w:rPr>
          <w:rFonts w:ascii="Times New Roman" w:hAnsi="Times New Roman" w:cs="Times New Roman"/>
          <w:b/>
          <w:sz w:val="28"/>
          <w:szCs w:val="28"/>
        </w:rPr>
        <w:t>Robustness</w:t>
      </w:r>
    </w:p>
    <w:p w:rsidR="00C95DBD" w:rsidRPr="00CB2DE6" w:rsidRDefault="00C95DBD" w:rsidP="00C95DBD">
      <w:pPr>
        <w:spacing w:after="120" w:line="360" w:lineRule="auto"/>
        <w:jc w:val="both"/>
        <w:rPr>
          <w:rFonts w:ascii="Times New Roman" w:hAnsi="Times New Roman" w:cs="Times New Roman"/>
          <w:b/>
          <w:sz w:val="24"/>
          <w:szCs w:val="24"/>
        </w:rPr>
      </w:pPr>
      <w:r w:rsidRPr="00CB2DE6">
        <w:rPr>
          <w:rFonts w:ascii="Times New Roman" w:hAnsi="Times New Roman" w:cs="Times New Roman"/>
          <w:b/>
          <w:sz w:val="28"/>
          <w:szCs w:val="28"/>
        </w:rPr>
        <w:tab/>
      </w:r>
      <w:r w:rsidRPr="00CB2DE6">
        <w:rPr>
          <w:rFonts w:ascii="Times New Roman" w:hAnsi="Times New Roman" w:cs="Times New Roman"/>
          <w:b/>
          <w:sz w:val="24"/>
          <w:szCs w:val="24"/>
        </w:rPr>
        <w:t>5.1</w:t>
      </w:r>
      <w:r w:rsidRPr="00CB2DE6">
        <w:rPr>
          <w:rFonts w:ascii="Times New Roman" w:hAnsi="Times New Roman" w:cs="Times New Roman"/>
          <w:b/>
          <w:sz w:val="24"/>
          <w:szCs w:val="24"/>
        </w:rPr>
        <w:tab/>
        <w:t xml:space="preserve">Alternative </w:t>
      </w:r>
      <w:r w:rsidR="00307D6E" w:rsidRPr="00CB2DE6">
        <w:rPr>
          <w:rFonts w:ascii="Times New Roman" w:hAnsi="Times New Roman" w:cs="Times New Roman"/>
          <w:b/>
          <w:sz w:val="24"/>
          <w:szCs w:val="24"/>
        </w:rPr>
        <w:t>V</w:t>
      </w:r>
      <w:r w:rsidRPr="00CB2DE6">
        <w:rPr>
          <w:rFonts w:ascii="Times New Roman" w:hAnsi="Times New Roman" w:cs="Times New Roman"/>
          <w:b/>
          <w:sz w:val="24"/>
          <w:szCs w:val="24"/>
        </w:rPr>
        <w:t xml:space="preserve">olatility </w:t>
      </w:r>
      <w:r w:rsidR="00307D6E" w:rsidRPr="00CB2DE6">
        <w:rPr>
          <w:rFonts w:ascii="Times New Roman" w:hAnsi="Times New Roman" w:cs="Times New Roman"/>
          <w:b/>
          <w:sz w:val="24"/>
          <w:szCs w:val="24"/>
        </w:rPr>
        <w:t>D</w:t>
      </w:r>
      <w:r w:rsidRPr="00CB2DE6">
        <w:rPr>
          <w:rFonts w:ascii="Times New Roman" w:hAnsi="Times New Roman" w:cs="Times New Roman"/>
          <w:b/>
          <w:sz w:val="24"/>
          <w:szCs w:val="24"/>
        </w:rPr>
        <w:t>ecompositions</w:t>
      </w:r>
    </w:p>
    <w:p w:rsidR="001601F4" w:rsidRPr="00CB2DE6" w:rsidRDefault="00C95DBD" w:rsidP="00D03147">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The asset pricing </w:t>
      </w:r>
      <w:r w:rsidR="006220FC" w:rsidRPr="00CB2DE6">
        <w:rPr>
          <w:rFonts w:ascii="Times New Roman" w:hAnsi="Times New Roman" w:cs="Times New Roman"/>
          <w:sz w:val="24"/>
          <w:szCs w:val="24"/>
        </w:rPr>
        <w:t>tests</w:t>
      </w:r>
      <w:r w:rsidRPr="00CB2DE6">
        <w:rPr>
          <w:rFonts w:ascii="Times New Roman" w:hAnsi="Times New Roman" w:cs="Times New Roman"/>
          <w:sz w:val="24"/>
          <w:szCs w:val="24"/>
        </w:rPr>
        <w:t xml:space="preserve"> reported in Section 4 are based on the estimates of the </w:t>
      </w:r>
      <w:r w:rsidR="006220FC" w:rsidRPr="00CB2DE6">
        <w:rPr>
          <w:rFonts w:ascii="Times New Roman" w:hAnsi="Times New Roman" w:cs="Times New Roman"/>
          <w:sz w:val="24"/>
          <w:szCs w:val="24"/>
        </w:rPr>
        <w:t>C</w:t>
      </w:r>
      <w:r w:rsidRPr="00CB2DE6">
        <w:rPr>
          <w:rFonts w:ascii="Times New Roman" w:hAnsi="Times New Roman" w:cs="Times New Roman"/>
          <w:sz w:val="24"/>
          <w:szCs w:val="24"/>
        </w:rPr>
        <w:t xml:space="preserve">GARCH model discussed in Section 3. In this </w:t>
      </w:r>
      <w:r w:rsidR="006220FC" w:rsidRPr="00CB2DE6">
        <w:rPr>
          <w:rFonts w:ascii="Times New Roman" w:hAnsi="Times New Roman" w:cs="Times New Roman"/>
          <w:sz w:val="24"/>
          <w:szCs w:val="24"/>
        </w:rPr>
        <w:t>s</w:t>
      </w:r>
      <w:r w:rsidRPr="00CB2DE6">
        <w:rPr>
          <w:rFonts w:ascii="Times New Roman" w:hAnsi="Times New Roman" w:cs="Times New Roman"/>
          <w:sz w:val="24"/>
          <w:szCs w:val="24"/>
        </w:rPr>
        <w:t>ection</w:t>
      </w:r>
      <w:r w:rsidR="00851094" w:rsidRPr="00CB2DE6">
        <w:rPr>
          <w:rFonts w:ascii="Times New Roman" w:hAnsi="Times New Roman" w:cs="Times New Roman"/>
          <w:sz w:val="24"/>
          <w:szCs w:val="24"/>
        </w:rPr>
        <w:t>,</w:t>
      </w:r>
      <w:r w:rsidRPr="00CB2DE6">
        <w:rPr>
          <w:rFonts w:ascii="Times New Roman" w:hAnsi="Times New Roman" w:cs="Times New Roman"/>
          <w:sz w:val="24"/>
          <w:szCs w:val="24"/>
        </w:rPr>
        <w:t xml:space="preserve"> we assess the robustness of our baseline results to alternative volatility decomposition methods which do not necessarily rely on </w:t>
      </w:r>
      <w:r w:rsidR="006220FC" w:rsidRPr="00CB2DE6">
        <w:rPr>
          <w:rFonts w:ascii="Times New Roman" w:hAnsi="Times New Roman" w:cs="Times New Roman"/>
          <w:sz w:val="24"/>
          <w:szCs w:val="24"/>
        </w:rPr>
        <w:t>GARCH</w:t>
      </w:r>
      <w:r w:rsidRPr="00CB2DE6">
        <w:rPr>
          <w:rFonts w:ascii="Times New Roman" w:hAnsi="Times New Roman" w:cs="Times New Roman"/>
          <w:sz w:val="24"/>
          <w:szCs w:val="24"/>
        </w:rPr>
        <w:t xml:space="preserve"> model estimations. More specifically, we decompose global FX volatility into </w:t>
      </w:r>
      <w:r w:rsidR="00307D6E" w:rsidRPr="00CB2DE6">
        <w:rPr>
          <w:rFonts w:ascii="Times New Roman" w:hAnsi="Times New Roman" w:cs="Times New Roman"/>
          <w:sz w:val="24"/>
          <w:szCs w:val="24"/>
        </w:rPr>
        <w:t xml:space="preserve">transitory/short-run and </w:t>
      </w:r>
      <w:r w:rsidRPr="00CB2DE6">
        <w:rPr>
          <w:rFonts w:ascii="Times New Roman" w:hAnsi="Times New Roman" w:cs="Times New Roman"/>
          <w:sz w:val="24"/>
          <w:szCs w:val="24"/>
        </w:rPr>
        <w:t>persistent</w:t>
      </w:r>
      <w:r w:rsidR="006220FC" w:rsidRPr="00CB2DE6">
        <w:rPr>
          <w:rFonts w:ascii="Times New Roman" w:hAnsi="Times New Roman" w:cs="Times New Roman"/>
          <w:sz w:val="24"/>
          <w:szCs w:val="24"/>
        </w:rPr>
        <w:t>/long-</w:t>
      </w:r>
      <w:r w:rsidR="00392B91" w:rsidRPr="00CB2DE6">
        <w:rPr>
          <w:rFonts w:ascii="Times New Roman" w:hAnsi="Times New Roman" w:cs="Times New Roman"/>
          <w:sz w:val="24"/>
          <w:szCs w:val="24"/>
        </w:rPr>
        <w:t xml:space="preserve">run </w:t>
      </w:r>
      <w:r w:rsidRPr="00CB2DE6">
        <w:rPr>
          <w:rFonts w:ascii="Times New Roman" w:hAnsi="Times New Roman" w:cs="Times New Roman"/>
          <w:sz w:val="24"/>
          <w:szCs w:val="24"/>
        </w:rPr>
        <w:t>components us</w:t>
      </w:r>
      <w:r w:rsidR="0002775F" w:rsidRPr="00CB2DE6">
        <w:rPr>
          <w:rFonts w:ascii="Times New Roman" w:hAnsi="Times New Roman" w:cs="Times New Roman"/>
          <w:sz w:val="24"/>
          <w:szCs w:val="24"/>
        </w:rPr>
        <w:t>ing the following methodologies:</w:t>
      </w:r>
      <w:r w:rsidR="00027A49" w:rsidRPr="00CB2DE6">
        <w:rPr>
          <w:rFonts w:ascii="Times New Roman" w:hAnsi="Times New Roman" w:cs="Times New Roman"/>
          <w:sz w:val="24"/>
          <w:szCs w:val="24"/>
        </w:rPr>
        <w:t xml:space="preserve"> (</w:t>
      </w:r>
      <w:r w:rsidR="0002775F" w:rsidRPr="00CB2DE6">
        <w:rPr>
          <w:rFonts w:ascii="Times New Roman" w:hAnsi="Times New Roman" w:cs="Times New Roman"/>
          <w:sz w:val="24"/>
          <w:szCs w:val="24"/>
        </w:rPr>
        <w:t>1</w:t>
      </w:r>
      <w:r w:rsidR="00027A49"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two-factor stochastic volatility model </w:t>
      </w:r>
      <w:r w:rsidR="006220FC" w:rsidRPr="00CB2DE6">
        <w:rPr>
          <w:rFonts w:ascii="Times New Roman" w:hAnsi="Times New Roman" w:cs="Times New Roman"/>
          <w:sz w:val="24"/>
          <w:szCs w:val="24"/>
        </w:rPr>
        <w:t>of</w:t>
      </w:r>
      <w:r w:rsidRPr="00CB2DE6">
        <w:rPr>
          <w:rFonts w:ascii="Times New Roman" w:hAnsi="Times New Roman" w:cs="Times New Roman"/>
          <w:sz w:val="24"/>
          <w:szCs w:val="24"/>
        </w:rPr>
        <w:t xml:space="preserve"> the price range </w:t>
      </w:r>
      <w:r w:rsidR="0002775F" w:rsidRPr="00CB2DE6">
        <w:rPr>
          <w:rFonts w:ascii="Times New Roman" w:hAnsi="Times New Roman" w:cs="Times New Roman"/>
          <w:sz w:val="24"/>
          <w:szCs w:val="24"/>
        </w:rPr>
        <w:t>proposed</w:t>
      </w:r>
      <w:r w:rsidR="00851094" w:rsidRPr="00CB2DE6">
        <w:rPr>
          <w:rFonts w:ascii="Times New Roman" w:hAnsi="Times New Roman" w:cs="Times New Roman"/>
          <w:sz w:val="24"/>
          <w:szCs w:val="24"/>
        </w:rPr>
        <w:t xml:space="preserve"> by </w:t>
      </w:r>
      <w:r w:rsidRPr="00CB2DE6">
        <w:rPr>
          <w:rFonts w:ascii="Times New Roman" w:hAnsi="Times New Roman" w:cs="Times New Roman"/>
          <w:sz w:val="24"/>
          <w:szCs w:val="24"/>
        </w:rPr>
        <w:t>Alizadeh</w:t>
      </w:r>
      <w:r w:rsidR="00027A49" w:rsidRPr="00CB2DE6">
        <w:rPr>
          <w:rFonts w:ascii="Times New Roman" w:hAnsi="Times New Roman" w:cs="Times New Roman"/>
          <w:sz w:val="24"/>
          <w:szCs w:val="24"/>
        </w:rPr>
        <w:t>, Brandt, and Diebold (</w:t>
      </w:r>
      <w:r w:rsidRPr="00CB2DE6">
        <w:rPr>
          <w:rFonts w:ascii="Times New Roman" w:hAnsi="Times New Roman" w:cs="Times New Roman"/>
          <w:sz w:val="24"/>
          <w:szCs w:val="24"/>
        </w:rPr>
        <w:t>2002)</w:t>
      </w:r>
      <w:r w:rsidR="006F19C7">
        <w:rPr>
          <w:rFonts w:ascii="Times New Roman" w:hAnsi="Times New Roman" w:cs="Times New Roman"/>
          <w:sz w:val="24"/>
          <w:szCs w:val="24"/>
        </w:rPr>
        <w:t>;</w:t>
      </w:r>
      <w:r w:rsidR="00D03147" w:rsidRPr="00DE019C">
        <w:rPr>
          <w:rStyle w:val="FootnoteReference"/>
          <w:rFonts w:ascii="Times New Roman" w:hAnsi="Times New Roman" w:cs="Times New Roman"/>
          <w:sz w:val="24"/>
          <w:szCs w:val="24"/>
        </w:rPr>
        <w:footnoteReference w:id="19"/>
      </w:r>
      <w:r w:rsidR="00D03147">
        <w:rPr>
          <w:rFonts w:ascii="Times New Roman" w:hAnsi="Times New Roman" w:cs="Times New Roman"/>
          <w:sz w:val="24"/>
          <w:szCs w:val="24"/>
        </w:rPr>
        <w:t xml:space="preserve"> </w:t>
      </w:r>
      <w:r w:rsidR="00027A49" w:rsidRPr="00CB2DE6">
        <w:rPr>
          <w:rFonts w:ascii="Times New Roman" w:hAnsi="Times New Roman" w:cs="Times New Roman"/>
          <w:sz w:val="24"/>
          <w:szCs w:val="24"/>
        </w:rPr>
        <w:t>(</w:t>
      </w:r>
      <w:r w:rsidR="004245B1" w:rsidRPr="00CB2DE6">
        <w:rPr>
          <w:rFonts w:ascii="Times New Roman" w:hAnsi="Times New Roman" w:cs="Times New Roman"/>
          <w:sz w:val="24"/>
          <w:szCs w:val="24"/>
        </w:rPr>
        <w:t>2</w:t>
      </w:r>
      <w:r w:rsidR="00027A49" w:rsidRPr="00CB2DE6">
        <w:rPr>
          <w:rFonts w:ascii="Times New Roman" w:hAnsi="Times New Roman" w:cs="Times New Roman"/>
          <w:sz w:val="24"/>
          <w:szCs w:val="24"/>
        </w:rPr>
        <w:t xml:space="preserve">) </w:t>
      </w:r>
      <w:r w:rsidRPr="00CB2DE6">
        <w:rPr>
          <w:rFonts w:ascii="Times New Roman" w:hAnsi="Times New Roman" w:cs="Times New Roman"/>
          <w:sz w:val="24"/>
          <w:szCs w:val="24"/>
        </w:rPr>
        <w:t>Hodrick</w:t>
      </w:r>
      <w:r w:rsidR="00027A49" w:rsidRPr="00CB2DE6">
        <w:rPr>
          <w:rFonts w:ascii="Times New Roman" w:hAnsi="Times New Roman" w:cs="Times New Roman"/>
          <w:sz w:val="24"/>
          <w:szCs w:val="24"/>
        </w:rPr>
        <w:t xml:space="preserve"> and </w:t>
      </w:r>
      <w:r w:rsidRPr="00CB2DE6">
        <w:rPr>
          <w:rFonts w:ascii="Times New Roman" w:hAnsi="Times New Roman" w:cs="Times New Roman"/>
          <w:sz w:val="24"/>
          <w:szCs w:val="24"/>
        </w:rPr>
        <w:t>Prescott</w:t>
      </w:r>
      <w:r w:rsidR="00027A49" w:rsidRPr="00CB2DE6">
        <w:rPr>
          <w:rFonts w:ascii="Times New Roman" w:hAnsi="Times New Roman" w:cs="Times New Roman"/>
          <w:sz w:val="24"/>
          <w:szCs w:val="24"/>
        </w:rPr>
        <w:t xml:space="preserve"> (1997) </w:t>
      </w:r>
      <w:r w:rsidRPr="00CB2DE6">
        <w:rPr>
          <w:rFonts w:ascii="Times New Roman" w:hAnsi="Times New Roman" w:cs="Times New Roman"/>
          <w:sz w:val="24"/>
          <w:szCs w:val="24"/>
        </w:rPr>
        <w:t>filter</w:t>
      </w:r>
      <w:r w:rsidR="00664153" w:rsidRPr="00CB2DE6">
        <w:rPr>
          <w:rFonts w:ascii="Times New Roman" w:hAnsi="Times New Roman" w:cs="Times New Roman"/>
          <w:sz w:val="24"/>
          <w:szCs w:val="24"/>
        </w:rPr>
        <w:t>;</w:t>
      </w:r>
      <w:r w:rsidR="004245B1" w:rsidRPr="00CB2DE6">
        <w:rPr>
          <w:rFonts w:ascii="Times New Roman" w:hAnsi="Times New Roman" w:cs="Times New Roman"/>
          <w:sz w:val="24"/>
          <w:szCs w:val="24"/>
        </w:rPr>
        <w:t xml:space="preserve"> and (3) Beveridge and Nelson (1981) decomposition</w:t>
      </w:r>
      <w:r w:rsidRPr="00CB2DE6">
        <w:rPr>
          <w:rFonts w:ascii="Times New Roman" w:hAnsi="Times New Roman" w:cs="Times New Roman"/>
          <w:sz w:val="24"/>
          <w:szCs w:val="24"/>
        </w:rPr>
        <w:t>. We have selected these three methodologies as</w:t>
      </w:r>
      <w:r w:rsidR="00664153" w:rsidRPr="00CB2DE6">
        <w:rPr>
          <w:rFonts w:ascii="Times New Roman" w:hAnsi="Times New Roman" w:cs="Times New Roman"/>
          <w:sz w:val="24"/>
          <w:szCs w:val="24"/>
        </w:rPr>
        <w:t xml:space="preserve">: </w:t>
      </w:r>
      <w:r w:rsidR="004245B1" w:rsidRPr="00CB2DE6">
        <w:rPr>
          <w:rFonts w:ascii="Times New Roman" w:hAnsi="Times New Roman" w:cs="Times New Roman"/>
          <w:sz w:val="24"/>
          <w:szCs w:val="24"/>
        </w:rPr>
        <w:t xml:space="preserve">(1) </w:t>
      </w:r>
      <w:r w:rsidRPr="00CB2DE6">
        <w:rPr>
          <w:rFonts w:ascii="Times New Roman" w:hAnsi="Times New Roman" w:cs="Times New Roman"/>
          <w:sz w:val="24"/>
          <w:szCs w:val="24"/>
        </w:rPr>
        <w:t xml:space="preserve">they have been previously </w:t>
      </w:r>
      <w:r w:rsidR="006220FC" w:rsidRPr="00CB2DE6">
        <w:rPr>
          <w:rFonts w:ascii="Times New Roman" w:hAnsi="Times New Roman" w:cs="Times New Roman"/>
          <w:sz w:val="24"/>
          <w:szCs w:val="24"/>
        </w:rPr>
        <w:t xml:space="preserve">successfully </w:t>
      </w:r>
      <w:r w:rsidRPr="00CB2DE6">
        <w:rPr>
          <w:rFonts w:ascii="Times New Roman" w:hAnsi="Times New Roman" w:cs="Times New Roman"/>
          <w:sz w:val="24"/>
          <w:szCs w:val="24"/>
        </w:rPr>
        <w:t>applied in the context of FX markets (Alizadeh</w:t>
      </w:r>
      <w:r w:rsidR="00027A49" w:rsidRPr="00CB2DE6">
        <w:rPr>
          <w:rFonts w:ascii="Times New Roman" w:hAnsi="Times New Roman" w:cs="Times New Roman"/>
          <w:sz w:val="24"/>
          <w:szCs w:val="24"/>
        </w:rPr>
        <w:t>, Brandt, and Diebold (</w:t>
      </w:r>
      <w:r w:rsidRPr="00CB2DE6">
        <w:rPr>
          <w:rFonts w:ascii="Times New Roman" w:hAnsi="Times New Roman" w:cs="Times New Roman"/>
          <w:sz w:val="24"/>
          <w:szCs w:val="24"/>
        </w:rPr>
        <w:t>2002)</w:t>
      </w:r>
      <w:r w:rsidR="00027A49" w:rsidRPr="00CB2DE6">
        <w:rPr>
          <w:rFonts w:ascii="Times New Roman" w:hAnsi="Times New Roman" w:cs="Times New Roman"/>
          <w:sz w:val="24"/>
          <w:szCs w:val="24"/>
        </w:rPr>
        <w:t>)</w:t>
      </w:r>
      <w:r w:rsidR="00664153" w:rsidRPr="00CB2DE6">
        <w:rPr>
          <w:rFonts w:ascii="Times New Roman" w:hAnsi="Times New Roman" w:cs="Times New Roman"/>
          <w:sz w:val="24"/>
          <w:szCs w:val="24"/>
        </w:rPr>
        <w:t xml:space="preserve">; </w:t>
      </w:r>
      <w:r w:rsidR="004245B1" w:rsidRPr="00CB2DE6">
        <w:rPr>
          <w:rFonts w:ascii="Times New Roman" w:hAnsi="Times New Roman" w:cs="Times New Roman"/>
          <w:sz w:val="24"/>
          <w:szCs w:val="24"/>
        </w:rPr>
        <w:t xml:space="preserve">(2) </w:t>
      </w:r>
      <w:r w:rsidRPr="00CB2DE6">
        <w:rPr>
          <w:rFonts w:ascii="Times New Roman" w:hAnsi="Times New Roman" w:cs="Times New Roman"/>
          <w:sz w:val="24"/>
          <w:szCs w:val="24"/>
        </w:rPr>
        <w:t>because the estimates of the long-</w:t>
      </w:r>
      <w:r w:rsidR="00851094" w:rsidRPr="00CB2DE6">
        <w:rPr>
          <w:rFonts w:ascii="Times New Roman" w:hAnsi="Times New Roman" w:cs="Times New Roman"/>
          <w:sz w:val="24"/>
          <w:szCs w:val="24"/>
        </w:rPr>
        <w:t xml:space="preserve">run </w:t>
      </w:r>
      <w:r w:rsidRPr="00CB2DE6">
        <w:rPr>
          <w:rFonts w:ascii="Times New Roman" w:hAnsi="Times New Roman" w:cs="Times New Roman"/>
          <w:sz w:val="24"/>
          <w:szCs w:val="24"/>
        </w:rPr>
        <w:t xml:space="preserve">volatility component are very similar to the ones implied by a </w:t>
      </w:r>
      <w:r w:rsidR="000A4981" w:rsidRPr="00CB2DE6">
        <w:rPr>
          <w:rFonts w:ascii="Times New Roman" w:hAnsi="Times New Roman" w:cs="Times New Roman"/>
          <w:sz w:val="24"/>
          <w:szCs w:val="24"/>
        </w:rPr>
        <w:t>C</w:t>
      </w:r>
      <w:r w:rsidR="004245B1" w:rsidRPr="00CB2DE6">
        <w:rPr>
          <w:rFonts w:ascii="Times New Roman" w:hAnsi="Times New Roman" w:cs="Times New Roman"/>
          <w:sz w:val="24"/>
          <w:szCs w:val="24"/>
        </w:rPr>
        <w:t xml:space="preserve">EGARCH model, </w:t>
      </w:r>
      <w:r w:rsidRPr="00CB2DE6">
        <w:rPr>
          <w:rFonts w:ascii="Times New Roman" w:hAnsi="Times New Roman" w:cs="Times New Roman"/>
          <w:sz w:val="24"/>
          <w:szCs w:val="24"/>
        </w:rPr>
        <w:t xml:space="preserve">as suggested by Adrian and </w:t>
      </w:r>
      <w:r w:rsidR="00027A49" w:rsidRPr="00CB2DE6">
        <w:rPr>
          <w:rFonts w:ascii="Times New Roman" w:hAnsi="Times New Roman" w:cs="Times New Roman"/>
          <w:sz w:val="24"/>
          <w:szCs w:val="24"/>
        </w:rPr>
        <w:t>Rosenberg (</w:t>
      </w:r>
      <w:r w:rsidRPr="00CB2DE6">
        <w:rPr>
          <w:rFonts w:ascii="Times New Roman" w:hAnsi="Times New Roman" w:cs="Times New Roman"/>
          <w:sz w:val="24"/>
          <w:szCs w:val="24"/>
        </w:rPr>
        <w:t>2008 p. 3003</w:t>
      </w:r>
      <w:r w:rsidR="00307D6E" w:rsidRPr="00CB2DE6">
        <w:rPr>
          <w:rFonts w:ascii="Times New Roman" w:hAnsi="Times New Roman" w:cs="Times New Roman"/>
          <w:sz w:val="24"/>
          <w:szCs w:val="24"/>
        </w:rPr>
        <w:t>−</w:t>
      </w:r>
      <w:r w:rsidR="00664153" w:rsidRPr="00CB2DE6">
        <w:rPr>
          <w:rFonts w:ascii="Times New Roman" w:hAnsi="Times New Roman" w:cs="Times New Roman"/>
          <w:sz w:val="24"/>
          <w:szCs w:val="24"/>
        </w:rPr>
        <w:t>300</w:t>
      </w:r>
      <w:r w:rsidRPr="00CB2DE6">
        <w:rPr>
          <w:rFonts w:ascii="Times New Roman" w:hAnsi="Times New Roman" w:cs="Times New Roman"/>
          <w:sz w:val="24"/>
          <w:szCs w:val="24"/>
        </w:rPr>
        <w:t>4)</w:t>
      </w:r>
      <w:r w:rsidR="00F07D4A" w:rsidRPr="00CB2DE6">
        <w:rPr>
          <w:rFonts w:ascii="Times New Roman" w:hAnsi="Times New Roman" w:cs="Times New Roman"/>
          <w:sz w:val="24"/>
          <w:szCs w:val="24"/>
        </w:rPr>
        <w:t xml:space="preserve">; and </w:t>
      </w:r>
      <w:r w:rsidR="004245B1" w:rsidRPr="00CB2DE6">
        <w:rPr>
          <w:rFonts w:ascii="Times New Roman" w:hAnsi="Times New Roman" w:cs="Times New Roman"/>
          <w:sz w:val="24"/>
          <w:szCs w:val="24"/>
        </w:rPr>
        <w:t xml:space="preserve">(3) </w:t>
      </w:r>
      <w:r w:rsidRPr="00CB2DE6">
        <w:rPr>
          <w:rFonts w:ascii="Times New Roman" w:hAnsi="Times New Roman" w:cs="Times New Roman"/>
          <w:sz w:val="24"/>
          <w:szCs w:val="24"/>
        </w:rPr>
        <w:t xml:space="preserve">or for their easier computational implementation in comparison with fully-fledged </w:t>
      </w:r>
      <w:r w:rsidR="006220FC" w:rsidRPr="00CB2DE6">
        <w:rPr>
          <w:rFonts w:ascii="Times New Roman" w:hAnsi="Times New Roman" w:cs="Times New Roman"/>
          <w:sz w:val="24"/>
          <w:szCs w:val="24"/>
        </w:rPr>
        <w:t xml:space="preserve">parametric </w:t>
      </w:r>
      <w:r w:rsidRPr="00CB2DE6">
        <w:rPr>
          <w:rFonts w:ascii="Times New Roman" w:hAnsi="Times New Roman" w:cs="Times New Roman"/>
          <w:sz w:val="24"/>
          <w:szCs w:val="24"/>
        </w:rPr>
        <w:t>volatility models.</w:t>
      </w:r>
      <w:r w:rsidR="006220FC" w:rsidRPr="00CB2DE6">
        <w:rPr>
          <w:rStyle w:val="FootnoteReference"/>
          <w:rFonts w:ascii="Times New Roman" w:hAnsi="Times New Roman" w:cs="Times New Roman"/>
          <w:sz w:val="24"/>
          <w:szCs w:val="24"/>
        </w:rPr>
        <w:footnoteReference w:id="20"/>
      </w:r>
      <w:r w:rsidRPr="00CB2DE6">
        <w:rPr>
          <w:rFonts w:ascii="Times New Roman" w:hAnsi="Times New Roman" w:cs="Times New Roman"/>
          <w:sz w:val="24"/>
          <w:szCs w:val="24"/>
        </w:rPr>
        <w:t xml:space="preserve"> </w:t>
      </w:r>
    </w:p>
    <w:p w:rsidR="00C95DBD" w:rsidRPr="00CB2DE6" w:rsidRDefault="00C95DBD" w:rsidP="00027A49">
      <w:pPr>
        <w:spacing w:after="240" w:line="360" w:lineRule="auto"/>
        <w:ind w:firstLine="720"/>
        <w:jc w:val="both"/>
        <w:rPr>
          <w:rFonts w:ascii="Times New Roman" w:hAnsi="Times New Roman" w:cs="Times New Roman"/>
          <w:b/>
          <w:sz w:val="28"/>
          <w:szCs w:val="28"/>
        </w:rPr>
      </w:pPr>
      <w:r w:rsidRPr="00CB2DE6">
        <w:rPr>
          <w:rFonts w:ascii="Times New Roman" w:hAnsi="Times New Roman" w:cs="Times New Roman"/>
          <w:sz w:val="24"/>
          <w:szCs w:val="24"/>
        </w:rPr>
        <w:t xml:space="preserve">The results of the asset pricing tests </w:t>
      </w:r>
      <w:r w:rsidR="006220FC" w:rsidRPr="00CB2DE6">
        <w:rPr>
          <w:rFonts w:ascii="Times New Roman" w:hAnsi="Times New Roman" w:cs="Times New Roman"/>
          <w:sz w:val="24"/>
          <w:szCs w:val="24"/>
        </w:rPr>
        <w:t xml:space="preserve">using alternative volatility decompositions </w:t>
      </w:r>
      <w:r w:rsidRPr="00CB2DE6">
        <w:rPr>
          <w:rFonts w:ascii="Times New Roman" w:hAnsi="Times New Roman" w:cs="Times New Roman"/>
          <w:sz w:val="24"/>
          <w:szCs w:val="24"/>
        </w:rPr>
        <w:t>are reported in Table</w:t>
      </w:r>
      <w:r w:rsidR="002007A7" w:rsidRPr="00CB2DE6">
        <w:rPr>
          <w:rFonts w:ascii="Times New Roman" w:hAnsi="Times New Roman" w:cs="Times New Roman"/>
          <w:sz w:val="24"/>
          <w:szCs w:val="24"/>
        </w:rPr>
        <w:t>s</w:t>
      </w:r>
      <w:r w:rsidRPr="00CB2DE6">
        <w:rPr>
          <w:rFonts w:ascii="Times New Roman" w:hAnsi="Times New Roman" w:cs="Times New Roman"/>
          <w:sz w:val="24"/>
          <w:szCs w:val="24"/>
        </w:rPr>
        <w:t xml:space="preserve"> </w:t>
      </w:r>
      <w:r w:rsidR="002007A7" w:rsidRPr="00CB2DE6">
        <w:rPr>
          <w:rFonts w:ascii="Times New Roman" w:hAnsi="Times New Roman" w:cs="Times New Roman"/>
          <w:sz w:val="24"/>
          <w:szCs w:val="24"/>
        </w:rPr>
        <w:t>I</w:t>
      </w:r>
      <w:r w:rsidRPr="00CB2DE6">
        <w:rPr>
          <w:rFonts w:ascii="Times New Roman" w:hAnsi="Times New Roman" w:cs="Times New Roman"/>
          <w:sz w:val="24"/>
          <w:szCs w:val="24"/>
        </w:rPr>
        <w:t>A</w:t>
      </w:r>
      <w:r w:rsidR="001601F4" w:rsidRPr="00CB2DE6">
        <w:rPr>
          <w:rFonts w:ascii="Times New Roman" w:hAnsi="Times New Roman" w:cs="Times New Roman"/>
          <w:sz w:val="24"/>
          <w:szCs w:val="24"/>
        </w:rPr>
        <w:t>4</w:t>
      </w:r>
      <w:r w:rsidR="00307D6E" w:rsidRPr="00CB2DE6">
        <w:rPr>
          <w:rFonts w:ascii="Times New Roman" w:hAnsi="Times New Roman" w:cs="Times New Roman"/>
          <w:sz w:val="24"/>
          <w:szCs w:val="24"/>
        </w:rPr>
        <w:t>−</w:t>
      </w:r>
      <w:r w:rsidR="002007A7" w:rsidRPr="00CB2DE6">
        <w:rPr>
          <w:rFonts w:ascii="Times New Roman" w:hAnsi="Times New Roman" w:cs="Times New Roman"/>
          <w:sz w:val="24"/>
          <w:szCs w:val="24"/>
        </w:rPr>
        <w:t>I</w:t>
      </w:r>
      <w:r w:rsidRPr="00CB2DE6">
        <w:rPr>
          <w:rFonts w:ascii="Times New Roman" w:hAnsi="Times New Roman" w:cs="Times New Roman"/>
          <w:sz w:val="24"/>
          <w:szCs w:val="24"/>
        </w:rPr>
        <w:t>A</w:t>
      </w:r>
      <w:r w:rsidR="001601F4" w:rsidRPr="00CB2DE6">
        <w:rPr>
          <w:rFonts w:ascii="Times New Roman" w:hAnsi="Times New Roman" w:cs="Times New Roman"/>
          <w:sz w:val="24"/>
          <w:szCs w:val="24"/>
        </w:rPr>
        <w:t xml:space="preserve">6 of the </w:t>
      </w:r>
      <w:r w:rsidR="00D93158" w:rsidRPr="00CB2DE6">
        <w:rPr>
          <w:rFonts w:ascii="Times New Roman" w:hAnsi="Times New Roman" w:cs="Times New Roman"/>
          <w:sz w:val="24"/>
          <w:szCs w:val="24"/>
        </w:rPr>
        <w:t>I</w:t>
      </w:r>
      <w:r w:rsidR="001601F4" w:rsidRPr="00CB2DE6">
        <w:rPr>
          <w:rFonts w:ascii="Times New Roman" w:hAnsi="Times New Roman" w:cs="Times New Roman"/>
          <w:sz w:val="24"/>
          <w:szCs w:val="24"/>
        </w:rPr>
        <w:t xml:space="preserve">nternet </w:t>
      </w:r>
      <w:r w:rsidR="00D93158" w:rsidRPr="00CB2DE6">
        <w:rPr>
          <w:rFonts w:ascii="Times New Roman" w:hAnsi="Times New Roman" w:cs="Times New Roman"/>
          <w:sz w:val="24"/>
          <w:szCs w:val="24"/>
        </w:rPr>
        <w:t>A</w:t>
      </w:r>
      <w:r w:rsidR="001601F4" w:rsidRPr="00CB2DE6">
        <w:rPr>
          <w:rFonts w:ascii="Times New Roman" w:hAnsi="Times New Roman" w:cs="Times New Roman"/>
          <w:sz w:val="24"/>
          <w:szCs w:val="24"/>
        </w:rPr>
        <w:t>ppendix</w:t>
      </w:r>
      <w:r w:rsidR="00307D6E"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In all cases and across all model </w:t>
      </w:r>
      <w:r w:rsidRPr="00CB2DE6">
        <w:rPr>
          <w:rFonts w:ascii="Times New Roman" w:hAnsi="Times New Roman" w:cs="Times New Roman"/>
          <w:sz w:val="24"/>
          <w:szCs w:val="24"/>
        </w:rPr>
        <w:lastRenderedPageBreak/>
        <w:t>specifications, the baseline results discussed in Section 4</w:t>
      </w:r>
      <w:r w:rsidR="00307D6E" w:rsidRPr="00CB2DE6">
        <w:rPr>
          <w:rFonts w:ascii="Times New Roman" w:hAnsi="Times New Roman" w:cs="Times New Roman"/>
          <w:sz w:val="24"/>
          <w:szCs w:val="24"/>
        </w:rPr>
        <w:t>.2</w:t>
      </w:r>
      <w:r w:rsidRPr="00CB2DE6">
        <w:rPr>
          <w:rFonts w:ascii="Times New Roman" w:hAnsi="Times New Roman" w:cs="Times New Roman"/>
          <w:sz w:val="24"/>
          <w:szCs w:val="24"/>
        </w:rPr>
        <w:t xml:space="preserve"> are confirmed and the parameter estimates obtained using alternative volatility decompositions are qualitatively and quantitatively similar to the ones reported in Table 5.</w:t>
      </w:r>
      <w:r w:rsidRPr="00CB2DE6">
        <w:rPr>
          <w:rStyle w:val="FootnoteReference"/>
          <w:rFonts w:ascii="Times New Roman" w:hAnsi="Times New Roman" w:cs="Times New Roman"/>
          <w:sz w:val="24"/>
          <w:szCs w:val="24"/>
        </w:rPr>
        <w:t xml:space="preserve"> </w:t>
      </w:r>
    </w:p>
    <w:p w:rsidR="006459CC" w:rsidRPr="00CB2DE6" w:rsidRDefault="00C95DBD" w:rsidP="001A4FD0">
      <w:pPr>
        <w:spacing w:after="120" w:line="360" w:lineRule="auto"/>
        <w:ind w:firstLine="720"/>
        <w:jc w:val="both"/>
        <w:rPr>
          <w:rFonts w:ascii="Times New Roman" w:hAnsi="Times New Roman" w:cs="Times New Roman"/>
          <w:b/>
          <w:sz w:val="24"/>
          <w:szCs w:val="24"/>
        </w:rPr>
      </w:pPr>
      <w:r w:rsidRPr="00CB2DE6">
        <w:rPr>
          <w:rFonts w:ascii="Times New Roman" w:hAnsi="Times New Roman" w:cs="Times New Roman"/>
          <w:b/>
          <w:sz w:val="24"/>
          <w:szCs w:val="24"/>
        </w:rPr>
        <w:t>5.2</w:t>
      </w:r>
      <w:r w:rsidR="006459CC" w:rsidRPr="00CB2DE6">
        <w:rPr>
          <w:rFonts w:ascii="Times New Roman" w:hAnsi="Times New Roman" w:cs="Times New Roman"/>
          <w:b/>
          <w:sz w:val="24"/>
          <w:szCs w:val="24"/>
        </w:rPr>
        <w:tab/>
        <w:t>Country-Level Asset Pricing Results</w:t>
      </w:r>
    </w:p>
    <w:p w:rsidR="006D3BE0" w:rsidRDefault="006459CC" w:rsidP="00F4466E">
      <w:pPr>
        <w:tabs>
          <w:tab w:val="left" w:pos="709"/>
        </w:tabs>
        <w:spacing w:after="240" w:line="360" w:lineRule="auto"/>
        <w:jc w:val="both"/>
        <w:rPr>
          <w:rFonts w:ascii="Times New Roman" w:hAnsi="Times New Roman" w:cs="Times New Roman"/>
          <w:sz w:val="24"/>
          <w:szCs w:val="24"/>
        </w:rPr>
      </w:pPr>
      <w:r w:rsidRPr="00CB2DE6">
        <w:rPr>
          <w:rFonts w:ascii="Times New Roman" w:hAnsi="Times New Roman" w:cs="Times New Roman"/>
          <w:sz w:val="24"/>
          <w:szCs w:val="24"/>
        </w:rPr>
        <w:tab/>
      </w:r>
      <w:r w:rsidR="005D5BE9">
        <w:rPr>
          <w:rFonts w:ascii="Times New Roman" w:hAnsi="Times New Roman" w:cs="Times New Roman"/>
          <w:sz w:val="24"/>
          <w:szCs w:val="24"/>
        </w:rPr>
        <w:t xml:space="preserve">Early studies routinely assume </w:t>
      </w:r>
      <w:r w:rsidR="00CF4333" w:rsidRPr="00CB2DE6">
        <w:rPr>
          <w:rFonts w:ascii="Times New Roman" w:hAnsi="Times New Roman" w:cs="Times New Roman"/>
          <w:sz w:val="24"/>
          <w:szCs w:val="24"/>
        </w:rPr>
        <w:t xml:space="preserve">that </w:t>
      </w:r>
      <w:r w:rsidR="005D5BE9">
        <w:rPr>
          <w:rFonts w:ascii="Times New Roman" w:hAnsi="Times New Roman" w:cs="Times New Roman"/>
          <w:sz w:val="24"/>
          <w:szCs w:val="24"/>
        </w:rPr>
        <w:t>carrying out asset pricing tests using</w:t>
      </w:r>
      <w:r w:rsidR="00CF4333" w:rsidRPr="00CB2DE6">
        <w:rPr>
          <w:rFonts w:ascii="Times New Roman" w:hAnsi="Times New Roman" w:cs="Times New Roman"/>
          <w:sz w:val="24"/>
          <w:szCs w:val="24"/>
        </w:rPr>
        <w:t xml:space="preserve"> portfolios reduces idiosyncratic risk and provides more precise estimates of factor loadings and risk prices</w:t>
      </w:r>
      <w:r w:rsidR="005D5BE9">
        <w:rPr>
          <w:rFonts w:ascii="Times New Roman" w:hAnsi="Times New Roman" w:cs="Times New Roman"/>
          <w:sz w:val="24"/>
          <w:szCs w:val="24"/>
        </w:rPr>
        <w:t xml:space="preserve"> (</w:t>
      </w:r>
      <w:r w:rsidR="005D5BE9" w:rsidRPr="00CB2DE6">
        <w:rPr>
          <w:rFonts w:ascii="Times New Roman" w:hAnsi="Times New Roman" w:cs="Times New Roman"/>
          <w:sz w:val="24"/>
          <w:szCs w:val="24"/>
        </w:rPr>
        <w:t>Black, Jensen, and Scholes (1972) and Fama and MacBeth (1973))</w:t>
      </w:r>
      <w:r w:rsidR="00CF4333" w:rsidRPr="00CB2DE6">
        <w:rPr>
          <w:rFonts w:ascii="Times New Roman" w:hAnsi="Times New Roman" w:cs="Times New Roman"/>
          <w:sz w:val="24"/>
          <w:szCs w:val="24"/>
        </w:rPr>
        <w:t xml:space="preserve">. </w:t>
      </w:r>
      <w:r w:rsidR="005D5BE9">
        <w:rPr>
          <w:rFonts w:ascii="Times New Roman" w:hAnsi="Times New Roman" w:cs="Times New Roman"/>
          <w:sz w:val="24"/>
          <w:szCs w:val="24"/>
        </w:rPr>
        <w:t xml:space="preserve">However, </w:t>
      </w:r>
      <w:r w:rsidR="00CF4333" w:rsidRPr="00CB2DE6">
        <w:rPr>
          <w:rFonts w:ascii="Times New Roman" w:hAnsi="Times New Roman" w:cs="Times New Roman"/>
          <w:sz w:val="24"/>
          <w:szCs w:val="24"/>
        </w:rPr>
        <w:t>Lo</w:t>
      </w:r>
      <w:r w:rsidR="006D3BE0" w:rsidRPr="00CB2DE6">
        <w:rPr>
          <w:rFonts w:ascii="Times New Roman" w:hAnsi="Times New Roman" w:cs="Times New Roman"/>
          <w:sz w:val="24"/>
          <w:szCs w:val="24"/>
        </w:rPr>
        <w:t xml:space="preserve"> and </w:t>
      </w:r>
      <w:r w:rsidR="00CF4333" w:rsidRPr="00CB2DE6">
        <w:rPr>
          <w:rFonts w:ascii="Times New Roman" w:hAnsi="Times New Roman" w:cs="Times New Roman"/>
          <w:sz w:val="24"/>
          <w:szCs w:val="24"/>
        </w:rPr>
        <w:t>MacKinlay</w:t>
      </w:r>
      <w:r w:rsidR="006D3BE0" w:rsidRPr="00CB2DE6">
        <w:rPr>
          <w:rFonts w:ascii="Times New Roman" w:hAnsi="Times New Roman" w:cs="Times New Roman"/>
          <w:sz w:val="24"/>
          <w:szCs w:val="24"/>
        </w:rPr>
        <w:t xml:space="preserve"> (</w:t>
      </w:r>
      <w:r w:rsidR="00CF4333" w:rsidRPr="00CB2DE6">
        <w:rPr>
          <w:rFonts w:ascii="Times New Roman" w:hAnsi="Times New Roman" w:cs="Times New Roman"/>
          <w:sz w:val="24"/>
          <w:szCs w:val="24"/>
        </w:rPr>
        <w:t>1990</w:t>
      </w:r>
      <w:r w:rsidR="006D3BE0" w:rsidRPr="00CB2DE6">
        <w:rPr>
          <w:rFonts w:ascii="Times New Roman" w:hAnsi="Times New Roman" w:cs="Times New Roman"/>
          <w:sz w:val="24"/>
          <w:szCs w:val="24"/>
        </w:rPr>
        <w:t>)</w:t>
      </w:r>
      <w:r w:rsidR="00CF4333" w:rsidRPr="00CB2DE6">
        <w:rPr>
          <w:rFonts w:ascii="Times New Roman" w:hAnsi="Times New Roman" w:cs="Times New Roman"/>
          <w:sz w:val="24"/>
          <w:szCs w:val="24"/>
        </w:rPr>
        <w:t xml:space="preserve"> show that sorting assets into portfolios could potentially lead to data-snooping biases</w:t>
      </w:r>
      <w:r w:rsidR="005D5BE9">
        <w:rPr>
          <w:rFonts w:ascii="Times New Roman" w:hAnsi="Times New Roman" w:cs="Times New Roman"/>
          <w:sz w:val="24"/>
          <w:szCs w:val="24"/>
        </w:rPr>
        <w:t xml:space="preserve"> and</w:t>
      </w:r>
      <w:r w:rsidR="00CF4333" w:rsidRPr="00CB2DE6">
        <w:rPr>
          <w:rFonts w:ascii="Times New Roman" w:hAnsi="Times New Roman" w:cs="Times New Roman"/>
          <w:sz w:val="24"/>
          <w:szCs w:val="24"/>
        </w:rPr>
        <w:t xml:space="preserve"> Ang</w:t>
      </w:r>
      <w:r w:rsidR="006D3BE0" w:rsidRPr="00CB2DE6">
        <w:rPr>
          <w:rFonts w:ascii="Times New Roman" w:hAnsi="Times New Roman" w:cs="Times New Roman"/>
          <w:sz w:val="24"/>
          <w:szCs w:val="24"/>
        </w:rPr>
        <w:t xml:space="preserve">, </w:t>
      </w:r>
      <w:r w:rsidR="00CF4333" w:rsidRPr="00CB2DE6">
        <w:rPr>
          <w:rFonts w:ascii="Times New Roman" w:hAnsi="Times New Roman" w:cs="Times New Roman"/>
          <w:sz w:val="24"/>
          <w:szCs w:val="24"/>
        </w:rPr>
        <w:t>Liu</w:t>
      </w:r>
      <w:r w:rsidR="006D3BE0" w:rsidRPr="00CB2DE6">
        <w:rPr>
          <w:rFonts w:ascii="Times New Roman" w:hAnsi="Times New Roman" w:cs="Times New Roman"/>
          <w:sz w:val="24"/>
          <w:szCs w:val="24"/>
        </w:rPr>
        <w:t xml:space="preserve">, and </w:t>
      </w:r>
      <w:r w:rsidR="00CF4333" w:rsidRPr="00CB2DE6">
        <w:rPr>
          <w:rFonts w:ascii="Times New Roman" w:hAnsi="Times New Roman" w:cs="Times New Roman"/>
          <w:sz w:val="24"/>
          <w:szCs w:val="24"/>
        </w:rPr>
        <w:t>Schwarz</w:t>
      </w:r>
      <w:r w:rsidR="006D3BE0" w:rsidRPr="00CB2DE6">
        <w:rPr>
          <w:rFonts w:ascii="Times New Roman" w:hAnsi="Times New Roman" w:cs="Times New Roman"/>
          <w:sz w:val="24"/>
          <w:szCs w:val="24"/>
        </w:rPr>
        <w:t xml:space="preserve"> (</w:t>
      </w:r>
      <w:r w:rsidR="00CF4333" w:rsidRPr="00CB2DE6">
        <w:rPr>
          <w:rFonts w:ascii="Times New Roman" w:hAnsi="Times New Roman" w:cs="Times New Roman"/>
          <w:sz w:val="24"/>
          <w:szCs w:val="24"/>
        </w:rPr>
        <w:t>2010</w:t>
      </w:r>
      <w:r w:rsidR="006D3BE0" w:rsidRPr="00CB2DE6">
        <w:rPr>
          <w:rFonts w:ascii="Times New Roman" w:hAnsi="Times New Roman" w:cs="Times New Roman"/>
          <w:sz w:val="24"/>
          <w:szCs w:val="24"/>
        </w:rPr>
        <w:t>)</w:t>
      </w:r>
      <w:r w:rsidR="00CF4333" w:rsidRPr="00CB2DE6">
        <w:rPr>
          <w:rFonts w:ascii="Times New Roman" w:hAnsi="Times New Roman" w:cs="Times New Roman"/>
          <w:sz w:val="24"/>
          <w:szCs w:val="24"/>
        </w:rPr>
        <w:t xml:space="preserve"> argue that the aggregation procedure of assets may </w:t>
      </w:r>
      <w:r w:rsidR="005D5BE9">
        <w:rPr>
          <w:rFonts w:ascii="Times New Roman" w:hAnsi="Times New Roman" w:cs="Times New Roman"/>
          <w:sz w:val="24"/>
          <w:szCs w:val="24"/>
        </w:rPr>
        <w:t>reduce</w:t>
      </w:r>
      <w:r w:rsidR="00CF4333" w:rsidRPr="00CB2DE6">
        <w:rPr>
          <w:rFonts w:ascii="Times New Roman" w:hAnsi="Times New Roman" w:cs="Times New Roman"/>
          <w:sz w:val="24"/>
          <w:szCs w:val="24"/>
        </w:rPr>
        <w:t xml:space="preserve"> information by shrinking the dispersion of beta estimates for portfolios and therefore lead</w:t>
      </w:r>
      <w:r w:rsidR="005D5BE9">
        <w:rPr>
          <w:rFonts w:ascii="Times New Roman" w:hAnsi="Times New Roman" w:cs="Times New Roman"/>
          <w:sz w:val="24"/>
          <w:szCs w:val="24"/>
        </w:rPr>
        <w:t>ing</w:t>
      </w:r>
      <w:r w:rsidR="00CF4333" w:rsidRPr="00CB2DE6">
        <w:rPr>
          <w:rFonts w:ascii="Times New Roman" w:hAnsi="Times New Roman" w:cs="Times New Roman"/>
          <w:sz w:val="24"/>
          <w:szCs w:val="24"/>
        </w:rPr>
        <w:t xml:space="preserve"> to larger standard errors for the cross-sectional coefficient estimates. </w:t>
      </w:r>
      <w:r w:rsidR="005D5BE9">
        <w:rPr>
          <w:rFonts w:ascii="Times New Roman" w:hAnsi="Times New Roman" w:cs="Times New Roman"/>
          <w:sz w:val="24"/>
          <w:szCs w:val="24"/>
        </w:rPr>
        <w:t>In order to take into account these issues</w:t>
      </w:r>
      <w:r w:rsidR="00CF4333" w:rsidRPr="00CB2DE6">
        <w:rPr>
          <w:rFonts w:ascii="Times New Roman" w:hAnsi="Times New Roman" w:cs="Times New Roman"/>
          <w:sz w:val="24"/>
          <w:szCs w:val="24"/>
        </w:rPr>
        <w:t>, we perform country-level asset pricing analysis by running two-pass regressions. The test assets are transaction cost unadjusted excess returns on individual currencies. Table</w:t>
      </w:r>
      <w:r w:rsidR="006D3BE0" w:rsidRPr="00CB2DE6">
        <w:rPr>
          <w:rFonts w:ascii="Times New Roman" w:hAnsi="Times New Roman" w:cs="Times New Roman"/>
          <w:sz w:val="24"/>
          <w:szCs w:val="24"/>
        </w:rPr>
        <w:t xml:space="preserve"> </w:t>
      </w:r>
      <w:r w:rsidR="00307D6E" w:rsidRPr="00CB2DE6">
        <w:rPr>
          <w:rFonts w:ascii="Times New Roman" w:hAnsi="Times New Roman" w:cs="Times New Roman"/>
          <w:sz w:val="24"/>
          <w:szCs w:val="24"/>
        </w:rPr>
        <w:t>6</w:t>
      </w:r>
      <w:r w:rsidR="00CF4333" w:rsidRPr="00CB2DE6">
        <w:rPr>
          <w:rFonts w:ascii="Times New Roman" w:hAnsi="Times New Roman" w:cs="Times New Roman"/>
          <w:sz w:val="24"/>
          <w:szCs w:val="24"/>
        </w:rPr>
        <w:t xml:space="preserve"> presents the estimated factor risk prices from the second-pass cross-sectional regressions for the samples of all and developed countries. We compute the 95% confidence regions for the point estimates using a bootstrap procedure with 10,000 repetitions. Similar to the portfolio-level analysis, the second-pass regressions do not include a constant. We find that the country-level results from the cross-sectional regressions are also consistent with those for the portfolio-level. The factor risk price estimate for the </w:t>
      </w:r>
      <w:r w:rsidR="004C2474" w:rsidRPr="00CB2DE6">
        <w:rPr>
          <w:rFonts w:ascii="Times New Roman" w:hAnsi="Times New Roman" w:cs="Times New Roman"/>
          <w:sz w:val="24"/>
          <w:szCs w:val="24"/>
        </w:rPr>
        <w:t>long-</w:t>
      </w:r>
      <w:r w:rsidR="00307D6E" w:rsidRPr="00CB2DE6">
        <w:rPr>
          <w:rFonts w:ascii="Times New Roman" w:hAnsi="Times New Roman" w:cs="Times New Roman"/>
          <w:sz w:val="24"/>
          <w:szCs w:val="24"/>
        </w:rPr>
        <w:t xml:space="preserve">run </w:t>
      </w:r>
      <w:r w:rsidR="00CF4333" w:rsidRPr="00CB2DE6">
        <w:rPr>
          <w:rFonts w:ascii="Times New Roman" w:hAnsi="Times New Roman" w:cs="Times New Roman"/>
          <w:sz w:val="24"/>
          <w:szCs w:val="24"/>
        </w:rPr>
        <w:t>com</w:t>
      </w:r>
      <w:r w:rsidR="006D3BE0" w:rsidRPr="00CB2DE6">
        <w:rPr>
          <w:rFonts w:ascii="Times New Roman" w:hAnsi="Times New Roman" w:cs="Times New Roman"/>
          <w:sz w:val="24"/>
          <w:szCs w:val="24"/>
        </w:rPr>
        <w:t>ponent of global FX volatility,</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λ</m:t>
                </m:r>
              </m:e>
            </m:acc>
          </m:e>
          <m:sub>
            <m:r>
              <w:rPr>
                <w:rFonts w:ascii="Cambria Math" w:hAnsi="Cambria Math" w:cs="Times New Roman"/>
                <w:sz w:val="24"/>
                <w:szCs w:val="24"/>
              </w:rPr>
              <m:t xml:space="preserve">LRVI </m:t>
            </m:r>
          </m:sub>
        </m:sSub>
      </m:oMath>
      <w:r w:rsidR="006D3BE0" w:rsidRPr="00CB2DE6">
        <w:rPr>
          <w:rFonts w:ascii="Times New Roman" w:hAnsi="Times New Roman" w:cs="Times New Roman"/>
          <w:sz w:val="24"/>
          <w:szCs w:val="24"/>
        </w:rPr>
        <w:t xml:space="preserve">, is </w:t>
      </w:r>
      <w:r w:rsidR="00CF4333" w:rsidRPr="00CB2DE6">
        <w:rPr>
          <w:rFonts w:ascii="Times New Roman" w:hAnsi="Times New Roman" w:cs="Times New Roman"/>
          <w:sz w:val="24"/>
          <w:szCs w:val="24"/>
        </w:rPr>
        <w:t xml:space="preserve">negative across samples and regression specifications. The 95% confidence region for the risk price estimate does not encompass zero. But the point estimate shrinks in absolute value (toward zero) for both samples relative to those obtained for currency portfolios. Conversely, the 95% confidence region comfortably encompasses zero for the </w:t>
      </w:r>
      <w:r w:rsidR="004C2474" w:rsidRPr="00CB2DE6">
        <w:rPr>
          <w:rFonts w:ascii="Times New Roman" w:hAnsi="Times New Roman" w:cs="Times New Roman"/>
          <w:sz w:val="24"/>
          <w:szCs w:val="24"/>
        </w:rPr>
        <w:t>short-</w:t>
      </w:r>
      <w:r w:rsidR="008F6DF4" w:rsidRPr="00CB2DE6">
        <w:rPr>
          <w:rFonts w:ascii="Times New Roman" w:hAnsi="Times New Roman" w:cs="Times New Roman"/>
          <w:sz w:val="24"/>
          <w:szCs w:val="24"/>
        </w:rPr>
        <w:t xml:space="preserve">run </w:t>
      </w:r>
      <w:r w:rsidR="00CF4333" w:rsidRPr="00CB2DE6">
        <w:rPr>
          <w:rFonts w:ascii="Times New Roman" w:hAnsi="Times New Roman" w:cs="Times New Roman"/>
          <w:sz w:val="24"/>
          <w:szCs w:val="24"/>
        </w:rPr>
        <w:t xml:space="preserve">volatility component. The risk price estimate of the DOL factor is significant for the sample of all countries. This is not unusual since beta estimates for the factor have now much more heterogeneity. But the risk price estimate for the factor remains insignificant for the developed country sample. The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6D3BE0" w:rsidRPr="00CB2DE6">
        <w:rPr>
          <w:rFonts w:ascii="Times New Roman" w:hAnsi="Times New Roman" w:cs="Times New Roman"/>
          <w:sz w:val="24"/>
          <w:szCs w:val="24"/>
        </w:rPr>
        <w:t xml:space="preserve"> </w:t>
      </w:r>
      <w:r w:rsidR="00CF4333" w:rsidRPr="00CB2DE6">
        <w:rPr>
          <w:rFonts w:ascii="Times New Roman" w:hAnsi="Times New Roman" w:cs="Times New Roman"/>
          <w:sz w:val="24"/>
          <w:szCs w:val="24"/>
        </w:rPr>
        <w:t xml:space="preserve">measure of cross-sectional fit is much lower than those found for currency portfolios. This is expected as well since excess returns for individual currencies are far noisier than forward discount-sorted portfolio returns. However, the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6D3BE0" w:rsidRPr="00CB2DE6">
        <w:rPr>
          <w:rFonts w:ascii="Times New Roman" w:hAnsi="Times New Roman" w:cs="Times New Roman"/>
          <w:sz w:val="24"/>
          <w:szCs w:val="24"/>
        </w:rPr>
        <w:t xml:space="preserve"> value </w:t>
      </w:r>
      <w:r w:rsidR="00CF4333" w:rsidRPr="00CB2DE6">
        <w:rPr>
          <w:rFonts w:ascii="Times New Roman" w:hAnsi="Times New Roman" w:cs="Times New Roman"/>
          <w:sz w:val="24"/>
          <w:szCs w:val="24"/>
        </w:rPr>
        <w:t xml:space="preserve">drops severely and becomes negative for the all country sample when the two-pass regression excludes innovations of the </w:t>
      </w:r>
      <w:r w:rsidR="004C2474" w:rsidRPr="00CB2DE6">
        <w:rPr>
          <w:rFonts w:ascii="Times New Roman" w:hAnsi="Times New Roman" w:cs="Times New Roman"/>
          <w:sz w:val="24"/>
          <w:szCs w:val="24"/>
        </w:rPr>
        <w:t>long-</w:t>
      </w:r>
      <w:r w:rsidR="00C34864" w:rsidRPr="00CB2DE6">
        <w:rPr>
          <w:rFonts w:ascii="Times New Roman" w:hAnsi="Times New Roman" w:cs="Times New Roman"/>
          <w:sz w:val="24"/>
          <w:szCs w:val="24"/>
        </w:rPr>
        <w:t xml:space="preserve">run </w:t>
      </w:r>
      <w:r w:rsidR="00CF4333" w:rsidRPr="00CB2DE6">
        <w:rPr>
          <w:rFonts w:ascii="Times New Roman" w:hAnsi="Times New Roman" w:cs="Times New Roman"/>
          <w:sz w:val="24"/>
          <w:szCs w:val="24"/>
        </w:rPr>
        <w:t xml:space="preserve">component. Summing up, these results clearly indicate that innovations in the </w:t>
      </w:r>
      <w:r w:rsidR="004C2474" w:rsidRPr="00CB2DE6">
        <w:rPr>
          <w:rFonts w:ascii="Times New Roman" w:hAnsi="Times New Roman" w:cs="Times New Roman"/>
          <w:sz w:val="24"/>
          <w:szCs w:val="24"/>
        </w:rPr>
        <w:t>long-</w:t>
      </w:r>
      <w:r w:rsidR="00307D6E" w:rsidRPr="00CB2DE6">
        <w:rPr>
          <w:rFonts w:ascii="Times New Roman" w:hAnsi="Times New Roman" w:cs="Times New Roman"/>
          <w:sz w:val="24"/>
          <w:szCs w:val="24"/>
        </w:rPr>
        <w:t xml:space="preserve">run </w:t>
      </w:r>
      <w:r w:rsidR="00CF4333" w:rsidRPr="00CB2DE6">
        <w:rPr>
          <w:rFonts w:ascii="Times New Roman" w:hAnsi="Times New Roman" w:cs="Times New Roman"/>
          <w:sz w:val="24"/>
          <w:szCs w:val="24"/>
        </w:rPr>
        <w:t xml:space="preserve">component of global FX volatility explain the cross-section of individual currency excess returns. </w:t>
      </w:r>
    </w:p>
    <w:p w:rsidR="006D3BE0" w:rsidRPr="00CB2DE6" w:rsidRDefault="00C95DBD" w:rsidP="006D3BE0">
      <w:pPr>
        <w:spacing w:after="120" w:line="360" w:lineRule="auto"/>
        <w:ind w:firstLine="720"/>
        <w:jc w:val="both"/>
        <w:rPr>
          <w:rFonts w:ascii="Times New Roman" w:hAnsi="Times New Roman" w:cs="Times New Roman"/>
          <w:b/>
          <w:sz w:val="24"/>
          <w:szCs w:val="24"/>
        </w:rPr>
      </w:pPr>
      <w:r w:rsidRPr="00CB2DE6">
        <w:rPr>
          <w:rFonts w:ascii="Times New Roman" w:hAnsi="Times New Roman" w:cs="Times New Roman"/>
          <w:b/>
          <w:sz w:val="24"/>
          <w:szCs w:val="24"/>
        </w:rPr>
        <w:lastRenderedPageBreak/>
        <w:t>5.3</w:t>
      </w:r>
      <w:r w:rsidR="006D3BE0" w:rsidRPr="00CB2DE6">
        <w:rPr>
          <w:rFonts w:ascii="Times New Roman" w:hAnsi="Times New Roman" w:cs="Times New Roman"/>
          <w:b/>
          <w:sz w:val="24"/>
          <w:szCs w:val="24"/>
        </w:rPr>
        <w:tab/>
        <w:t>Results for Subperiods</w:t>
      </w:r>
    </w:p>
    <w:p w:rsidR="00C67A76" w:rsidRPr="00CB2DE6" w:rsidRDefault="006D3BE0" w:rsidP="00C67A76">
      <w:pPr>
        <w:spacing w:after="240"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We also conduct time-series and cross-sectional regressions by splitting the full sample period into two distinct subperiods: May 1987</w:t>
      </w:r>
      <w:r w:rsidR="00A87A42" w:rsidRPr="00CB2DE6">
        <w:rPr>
          <w:rFonts w:ascii="Times New Roman" w:hAnsi="Times New Roman" w:cs="Times New Roman"/>
          <w:sz w:val="24"/>
          <w:szCs w:val="24"/>
        </w:rPr>
        <w:t>−</w:t>
      </w:r>
      <w:r w:rsidRPr="00CB2DE6">
        <w:rPr>
          <w:rFonts w:ascii="Times New Roman" w:hAnsi="Times New Roman" w:cs="Times New Roman"/>
          <w:sz w:val="24"/>
          <w:szCs w:val="24"/>
        </w:rPr>
        <w:t>March 2000 and April 2000</w:t>
      </w:r>
      <w:r w:rsidR="00A87A42" w:rsidRPr="00CB2DE6">
        <w:rPr>
          <w:rFonts w:ascii="Times New Roman" w:hAnsi="Times New Roman" w:cs="Times New Roman"/>
          <w:sz w:val="24"/>
          <w:szCs w:val="24"/>
        </w:rPr>
        <w:t>−</w:t>
      </w:r>
      <w:r w:rsidRPr="00CB2DE6">
        <w:rPr>
          <w:rFonts w:ascii="Times New Roman" w:hAnsi="Times New Roman" w:cs="Times New Roman"/>
          <w:sz w:val="24"/>
          <w:szCs w:val="24"/>
        </w:rPr>
        <w:t>February 2013. The latter subperiod covers both the dot-com bubble and the financial crisis of 2007</w:t>
      </w:r>
      <w:r w:rsidR="00A87A42" w:rsidRPr="00CB2DE6">
        <w:rPr>
          <w:rFonts w:ascii="Times New Roman" w:hAnsi="Times New Roman" w:cs="Times New Roman"/>
          <w:sz w:val="24"/>
          <w:szCs w:val="24"/>
        </w:rPr>
        <w:t>−</w:t>
      </w:r>
      <w:r w:rsidR="00F11691" w:rsidRPr="00CB2DE6">
        <w:rPr>
          <w:rFonts w:ascii="Times New Roman" w:hAnsi="Times New Roman" w:cs="Times New Roman"/>
          <w:sz w:val="24"/>
          <w:szCs w:val="24"/>
        </w:rPr>
        <w:t xml:space="preserve">2009. </w:t>
      </w:r>
      <w:r w:rsidR="0013459A">
        <w:rPr>
          <w:rFonts w:ascii="Times New Roman" w:hAnsi="Times New Roman" w:cs="Times New Roman"/>
          <w:sz w:val="24"/>
          <w:szCs w:val="24"/>
        </w:rPr>
        <w:t xml:space="preserve">The results of this exercise, reported in Table IA7 of the internet appendix, confirm qualitatively and quantitatively </w:t>
      </w:r>
      <w:r w:rsidRPr="00CB2DE6">
        <w:rPr>
          <w:rFonts w:ascii="Times New Roman" w:hAnsi="Times New Roman" w:cs="Times New Roman"/>
          <w:sz w:val="24"/>
          <w:szCs w:val="24"/>
        </w:rPr>
        <w:t xml:space="preserve">the </w:t>
      </w:r>
      <w:r w:rsidR="0013459A">
        <w:rPr>
          <w:rFonts w:ascii="Times New Roman" w:hAnsi="Times New Roman" w:cs="Times New Roman"/>
          <w:sz w:val="24"/>
          <w:szCs w:val="24"/>
        </w:rPr>
        <w:t>ones</w:t>
      </w:r>
      <w:r w:rsidRPr="00CB2DE6">
        <w:rPr>
          <w:rFonts w:ascii="Times New Roman" w:hAnsi="Times New Roman" w:cs="Times New Roman"/>
          <w:sz w:val="24"/>
          <w:szCs w:val="24"/>
        </w:rPr>
        <w:t xml:space="preserve"> </w:t>
      </w:r>
      <w:r w:rsidR="0013459A">
        <w:rPr>
          <w:rFonts w:ascii="Times New Roman" w:hAnsi="Times New Roman" w:cs="Times New Roman"/>
          <w:sz w:val="24"/>
          <w:szCs w:val="24"/>
        </w:rPr>
        <w:t xml:space="preserve">reported in </w:t>
      </w:r>
      <w:r w:rsidRPr="00CB2DE6">
        <w:rPr>
          <w:rFonts w:ascii="Times New Roman" w:hAnsi="Times New Roman" w:cs="Times New Roman"/>
          <w:sz w:val="24"/>
          <w:szCs w:val="24"/>
        </w:rPr>
        <w:t xml:space="preserve">Table 5 </w:t>
      </w:r>
      <w:r w:rsidR="0013459A">
        <w:rPr>
          <w:rFonts w:ascii="Times New Roman" w:hAnsi="Times New Roman" w:cs="Times New Roman"/>
          <w:sz w:val="24"/>
          <w:szCs w:val="24"/>
        </w:rPr>
        <w:t>of the main text</w:t>
      </w:r>
      <w:r w:rsidRPr="00CB2DE6">
        <w:rPr>
          <w:rFonts w:ascii="Times New Roman" w:hAnsi="Times New Roman" w:cs="Times New Roman"/>
          <w:sz w:val="24"/>
          <w:szCs w:val="24"/>
        </w:rPr>
        <w:t xml:space="preserve">. The estimated factor risk price for the </w:t>
      </w:r>
      <w:r w:rsidR="004C2474" w:rsidRPr="00CB2DE6">
        <w:rPr>
          <w:rFonts w:ascii="Times New Roman" w:hAnsi="Times New Roman" w:cs="Times New Roman"/>
          <w:sz w:val="24"/>
          <w:szCs w:val="24"/>
        </w:rPr>
        <w:t>short-</w:t>
      </w:r>
      <w:r w:rsidR="00307D6E" w:rsidRPr="00CB2DE6">
        <w:rPr>
          <w:rFonts w:ascii="Times New Roman" w:hAnsi="Times New Roman" w:cs="Times New Roman"/>
          <w:sz w:val="24"/>
          <w:szCs w:val="24"/>
        </w:rPr>
        <w:t xml:space="preserve">run </w:t>
      </w:r>
      <w:r w:rsidRPr="00CB2DE6">
        <w:rPr>
          <w:rFonts w:ascii="Times New Roman" w:hAnsi="Times New Roman" w:cs="Times New Roman"/>
          <w:sz w:val="24"/>
          <w:szCs w:val="24"/>
        </w:rPr>
        <w:t xml:space="preserve">component of global FX volatility is insignificantly different from zero regardless of subperiods. On the other hand, the risk price estimates for the </w:t>
      </w:r>
      <w:r w:rsidR="004C2474" w:rsidRPr="00CB2DE6">
        <w:rPr>
          <w:rFonts w:ascii="Times New Roman" w:hAnsi="Times New Roman" w:cs="Times New Roman"/>
          <w:sz w:val="24"/>
          <w:szCs w:val="24"/>
        </w:rPr>
        <w:t>long-</w:t>
      </w:r>
      <w:r w:rsidR="00307D6E" w:rsidRPr="00CB2DE6">
        <w:rPr>
          <w:rFonts w:ascii="Times New Roman" w:hAnsi="Times New Roman" w:cs="Times New Roman"/>
          <w:sz w:val="24"/>
          <w:szCs w:val="24"/>
        </w:rPr>
        <w:t xml:space="preserve">run </w:t>
      </w:r>
      <w:r w:rsidRPr="00CB2DE6">
        <w:rPr>
          <w:rFonts w:ascii="Times New Roman" w:hAnsi="Times New Roman" w:cs="Times New Roman"/>
          <w:sz w:val="24"/>
          <w:szCs w:val="24"/>
        </w:rPr>
        <w:t xml:space="preserve">volatility component are -0.076 and -0.103 for the first and second halves of the full sample period, respectively. These point estimates are also within the confidence interval around the point estimate of the full sample period. But the results are stronger for the second half of the full sample period in terms of statistical significance and the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CB2DE6">
        <w:rPr>
          <w:rFonts w:ascii="Times New Roman" w:hAnsi="Times New Roman" w:cs="Times New Roman"/>
          <w:sz w:val="24"/>
          <w:szCs w:val="24"/>
        </w:rPr>
        <w:t xml:space="preserve"> value. Most of the developing currencies become available during this subperiod, which therefore contains more data points.</w:t>
      </w:r>
    </w:p>
    <w:p w:rsidR="001C3128" w:rsidRPr="00CB2DE6" w:rsidRDefault="00C95DBD" w:rsidP="00C67A76">
      <w:pPr>
        <w:spacing w:after="120" w:line="360" w:lineRule="auto"/>
        <w:ind w:firstLine="720"/>
        <w:jc w:val="both"/>
        <w:rPr>
          <w:rFonts w:ascii="Times New Roman" w:hAnsi="Times New Roman" w:cs="Times New Roman"/>
          <w:b/>
          <w:sz w:val="24"/>
          <w:szCs w:val="24"/>
        </w:rPr>
      </w:pPr>
      <w:r w:rsidRPr="00CB2DE6">
        <w:rPr>
          <w:rFonts w:ascii="Times New Roman" w:hAnsi="Times New Roman" w:cs="Times New Roman"/>
          <w:b/>
          <w:sz w:val="24"/>
          <w:szCs w:val="24"/>
        </w:rPr>
        <w:t>5.4</w:t>
      </w:r>
      <w:r w:rsidR="00BB0085" w:rsidRPr="00CB2DE6">
        <w:rPr>
          <w:rFonts w:ascii="Times New Roman" w:hAnsi="Times New Roman" w:cs="Times New Roman"/>
          <w:b/>
          <w:sz w:val="24"/>
          <w:szCs w:val="24"/>
        </w:rPr>
        <w:tab/>
      </w:r>
      <w:r w:rsidR="000B14A3" w:rsidRPr="00CB2DE6">
        <w:rPr>
          <w:rFonts w:ascii="Times New Roman" w:hAnsi="Times New Roman" w:cs="Times New Roman"/>
          <w:b/>
          <w:sz w:val="24"/>
          <w:szCs w:val="24"/>
        </w:rPr>
        <w:t xml:space="preserve">Portfolios Based on </w:t>
      </w:r>
      <w:r w:rsidR="0025618C" w:rsidRPr="00CB2DE6">
        <w:rPr>
          <w:rFonts w:ascii="Times New Roman" w:hAnsi="Times New Roman" w:cs="Times New Roman"/>
          <w:b/>
          <w:sz w:val="24"/>
          <w:szCs w:val="24"/>
        </w:rPr>
        <w:t xml:space="preserve">Volatility </w:t>
      </w:r>
      <w:r w:rsidR="000B14A3" w:rsidRPr="00CB2DE6">
        <w:rPr>
          <w:rFonts w:ascii="Times New Roman" w:hAnsi="Times New Roman" w:cs="Times New Roman"/>
          <w:b/>
          <w:sz w:val="24"/>
          <w:szCs w:val="24"/>
        </w:rPr>
        <w:t xml:space="preserve">Component </w:t>
      </w:r>
      <w:r w:rsidR="00EB2A72" w:rsidRPr="00CB2DE6">
        <w:rPr>
          <w:rFonts w:ascii="Times New Roman" w:hAnsi="Times New Roman" w:cs="Times New Roman"/>
          <w:b/>
          <w:sz w:val="24"/>
          <w:szCs w:val="24"/>
        </w:rPr>
        <w:t>Betas</w:t>
      </w:r>
    </w:p>
    <w:p w:rsidR="00C67A76" w:rsidRPr="00CB2DE6" w:rsidRDefault="0013459A" w:rsidP="00C67A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 further robustness check, w</w:t>
      </w:r>
      <w:r w:rsidR="00C67A76" w:rsidRPr="00CB2DE6">
        <w:rPr>
          <w:rFonts w:ascii="Times New Roman" w:hAnsi="Times New Roman" w:cs="Times New Roman"/>
          <w:sz w:val="24"/>
          <w:szCs w:val="24"/>
        </w:rPr>
        <w:t xml:space="preserve">e build portfolios of currencies sorted on their exposure to innovations in the </w:t>
      </w:r>
      <w:r w:rsidR="004C2474" w:rsidRPr="00CB2DE6">
        <w:rPr>
          <w:rFonts w:ascii="Times New Roman" w:hAnsi="Times New Roman" w:cs="Times New Roman"/>
          <w:sz w:val="24"/>
          <w:szCs w:val="24"/>
        </w:rPr>
        <w:t>long-</w:t>
      </w:r>
      <w:r w:rsidR="008F6DF4" w:rsidRPr="00CB2DE6">
        <w:rPr>
          <w:rFonts w:ascii="Times New Roman" w:hAnsi="Times New Roman" w:cs="Times New Roman"/>
          <w:sz w:val="24"/>
          <w:szCs w:val="24"/>
        </w:rPr>
        <w:t xml:space="preserve">run </w:t>
      </w:r>
      <w:r w:rsidR="00C67A76" w:rsidRPr="00CB2DE6">
        <w:rPr>
          <w:rFonts w:ascii="Times New Roman" w:hAnsi="Times New Roman" w:cs="Times New Roman"/>
          <w:sz w:val="24"/>
          <w:szCs w:val="24"/>
        </w:rPr>
        <w:t xml:space="preserve">component of global FX volatility. The notion is that if the </w:t>
      </w:r>
      <w:r w:rsidR="004C2474" w:rsidRPr="00CB2DE6">
        <w:rPr>
          <w:rFonts w:ascii="Times New Roman" w:hAnsi="Times New Roman" w:cs="Times New Roman"/>
          <w:sz w:val="24"/>
          <w:szCs w:val="24"/>
        </w:rPr>
        <w:t>long-</w:t>
      </w:r>
      <w:r w:rsidR="008F6DF4" w:rsidRPr="00CB2DE6">
        <w:rPr>
          <w:rFonts w:ascii="Times New Roman" w:hAnsi="Times New Roman" w:cs="Times New Roman"/>
          <w:sz w:val="24"/>
          <w:szCs w:val="24"/>
        </w:rPr>
        <w:t xml:space="preserve">run </w:t>
      </w:r>
      <w:r w:rsidR="00C67A76" w:rsidRPr="00CB2DE6">
        <w:rPr>
          <w:rFonts w:ascii="Times New Roman" w:hAnsi="Times New Roman" w:cs="Times New Roman"/>
          <w:sz w:val="24"/>
          <w:szCs w:val="24"/>
        </w:rPr>
        <w:t>component is a priced risk factor, then these portfolios are likely to generate a significant spread in average excess returns. The currency sorting procedure mainly follows Lustig, Roussanov, and Verdelhan (2011). First, in each month</w:t>
      </w:r>
      <m:oMath>
        <m:r>
          <w:rPr>
            <w:rFonts w:ascii="Cambria Math" w:hAnsi="Cambria Math" w:cs="Times New Roman"/>
            <w:sz w:val="24"/>
            <w:szCs w:val="24"/>
          </w:rPr>
          <m:t xml:space="preserve"> t</m:t>
        </m:r>
      </m:oMath>
      <w:r w:rsidR="00C67A76" w:rsidRPr="00CB2DE6">
        <w:rPr>
          <w:rFonts w:ascii="Times New Roman" w:hAnsi="Times New Roman" w:cs="Times New Roman"/>
          <w:sz w:val="24"/>
          <w:szCs w:val="24"/>
        </w:rPr>
        <w:t xml:space="preserve">, we obtain the </w:t>
      </w:r>
      <w:r w:rsidR="004C2474" w:rsidRPr="00CB2DE6">
        <w:rPr>
          <w:rFonts w:ascii="Times New Roman" w:hAnsi="Times New Roman" w:cs="Times New Roman"/>
          <w:sz w:val="24"/>
          <w:szCs w:val="24"/>
        </w:rPr>
        <w:t>long-</w:t>
      </w:r>
      <w:r w:rsidR="00307D6E" w:rsidRPr="00CB2DE6">
        <w:rPr>
          <w:rFonts w:ascii="Times New Roman" w:hAnsi="Times New Roman" w:cs="Times New Roman"/>
          <w:sz w:val="24"/>
          <w:szCs w:val="24"/>
        </w:rPr>
        <w:t xml:space="preserve">run </w:t>
      </w:r>
      <w:r w:rsidR="00C67A76" w:rsidRPr="00CB2DE6">
        <w:rPr>
          <w:rFonts w:ascii="Times New Roman" w:hAnsi="Times New Roman" w:cs="Times New Roman"/>
          <w:sz w:val="24"/>
          <w:szCs w:val="24"/>
        </w:rPr>
        <w:t xml:space="preserve">volatility component beta for currency </w:t>
      </w:r>
      <m:oMath>
        <m:r>
          <w:rPr>
            <w:rFonts w:ascii="Cambria Math" w:hAnsi="Cambria Math" w:cs="Times New Roman"/>
            <w:sz w:val="24"/>
            <w:szCs w:val="24"/>
          </w:rPr>
          <m:t>k</m:t>
        </m:r>
      </m:oMath>
      <w:r w:rsidR="00C67A76" w:rsidRPr="00CB2DE6">
        <w:rPr>
          <w:rFonts w:ascii="Times New Roman" w:hAnsi="Times New Roman" w:cs="Times New Roman"/>
          <w:sz w:val="24"/>
          <w:szCs w:val="24"/>
        </w:rPr>
        <w:t xml:space="preserve"> by regressing corresponding transaction cost unadjusted excess return on a constant and innovations of the </w:t>
      </w:r>
      <w:r w:rsidR="004C2474" w:rsidRPr="00CB2DE6">
        <w:rPr>
          <w:rFonts w:ascii="Times New Roman" w:hAnsi="Times New Roman" w:cs="Times New Roman"/>
          <w:sz w:val="24"/>
          <w:szCs w:val="24"/>
        </w:rPr>
        <w:t>long-</w:t>
      </w:r>
      <w:r w:rsidR="008F6DF4" w:rsidRPr="00CB2DE6">
        <w:rPr>
          <w:rFonts w:ascii="Times New Roman" w:hAnsi="Times New Roman" w:cs="Times New Roman"/>
          <w:sz w:val="24"/>
          <w:szCs w:val="24"/>
        </w:rPr>
        <w:t xml:space="preserve">run </w:t>
      </w:r>
      <w:r w:rsidR="00C67A76" w:rsidRPr="00CB2DE6">
        <w:rPr>
          <w:rFonts w:ascii="Times New Roman" w:hAnsi="Times New Roman" w:cs="Times New Roman"/>
          <w:sz w:val="24"/>
          <w:szCs w:val="24"/>
        </w:rPr>
        <w:t xml:space="preserve">component under a 36-month rolling window ending in month </w:t>
      </w:r>
      <m:oMath>
        <m:r>
          <w:rPr>
            <w:rFonts w:ascii="Cambria Math" w:hAnsi="Cambria Math" w:cs="Times New Roman"/>
            <w:sz w:val="24"/>
            <w:szCs w:val="24"/>
          </w:rPr>
          <m:t>t-1</m:t>
        </m:r>
      </m:oMath>
      <w:r w:rsidR="00C67A76" w:rsidRPr="00CB2DE6">
        <w:rPr>
          <w:rFonts w:ascii="Times New Roman" w:hAnsi="Times New Roman" w:cs="Times New Roman"/>
          <w:sz w:val="24"/>
          <w:szCs w:val="24"/>
        </w:rPr>
        <w:t xml:space="preserve">. For this purpose, we reestimate the </w:t>
      </w:r>
      <w:r w:rsidR="001601F4" w:rsidRPr="00CB2DE6">
        <w:rPr>
          <w:rFonts w:ascii="Times New Roman" w:hAnsi="Times New Roman" w:cs="Times New Roman"/>
          <w:sz w:val="24"/>
          <w:szCs w:val="24"/>
        </w:rPr>
        <w:t>C</w:t>
      </w:r>
      <w:r w:rsidR="00C67A76" w:rsidRPr="00CB2DE6">
        <w:rPr>
          <w:rFonts w:ascii="Times New Roman" w:hAnsi="Times New Roman" w:cs="Times New Roman"/>
          <w:sz w:val="24"/>
          <w:szCs w:val="24"/>
        </w:rPr>
        <w:t xml:space="preserve">GARCH </w:t>
      </w:r>
      <w:r w:rsidR="001601F4" w:rsidRPr="00CB2DE6">
        <w:rPr>
          <w:rFonts w:ascii="Times New Roman" w:hAnsi="Times New Roman" w:cs="Times New Roman"/>
          <w:sz w:val="24"/>
          <w:szCs w:val="24"/>
        </w:rPr>
        <w:t>model</w:t>
      </w:r>
      <w:r w:rsidR="00C67A76" w:rsidRPr="00CB2DE6">
        <w:rPr>
          <w:rFonts w:ascii="Times New Roman" w:hAnsi="Times New Roman" w:cs="Times New Roman"/>
          <w:sz w:val="24"/>
          <w:szCs w:val="24"/>
        </w:rPr>
        <w:t xml:space="preserve"> each </w:t>
      </w:r>
      <w:r w:rsidR="001601F4" w:rsidRPr="00CB2DE6">
        <w:rPr>
          <w:rFonts w:ascii="Times New Roman" w:hAnsi="Times New Roman" w:cs="Times New Roman"/>
          <w:sz w:val="24"/>
          <w:szCs w:val="24"/>
        </w:rPr>
        <w:t>month</w:t>
      </w:r>
      <w:r w:rsidR="00C67A76" w:rsidRPr="00CB2DE6">
        <w:rPr>
          <w:rFonts w:ascii="Times New Roman" w:hAnsi="Times New Roman" w:cs="Times New Roman"/>
          <w:sz w:val="24"/>
          <w:szCs w:val="24"/>
        </w:rPr>
        <w:t xml:space="preserve"> to avoid </w:t>
      </w:r>
      <w:r w:rsidR="001601F4" w:rsidRPr="00CB2DE6">
        <w:rPr>
          <w:rFonts w:ascii="Times New Roman" w:hAnsi="Times New Roman" w:cs="Times New Roman"/>
          <w:sz w:val="24"/>
          <w:szCs w:val="24"/>
        </w:rPr>
        <w:t xml:space="preserve">a </w:t>
      </w:r>
      <w:r w:rsidR="00C67A76" w:rsidRPr="00CB2DE6">
        <w:rPr>
          <w:rFonts w:ascii="Times New Roman" w:hAnsi="Times New Roman" w:cs="Times New Roman"/>
          <w:sz w:val="24"/>
          <w:szCs w:val="24"/>
        </w:rPr>
        <w:t xml:space="preserve">look-ahead bias. Next, we allocate currencies available in the underlying sample to five portfolios according to their beta estimates for month </w:t>
      </w:r>
      <m:oMath>
        <m:r>
          <w:rPr>
            <w:rFonts w:ascii="Cambria Math" w:hAnsi="Cambria Math" w:cs="Times New Roman"/>
            <w:sz w:val="24"/>
            <w:szCs w:val="24"/>
          </w:rPr>
          <m:t>t</m:t>
        </m:r>
      </m:oMath>
      <w:r w:rsidR="00C67A76" w:rsidRPr="00CB2DE6">
        <w:rPr>
          <w:rFonts w:ascii="Times New Roman" w:hAnsi="Times New Roman" w:cs="Times New Roman"/>
          <w:sz w:val="24"/>
          <w:szCs w:val="24"/>
        </w:rPr>
        <w:t xml:space="preserve"> and repeat the whole process every month. Portfolio 1 contains currencies in the lowest </w:t>
      </w:r>
      <w:r w:rsidR="004C2474" w:rsidRPr="00CB2DE6">
        <w:rPr>
          <w:rFonts w:ascii="Times New Roman" w:hAnsi="Times New Roman" w:cs="Times New Roman"/>
          <w:sz w:val="24"/>
          <w:szCs w:val="24"/>
        </w:rPr>
        <w:t>long-</w:t>
      </w:r>
      <w:r w:rsidR="008F6DF4" w:rsidRPr="00CB2DE6">
        <w:rPr>
          <w:rFonts w:ascii="Times New Roman" w:hAnsi="Times New Roman" w:cs="Times New Roman"/>
          <w:sz w:val="24"/>
          <w:szCs w:val="24"/>
        </w:rPr>
        <w:t xml:space="preserve">run </w:t>
      </w:r>
      <w:r w:rsidR="00C67A76" w:rsidRPr="00CB2DE6">
        <w:rPr>
          <w:rFonts w:ascii="Times New Roman" w:hAnsi="Times New Roman" w:cs="Times New Roman"/>
          <w:sz w:val="24"/>
          <w:szCs w:val="24"/>
        </w:rPr>
        <w:t xml:space="preserve">volatility component beta quintile, while portfolio 5 contains currencies in the highest volatility component beta quintile. Furthermore, we consider an analogous set of quintile portfolios but with currencies sorted on the </w:t>
      </w:r>
      <w:r w:rsidR="004C2474" w:rsidRPr="00CB2DE6">
        <w:rPr>
          <w:rFonts w:ascii="Times New Roman" w:hAnsi="Times New Roman" w:cs="Times New Roman"/>
          <w:sz w:val="24"/>
          <w:szCs w:val="24"/>
        </w:rPr>
        <w:t>short-</w:t>
      </w:r>
      <w:r w:rsidR="008F6DF4" w:rsidRPr="00CB2DE6">
        <w:rPr>
          <w:rFonts w:ascii="Times New Roman" w:hAnsi="Times New Roman" w:cs="Times New Roman"/>
          <w:sz w:val="24"/>
          <w:szCs w:val="24"/>
        </w:rPr>
        <w:t xml:space="preserve">run </w:t>
      </w:r>
      <w:r w:rsidR="00C67A76" w:rsidRPr="00CB2DE6">
        <w:rPr>
          <w:rFonts w:ascii="Times New Roman" w:hAnsi="Times New Roman" w:cs="Times New Roman"/>
          <w:sz w:val="24"/>
          <w:szCs w:val="24"/>
        </w:rPr>
        <w:t>volatility component betas.</w:t>
      </w:r>
      <w:r w:rsidR="001601F4" w:rsidRPr="00CB2DE6">
        <w:rPr>
          <w:rStyle w:val="FootnoteReference"/>
          <w:rFonts w:ascii="Times New Roman" w:hAnsi="Times New Roman" w:cs="Times New Roman"/>
          <w:sz w:val="24"/>
          <w:szCs w:val="24"/>
        </w:rPr>
        <w:footnoteReference w:id="21"/>
      </w:r>
      <w:r w:rsidR="00C67A76" w:rsidRPr="00CB2DE6">
        <w:rPr>
          <w:rFonts w:ascii="Times New Roman" w:hAnsi="Times New Roman" w:cs="Times New Roman"/>
          <w:sz w:val="24"/>
          <w:szCs w:val="24"/>
        </w:rPr>
        <w:t xml:space="preserve"> </w:t>
      </w:r>
    </w:p>
    <w:p w:rsidR="00C67A76" w:rsidRPr="00CB2DE6" w:rsidRDefault="00C67A76" w:rsidP="00C67A76">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lastRenderedPageBreak/>
        <w:t xml:space="preserve">Table </w:t>
      </w:r>
      <w:r w:rsidR="00307D6E" w:rsidRPr="00CB2DE6">
        <w:rPr>
          <w:rFonts w:ascii="Times New Roman" w:hAnsi="Times New Roman" w:cs="Times New Roman"/>
          <w:sz w:val="24"/>
          <w:szCs w:val="24"/>
        </w:rPr>
        <w:t>7</w:t>
      </w:r>
      <w:r w:rsidRPr="00CB2DE6">
        <w:rPr>
          <w:rFonts w:ascii="Times New Roman" w:hAnsi="Times New Roman" w:cs="Times New Roman"/>
          <w:sz w:val="24"/>
          <w:szCs w:val="24"/>
        </w:rPr>
        <w:t xml:space="preserve"> reports the summary statistics for the </w:t>
      </w:r>
      <w:r w:rsidR="004C2474" w:rsidRPr="00CB2DE6">
        <w:rPr>
          <w:rFonts w:ascii="Times New Roman" w:hAnsi="Times New Roman" w:cs="Times New Roman"/>
          <w:sz w:val="24"/>
          <w:szCs w:val="24"/>
        </w:rPr>
        <w:t>long-</w:t>
      </w:r>
      <w:r w:rsidR="00307D6E" w:rsidRPr="00CB2DE6">
        <w:rPr>
          <w:rFonts w:ascii="Times New Roman" w:hAnsi="Times New Roman" w:cs="Times New Roman"/>
          <w:sz w:val="24"/>
          <w:szCs w:val="24"/>
        </w:rPr>
        <w:t xml:space="preserve">run </w:t>
      </w:r>
      <w:r w:rsidRPr="00CB2DE6">
        <w:rPr>
          <w:rFonts w:ascii="Times New Roman" w:hAnsi="Times New Roman" w:cs="Times New Roman"/>
          <w:sz w:val="24"/>
          <w:szCs w:val="24"/>
        </w:rPr>
        <w:t xml:space="preserve">component innovations exposure sorted portfolios based on the samples of all and developed countries. Annualized excess returns and forward discounts monotonically decrease when moving from portfolio 1 to portfolio 5 based on all country sample. The pattern is decreasing (nearly monotone) for the sample of developed countries. The excess return for the HML portfolio (in this case, the excess return difference between portfolio 1 and portfolio 5) is about 3% for both samples. Portfolios with currencies in relatively low </w:t>
      </w:r>
      <w:r w:rsidR="004C2474" w:rsidRPr="00CB2DE6">
        <w:rPr>
          <w:rFonts w:ascii="Times New Roman" w:hAnsi="Times New Roman" w:cs="Times New Roman"/>
          <w:sz w:val="24"/>
          <w:szCs w:val="24"/>
        </w:rPr>
        <w:t>long-</w:t>
      </w:r>
      <w:r w:rsidR="008F6DF4" w:rsidRPr="00CB2DE6">
        <w:rPr>
          <w:rFonts w:ascii="Times New Roman" w:hAnsi="Times New Roman" w:cs="Times New Roman"/>
          <w:sz w:val="24"/>
          <w:szCs w:val="24"/>
        </w:rPr>
        <w:t xml:space="preserve">run </w:t>
      </w:r>
      <w:r w:rsidRPr="00CB2DE6">
        <w:rPr>
          <w:rFonts w:ascii="Times New Roman" w:hAnsi="Times New Roman" w:cs="Times New Roman"/>
          <w:sz w:val="24"/>
          <w:szCs w:val="24"/>
        </w:rPr>
        <w:t>volatility component beta quintile correspond to relatively high average excess returns, while those with currencies in high volatility beta quintile correspond to low average excess returns. We find variation in skewness for excess return distribution compared to those for forward discount-sorted portfolios reported in Table</w:t>
      </w:r>
      <w:r w:rsidR="0038200D" w:rsidRPr="00CB2DE6">
        <w:rPr>
          <w:rFonts w:ascii="Times New Roman" w:hAnsi="Times New Roman" w:cs="Times New Roman"/>
          <w:sz w:val="24"/>
          <w:szCs w:val="24"/>
        </w:rPr>
        <w:t>s</w:t>
      </w:r>
      <w:r w:rsidRPr="00CB2DE6">
        <w:rPr>
          <w:rFonts w:ascii="Times New Roman" w:hAnsi="Times New Roman" w:cs="Times New Roman"/>
          <w:sz w:val="24"/>
          <w:szCs w:val="24"/>
        </w:rPr>
        <w:t xml:space="preserve"> 1 and </w:t>
      </w:r>
      <w:r w:rsidR="0038200D" w:rsidRPr="00CB2DE6">
        <w:rPr>
          <w:rFonts w:ascii="Times New Roman" w:hAnsi="Times New Roman" w:cs="Times New Roman"/>
          <w:sz w:val="24"/>
          <w:szCs w:val="24"/>
        </w:rPr>
        <w:t>IA1</w:t>
      </w:r>
      <w:r w:rsidR="0013459A">
        <w:rPr>
          <w:rFonts w:ascii="Times New Roman" w:hAnsi="Times New Roman" w:cs="Times New Roman"/>
          <w:sz w:val="24"/>
          <w:szCs w:val="24"/>
        </w:rPr>
        <w:t>.</w:t>
      </w:r>
    </w:p>
    <w:p w:rsidR="008657DF" w:rsidRPr="00CB2DE6" w:rsidRDefault="00C67A76" w:rsidP="005D5069">
      <w:pPr>
        <w:spacing w:after="360"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The empirical results presented convey two important messages. First, sorting currencies on exposure to innovations in the </w:t>
      </w:r>
      <w:r w:rsidR="004C2474" w:rsidRPr="00CB2DE6">
        <w:rPr>
          <w:rFonts w:ascii="Times New Roman" w:hAnsi="Times New Roman" w:cs="Times New Roman"/>
          <w:sz w:val="24"/>
          <w:szCs w:val="24"/>
        </w:rPr>
        <w:t>long-</w:t>
      </w:r>
      <w:r w:rsidR="0038200D" w:rsidRPr="00CB2DE6">
        <w:rPr>
          <w:rFonts w:ascii="Times New Roman" w:hAnsi="Times New Roman" w:cs="Times New Roman"/>
          <w:sz w:val="24"/>
          <w:szCs w:val="24"/>
        </w:rPr>
        <w:t xml:space="preserve">run </w:t>
      </w:r>
      <w:r w:rsidRPr="00CB2DE6">
        <w:rPr>
          <w:rFonts w:ascii="Times New Roman" w:hAnsi="Times New Roman" w:cs="Times New Roman"/>
          <w:sz w:val="24"/>
          <w:szCs w:val="24"/>
        </w:rPr>
        <w:t xml:space="preserve">volatility component is similar to sorting based on forward discounts. The currency-based risk factor produces spreads in average excess returns across portfolios, a characteristic similar to that of forward discount sorts. Second, the </w:t>
      </w:r>
      <w:r w:rsidR="004C2474" w:rsidRPr="00CB2DE6">
        <w:rPr>
          <w:rFonts w:ascii="Times New Roman" w:hAnsi="Times New Roman" w:cs="Times New Roman"/>
          <w:sz w:val="24"/>
          <w:szCs w:val="24"/>
        </w:rPr>
        <w:t>long-</w:t>
      </w:r>
      <w:r w:rsidR="0038200D" w:rsidRPr="00CB2DE6">
        <w:rPr>
          <w:rFonts w:ascii="Times New Roman" w:hAnsi="Times New Roman" w:cs="Times New Roman"/>
          <w:sz w:val="24"/>
          <w:szCs w:val="24"/>
        </w:rPr>
        <w:t xml:space="preserve">run </w:t>
      </w:r>
      <w:r w:rsidRPr="00CB2DE6">
        <w:rPr>
          <w:rFonts w:ascii="Times New Roman" w:hAnsi="Times New Roman" w:cs="Times New Roman"/>
          <w:sz w:val="24"/>
          <w:szCs w:val="24"/>
        </w:rPr>
        <w:t xml:space="preserve">volatility component beta-sorted portfolios are largely related, but not identical, to the conventional carry trade portfolios. These suggest that the </w:t>
      </w:r>
      <w:r w:rsidR="004C2474" w:rsidRPr="00CB2DE6">
        <w:rPr>
          <w:rFonts w:ascii="Times New Roman" w:hAnsi="Times New Roman" w:cs="Times New Roman"/>
          <w:sz w:val="24"/>
          <w:szCs w:val="24"/>
        </w:rPr>
        <w:t>long-</w:t>
      </w:r>
      <w:r w:rsidR="0038200D" w:rsidRPr="00CB2DE6">
        <w:rPr>
          <w:rFonts w:ascii="Times New Roman" w:hAnsi="Times New Roman" w:cs="Times New Roman"/>
          <w:sz w:val="24"/>
          <w:szCs w:val="24"/>
        </w:rPr>
        <w:t xml:space="preserve">run </w:t>
      </w:r>
      <w:r w:rsidRPr="00CB2DE6">
        <w:rPr>
          <w:rFonts w:ascii="Times New Roman" w:hAnsi="Times New Roman" w:cs="Times New Roman"/>
          <w:sz w:val="24"/>
          <w:szCs w:val="24"/>
        </w:rPr>
        <w:t>volatility is a key state variable driving risk premia in the cross-section of trading currencies</w:t>
      </w:r>
      <w:r w:rsidR="004245B1" w:rsidRPr="00CB2DE6">
        <w:rPr>
          <w:rFonts w:ascii="Times New Roman" w:hAnsi="Times New Roman" w:cs="Times New Roman"/>
          <w:sz w:val="24"/>
          <w:szCs w:val="24"/>
        </w:rPr>
        <w:t xml:space="preserve"> confirming the results of the asset pricing tests reported in Section 4.2.</w:t>
      </w:r>
    </w:p>
    <w:p w:rsidR="003A1D70" w:rsidRPr="00CB2DE6" w:rsidRDefault="00C67A76" w:rsidP="0038200D">
      <w:pPr>
        <w:spacing w:after="120" w:line="360" w:lineRule="auto"/>
        <w:jc w:val="both"/>
        <w:rPr>
          <w:rFonts w:ascii="Times New Roman" w:hAnsi="Times New Roman" w:cs="Times New Roman"/>
          <w:b/>
          <w:sz w:val="28"/>
          <w:szCs w:val="28"/>
        </w:rPr>
      </w:pPr>
      <w:r w:rsidRPr="00CB2DE6">
        <w:rPr>
          <w:rFonts w:ascii="Times New Roman" w:hAnsi="Times New Roman" w:cs="Times New Roman"/>
          <w:b/>
          <w:sz w:val="28"/>
          <w:szCs w:val="28"/>
        </w:rPr>
        <w:t>6</w:t>
      </w:r>
      <w:r w:rsidR="00FA72CA" w:rsidRPr="00CB2DE6">
        <w:rPr>
          <w:rFonts w:ascii="Times New Roman" w:hAnsi="Times New Roman" w:cs="Times New Roman"/>
          <w:b/>
          <w:sz w:val="28"/>
          <w:szCs w:val="28"/>
        </w:rPr>
        <w:t>.</w:t>
      </w:r>
      <w:r w:rsidR="00FA72CA" w:rsidRPr="00CB2DE6">
        <w:rPr>
          <w:rFonts w:ascii="Times New Roman" w:hAnsi="Times New Roman" w:cs="Times New Roman"/>
          <w:b/>
          <w:sz w:val="28"/>
          <w:szCs w:val="28"/>
        </w:rPr>
        <w:tab/>
      </w:r>
      <w:r w:rsidR="001601F4" w:rsidRPr="00CB2DE6">
        <w:rPr>
          <w:rFonts w:ascii="Times New Roman" w:hAnsi="Times New Roman" w:cs="Times New Roman"/>
          <w:b/>
          <w:sz w:val="28"/>
          <w:szCs w:val="28"/>
        </w:rPr>
        <w:t xml:space="preserve">FX </w:t>
      </w:r>
      <w:r w:rsidR="00D27927" w:rsidRPr="00CB2DE6">
        <w:rPr>
          <w:rFonts w:ascii="Times New Roman" w:hAnsi="Times New Roman" w:cs="Times New Roman"/>
          <w:b/>
          <w:sz w:val="28"/>
          <w:szCs w:val="28"/>
        </w:rPr>
        <w:t xml:space="preserve">Volatility </w:t>
      </w:r>
      <w:r w:rsidR="001601F4" w:rsidRPr="00CB2DE6">
        <w:rPr>
          <w:rFonts w:ascii="Times New Roman" w:hAnsi="Times New Roman" w:cs="Times New Roman"/>
          <w:b/>
          <w:sz w:val="28"/>
          <w:szCs w:val="28"/>
        </w:rPr>
        <w:t>Risk</w:t>
      </w:r>
      <w:r w:rsidR="003E2911" w:rsidRPr="00CB2DE6">
        <w:rPr>
          <w:rFonts w:ascii="Times New Roman" w:hAnsi="Times New Roman" w:cs="Times New Roman"/>
          <w:b/>
          <w:sz w:val="28"/>
          <w:szCs w:val="28"/>
        </w:rPr>
        <w:t xml:space="preserve"> and </w:t>
      </w:r>
      <w:r w:rsidRPr="00CB2DE6">
        <w:rPr>
          <w:rFonts w:ascii="Times New Roman" w:hAnsi="Times New Roman" w:cs="Times New Roman"/>
          <w:b/>
          <w:sz w:val="28"/>
          <w:szCs w:val="28"/>
        </w:rPr>
        <w:t xml:space="preserve">Macroeconomic </w:t>
      </w:r>
      <w:r w:rsidR="003E2911" w:rsidRPr="00CB2DE6">
        <w:rPr>
          <w:rFonts w:ascii="Times New Roman" w:hAnsi="Times New Roman" w:cs="Times New Roman"/>
          <w:b/>
          <w:sz w:val="28"/>
          <w:szCs w:val="28"/>
        </w:rPr>
        <w:t>Fundamentals</w:t>
      </w:r>
      <w:r w:rsidR="009915D7" w:rsidRPr="00CB2DE6">
        <w:rPr>
          <w:rFonts w:ascii="Times New Roman" w:hAnsi="Times New Roman" w:cs="Times New Roman"/>
          <w:b/>
          <w:sz w:val="24"/>
          <w:szCs w:val="24"/>
        </w:rPr>
        <w:t xml:space="preserve"> </w:t>
      </w:r>
    </w:p>
    <w:p w:rsidR="00C67A76" w:rsidRPr="00CB2DE6" w:rsidRDefault="00C67A76" w:rsidP="001D672A">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This section </w:t>
      </w:r>
      <w:r w:rsidR="000A4981" w:rsidRPr="00CB2DE6">
        <w:rPr>
          <w:rFonts w:ascii="Times New Roman" w:hAnsi="Times New Roman" w:cs="Times New Roman"/>
          <w:sz w:val="24"/>
          <w:szCs w:val="24"/>
        </w:rPr>
        <w:t>extends the evidence provided in the previous sections by investigating the empirical relationship between the long-</w:t>
      </w:r>
      <w:r w:rsidR="0038200D" w:rsidRPr="00CB2DE6">
        <w:rPr>
          <w:rFonts w:ascii="Times New Roman" w:hAnsi="Times New Roman" w:cs="Times New Roman"/>
          <w:sz w:val="24"/>
          <w:szCs w:val="24"/>
        </w:rPr>
        <w:t xml:space="preserve">run </w:t>
      </w:r>
      <w:r w:rsidR="000A4981" w:rsidRPr="00CB2DE6">
        <w:rPr>
          <w:rFonts w:ascii="Times New Roman" w:hAnsi="Times New Roman" w:cs="Times New Roman"/>
          <w:sz w:val="24"/>
          <w:szCs w:val="24"/>
        </w:rPr>
        <w:t>component of global FX volatility</w:t>
      </w:r>
      <w:r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and</w:t>
      </w:r>
      <w:r w:rsidRPr="00CB2DE6">
        <w:rPr>
          <w:rFonts w:ascii="Times New Roman" w:hAnsi="Times New Roman" w:cs="Times New Roman"/>
          <w:sz w:val="24"/>
          <w:szCs w:val="24"/>
        </w:rPr>
        <w:t xml:space="preserve"> observable </w:t>
      </w:r>
      <w:r w:rsidR="000A4981" w:rsidRPr="00CB2DE6">
        <w:rPr>
          <w:rFonts w:ascii="Times New Roman" w:hAnsi="Times New Roman" w:cs="Times New Roman"/>
          <w:sz w:val="24"/>
          <w:szCs w:val="24"/>
        </w:rPr>
        <w:t>macroeconomic fundamentals</w:t>
      </w:r>
      <w:r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Since the influential paper by Meese and Rogoff (198</w:t>
      </w:r>
      <w:r w:rsidR="007A0EF5" w:rsidRPr="00CB2DE6">
        <w:rPr>
          <w:rFonts w:ascii="Times New Roman" w:hAnsi="Times New Roman" w:cs="Times New Roman"/>
          <w:sz w:val="24"/>
          <w:szCs w:val="24"/>
        </w:rPr>
        <w:t>3</w:t>
      </w:r>
      <w:r w:rsidR="00F276D5" w:rsidRPr="00CB2DE6">
        <w:rPr>
          <w:rFonts w:ascii="Times New Roman" w:hAnsi="Times New Roman" w:cs="Times New Roman"/>
          <w:sz w:val="24"/>
          <w:szCs w:val="24"/>
        </w:rPr>
        <w:t>), studies in international finance have focused their attention towards explaining the missing link between exchange rate variations and macroeconomic fundamentals. Although a large literature has been able to relate FX movements to macroeconomic news (see, among others, Andersen and Bollerslev</w:t>
      </w:r>
      <w:r w:rsidR="00027A49"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1998</w:t>
      </w:r>
      <w:r w:rsidR="00027A49"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Andersen, Bollerslev, Diebold, and Vega</w:t>
      </w:r>
      <w:r w:rsidR="00027A49"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2003</w:t>
      </w:r>
      <w:r w:rsidR="00027A49"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Engel, Mark, and West</w:t>
      </w:r>
      <w:r w:rsidR="00027A49"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2008</w:t>
      </w:r>
      <w:r w:rsidR="00027A49"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and Evans and Lyons</w:t>
      </w:r>
      <w:r w:rsidR="00027A49"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2008)</w:t>
      </w:r>
      <w:r w:rsidR="00027A49" w:rsidRPr="00CB2DE6">
        <w:rPr>
          <w:rFonts w:ascii="Times New Roman" w:hAnsi="Times New Roman" w:cs="Times New Roman"/>
          <w:sz w:val="24"/>
          <w:szCs w:val="24"/>
        </w:rPr>
        <w:t>)</w:t>
      </w:r>
      <w:r w:rsidR="00F276D5" w:rsidRPr="00CB2DE6">
        <w:rPr>
          <w:rFonts w:ascii="Times New Roman" w:hAnsi="Times New Roman" w:cs="Times New Roman"/>
          <w:sz w:val="24"/>
          <w:szCs w:val="24"/>
        </w:rPr>
        <w:t>, very little success has been recorded to date to link the dynamics of macroeconomic variables to carry trade payoffs (Burnside, Eichenbaum, Kleshchelski, and Rebelo</w:t>
      </w:r>
      <w:r w:rsidR="00027A49"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2011</w:t>
      </w:r>
      <w:r w:rsidR="00027A49"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 xml:space="preserve">Burnside </w:t>
      </w:r>
      <w:r w:rsidR="00027A49" w:rsidRPr="00CB2DE6">
        <w:rPr>
          <w:rFonts w:ascii="Times New Roman" w:hAnsi="Times New Roman" w:cs="Times New Roman"/>
          <w:sz w:val="24"/>
          <w:szCs w:val="24"/>
        </w:rPr>
        <w:t>(</w:t>
      </w:r>
      <w:r w:rsidR="00F276D5" w:rsidRPr="00CB2DE6">
        <w:rPr>
          <w:rFonts w:ascii="Times New Roman" w:hAnsi="Times New Roman" w:cs="Times New Roman"/>
          <w:sz w:val="24"/>
          <w:szCs w:val="24"/>
        </w:rPr>
        <w:t>2012</w:t>
      </w:r>
      <w:r w:rsidR="00027A49" w:rsidRPr="00CB2DE6">
        <w:rPr>
          <w:rFonts w:ascii="Times New Roman" w:hAnsi="Times New Roman" w:cs="Times New Roman"/>
          <w:sz w:val="24"/>
          <w:szCs w:val="24"/>
        </w:rPr>
        <w:t>),</w:t>
      </w:r>
      <w:r w:rsidR="00F276D5" w:rsidRPr="00CB2DE6">
        <w:rPr>
          <w:rFonts w:ascii="Times New Roman" w:hAnsi="Times New Roman" w:cs="Times New Roman"/>
          <w:sz w:val="24"/>
          <w:szCs w:val="24"/>
        </w:rPr>
        <w:t xml:space="preserve"> and the references therein). It is therefore logical to ask whether an existing relationship between the long-</w:t>
      </w:r>
      <w:r w:rsidR="007A0EF5" w:rsidRPr="00CB2DE6">
        <w:rPr>
          <w:rFonts w:ascii="Times New Roman" w:hAnsi="Times New Roman" w:cs="Times New Roman"/>
          <w:sz w:val="24"/>
          <w:szCs w:val="24"/>
        </w:rPr>
        <w:t xml:space="preserve">run </w:t>
      </w:r>
      <w:r w:rsidR="00F276D5" w:rsidRPr="00CB2DE6">
        <w:rPr>
          <w:rFonts w:ascii="Times New Roman" w:hAnsi="Times New Roman" w:cs="Times New Roman"/>
          <w:sz w:val="24"/>
          <w:szCs w:val="24"/>
        </w:rPr>
        <w:t>component of global FX volatility and macroeconomic variables can be empirically established.</w:t>
      </w:r>
      <w:r w:rsidRPr="00CB2DE6">
        <w:rPr>
          <w:rFonts w:ascii="Times New Roman" w:hAnsi="Times New Roman" w:cs="Times New Roman"/>
          <w:sz w:val="24"/>
          <w:szCs w:val="24"/>
        </w:rPr>
        <w:t xml:space="preserve"> </w:t>
      </w:r>
      <w:r w:rsidR="00F276D5" w:rsidRPr="00CB2DE6">
        <w:rPr>
          <w:rFonts w:ascii="Times New Roman" w:hAnsi="Times New Roman" w:cs="Times New Roman"/>
          <w:sz w:val="24"/>
          <w:szCs w:val="24"/>
        </w:rPr>
        <w:t xml:space="preserve">Along this </w:t>
      </w:r>
      <w:r w:rsidR="00F276D5" w:rsidRPr="00CB2DE6">
        <w:rPr>
          <w:rFonts w:ascii="Times New Roman" w:hAnsi="Times New Roman" w:cs="Times New Roman"/>
          <w:sz w:val="24"/>
          <w:szCs w:val="24"/>
        </w:rPr>
        <w:lastRenderedPageBreak/>
        <w:t xml:space="preserve">line of reasoning, </w:t>
      </w:r>
      <w:r w:rsidR="001D672A" w:rsidRPr="00CB2DE6">
        <w:rPr>
          <w:rFonts w:ascii="Times New Roman" w:hAnsi="Times New Roman" w:cs="Times New Roman"/>
          <w:sz w:val="24"/>
          <w:szCs w:val="24"/>
        </w:rPr>
        <w:t>recent</w:t>
      </w:r>
      <w:r w:rsidR="00F276D5" w:rsidRPr="00CB2DE6">
        <w:rPr>
          <w:rFonts w:ascii="Times New Roman" w:hAnsi="Times New Roman" w:cs="Times New Roman"/>
          <w:sz w:val="24"/>
          <w:szCs w:val="24"/>
        </w:rPr>
        <w:t xml:space="preserve"> studies have shown that the long-</w:t>
      </w:r>
      <w:r w:rsidR="0038200D" w:rsidRPr="00CB2DE6">
        <w:rPr>
          <w:rFonts w:ascii="Times New Roman" w:hAnsi="Times New Roman" w:cs="Times New Roman"/>
          <w:sz w:val="24"/>
          <w:szCs w:val="24"/>
        </w:rPr>
        <w:t xml:space="preserve">run </w:t>
      </w:r>
      <w:r w:rsidR="00F276D5" w:rsidRPr="00CB2DE6">
        <w:rPr>
          <w:rFonts w:ascii="Times New Roman" w:hAnsi="Times New Roman" w:cs="Times New Roman"/>
          <w:sz w:val="24"/>
          <w:szCs w:val="24"/>
        </w:rPr>
        <w:t xml:space="preserve">component of </w:t>
      </w:r>
      <w:r w:rsidR="001D672A" w:rsidRPr="00CB2DE6">
        <w:rPr>
          <w:rFonts w:ascii="Times New Roman" w:hAnsi="Times New Roman" w:cs="Times New Roman"/>
          <w:sz w:val="24"/>
          <w:szCs w:val="24"/>
        </w:rPr>
        <w:t>stock returns</w:t>
      </w:r>
      <w:r w:rsidR="00F276D5" w:rsidRPr="00CB2DE6">
        <w:rPr>
          <w:rFonts w:ascii="Times New Roman" w:hAnsi="Times New Roman" w:cs="Times New Roman"/>
          <w:sz w:val="24"/>
          <w:szCs w:val="24"/>
        </w:rPr>
        <w:t xml:space="preserve"> volatility is correlated with shocks to macroeconomic fundamentals such as </w:t>
      </w:r>
      <w:r w:rsidR="001152F1" w:rsidRPr="00CB2DE6">
        <w:rPr>
          <w:rFonts w:ascii="Times New Roman" w:hAnsi="Times New Roman" w:cs="Times New Roman"/>
          <w:sz w:val="24"/>
          <w:szCs w:val="24"/>
        </w:rPr>
        <w:t>real output</w:t>
      </w:r>
      <w:r w:rsidR="001D672A" w:rsidRPr="00CB2DE6">
        <w:rPr>
          <w:rFonts w:ascii="Times New Roman" w:hAnsi="Times New Roman" w:cs="Times New Roman"/>
          <w:sz w:val="24"/>
          <w:szCs w:val="24"/>
        </w:rPr>
        <w:t xml:space="preserve">, </w:t>
      </w:r>
      <w:r w:rsidR="001152F1" w:rsidRPr="00CB2DE6">
        <w:rPr>
          <w:rFonts w:ascii="Times New Roman" w:hAnsi="Times New Roman" w:cs="Times New Roman"/>
          <w:sz w:val="24"/>
          <w:szCs w:val="24"/>
        </w:rPr>
        <w:t xml:space="preserve">money balances, </w:t>
      </w:r>
      <w:r w:rsidR="001D672A" w:rsidRPr="00CB2DE6">
        <w:rPr>
          <w:rFonts w:ascii="Times New Roman" w:hAnsi="Times New Roman" w:cs="Times New Roman"/>
          <w:sz w:val="24"/>
          <w:szCs w:val="24"/>
        </w:rPr>
        <w:t>inflation</w:t>
      </w:r>
      <w:r w:rsidR="001152F1" w:rsidRPr="00CB2DE6">
        <w:rPr>
          <w:rFonts w:ascii="Times New Roman" w:hAnsi="Times New Roman" w:cs="Times New Roman"/>
          <w:sz w:val="24"/>
          <w:szCs w:val="24"/>
        </w:rPr>
        <w:t>,</w:t>
      </w:r>
      <w:r w:rsidR="001D672A" w:rsidRPr="00CB2DE6">
        <w:rPr>
          <w:rFonts w:ascii="Times New Roman" w:hAnsi="Times New Roman" w:cs="Times New Roman"/>
          <w:sz w:val="24"/>
          <w:szCs w:val="24"/>
        </w:rPr>
        <w:t xml:space="preserve"> and interest rates</w:t>
      </w:r>
      <w:r w:rsidR="00F276D5" w:rsidRPr="00CB2DE6">
        <w:rPr>
          <w:rFonts w:ascii="Times New Roman" w:hAnsi="Times New Roman" w:cs="Times New Roman"/>
          <w:sz w:val="24"/>
          <w:szCs w:val="24"/>
        </w:rPr>
        <w:t xml:space="preserve"> (</w:t>
      </w:r>
      <w:r w:rsidR="001D672A" w:rsidRPr="00CB2DE6">
        <w:rPr>
          <w:rFonts w:ascii="Times New Roman" w:hAnsi="Times New Roman" w:cs="Times New Roman"/>
          <w:sz w:val="24"/>
          <w:szCs w:val="24"/>
        </w:rPr>
        <w:t>Adrian and Rosenberg</w:t>
      </w:r>
      <w:r w:rsidR="00027A49" w:rsidRPr="00CB2DE6">
        <w:rPr>
          <w:rFonts w:ascii="Times New Roman" w:hAnsi="Times New Roman" w:cs="Times New Roman"/>
          <w:sz w:val="24"/>
          <w:szCs w:val="24"/>
        </w:rPr>
        <w:t xml:space="preserve"> (</w:t>
      </w:r>
      <w:r w:rsidR="001D672A" w:rsidRPr="00CB2DE6">
        <w:rPr>
          <w:rFonts w:ascii="Times New Roman" w:hAnsi="Times New Roman" w:cs="Times New Roman"/>
          <w:sz w:val="24"/>
          <w:szCs w:val="24"/>
        </w:rPr>
        <w:t>2008</w:t>
      </w:r>
      <w:r w:rsidR="00027A49" w:rsidRPr="00CB2DE6">
        <w:rPr>
          <w:rFonts w:ascii="Times New Roman" w:hAnsi="Times New Roman" w:cs="Times New Roman"/>
          <w:sz w:val="24"/>
          <w:szCs w:val="24"/>
        </w:rPr>
        <w:t xml:space="preserve">), </w:t>
      </w:r>
      <w:r w:rsidR="001D672A" w:rsidRPr="00CB2DE6">
        <w:rPr>
          <w:rFonts w:ascii="Times New Roman" w:hAnsi="Times New Roman" w:cs="Times New Roman"/>
          <w:sz w:val="24"/>
          <w:szCs w:val="24"/>
        </w:rPr>
        <w:t>Engle and Rangel</w:t>
      </w:r>
      <w:r w:rsidR="00027A49" w:rsidRPr="00CB2DE6">
        <w:rPr>
          <w:rFonts w:ascii="Times New Roman" w:hAnsi="Times New Roman" w:cs="Times New Roman"/>
          <w:sz w:val="24"/>
          <w:szCs w:val="24"/>
        </w:rPr>
        <w:t xml:space="preserve"> (</w:t>
      </w:r>
      <w:r w:rsidR="001D672A" w:rsidRPr="00CB2DE6">
        <w:rPr>
          <w:rFonts w:ascii="Times New Roman" w:hAnsi="Times New Roman" w:cs="Times New Roman"/>
          <w:sz w:val="24"/>
          <w:szCs w:val="24"/>
        </w:rPr>
        <w:t>2008</w:t>
      </w:r>
      <w:r w:rsidR="00027A49" w:rsidRPr="00CB2DE6">
        <w:rPr>
          <w:rFonts w:ascii="Times New Roman" w:hAnsi="Times New Roman" w:cs="Times New Roman"/>
          <w:sz w:val="24"/>
          <w:szCs w:val="24"/>
        </w:rPr>
        <w:t xml:space="preserve">), and </w:t>
      </w:r>
      <w:r w:rsidR="001D672A" w:rsidRPr="00CB2DE6">
        <w:rPr>
          <w:rFonts w:ascii="Times New Roman" w:hAnsi="Times New Roman" w:cs="Times New Roman"/>
          <w:sz w:val="24"/>
          <w:szCs w:val="24"/>
        </w:rPr>
        <w:t>Engle, Ghysels</w:t>
      </w:r>
      <w:r w:rsidR="0003176B" w:rsidRPr="00CB2DE6">
        <w:rPr>
          <w:rFonts w:ascii="Times New Roman" w:hAnsi="Times New Roman" w:cs="Times New Roman"/>
          <w:sz w:val="24"/>
          <w:szCs w:val="24"/>
        </w:rPr>
        <w:t>,</w:t>
      </w:r>
      <w:r w:rsidR="001D672A" w:rsidRPr="00CB2DE6">
        <w:rPr>
          <w:rFonts w:ascii="Times New Roman" w:hAnsi="Times New Roman" w:cs="Times New Roman"/>
          <w:sz w:val="24"/>
          <w:szCs w:val="24"/>
        </w:rPr>
        <w:t xml:space="preserve"> and Sohn</w:t>
      </w:r>
      <w:r w:rsidR="00027A49" w:rsidRPr="00CB2DE6">
        <w:rPr>
          <w:rFonts w:ascii="Times New Roman" w:hAnsi="Times New Roman" w:cs="Times New Roman"/>
          <w:sz w:val="24"/>
          <w:szCs w:val="24"/>
        </w:rPr>
        <w:t xml:space="preserve"> (</w:t>
      </w:r>
      <w:r w:rsidR="001D672A" w:rsidRPr="00CB2DE6">
        <w:rPr>
          <w:rFonts w:ascii="Times New Roman" w:hAnsi="Times New Roman" w:cs="Times New Roman"/>
          <w:sz w:val="24"/>
          <w:szCs w:val="24"/>
        </w:rPr>
        <w:t>2013</w:t>
      </w:r>
      <w:r w:rsidR="00F276D5" w:rsidRPr="00CB2DE6">
        <w:rPr>
          <w:rFonts w:ascii="Times New Roman" w:hAnsi="Times New Roman" w:cs="Times New Roman"/>
          <w:sz w:val="24"/>
          <w:szCs w:val="24"/>
        </w:rPr>
        <w:t>)</w:t>
      </w:r>
      <w:r w:rsidR="00027A49" w:rsidRPr="00CB2DE6">
        <w:rPr>
          <w:rFonts w:ascii="Times New Roman" w:hAnsi="Times New Roman" w:cs="Times New Roman"/>
          <w:sz w:val="24"/>
          <w:szCs w:val="24"/>
        </w:rPr>
        <w:t>)</w:t>
      </w:r>
      <w:r w:rsidR="00F276D5" w:rsidRPr="00CB2DE6">
        <w:rPr>
          <w:rFonts w:ascii="Times New Roman" w:hAnsi="Times New Roman" w:cs="Times New Roman"/>
          <w:sz w:val="24"/>
          <w:szCs w:val="24"/>
        </w:rPr>
        <w:t xml:space="preserve">. </w:t>
      </w:r>
      <w:r w:rsidR="008D176F" w:rsidRPr="00CB2DE6">
        <w:rPr>
          <w:rFonts w:ascii="Times New Roman" w:hAnsi="Times New Roman" w:cs="Times New Roman"/>
          <w:sz w:val="24"/>
          <w:szCs w:val="24"/>
        </w:rPr>
        <w:t>Nonetheless, f</w:t>
      </w:r>
      <w:r w:rsidR="00F276D5" w:rsidRPr="00CB2DE6">
        <w:rPr>
          <w:rFonts w:ascii="Times New Roman" w:hAnsi="Times New Roman" w:cs="Times New Roman"/>
          <w:sz w:val="24"/>
          <w:szCs w:val="24"/>
        </w:rPr>
        <w:t>or the FX market</w:t>
      </w:r>
      <w:r w:rsidR="008D176F" w:rsidRPr="00CB2DE6">
        <w:rPr>
          <w:rFonts w:ascii="Times New Roman" w:hAnsi="Times New Roman" w:cs="Times New Roman"/>
          <w:sz w:val="24"/>
          <w:szCs w:val="24"/>
        </w:rPr>
        <w:t>,</w:t>
      </w:r>
      <w:r w:rsidR="00F276D5" w:rsidRPr="00CB2DE6">
        <w:rPr>
          <w:rFonts w:ascii="Times New Roman" w:hAnsi="Times New Roman" w:cs="Times New Roman"/>
          <w:sz w:val="24"/>
          <w:szCs w:val="24"/>
        </w:rPr>
        <w:t xml:space="preserve"> this evidence is not </w:t>
      </w:r>
      <w:r w:rsidR="008D176F" w:rsidRPr="00CB2DE6">
        <w:rPr>
          <w:rFonts w:ascii="Times New Roman" w:hAnsi="Times New Roman" w:cs="Times New Roman"/>
          <w:sz w:val="24"/>
          <w:szCs w:val="24"/>
        </w:rPr>
        <w:t xml:space="preserve">widely </w:t>
      </w:r>
      <w:r w:rsidR="00F276D5" w:rsidRPr="00CB2DE6">
        <w:rPr>
          <w:rFonts w:ascii="Times New Roman" w:hAnsi="Times New Roman" w:cs="Times New Roman"/>
          <w:sz w:val="24"/>
          <w:szCs w:val="24"/>
        </w:rPr>
        <w:t>prese</w:t>
      </w:r>
      <w:r w:rsidR="001D672A" w:rsidRPr="00CB2DE6">
        <w:rPr>
          <w:rFonts w:ascii="Times New Roman" w:hAnsi="Times New Roman" w:cs="Times New Roman"/>
          <w:sz w:val="24"/>
          <w:szCs w:val="24"/>
        </w:rPr>
        <w:t>nt and certainly not conclusive.</w:t>
      </w:r>
      <w:r w:rsidRPr="00CB2DE6">
        <w:rPr>
          <w:rFonts w:ascii="Times New Roman" w:hAnsi="Times New Roman" w:cs="Times New Roman"/>
          <w:sz w:val="24"/>
          <w:szCs w:val="24"/>
        </w:rPr>
        <w:t xml:space="preserve"> </w:t>
      </w:r>
      <w:r w:rsidR="008D176F" w:rsidRPr="00CB2DE6">
        <w:rPr>
          <w:rFonts w:ascii="Times New Roman" w:hAnsi="Times New Roman" w:cs="Times New Roman"/>
          <w:sz w:val="24"/>
          <w:szCs w:val="24"/>
        </w:rPr>
        <w:t xml:space="preserve">In fact, a host of new studies have recently tried to provide a more exhaustive answer to this </w:t>
      </w:r>
      <w:r w:rsidR="00E8748A" w:rsidRPr="00CB2DE6">
        <w:rPr>
          <w:rFonts w:ascii="Times New Roman" w:hAnsi="Times New Roman" w:cs="Times New Roman"/>
          <w:sz w:val="24"/>
          <w:szCs w:val="24"/>
        </w:rPr>
        <w:t>question</w:t>
      </w:r>
      <w:r w:rsidR="008D176F" w:rsidRPr="00CB2DE6">
        <w:rPr>
          <w:rFonts w:ascii="Times New Roman" w:hAnsi="Times New Roman" w:cs="Times New Roman"/>
          <w:sz w:val="24"/>
          <w:szCs w:val="24"/>
        </w:rPr>
        <w:t xml:space="preserve"> with mixed results (Verdelhan</w:t>
      </w:r>
      <w:r w:rsidR="00027A49" w:rsidRPr="00CB2DE6">
        <w:rPr>
          <w:rFonts w:ascii="Times New Roman" w:hAnsi="Times New Roman" w:cs="Times New Roman"/>
          <w:sz w:val="24"/>
          <w:szCs w:val="24"/>
        </w:rPr>
        <w:t xml:space="preserve"> (</w:t>
      </w:r>
      <w:r w:rsidR="008D176F" w:rsidRPr="00CB2DE6">
        <w:rPr>
          <w:rFonts w:ascii="Times New Roman" w:hAnsi="Times New Roman" w:cs="Times New Roman"/>
          <w:sz w:val="24"/>
          <w:szCs w:val="24"/>
        </w:rPr>
        <w:t>2013</w:t>
      </w:r>
      <w:r w:rsidR="00027A49" w:rsidRPr="00CB2DE6">
        <w:rPr>
          <w:rFonts w:ascii="Times New Roman" w:hAnsi="Times New Roman" w:cs="Times New Roman"/>
          <w:sz w:val="24"/>
          <w:szCs w:val="24"/>
        </w:rPr>
        <w:t xml:space="preserve">), </w:t>
      </w:r>
      <w:r w:rsidR="008D176F" w:rsidRPr="00CB2DE6">
        <w:rPr>
          <w:rFonts w:ascii="Times New Roman" w:hAnsi="Times New Roman" w:cs="Times New Roman"/>
          <w:sz w:val="24"/>
          <w:szCs w:val="24"/>
        </w:rPr>
        <w:t xml:space="preserve">Della Corte, </w:t>
      </w:r>
      <w:r w:rsidR="00035AF4" w:rsidRPr="00CB2DE6">
        <w:rPr>
          <w:rFonts w:ascii="Times New Roman" w:hAnsi="Times New Roman" w:cs="Times New Roman"/>
          <w:sz w:val="24"/>
          <w:szCs w:val="24"/>
        </w:rPr>
        <w:t>Riddiough</w:t>
      </w:r>
      <w:r w:rsidR="008D176F" w:rsidRPr="00CB2DE6">
        <w:rPr>
          <w:rFonts w:ascii="Times New Roman" w:hAnsi="Times New Roman" w:cs="Times New Roman"/>
          <w:sz w:val="24"/>
          <w:szCs w:val="24"/>
        </w:rPr>
        <w:t xml:space="preserve">, </w:t>
      </w:r>
      <w:r w:rsidR="000F2E06" w:rsidRPr="00CB2DE6">
        <w:rPr>
          <w:rFonts w:ascii="Times New Roman" w:hAnsi="Times New Roman" w:cs="Times New Roman"/>
          <w:sz w:val="24"/>
          <w:szCs w:val="24"/>
        </w:rPr>
        <w:t xml:space="preserve">and </w:t>
      </w:r>
      <w:r w:rsidR="008D176F" w:rsidRPr="00CB2DE6">
        <w:rPr>
          <w:rFonts w:ascii="Times New Roman" w:hAnsi="Times New Roman" w:cs="Times New Roman"/>
          <w:sz w:val="24"/>
          <w:szCs w:val="24"/>
        </w:rPr>
        <w:t>Sarno</w:t>
      </w:r>
      <w:r w:rsidR="00027A49" w:rsidRPr="00CB2DE6">
        <w:rPr>
          <w:rFonts w:ascii="Times New Roman" w:hAnsi="Times New Roman" w:cs="Times New Roman"/>
          <w:sz w:val="24"/>
          <w:szCs w:val="24"/>
        </w:rPr>
        <w:t xml:space="preserve"> (</w:t>
      </w:r>
      <w:r w:rsidR="008D176F" w:rsidRPr="00CB2DE6">
        <w:rPr>
          <w:rFonts w:ascii="Times New Roman" w:hAnsi="Times New Roman" w:cs="Times New Roman"/>
          <w:sz w:val="24"/>
          <w:szCs w:val="24"/>
        </w:rPr>
        <w:t>2014</w:t>
      </w:r>
      <w:r w:rsidR="00027A49" w:rsidRPr="00CB2DE6">
        <w:rPr>
          <w:rFonts w:ascii="Times New Roman" w:hAnsi="Times New Roman" w:cs="Times New Roman"/>
          <w:sz w:val="24"/>
          <w:szCs w:val="24"/>
        </w:rPr>
        <w:t xml:space="preserve">), and </w:t>
      </w:r>
      <w:r w:rsidR="008D176F" w:rsidRPr="00CB2DE6">
        <w:rPr>
          <w:rFonts w:ascii="Times New Roman" w:hAnsi="Times New Roman" w:cs="Times New Roman"/>
          <w:sz w:val="24"/>
          <w:szCs w:val="24"/>
        </w:rPr>
        <w:t xml:space="preserve">Lustig, </w:t>
      </w:r>
      <w:r w:rsidR="00027A49" w:rsidRPr="00CB2DE6">
        <w:rPr>
          <w:rFonts w:ascii="Times New Roman" w:hAnsi="Times New Roman" w:cs="Times New Roman"/>
          <w:sz w:val="24"/>
          <w:szCs w:val="24"/>
        </w:rPr>
        <w:t>Verdelhan,</w:t>
      </w:r>
      <w:r w:rsidR="008D176F" w:rsidRPr="00CB2DE6">
        <w:rPr>
          <w:rFonts w:ascii="Times New Roman" w:hAnsi="Times New Roman" w:cs="Times New Roman"/>
          <w:sz w:val="24"/>
          <w:szCs w:val="24"/>
        </w:rPr>
        <w:t xml:space="preserve"> and Roussanov</w:t>
      </w:r>
      <w:r w:rsidR="00027A49" w:rsidRPr="00CB2DE6">
        <w:rPr>
          <w:rFonts w:ascii="Times New Roman" w:hAnsi="Times New Roman" w:cs="Times New Roman"/>
          <w:sz w:val="24"/>
          <w:szCs w:val="24"/>
        </w:rPr>
        <w:t xml:space="preserve"> (</w:t>
      </w:r>
      <w:r w:rsidR="008D176F" w:rsidRPr="00CB2DE6">
        <w:rPr>
          <w:rFonts w:ascii="Times New Roman" w:hAnsi="Times New Roman" w:cs="Times New Roman"/>
          <w:sz w:val="24"/>
          <w:szCs w:val="24"/>
        </w:rPr>
        <w:t>2014)</w:t>
      </w:r>
      <w:r w:rsidR="00027A49" w:rsidRPr="00CB2DE6">
        <w:rPr>
          <w:rFonts w:ascii="Times New Roman" w:hAnsi="Times New Roman" w:cs="Times New Roman"/>
          <w:sz w:val="24"/>
          <w:szCs w:val="24"/>
        </w:rPr>
        <w:t>)</w:t>
      </w:r>
      <w:r w:rsidR="008D176F" w:rsidRPr="00CB2DE6">
        <w:rPr>
          <w:rFonts w:ascii="Times New Roman" w:hAnsi="Times New Roman" w:cs="Times New Roman"/>
          <w:sz w:val="24"/>
          <w:szCs w:val="24"/>
        </w:rPr>
        <w:t>.</w:t>
      </w:r>
    </w:p>
    <w:p w:rsidR="00F674F3" w:rsidRPr="00CB2DE6" w:rsidRDefault="001D672A" w:rsidP="00F7071F">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We</w:t>
      </w:r>
      <w:r w:rsidR="00C67A76" w:rsidRPr="00CB2DE6">
        <w:rPr>
          <w:rFonts w:ascii="Times New Roman" w:hAnsi="Times New Roman" w:cs="Times New Roman"/>
          <w:sz w:val="24"/>
          <w:szCs w:val="24"/>
        </w:rPr>
        <w:t xml:space="preserve"> </w:t>
      </w:r>
      <w:r w:rsidR="008D176F" w:rsidRPr="00CB2DE6">
        <w:rPr>
          <w:rFonts w:ascii="Times New Roman" w:hAnsi="Times New Roman" w:cs="Times New Roman"/>
          <w:sz w:val="24"/>
          <w:szCs w:val="24"/>
        </w:rPr>
        <w:t>aim at shedding some new light</w:t>
      </w:r>
      <w:r w:rsidR="00C67A76"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on this </w:t>
      </w:r>
      <w:r w:rsidR="008D176F" w:rsidRPr="00CB2DE6">
        <w:rPr>
          <w:rFonts w:ascii="Times New Roman" w:hAnsi="Times New Roman" w:cs="Times New Roman"/>
          <w:sz w:val="24"/>
          <w:szCs w:val="24"/>
        </w:rPr>
        <w:t xml:space="preserve">important </w:t>
      </w:r>
      <w:r w:rsidRPr="00CB2DE6">
        <w:rPr>
          <w:rFonts w:ascii="Times New Roman" w:hAnsi="Times New Roman" w:cs="Times New Roman"/>
          <w:sz w:val="24"/>
          <w:szCs w:val="24"/>
        </w:rPr>
        <w:t xml:space="preserve">issue </w:t>
      </w:r>
      <w:r w:rsidR="00C67A76" w:rsidRPr="00CB2DE6">
        <w:rPr>
          <w:rFonts w:ascii="Times New Roman" w:hAnsi="Times New Roman" w:cs="Times New Roman"/>
          <w:sz w:val="24"/>
          <w:szCs w:val="24"/>
        </w:rPr>
        <w:t xml:space="preserve">in the context of FX market </w:t>
      </w:r>
      <w:r w:rsidRPr="00CB2DE6">
        <w:rPr>
          <w:rFonts w:ascii="Times New Roman" w:hAnsi="Times New Roman" w:cs="Times New Roman"/>
          <w:sz w:val="24"/>
          <w:szCs w:val="24"/>
        </w:rPr>
        <w:t>by running</w:t>
      </w:r>
      <w:r w:rsidR="00C67A76" w:rsidRPr="00CB2DE6">
        <w:rPr>
          <w:rFonts w:ascii="Times New Roman" w:hAnsi="Times New Roman" w:cs="Times New Roman"/>
          <w:sz w:val="24"/>
          <w:szCs w:val="24"/>
        </w:rPr>
        <w:t xml:space="preserve"> </w:t>
      </w:r>
      <w:r w:rsidR="001601F4" w:rsidRPr="00CB2DE6">
        <w:rPr>
          <w:rFonts w:ascii="Times New Roman" w:hAnsi="Times New Roman" w:cs="Times New Roman"/>
          <w:sz w:val="24"/>
          <w:szCs w:val="24"/>
        </w:rPr>
        <w:t>a</w:t>
      </w:r>
      <w:r w:rsidR="007A0EF5" w:rsidRPr="00CB2DE6">
        <w:rPr>
          <w:rFonts w:ascii="Times New Roman" w:hAnsi="Times New Roman" w:cs="Times New Roman"/>
          <w:sz w:val="24"/>
          <w:szCs w:val="24"/>
        </w:rPr>
        <w:t xml:space="preserve"> </w:t>
      </w:r>
      <w:r w:rsidR="001B1C13" w:rsidRPr="00CB2DE6">
        <w:rPr>
          <w:rFonts w:ascii="Times New Roman" w:hAnsi="Times New Roman" w:cs="Times New Roman"/>
          <w:sz w:val="24"/>
          <w:szCs w:val="24"/>
        </w:rPr>
        <w:t xml:space="preserve">three-variable </w:t>
      </w:r>
      <w:r w:rsidR="00C67A76" w:rsidRPr="00CB2DE6">
        <w:rPr>
          <w:rFonts w:ascii="Times New Roman" w:hAnsi="Times New Roman" w:cs="Times New Roman"/>
          <w:sz w:val="24"/>
          <w:szCs w:val="24"/>
        </w:rPr>
        <w:t>vector autoregression (VAR)</w:t>
      </w:r>
      <w:r w:rsidR="001B1C13" w:rsidRPr="00CB2DE6">
        <w:rPr>
          <w:rFonts w:ascii="Times New Roman" w:hAnsi="Times New Roman" w:cs="Times New Roman"/>
          <w:sz w:val="24"/>
          <w:szCs w:val="24"/>
        </w:rPr>
        <w:t xml:space="preserve"> </w:t>
      </w:r>
      <w:r w:rsidR="00D62623" w:rsidRPr="00CB2DE6">
        <w:rPr>
          <w:rFonts w:ascii="Times New Roman" w:hAnsi="Times New Roman" w:cs="Times New Roman"/>
          <w:sz w:val="24"/>
          <w:szCs w:val="24"/>
        </w:rPr>
        <w:t xml:space="preserve">system </w:t>
      </w:r>
      <w:r w:rsidR="008D176F" w:rsidRPr="00CB2DE6">
        <w:rPr>
          <w:rFonts w:ascii="Times New Roman" w:hAnsi="Times New Roman" w:cs="Times New Roman"/>
          <w:sz w:val="24"/>
          <w:szCs w:val="24"/>
        </w:rPr>
        <w:t>including</w:t>
      </w:r>
      <w:r w:rsidR="00C67A76" w:rsidRPr="00CB2DE6">
        <w:rPr>
          <w:rFonts w:ascii="Times New Roman" w:hAnsi="Times New Roman" w:cs="Times New Roman"/>
          <w:sz w:val="24"/>
          <w:szCs w:val="24"/>
        </w:rPr>
        <w:t xml:space="preserve"> the </w:t>
      </w:r>
      <w:r w:rsidR="004C2474" w:rsidRPr="00CB2DE6">
        <w:rPr>
          <w:rFonts w:ascii="Times New Roman" w:hAnsi="Times New Roman" w:cs="Times New Roman"/>
          <w:sz w:val="24"/>
          <w:szCs w:val="24"/>
        </w:rPr>
        <w:t>long-</w:t>
      </w:r>
      <w:r w:rsidR="0038200D" w:rsidRPr="00CB2DE6">
        <w:rPr>
          <w:rFonts w:ascii="Times New Roman" w:hAnsi="Times New Roman" w:cs="Times New Roman"/>
          <w:sz w:val="24"/>
          <w:szCs w:val="24"/>
        </w:rPr>
        <w:t xml:space="preserve">run </w:t>
      </w:r>
      <w:r w:rsidR="00C67A76" w:rsidRPr="00CB2DE6">
        <w:rPr>
          <w:rFonts w:ascii="Times New Roman" w:hAnsi="Times New Roman" w:cs="Times New Roman"/>
          <w:sz w:val="24"/>
          <w:szCs w:val="24"/>
        </w:rPr>
        <w:t xml:space="preserve">component of global FX volatility and </w:t>
      </w:r>
      <w:r w:rsidR="001B1C13" w:rsidRPr="00CB2DE6">
        <w:rPr>
          <w:rFonts w:ascii="Times New Roman" w:hAnsi="Times New Roman" w:cs="Times New Roman"/>
          <w:sz w:val="24"/>
          <w:szCs w:val="24"/>
        </w:rPr>
        <w:t xml:space="preserve">two </w:t>
      </w:r>
      <w:r w:rsidR="00795292" w:rsidRPr="00CB2DE6">
        <w:rPr>
          <w:rFonts w:ascii="Times New Roman" w:hAnsi="Times New Roman" w:cs="Times New Roman"/>
          <w:sz w:val="24"/>
          <w:szCs w:val="24"/>
        </w:rPr>
        <w:t xml:space="preserve">US macroeconomic fundamentals. </w:t>
      </w:r>
      <w:r w:rsidR="004245B1" w:rsidRPr="00CB2DE6">
        <w:rPr>
          <w:rFonts w:ascii="Times New Roman" w:hAnsi="Times New Roman" w:cs="Times New Roman"/>
          <w:sz w:val="24"/>
          <w:szCs w:val="24"/>
        </w:rPr>
        <w:t>I</w:t>
      </w:r>
      <w:r w:rsidR="008D176F" w:rsidRPr="00CB2DE6">
        <w:rPr>
          <w:rFonts w:ascii="Times New Roman" w:hAnsi="Times New Roman" w:cs="Times New Roman"/>
          <w:sz w:val="24"/>
          <w:szCs w:val="24"/>
        </w:rPr>
        <w:t xml:space="preserve">n light of the findings of existing studies, we select </w:t>
      </w:r>
      <w:r w:rsidR="00C67A76" w:rsidRPr="00CB2DE6">
        <w:rPr>
          <w:rFonts w:ascii="Times New Roman" w:hAnsi="Times New Roman" w:cs="Times New Roman"/>
          <w:sz w:val="24"/>
          <w:szCs w:val="24"/>
        </w:rPr>
        <w:t xml:space="preserve">US industrial production </w:t>
      </w:r>
      <w:r w:rsidR="004245B1" w:rsidRPr="00CB2DE6">
        <w:rPr>
          <w:rFonts w:ascii="Times New Roman" w:hAnsi="Times New Roman" w:cs="Times New Roman"/>
          <w:sz w:val="24"/>
          <w:szCs w:val="24"/>
        </w:rPr>
        <w:t xml:space="preserve">and US money balances </w:t>
      </w:r>
      <w:r w:rsidR="008D176F" w:rsidRPr="00CB2DE6">
        <w:rPr>
          <w:rFonts w:ascii="Times New Roman" w:hAnsi="Times New Roman" w:cs="Times New Roman"/>
          <w:sz w:val="24"/>
          <w:szCs w:val="24"/>
        </w:rPr>
        <w:t>as suitable macroeconomic fundamental</w:t>
      </w:r>
      <w:r w:rsidR="004245B1" w:rsidRPr="00CB2DE6">
        <w:rPr>
          <w:rFonts w:ascii="Times New Roman" w:hAnsi="Times New Roman" w:cs="Times New Roman"/>
          <w:sz w:val="24"/>
          <w:szCs w:val="24"/>
        </w:rPr>
        <w:t>s</w:t>
      </w:r>
      <w:r w:rsidR="00C67A76" w:rsidRPr="00CB2DE6">
        <w:rPr>
          <w:rFonts w:ascii="Times New Roman" w:hAnsi="Times New Roman" w:cs="Times New Roman"/>
          <w:sz w:val="24"/>
          <w:szCs w:val="24"/>
        </w:rPr>
        <w:t>.</w:t>
      </w:r>
      <w:r w:rsidR="00C67A76" w:rsidRPr="00CB2DE6">
        <w:rPr>
          <w:rStyle w:val="FootnoteReference"/>
          <w:rFonts w:ascii="Times New Roman" w:hAnsi="Times New Roman" w:cs="Times New Roman"/>
          <w:sz w:val="24"/>
          <w:szCs w:val="24"/>
        </w:rPr>
        <w:footnoteReference w:id="22"/>
      </w:r>
      <w:r w:rsidR="00C67A76" w:rsidRPr="00CB2DE6">
        <w:rPr>
          <w:rFonts w:ascii="Times New Roman" w:hAnsi="Times New Roman" w:cs="Times New Roman"/>
          <w:sz w:val="24"/>
          <w:szCs w:val="24"/>
        </w:rPr>
        <w:t xml:space="preserve"> The impulse response function</w:t>
      </w:r>
      <w:r w:rsidR="004245B1" w:rsidRPr="00CB2DE6">
        <w:rPr>
          <w:rFonts w:ascii="Times New Roman" w:hAnsi="Times New Roman" w:cs="Times New Roman"/>
          <w:sz w:val="24"/>
          <w:szCs w:val="24"/>
        </w:rPr>
        <w:t>s</w:t>
      </w:r>
      <w:r w:rsidR="00C67A76" w:rsidRPr="00CB2DE6">
        <w:rPr>
          <w:rFonts w:ascii="Times New Roman" w:hAnsi="Times New Roman" w:cs="Times New Roman"/>
          <w:sz w:val="24"/>
          <w:szCs w:val="24"/>
        </w:rPr>
        <w:t xml:space="preserve"> (IRF</w:t>
      </w:r>
      <w:r w:rsidR="00A07DCA" w:rsidRPr="00CB2DE6">
        <w:rPr>
          <w:rFonts w:ascii="Times New Roman" w:hAnsi="Times New Roman" w:cs="Times New Roman"/>
          <w:sz w:val="24"/>
          <w:szCs w:val="24"/>
        </w:rPr>
        <w:t>s</w:t>
      </w:r>
      <w:r w:rsidR="00C67A76" w:rsidRPr="00CB2DE6">
        <w:rPr>
          <w:rFonts w:ascii="Times New Roman" w:hAnsi="Times New Roman" w:cs="Times New Roman"/>
          <w:sz w:val="24"/>
          <w:szCs w:val="24"/>
        </w:rPr>
        <w:t xml:space="preserve">) </w:t>
      </w:r>
      <w:r w:rsidR="00D62623" w:rsidRPr="00CB2DE6">
        <w:rPr>
          <w:rFonts w:ascii="Times New Roman" w:hAnsi="Times New Roman" w:cs="Times New Roman"/>
          <w:sz w:val="24"/>
          <w:szCs w:val="24"/>
        </w:rPr>
        <w:t xml:space="preserve">from </w:t>
      </w:r>
      <w:r w:rsidR="0013459A">
        <w:rPr>
          <w:rFonts w:ascii="Times New Roman" w:hAnsi="Times New Roman" w:cs="Times New Roman"/>
          <w:sz w:val="24"/>
          <w:szCs w:val="24"/>
        </w:rPr>
        <w:t xml:space="preserve">the </w:t>
      </w:r>
      <w:r w:rsidR="00E6252C">
        <w:rPr>
          <w:rFonts w:ascii="Times New Roman" w:hAnsi="Times New Roman" w:cs="Times New Roman"/>
          <w:sz w:val="24"/>
          <w:szCs w:val="24"/>
        </w:rPr>
        <w:t xml:space="preserve">third-order </w:t>
      </w:r>
      <w:r w:rsidR="00D62623" w:rsidRPr="00CB2DE6">
        <w:rPr>
          <w:rFonts w:ascii="Times New Roman" w:hAnsi="Times New Roman" w:cs="Times New Roman"/>
          <w:sz w:val="24"/>
          <w:szCs w:val="24"/>
        </w:rPr>
        <w:t>VAR</w:t>
      </w:r>
      <w:r w:rsidR="0013459A">
        <w:rPr>
          <w:rFonts w:ascii="Times New Roman" w:hAnsi="Times New Roman" w:cs="Times New Roman"/>
          <w:sz w:val="24"/>
          <w:szCs w:val="24"/>
        </w:rPr>
        <w:t xml:space="preserve"> model</w:t>
      </w:r>
      <w:r w:rsidR="00D62623" w:rsidRPr="00CB2DE6">
        <w:rPr>
          <w:rFonts w:ascii="Times New Roman" w:hAnsi="Times New Roman" w:cs="Times New Roman"/>
          <w:sz w:val="24"/>
          <w:szCs w:val="24"/>
        </w:rPr>
        <w:t xml:space="preserve"> </w:t>
      </w:r>
      <w:r w:rsidR="004245B1" w:rsidRPr="00CB2DE6">
        <w:rPr>
          <w:rFonts w:ascii="Times New Roman" w:hAnsi="Times New Roman" w:cs="Times New Roman"/>
          <w:sz w:val="24"/>
          <w:szCs w:val="24"/>
        </w:rPr>
        <w:t>are</w:t>
      </w:r>
      <w:r w:rsidR="008D176F" w:rsidRPr="00CB2DE6">
        <w:rPr>
          <w:rFonts w:ascii="Times New Roman" w:hAnsi="Times New Roman" w:cs="Times New Roman"/>
          <w:sz w:val="24"/>
          <w:szCs w:val="24"/>
        </w:rPr>
        <w:t xml:space="preserve"> reported in</w:t>
      </w:r>
      <w:r w:rsidR="00C67A76" w:rsidRPr="00CB2DE6">
        <w:rPr>
          <w:rFonts w:ascii="Times New Roman" w:hAnsi="Times New Roman" w:cs="Times New Roman"/>
          <w:sz w:val="24"/>
          <w:szCs w:val="24"/>
        </w:rPr>
        <w:t xml:space="preserve"> Figure </w:t>
      </w:r>
      <w:r w:rsidR="00E6252C">
        <w:rPr>
          <w:rFonts w:ascii="Times New Roman" w:hAnsi="Times New Roman" w:cs="Times New Roman"/>
          <w:sz w:val="24"/>
          <w:szCs w:val="24"/>
        </w:rPr>
        <w:t>2</w:t>
      </w:r>
      <w:r w:rsidR="004245B1" w:rsidRPr="00CB2DE6">
        <w:rPr>
          <w:rFonts w:ascii="Times New Roman" w:hAnsi="Times New Roman" w:cs="Times New Roman"/>
          <w:sz w:val="24"/>
          <w:szCs w:val="24"/>
        </w:rPr>
        <w:t>.</w:t>
      </w:r>
      <w:r w:rsidR="00EF0DC3" w:rsidRPr="00CB2DE6">
        <w:rPr>
          <w:rStyle w:val="FootnoteReference"/>
          <w:rFonts w:ascii="Times New Roman" w:hAnsi="Times New Roman" w:cs="Times New Roman"/>
          <w:sz w:val="24"/>
          <w:szCs w:val="24"/>
        </w:rPr>
        <w:footnoteReference w:id="23"/>
      </w:r>
      <w:r w:rsidR="00EF0DC3">
        <w:rPr>
          <w:rFonts w:ascii="Times New Roman" w:hAnsi="Times New Roman" w:cs="Times New Roman"/>
          <w:sz w:val="24"/>
          <w:szCs w:val="24"/>
        </w:rPr>
        <w:t xml:space="preserve"> </w:t>
      </w:r>
      <w:r w:rsidR="004245B1" w:rsidRPr="00CB2DE6">
        <w:rPr>
          <w:rFonts w:ascii="Times New Roman" w:hAnsi="Times New Roman" w:cs="Times New Roman"/>
          <w:sz w:val="24"/>
          <w:szCs w:val="24"/>
        </w:rPr>
        <w:t>T</w:t>
      </w:r>
      <w:r w:rsidR="00C67A76" w:rsidRPr="00CB2DE6">
        <w:rPr>
          <w:rFonts w:ascii="Times New Roman" w:hAnsi="Times New Roman" w:cs="Times New Roman"/>
          <w:sz w:val="24"/>
          <w:szCs w:val="24"/>
        </w:rPr>
        <w:t xml:space="preserve">he response of the </w:t>
      </w:r>
      <w:r w:rsidR="004C2474" w:rsidRPr="00CB2DE6">
        <w:rPr>
          <w:rFonts w:ascii="Times New Roman" w:hAnsi="Times New Roman" w:cs="Times New Roman"/>
          <w:sz w:val="24"/>
          <w:szCs w:val="24"/>
        </w:rPr>
        <w:t>long-</w:t>
      </w:r>
      <w:r w:rsidR="007A0EF5" w:rsidRPr="00CB2DE6">
        <w:rPr>
          <w:rFonts w:ascii="Times New Roman" w:hAnsi="Times New Roman" w:cs="Times New Roman"/>
          <w:sz w:val="24"/>
          <w:szCs w:val="24"/>
        </w:rPr>
        <w:t xml:space="preserve">run </w:t>
      </w:r>
      <w:r w:rsidR="00C67A76" w:rsidRPr="00CB2DE6">
        <w:rPr>
          <w:rFonts w:ascii="Times New Roman" w:hAnsi="Times New Roman" w:cs="Times New Roman"/>
          <w:sz w:val="24"/>
          <w:szCs w:val="24"/>
        </w:rPr>
        <w:t xml:space="preserve">component to a unit positive shock in the industrial production growth is </w:t>
      </w:r>
      <w:r w:rsidR="004245B1" w:rsidRPr="00CB2DE6">
        <w:rPr>
          <w:rFonts w:ascii="Times New Roman" w:hAnsi="Times New Roman" w:cs="Times New Roman"/>
          <w:sz w:val="24"/>
          <w:szCs w:val="24"/>
        </w:rPr>
        <w:t xml:space="preserve">reported in the upper panel and show a </w:t>
      </w:r>
      <w:r w:rsidR="00C67A76" w:rsidRPr="00CB2DE6">
        <w:rPr>
          <w:rFonts w:ascii="Times New Roman" w:hAnsi="Times New Roman" w:cs="Times New Roman"/>
          <w:sz w:val="24"/>
          <w:szCs w:val="24"/>
        </w:rPr>
        <w:t xml:space="preserve">negative and significant </w:t>
      </w:r>
      <w:r w:rsidR="004245B1" w:rsidRPr="00CB2DE6">
        <w:rPr>
          <w:rFonts w:ascii="Times New Roman" w:hAnsi="Times New Roman" w:cs="Times New Roman"/>
          <w:sz w:val="24"/>
          <w:szCs w:val="24"/>
        </w:rPr>
        <w:t xml:space="preserve">reaction </w:t>
      </w:r>
      <w:r w:rsidR="00C67A76" w:rsidRPr="00CB2DE6">
        <w:rPr>
          <w:rFonts w:ascii="Times New Roman" w:hAnsi="Times New Roman" w:cs="Times New Roman"/>
          <w:sz w:val="24"/>
          <w:szCs w:val="24"/>
        </w:rPr>
        <w:t xml:space="preserve">for a prolonged period (from month 2 to </w:t>
      </w:r>
      <w:r w:rsidR="00EF0DC3">
        <w:rPr>
          <w:rFonts w:ascii="Times New Roman" w:hAnsi="Times New Roman" w:cs="Times New Roman"/>
          <w:sz w:val="24"/>
          <w:szCs w:val="24"/>
        </w:rPr>
        <w:t xml:space="preserve">month </w:t>
      </w:r>
      <w:r w:rsidR="00C67A76" w:rsidRPr="00CB2DE6">
        <w:rPr>
          <w:rFonts w:ascii="Times New Roman" w:hAnsi="Times New Roman" w:cs="Times New Roman"/>
          <w:sz w:val="24"/>
          <w:szCs w:val="24"/>
        </w:rPr>
        <w:t>1</w:t>
      </w:r>
      <w:r w:rsidR="00D62623" w:rsidRPr="00CB2DE6">
        <w:rPr>
          <w:rFonts w:ascii="Times New Roman" w:hAnsi="Times New Roman" w:cs="Times New Roman"/>
          <w:sz w:val="24"/>
          <w:szCs w:val="24"/>
        </w:rPr>
        <w:t>3</w:t>
      </w:r>
      <w:r w:rsidR="00C67A76" w:rsidRPr="00CB2DE6">
        <w:rPr>
          <w:rFonts w:ascii="Times New Roman" w:hAnsi="Times New Roman" w:cs="Times New Roman"/>
          <w:sz w:val="24"/>
          <w:szCs w:val="24"/>
        </w:rPr>
        <w:t>).</w:t>
      </w:r>
      <w:r w:rsidR="00EB780F" w:rsidRPr="00CB2DE6">
        <w:rPr>
          <w:rFonts w:ascii="Times New Roman" w:hAnsi="Times New Roman" w:cs="Times New Roman"/>
          <w:sz w:val="24"/>
          <w:szCs w:val="24"/>
        </w:rPr>
        <w:t xml:space="preserve"> </w:t>
      </w:r>
      <w:r w:rsidR="00B96CB3" w:rsidRPr="00CB2DE6">
        <w:rPr>
          <w:rFonts w:ascii="Times New Roman" w:hAnsi="Times New Roman" w:cs="Times New Roman"/>
          <w:sz w:val="24"/>
          <w:szCs w:val="24"/>
        </w:rPr>
        <w:t>Intuitively, an increase in US output improves expectations of market participants</w:t>
      </w:r>
      <w:r w:rsidR="00F84BE1" w:rsidRPr="00CB2DE6">
        <w:rPr>
          <w:rFonts w:ascii="Times New Roman" w:hAnsi="Times New Roman" w:cs="Times New Roman"/>
          <w:sz w:val="24"/>
          <w:szCs w:val="24"/>
        </w:rPr>
        <w:t xml:space="preserve"> across countries</w:t>
      </w:r>
      <w:r w:rsidR="00B96CB3" w:rsidRPr="00CB2DE6">
        <w:rPr>
          <w:rFonts w:ascii="Times New Roman" w:hAnsi="Times New Roman" w:cs="Times New Roman"/>
          <w:sz w:val="24"/>
          <w:szCs w:val="24"/>
        </w:rPr>
        <w:t>, which in turn lowers FX volatility in the long-run</w:t>
      </w:r>
      <w:r w:rsidR="004245B1" w:rsidRPr="00CB2DE6">
        <w:rPr>
          <w:rFonts w:ascii="Times New Roman" w:hAnsi="Times New Roman" w:cs="Times New Roman"/>
          <w:sz w:val="24"/>
          <w:szCs w:val="24"/>
        </w:rPr>
        <w:t>.</w:t>
      </w:r>
      <w:r w:rsidR="00B96CB3" w:rsidRPr="00CB2DE6">
        <w:rPr>
          <w:rFonts w:ascii="Times New Roman" w:hAnsi="Times New Roman" w:cs="Times New Roman"/>
          <w:sz w:val="24"/>
          <w:szCs w:val="24"/>
        </w:rPr>
        <w:t xml:space="preserve"> </w:t>
      </w:r>
    </w:p>
    <w:p w:rsidR="008D176F" w:rsidRPr="00CB2DE6" w:rsidRDefault="00C67A76" w:rsidP="00F7071F">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The IRF </w:t>
      </w:r>
      <w:r w:rsidR="004245B1" w:rsidRPr="00CB2DE6">
        <w:rPr>
          <w:rFonts w:ascii="Times New Roman" w:hAnsi="Times New Roman" w:cs="Times New Roman"/>
          <w:sz w:val="24"/>
          <w:szCs w:val="24"/>
        </w:rPr>
        <w:t xml:space="preserve">reported in the lower panel of Figure </w:t>
      </w:r>
      <w:r w:rsidR="00926D41">
        <w:rPr>
          <w:rFonts w:ascii="Times New Roman" w:hAnsi="Times New Roman" w:cs="Times New Roman"/>
          <w:sz w:val="24"/>
          <w:szCs w:val="24"/>
        </w:rPr>
        <w:t>2</w:t>
      </w:r>
      <w:r w:rsidR="004245B1" w:rsidRPr="00CB2DE6">
        <w:rPr>
          <w:rFonts w:ascii="Times New Roman" w:hAnsi="Times New Roman" w:cs="Times New Roman"/>
          <w:sz w:val="24"/>
          <w:szCs w:val="24"/>
        </w:rPr>
        <w:t xml:space="preserve"> </w:t>
      </w:r>
      <w:r w:rsidR="001B1C13" w:rsidRPr="00CB2DE6">
        <w:rPr>
          <w:rFonts w:ascii="Times New Roman" w:hAnsi="Times New Roman" w:cs="Times New Roman"/>
          <w:sz w:val="24"/>
          <w:szCs w:val="24"/>
        </w:rPr>
        <w:t>shows</w:t>
      </w:r>
      <w:r w:rsidRPr="00CB2DE6">
        <w:rPr>
          <w:rFonts w:ascii="Times New Roman" w:hAnsi="Times New Roman" w:cs="Times New Roman"/>
          <w:sz w:val="24"/>
          <w:szCs w:val="24"/>
        </w:rPr>
        <w:t xml:space="preserve"> that the </w:t>
      </w:r>
      <w:r w:rsidR="004C2474" w:rsidRPr="00CB2DE6">
        <w:rPr>
          <w:rFonts w:ascii="Times New Roman" w:hAnsi="Times New Roman" w:cs="Times New Roman"/>
          <w:sz w:val="24"/>
          <w:szCs w:val="24"/>
        </w:rPr>
        <w:t>long-</w:t>
      </w:r>
      <w:r w:rsidR="0038200D" w:rsidRPr="00CB2DE6">
        <w:rPr>
          <w:rFonts w:ascii="Times New Roman" w:hAnsi="Times New Roman" w:cs="Times New Roman"/>
          <w:sz w:val="24"/>
          <w:szCs w:val="24"/>
        </w:rPr>
        <w:t xml:space="preserve">run </w:t>
      </w:r>
      <w:r w:rsidRPr="00CB2DE6">
        <w:rPr>
          <w:rFonts w:ascii="Times New Roman" w:hAnsi="Times New Roman" w:cs="Times New Roman"/>
          <w:sz w:val="24"/>
          <w:szCs w:val="24"/>
        </w:rPr>
        <w:t xml:space="preserve">component is </w:t>
      </w:r>
      <w:r w:rsidR="001D672A" w:rsidRPr="00CB2DE6">
        <w:rPr>
          <w:rFonts w:ascii="Times New Roman" w:hAnsi="Times New Roman" w:cs="Times New Roman"/>
          <w:sz w:val="24"/>
          <w:szCs w:val="24"/>
        </w:rPr>
        <w:t xml:space="preserve">also </w:t>
      </w:r>
      <w:r w:rsidRPr="00CB2DE6">
        <w:rPr>
          <w:rFonts w:ascii="Times New Roman" w:hAnsi="Times New Roman" w:cs="Times New Roman"/>
          <w:sz w:val="24"/>
          <w:szCs w:val="24"/>
        </w:rPr>
        <w:t>dynamically related to money balances growth</w:t>
      </w:r>
      <w:r w:rsidR="001D672A" w:rsidRPr="00CB2DE6">
        <w:rPr>
          <w:rFonts w:ascii="Times New Roman" w:hAnsi="Times New Roman" w:cs="Times New Roman"/>
          <w:sz w:val="24"/>
          <w:szCs w:val="24"/>
        </w:rPr>
        <w:t>.</w:t>
      </w:r>
      <w:r w:rsidR="0022033B" w:rsidRPr="00CB2DE6">
        <w:rPr>
          <w:rFonts w:ascii="Times New Roman" w:hAnsi="Times New Roman" w:cs="Times New Roman"/>
          <w:sz w:val="24"/>
          <w:szCs w:val="24"/>
        </w:rPr>
        <w:t xml:space="preserve"> </w:t>
      </w:r>
      <w:r w:rsidR="00F84BE1" w:rsidRPr="00CB2DE6">
        <w:rPr>
          <w:rFonts w:ascii="Times New Roman" w:hAnsi="Times New Roman" w:cs="Times New Roman"/>
          <w:sz w:val="24"/>
          <w:szCs w:val="24"/>
        </w:rPr>
        <w:t>More precisely, a</w:t>
      </w:r>
      <w:r w:rsidR="00B96CB3" w:rsidRPr="00CB2DE6">
        <w:rPr>
          <w:rFonts w:ascii="Times New Roman" w:hAnsi="Times New Roman" w:cs="Times New Roman"/>
          <w:sz w:val="24"/>
          <w:szCs w:val="24"/>
        </w:rPr>
        <w:t xml:space="preserve">n </w:t>
      </w:r>
      <w:r w:rsidR="00F84BE1" w:rsidRPr="00CB2DE6">
        <w:rPr>
          <w:rFonts w:ascii="Times New Roman" w:hAnsi="Times New Roman" w:cs="Times New Roman"/>
          <w:sz w:val="24"/>
          <w:szCs w:val="24"/>
        </w:rPr>
        <w:t xml:space="preserve">expansionary US monetary policy induced by an increase in </w:t>
      </w:r>
      <w:r w:rsidR="00B96CB3" w:rsidRPr="00CB2DE6">
        <w:rPr>
          <w:rFonts w:ascii="Times New Roman" w:hAnsi="Times New Roman" w:cs="Times New Roman"/>
          <w:sz w:val="24"/>
          <w:szCs w:val="24"/>
        </w:rPr>
        <w:t xml:space="preserve">money supply </w:t>
      </w:r>
      <w:r w:rsidR="00F84BE1" w:rsidRPr="00CB2DE6">
        <w:rPr>
          <w:rFonts w:ascii="Times New Roman" w:hAnsi="Times New Roman" w:cs="Times New Roman"/>
          <w:sz w:val="24"/>
          <w:szCs w:val="24"/>
        </w:rPr>
        <w:t xml:space="preserve">increases </w:t>
      </w:r>
      <w:r w:rsidR="00B96CB3" w:rsidRPr="00CB2DE6">
        <w:rPr>
          <w:rFonts w:ascii="Times New Roman" w:hAnsi="Times New Roman" w:cs="Times New Roman"/>
          <w:sz w:val="24"/>
          <w:szCs w:val="24"/>
        </w:rPr>
        <w:t xml:space="preserve">FX volatility </w:t>
      </w:r>
      <w:r w:rsidR="00D62623" w:rsidRPr="00CB2DE6">
        <w:rPr>
          <w:rFonts w:ascii="Times New Roman" w:hAnsi="Times New Roman" w:cs="Times New Roman"/>
          <w:sz w:val="24"/>
          <w:szCs w:val="24"/>
        </w:rPr>
        <w:t xml:space="preserve">for a </w:t>
      </w:r>
      <w:r w:rsidR="00F84BE1" w:rsidRPr="00CB2DE6">
        <w:rPr>
          <w:rFonts w:ascii="Times New Roman" w:hAnsi="Times New Roman" w:cs="Times New Roman"/>
          <w:sz w:val="24"/>
          <w:szCs w:val="24"/>
        </w:rPr>
        <w:t>period</w:t>
      </w:r>
      <w:r w:rsidR="00D62623" w:rsidRPr="00CB2DE6">
        <w:rPr>
          <w:rFonts w:ascii="Times New Roman" w:hAnsi="Times New Roman" w:cs="Times New Roman"/>
          <w:sz w:val="24"/>
          <w:szCs w:val="24"/>
        </w:rPr>
        <w:t xml:space="preserve"> of time</w:t>
      </w:r>
      <w:r w:rsidR="00B96CB3" w:rsidRPr="00CB2DE6">
        <w:rPr>
          <w:rFonts w:ascii="Times New Roman" w:hAnsi="Times New Roman" w:cs="Times New Roman"/>
          <w:sz w:val="24"/>
          <w:szCs w:val="24"/>
        </w:rPr>
        <w:t>.</w:t>
      </w:r>
      <w:r w:rsidR="00F84BE1" w:rsidRPr="00CB2DE6">
        <w:rPr>
          <w:rFonts w:ascii="Times New Roman" w:hAnsi="Times New Roman" w:cs="Times New Roman"/>
          <w:sz w:val="24"/>
          <w:szCs w:val="24"/>
        </w:rPr>
        <w:t xml:space="preserve"> </w:t>
      </w:r>
    </w:p>
    <w:p w:rsidR="00C67A76" w:rsidRPr="00CB2DE6" w:rsidRDefault="00C67A76" w:rsidP="005D5069">
      <w:pPr>
        <w:spacing w:after="360"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The analysis of the IRFs sheds </w:t>
      </w:r>
      <w:r w:rsidR="001601F4" w:rsidRPr="00CB2DE6">
        <w:rPr>
          <w:rFonts w:ascii="Times New Roman" w:hAnsi="Times New Roman" w:cs="Times New Roman"/>
          <w:sz w:val="24"/>
          <w:szCs w:val="24"/>
        </w:rPr>
        <w:t>some</w:t>
      </w:r>
      <w:r w:rsidRPr="00CB2DE6">
        <w:rPr>
          <w:rFonts w:ascii="Times New Roman" w:hAnsi="Times New Roman" w:cs="Times New Roman"/>
          <w:sz w:val="24"/>
          <w:szCs w:val="24"/>
        </w:rPr>
        <w:t xml:space="preserve"> light on </w:t>
      </w:r>
      <w:r w:rsidR="00A07DCA" w:rsidRPr="00CB2DE6">
        <w:rPr>
          <w:rFonts w:ascii="Times New Roman" w:hAnsi="Times New Roman" w:cs="Times New Roman"/>
          <w:sz w:val="24"/>
          <w:szCs w:val="24"/>
        </w:rPr>
        <w:t xml:space="preserve">our </w:t>
      </w:r>
      <w:r w:rsidRPr="00CB2DE6">
        <w:rPr>
          <w:rFonts w:ascii="Times New Roman" w:hAnsi="Times New Roman" w:cs="Times New Roman"/>
          <w:sz w:val="24"/>
          <w:szCs w:val="24"/>
        </w:rPr>
        <w:t xml:space="preserve">earlier findings that currencies with a low interest rate covary positively with innovations in the </w:t>
      </w:r>
      <w:r w:rsidR="004C2474" w:rsidRPr="00CB2DE6">
        <w:rPr>
          <w:rFonts w:ascii="Times New Roman" w:hAnsi="Times New Roman" w:cs="Times New Roman"/>
          <w:sz w:val="24"/>
          <w:szCs w:val="24"/>
        </w:rPr>
        <w:t>long-</w:t>
      </w:r>
      <w:r w:rsidR="0038200D" w:rsidRPr="00CB2DE6">
        <w:rPr>
          <w:rFonts w:ascii="Times New Roman" w:hAnsi="Times New Roman" w:cs="Times New Roman"/>
          <w:sz w:val="24"/>
          <w:szCs w:val="24"/>
        </w:rPr>
        <w:t xml:space="preserve">run </w:t>
      </w:r>
      <w:r w:rsidRPr="00CB2DE6">
        <w:rPr>
          <w:rFonts w:ascii="Times New Roman" w:hAnsi="Times New Roman" w:cs="Times New Roman"/>
          <w:sz w:val="24"/>
          <w:szCs w:val="24"/>
        </w:rPr>
        <w:t xml:space="preserve">component, while currencies with a high interest rate covary negatively. Intuitively, when the </w:t>
      </w:r>
      <w:r w:rsidR="004C2474" w:rsidRPr="00CB2DE6">
        <w:rPr>
          <w:rFonts w:ascii="Times New Roman" w:hAnsi="Times New Roman" w:cs="Times New Roman"/>
          <w:sz w:val="24"/>
          <w:szCs w:val="24"/>
        </w:rPr>
        <w:t>long-</w:t>
      </w:r>
      <w:r w:rsidR="0038200D" w:rsidRPr="00CB2DE6">
        <w:rPr>
          <w:rFonts w:ascii="Times New Roman" w:hAnsi="Times New Roman" w:cs="Times New Roman"/>
          <w:sz w:val="24"/>
          <w:szCs w:val="24"/>
        </w:rPr>
        <w:t xml:space="preserve">run </w:t>
      </w:r>
      <w:r w:rsidRPr="00CB2DE6">
        <w:rPr>
          <w:rFonts w:ascii="Times New Roman" w:hAnsi="Times New Roman" w:cs="Times New Roman"/>
          <w:sz w:val="24"/>
          <w:szCs w:val="24"/>
        </w:rPr>
        <w:t xml:space="preserve">component of global FX volatility driven by shocks to US macroeconomic fundamentals increases, low interest rate currencies provide a hedge but expected to earn lower excess returns on average since the risk price is negative. The high interest rates currencies in this case suffer and therefore investors require a larger compensation reflected by higher excess returns. In this </w:t>
      </w:r>
      <w:r w:rsidRPr="00CB2DE6">
        <w:rPr>
          <w:rFonts w:ascii="Times New Roman" w:hAnsi="Times New Roman" w:cs="Times New Roman"/>
          <w:sz w:val="24"/>
          <w:szCs w:val="24"/>
        </w:rPr>
        <w:lastRenderedPageBreak/>
        <w:t xml:space="preserve">regard, </w:t>
      </w:r>
      <w:r w:rsidR="00ED4F89" w:rsidRPr="00CB2DE6">
        <w:rPr>
          <w:rFonts w:ascii="Times New Roman" w:hAnsi="Times New Roman" w:cs="Times New Roman"/>
          <w:sz w:val="24"/>
          <w:szCs w:val="24"/>
        </w:rPr>
        <w:t>our</w:t>
      </w:r>
      <w:r w:rsidRPr="00CB2DE6">
        <w:rPr>
          <w:rFonts w:ascii="Times New Roman" w:hAnsi="Times New Roman" w:cs="Times New Roman"/>
          <w:sz w:val="24"/>
          <w:szCs w:val="24"/>
        </w:rPr>
        <w:t xml:space="preserve"> empirical findings suggest that the dynamics of macroeconomic fundamentals indirectly influence carry trade returns through </w:t>
      </w:r>
      <w:r w:rsidR="004245B1" w:rsidRPr="00CB2DE6">
        <w:rPr>
          <w:rFonts w:ascii="Times New Roman" w:hAnsi="Times New Roman" w:cs="Times New Roman"/>
          <w:sz w:val="24"/>
          <w:szCs w:val="24"/>
        </w:rPr>
        <w:t xml:space="preserve">the </w:t>
      </w:r>
      <w:r w:rsidRPr="00CB2DE6">
        <w:rPr>
          <w:rFonts w:ascii="Times New Roman" w:hAnsi="Times New Roman" w:cs="Times New Roman"/>
          <w:sz w:val="24"/>
          <w:szCs w:val="24"/>
        </w:rPr>
        <w:t>FX volatility</w:t>
      </w:r>
      <w:r w:rsidR="00ED4F89" w:rsidRPr="00CB2DE6">
        <w:rPr>
          <w:rFonts w:ascii="Times New Roman" w:hAnsi="Times New Roman" w:cs="Times New Roman"/>
          <w:sz w:val="24"/>
          <w:szCs w:val="24"/>
        </w:rPr>
        <w:t xml:space="preserve"> risk channel</w:t>
      </w:r>
      <w:r w:rsidRPr="00CB2DE6">
        <w:rPr>
          <w:rFonts w:ascii="Times New Roman" w:hAnsi="Times New Roman" w:cs="Times New Roman"/>
          <w:sz w:val="24"/>
          <w:szCs w:val="24"/>
        </w:rPr>
        <w:t>.</w:t>
      </w:r>
    </w:p>
    <w:p w:rsidR="00ED0DF0" w:rsidRPr="00CB2DE6" w:rsidRDefault="00C67A76" w:rsidP="0038200D">
      <w:pPr>
        <w:spacing w:after="120" w:line="360" w:lineRule="auto"/>
        <w:rPr>
          <w:rFonts w:ascii="Times New Roman" w:hAnsi="Times New Roman" w:cs="Times New Roman"/>
          <w:b/>
          <w:sz w:val="28"/>
          <w:szCs w:val="28"/>
        </w:rPr>
      </w:pPr>
      <w:r w:rsidRPr="00CB2DE6">
        <w:rPr>
          <w:rFonts w:ascii="Times New Roman" w:hAnsi="Times New Roman" w:cs="Times New Roman"/>
          <w:b/>
          <w:sz w:val="28"/>
          <w:szCs w:val="28"/>
        </w:rPr>
        <w:t>7</w:t>
      </w:r>
      <w:r w:rsidR="00ED0DF0" w:rsidRPr="00CB2DE6">
        <w:rPr>
          <w:rFonts w:ascii="Times New Roman" w:hAnsi="Times New Roman" w:cs="Times New Roman"/>
          <w:b/>
          <w:sz w:val="28"/>
          <w:szCs w:val="28"/>
        </w:rPr>
        <w:t>.</w:t>
      </w:r>
      <w:r w:rsidR="00ED0DF0" w:rsidRPr="00CB2DE6">
        <w:rPr>
          <w:rFonts w:ascii="Times New Roman" w:hAnsi="Times New Roman" w:cs="Times New Roman"/>
          <w:b/>
          <w:sz w:val="28"/>
          <w:szCs w:val="28"/>
        </w:rPr>
        <w:tab/>
        <w:t>Conclusion</w:t>
      </w:r>
    </w:p>
    <w:p w:rsidR="006E6763" w:rsidRPr="00CB2DE6" w:rsidRDefault="006E6763" w:rsidP="006E6763">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This </w:t>
      </w:r>
      <w:r w:rsidR="002E0DC7" w:rsidRPr="00CB2DE6">
        <w:rPr>
          <w:rFonts w:ascii="Times New Roman" w:hAnsi="Times New Roman" w:cs="Times New Roman"/>
          <w:sz w:val="24"/>
          <w:szCs w:val="24"/>
        </w:rPr>
        <w:t xml:space="preserve">paper </w:t>
      </w:r>
      <w:r w:rsidRPr="00CB2DE6">
        <w:rPr>
          <w:rFonts w:ascii="Times New Roman" w:hAnsi="Times New Roman" w:cs="Times New Roman"/>
          <w:sz w:val="24"/>
          <w:szCs w:val="24"/>
        </w:rPr>
        <w:t>investigates the cross-sectional pricing of volatility risk for carry trade returns by decomposing global FX volatility into short- and long-</w:t>
      </w:r>
      <w:r w:rsidR="0038200D" w:rsidRPr="00CB2DE6">
        <w:rPr>
          <w:rFonts w:ascii="Times New Roman" w:hAnsi="Times New Roman" w:cs="Times New Roman"/>
          <w:sz w:val="24"/>
          <w:szCs w:val="24"/>
        </w:rPr>
        <w:t xml:space="preserve">run </w:t>
      </w:r>
      <w:r w:rsidRPr="00CB2DE6">
        <w:rPr>
          <w:rFonts w:ascii="Times New Roman" w:hAnsi="Times New Roman" w:cs="Times New Roman"/>
          <w:sz w:val="24"/>
          <w:szCs w:val="24"/>
        </w:rPr>
        <w:t>components. Inspired by the recent literature investigating the risk determinants of FX carry trade returns</w:t>
      </w:r>
      <w:r w:rsidR="00380EA0" w:rsidRPr="00CB2DE6">
        <w:rPr>
          <w:rFonts w:ascii="Times New Roman" w:hAnsi="Times New Roman" w:cs="Times New Roman"/>
          <w:sz w:val="24"/>
          <w:szCs w:val="24"/>
        </w:rPr>
        <w:t>,</w:t>
      </w:r>
      <w:r w:rsidRPr="00CB2DE6">
        <w:rPr>
          <w:rFonts w:ascii="Times New Roman" w:hAnsi="Times New Roman" w:cs="Times New Roman"/>
          <w:sz w:val="24"/>
          <w:szCs w:val="24"/>
        </w:rPr>
        <w:t xml:space="preserve"> and in </w:t>
      </w:r>
      <w:r w:rsidR="002E0DC7" w:rsidRPr="00CB2DE6">
        <w:rPr>
          <w:rFonts w:ascii="Times New Roman" w:hAnsi="Times New Roman" w:cs="Times New Roman"/>
          <w:sz w:val="24"/>
          <w:szCs w:val="24"/>
        </w:rPr>
        <w:t xml:space="preserve">the </w:t>
      </w:r>
      <w:r w:rsidRPr="00CB2DE6">
        <w:rPr>
          <w:rFonts w:ascii="Times New Roman" w:hAnsi="Times New Roman" w:cs="Times New Roman"/>
          <w:sz w:val="24"/>
          <w:szCs w:val="24"/>
        </w:rPr>
        <w:t>light of the successful results recorded by Menkhoff, Sarno, Schmeling</w:t>
      </w:r>
      <w:r w:rsidR="00A07DCA" w:rsidRPr="00CB2DE6">
        <w:rPr>
          <w:rFonts w:ascii="Times New Roman" w:hAnsi="Times New Roman" w:cs="Times New Roman"/>
          <w:sz w:val="24"/>
          <w:szCs w:val="24"/>
        </w:rPr>
        <w:t>,</w:t>
      </w:r>
      <w:r w:rsidRPr="00CB2DE6">
        <w:rPr>
          <w:rFonts w:ascii="Times New Roman" w:hAnsi="Times New Roman" w:cs="Times New Roman"/>
          <w:sz w:val="24"/>
          <w:szCs w:val="24"/>
        </w:rPr>
        <w:t xml:space="preserve"> and Schrimpf (2012)</w:t>
      </w:r>
      <w:r w:rsidR="00380EA0" w:rsidRPr="00CB2DE6">
        <w:rPr>
          <w:rFonts w:ascii="Times New Roman" w:hAnsi="Times New Roman" w:cs="Times New Roman"/>
          <w:sz w:val="24"/>
          <w:szCs w:val="24"/>
        </w:rPr>
        <w:t>,</w:t>
      </w:r>
      <w:r w:rsidRPr="00CB2DE6">
        <w:rPr>
          <w:rFonts w:ascii="Times New Roman" w:hAnsi="Times New Roman" w:cs="Times New Roman"/>
          <w:sz w:val="24"/>
          <w:szCs w:val="24"/>
        </w:rPr>
        <w:t xml:space="preserve"> we adopt a cross-sectional asset pricing framework to explore whether </w:t>
      </w:r>
      <w:r w:rsidR="00380EA0" w:rsidRPr="00CB2DE6">
        <w:rPr>
          <w:rFonts w:ascii="Times New Roman" w:hAnsi="Times New Roman" w:cs="Times New Roman"/>
          <w:sz w:val="24"/>
          <w:szCs w:val="24"/>
        </w:rPr>
        <w:t xml:space="preserve">the pricing power </w:t>
      </w:r>
      <w:r w:rsidRPr="00CB2DE6">
        <w:rPr>
          <w:rFonts w:ascii="Times New Roman" w:hAnsi="Times New Roman" w:cs="Times New Roman"/>
          <w:sz w:val="24"/>
          <w:szCs w:val="24"/>
        </w:rPr>
        <w:t xml:space="preserve">the global FX volatility </w:t>
      </w:r>
      <w:r w:rsidR="00380EA0" w:rsidRPr="00CB2DE6">
        <w:rPr>
          <w:rFonts w:ascii="Times New Roman" w:hAnsi="Times New Roman" w:cs="Times New Roman"/>
          <w:sz w:val="24"/>
          <w:szCs w:val="24"/>
        </w:rPr>
        <w:t>factor originates from the persistent component of the FX volatility or from the transitory component or a combination of both. Th</w:t>
      </w:r>
      <w:r w:rsidR="00133E8E">
        <w:rPr>
          <w:rFonts w:ascii="Times New Roman" w:hAnsi="Times New Roman" w:cs="Times New Roman"/>
          <w:sz w:val="24"/>
          <w:szCs w:val="24"/>
        </w:rPr>
        <w:t>e</w:t>
      </w:r>
      <w:r w:rsidR="00380EA0" w:rsidRPr="00CB2DE6">
        <w:rPr>
          <w:rFonts w:ascii="Times New Roman" w:hAnsi="Times New Roman" w:cs="Times New Roman"/>
          <w:sz w:val="24"/>
          <w:szCs w:val="24"/>
        </w:rPr>
        <w:t xml:space="preserve"> investigation of this important issue follows the mounting empirical evidence documenting that the volatility of asset returns is better characterized by two factors, rather than a single one, which affect</w:t>
      </w:r>
      <w:r w:rsidR="00926D41">
        <w:rPr>
          <w:rFonts w:ascii="Times New Roman" w:hAnsi="Times New Roman" w:cs="Times New Roman"/>
          <w:sz w:val="24"/>
          <w:szCs w:val="24"/>
        </w:rPr>
        <w:t>s</w:t>
      </w:r>
      <w:r w:rsidR="00380EA0" w:rsidRPr="00CB2DE6">
        <w:rPr>
          <w:rFonts w:ascii="Times New Roman" w:hAnsi="Times New Roman" w:cs="Times New Roman"/>
          <w:sz w:val="24"/>
          <w:szCs w:val="24"/>
        </w:rPr>
        <w:t xml:space="preserve"> separate dimensions of the return’s frequencies and, most importantly, have different economic rationales.</w:t>
      </w:r>
    </w:p>
    <w:p w:rsidR="006E6763" w:rsidRPr="00CB2DE6" w:rsidRDefault="006E6763" w:rsidP="006E6763">
      <w:pPr>
        <w:spacing w:line="360" w:lineRule="auto"/>
        <w:ind w:firstLine="720"/>
        <w:jc w:val="both"/>
        <w:rPr>
          <w:rFonts w:ascii="Times New Roman" w:hAnsi="Times New Roman" w:cs="Times New Roman"/>
          <w:sz w:val="24"/>
          <w:szCs w:val="24"/>
        </w:rPr>
      </w:pPr>
      <w:r w:rsidRPr="00CB2DE6">
        <w:rPr>
          <w:rFonts w:ascii="Times New Roman" w:hAnsi="Times New Roman" w:cs="Times New Roman"/>
          <w:sz w:val="24"/>
          <w:szCs w:val="24"/>
        </w:rPr>
        <w:t xml:space="preserve">The results </w:t>
      </w:r>
      <w:r w:rsidR="00380EA0" w:rsidRPr="00CB2DE6">
        <w:rPr>
          <w:rFonts w:ascii="Times New Roman" w:hAnsi="Times New Roman" w:cs="Times New Roman"/>
          <w:sz w:val="24"/>
          <w:szCs w:val="24"/>
        </w:rPr>
        <w:t xml:space="preserve">of our empirical investigation </w:t>
      </w:r>
      <w:r w:rsidRPr="00CB2DE6">
        <w:rPr>
          <w:rFonts w:ascii="Times New Roman" w:hAnsi="Times New Roman" w:cs="Times New Roman"/>
          <w:sz w:val="24"/>
          <w:szCs w:val="24"/>
        </w:rPr>
        <w:t xml:space="preserve">show that the long-run component of global FX volatility </w:t>
      </w:r>
      <w:r w:rsidR="0013459A">
        <w:rPr>
          <w:rFonts w:ascii="Times New Roman" w:hAnsi="Times New Roman" w:cs="Times New Roman"/>
          <w:sz w:val="24"/>
          <w:szCs w:val="24"/>
        </w:rPr>
        <w:t>is</w:t>
      </w:r>
      <w:r w:rsidRPr="00CB2DE6">
        <w:rPr>
          <w:rFonts w:ascii="Times New Roman" w:hAnsi="Times New Roman" w:cs="Times New Roman"/>
          <w:sz w:val="24"/>
          <w:szCs w:val="24"/>
        </w:rPr>
        <w:t xml:space="preserve"> an empirically important state variable determining the risk premia in the cross-section of carry trade returns. Particularly, we find a statistically significant and negative price for this currency-based risk factor. Currencies with low interest rates comove positively with the long-run volatility component innovations and therefore offer insurance during times of unexpected volatility surges. But they earn lower excess returns in good times. In contrast, high interest rate currencies comove negatively and demand a higher compensation as they suffer during times of heightened market turmoil. Nevertheless, we do not find </w:t>
      </w:r>
      <w:r w:rsidR="00380EA0" w:rsidRPr="00CB2DE6">
        <w:rPr>
          <w:rFonts w:ascii="Times New Roman" w:hAnsi="Times New Roman" w:cs="Times New Roman"/>
          <w:sz w:val="24"/>
          <w:szCs w:val="24"/>
        </w:rPr>
        <w:t xml:space="preserve">any </w:t>
      </w:r>
      <w:r w:rsidRPr="00CB2DE6">
        <w:rPr>
          <w:rFonts w:ascii="Times New Roman" w:hAnsi="Times New Roman" w:cs="Times New Roman"/>
          <w:sz w:val="24"/>
          <w:szCs w:val="24"/>
        </w:rPr>
        <w:t xml:space="preserve">significant evidence </w:t>
      </w:r>
      <w:r w:rsidR="00380EA0" w:rsidRPr="00CB2DE6">
        <w:rPr>
          <w:rFonts w:ascii="Times New Roman" w:hAnsi="Times New Roman" w:cs="Times New Roman"/>
          <w:sz w:val="24"/>
          <w:szCs w:val="24"/>
        </w:rPr>
        <w:t>of</w:t>
      </w:r>
      <w:r w:rsidRPr="00CB2DE6">
        <w:rPr>
          <w:rFonts w:ascii="Times New Roman" w:hAnsi="Times New Roman" w:cs="Times New Roman"/>
          <w:sz w:val="24"/>
          <w:szCs w:val="24"/>
        </w:rPr>
        <w:t xml:space="preserve"> the cross-sectional pricing ability of the short-run co</w:t>
      </w:r>
      <w:r w:rsidR="00380EA0" w:rsidRPr="00CB2DE6">
        <w:rPr>
          <w:rFonts w:ascii="Times New Roman" w:hAnsi="Times New Roman" w:cs="Times New Roman"/>
          <w:sz w:val="24"/>
          <w:szCs w:val="24"/>
        </w:rPr>
        <w:t>mponent of global FX volatility.</w:t>
      </w:r>
      <w:r w:rsidRPr="00CB2DE6">
        <w:rPr>
          <w:rFonts w:ascii="Times New Roman" w:hAnsi="Times New Roman" w:cs="Times New Roman"/>
          <w:sz w:val="24"/>
          <w:szCs w:val="24"/>
        </w:rPr>
        <w:t xml:space="preserve"> </w:t>
      </w:r>
    </w:p>
    <w:p w:rsidR="006E6763" w:rsidRPr="00CB2DE6" w:rsidRDefault="006E6763" w:rsidP="0025297A">
      <w:pPr>
        <w:spacing w:line="360" w:lineRule="auto"/>
        <w:ind w:firstLine="720"/>
        <w:jc w:val="both"/>
        <w:rPr>
          <w:rFonts w:ascii="Times New Roman" w:hAnsi="Times New Roman" w:cs="Times New Roman"/>
          <w:b/>
          <w:sz w:val="28"/>
          <w:szCs w:val="28"/>
        </w:rPr>
      </w:pPr>
      <w:r w:rsidRPr="00CB2DE6">
        <w:rPr>
          <w:rFonts w:ascii="Times New Roman" w:hAnsi="Times New Roman" w:cs="Times New Roman"/>
          <w:sz w:val="24"/>
          <w:szCs w:val="24"/>
        </w:rPr>
        <w:t xml:space="preserve">The findings are robust to a battery of </w:t>
      </w:r>
      <w:r w:rsidR="00380EA0" w:rsidRPr="00CB2DE6">
        <w:rPr>
          <w:rFonts w:ascii="Times New Roman" w:hAnsi="Times New Roman" w:cs="Times New Roman"/>
          <w:sz w:val="24"/>
          <w:szCs w:val="24"/>
        </w:rPr>
        <w:t>robustness checks including different methodologies and parametrizations of the models used to obtain the volatility component</w:t>
      </w:r>
      <w:r w:rsidR="00133E8E">
        <w:rPr>
          <w:rFonts w:ascii="Times New Roman" w:hAnsi="Times New Roman" w:cs="Times New Roman"/>
          <w:sz w:val="24"/>
          <w:szCs w:val="24"/>
        </w:rPr>
        <w:t>s</w:t>
      </w:r>
      <w:r w:rsidR="002E0DC7" w:rsidRPr="00CB2DE6">
        <w:rPr>
          <w:rFonts w:ascii="Times New Roman" w:hAnsi="Times New Roman" w:cs="Times New Roman"/>
          <w:sz w:val="24"/>
          <w:szCs w:val="24"/>
        </w:rPr>
        <w:t>,</w:t>
      </w:r>
      <w:r w:rsidR="00380EA0" w:rsidRPr="00CB2DE6">
        <w:rPr>
          <w:rFonts w:ascii="Times New Roman" w:hAnsi="Times New Roman" w:cs="Times New Roman"/>
          <w:sz w:val="24"/>
          <w:szCs w:val="24"/>
        </w:rPr>
        <w:t xml:space="preserve"> different </w:t>
      </w:r>
      <w:r w:rsidRPr="00CB2DE6">
        <w:rPr>
          <w:rFonts w:ascii="Times New Roman" w:hAnsi="Times New Roman" w:cs="Times New Roman"/>
          <w:sz w:val="24"/>
          <w:szCs w:val="24"/>
        </w:rPr>
        <w:t>empirical specifications</w:t>
      </w:r>
      <w:r w:rsidR="00380EA0" w:rsidRPr="00CB2DE6">
        <w:rPr>
          <w:rFonts w:ascii="Times New Roman" w:hAnsi="Times New Roman" w:cs="Times New Roman"/>
          <w:sz w:val="24"/>
          <w:szCs w:val="24"/>
        </w:rPr>
        <w:t>,</w:t>
      </w:r>
      <w:r w:rsidRPr="00CB2DE6">
        <w:rPr>
          <w:rFonts w:ascii="Times New Roman" w:hAnsi="Times New Roman" w:cs="Times New Roman"/>
          <w:sz w:val="24"/>
          <w:szCs w:val="24"/>
        </w:rPr>
        <w:t xml:space="preserve"> including country-level asset pricing</w:t>
      </w:r>
      <w:r w:rsidR="00FF3CB8" w:rsidRPr="00CB2DE6">
        <w:rPr>
          <w:rFonts w:ascii="Times New Roman" w:hAnsi="Times New Roman" w:cs="Times New Roman"/>
          <w:sz w:val="24"/>
          <w:szCs w:val="24"/>
        </w:rPr>
        <w:t xml:space="preserve">, </w:t>
      </w:r>
      <w:r w:rsidR="00380EA0" w:rsidRPr="00CB2DE6">
        <w:rPr>
          <w:rFonts w:ascii="Times New Roman" w:hAnsi="Times New Roman" w:cs="Times New Roman"/>
          <w:sz w:val="24"/>
          <w:szCs w:val="24"/>
        </w:rPr>
        <w:t>different sample periods</w:t>
      </w:r>
      <w:r w:rsidRPr="00CB2DE6">
        <w:rPr>
          <w:rFonts w:ascii="Times New Roman" w:hAnsi="Times New Roman" w:cs="Times New Roman"/>
          <w:sz w:val="24"/>
          <w:szCs w:val="24"/>
        </w:rPr>
        <w:t xml:space="preserve">, and portfolios sorted on beta-exposure to innovations in the long-run component. </w:t>
      </w:r>
      <w:r w:rsidR="00380EA0" w:rsidRPr="00CB2DE6">
        <w:rPr>
          <w:rFonts w:ascii="Times New Roman" w:hAnsi="Times New Roman" w:cs="Times New Roman"/>
          <w:sz w:val="24"/>
          <w:szCs w:val="24"/>
        </w:rPr>
        <w:t>W</w:t>
      </w:r>
      <w:r w:rsidRPr="00CB2DE6">
        <w:rPr>
          <w:rFonts w:ascii="Times New Roman" w:hAnsi="Times New Roman" w:cs="Times New Roman"/>
          <w:sz w:val="24"/>
          <w:szCs w:val="24"/>
        </w:rPr>
        <w:t xml:space="preserve">e </w:t>
      </w:r>
      <w:r w:rsidR="00380EA0" w:rsidRPr="00CB2DE6">
        <w:rPr>
          <w:rFonts w:ascii="Times New Roman" w:hAnsi="Times New Roman" w:cs="Times New Roman"/>
          <w:sz w:val="24"/>
          <w:szCs w:val="24"/>
        </w:rPr>
        <w:t xml:space="preserve">also </w:t>
      </w:r>
      <w:r w:rsidRPr="00CB2DE6">
        <w:rPr>
          <w:rFonts w:ascii="Times New Roman" w:hAnsi="Times New Roman" w:cs="Times New Roman"/>
          <w:sz w:val="24"/>
          <w:szCs w:val="24"/>
        </w:rPr>
        <w:t xml:space="preserve">find that the </w:t>
      </w:r>
      <w:r w:rsidR="0013459A">
        <w:rPr>
          <w:rFonts w:ascii="Times New Roman" w:hAnsi="Times New Roman" w:cs="Times New Roman"/>
          <w:sz w:val="24"/>
          <w:szCs w:val="24"/>
        </w:rPr>
        <w:t xml:space="preserve">dynamics of the </w:t>
      </w:r>
      <w:r w:rsidRPr="00CB2DE6">
        <w:rPr>
          <w:rFonts w:ascii="Times New Roman" w:hAnsi="Times New Roman" w:cs="Times New Roman"/>
          <w:sz w:val="24"/>
          <w:szCs w:val="24"/>
        </w:rPr>
        <w:t xml:space="preserve">long-run component of global FX volatility </w:t>
      </w:r>
      <w:r w:rsidR="0013459A">
        <w:rPr>
          <w:rFonts w:ascii="Times New Roman" w:hAnsi="Times New Roman" w:cs="Times New Roman"/>
          <w:sz w:val="24"/>
          <w:szCs w:val="24"/>
        </w:rPr>
        <w:t>are</w:t>
      </w:r>
      <w:r w:rsidR="00926D41">
        <w:rPr>
          <w:rFonts w:ascii="Times New Roman" w:hAnsi="Times New Roman" w:cs="Times New Roman"/>
          <w:sz w:val="24"/>
          <w:szCs w:val="24"/>
        </w:rPr>
        <w:t xml:space="preserve"> related to </w:t>
      </w:r>
      <w:r w:rsidR="0013459A">
        <w:rPr>
          <w:rFonts w:ascii="Times New Roman" w:hAnsi="Times New Roman" w:cs="Times New Roman"/>
          <w:sz w:val="24"/>
          <w:szCs w:val="24"/>
        </w:rPr>
        <w:t xml:space="preserve">US </w:t>
      </w:r>
      <w:r w:rsidRPr="00CB2DE6">
        <w:rPr>
          <w:rFonts w:ascii="Times New Roman" w:hAnsi="Times New Roman" w:cs="Times New Roman"/>
          <w:sz w:val="24"/>
          <w:szCs w:val="24"/>
        </w:rPr>
        <w:t>macroeconomic fundamentals, particularly industrial</w:t>
      </w:r>
      <w:r w:rsidR="0013459A">
        <w:rPr>
          <w:rFonts w:ascii="Times New Roman" w:hAnsi="Times New Roman" w:cs="Times New Roman"/>
          <w:sz w:val="24"/>
          <w:szCs w:val="24"/>
        </w:rPr>
        <w:t xml:space="preserve"> production and money balances, suggesting an interesting channel through which macroeconomic fundamentals affect the cross-section of carry trade returns.</w:t>
      </w:r>
    </w:p>
    <w:p w:rsidR="005670A3" w:rsidRPr="00CB2DE6" w:rsidRDefault="005670A3">
      <w:pPr>
        <w:rPr>
          <w:rFonts w:ascii="Times New Roman" w:hAnsi="Times New Roman" w:cs="Times New Roman"/>
          <w:b/>
          <w:sz w:val="28"/>
          <w:szCs w:val="28"/>
        </w:rPr>
      </w:pPr>
    </w:p>
    <w:p w:rsidR="00B52146" w:rsidRPr="00CB2DE6" w:rsidRDefault="00B52146" w:rsidP="0026618F">
      <w:pPr>
        <w:spacing w:after="120" w:line="360" w:lineRule="auto"/>
        <w:jc w:val="both"/>
        <w:rPr>
          <w:rFonts w:ascii="Times New Roman" w:hAnsi="Times New Roman" w:cs="Times New Roman"/>
          <w:b/>
          <w:sz w:val="28"/>
          <w:szCs w:val="28"/>
        </w:rPr>
      </w:pPr>
      <w:r w:rsidRPr="00CB2DE6">
        <w:rPr>
          <w:rFonts w:ascii="Times New Roman" w:hAnsi="Times New Roman" w:cs="Times New Roman"/>
          <w:b/>
          <w:sz w:val="28"/>
          <w:szCs w:val="28"/>
        </w:rPr>
        <w:lastRenderedPageBreak/>
        <w:t>References</w:t>
      </w:r>
    </w:p>
    <w:p w:rsidR="00252D3E" w:rsidRPr="00CB2DE6" w:rsidRDefault="00252D3E" w:rsidP="0025297A">
      <w:pPr>
        <w:spacing w:after="80" w:line="360" w:lineRule="auto"/>
        <w:ind w:left="720" w:hanging="720"/>
        <w:jc w:val="both"/>
        <w:rPr>
          <w:rFonts w:ascii="Times New Roman" w:hAnsi="Times New Roman" w:cs="Times New Roman"/>
          <w:b/>
          <w:sz w:val="24"/>
          <w:szCs w:val="24"/>
        </w:rPr>
      </w:pPr>
      <w:r w:rsidRPr="00CB2DE6">
        <w:rPr>
          <w:rFonts w:ascii="Times New Roman" w:hAnsi="Times New Roman" w:cs="Times New Roman"/>
          <w:sz w:val="24"/>
          <w:szCs w:val="24"/>
        </w:rPr>
        <w:t>Adrian, Tobias, and Joshua Rosenberg, 2008, Stock Returns and Volatility: Pricing the Short</w:t>
      </w:r>
      <w:r w:rsidR="00133E8E">
        <w:rPr>
          <w:rFonts w:ascii="Times New Roman" w:hAnsi="Times New Roman" w:cs="Times New Roman"/>
          <w:sz w:val="24"/>
          <w:szCs w:val="24"/>
        </w:rPr>
        <w:t>-</w:t>
      </w:r>
      <w:r w:rsidRPr="00CB2DE6">
        <w:rPr>
          <w:rFonts w:ascii="Times New Roman" w:hAnsi="Times New Roman" w:cs="Times New Roman"/>
          <w:sz w:val="24"/>
          <w:szCs w:val="24"/>
        </w:rPr>
        <w:t xml:space="preserve">run and Long-run Components of Market Risk, </w:t>
      </w:r>
      <w:r w:rsidRPr="00CB2DE6">
        <w:rPr>
          <w:rFonts w:ascii="Times New Roman" w:hAnsi="Times New Roman" w:cs="Times New Roman"/>
          <w:i/>
          <w:sz w:val="24"/>
          <w:szCs w:val="24"/>
        </w:rPr>
        <w:t xml:space="preserve">Journal of Finance </w:t>
      </w:r>
      <w:r w:rsidRPr="00CB2DE6">
        <w:rPr>
          <w:rFonts w:ascii="Times New Roman" w:hAnsi="Times New Roman" w:cs="Times New Roman"/>
          <w:sz w:val="24"/>
          <w:szCs w:val="24"/>
        </w:rPr>
        <w:t>63, 2997−3030.</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Alizadeh, Sassan, Michael Brandt, and Francis X. Diebold, 2002, Range-Based Estimation of Stochastic Volatility Models, </w:t>
      </w:r>
      <w:r w:rsidRPr="00CB2DE6">
        <w:rPr>
          <w:rFonts w:ascii="Times New Roman" w:hAnsi="Times New Roman" w:cs="Times New Roman"/>
          <w:i/>
          <w:sz w:val="24"/>
          <w:szCs w:val="24"/>
        </w:rPr>
        <w:t xml:space="preserve">Journal of Finance </w:t>
      </w:r>
      <w:r w:rsidRPr="00CB2DE6">
        <w:rPr>
          <w:rFonts w:ascii="Times New Roman" w:hAnsi="Times New Roman" w:cs="Times New Roman"/>
          <w:sz w:val="24"/>
          <w:szCs w:val="24"/>
        </w:rPr>
        <w:t>57, 1047−1091.</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Andersen, Torben G., and Tim Bollerslev, 1997, Heterogeneous Information Arrivals and Return Volatility Dynamics: Uncovering the Long-run in High-frequency Returns, </w:t>
      </w:r>
      <w:r w:rsidRPr="00CB2DE6">
        <w:rPr>
          <w:rFonts w:ascii="Times New Roman" w:hAnsi="Times New Roman" w:cs="Times New Roman"/>
          <w:i/>
          <w:sz w:val="24"/>
          <w:szCs w:val="24"/>
        </w:rPr>
        <w:t>Journal of Finance</w:t>
      </w:r>
      <w:r w:rsidRPr="00CB2DE6">
        <w:rPr>
          <w:rFonts w:ascii="Times New Roman" w:hAnsi="Times New Roman" w:cs="Times New Roman"/>
          <w:sz w:val="24"/>
          <w:szCs w:val="24"/>
        </w:rPr>
        <w:t xml:space="preserve"> 52, 975−1005.</w:t>
      </w:r>
    </w:p>
    <w:p w:rsidR="00252D3E" w:rsidRPr="00CB2DE6" w:rsidRDefault="00252D3E" w:rsidP="0025297A">
      <w:pPr>
        <w:autoSpaceDE w:val="0"/>
        <w:autoSpaceDN w:val="0"/>
        <w:adjustRightInd w:val="0"/>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Andersen, Torben G., and Tim Bollerslev, 1998, </w:t>
      </w:r>
      <w:r w:rsidRPr="00CB2DE6">
        <w:rPr>
          <w:rFonts w:ascii="Times New Roman" w:hAnsi="Times New Roman" w:cs="Times New Roman"/>
          <w:bCs/>
          <w:sz w:val="24"/>
          <w:szCs w:val="24"/>
        </w:rPr>
        <w:t>Deutsche Mark–Dollar Volatility: Intraday Activity Patterns, Macroeconomic Announcements, and Longer Run Dependencies</w:t>
      </w:r>
      <w:r w:rsidRPr="00CB2DE6">
        <w:rPr>
          <w:rFonts w:ascii="Times New Roman" w:hAnsi="Times New Roman" w:cs="Times New Roman"/>
          <w:sz w:val="24"/>
          <w:szCs w:val="24"/>
        </w:rPr>
        <w:t xml:space="preserve">, </w:t>
      </w:r>
      <w:r w:rsidRPr="00CB2DE6">
        <w:rPr>
          <w:rFonts w:ascii="Times New Roman" w:hAnsi="Times New Roman" w:cs="Times New Roman"/>
          <w:i/>
          <w:sz w:val="24"/>
          <w:szCs w:val="24"/>
        </w:rPr>
        <w:t>Journal of Finance</w:t>
      </w:r>
      <w:r w:rsidRPr="00CB2DE6">
        <w:rPr>
          <w:rFonts w:ascii="Times New Roman" w:hAnsi="Times New Roman" w:cs="Times New Roman"/>
          <w:sz w:val="24"/>
          <w:szCs w:val="24"/>
        </w:rPr>
        <w:t xml:space="preserve"> 53, 219−265.</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Andersen, Torben G., Tim Bollerslev, Francis X. Diebold, and Clara Vega, 2003, Micro Effects of Macro Announcements: Real-Time Price Discovery in Foreign Exchange, </w:t>
      </w:r>
      <w:r w:rsidRPr="00CB2DE6">
        <w:rPr>
          <w:rFonts w:ascii="Times New Roman" w:hAnsi="Times New Roman" w:cs="Times New Roman"/>
          <w:i/>
          <w:sz w:val="24"/>
          <w:szCs w:val="24"/>
        </w:rPr>
        <w:t>American Economic Review</w:t>
      </w:r>
      <w:r w:rsidRPr="00CB2DE6">
        <w:rPr>
          <w:rFonts w:ascii="Times New Roman" w:hAnsi="Times New Roman" w:cs="Times New Roman"/>
          <w:sz w:val="24"/>
          <w:szCs w:val="24"/>
        </w:rPr>
        <w:t xml:space="preserve"> 93, 38−62.</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Andersen, Torben G., Tim Bollerslev, Francis X. Diebold, and Paul Labys, 2003, Modeling and Forecasting Realized Volatility, </w:t>
      </w:r>
      <w:r w:rsidRPr="00CB2DE6">
        <w:rPr>
          <w:rFonts w:ascii="Times New Roman" w:hAnsi="Times New Roman" w:cs="Times New Roman"/>
          <w:i/>
          <w:sz w:val="24"/>
          <w:szCs w:val="24"/>
        </w:rPr>
        <w:t>Econometrica</w:t>
      </w:r>
      <w:r w:rsidRPr="00CB2DE6">
        <w:rPr>
          <w:rFonts w:ascii="Times New Roman" w:hAnsi="Times New Roman" w:cs="Times New Roman"/>
          <w:sz w:val="24"/>
          <w:szCs w:val="24"/>
        </w:rPr>
        <w:t xml:space="preserve"> 71, 579−625.</w:t>
      </w:r>
    </w:p>
    <w:p w:rsidR="00252D3E" w:rsidRPr="00CB2DE6" w:rsidRDefault="00252D3E" w:rsidP="0025297A">
      <w:pPr>
        <w:spacing w:after="80" w:line="360" w:lineRule="auto"/>
        <w:ind w:left="720" w:hanging="720"/>
        <w:jc w:val="both"/>
        <w:rPr>
          <w:rFonts w:ascii="Times New Roman" w:hAnsi="Times New Roman" w:cs="Times New Roman"/>
          <w:b/>
        </w:rPr>
      </w:pPr>
      <w:r w:rsidRPr="00CB2DE6">
        <w:rPr>
          <w:rFonts w:ascii="Times New Roman" w:hAnsi="Times New Roman" w:cs="Times New Roman"/>
          <w:sz w:val="24"/>
          <w:szCs w:val="24"/>
        </w:rPr>
        <w:t>Ang, Andrew, Jun Liu, and Krista Schwarz, 2010, Using Stocks or Portfolios in Tests of Factor Models, Working Paper, Columbia University.</w:t>
      </w:r>
    </w:p>
    <w:p w:rsidR="00252D3E" w:rsidRPr="00CB2DE6" w:rsidRDefault="00252D3E" w:rsidP="0025297A">
      <w:pPr>
        <w:autoSpaceDE w:val="0"/>
        <w:autoSpaceDN w:val="0"/>
        <w:adjustRightInd w:val="0"/>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Beveridge, Stephen, and Charles R. Nelson, 1981, A New Approach to Decomposition of Economic Time Series into Permanent and Transitory Components with Particular Attention to Measurement of the ‘Business Cycle’, </w:t>
      </w:r>
      <w:r w:rsidRPr="00CB2DE6">
        <w:rPr>
          <w:rFonts w:ascii="Times New Roman" w:hAnsi="Times New Roman" w:cs="Times New Roman"/>
          <w:i/>
          <w:sz w:val="24"/>
          <w:szCs w:val="24"/>
        </w:rPr>
        <w:t xml:space="preserve">Journal of Monetary Economics </w:t>
      </w:r>
      <w:r w:rsidRPr="00CB2DE6">
        <w:rPr>
          <w:rFonts w:ascii="Times New Roman" w:hAnsi="Times New Roman" w:cs="Times New Roman"/>
          <w:sz w:val="24"/>
          <w:szCs w:val="24"/>
        </w:rPr>
        <w:t>7, 151–174.</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Black, Fisher, Michael Jensen, and Myron Scholes, 1972, The Capital Asset Pricing Model: Some Empirical Tests, in Michael Jensen, eds.: </w:t>
      </w:r>
      <w:r w:rsidRPr="00CB2DE6">
        <w:rPr>
          <w:rFonts w:ascii="Times New Roman" w:hAnsi="Times New Roman" w:cs="Times New Roman"/>
          <w:i/>
          <w:sz w:val="24"/>
          <w:szCs w:val="24"/>
        </w:rPr>
        <w:t>Studies in the Theory of Capital Markets</w:t>
      </w:r>
      <w:r w:rsidRPr="00CB2DE6">
        <w:rPr>
          <w:rFonts w:ascii="Times New Roman" w:hAnsi="Times New Roman" w:cs="Times New Roman"/>
          <w:sz w:val="24"/>
          <w:szCs w:val="24"/>
        </w:rPr>
        <w:t>, New York: Praeger.</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Bollerslev, Tim, and Hao Zhou, 2006, Volatility Puzzles: A Simple Framework for Gauging Return-Volatility Regressions, </w:t>
      </w:r>
      <w:r w:rsidRPr="00CB2DE6">
        <w:rPr>
          <w:rFonts w:ascii="Times New Roman" w:hAnsi="Times New Roman" w:cs="Times New Roman"/>
          <w:i/>
          <w:sz w:val="24"/>
          <w:szCs w:val="24"/>
        </w:rPr>
        <w:t xml:space="preserve">Journal of Econometrics </w:t>
      </w:r>
      <w:r w:rsidRPr="00CB2DE6">
        <w:rPr>
          <w:rFonts w:ascii="Times New Roman" w:hAnsi="Times New Roman" w:cs="Times New Roman"/>
          <w:sz w:val="24"/>
          <w:szCs w:val="24"/>
        </w:rPr>
        <w:t>131, 123–150.</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Bollerslev, Tim, and Jeffrey M. Wooldridge, 1992, Quasi-Maximum Likelihood Estimation and Inference in Dynamic Models with Time-Varying Covariances, </w:t>
      </w:r>
      <w:r w:rsidRPr="00CB2DE6">
        <w:rPr>
          <w:rFonts w:ascii="Times New Roman" w:hAnsi="Times New Roman" w:cs="Times New Roman"/>
          <w:i/>
          <w:sz w:val="24"/>
          <w:szCs w:val="24"/>
        </w:rPr>
        <w:t>Econometric Reviews</w:t>
      </w:r>
      <w:r w:rsidRPr="00CB2DE6">
        <w:rPr>
          <w:rFonts w:ascii="Times New Roman" w:hAnsi="Times New Roman" w:cs="Times New Roman"/>
          <w:sz w:val="24"/>
          <w:szCs w:val="24"/>
        </w:rPr>
        <w:t xml:space="preserve"> 11, 143−172.</w:t>
      </w:r>
    </w:p>
    <w:p w:rsidR="00252D3E" w:rsidRPr="00CB2DE6" w:rsidRDefault="00252D3E" w:rsidP="0025297A">
      <w:pPr>
        <w:spacing w:after="80" w:line="360" w:lineRule="auto"/>
        <w:ind w:left="720" w:hanging="720"/>
        <w:jc w:val="both"/>
        <w:rPr>
          <w:rFonts w:ascii="Times New Roman" w:hAnsi="Times New Roman" w:cs="Times New Roman"/>
          <w:b/>
          <w:sz w:val="24"/>
          <w:szCs w:val="24"/>
        </w:rPr>
      </w:pPr>
      <w:r w:rsidRPr="00CB2DE6">
        <w:rPr>
          <w:rFonts w:ascii="Times New Roman" w:hAnsi="Times New Roman" w:cs="Times New Roman"/>
          <w:sz w:val="24"/>
          <w:szCs w:val="24"/>
        </w:rPr>
        <w:lastRenderedPageBreak/>
        <w:t xml:space="preserve">Brunnermeier, Markus, Stefan Nagel, and Lasse H. Pedersen, 2009, Carry Trades and Currency Crashes, </w:t>
      </w:r>
      <w:r w:rsidRPr="00CB2DE6">
        <w:rPr>
          <w:rFonts w:ascii="Times New Roman" w:hAnsi="Times New Roman" w:cs="Times New Roman"/>
          <w:i/>
          <w:sz w:val="24"/>
          <w:szCs w:val="24"/>
        </w:rPr>
        <w:t xml:space="preserve">NBER Macroeconomics Annual 2008 </w:t>
      </w:r>
      <w:r w:rsidRPr="00CB2DE6">
        <w:rPr>
          <w:rFonts w:ascii="Times New Roman" w:hAnsi="Times New Roman" w:cs="Times New Roman"/>
          <w:sz w:val="24"/>
          <w:szCs w:val="24"/>
        </w:rPr>
        <w:t>23, 313−347.</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Burnside, Craig, 2012, Carry Trades and Risk, in Jessica James, Ian W. Marsh, and Lucio Sarno, eds.: </w:t>
      </w:r>
      <w:r w:rsidRPr="00CB2DE6">
        <w:rPr>
          <w:rFonts w:ascii="Times New Roman" w:hAnsi="Times New Roman" w:cs="Times New Roman"/>
          <w:i/>
          <w:sz w:val="24"/>
          <w:szCs w:val="24"/>
        </w:rPr>
        <w:t>Handbook of Exchange Rates</w:t>
      </w:r>
      <w:r w:rsidRPr="00CB2DE6">
        <w:rPr>
          <w:rFonts w:ascii="Times New Roman" w:hAnsi="Times New Roman" w:cs="Times New Roman"/>
          <w:sz w:val="24"/>
          <w:szCs w:val="24"/>
        </w:rPr>
        <w:t>, Hoboken: John Willey &amp; Sons.</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Burnside, Craig, Martin Eichenbaum, and Sergio Rebelo, 2007, The Returns to Currency Speculation in Emerging Markets, </w:t>
      </w:r>
      <w:r w:rsidRPr="00CB2DE6">
        <w:rPr>
          <w:rFonts w:ascii="Times New Roman" w:hAnsi="Times New Roman" w:cs="Times New Roman"/>
          <w:i/>
          <w:sz w:val="24"/>
          <w:szCs w:val="24"/>
        </w:rPr>
        <w:t xml:space="preserve">American Economic Review (Papers and Proceedings) </w:t>
      </w:r>
      <w:r w:rsidRPr="00CB2DE6">
        <w:rPr>
          <w:rFonts w:ascii="Times New Roman" w:hAnsi="Times New Roman" w:cs="Times New Roman"/>
          <w:sz w:val="24"/>
          <w:szCs w:val="24"/>
        </w:rPr>
        <w:t>97, 333−338.</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Burnside, Craig, Martin Eichenbaum, and Sergio Rebelo, 2011, Carry Trade and Momentum in Currency Markets, </w:t>
      </w:r>
      <w:r w:rsidRPr="00CB2DE6">
        <w:rPr>
          <w:rFonts w:ascii="Times New Roman" w:hAnsi="Times New Roman" w:cs="Times New Roman"/>
          <w:i/>
          <w:sz w:val="24"/>
          <w:szCs w:val="24"/>
        </w:rPr>
        <w:t xml:space="preserve">Annual Review of Financial Economics </w:t>
      </w:r>
      <w:r w:rsidRPr="00CB2DE6">
        <w:rPr>
          <w:rFonts w:ascii="Times New Roman" w:hAnsi="Times New Roman" w:cs="Times New Roman"/>
          <w:sz w:val="24"/>
          <w:szCs w:val="24"/>
        </w:rPr>
        <w:t>3, 511−536.</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Burnside, Craig, Martin Eichenbaum, Isaac Kleshchelski, and Sergio Rebelo, 2011, Do Peso Problems Explain the Returns to the Carry Trade?, </w:t>
      </w:r>
      <w:r w:rsidRPr="00CB2DE6">
        <w:rPr>
          <w:rFonts w:ascii="Times New Roman" w:hAnsi="Times New Roman" w:cs="Times New Roman"/>
          <w:i/>
          <w:sz w:val="24"/>
          <w:szCs w:val="24"/>
        </w:rPr>
        <w:t xml:space="preserve">Review of Financial Studies </w:t>
      </w:r>
      <w:r w:rsidRPr="00CB2DE6">
        <w:rPr>
          <w:rFonts w:ascii="Times New Roman" w:hAnsi="Times New Roman" w:cs="Times New Roman"/>
          <w:sz w:val="24"/>
          <w:szCs w:val="24"/>
        </w:rPr>
        <w:t>24, 853−891.</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Byrne, Joseph P., and </w:t>
      </w:r>
      <w:r w:rsidR="008A2867" w:rsidRPr="00CB2DE6">
        <w:rPr>
          <w:rFonts w:ascii="Times New Roman" w:hAnsi="Times New Roman" w:cs="Times New Roman"/>
          <w:sz w:val="24"/>
          <w:szCs w:val="24"/>
        </w:rPr>
        <w:t xml:space="preserve">Eric P. </w:t>
      </w:r>
      <w:r w:rsidRPr="00CB2DE6">
        <w:rPr>
          <w:rFonts w:ascii="Times New Roman" w:hAnsi="Times New Roman" w:cs="Times New Roman"/>
          <w:sz w:val="24"/>
          <w:szCs w:val="24"/>
        </w:rPr>
        <w:t xml:space="preserve">Davis, 2005, The Impact of Short- and Long-run Exchange Rate Uncertainty on Investment: A Panel Study of Industrial Countries, </w:t>
      </w:r>
      <w:r w:rsidRPr="00CB2DE6">
        <w:rPr>
          <w:rFonts w:ascii="Times New Roman" w:hAnsi="Times New Roman" w:cs="Times New Roman"/>
          <w:i/>
          <w:sz w:val="24"/>
          <w:szCs w:val="24"/>
        </w:rPr>
        <w:t>Oxford Bulletin of Economics and Statistics</w:t>
      </w:r>
      <w:r w:rsidRPr="00CB2DE6">
        <w:rPr>
          <w:rFonts w:ascii="Times New Roman" w:hAnsi="Times New Roman" w:cs="Times New Roman"/>
          <w:sz w:val="24"/>
          <w:szCs w:val="24"/>
        </w:rPr>
        <w:t xml:space="preserve"> 67, 307−329.</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Caporin, Massimiliano, and Michael McAleer, 2010, Model Selection and Testing of Conditional and Stochastic Volatility Models, Working Paper, University of Padova.</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Chernov, Mikhail, Ronald A. Gallant, Eric Ghysels, and George Tauchen, 2003, Alternative Models for Stock Price Dynamics, </w:t>
      </w:r>
      <w:r w:rsidRPr="00CB2DE6">
        <w:rPr>
          <w:rFonts w:ascii="Times New Roman" w:hAnsi="Times New Roman" w:cs="Times New Roman"/>
          <w:i/>
          <w:sz w:val="24"/>
          <w:szCs w:val="24"/>
        </w:rPr>
        <w:t>Journal of Econometrics</w:t>
      </w:r>
      <w:r w:rsidRPr="00CB2DE6">
        <w:rPr>
          <w:rFonts w:ascii="Times New Roman" w:hAnsi="Times New Roman" w:cs="Times New Roman"/>
          <w:sz w:val="24"/>
          <w:szCs w:val="24"/>
        </w:rPr>
        <w:t xml:space="preserve"> 116, 225–257.</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Christoffersen, Peter, Kris Jacobs, Chayawat Ornthanalai, and Yintian Wang, 2008, Option Valuation with Long-run and Short-run Volatility Components, </w:t>
      </w:r>
      <w:r w:rsidRPr="00CB2DE6">
        <w:rPr>
          <w:rFonts w:ascii="Times New Roman" w:hAnsi="Times New Roman" w:cs="Times New Roman"/>
          <w:i/>
          <w:sz w:val="24"/>
          <w:szCs w:val="24"/>
        </w:rPr>
        <w:t>Journal of Financial Economics</w:t>
      </w:r>
      <w:r w:rsidRPr="00CB2DE6">
        <w:rPr>
          <w:rFonts w:ascii="Times New Roman" w:hAnsi="Times New Roman" w:cs="Times New Roman"/>
          <w:sz w:val="24"/>
          <w:szCs w:val="24"/>
        </w:rPr>
        <w:t xml:space="preserve"> 90, 272−297.</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Cochrane, John H., 2005, </w:t>
      </w:r>
      <w:r w:rsidRPr="00CB2DE6">
        <w:rPr>
          <w:rFonts w:ascii="Times New Roman" w:hAnsi="Times New Roman" w:cs="Times New Roman"/>
          <w:i/>
          <w:sz w:val="24"/>
          <w:szCs w:val="24"/>
        </w:rPr>
        <w:t>Asset Pricing</w:t>
      </w:r>
      <w:r w:rsidRPr="00CB2DE6">
        <w:rPr>
          <w:rFonts w:ascii="Times New Roman" w:hAnsi="Times New Roman" w:cs="Times New Roman"/>
          <w:sz w:val="24"/>
          <w:szCs w:val="24"/>
        </w:rPr>
        <w:t>, Revised Edition, Princeton: Princeton University Press.</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Corsetti, Giancarlo, and Panagiotis Th. Konstantinou, 2012, What Drives US Foreign Borrowing? Evidence on the External Adjustment to Transitory and Permanent Shocks, </w:t>
      </w:r>
      <w:r w:rsidRPr="00CB2DE6">
        <w:rPr>
          <w:rFonts w:ascii="Times New Roman" w:hAnsi="Times New Roman" w:cs="Times New Roman"/>
          <w:i/>
          <w:sz w:val="24"/>
          <w:szCs w:val="24"/>
        </w:rPr>
        <w:t>American Economic Review</w:t>
      </w:r>
      <w:r w:rsidRPr="00CB2DE6">
        <w:rPr>
          <w:rFonts w:ascii="Times New Roman" w:hAnsi="Times New Roman" w:cs="Times New Roman"/>
          <w:sz w:val="24"/>
          <w:szCs w:val="24"/>
        </w:rPr>
        <w:t xml:space="preserve"> 102, 1062–1092.</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Della Corte, Pasquale, Steven J. Riddiough, and Lucio Sarno, 2014, Currency Premium and Global Imbalances, Working Paper, Imperial College London.</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Engel, Charles, 1996, The Forward Discount Anomaly and the Risk Premium: A Survey of Recent Evidence, </w:t>
      </w:r>
      <w:r w:rsidRPr="00CB2DE6">
        <w:rPr>
          <w:rFonts w:ascii="Times New Roman" w:hAnsi="Times New Roman" w:cs="Times New Roman"/>
          <w:i/>
          <w:sz w:val="24"/>
          <w:szCs w:val="24"/>
        </w:rPr>
        <w:t>Journal of Empirical Finance</w:t>
      </w:r>
      <w:r w:rsidRPr="00CB2DE6">
        <w:rPr>
          <w:rFonts w:ascii="Times New Roman" w:hAnsi="Times New Roman" w:cs="Times New Roman"/>
          <w:sz w:val="24"/>
          <w:szCs w:val="24"/>
        </w:rPr>
        <w:t xml:space="preserve"> 3, 123−192.</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lastRenderedPageBreak/>
        <w:t xml:space="preserve">Engel, Charles, Nelson C. Mark, and Kenneth D. West, 2008, Exchange Rate Models Are Not as Bad as You Think, </w:t>
      </w:r>
      <w:r w:rsidRPr="00CB2DE6">
        <w:rPr>
          <w:rFonts w:ascii="Times New Roman" w:hAnsi="Times New Roman" w:cs="Times New Roman"/>
          <w:i/>
          <w:sz w:val="24"/>
          <w:szCs w:val="24"/>
        </w:rPr>
        <w:t>NBER Macroeconomics Annual 2007</w:t>
      </w:r>
      <w:r w:rsidRPr="00CB2DE6">
        <w:rPr>
          <w:rFonts w:ascii="Times New Roman" w:hAnsi="Times New Roman" w:cs="Times New Roman"/>
          <w:sz w:val="24"/>
          <w:szCs w:val="24"/>
        </w:rPr>
        <w:t xml:space="preserve"> 22, 381−441.</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Engle, Robert F., and Gary G. J. Lee, 1999, A Long-run and Short-run Component Model of Stock Return Volatility, in Robert F. Engle, and Halbert L. White, eds.: </w:t>
      </w:r>
      <w:r w:rsidRPr="00CB2DE6">
        <w:rPr>
          <w:rFonts w:ascii="Times New Roman" w:hAnsi="Times New Roman" w:cs="Times New Roman"/>
          <w:i/>
          <w:sz w:val="24"/>
          <w:szCs w:val="24"/>
        </w:rPr>
        <w:t>Cointegration, Causality, and Forecasting: A Festschrift in Honor of Clive W. J. Granger</w:t>
      </w:r>
      <w:r w:rsidRPr="00CB2DE6">
        <w:rPr>
          <w:rFonts w:ascii="Times New Roman" w:hAnsi="Times New Roman" w:cs="Times New Roman"/>
          <w:sz w:val="24"/>
          <w:szCs w:val="24"/>
        </w:rPr>
        <w:t>, New York: Oxford University Press.</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Engle, Robert F., and Jose G. Rangel, 2008, The Spline-GARCH Model for Low-Frequency Volatility and Its Global Macroeconomic Causes, </w:t>
      </w:r>
      <w:r w:rsidRPr="00CB2DE6">
        <w:rPr>
          <w:rFonts w:ascii="Times New Roman" w:hAnsi="Times New Roman" w:cs="Times New Roman"/>
          <w:i/>
          <w:sz w:val="24"/>
          <w:szCs w:val="24"/>
        </w:rPr>
        <w:t xml:space="preserve">Review of Financial Studies </w:t>
      </w:r>
      <w:r w:rsidRPr="00CB2DE6">
        <w:rPr>
          <w:rFonts w:ascii="Times New Roman" w:hAnsi="Times New Roman" w:cs="Times New Roman"/>
          <w:sz w:val="24"/>
          <w:szCs w:val="24"/>
        </w:rPr>
        <w:t>21, 1187−1222.</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Engle, Robert F., Eric Ghysels, and Bumjean Sohn, 2013, Stock Market Volatility and Macroeconomic Fundamentals, </w:t>
      </w:r>
      <w:r w:rsidRPr="00CB2DE6">
        <w:rPr>
          <w:rFonts w:ascii="Times New Roman" w:hAnsi="Times New Roman" w:cs="Times New Roman"/>
          <w:i/>
          <w:sz w:val="24"/>
          <w:szCs w:val="24"/>
        </w:rPr>
        <w:t>Review of Economics and Statistics</w:t>
      </w:r>
      <w:r w:rsidRPr="00CB2DE6">
        <w:rPr>
          <w:rFonts w:ascii="Times New Roman" w:hAnsi="Times New Roman" w:cs="Times New Roman"/>
          <w:sz w:val="24"/>
          <w:szCs w:val="24"/>
        </w:rPr>
        <w:t xml:space="preserve"> 95, 776−797.</w:t>
      </w:r>
    </w:p>
    <w:p w:rsidR="00252D3E" w:rsidRPr="00CB2DE6" w:rsidRDefault="00252D3E" w:rsidP="0025297A">
      <w:pPr>
        <w:autoSpaceDE w:val="0"/>
        <w:autoSpaceDN w:val="0"/>
        <w:adjustRightInd w:val="0"/>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Evans, Martin D. D., and Richard K. Lyons, 2008, How is Macro News Transmitted to Exchange Rates?, </w:t>
      </w:r>
      <w:r w:rsidRPr="00CB2DE6">
        <w:rPr>
          <w:rFonts w:ascii="Times New Roman" w:hAnsi="Times New Roman" w:cs="Times New Roman"/>
          <w:i/>
          <w:sz w:val="24"/>
          <w:szCs w:val="24"/>
        </w:rPr>
        <w:t>Journal of Financial Economics</w:t>
      </w:r>
      <w:r w:rsidRPr="00CB2DE6">
        <w:rPr>
          <w:rFonts w:ascii="Times New Roman" w:hAnsi="Times New Roman" w:cs="Times New Roman"/>
          <w:sz w:val="24"/>
          <w:szCs w:val="24"/>
        </w:rPr>
        <w:t xml:space="preserve"> 88, 26−50.</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Fama, Eugene F., 1984, Forward and Spot Exchange Rates, </w:t>
      </w:r>
      <w:r w:rsidRPr="00CB2DE6">
        <w:rPr>
          <w:rFonts w:ascii="Times New Roman" w:hAnsi="Times New Roman" w:cs="Times New Roman"/>
          <w:i/>
          <w:sz w:val="24"/>
          <w:szCs w:val="24"/>
        </w:rPr>
        <w:t xml:space="preserve">Journal of Monetary Economics </w:t>
      </w:r>
      <w:r w:rsidRPr="00CB2DE6">
        <w:rPr>
          <w:rFonts w:ascii="Times New Roman" w:hAnsi="Times New Roman" w:cs="Times New Roman"/>
          <w:sz w:val="24"/>
          <w:szCs w:val="24"/>
        </w:rPr>
        <w:t>14, 319−338.</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Fama, Eugene F., and James D. MacBeth, 1973, Risk, Return, and Equilibrium: Empirical Tests, </w:t>
      </w:r>
      <w:r w:rsidRPr="00CB2DE6">
        <w:rPr>
          <w:rFonts w:ascii="Times New Roman" w:hAnsi="Times New Roman" w:cs="Times New Roman"/>
          <w:i/>
          <w:sz w:val="24"/>
          <w:szCs w:val="24"/>
        </w:rPr>
        <w:t xml:space="preserve">Journal of Political Economy </w:t>
      </w:r>
      <w:r w:rsidRPr="00CB2DE6">
        <w:rPr>
          <w:rFonts w:ascii="Times New Roman" w:hAnsi="Times New Roman" w:cs="Times New Roman"/>
          <w:sz w:val="24"/>
          <w:szCs w:val="24"/>
        </w:rPr>
        <w:t>81, 607−636.</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Fama, Eugene F., and Kenneth R. French, 1993, Common Risk Factors in the Returns on Stocks and Bonds, </w:t>
      </w:r>
      <w:r w:rsidRPr="00CB2DE6">
        <w:rPr>
          <w:rFonts w:ascii="Times New Roman" w:hAnsi="Times New Roman" w:cs="Times New Roman"/>
          <w:i/>
          <w:sz w:val="24"/>
          <w:szCs w:val="24"/>
        </w:rPr>
        <w:t xml:space="preserve">Journal of Financial Economics </w:t>
      </w:r>
      <w:r w:rsidRPr="00CB2DE6">
        <w:rPr>
          <w:rFonts w:ascii="Times New Roman" w:hAnsi="Times New Roman" w:cs="Times New Roman"/>
          <w:sz w:val="24"/>
          <w:szCs w:val="24"/>
        </w:rPr>
        <w:t>33, 3−56.</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Hansen, Lars P., and Robert J. Hodrick, 1980, Forward Exchange Rates as Optimal Predictors of Future Spot Rates: An Econometric Analysis, </w:t>
      </w:r>
      <w:r w:rsidRPr="00CB2DE6">
        <w:rPr>
          <w:rFonts w:ascii="Times New Roman" w:hAnsi="Times New Roman" w:cs="Times New Roman"/>
          <w:i/>
          <w:sz w:val="24"/>
          <w:szCs w:val="24"/>
        </w:rPr>
        <w:t xml:space="preserve">Journal of Political Economy </w:t>
      </w:r>
      <w:r w:rsidRPr="00CB2DE6">
        <w:rPr>
          <w:rFonts w:ascii="Times New Roman" w:hAnsi="Times New Roman" w:cs="Times New Roman"/>
          <w:sz w:val="24"/>
          <w:szCs w:val="24"/>
        </w:rPr>
        <w:t>88, 829–853.</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Hodrick, Robert J., and Edward C. Prescott, 1997, Postwar U.S. Business Cycles: An Empirical Investigation, </w:t>
      </w:r>
      <w:r w:rsidRPr="00CB2DE6">
        <w:rPr>
          <w:rFonts w:ascii="Times New Roman" w:hAnsi="Times New Roman" w:cs="Times New Roman"/>
          <w:i/>
          <w:sz w:val="24"/>
          <w:szCs w:val="24"/>
        </w:rPr>
        <w:t>Journal of Money, Credit, and Banking</w:t>
      </w:r>
      <w:r w:rsidRPr="00CB2DE6">
        <w:rPr>
          <w:rFonts w:ascii="Times New Roman" w:hAnsi="Times New Roman" w:cs="Times New Roman"/>
          <w:sz w:val="24"/>
          <w:szCs w:val="24"/>
        </w:rPr>
        <w:t xml:space="preserve"> 29, 1–16.</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Inoue, Atsushi, and Lutz Kilian, 2004, In-Sample or Out-of-Sample Tests of Predictability: Which One Should We Use? </w:t>
      </w:r>
      <w:r w:rsidRPr="00CB2DE6">
        <w:rPr>
          <w:rFonts w:ascii="Times New Roman" w:hAnsi="Times New Roman" w:cs="Times New Roman"/>
          <w:i/>
          <w:sz w:val="24"/>
          <w:szCs w:val="24"/>
        </w:rPr>
        <w:t>Econometric Reviews</w:t>
      </w:r>
      <w:r w:rsidRPr="00CB2DE6">
        <w:rPr>
          <w:rFonts w:ascii="Times New Roman" w:hAnsi="Times New Roman" w:cs="Times New Roman"/>
          <w:sz w:val="24"/>
          <w:szCs w:val="24"/>
        </w:rPr>
        <w:t xml:space="preserve"> 23, 371–402.</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Inoue, Atsushi, and Lutz Kilian, 2006. On the Selection of Forecasting Models. </w:t>
      </w:r>
      <w:r w:rsidRPr="00CB2DE6">
        <w:rPr>
          <w:rFonts w:ascii="Times New Roman" w:hAnsi="Times New Roman" w:cs="Times New Roman"/>
          <w:i/>
          <w:sz w:val="24"/>
          <w:szCs w:val="24"/>
        </w:rPr>
        <w:t>Journal of Econometrics</w:t>
      </w:r>
      <w:r w:rsidRPr="00CB2DE6">
        <w:rPr>
          <w:rFonts w:ascii="Times New Roman" w:hAnsi="Times New Roman" w:cs="Times New Roman"/>
          <w:sz w:val="24"/>
          <w:szCs w:val="24"/>
        </w:rPr>
        <w:t xml:space="preserve"> 130, 273–306.</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Jagannathan, Ravi, and Zhenyu Wang, 1998, An Asymptotic Theory for Estimating Beta-Pricing Models Using Cross-Sectional Regression, </w:t>
      </w:r>
      <w:r w:rsidRPr="00CB2DE6">
        <w:rPr>
          <w:rFonts w:ascii="Times New Roman" w:hAnsi="Times New Roman" w:cs="Times New Roman"/>
          <w:i/>
          <w:sz w:val="24"/>
          <w:szCs w:val="24"/>
        </w:rPr>
        <w:t xml:space="preserve">Journal of Finance </w:t>
      </w:r>
      <w:r w:rsidRPr="00CB2DE6">
        <w:rPr>
          <w:rFonts w:ascii="Times New Roman" w:hAnsi="Times New Roman" w:cs="Times New Roman"/>
          <w:sz w:val="24"/>
          <w:szCs w:val="24"/>
        </w:rPr>
        <w:t>53, 1285–1309.</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lastRenderedPageBreak/>
        <w:t>King, Michael R., Carol Osler, and Dagfinn Rime, 2011, Foreign Exchange Market Structure, Players and Evolution, Norges Bank Working Paper.</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Kobayashi, Masahito, and Xiuhong Shi, 2005, Testing for EGARCH Against Stochastic Volatility Models, </w:t>
      </w:r>
      <w:r w:rsidRPr="00CB2DE6">
        <w:rPr>
          <w:rFonts w:ascii="Times New Roman" w:hAnsi="Times New Roman" w:cs="Times New Roman"/>
          <w:i/>
          <w:sz w:val="24"/>
          <w:szCs w:val="24"/>
        </w:rPr>
        <w:t>Journal of Time Series Analysis</w:t>
      </w:r>
      <w:r w:rsidRPr="00CB2DE6">
        <w:rPr>
          <w:rFonts w:ascii="Times New Roman" w:hAnsi="Times New Roman" w:cs="Times New Roman"/>
          <w:sz w:val="24"/>
          <w:szCs w:val="24"/>
        </w:rPr>
        <w:t xml:space="preserve"> 26, 135–150.</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Lee, Jung-Hee, and B. Wade Brorsen, 1997, A Non-nested Test of GARCH vs. EGARCH Models, </w:t>
      </w:r>
      <w:r w:rsidRPr="00CB2DE6">
        <w:rPr>
          <w:rFonts w:ascii="Times New Roman" w:hAnsi="Times New Roman" w:cs="Times New Roman"/>
          <w:i/>
          <w:sz w:val="24"/>
          <w:szCs w:val="24"/>
        </w:rPr>
        <w:t>Applied Economic Letters</w:t>
      </w:r>
      <w:r w:rsidRPr="00CB2DE6">
        <w:rPr>
          <w:rFonts w:ascii="Times New Roman" w:hAnsi="Times New Roman" w:cs="Times New Roman"/>
          <w:sz w:val="24"/>
          <w:szCs w:val="24"/>
        </w:rPr>
        <w:t xml:space="preserve"> 4, 765–768. </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Liesenfeld, Roman, 2001, A Generalized Bivariate Mixture for Stock Price Volatility and Trading Volume, </w:t>
      </w:r>
      <w:r w:rsidRPr="00CB2DE6">
        <w:rPr>
          <w:rFonts w:ascii="Times New Roman" w:hAnsi="Times New Roman" w:cs="Times New Roman"/>
          <w:i/>
          <w:sz w:val="24"/>
          <w:szCs w:val="24"/>
        </w:rPr>
        <w:t>Journal of Econometrics</w:t>
      </w:r>
      <w:r w:rsidRPr="00CB2DE6">
        <w:rPr>
          <w:rFonts w:ascii="Times New Roman" w:hAnsi="Times New Roman" w:cs="Times New Roman"/>
          <w:sz w:val="24"/>
          <w:szCs w:val="24"/>
        </w:rPr>
        <w:t xml:space="preserve"> 116, 181–224.</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Ljung, Greta M., and George E. P. Box, 1978, On a Measure of Lack of Fit in Time Series Models, </w:t>
      </w:r>
      <w:r w:rsidRPr="00CB2DE6">
        <w:rPr>
          <w:rFonts w:ascii="Times New Roman" w:hAnsi="Times New Roman" w:cs="Times New Roman"/>
          <w:i/>
          <w:sz w:val="24"/>
          <w:szCs w:val="24"/>
        </w:rPr>
        <w:t xml:space="preserve">Biometrika </w:t>
      </w:r>
      <w:r w:rsidRPr="00CB2DE6">
        <w:rPr>
          <w:rFonts w:ascii="Times New Roman" w:hAnsi="Times New Roman" w:cs="Times New Roman"/>
          <w:sz w:val="24"/>
          <w:szCs w:val="24"/>
        </w:rPr>
        <w:t>65, 297–303.</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Lo, Andrew W., and Andrew C. MacKinlay, 1990, Data-Snooping Biases in Tests of Financial Asset Pricing Models, </w:t>
      </w:r>
      <w:r w:rsidRPr="00CB2DE6">
        <w:rPr>
          <w:rFonts w:ascii="Times New Roman" w:hAnsi="Times New Roman" w:cs="Times New Roman"/>
          <w:i/>
          <w:sz w:val="24"/>
          <w:szCs w:val="24"/>
        </w:rPr>
        <w:t xml:space="preserve">Review of Financial Studies </w:t>
      </w:r>
      <w:r w:rsidRPr="00CB2DE6">
        <w:rPr>
          <w:rFonts w:ascii="Times New Roman" w:hAnsi="Times New Roman" w:cs="Times New Roman"/>
          <w:sz w:val="24"/>
          <w:szCs w:val="24"/>
        </w:rPr>
        <w:t>3, 431–467.</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Lustig, Hanno, and Adrien Verdelhan, 2007, The Cross-Section of Foreign Currency Risk Premia and Consumption Growth Risk, </w:t>
      </w:r>
      <w:r w:rsidRPr="00CB2DE6">
        <w:rPr>
          <w:rFonts w:ascii="Times New Roman" w:hAnsi="Times New Roman" w:cs="Times New Roman"/>
          <w:i/>
          <w:sz w:val="24"/>
          <w:szCs w:val="24"/>
        </w:rPr>
        <w:t xml:space="preserve">American Economic Review </w:t>
      </w:r>
      <w:r w:rsidRPr="00CB2DE6">
        <w:rPr>
          <w:rFonts w:ascii="Times New Roman" w:hAnsi="Times New Roman" w:cs="Times New Roman"/>
          <w:sz w:val="24"/>
          <w:szCs w:val="24"/>
        </w:rPr>
        <w:t>97, 89−117.</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Lustig, Hanno, Nikolai Roussanov, and Adrien Verdelhan, 2011, Common Risk Factors in Currency Markets, </w:t>
      </w:r>
      <w:r w:rsidRPr="00CB2DE6">
        <w:rPr>
          <w:rFonts w:ascii="Times New Roman" w:hAnsi="Times New Roman" w:cs="Times New Roman"/>
          <w:i/>
          <w:sz w:val="24"/>
          <w:szCs w:val="24"/>
        </w:rPr>
        <w:t xml:space="preserve">Review of Financial Studies </w:t>
      </w:r>
      <w:r w:rsidRPr="00CB2DE6">
        <w:rPr>
          <w:rFonts w:ascii="Times New Roman" w:hAnsi="Times New Roman" w:cs="Times New Roman"/>
          <w:sz w:val="24"/>
          <w:szCs w:val="24"/>
        </w:rPr>
        <w:t>24, 3731−3777.</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Lustig, Hanno, Nikolai Roussanov, and Adrien Verdelhan, 2014, Countercyclical Currency Risk Premia, </w:t>
      </w:r>
      <w:r w:rsidRPr="00CB2DE6">
        <w:rPr>
          <w:rFonts w:ascii="Times New Roman" w:hAnsi="Times New Roman" w:cs="Times New Roman"/>
          <w:i/>
          <w:sz w:val="24"/>
          <w:szCs w:val="24"/>
        </w:rPr>
        <w:t>Journal of Financial Economics</w:t>
      </w:r>
      <w:r w:rsidRPr="00CB2DE6">
        <w:rPr>
          <w:rFonts w:ascii="Times New Roman" w:hAnsi="Times New Roman" w:cs="Times New Roman"/>
          <w:sz w:val="24"/>
          <w:szCs w:val="24"/>
        </w:rPr>
        <w:t xml:space="preserve"> 111, 527−553.</w:t>
      </w:r>
    </w:p>
    <w:p w:rsidR="00252D3E" w:rsidRPr="00CB2DE6" w:rsidRDefault="00252D3E" w:rsidP="0025297A">
      <w:pPr>
        <w:spacing w:after="80" w:line="360" w:lineRule="auto"/>
        <w:ind w:left="720" w:hanging="720"/>
        <w:jc w:val="both"/>
        <w:rPr>
          <w:rFonts w:ascii="Times New Roman" w:hAnsi="Times New Roman" w:cs="Times New Roman"/>
          <w:sz w:val="24"/>
          <w:szCs w:val="24"/>
          <w:highlight w:val="yellow"/>
        </w:rPr>
      </w:pPr>
      <w:r w:rsidRPr="00CB2DE6">
        <w:rPr>
          <w:rFonts w:ascii="Times New Roman" w:hAnsi="Times New Roman" w:cs="Times New Roman"/>
          <w:sz w:val="24"/>
          <w:szCs w:val="24"/>
        </w:rPr>
        <w:t xml:space="preserve">Lyons, Richard K., 2001, </w:t>
      </w:r>
      <w:r w:rsidRPr="00CB2DE6">
        <w:rPr>
          <w:rFonts w:ascii="Times New Roman" w:hAnsi="Times New Roman" w:cs="Times New Roman"/>
          <w:i/>
          <w:sz w:val="24"/>
          <w:szCs w:val="24"/>
        </w:rPr>
        <w:t>The Microstructure Approach to Exchange Rates</w:t>
      </w:r>
      <w:r w:rsidRPr="00CB2DE6">
        <w:rPr>
          <w:rFonts w:ascii="Times New Roman" w:hAnsi="Times New Roman" w:cs="Times New Roman"/>
          <w:sz w:val="24"/>
          <w:szCs w:val="24"/>
        </w:rPr>
        <w:t xml:space="preserve">, MIT Press. </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MacKinlay, </w:t>
      </w:r>
      <w:r w:rsidR="00F4466E">
        <w:rPr>
          <w:rFonts w:ascii="Times New Roman" w:hAnsi="Times New Roman" w:cs="Times New Roman"/>
          <w:sz w:val="24"/>
          <w:szCs w:val="24"/>
        </w:rPr>
        <w:t>Andrew C</w:t>
      </w:r>
      <w:r w:rsidRPr="00CB2DE6">
        <w:rPr>
          <w:rFonts w:ascii="Times New Roman" w:hAnsi="Times New Roman" w:cs="Times New Roman"/>
          <w:sz w:val="24"/>
          <w:szCs w:val="24"/>
        </w:rPr>
        <w:t xml:space="preserve">., and Jong W. Park, 2004, </w:t>
      </w:r>
      <w:r w:rsidRPr="00CB2DE6">
        <w:rPr>
          <w:rFonts w:ascii="Times New Roman" w:hAnsi="Times New Roman" w:cs="Times New Roman"/>
          <w:bCs/>
          <w:sz w:val="24"/>
          <w:szCs w:val="24"/>
        </w:rPr>
        <w:t>The Relationship between Expected Risk Premium and Conditional Permanent and Transitory Volatility</w:t>
      </w:r>
      <w:r w:rsidRPr="00CB2DE6">
        <w:rPr>
          <w:rFonts w:ascii="Times New Roman" w:hAnsi="Times New Roman" w:cs="Times New Roman"/>
          <w:sz w:val="24"/>
          <w:szCs w:val="24"/>
        </w:rPr>
        <w:t>, Working Paper, University of Pennsylvania.</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Maheu, John, 2005, Can GARCH Models Capture Long-Range Dependence?, </w:t>
      </w:r>
      <w:r w:rsidRPr="00CB2DE6">
        <w:rPr>
          <w:rFonts w:ascii="Times New Roman" w:hAnsi="Times New Roman" w:cs="Times New Roman"/>
          <w:i/>
          <w:sz w:val="24"/>
          <w:szCs w:val="24"/>
        </w:rPr>
        <w:t>Studies in Nonlinear Dynamics &amp; Econometrics</w:t>
      </w:r>
      <w:r w:rsidRPr="00CB2DE6">
        <w:rPr>
          <w:rFonts w:ascii="Times New Roman" w:hAnsi="Times New Roman" w:cs="Times New Roman"/>
          <w:sz w:val="24"/>
          <w:szCs w:val="24"/>
        </w:rPr>
        <w:t xml:space="preserve"> 9, 1−41.</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Mancini, Loriano, Angelo Ranaldo, and Jan Wrampelmeyer, 2013, Liquidity in the Foreign Exchange Market: Measurement, Commonality, and Risk Premiums, </w:t>
      </w:r>
      <w:r w:rsidRPr="00CB2DE6">
        <w:rPr>
          <w:rFonts w:ascii="Times New Roman" w:hAnsi="Times New Roman" w:cs="Times New Roman"/>
          <w:i/>
          <w:sz w:val="24"/>
          <w:szCs w:val="24"/>
        </w:rPr>
        <w:t>Journal of Finance</w:t>
      </w:r>
      <w:r w:rsidRPr="00CB2DE6">
        <w:rPr>
          <w:rFonts w:ascii="Times New Roman" w:hAnsi="Times New Roman" w:cs="Times New Roman"/>
          <w:sz w:val="24"/>
          <w:szCs w:val="24"/>
        </w:rPr>
        <w:t xml:space="preserve"> 68, 1805−1841.</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Meese, Richard A., and Kenneth Rogoff, 1983, Empirical Exchange Rate Models of the Seventies: Do They Fit Out of Sample?, </w:t>
      </w:r>
      <w:r w:rsidRPr="00CB2DE6">
        <w:rPr>
          <w:rFonts w:ascii="Times New Roman" w:hAnsi="Times New Roman" w:cs="Times New Roman"/>
          <w:i/>
          <w:sz w:val="24"/>
          <w:szCs w:val="24"/>
        </w:rPr>
        <w:t xml:space="preserve">Journal of International Economics </w:t>
      </w:r>
      <w:r w:rsidRPr="00CB2DE6">
        <w:rPr>
          <w:rFonts w:ascii="Times New Roman" w:hAnsi="Times New Roman" w:cs="Times New Roman"/>
          <w:sz w:val="24"/>
          <w:szCs w:val="24"/>
        </w:rPr>
        <w:t>14, 3−24.</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Menkhoff, Lucas, Lucio Sarno, Maik Schmeling, and Andreas Schrimpf, 2012, Carry Trades and Global Foreign Exchange Volatility, </w:t>
      </w:r>
      <w:r w:rsidRPr="00CB2DE6">
        <w:rPr>
          <w:rFonts w:ascii="Times New Roman" w:hAnsi="Times New Roman" w:cs="Times New Roman"/>
          <w:i/>
          <w:sz w:val="24"/>
          <w:szCs w:val="24"/>
        </w:rPr>
        <w:t xml:space="preserve">Journal of Finance </w:t>
      </w:r>
      <w:r w:rsidRPr="00CB2DE6">
        <w:rPr>
          <w:rFonts w:ascii="Times New Roman" w:hAnsi="Times New Roman" w:cs="Times New Roman"/>
          <w:sz w:val="24"/>
          <w:szCs w:val="24"/>
        </w:rPr>
        <w:t xml:space="preserve">67, 681−718. </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lastRenderedPageBreak/>
        <w:t xml:space="preserve">Merton, Robert C., 1980, On Estimating the Expected Return on the Market: An Exploratory Investigation, </w:t>
      </w:r>
      <w:r w:rsidRPr="00CB2DE6">
        <w:rPr>
          <w:rFonts w:ascii="Times New Roman" w:hAnsi="Times New Roman" w:cs="Times New Roman"/>
          <w:i/>
          <w:sz w:val="24"/>
          <w:szCs w:val="24"/>
        </w:rPr>
        <w:t xml:space="preserve">Journal of Financial Economics </w:t>
      </w:r>
      <w:r w:rsidRPr="00CB2DE6">
        <w:rPr>
          <w:rFonts w:ascii="Times New Roman" w:hAnsi="Times New Roman" w:cs="Times New Roman"/>
          <w:sz w:val="24"/>
          <w:szCs w:val="24"/>
        </w:rPr>
        <w:t xml:space="preserve">8, 323−361. </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Müller, Ulrich A., </w:t>
      </w:r>
      <w:hyperlink r:id="rId17" w:history="1">
        <w:r w:rsidRPr="00CB2DE6">
          <w:rPr>
            <w:rFonts w:ascii="Times New Roman" w:hAnsi="Times New Roman" w:cs="Times New Roman"/>
            <w:sz w:val="24"/>
            <w:szCs w:val="24"/>
          </w:rPr>
          <w:t>Michel M. Dacorogna</w:t>
        </w:r>
      </w:hyperlink>
      <w:r w:rsidRPr="00CB2DE6">
        <w:rPr>
          <w:rFonts w:ascii="Times New Roman" w:hAnsi="Times New Roman" w:cs="Times New Roman"/>
          <w:sz w:val="24"/>
          <w:szCs w:val="24"/>
        </w:rPr>
        <w:t xml:space="preserve">, </w:t>
      </w:r>
      <w:hyperlink r:id="rId18" w:history="1">
        <w:r w:rsidRPr="00CB2DE6">
          <w:rPr>
            <w:rFonts w:ascii="Times New Roman" w:hAnsi="Times New Roman" w:cs="Times New Roman"/>
            <w:sz w:val="24"/>
            <w:szCs w:val="24"/>
          </w:rPr>
          <w:t>Rakhal D. Davé</w:t>
        </w:r>
      </w:hyperlink>
      <w:r w:rsidRPr="00CB2DE6">
        <w:rPr>
          <w:rFonts w:ascii="Times New Roman" w:hAnsi="Times New Roman" w:cs="Times New Roman"/>
          <w:sz w:val="24"/>
          <w:szCs w:val="24"/>
        </w:rPr>
        <w:t xml:space="preserve">, </w:t>
      </w:r>
      <w:hyperlink r:id="rId19" w:history="1">
        <w:r w:rsidRPr="00CB2DE6">
          <w:rPr>
            <w:rFonts w:ascii="Times New Roman" w:hAnsi="Times New Roman" w:cs="Times New Roman"/>
            <w:sz w:val="24"/>
            <w:szCs w:val="24"/>
          </w:rPr>
          <w:t>Richard B. Olsen</w:t>
        </w:r>
      </w:hyperlink>
      <w:r w:rsidRPr="00CB2DE6">
        <w:rPr>
          <w:rFonts w:ascii="Times New Roman" w:hAnsi="Times New Roman" w:cs="Times New Roman"/>
          <w:sz w:val="24"/>
          <w:szCs w:val="24"/>
        </w:rPr>
        <w:t xml:space="preserve">, </w:t>
      </w:r>
      <w:hyperlink r:id="rId20" w:history="1">
        <w:r w:rsidRPr="00CB2DE6">
          <w:rPr>
            <w:rFonts w:ascii="Times New Roman" w:hAnsi="Times New Roman" w:cs="Times New Roman"/>
            <w:sz w:val="24"/>
            <w:szCs w:val="24"/>
          </w:rPr>
          <w:t>Olivier V. Pictet</w:t>
        </w:r>
      </w:hyperlink>
      <w:r w:rsidRPr="00CB2DE6">
        <w:rPr>
          <w:rFonts w:ascii="Times New Roman" w:hAnsi="Times New Roman" w:cs="Times New Roman"/>
          <w:sz w:val="24"/>
          <w:szCs w:val="24"/>
        </w:rPr>
        <w:t xml:space="preserve">, and </w:t>
      </w:r>
      <w:hyperlink r:id="rId21" w:history="1">
        <w:r w:rsidRPr="00CB2DE6">
          <w:rPr>
            <w:rFonts w:ascii="Times New Roman" w:hAnsi="Times New Roman" w:cs="Times New Roman"/>
            <w:sz w:val="24"/>
            <w:szCs w:val="24"/>
          </w:rPr>
          <w:t>Jacob E. von Weizsäcker</w:t>
        </w:r>
      </w:hyperlink>
      <w:r w:rsidRPr="00CB2DE6">
        <w:rPr>
          <w:rFonts w:ascii="Times New Roman" w:hAnsi="Times New Roman" w:cs="Times New Roman"/>
          <w:sz w:val="24"/>
          <w:szCs w:val="24"/>
        </w:rPr>
        <w:t xml:space="preserve">, 1997, Volatilities of Different Time Resolutions – Analyzing the Dynamics of Market Components, </w:t>
      </w:r>
      <w:r w:rsidRPr="00CB2DE6">
        <w:rPr>
          <w:rFonts w:ascii="Times New Roman" w:hAnsi="Times New Roman" w:cs="Times New Roman"/>
          <w:i/>
          <w:sz w:val="24"/>
          <w:szCs w:val="24"/>
        </w:rPr>
        <w:t>Journal of Empirical Finance</w:t>
      </w:r>
      <w:r w:rsidRPr="00CB2DE6">
        <w:rPr>
          <w:rFonts w:ascii="Times New Roman" w:hAnsi="Times New Roman" w:cs="Times New Roman"/>
          <w:sz w:val="24"/>
          <w:szCs w:val="24"/>
        </w:rPr>
        <w:t xml:space="preserve"> 4, 213–239.</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Nelson, Daniel B., 1992, Filtering and Forecasting with Misspecified ARCH Models I: Getting the Right Variance with the Wrong Model, </w:t>
      </w:r>
      <w:r w:rsidRPr="00CB2DE6">
        <w:rPr>
          <w:rFonts w:ascii="Times New Roman" w:hAnsi="Times New Roman" w:cs="Times New Roman"/>
          <w:i/>
          <w:sz w:val="24"/>
          <w:szCs w:val="24"/>
        </w:rPr>
        <w:t xml:space="preserve">Journal of Econometrics </w:t>
      </w:r>
      <w:r w:rsidRPr="00CB2DE6">
        <w:rPr>
          <w:rFonts w:ascii="Times New Roman" w:hAnsi="Times New Roman" w:cs="Times New Roman"/>
          <w:sz w:val="24"/>
          <w:szCs w:val="24"/>
        </w:rPr>
        <w:t>52, 61−90.</w:t>
      </w:r>
    </w:p>
    <w:p w:rsidR="00252D3E" w:rsidRPr="00CB2DE6" w:rsidRDefault="00252D3E" w:rsidP="0025297A">
      <w:pPr>
        <w:spacing w:after="80" w:line="360" w:lineRule="auto"/>
        <w:ind w:left="720" w:hanging="720"/>
        <w:jc w:val="both"/>
        <w:rPr>
          <w:rFonts w:ascii="Times New Roman" w:hAnsi="Times New Roman" w:cs="Times New Roman"/>
          <w:sz w:val="24"/>
          <w:szCs w:val="24"/>
          <w:highlight w:val="yellow"/>
        </w:rPr>
      </w:pPr>
      <w:r w:rsidRPr="00CB2DE6">
        <w:rPr>
          <w:rFonts w:ascii="Times New Roman" w:hAnsi="Times New Roman" w:cs="Times New Roman"/>
          <w:sz w:val="24"/>
          <w:szCs w:val="24"/>
        </w:rPr>
        <w:t xml:space="preserve">Newey, Whitney K., and Kenneth D. West, 1987, A Simple, Positive Semi-definite, Heteroskedasticity and Autocorrelation Consistent Covariance Matrix, </w:t>
      </w:r>
      <w:r w:rsidRPr="00CB2DE6">
        <w:rPr>
          <w:rFonts w:ascii="Times New Roman" w:hAnsi="Times New Roman" w:cs="Times New Roman"/>
          <w:i/>
          <w:sz w:val="24"/>
          <w:szCs w:val="24"/>
        </w:rPr>
        <w:t xml:space="preserve">Econometrica </w:t>
      </w:r>
      <w:r w:rsidRPr="00CB2DE6">
        <w:rPr>
          <w:rFonts w:ascii="Times New Roman" w:hAnsi="Times New Roman" w:cs="Times New Roman"/>
          <w:sz w:val="24"/>
          <w:szCs w:val="24"/>
        </w:rPr>
        <w:t>55, 703−708.</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Patton, Andrew J., 2011, Volatility Forecast Comparison Using Imperfect Volatility Proxies, </w:t>
      </w:r>
      <w:r w:rsidRPr="00CB2DE6">
        <w:rPr>
          <w:rFonts w:ascii="Times New Roman" w:hAnsi="Times New Roman" w:cs="Times New Roman"/>
          <w:i/>
          <w:sz w:val="24"/>
          <w:szCs w:val="24"/>
        </w:rPr>
        <w:t xml:space="preserve">Journal of Econometrics </w:t>
      </w:r>
      <w:r w:rsidRPr="00CB2DE6">
        <w:rPr>
          <w:rFonts w:ascii="Times New Roman" w:hAnsi="Times New Roman" w:cs="Times New Roman"/>
          <w:sz w:val="24"/>
          <w:szCs w:val="24"/>
        </w:rPr>
        <w:t>160, 246−256.</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Patton, Andrew J., and Allan Timmermann, 2010, Monotonicity in Asset Returns: New Tests with Applications to the Term Structure, the CAPM, and Portfolio Sorts, </w:t>
      </w:r>
      <w:r w:rsidRPr="00CB2DE6">
        <w:rPr>
          <w:rFonts w:ascii="Times New Roman" w:hAnsi="Times New Roman" w:cs="Times New Roman"/>
          <w:i/>
          <w:sz w:val="24"/>
          <w:szCs w:val="24"/>
        </w:rPr>
        <w:t xml:space="preserve">Journal of Financial Economics </w:t>
      </w:r>
      <w:r w:rsidRPr="00CB2DE6">
        <w:rPr>
          <w:rFonts w:ascii="Times New Roman" w:hAnsi="Times New Roman" w:cs="Times New Roman"/>
          <w:sz w:val="24"/>
          <w:szCs w:val="24"/>
        </w:rPr>
        <w:t>98, 605−625.</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Sarno, Lucio, Giorgio Valente, and Hyginus Leon, 2006, Nonlinearity in Deviations from Uncovered Interest Parity: An Explanation of the Forward Bias Puzzle, </w:t>
      </w:r>
      <w:r w:rsidRPr="00CB2DE6">
        <w:rPr>
          <w:rFonts w:ascii="Times New Roman" w:hAnsi="Times New Roman" w:cs="Times New Roman"/>
          <w:i/>
          <w:sz w:val="24"/>
          <w:szCs w:val="24"/>
        </w:rPr>
        <w:t xml:space="preserve">Review of Finance </w:t>
      </w:r>
      <w:r w:rsidRPr="00CB2DE6">
        <w:rPr>
          <w:rFonts w:ascii="Times New Roman" w:hAnsi="Times New Roman" w:cs="Times New Roman"/>
          <w:sz w:val="24"/>
          <w:szCs w:val="24"/>
        </w:rPr>
        <w:t xml:space="preserve">10, 443−482. </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Shanken, Jay, 1992, On the Estimation of Beta−Pricing Models, </w:t>
      </w:r>
      <w:r w:rsidRPr="00CB2DE6">
        <w:rPr>
          <w:rFonts w:ascii="Times New Roman" w:hAnsi="Times New Roman" w:cs="Times New Roman"/>
          <w:i/>
          <w:sz w:val="24"/>
          <w:szCs w:val="24"/>
        </w:rPr>
        <w:t xml:space="preserve">Review of Financial Studies </w:t>
      </w:r>
      <w:r w:rsidRPr="00CB2DE6">
        <w:rPr>
          <w:rFonts w:ascii="Times New Roman" w:hAnsi="Times New Roman" w:cs="Times New Roman"/>
          <w:sz w:val="24"/>
          <w:szCs w:val="24"/>
        </w:rPr>
        <w:t>5, 1−33.</w:t>
      </w:r>
    </w:p>
    <w:p w:rsidR="00252D3E" w:rsidRPr="00CB2DE6" w:rsidRDefault="00252D3E" w:rsidP="0025297A">
      <w:pPr>
        <w:spacing w:after="80" w:line="360" w:lineRule="auto"/>
        <w:ind w:left="720" w:hanging="720"/>
        <w:jc w:val="both"/>
        <w:rPr>
          <w:rFonts w:ascii="Times New Roman" w:hAnsi="Times New Roman" w:cs="Times New Roman"/>
          <w:sz w:val="24"/>
          <w:szCs w:val="24"/>
        </w:rPr>
      </w:pPr>
      <w:r w:rsidRPr="00CB2DE6">
        <w:rPr>
          <w:rFonts w:ascii="Times New Roman" w:hAnsi="Times New Roman" w:cs="Times New Roman"/>
          <w:sz w:val="24"/>
          <w:szCs w:val="24"/>
        </w:rPr>
        <w:t xml:space="preserve">Verdelhan, Adrien, 2013, The Share of Systematic Variation in Bilateral Exchange Rates, Working Paper, MIT Sloan School of Management. </w:t>
      </w:r>
    </w:p>
    <w:p w:rsidR="00252D3E" w:rsidRPr="00CB2DE6" w:rsidRDefault="00F07D4A" w:rsidP="00E51165">
      <w:pPr>
        <w:spacing w:after="80" w:line="360" w:lineRule="auto"/>
        <w:ind w:left="720" w:hanging="720"/>
        <w:jc w:val="both"/>
        <w:rPr>
          <w:rFonts w:ascii="Times New Roman" w:hAnsi="Times New Roman" w:cs="Times New Roman"/>
          <w:b/>
          <w:sz w:val="24"/>
          <w:szCs w:val="24"/>
        </w:rPr>
      </w:pPr>
      <w:r w:rsidRPr="00CB2DE6">
        <w:rPr>
          <w:rFonts w:ascii="Times New Roman" w:hAnsi="Times New Roman" w:cs="Times New Roman"/>
          <w:sz w:val="24"/>
          <w:szCs w:val="24"/>
        </w:rPr>
        <w:t>Wrampelmeyer, Jan, 2012, The Joint Dynamics of Hedge Fund Returns,</w:t>
      </w:r>
      <w:r w:rsidR="003A1485" w:rsidRPr="00CB2DE6">
        <w:rPr>
          <w:rFonts w:ascii="Times New Roman" w:hAnsi="Times New Roman" w:cs="Times New Roman"/>
          <w:sz w:val="24"/>
          <w:szCs w:val="24"/>
        </w:rPr>
        <w:t xml:space="preserve"> </w:t>
      </w:r>
      <w:r w:rsidRPr="00CB2DE6">
        <w:rPr>
          <w:rFonts w:ascii="Times New Roman" w:hAnsi="Times New Roman" w:cs="Times New Roman"/>
          <w:sz w:val="24"/>
          <w:szCs w:val="24"/>
        </w:rPr>
        <w:t>Illiquidity, and</w:t>
      </w:r>
      <w:r w:rsidR="003A1485" w:rsidRPr="00CB2DE6">
        <w:rPr>
          <w:rFonts w:ascii="Times New Roman" w:hAnsi="Times New Roman" w:cs="Times New Roman"/>
          <w:sz w:val="24"/>
          <w:szCs w:val="24"/>
        </w:rPr>
        <w:t xml:space="preserve"> </w:t>
      </w:r>
      <w:r w:rsidRPr="00CB2DE6">
        <w:rPr>
          <w:rFonts w:ascii="Times New Roman" w:hAnsi="Times New Roman" w:cs="Times New Roman"/>
          <w:sz w:val="24"/>
          <w:szCs w:val="24"/>
        </w:rPr>
        <w:t xml:space="preserve">Volatility, </w:t>
      </w:r>
      <w:r w:rsidR="003A1485" w:rsidRPr="00CB2DE6">
        <w:rPr>
          <w:rFonts w:ascii="Times New Roman" w:hAnsi="Times New Roman" w:cs="Times New Roman"/>
          <w:i/>
          <w:sz w:val="24"/>
          <w:szCs w:val="24"/>
        </w:rPr>
        <w:t xml:space="preserve">Journal of Alternative Investments </w:t>
      </w:r>
      <w:r w:rsidR="003A1485" w:rsidRPr="00CB2DE6">
        <w:rPr>
          <w:rFonts w:ascii="Times New Roman" w:hAnsi="Times New Roman" w:cs="Times New Roman"/>
          <w:sz w:val="24"/>
          <w:szCs w:val="24"/>
        </w:rPr>
        <w:t>15, 43</w:t>
      </w:r>
      <w:r w:rsidRPr="00CB2DE6">
        <w:rPr>
          <w:rFonts w:ascii="Times New Roman" w:hAnsi="Times New Roman" w:cs="Times New Roman"/>
          <w:sz w:val="24"/>
          <w:szCs w:val="24"/>
        </w:rPr>
        <w:t>−</w:t>
      </w:r>
      <w:r w:rsidR="003A1485" w:rsidRPr="00CB2DE6">
        <w:rPr>
          <w:rFonts w:ascii="Times New Roman" w:hAnsi="Times New Roman" w:cs="Times New Roman"/>
          <w:sz w:val="24"/>
          <w:szCs w:val="24"/>
        </w:rPr>
        <w:t>67</w:t>
      </w:r>
      <w:r w:rsidRPr="00CB2DE6">
        <w:rPr>
          <w:rFonts w:ascii="Times New Roman" w:hAnsi="Times New Roman" w:cs="Times New Roman"/>
          <w:sz w:val="24"/>
          <w:szCs w:val="24"/>
        </w:rPr>
        <w:t>.</w:t>
      </w:r>
      <w:r w:rsidR="00252D3E" w:rsidRPr="00CB2DE6">
        <w:rPr>
          <w:rFonts w:ascii="Times New Roman" w:hAnsi="Times New Roman" w:cs="Times New Roman"/>
          <w:b/>
          <w:sz w:val="24"/>
          <w:szCs w:val="24"/>
        </w:rPr>
        <w:br w:type="page"/>
      </w:r>
    </w:p>
    <w:p w:rsidR="00AF5360" w:rsidRPr="00CB2DE6" w:rsidRDefault="00BB0085" w:rsidP="00A67A5D">
      <w:pPr>
        <w:jc w:val="center"/>
        <w:rPr>
          <w:rFonts w:ascii="Times New Roman" w:hAnsi="Times New Roman" w:cs="Times New Roman"/>
          <w:b/>
          <w:sz w:val="24"/>
          <w:szCs w:val="24"/>
        </w:rPr>
      </w:pPr>
      <w:r w:rsidRPr="00CB2DE6">
        <w:rPr>
          <w:rFonts w:ascii="Times New Roman" w:hAnsi="Times New Roman" w:cs="Times New Roman"/>
          <w:b/>
          <w:sz w:val="24"/>
          <w:szCs w:val="24"/>
        </w:rPr>
        <w:lastRenderedPageBreak/>
        <w:t xml:space="preserve">Table </w:t>
      </w:r>
      <w:r w:rsidR="00B42ED3" w:rsidRPr="00CB2DE6">
        <w:rPr>
          <w:rFonts w:ascii="Times New Roman" w:hAnsi="Times New Roman" w:cs="Times New Roman"/>
          <w:b/>
          <w:sz w:val="24"/>
          <w:szCs w:val="24"/>
        </w:rPr>
        <w:t>1</w:t>
      </w:r>
    </w:p>
    <w:p w:rsidR="009F7649" w:rsidRPr="00CB2DE6" w:rsidRDefault="009F7649" w:rsidP="00A67A5D">
      <w:pPr>
        <w:jc w:val="center"/>
        <w:rPr>
          <w:rFonts w:ascii="Times New Roman" w:hAnsi="Times New Roman" w:cs="Times New Roman"/>
          <w:b/>
          <w:sz w:val="24"/>
          <w:szCs w:val="24"/>
        </w:rPr>
      </w:pPr>
      <w:r w:rsidRPr="00CB2DE6">
        <w:rPr>
          <w:rFonts w:ascii="Times New Roman" w:hAnsi="Times New Roman" w:cs="Times New Roman"/>
          <w:b/>
          <w:sz w:val="24"/>
          <w:szCs w:val="24"/>
        </w:rPr>
        <w:t xml:space="preserve">Descriptive Statistics </w:t>
      </w:r>
      <w:r w:rsidR="004B6321" w:rsidRPr="00CB2DE6">
        <w:rPr>
          <w:rFonts w:ascii="Times New Roman" w:hAnsi="Times New Roman" w:cs="Times New Roman"/>
          <w:b/>
          <w:sz w:val="24"/>
          <w:szCs w:val="24"/>
        </w:rPr>
        <w:t xml:space="preserve">of </w:t>
      </w:r>
      <w:r w:rsidRPr="00CB2DE6">
        <w:rPr>
          <w:rFonts w:ascii="Times New Roman" w:hAnsi="Times New Roman" w:cs="Times New Roman"/>
          <w:b/>
          <w:sz w:val="24"/>
          <w:szCs w:val="24"/>
        </w:rPr>
        <w:t>C</w:t>
      </w:r>
      <w:r w:rsidR="00432D48" w:rsidRPr="00CB2DE6">
        <w:rPr>
          <w:rFonts w:ascii="Times New Roman" w:hAnsi="Times New Roman" w:cs="Times New Roman"/>
          <w:b/>
          <w:sz w:val="24"/>
          <w:szCs w:val="24"/>
        </w:rPr>
        <w:t>urrency</w:t>
      </w:r>
      <w:r w:rsidR="00DA056D" w:rsidRPr="00CB2DE6">
        <w:rPr>
          <w:rFonts w:ascii="Times New Roman" w:hAnsi="Times New Roman" w:cs="Times New Roman"/>
          <w:b/>
          <w:sz w:val="24"/>
          <w:szCs w:val="24"/>
        </w:rPr>
        <w:t xml:space="preserve"> </w:t>
      </w:r>
      <w:r w:rsidRPr="00CB2DE6">
        <w:rPr>
          <w:rFonts w:ascii="Times New Roman" w:hAnsi="Times New Roman" w:cs="Times New Roman"/>
          <w:b/>
          <w:sz w:val="24"/>
          <w:szCs w:val="24"/>
        </w:rPr>
        <w:t>Portfolios</w:t>
      </w:r>
      <w:r w:rsidR="00B46A7F" w:rsidRPr="00CB2DE6">
        <w:rPr>
          <w:rFonts w:ascii="Times New Roman" w:hAnsi="Times New Roman" w:cs="Times New Roman"/>
          <w:b/>
          <w:sz w:val="24"/>
          <w:szCs w:val="24"/>
        </w:rPr>
        <w:t>:</w:t>
      </w:r>
      <w:r w:rsidRPr="00CB2DE6">
        <w:rPr>
          <w:rFonts w:ascii="Times New Roman" w:hAnsi="Times New Roman" w:cs="Times New Roman"/>
          <w:b/>
          <w:sz w:val="24"/>
          <w:szCs w:val="24"/>
        </w:rPr>
        <w:t xml:space="preserve"> All Countries</w:t>
      </w:r>
    </w:p>
    <w:p w:rsidR="009A04B1" w:rsidRPr="00CB2DE6" w:rsidRDefault="00AC5965" w:rsidP="00443EE8">
      <w:pPr>
        <w:spacing w:before="180" w:after="180"/>
        <w:jc w:val="both"/>
        <w:rPr>
          <w:rFonts w:ascii="Times New Roman" w:hAnsi="Times New Roman" w:cs="Times New Roman"/>
          <w:sz w:val="20"/>
          <w:szCs w:val="20"/>
        </w:rPr>
      </w:pPr>
      <w:r w:rsidRPr="00CB2DE6">
        <w:rPr>
          <w:rFonts w:ascii="Times New Roman" w:hAnsi="Times New Roman" w:cs="Times New Roman"/>
          <w:sz w:val="20"/>
          <w:szCs w:val="20"/>
        </w:rPr>
        <w:t xml:space="preserve">The table presents </w:t>
      </w:r>
      <w:r w:rsidR="009A04B1" w:rsidRPr="00CB2DE6">
        <w:rPr>
          <w:rFonts w:ascii="Times New Roman" w:hAnsi="Times New Roman" w:cs="Times New Roman"/>
          <w:sz w:val="20"/>
          <w:szCs w:val="20"/>
        </w:rPr>
        <w:t>annualized mean, median, standard devi</w:t>
      </w:r>
      <w:r w:rsidR="00FC477E" w:rsidRPr="00CB2DE6">
        <w:rPr>
          <w:rFonts w:ascii="Times New Roman" w:hAnsi="Times New Roman" w:cs="Times New Roman"/>
          <w:sz w:val="20"/>
          <w:szCs w:val="20"/>
        </w:rPr>
        <w:t>ation, and Sharpe r</w:t>
      </w:r>
      <w:r w:rsidR="002F1166" w:rsidRPr="00CB2DE6">
        <w:rPr>
          <w:rFonts w:ascii="Times New Roman" w:hAnsi="Times New Roman" w:cs="Times New Roman"/>
          <w:sz w:val="20"/>
          <w:szCs w:val="20"/>
        </w:rPr>
        <w:t xml:space="preserve">atio for </w:t>
      </w:r>
      <w:r w:rsidR="00576404" w:rsidRPr="00CB2DE6">
        <w:rPr>
          <w:rFonts w:ascii="Times New Roman" w:hAnsi="Times New Roman" w:cs="Times New Roman"/>
          <w:sz w:val="20"/>
          <w:szCs w:val="20"/>
        </w:rPr>
        <w:t>excess return</w:t>
      </w:r>
      <w:r w:rsidR="00B42ED3" w:rsidRPr="00CB2DE6">
        <w:rPr>
          <w:rFonts w:ascii="Times New Roman" w:hAnsi="Times New Roman" w:cs="Times New Roman"/>
          <w:sz w:val="20"/>
          <w:szCs w:val="20"/>
        </w:rPr>
        <w:t>s</w:t>
      </w:r>
      <w:r w:rsidR="006722F9" w:rsidRPr="00CB2DE6">
        <w:rPr>
          <w:rFonts w:ascii="Times New Roman" w:hAnsi="Times New Roman" w:cs="Times New Roman"/>
          <w:sz w:val="20"/>
          <w:szCs w:val="20"/>
        </w:rPr>
        <w:t xml:space="preserve"> of </w:t>
      </w:r>
      <w:r w:rsidR="00493B9E" w:rsidRPr="00CB2DE6">
        <w:rPr>
          <w:rFonts w:ascii="Times New Roman" w:hAnsi="Times New Roman" w:cs="Times New Roman"/>
          <w:sz w:val="20"/>
          <w:szCs w:val="20"/>
        </w:rPr>
        <w:t xml:space="preserve">each </w:t>
      </w:r>
      <w:r w:rsidR="00432D48" w:rsidRPr="00CB2DE6">
        <w:rPr>
          <w:rFonts w:ascii="Times New Roman" w:hAnsi="Times New Roman" w:cs="Times New Roman"/>
          <w:sz w:val="20"/>
          <w:szCs w:val="20"/>
        </w:rPr>
        <w:t xml:space="preserve">currency </w:t>
      </w:r>
      <w:r w:rsidR="009A04B1" w:rsidRPr="00CB2DE6">
        <w:rPr>
          <w:rFonts w:ascii="Times New Roman" w:hAnsi="Times New Roman" w:cs="Times New Roman"/>
          <w:sz w:val="20"/>
          <w:szCs w:val="20"/>
        </w:rPr>
        <w:t>portfolio</w:t>
      </w:r>
      <w:r w:rsidR="007033EA" w:rsidRPr="00CB2DE6">
        <w:rPr>
          <w:rFonts w:ascii="Times New Roman" w:hAnsi="Times New Roman" w:cs="Times New Roman"/>
          <w:sz w:val="20"/>
          <w:szCs w:val="20"/>
        </w:rPr>
        <w:t xml:space="preserve">. </w:t>
      </w:r>
      <w:r w:rsidR="00493B9E" w:rsidRPr="00CB2DE6">
        <w:rPr>
          <w:rFonts w:ascii="Times New Roman" w:hAnsi="Times New Roman" w:cs="Times New Roman"/>
          <w:sz w:val="20"/>
          <w:szCs w:val="20"/>
        </w:rPr>
        <w:t xml:space="preserve">The portfolios </w:t>
      </w:r>
      <w:r w:rsidR="00FA6519" w:rsidRPr="00CB2DE6">
        <w:rPr>
          <w:rFonts w:ascii="Times New Roman" w:hAnsi="Times New Roman" w:cs="Times New Roman"/>
          <w:sz w:val="20"/>
          <w:szCs w:val="20"/>
        </w:rPr>
        <w:t xml:space="preserve">are </w:t>
      </w:r>
      <w:r w:rsidR="002834F2" w:rsidRPr="00CB2DE6">
        <w:rPr>
          <w:rFonts w:ascii="Times New Roman" w:hAnsi="Times New Roman" w:cs="Times New Roman"/>
          <w:sz w:val="20"/>
          <w:szCs w:val="20"/>
        </w:rPr>
        <w:t>constructed using</w:t>
      </w:r>
      <w:r w:rsidR="00013F41" w:rsidRPr="00CB2DE6">
        <w:rPr>
          <w:rFonts w:ascii="Times New Roman" w:hAnsi="Times New Roman" w:cs="Times New Roman"/>
          <w:sz w:val="20"/>
          <w:szCs w:val="20"/>
        </w:rPr>
        <w:t xml:space="preserve"> </w:t>
      </w:r>
      <w:r w:rsidR="00C97AE6" w:rsidRPr="00CB2DE6">
        <w:rPr>
          <w:rFonts w:ascii="Times New Roman" w:hAnsi="Times New Roman" w:cs="Times New Roman"/>
          <w:sz w:val="20"/>
          <w:szCs w:val="20"/>
        </w:rPr>
        <w:t>all</w:t>
      </w:r>
      <w:r w:rsidR="00870E1E" w:rsidRPr="00CB2DE6">
        <w:rPr>
          <w:rFonts w:ascii="Times New Roman" w:hAnsi="Times New Roman" w:cs="Times New Roman"/>
          <w:sz w:val="20"/>
          <w:szCs w:val="20"/>
        </w:rPr>
        <w:t xml:space="preserve"> </w:t>
      </w:r>
      <w:r w:rsidR="00C97AE6" w:rsidRPr="00CB2DE6">
        <w:rPr>
          <w:rFonts w:ascii="Times New Roman" w:hAnsi="Times New Roman" w:cs="Times New Roman"/>
          <w:sz w:val="20"/>
          <w:szCs w:val="20"/>
        </w:rPr>
        <w:t xml:space="preserve">country sample </w:t>
      </w:r>
      <w:r w:rsidR="009A04B1" w:rsidRPr="00CB2DE6">
        <w:rPr>
          <w:rFonts w:ascii="Times New Roman" w:hAnsi="Times New Roman" w:cs="Times New Roman"/>
          <w:sz w:val="20"/>
          <w:szCs w:val="20"/>
        </w:rPr>
        <w:t xml:space="preserve">currencies </w:t>
      </w:r>
      <w:r w:rsidR="00990A63" w:rsidRPr="00CB2DE6">
        <w:rPr>
          <w:rFonts w:ascii="Times New Roman" w:hAnsi="Times New Roman" w:cs="Times New Roman"/>
          <w:sz w:val="20"/>
          <w:szCs w:val="20"/>
        </w:rPr>
        <w:t>sorted into five groups at the end of each month</w:t>
      </w:r>
      <w:r w:rsidR="002C4F83" w:rsidRPr="00CB2DE6">
        <w:rPr>
          <w:rFonts w:ascii="Times New Roman" w:hAnsi="Times New Roman" w:cs="Times New Roman"/>
          <w:sz w:val="20"/>
          <w:szCs w:val="20"/>
        </w:rPr>
        <w:t xml:space="preserve"> </w:t>
      </w:r>
      <w:r w:rsidR="002C4F83" w:rsidRPr="00CB2DE6">
        <w:rPr>
          <w:rFonts w:ascii="Times New Roman" w:hAnsi="Times New Roman" w:cs="Times New Roman"/>
          <w:i/>
          <w:sz w:val="20"/>
          <w:szCs w:val="20"/>
        </w:rPr>
        <w:t>t</w:t>
      </w:r>
      <w:r w:rsidR="00990A63" w:rsidRPr="00CB2DE6">
        <w:rPr>
          <w:rFonts w:ascii="Times New Roman" w:hAnsi="Times New Roman" w:cs="Times New Roman"/>
          <w:sz w:val="20"/>
          <w:szCs w:val="20"/>
        </w:rPr>
        <w:t xml:space="preserve"> </w:t>
      </w:r>
      <w:r w:rsidR="00AE4E3B" w:rsidRPr="00CB2DE6">
        <w:rPr>
          <w:rFonts w:ascii="Times New Roman" w:hAnsi="Times New Roman" w:cs="Times New Roman"/>
          <w:sz w:val="20"/>
          <w:szCs w:val="20"/>
        </w:rPr>
        <w:t xml:space="preserve">based on their </w:t>
      </w:r>
      <w:r w:rsidR="007054DD" w:rsidRPr="00CB2DE6">
        <w:rPr>
          <w:rFonts w:ascii="Times New Roman" w:hAnsi="Times New Roman" w:cs="Times New Roman"/>
          <w:sz w:val="20"/>
          <w:szCs w:val="20"/>
        </w:rPr>
        <w:t>one</w:t>
      </w:r>
      <w:r w:rsidR="00AE4E3B" w:rsidRPr="00CB2DE6">
        <w:rPr>
          <w:rFonts w:ascii="Times New Roman" w:hAnsi="Times New Roman" w:cs="Times New Roman"/>
          <w:sz w:val="20"/>
          <w:szCs w:val="20"/>
        </w:rPr>
        <w:t>-month forward discount</w:t>
      </w:r>
      <w:r w:rsidR="000D45A8" w:rsidRPr="00CB2DE6">
        <w:rPr>
          <w:rFonts w:ascii="Times New Roman" w:hAnsi="Times New Roman" w:cs="Times New Roman"/>
          <w:sz w:val="20"/>
          <w:szCs w:val="20"/>
        </w:rPr>
        <w:t>s</w:t>
      </w:r>
      <w:r w:rsidR="00AE4E3B" w:rsidRPr="00CB2DE6">
        <w:rPr>
          <w:rFonts w:ascii="Times New Roman" w:hAnsi="Times New Roman" w:cs="Times New Roman"/>
          <w:sz w:val="20"/>
          <w:szCs w:val="20"/>
        </w:rPr>
        <w:t xml:space="preserve"> at the end of </w:t>
      </w:r>
      <w:r w:rsidR="008F563E" w:rsidRPr="00CB2DE6">
        <w:rPr>
          <w:rFonts w:ascii="Times New Roman" w:hAnsi="Times New Roman" w:cs="Times New Roman"/>
          <w:sz w:val="20"/>
          <w:szCs w:val="20"/>
        </w:rPr>
        <w:t>month</w:t>
      </w:r>
      <w:r w:rsidR="002C4F83" w:rsidRPr="00CB2DE6">
        <w:rPr>
          <w:rFonts w:ascii="Times New Roman" w:hAnsi="Times New Roman" w:cs="Times New Roman"/>
          <w:sz w:val="20"/>
          <w:szCs w:val="20"/>
        </w:rPr>
        <w:t xml:space="preserve"> </w:t>
      </w:r>
      <w:r w:rsidR="002C4F83" w:rsidRPr="00CB2DE6">
        <w:rPr>
          <w:rFonts w:ascii="Times New Roman" w:hAnsi="Times New Roman" w:cs="Times New Roman"/>
          <w:i/>
          <w:sz w:val="20"/>
          <w:szCs w:val="20"/>
        </w:rPr>
        <w:t>t</w:t>
      </w:r>
      <w:r w:rsidR="002834F2" w:rsidRPr="00CB2DE6">
        <w:rPr>
          <w:rFonts w:ascii="Times New Roman" w:hAnsi="Times New Roman" w:cs="Times New Roman"/>
          <w:sz w:val="20"/>
          <w:szCs w:val="20"/>
        </w:rPr>
        <w:t xml:space="preserve">. Portfolio 1 </w:t>
      </w:r>
      <w:r w:rsidR="00EE5A37" w:rsidRPr="00CB2DE6">
        <w:rPr>
          <w:rFonts w:ascii="Times New Roman" w:hAnsi="Times New Roman" w:cs="Times New Roman"/>
          <w:sz w:val="20"/>
          <w:szCs w:val="20"/>
        </w:rPr>
        <w:t xml:space="preserve">includes </w:t>
      </w:r>
      <w:r w:rsidR="002834F2" w:rsidRPr="00CB2DE6">
        <w:rPr>
          <w:rFonts w:ascii="Times New Roman" w:hAnsi="Times New Roman" w:cs="Times New Roman"/>
          <w:sz w:val="20"/>
          <w:szCs w:val="20"/>
        </w:rPr>
        <w:t xml:space="preserve">20% of currencies with the </w:t>
      </w:r>
      <w:r w:rsidR="008C7E9D" w:rsidRPr="00CB2DE6">
        <w:rPr>
          <w:rFonts w:ascii="Times New Roman" w:hAnsi="Times New Roman" w:cs="Times New Roman"/>
          <w:sz w:val="20"/>
          <w:szCs w:val="20"/>
        </w:rPr>
        <w:t xml:space="preserve">lowest </w:t>
      </w:r>
      <w:r w:rsidR="002834F2" w:rsidRPr="00CB2DE6">
        <w:rPr>
          <w:rFonts w:ascii="Times New Roman" w:hAnsi="Times New Roman" w:cs="Times New Roman"/>
          <w:sz w:val="20"/>
          <w:szCs w:val="20"/>
        </w:rPr>
        <w:t>forward discounts</w:t>
      </w:r>
      <w:r w:rsidR="00880E18" w:rsidRPr="00CB2DE6">
        <w:rPr>
          <w:rFonts w:ascii="Times New Roman" w:hAnsi="Times New Roman" w:cs="Times New Roman"/>
          <w:sz w:val="20"/>
          <w:szCs w:val="20"/>
        </w:rPr>
        <w:t>,</w:t>
      </w:r>
      <w:r w:rsidR="002834F2" w:rsidRPr="00CB2DE6">
        <w:rPr>
          <w:rFonts w:ascii="Times New Roman" w:hAnsi="Times New Roman" w:cs="Times New Roman"/>
          <w:sz w:val="20"/>
          <w:szCs w:val="20"/>
        </w:rPr>
        <w:t xml:space="preserve"> while portfolio 5 </w:t>
      </w:r>
      <w:r w:rsidR="00EE5A37" w:rsidRPr="00CB2DE6">
        <w:rPr>
          <w:rFonts w:ascii="Times New Roman" w:hAnsi="Times New Roman" w:cs="Times New Roman"/>
          <w:sz w:val="20"/>
          <w:szCs w:val="20"/>
        </w:rPr>
        <w:t xml:space="preserve">includes </w:t>
      </w:r>
      <w:r w:rsidR="002834F2" w:rsidRPr="00CB2DE6">
        <w:rPr>
          <w:rFonts w:ascii="Times New Roman" w:hAnsi="Times New Roman" w:cs="Times New Roman"/>
          <w:sz w:val="20"/>
          <w:szCs w:val="20"/>
        </w:rPr>
        <w:t xml:space="preserve">20% of currencies with the </w:t>
      </w:r>
      <w:r w:rsidR="008C7E9D" w:rsidRPr="00CB2DE6">
        <w:rPr>
          <w:rFonts w:ascii="Times New Roman" w:hAnsi="Times New Roman" w:cs="Times New Roman"/>
          <w:sz w:val="20"/>
          <w:szCs w:val="20"/>
        </w:rPr>
        <w:t xml:space="preserve">highest </w:t>
      </w:r>
      <w:r w:rsidR="002834F2" w:rsidRPr="00CB2DE6">
        <w:rPr>
          <w:rFonts w:ascii="Times New Roman" w:hAnsi="Times New Roman" w:cs="Times New Roman"/>
          <w:sz w:val="20"/>
          <w:szCs w:val="20"/>
        </w:rPr>
        <w:t>forward discounts</w:t>
      </w:r>
      <w:r w:rsidR="00683410" w:rsidRPr="00CB2DE6">
        <w:rPr>
          <w:rFonts w:ascii="Times New Roman" w:hAnsi="Times New Roman" w:cs="Times New Roman"/>
          <w:sz w:val="20"/>
          <w:szCs w:val="20"/>
        </w:rPr>
        <w:t xml:space="preserve">. </w:t>
      </w:r>
      <w:r w:rsidR="002834F2" w:rsidRPr="00CB2DE6">
        <w:rPr>
          <w:rFonts w:ascii="Times New Roman" w:hAnsi="Times New Roman" w:cs="Times New Roman"/>
          <w:sz w:val="20"/>
          <w:szCs w:val="20"/>
        </w:rPr>
        <w:t>Av</w:t>
      </w:r>
      <w:r w:rsidR="00F8514C" w:rsidRPr="00CB2DE6">
        <w:rPr>
          <w:rFonts w:ascii="Times New Roman" w:hAnsi="Times New Roman" w:cs="Times New Roman"/>
          <w:sz w:val="20"/>
          <w:szCs w:val="20"/>
        </w:rPr>
        <w:t>g.</w:t>
      </w:r>
      <w:r w:rsidR="00683410" w:rsidRPr="00CB2DE6">
        <w:rPr>
          <w:rFonts w:ascii="Times New Roman" w:hAnsi="Times New Roman" w:cs="Times New Roman"/>
          <w:sz w:val="20"/>
          <w:szCs w:val="20"/>
        </w:rPr>
        <w:t xml:space="preserve"> </w:t>
      </w:r>
      <w:r w:rsidR="002834F2" w:rsidRPr="00CB2DE6">
        <w:rPr>
          <w:rFonts w:ascii="Times New Roman" w:hAnsi="Times New Roman" w:cs="Times New Roman"/>
          <w:sz w:val="20"/>
          <w:szCs w:val="20"/>
        </w:rPr>
        <w:t>denotes th</w:t>
      </w:r>
      <w:r w:rsidR="007033EA" w:rsidRPr="00CB2DE6">
        <w:rPr>
          <w:rFonts w:ascii="Times New Roman" w:hAnsi="Times New Roman" w:cs="Times New Roman"/>
          <w:sz w:val="20"/>
          <w:szCs w:val="20"/>
        </w:rPr>
        <w:t xml:space="preserve">e </w:t>
      </w:r>
      <w:r w:rsidR="002834F2" w:rsidRPr="00CB2DE6">
        <w:rPr>
          <w:rFonts w:ascii="Times New Roman" w:hAnsi="Times New Roman" w:cs="Times New Roman"/>
          <w:sz w:val="20"/>
          <w:szCs w:val="20"/>
        </w:rPr>
        <w:t>average excess return of the five currency portfolios</w:t>
      </w:r>
      <w:r w:rsidR="00880E18" w:rsidRPr="00CB2DE6">
        <w:rPr>
          <w:rFonts w:ascii="Times New Roman" w:hAnsi="Times New Roman" w:cs="Times New Roman"/>
          <w:sz w:val="20"/>
          <w:szCs w:val="20"/>
        </w:rPr>
        <w:t>,</w:t>
      </w:r>
      <w:r w:rsidR="002834F2" w:rsidRPr="00CB2DE6">
        <w:rPr>
          <w:rFonts w:ascii="Times New Roman" w:hAnsi="Times New Roman" w:cs="Times New Roman"/>
          <w:sz w:val="20"/>
          <w:szCs w:val="20"/>
        </w:rPr>
        <w:t xml:space="preserve"> while H</w:t>
      </w:r>
      <w:r w:rsidR="004F545B" w:rsidRPr="00CB2DE6">
        <w:rPr>
          <w:rFonts w:ascii="Times New Roman" w:hAnsi="Times New Roman" w:cs="Times New Roman"/>
          <w:sz w:val="20"/>
          <w:szCs w:val="20"/>
        </w:rPr>
        <w:t>M</w:t>
      </w:r>
      <w:r w:rsidR="002834F2" w:rsidRPr="00CB2DE6">
        <w:rPr>
          <w:rFonts w:ascii="Times New Roman" w:hAnsi="Times New Roman" w:cs="Times New Roman"/>
          <w:sz w:val="20"/>
          <w:szCs w:val="20"/>
        </w:rPr>
        <w:t>L</w:t>
      </w:r>
      <w:r w:rsidR="00F8514C" w:rsidRPr="00CB2DE6">
        <w:rPr>
          <w:rFonts w:ascii="Times New Roman" w:hAnsi="Times New Roman" w:cs="Times New Roman"/>
          <w:sz w:val="20"/>
          <w:szCs w:val="20"/>
        </w:rPr>
        <w:t xml:space="preserve"> </w:t>
      </w:r>
      <w:r w:rsidR="002834F2" w:rsidRPr="00CB2DE6">
        <w:rPr>
          <w:rFonts w:ascii="Times New Roman" w:hAnsi="Times New Roman" w:cs="Times New Roman"/>
          <w:sz w:val="20"/>
          <w:szCs w:val="20"/>
        </w:rPr>
        <w:t>denotes the long-short portfolio (i.e., long in portfolio 5 and short in portfolio</w:t>
      </w:r>
      <w:r w:rsidR="00744366" w:rsidRPr="00CB2DE6">
        <w:rPr>
          <w:rFonts w:ascii="Times New Roman" w:hAnsi="Times New Roman" w:cs="Times New Roman"/>
          <w:sz w:val="20"/>
          <w:szCs w:val="20"/>
        </w:rPr>
        <w:t xml:space="preserve"> 1</w:t>
      </w:r>
      <w:r w:rsidR="006B1F9C" w:rsidRPr="00CB2DE6">
        <w:rPr>
          <w:rFonts w:ascii="Times New Roman" w:hAnsi="Times New Roman" w:cs="Times New Roman"/>
          <w:sz w:val="20"/>
          <w:szCs w:val="20"/>
        </w:rPr>
        <w:t xml:space="preserve">). </w:t>
      </w:r>
      <w:r w:rsidR="00FC477E" w:rsidRPr="00CB2DE6">
        <w:rPr>
          <w:rFonts w:ascii="Times New Roman" w:hAnsi="Times New Roman" w:cs="Times New Roman"/>
          <w:sz w:val="20"/>
          <w:szCs w:val="20"/>
        </w:rPr>
        <w:t>The table also reports s</w:t>
      </w:r>
      <w:r w:rsidR="009A04B1" w:rsidRPr="00CB2DE6">
        <w:rPr>
          <w:rFonts w:ascii="Times New Roman" w:hAnsi="Times New Roman" w:cs="Times New Roman"/>
          <w:sz w:val="20"/>
          <w:szCs w:val="20"/>
        </w:rPr>
        <w:t>kewness,</w:t>
      </w:r>
      <w:r w:rsidR="00FC477E" w:rsidRPr="00CB2DE6">
        <w:rPr>
          <w:rFonts w:ascii="Times New Roman" w:hAnsi="Times New Roman" w:cs="Times New Roman"/>
          <w:sz w:val="20"/>
          <w:szCs w:val="20"/>
        </w:rPr>
        <w:t xml:space="preserve"> k</w:t>
      </w:r>
      <w:r w:rsidR="00AA624F" w:rsidRPr="00CB2DE6">
        <w:rPr>
          <w:rFonts w:ascii="Times New Roman" w:hAnsi="Times New Roman" w:cs="Times New Roman"/>
          <w:sz w:val="20"/>
          <w:szCs w:val="20"/>
        </w:rPr>
        <w:t>urtosis, and first-order a</w:t>
      </w:r>
      <w:r w:rsidR="009A04B1" w:rsidRPr="00CB2DE6">
        <w:rPr>
          <w:rFonts w:ascii="Times New Roman" w:hAnsi="Times New Roman" w:cs="Times New Roman"/>
          <w:sz w:val="20"/>
          <w:szCs w:val="20"/>
        </w:rPr>
        <w:t xml:space="preserve">utocorrelation coefficient </w:t>
      </w:r>
      <w:r w:rsidR="00991C55" w:rsidRPr="00CB2DE6">
        <w:rPr>
          <w:rFonts w:ascii="Times New Roman" w:hAnsi="Times New Roman" w:cs="Times New Roman"/>
          <w:sz w:val="20"/>
          <w:szCs w:val="20"/>
        </w:rPr>
        <w:t>(</w:t>
      </w:r>
      <w:r w:rsidR="00ED4079" w:rsidRPr="00CB2DE6">
        <w:rPr>
          <w:rFonts w:ascii="Times New Roman" w:hAnsi="Times New Roman" w:cs="Times New Roman"/>
          <w:sz w:val="20"/>
          <w:szCs w:val="20"/>
        </w:rPr>
        <w:t>AC</w:t>
      </w:r>
      <w:r w:rsidR="009A04B1" w:rsidRPr="00CB2DE6">
        <w:rPr>
          <w:rFonts w:ascii="Times New Roman" w:hAnsi="Times New Roman" w:cs="Times New Roman"/>
          <w:sz w:val="20"/>
          <w:szCs w:val="20"/>
        </w:rPr>
        <w:t>(1)</w:t>
      </w:r>
      <w:r w:rsidR="00991C55" w:rsidRPr="00CB2DE6">
        <w:rPr>
          <w:rFonts w:ascii="Times New Roman" w:hAnsi="Times New Roman" w:cs="Times New Roman"/>
          <w:sz w:val="20"/>
          <w:szCs w:val="20"/>
        </w:rPr>
        <w:t>)</w:t>
      </w:r>
      <w:r w:rsidR="007764C1" w:rsidRPr="00CB2DE6">
        <w:rPr>
          <w:rFonts w:ascii="Times New Roman" w:hAnsi="Times New Roman" w:cs="Times New Roman"/>
          <w:sz w:val="20"/>
          <w:szCs w:val="20"/>
        </w:rPr>
        <w:t xml:space="preserve"> </w:t>
      </w:r>
      <w:r w:rsidR="00577944" w:rsidRPr="00CB2DE6">
        <w:rPr>
          <w:rFonts w:ascii="Times New Roman" w:hAnsi="Times New Roman" w:cs="Times New Roman"/>
          <w:sz w:val="20"/>
          <w:szCs w:val="20"/>
        </w:rPr>
        <w:t xml:space="preserve">with </w:t>
      </w:r>
      <w:r w:rsidR="009C6B7B" w:rsidRPr="00CB2DE6">
        <w:rPr>
          <w:rFonts w:ascii="Times New Roman" w:hAnsi="Times New Roman" w:cs="Times New Roman"/>
          <w:sz w:val="20"/>
          <w:szCs w:val="20"/>
        </w:rPr>
        <w:t xml:space="preserve">associated </w:t>
      </w:r>
      <w:r w:rsidR="009A04B1" w:rsidRPr="00CB2DE6">
        <w:rPr>
          <w:rFonts w:ascii="Times New Roman" w:hAnsi="Times New Roman" w:cs="Times New Roman"/>
          <w:i/>
          <w:sz w:val="20"/>
          <w:szCs w:val="20"/>
        </w:rPr>
        <w:t>p</w:t>
      </w:r>
      <w:r w:rsidR="007066D4" w:rsidRPr="00CB2DE6">
        <w:rPr>
          <w:rFonts w:ascii="Times New Roman" w:hAnsi="Times New Roman" w:cs="Times New Roman"/>
          <w:sz w:val="20"/>
          <w:szCs w:val="20"/>
        </w:rPr>
        <w:t>-value</w:t>
      </w:r>
      <w:r w:rsidR="00D30564" w:rsidRPr="00CB2DE6">
        <w:rPr>
          <w:rFonts w:ascii="Times New Roman" w:hAnsi="Times New Roman" w:cs="Times New Roman"/>
          <w:sz w:val="20"/>
          <w:szCs w:val="20"/>
        </w:rPr>
        <w:t xml:space="preserve"> for </w:t>
      </w:r>
      <w:r w:rsidR="00B71B4C" w:rsidRPr="00CB2DE6">
        <w:rPr>
          <w:rFonts w:ascii="Times New Roman" w:hAnsi="Times New Roman" w:cs="Times New Roman"/>
          <w:sz w:val="20"/>
          <w:szCs w:val="20"/>
        </w:rPr>
        <w:t xml:space="preserve">each </w:t>
      </w:r>
      <w:r w:rsidR="003923B5" w:rsidRPr="00CB2DE6">
        <w:rPr>
          <w:rFonts w:ascii="Times New Roman" w:hAnsi="Times New Roman" w:cs="Times New Roman"/>
          <w:sz w:val="20"/>
          <w:szCs w:val="20"/>
        </w:rPr>
        <w:t>portfolio</w:t>
      </w:r>
      <w:r w:rsidR="007066D4" w:rsidRPr="00CB2DE6">
        <w:rPr>
          <w:rFonts w:ascii="Times New Roman" w:hAnsi="Times New Roman" w:cs="Times New Roman"/>
          <w:sz w:val="20"/>
          <w:szCs w:val="20"/>
        </w:rPr>
        <w:t xml:space="preserve">. </w:t>
      </w:r>
      <w:r w:rsidR="009A04B1" w:rsidRPr="00CB2DE6">
        <w:rPr>
          <w:rFonts w:ascii="Times New Roman" w:hAnsi="Times New Roman" w:cs="Times New Roman"/>
          <w:sz w:val="20"/>
          <w:szCs w:val="20"/>
        </w:rPr>
        <w:t>Numbers in bra</w:t>
      </w:r>
      <w:r w:rsidR="006B1F9C" w:rsidRPr="00CB2DE6">
        <w:rPr>
          <w:rFonts w:ascii="Times New Roman" w:hAnsi="Times New Roman" w:cs="Times New Roman"/>
          <w:sz w:val="20"/>
          <w:szCs w:val="20"/>
        </w:rPr>
        <w:t xml:space="preserve">ckets are </w:t>
      </w:r>
      <w:r w:rsidR="00443EE8" w:rsidRPr="00CB2DE6">
        <w:rPr>
          <w:rFonts w:ascii="Times New Roman" w:hAnsi="Times New Roman" w:cs="Times New Roman"/>
          <w:i/>
          <w:sz w:val="20"/>
          <w:szCs w:val="20"/>
        </w:rPr>
        <w:t>t</w:t>
      </w:r>
      <w:r w:rsidR="00443EE8" w:rsidRPr="00CB2DE6">
        <w:rPr>
          <w:rFonts w:ascii="Times New Roman" w:hAnsi="Times New Roman" w:cs="Times New Roman"/>
          <w:sz w:val="20"/>
          <w:szCs w:val="20"/>
        </w:rPr>
        <w:t xml:space="preserve">-statistics based on the </w:t>
      </w:r>
      <w:r w:rsidR="006B1F9C" w:rsidRPr="00CB2DE6">
        <w:rPr>
          <w:rFonts w:ascii="Times New Roman" w:hAnsi="Times New Roman" w:cs="Times New Roman"/>
          <w:sz w:val="20"/>
          <w:szCs w:val="20"/>
        </w:rPr>
        <w:t xml:space="preserve">Newey and West (1987) </w:t>
      </w:r>
      <w:r w:rsidR="00443EE8" w:rsidRPr="00CB2DE6">
        <w:rPr>
          <w:rFonts w:ascii="Times New Roman" w:hAnsi="Times New Roman" w:cs="Times New Roman"/>
          <w:sz w:val="20"/>
          <w:szCs w:val="20"/>
        </w:rPr>
        <w:t xml:space="preserve">estimator, </w:t>
      </w:r>
      <w:r w:rsidR="009A04B1" w:rsidRPr="00CB2DE6">
        <w:rPr>
          <w:rFonts w:ascii="Times New Roman" w:hAnsi="Times New Roman" w:cs="Times New Roman"/>
          <w:sz w:val="20"/>
          <w:szCs w:val="20"/>
        </w:rPr>
        <w:t xml:space="preserve">while numbers in parentheses are </w:t>
      </w:r>
      <w:r w:rsidR="00412D5E" w:rsidRPr="00CB2DE6">
        <w:rPr>
          <w:rFonts w:ascii="Times New Roman" w:hAnsi="Times New Roman" w:cs="Times New Roman"/>
          <w:sz w:val="20"/>
          <w:szCs w:val="20"/>
        </w:rPr>
        <w:t xml:space="preserve">bootstrap </w:t>
      </w:r>
      <w:r w:rsidR="002F1166" w:rsidRPr="00CB2DE6">
        <w:rPr>
          <w:rFonts w:ascii="Times New Roman" w:hAnsi="Times New Roman" w:cs="Times New Roman"/>
          <w:i/>
          <w:sz w:val="20"/>
          <w:szCs w:val="20"/>
        </w:rPr>
        <w:t>p</w:t>
      </w:r>
      <w:r w:rsidR="002F1166" w:rsidRPr="00CB2DE6">
        <w:rPr>
          <w:rFonts w:ascii="Times New Roman" w:hAnsi="Times New Roman" w:cs="Times New Roman"/>
          <w:sz w:val="20"/>
          <w:szCs w:val="20"/>
        </w:rPr>
        <w:t>-values</w:t>
      </w:r>
      <w:r w:rsidR="0016403A" w:rsidRPr="00CB2DE6">
        <w:rPr>
          <w:rFonts w:ascii="Times New Roman" w:hAnsi="Times New Roman" w:cs="Times New Roman"/>
          <w:sz w:val="20"/>
          <w:szCs w:val="20"/>
        </w:rPr>
        <w:t xml:space="preserve"> for tests of mean </w:t>
      </w:r>
      <w:r w:rsidR="00FA6519" w:rsidRPr="00CB2DE6">
        <w:rPr>
          <w:rFonts w:ascii="Times New Roman" w:hAnsi="Times New Roman" w:cs="Times New Roman"/>
          <w:sz w:val="20"/>
          <w:szCs w:val="20"/>
        </w:rPr>
        <w:t>excess return</w:t>
      </w:r>
      <w:r w:rsidR="0016403A" w:rsidRPr="00CB2DE6">
        <w:rPr>
          <w:rFonts w:ascii="Times New Roman" w:hAnsi="Times New Roman" w:cs="Times New Roman"/>
          <w:sz w:val="20"/>
          <w:szCs w:val="20"/>
        </w:rPr>
        <w:t xml:space="preserve"> </w:t>
      </w:r>
      <w:r w:rsidR="00FA6519" w:rsidRPr="00CB2DE6">
        <w:rPr>
          <w:rFonts w:ascii="Times New Roman" w:hAnsi="Times New Roman" w:cs="Times New Roman"/>
          <w:sz w:val="20"/>
          <w:szCs w:val="20"/>
        </w:rPr>
        <w:t>(</w:t>
      </w:r>
      <w:r w:rsidR="0016403A" w:rsidRPr="00CB2DE6">
        <w:rPr>
          <w:rFonts w:ascii="Times New Roman" w:hAnsi="Times New Roman" w:cs="Times New Roman"/>
          <w:sz w:val="20"/>
          <w:szCs w:val="20"/>
        </w:rPr>
        <w:t>increasing</w:t>
      </w:r>
      <w:r w:rsidR="00FA6519" w:rsidRPr="00CB2DE6">
        <w:rPr>
          <w:rFonts w:ascii="Times New Roman" w:hAnsi="Times New Roman" w:cs="Times New Roman"/>
          <w:sz w:val="20"/>
          <w:szCs w:val="20"/>
        </w:rPr>
        <w:t>)</w:t>
      </w:r>
      <w:r w:rsidR="009C6B7B" w:rsidRPr="00CB2DE6">
        <w:rPr>
          <w:rFonts w:ascii="Times New Roman" w:hAnsi="Times New Roman" w:cs="Times New Roman"/>
          <w:sz w:val="20"/>
          <w:szCs w:val="20"/>
        </w:rPr>
        <w:t xml:space="preserve"> monotonicity </w:t>
      </w:r>
      <w:r w:rsidR="0016403A" w:rsidRPr="00CB2DE6">
        <w:rPr>
          <w:rFonts w:ascii="Times New Roman" w:hAnsi="Times New Roman" w:cs="Times New Roman"/>
          <w:sz w:val="20"/>
          <w:szCs w:val="20"/>
        </w:rPr>
        <w:t>when movin</w:t>
      </w:r>
      <w:r w:rsidR="009257D5" w:rsidRPr="00CB2DE6">
        <w:rPr>
          <w:rFonts w:ascii="Times New Roman" w:hAnsi="Times New Roman" w:cs="Times New Roman"/>
          <w:sz w:val="20"/>
          <w:szCs w:val="20"/>
        </w:rPr>
        <w:t xml:space="preserve">g from portfolio 1 to </w:t>
      </w:r>
      <w:r w:rsidR="00E961C1" w:rsidRPr="00CB2DE6">
        <w:rPr>
          <w:rFonts w:ascii="Times New Roman" w:hAnsi="Times New Roman" w:cs="Times New Roman"/>
          <w:sz w:val="20"/>
          <w:szCs w:val="20"/>
        </w:rPr>
        <w:t xml:space="preserve">portfolio </w:t>
      </w:r>
      <w:r w:rsidR="0016403A" w:rsidRPr="00CB2DE6">
        <w:rPr>
          <w:rFonts w:ascii="Times New Roman" w:hAnsi="Times New Roman" w:cs="Times New Roman"/>
          <w:sz w:val="20"/>
          <w:szCs w:val="20"/>
        </w:rPr>
        <w:t>5. The m</w:t>
      </w:r>
      <w:r w:rsidR="009257D5" w:rsidRPr="00CB2DE6">
        <w:rPr>
          <w:rFonts w:ascii="Times New Roman" w:hAnsi="Times New Roman" w:cs="Times New Roman"/>
          <w:sz w:val="20"/>
          <w:szCs w:val="20"/>
        </w:rPr>
        <w:t>onotonic relationship (MR) test</w:t>
      </w:r>
      <w:r w:rsidR="0016403A" w:rsidRPr="00CB2DE6">
        <w:rPr>
          <w:rFonts w:ascii="Times New Roman" w:hAnsi="Times New Roman" w:cs="Times New Roman"/>
          <w:sz w:val="20"/>
          <w:szCs w:val="20"/>
        </w:rPr>
        <w:t xml:space="preserve"> </w:t>
      </w:r>
      <w:r w:rsidR="009257D5" w:rsidRPr="00CB2DE6">
        <w:rPr>
          <w:rFonts w:ascii="Times New Roman" w:hAnsi="Times New Roman" w:cs="Times New Roman"/>
          <w:sz w:val="20"/>
          <w:szCs w:val="20"/>
        </w:rPr>
        <w:t xml:space="preserve">is </w:t>
      </w:r>
      <w:r w:rsidR="0016403A" w:rsidRPr="00CB2DE6">
        <w:rPr>
          <w:rFonts w:ascii="Times New Roman" w:hAnsi="Times New Roman" w:cs="Times New Roman"/>
          <w:sz w:val="20"/>
          <w:szCs w:val="20"/>
        </w:rPr>
        <w:t xml:space="preserve">based on </w:t>
      </w:r>
      <w:r w:rsidR="009A04B1" w:rsidRPr="00CB2DE6">
        <w:rPr>
          <w:rFonts w:ascii="Times New Roman" w:hAnsi="Times New Roman" w:cs="Times New Roman"/>
          <w:sz w:val="20"/>
          <w:szCs w:val="20"/>
        </w:rPr>
        <w:t>Patton and Timmermann (2010</w:t>
      </w:r>
      <w:r w:rsidR="00BC20AE" w:rsidRPr="00CB2DE6">
        <w:rPr>
          <w:rFonts w:ascii="Times New Roman" w:hAnsi="Times New Roman" w:cs="Times New Roman"/>
          <w:sz w:val="20"/>
          <w:szCs w:val="20"/>
        </w:rPr>
        <w:t>)</w:t>
      </w:r>
      <w:r w:rsidR="00FA6519" w:rsidRPr="00CB2DE6">
        <w:rPr>
          <w:rFonts w:ascii="Times New Roman" w:hAnsi="Times New Roman" w:cs="Times New Roman"/>
          <w:sz w:val="20"/>
          <w:szCs w:val="20"/>
        </w:rPr>
        <w:t xml:space="preserve">. </w:t>
      </w:r>
      <w:r w:rsidR="009A04B1" w:rsidRPr="00CB2DE6">
        <w:rPr>
          <w:rFonts w:ascii="Times New Roman" w:hAnsi="Times New Roman" w:cs="Times New Roman"/>
          <w:sz w:val="20"/>
          <w:szCs w:val="20"/>
        </w:rPr>
        <w:t>The</w:t>
      </w:r>
      <w:r w:rsidR="004B7C01" w:rsidRPr="00CB2DE6">
        <w:rPr>
          <w:rFonts w:ascii="Times New Roman" w:hAnsi="Times New Roman" w:cs="Times New Roman"/>
          <w:sz w:val="20"/>
          <w:szCs w:val="20"/>
        </w:rPr>
        <w:t xml:space="preserve"> </w:t>
      </w:r>
      <w:r w:rsidR="00FC477E" w:rsidRPr="00CB2DE6">
        <w:rPr>
          <w:rFonts w:ascii="Times New Roman" w:hAnsi="Times New Roman" w:cs="Times New Roman"/>
          <w:sz w:val="20"/>
          <w:szCs w:val="20"/>
        </w:rPr>
        <w:t>Sharpe r</w:t>
      </w:r>
      <w:r w:rsidR="009A04B1" w:rsidRPr="00CB2DE6">
        <w:rPr>
          <w:rFonts w:ascii="Times New Roman" w:hAnsi="Times New Roman" w:cs="Times New Roman"/>
          <w:sz w:val="20"/>
          <w:szCs w:val="20"/>
        </w:rPr>
        <w:t xml:space="preserve">atios </w:t>
      </w:r>
      <w:r w:rsidR="00C70BBD" w:rsidRPr="00CB2DE6">
        <w:rPr>
          <w:rFonts w:ascii="Times New Roman" w:hAnsi="Times New Roman" w:cs="Times New Roman"/>
          <w:sz w:val="20"/>
          <w:szCs w:val="20"/>
        </w:rPr>
        <w:t xml:space="preserve">are </w:t>
      </w:r>
      <w:r w:rsidR="001751FD" w:rsidRPr="00CB2DE6">
        <w:rPr>
          <w:rFonts w:ascii="Times New Roman" w:hAnsi="Times New Roman" w:cs="Times New Roman"/>
          <w:sz w:val="20"/>
          <w:szCs w:val="20"/>
        </w:rPr>
        <w:t xml:space="preserve">estimated as </w:t>
      </w:r>
      <w:r w:rsidR="001E3857" w:rsidRPr="00CB2DE6">
        <w:rPr>
          <w:rFonts w:ascii="Times New Roman" w:hAnsi="Times New Roman" w:cs="Times New Roman"/>
          <w:sz w:val="20"/>
          <w:szCs w:val="20"/>
        </w:rPr>
        <w:t xml:space="preserve">ratios of annualized means to </w:t>
      </w:r>
      <w:r w:rsidR="009A04B1" w:rsidRPr="00CB2DE6">
        <w:rPr>
          <w:rFonts w:ascii="Times New Roman" w:hAnsi="Times New Roman" w:cs="Times New Roman"/>
          <w:sz w:val="20"/>
          <w:szCs w:val="20"/>
        </w:rPr>
        <w:t xml:space="preserve">annualized standard deviations. </w:t>
      </w:r>
      <w:r w:rsidR="001E3857" w:rsidRPr="00CB2DE6">
        <w:rPr>
          <w:rFonts w:ascii="Times New Roman" w:hAnsi="Times New Roman" w:cs="Times New Roman"/>
          <w:sz w:val="20"/>
          <w:szCs w:val="20"/>
        </w:rPr>
        <w:t>Panel</w:t>
      </w:r>
      <w:r w:rsidR="004E6A03" w:rsidRPr="00CB2DE6">
        <w:rPr>
          <w:rFonts w:ascii="Times New Roman" w:hAnsi="Times New Roman" w:cs="Times New Roman"/>
          <w:sz w:val="20"/>
          <w:szCs w:val="20"/>
        </w:rPr>
        <w:t xml:space="preserve">s </w:t>
      </w:r>
      <w:r w:rsidR="001E3857" w:rsidRPr="00CB2DE6">
        <w:rPr>
          <w:rFonts w:ascii="Times New Roman" w:hAnsi="Times New Roman" w:cs="Times New Roman"/>
          <w:sz w:val="20"/>
          <w:szCs w:val="20"/>
        </w:rPr>
        <w:t xml:space="preserve">A </w:t>
      </w:r>
      <w:r w:rsidR="004E6A03" w:rsidRPr="00CB2DE6">
        <w:rPr>
          <w:rFonts w:ascii="Times New Roman" w:hAnsi="Times New Roman" w:cs="Times New Roman"/>
          <w:sz w:val="20"/>
          <w:szCs w:val="20"/>
        </w:rPr>
        <w:t xml:space="preserve">and B </w:t>
      </w:r>
      <w:r w:rsidR="001E3857" w:rsidRPr="00CB2DE6">
        <w:rPr>
          <w:rFonts w:ascii="Times New Roman" w:hAnsi="Times New Roman" w:cs="Times New Roman"/>
          <w:sz w:val="20"/>
          <w:szCs w:val="20"/>
        </w:rPr>
        <w:t xml:space="preserve">report </w:t>
      </w:r>
      <w:r w:rsidR="004E6A03" w:rsidRPr="00CB2DE6">
        <w:rPr>
          <w:rFonts w:ascii="Times New Roman" w:hAnsi="Times New Roman" w:cs="Times New Roman"/>
          <w:sz w:val="20"/>
          <w:szCs w:val="20"/>
        </w:rPr>
        <w:t>excess returns without and with transaction cost adjustment</w:t>
      </w:r>
      <w:r w:rsidR="0096729A" w:rsidRPr="00CB2DE6">
        <w:rPr>
          <w:rFonts w:ascii="Times New Roman" w:hAnsi="Times New Roman" w:cs="Times New Roman"/>
          <w:sz w:val="20"/>
          <w:szCs w:val="20"/>
        </w:rPr>
        <w:t>s</w:t>
      </w:r>
      <w:r w:rsidR="004E6A03" w:rsidRPr="00CB2DE6">
        <w:rPr>
          <w:rFonts w:ascii="Times New Roman" w:hAnsi="Times New Roman" w:cs="Times New Roman"/>
          <w:sz w:val="20"/>
          <w:szCs w:val="20"/>
        </w:rPr>
        <w:t xml:space="preserve"> </w:t>
      </w:r>
      <w:r w:rsidR="009A04B1" w:rsidRPr="00CB2DE6">
        <w:rPr>
          <w:rFonts w:ascii="Times New Roman" w:hAnsi="Times New Roman" w:cs="Times New Roman"/>
          <w:sz w:val="20"/>
          <w:szCs w:val="20"/>
        </w:rPr>
        <w:t>(</w:t>
      </w:r>
      <w:r w:rsidR="004E6A03" w:rsidRPr="00CB2DE6">
        <w:rPr>
          <w:rFonts w:ascii="Times New Roman" w:hAnsi="Times New Roman" w:cs="Times New Roman"/>
          <w:sz w:val="20"/>
          <w:szCs w:val="20"/>
        </w:rPr>
        <w:t xml:space="preserve">with </w:t>
      </w:r>
      <w:r w:rsidR="00326299" w:rsidRPr="00CB2DE6">
        <w:rPr>
          <w:rFonts w:ascii="Times New Roman" w:hAnsi="Times New Roman" w:cs="Times New Roman"/>
          <w:sz w:val="20"/>
          <w:szCs w:val="20"/>
        </w:rPr>
        <w:t>b</w:t>
      </w:r>
      <w:r w:rsidR="0096729A" w:rsidRPr="00CB2DE6">
        <w:rPr>
          <w:rFonts w:ascii="Times New Roman" w:hAnsi="Times New Roman" w:cs="Times New Roman"/>
          <w:sz w:val="20"/>
          <w:szCs w:val="20"/>
        </w:rPr>
        <w:t>id</w:t>
      </w:r>
      <w:r w:rsidR="00326299" w:rsidRPr="00CB2DE6">
        <w:rPr>
          <w:rFonts w:ascii="Times New Roman" w:hAnsi="Times New Roman" w:cs="Times New Roman"/>
          <w:sz w:val="20"/>
          <w:szCs w:val="20"/>
        </w:rPr>
        <w:t>-a</w:t>
      </w:r>
      <w:r w:rsidR="0096729A" w:rsidRPr="00CB2DE6">
        <w:rPr>
          <w:rFonts w:ascii="Times New Roman" w:hAnsi="Times New Roman" w:cs="Times New Roman"/>
          <w:sz w:val="20"/>
          <w:szCs w:val="20"/>
        </w:rPr>
        <w:t>sk</w:t>
      </w:r>
      <w:r w:rsidR="003952D7" w:rsidRPr="00CB2DE6">
        <w:rPr>
          <w:rFonts w:ascii="Times New Roman" w:hAnsi="Times New Roman" w:cs="Times New Roman"/>
          <w:sz w:val="20"/>
          <w:szCs w:val="20"/>
        </w:rPr>
        <w:t xml:space="preserve"> </w:t>
      </w:r>
      <w:r w:rsidR="00326299" w:rsidRPr="00CB2DE6">
        <w:rPr>
          <w:rFonts w:ascii="Times New Roman" w:hAnsi="Times New Roman" w:cs="Times New Roman"/>
          <w:sz w:val="20"/>
          <w:szCs w:val="20"/>
        </w:rPr>
        <w:t>spreads</w:t>
      </w:r>
      <w:r w:rsidR="001E3857" w:rsidRPr="00CB2DE6">
        <w:rPr>
          <w:rFonts w:ascii="Times New Roman" w:hAnsi="Times New Roman" w:cs="Times New Roman"/>
          <w:sz w:val="20"/>
          <w:szCs w:val="20"/>
        </w:rPr>
        <w:t>)</w:t>
      </w:r>
      <w:r w:rsidR="0096729A" w:rsidRPr="00CB2DE6">
        <w:rPr>
          <w:rFonts w:ascii="Times New Roman" w:hAnsi="Times New Roman" w:cs="Times New Roman"/>
          <w:sz w:val="20"/>
          <w:szCs w:val="20"/>
        </w:rPr>
        <w:t>, respectively</w:t>
      </w:r>
      <w:r w:rsidR="001E3857" w:rsidRPr="00CB2DE6">
        <w:rPr>
          <w:rFonts w:ascii="Times New Roman" w:hAnsi="Times New Roman" w:cs="Times New Roman"/>
          <w:sz w:val="20"/>
          <w:szCs w:val="20"/>
        </w:rPr>
        <w:t xml:space="preserve">. </w:t>
      </w:r>
      <w:r w:rsidR="0096729A" w:rsidRPr="00CB2DE6">
        <w:rPr>
          <w:rFonts w:ascii="Times New Roman" w:hAnsi="Times New Roman" w:cs="Times New Roman"/>
          <w:sz w:val="20"/>
          <w:szCs w:val="20"/>
        </w:rPr>
        <w:t xml:space="preserve">In panel B, </w:t>
      </w:r>
      <w:r w:rsidR="00FA6519" w:rsidRPr="00CB2DE6">
        <w:rPr>
          <w:rFonts w:ascii="Times New Roman" w:hAnsi="Times New Roman" w:cs="Times New Roman"/>
          <w:sz w:val="20"/>
          <w:szCs w:val="20"/>
        </w:rPr>
        <w:t>excess returns for portfolio</w:t>
      </w:r>
      <w:r w:rsidR="009F1A84" w:rsidRPr="00CB2DE6">
        <w:rPr>
          <w:rFonts w:ascii="Times New Roman" w:hAnsi="Times New Roman" w:cs="Times New Roman"/>
          <w:sz w:val="20"/>
          <w:szCs w:val="20"/>
        </w:rPr>
        <w:t xml:space="preserve"> 1 are </w:t>
      </w:r>
      <w:r w:rsidR="009A04B1" w:rsidRPr="00CB2DE6">
        <w:rPr>
          <w:rFonts w:ascii="Times New Roman" w:hAnsi="Times New Roman" w:cs="Times New Roman"/>
          <w:sz w:val="20"/>
          <w:szCs w:val="20"/>
        </w:rPr>
        <w:t>adjusted for transaction c</w:t>
      </w:r>
      <w:r w:rsidR="000B2E28" w:rsidRPr="00CB2DE6">
        <w:rPr>
          <w:rFonts w:ascii="Times New Roman" w:hAnsi="Times New Roman" w:cs="Times New Roman"/>
          <w:sz w:val="20"/>
          <w:szCs w:val="20"/>
        </w:rPr>
        <w:t xml:space="preserve">osts </w:t>
      </w:r>
      <w:r w:rsidR="00C83271" w:rsidRPr="00CB2DE6">
        <w:rPr>
          <w:rFonts w:ascii="Times New Roman" w:hAnsi="Times New Roman" w:cs="Times New Roman"/>
          <w:sz w:val="20"/>
          <w:szCs w:val="20"/>
        </w:rPr>
        <w:t>that incur</w:t>
      </w:r>
      <w:r w:rsidR="000B2E28" w:rsidRPr="00CB2DE6">
        <w:rPr>
          <w:rFonts w:ascii="Times New Roman" w:hAnsi="Times New Roman" w:cs="Times New Roman"/>
          <w:sz w:val="20"/>
          <w:szCs w:val="20"/>
        </w:rPr>
        <w:t xml:space="preserve"> in </w:t>
      </w:r>
      <w:r w:rsidR="000D45A8" w:rsidRPr="00CB2DE6">
        <w:rPr>
          <w:rFonts w:ascii="Times New Roman" w:hAnsi="Times New Roman" w:cs="Times New Roman"/>
          <w:sz w:val="20"/>
          <w:szCs w:val="20"/>
        </w:rPr>
        <w:t xml:space="preserve">a </w:t>
      </w:r>
      <w:r w:rsidR="009A04B1" w:rsidRPr="00CB2DE6">
        <w:rPr>
          <w:rFonts w:ascii="Times New Roman" w:hAnsi="Times New Roman" w:cs="Times New Roman"/>
          <w:sz w:val="20"/>
          <w:szCs w:val="20"/>
        </w:rPr>
        <w:t>short position</w:t>
      </w:r>
      <w:r w:rsidR="00880E18" w:rsidRPr="00CB2DE6">
        <w:rPr>
          <w:rFonts w:ascii="Times New Roman" w:hAnsi="Times New Roman" w:cs="Times New Roman"/>
          <w:sz w:val="20"/>
          <w:szCs w:val="20"/>
        </w:rPr>
        <w:t>,</w:t>
      </w:r>
      <w:r w:rsidR="009A04B1" w:rsidRPr="00CB2DE6">
        <w:rPr>
          <w:rFonts w:ascii="Times New Roman" w:hAnsi="Times New Roman" w:cs="Times New Roman"/>
          <w:sz w:val="20"/>
          <w:szCs w:val="20"/>
        </w:rPr>
        <w:t xml:space="preserve"> while </w:t>
      </w:r>
      <w:r w:rsidR="00744366" w:rsidRPr="00CB2DE6">
        <w:rPr>
          <w:rFonts w:ascii="Times New Roman" w:hAnsi="Times New Roman" w:cs="Times New Roman"/>
          <w:sz w:val="20"/>
          <w:szCs w:val="20"/>
        </w:rPr>
        <w:t xml:space="preserve">those </w:t>
      </w:r>
      <w:r w:rsidR="00C83271" w:rsidRPr="00CB2DE6">
        <w:rPr>
          <w:rFonts w:ascii="Times New Roman" w:hAnsi="Times New Roman" w:cs="Times New Roman"/>
          <w:sz w:val="20"/>
          <w:szCs w:val="20"/>
        </w:rPr>
        <w:t xml:space="preserve">for </w:t>
      </w:r>
      <w:r w:rsidR="009A04B1" w:rsidRPr="00CB2DE6">
        <w:rPr>
          <w:rFonts w:ascii="Times New Roman" w:hAnsi="Times New Roman" w:cs="Times New Roman"/>
          <w:sz w:val="20"/>
          <w:szCs w:val="20"/>
        </w:rPr>
        <w:t xml:space="preserve">portfolios 2 </w:t>
      </w:r>
      <w:r w:rsidR="00117BFA" w:rsidRPr="00CB2DE6">
        <w:rPr>
          <w:rFonts w:ascii="Times New Roman" w:hAnsi="Times New Roman" w:cs="Times New Roman"/>
          <w:sz w:val="20"/>
          <w:szCs w:val="20"/>
        </w:rPr>
        <w:t xml:space="preserve">to </w:t>
      </w:r>
      <w:r w:rsidR="009A04B1" w:rsidRPr="00CB2DE6">
        <w:rPr>
          <w:rFonts w:ascii="Times New Roman" w:hAnsi="Times New Roman" w:cs="Times New Roman"/>
          <w:sz w:val="20"/>
          <w:szCs w:val="20"/>
        </w:rPr>
        <w:t xml:space="preserve">5 </w:t>
      </w:r>
      <w:r w:rsidR="00FA6519" w:rsidRPr="00CB2DE6">
        <w:rPr>
          <w:rFonts w:ascii="Times New Roman" w:hAnsi="Times New Roman" w:cs="Times New Roman"/>
          <w:sz w:val="20"/>
          <w:szCs w:val="20"/>
        </w:rPr>
        <w:t xml:space="preserve">are </w:t>
      </w:r>
      <w:r w:rsidR="009A04B1" w:rsidRPr="00CB2DE6">
        <w:rPr>
          <w:rFonts w:ascii="Times New Roman" w:hAnsi="Times New Roman" w:cs="Times New Roman"/>
          <w:sz w:val="20"/>
          <w:szCs w:val="20"/>
        </w:rPr>
        <w:t xml:space="preserve">adjusted for </w:t>
      </w:r>
      <w:r w:rsidR="000B2E28" w:rsidRPr="00CB2DE6">
        <w:rPr>
          <w:rFonts w:ascii="Times New Roman" w:hAnsi="Times New Roman" w:cs="Times New Roman"/>
          <w:sz w:val="20"/>
          <w:szCs w:val="20"/>
        </w:rPr>
        <w:t xml:space="preserve">transaction costs </w:t>
      </w:r>
      <w:r w:rsidR="00C83271" w:rsidRPr="00CB2DE6">
        <w:rPr>
          <w:rFonts w:ascii="Times New Roman" w:hAnsi="Times New Roman" w:cs="Times New Roman"/>
          <w:sz w:val="20"/>
          <w:szCs w:val="20"/>
        </w:rPr>
        <w:t>that incur</w:t>
      </w:r>
      <w:r w:rsidR="000B2E28" w:rsidRPr="00CB2DE6">
        <w:rPr>
          <w:rFonts w:ascii="Times New Roman" w:hAnsi="Times New Roman" w:cs="Times New Roman"/>
          <w:sz w:val="20"/>
          <w:szCs w:val="20"/>
        </w:rPr>
        <w:t xml:space="preserve"> in </w:t>
      </w:r>
      <w:r w:rsidR="009A04B1" w:rsidRPr="00CB2DE6">
        <w:rPr>
          <w:rFonts w:ascii="Times New Roman" w:hAnsi="Times New Roman" w:cs="Times New Roman"/>
          <w:sz w:val="20"/>
          <w:szCs w:val="20"/>
        </w:rPr>
        <w:t>long positions. All excess returns are monthly</w:t>
      </w:r>
      <w:r w:rsidR="00E524C8" w:rsidRPr="00CB2DE6">
        <w:rPr>
          <w:rFonts w:ascii="Times New Roman" w:hAnsi="Times New Roman" w:cs="Times New Roman"/>
          <w:sz w:val="20"/>
          <w:szCs w:val="20"/>
        </w:rPr>
        <w:t xml:space="preserve"> (%) </w:t>
      </w:r>
      <w:r w:rsidR="001D1AC1" w:rsidRPr="00CB2DE6">
        <w:rPr>
          <w:rFonts w:ascii="Times New Roman" w:hAnsi="Times New Roman" w:cs="Times New Roman"/>
          <w:sz w:val="20"/>
          <w:szCs w:val="20"/>
        </w:rPr>
        <w:t xml:space="preserve">reported in USD. The </w:t>
      </w:r>
      <w:r w:rsidR="009A04B1" w:rsidRPr="00CB2DE6">
        <w:rPr>
          <w:rFonts w:ascii="Times New Roman" w:hAnsi="Times New Roman" w:cs="Times New Roman"/>
          <w:sz w:val="20"/>
          <w:szCs w:val="20"/>
        </w:rPr>
        <w:t xml:space="preserve">sample period </w:t>
      </w:r>
      <w:r w:rsidR="00B42ED3" w:rsidRPr="00CB2DE6">
        <w:rPr>
          <w:rFonts w:ascii="Times New Roman" w:hAnsi="Times New Roman" w:cs="Times New Roman"/>
          <w:sz w:val="20"/>
          <w:szCs w:val="20"/>
        </w:rPr>
        <w:t xml:space="preserve">is </w:t>
      </w:r>
      <w:r w:rsidR="009A04B1" w:rsidRPr="00CB2DE6">
        <w:rPr>
          <w:rFonts w:ascii="Times New Roman" w:hAnsi="Times New Roman" w:cs="Times New Roman"/>
          <w:sz w:val="20"/>
          <w:szCs w:val="20"/>
        </w:rPr>
        <w:t xml:space="preserve">from </w:t>
      </w:r>
      <w:r w:rsidR="0096729A" w:rsidRPr="00CB2DE6">
        <w:rPr>
          <w:rFonts w:ascii="Times New Roman" w:hAnsi="Times New Roman" w:cs="Times New Roman"/>
          <w:sz w:val="20"/>
          <w:szCs w:val="20"/>
        </w:rPr>
        <w:t xml:space="preserve">May 1987 </w:t>
      </w:r>
      <w:r w:rsidR="009A04B1" w:rsidRPr="00CB2DE6">
        <w:rPr>
          <w:rFonts w:ascii="Times New Roman" w:hAnsi="Times New Roman" w:cs="Times New Roman"/>
          <w:sz w:val="20"/>
          <w:szCs w:val="20"/>
        </w:rPr>
        <w:t xml:space="preserve">to </w:t>
      </w:r>
      <w:r w:rsidR="00A7730F" w:rsidRPr="00CB2DE6">
        <w:rPr>
          <w:rFonts w:ascii="Times New Roman" w:hAnsi="Times New Roman" w:cs="Times New Roman"/>
          <w:sz w:val="20"/>
          <w:szCs w:val="20"/>
        </w:rPr>
        <w:t>February 2013</w:t>
      </w:r>
      <w:r w:rsidR="009A04B1" w:rsidRPr="00CB2DE6">
        <w:rPr>
          <w:rFonts w:ascii="Times New Roman" w:hAnsi="Times New Roman" w:cs="Times New Roman"/>
          <w:sz w:val="20"/>
          <w:szCs w:val="20"/>
        </w:rPr>
        <w:t>.</w:t>
      </w:r>
    </w:p>
    <w:tbl>
      <w:tblPr>
        <w:tblW w:w="0" w:type="auto"/>
        <w:jc w:val="center"/>
        <w:tblLook w:val="04A0" w:firstRow="1" w:lastRow="0" w:firstColumn="1" w:lastColumn="0" w:noHBand="0" w:noVBand="1"/>
      </w:tblPr>
      <w:tblGrid>
        <w:gridCol w:w="1203"/>
        <w:gridCol w:w="755"/>
        <w:gridCol w:w="739"/>
        <w:gridCol w:w="739"/>
        <w:gridCol w:w="691"/>
        <w:gridCol w:w="676"/>
        <w:gridCol w:w="881"/>
        <w:gridCol w:w="834"/>
        <w:gridCol w:w="771"/>
      </w:tblGrid>
      <w:tr w:rsidR="0061303C" w:rsidRPr="00CB2DE6" w:rsidTr="00AD7FAD">
        <w:trPr>
          <w:trHeight w:val="70"/>
          <w:jc w:val="center"/>
        </w:trPr>
        <w:tc>
          <w:tcPr>
            <w:tcW w:w="0" w:type="auto"/>
            <w:gridSpan w:val="9"/>
            <w:tcBorders>
              <w:top w:val="single" w:sz="4" w:space="0" w:color="auto"/>
              <w:bottom w:val="single" w:sz="4" w:space="0" w:color="auto"/>
            </w:tcBorders>
            <w:shd w:val="clear" w:color="auto" w:fill="auto"/>
            <w:noWrap/>
            <w:vAlign w:val="bottom"/>
            <w:hideMark/>
          </w:tcPr>
          <w:p w:rsidR="00E524C8" w:rsidRPr="00CB2DE6" w:rsidRDefault="00D67A39" w:rsidP="00AD7FAD">
            <w:pPr>
              <w:tabs>
                <w:tab w:val="left" w:pos="2538"/>
              </w:tabs>
              <w:spacing w:before="20" w:after="20"/>
              <w:jc w:val="cente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Panel A: Excess Return</w:t>
            </w:r>
            <w:r w:rsidR="00BB03E4" w:rsidRPr="00CB2DE6">
              <w:rPr>
                <w:rFonts w:ascii="Times New Roman" w:eastAsia="Times New Roman" w:hAnsi="Times New Roman" w:cs="Times New Roman"/>
                <w:bCs/>
                <w:color w:val="000000"/>
                <w:sz w:val="19"/>
                <w:szCs w:val="19"/>
              </w:rPr>
              <w:t>s</w:t>
            </w:r>
            <w:r w:rsidR="00E524C8" w:rsidRPr="00CB2DE6">
              <w:rPr>
                <w:rFonts w:ascii="Times New Roman" w:eastAsia="Times New Roman" w:hAnsi="Times New Roman" w:cs="Times New Roman"/>
                <w:bCs/>
                <w:color w:val="000000"/>
                <w:sz w:val="19"/>
                <w:szCs w:val="19"/>
              </w:rPr>
              <w:t xml:space="preserve"> (without b</w:t>
            </w:r>
            <w:r w:rsidR="00923793" w:rsidRPr="00CB2DE6">
              <w:rPr>
                <w:rFonts w:ascii="Times New Roman" w:eastAsia="Times New Roman" w:hAnsi="Times New Roman" w:cs="Times New Roman"/>
                <w:bCs/>
                <w:color w:val="000000"/>
                <w:sz w:val="19"/>
                <w:szCs w:val="19"/>
              </w:rPr>
              <w:t>id</w:t>
            </w:r>
            <w:r w:rsidR="00E524C8" w:rsidRPr="00CB2DE6">
              <w:rPr>
                <w:rFonts w:ascii="Times New Roman" w:eastAsia="Times New Roman" w:hAnsi="Times New Roman" w:cs="Times New Roman"/>
                <w:bCs/>
                <w:color w:val="000000"/>
                <w:sz w:val="19"/>
                <w:szCs w:val="19"/>
              </w:rPr>
              <w:t>-a</w:t>
            </w:r>
            <w:r w:rsidR="00923793" w:rsidRPr="00CB2DE6">
              <w:rPr>
                <w:rFonts w:ascii="Times New Roman" w:eastAsia="Times New Roman" w:hAnsi="Times New Roman" w:cs="Times New Roman"/>
                <w:bCs/>
                <w:color w:val="000000"/>
                <w:sz w:val="19"/>
                <w:szCs w:val="19"/>
              </w:rPr>
              <w:t>sk</w:t>
            </w:r>
            <w:r w:rsidR="00E524C8" w:rsidRPr="00CB2DE6">
              <w:rPr>
                <w:rFonts w:ascii="Times New Roman" w:eastAsia="Times New Roman" w:hAnsi="Times New Roman" w:cs="Times New Roman"/>
                <w:bCs/>
                <w:color w:val="000000"/>
                <w:sz w:val="19"/>
                <w:szCs w:val="19"/>
              </w:rPr>
              <w:t>)</w:t>
            </w:r>
          </w:p>
        </w:tc>
      </w:tr>
      <w:tr w:rsidR="0061303C" w:rsidRPr="00CB2DE6" w:rsidTr="00AD7FAD">
        <w:trPr>
          <w:trHeight w:val="70"/>
          <w:jc w:val="center"/>
        </w:trPr>
        <w:tc>
          <w:tcPr>
            <w:tcW w:w="0" w:type="auto"/>
            <w:tcBorders>
              <w:top w:val="single" w:sz="4" w:space="0" w:color="auto"/>
            </w:tcBorders>
            <w:shd w:val="clear" w:color="auto" w:fill="auto"/>
            <w:noWrap/>
            <w:vAlign w:val="bottom"/>
            <w:hideMark/>
          </w:tcPr>
          <w:p w:rsidR="007A4AA0" w:rsidRPr="00CB2DE6" w:rsidRDefault="007A4AA0" w:rsidP="00AD7FAD">
            <w:pPr>
              <w:spacing w:before="20" w:after="20"/>
              <w:rPr>
                <w:rFonts w:ascii="Times New Roman" w:eastAsia="Times New Roman" w:hAnsi="Times New Roman" w:cs="Times New Roman"/>
                <w:color w:val="000000"/>
                <w:sz w:val="19"/>
                <w:szCs w:val="19"/>
              </w:rPr>
            </w:pPr>
            <w:r w:rsidRPr="00CB2DE6">
              <w:rPr>
                <w:rFonts w:ascii="Times New Roman" w:eastAsia="Times New Roman" w:hAnsi="Times New Roman" w:cs="Times New Roman"/>
                <w:color w:val="000000"/>
                <w:sz w:val="19"/>
                <w:szCs w:val="19"/>
              </w:rPr>
              <w:t>Portfolio</w:t>
            </w:r>
          </w:p>
        </w:tc>
        <w:tc>
          <w:tcPr>
            <w:tcW w:w="0" w:type="auto"/>
            <w:tcBorders>
              <w:top w:val="single" w:sz="4" w:space="0" w:color="auto"/>
              <w:bottom w:val="single" w:sz="4" w:space="0" w:color="auto"/>
            </w:tcBorders>
            <w:shd w:val="clear" w:color="auto" w:fill="auto"/>
            <w:noWrap/>
            <w:vAlign w:val="bottom"/>
            <w:hideMark/>
          </w:tcPr>
          <w:p w:rsidR="007A4AA0" w:rsidRPr="00CB2DE6" w:rsidRDefault="007A4AA0" w:rsidP="00CF48DB">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w:t>
            </w:r>
          </w:p>
        </w:tc>
        <w:tc>
          <w:tcPr>
            <w:tcW w:w="0" w:type="auto"/>
            <w:tcBorders>
              <w:top w:val="single" w:sz="4" w:space="0" w:color="auto"/>
              <w:bottom w:val="single" w:sz="4" w:space="0" w:color="auto"/>
            </w:tcBorders>
            <w:shd w:val="clear" w:color="auto" w:fill="auto"/>
            <w:noWrap/>
            <w:vAlign w:val="bottom"/>
            <w:hideMark/>
          </w:tcPr>
          <w:p w:rsidR="007A4AA0" w:rsidRPr="00CB2DE6" w:rsidRDefault="007A4AA0" w:rsidP="00CF48DB">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2</w:t>
            </w:r>
          </w:p>
        </w:tc>
        <w:tc>
          <w:tcPr>
            <w:tcW w:w="0" w:type="auto"/>
            <w:tcBorders>
              <w:top w:val="single" w:sz="4" w:space="0" w:color="auto"/>
              <w:bottom w:val="single" w:sz="4" w:space="0" w:color="auto"/>
            </w:tcBorders>
            <w:shd w:val="clear" w:color="auto" w:fill="auto"/>
            <w:noWrap/>
            <w:vAlign w:val="bottom"/>
            <w:hideMark/>
          </w:tcPr>
          <w:p w:rsidR="007A4AA0" w:rsidRPr="00CB2DE6" w:rsidRDefault="007A4AA0" w:rsidP="00CF48DB">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3</w:t>
            </w:r>
          </w:p>
        </w:tc>
        <w:tc>
          <w:tcPr>
            <w:tcW w:w="0" w:type="auto"/>
            <w:tcBorders>
              <w:top w:val="single" w:sz="4" w:space="0" w:color="auto"/>
              <w:bottom w:val="single" w:sz="4" w:space="0" w:color="auto"/>
            </w:tcBorders>
            <w:shd w:val="clear" w:color="auto" w:fill="auto"/>
            <w:noWrap/>
            <w:vAlign w:val="bottom"/>
            <w:hideMark/>
          </w:tcPr>
          <w:p w:rsidR="007A4AA0" w:rsidRPr="00CB2DE6" w:rsidRDefault="007A4AA0" w:rsidP="00CF48DB">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4</w:t>
            </w:r>
          </w:p>
        </w:tc>
        <w:tc>
          <w:tcPr>
            <w:tcW w:w="0" w:type="auto"/>
            <w:tcBorders>
              <w:top w:val="single" w:sz="4" w:space="0" w:color="auto"/>
              <w:bottom w:val="single" w:sz="4" w:space="0" w:color="auto"/>
            </w:tcBorders>
            <w:shd w:val="clear" w:color="auto" w:fill="auto"/>
            <w:noWrap/>
            <w:vAlign w:val="bottom"/>
            <w:hideMark/>
          </w:tcPr>
          <w:p w:rsidR="007A4AA0" w:rsidRPr="00CB2DE6" w:rsidRDefault="007A4AA0" w:rsidP="00CF48DB">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5</w:t>
            </w:r>
          </w:p>
        </w:tc>
        <w:tc>
          <w:tcPr>
            <w:tcW w:w="0" w:type="auto"/>
            <w:tcBorders>
              <w:top w:val="single" w:sz="4" w:space="0" w:color="auto"/>
              <w:bottom w:val="single" w:sz="4" w:space="0" w:color="auto"/>
            </w:tcBorders>
            <w:shd w:val="clear" w:color="auto" w:fill="auto"/>
            <w:noWrap/>
            <w:vAlign w:val="bottom"/>
            <w:hideMark/>
          </w:tcPr>
          <w:p w:rsidR="007A4AA0" w:rsidRPr="00CB2DE6" w:rsidRDefault="00CF48DB" w:rsidP="00CF48DB">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w:t>
            </w:r>
            <w:r w:rsidR="00F8514C" w:rsidRPr="00CB2DE6">
              <w:rPr>
                <w:rFonts w:ascii="Times New Roman" w:eastAsia="Times New Roman" w:hAnsi="Times New Roman" w:cs="Times New Roman"/>
                <w:bCs/>
                <w:color w:val="000000"/>
                <w:sz w:val="19"/>
                <w:szCs w:val="19"/>
              </w:rPr>
              <w:t>Avg.</w:t>
            </w:r>
          </w:p>
        </w:tc>
        <w:tc>
          <w:tcPr>
            <w:tcW w:w="0" w:type="auto"/>
            <w:tcBorders>
              <w:top w:val="single" w:sz="4" w:space="0" w:color="auto"/>
              <w:bottom w:val="single" w:sz="4" w:space="0" w:color="auto"/>
            </w:tcBorders>
            <w:shd w:val="clear" w:color="auto" w:fill="auto"/>
            <w:noWrap/>
            <w:vAlign w:val="bottom"/>
            <w:hideMark/>
          </w:tcPr>
          <w:p w:rsidR="007A4AA0" w:rsidRPr="00CB2DE6" w:rsidRDefault="007A4AA0" w:rsidP="00CF48DB">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H</w:t>
            </w:r>
            <w:r w:rsidR="004F545B" w:rsidRPr="00CB2DE6">
              <w:rPr>
                <w:rFonts w:ascii="Times New Roman" w:eastAsia="Times New Roman" w:hAnsi="Times New Roman" w:cs="Times New Roman"/>
                <w:bCs/>
                <w:color w:val="000000"/>
                <w:sz w:val="19"/>
                <w:szCs w:val="19"/>
              </w:rPr>
              <w:t>M</w:t>
            </w:r>
            <w:r w:rsidRPr="00CB2DE6">
              <w:rPr>
                <w:rFonts w:ascii="Times New Roman" w:eastAsia="Times New Roman" w:hAnsi="Times New Roman" w:cs="Times New Roman"/>
                <w:bCs/>
                <w:color w:val="000000"/>
                <w:sz w:val="19"/>
                <w:szCs w:val="19"/>
              </w:rPr>
              <w:t>L</w:t>
            </w:r>
          </w:p>
        </w:tc>
        <w:tc>
          <w:tcPr>
            <w:tcW w:w="0" w:type="auto"/>
            <w:tcBorders>
              <w:top w:val="single" w:sz="4" w:space="0" w:color="auto"/>
              <w:bottom w:val="single" w:sz="4" w:space="0" w:color="auto"/>
            </w:tcBorders>
          </w:tcPr>
          <w:p w:rsidR="007A4AA0" w:rsidRPr="00CB2DE6" w:rsidRDefault="007A4AA0" w:rsidP="00CF48DB">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w:t>
            </w:r>
            <w:r w:rsidR="00807D3F" w:rsidRPr="00CB2DE6">
              <w:rPr>
                <w:rFonts w:ascii="Times New Roman" w:eastAsia="Times New Roman" w:hAnsi="Times New Roman" w:cs="Times New Roman"/>
                <w:bCs/>
                <w:color w:val="000000"/>
                <w:sz w:val="19"/>
                <w:szCs w:val="19"/>
              </w:rPr>
              <w:t xml:space="preserve"> </w:t>
            </w:r>
            <w:r w:rsidRPr="00CB2DE6">
              <w:rPr>
                <w:rFonts w:ascii="Times New Roman" w:eastAsia="Times New Roman" w:hAnsi="Times New Roman" w:cs="Times New Roman"/>
                <w:bCs/>
                <w:color w:val="000000"/>
                <w:sz w:val="19"/>
                <w:szCs w:val="19"/>
              </w:rPr>
              <w:t>MR</w:t>
            </w:r>
          </w:p>
        </w:tc>
      </w:tr>
      <w:tr w:rsidR="0061303C" w:rsidRPr="00CB2DE6" w:rsidTr="00AD7FAD">
        <w:trPr>
          <w:trHeight w:val="70"/>
          <w:jc w:val="center"/>
        </w:trPr>
        <w:tc>
          <w:tcPr>
            <w:tcW w:w="0" w:type="auto"/>
            <w:shd w:val="clear" w:color="auto" w:fill="auto"/>
            <w:noWrap/>
            <w:vAlign w:val="bottom"/>
            <w:hideMark/>
          </w:tcPr>
          <w:p w:rsidR="00DB21D5" w:rsidRPr="00CB2DE6" w:rsidRDefault="00DB21D5" w:rsidP="009E0DAF">
            <w:pPr>
              <w:spacing w:before="120"/>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Mean</w:t>
            </w:r>
          </w:p>
        </w:tc>
        <w:tc>
          <w:tcPr>
            <w:tcW w:w="0" w:type="auto"/>
            <w:shd w:val="clear" w:color="auto" w:fill="auto"/>
            <w:noWrap/>
          </w:tcPr>
          <w:p w:rsidR="00DB21D5" w:rsidRPr="00CB2DE6" w:rsidRDefault="00DB21D5"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-2.10</w:t>
            </w:r>
          </w:p>
        </w:tc>
        <w:tc>
          <w:tcPr>
            <w:tcW w:w="0" w:type="auto"/>
            <w:shd w:val="clear" w:color="auto" w:fill="auto"/>
            <w:noWrap/>
          </w:tcPr>
          <w:p w:rsidR="00DB21D5" w:rsidRPr="00CB2DE6" w:rsidRDefault="00DB21D5"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0.06</w:t>
            </w:r>
          </w:p>
        </w:tc>
        <w:tc>
          <w:tcPr>
            <w:tcW w:w="0" w:type="auto"/>
            <w:shd w:val="clear" w:color="auto" w:fill="auto"/>
            <w:noWrap/>
          </w:tcPr>
          <w:p w:rsidR="00DB21D5" w:rsidRPr="00CB2DE6" w:rsidRDefault="00DB21D5"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2.63</w:t>
            </w:r>
          </w:p>
        </w:tc>
        <w:tc>
          <w:tcPr>
            <w:tcW w:w="0" w:type="auto"/>
            <w:shd w:val="clear" w:color="auto" w:fill="auto"/>
            <w:noWrap/>
          </w:tcPr>
          <w:p w:rsidR="00DB21D5" w:rsidRPr="00CB2DE6" w:rsidRDefault="00DB21D5"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3.08</w:t>
            </w:r>
          </w:p>
        </w:tc>
        <w:tc>
          <w:tcPr>
            <w:tcW w:w="0" w:type="auto"/>
            <w:shd w:val="clear" w:color="auto" w:fill="auto"/>
            <w:noWrap/>
          </w:tcPr>
          <w:p w:rsidR="00DB21D5" w:rsidRPr="00CB2DE6" w:rsidRDefault="00DB21D5"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5.89</w:t>
            </w:r>
          </w:p>
        </w:tc>
        <w:tc>
          <w:tcPr>
            <w:tcW w:w="0" w:type="auto"/>
            <w:shd w:val="clear" w:color="auto" w:fill="auto"/>
            <w:noWrap/>
          </w:tcPr>
          <w:p w:rsidR="00DB21D5" w:rsidRPr="00CB2DE6" w:rsidRDefault="00DB21D5"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1.91</w:t>
            </w:r>
          </w:p>
        </w:tc>
        <w:tc>
          <w:tcPr>
            <w:tcW w:w="0" w:type="auto"/>
            <w:shd w:val="clear" w:color="auto" w:fill="auto"/>
            <w:noWrap/>
          </w:tcPr>
          <w:p w:rsidR="00DB21D5" w:rsidRPr="00CB2DE6" w:rsidRDefault="00DB21D5"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7.99</w:t>
            </w:r>
          </w:p>
        </w:tc>
        <w:tc>
          <w:tcPr>
            <w:tcW w:w="0" w:type="auto"/>
          </w:tcPr>
          <w:p w:rsidR="00DB21D5" w:rsidRPr="00CB2DE6" w:rsidRDefault="00CA7E0C" w:rsidP="00CF48DB">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w:t>
            </w:r>
            <w:r w:rsidR="00525FF9" w:rsidRPr="00CB2DE6">
              <w:rPr>
                <w:rFonts w:ascii="Times New Roman" w:eastAsia="Times New Roman" w:hAnsi="Times New Roman" w:cs="Times New Roman"/>
                <w:bCs/>
                <w:color w:val="000000"/>
                <w:sz w:val="19"/>
                <w:szCs w:val="19"/>
              </w:rPr>
              <w:t>0.00</w:t>
            </w:r>
            <w:r w:rsidR="00DB21D5" w:rsidRPr="00CB2DE6">
              <w:rPr>
                <w:rFonts w:ascii="Times New Roman" w:eastAsia="Times New Roman" w:hAnsi="Times New Roman" w:cs="Times New Roman"/>
                <w:bCs/>
                <w:color w:val="000000"/>
                <w:sz w:val="19"/>
                <w:szCs w:val="19"/>
              </w:rPr>
              <w:t>)</w:t>
            </w:r>
          </w:p>
        </w:tc>
      </w:tr>
      <w:tr w:rsidR="0061303C" w:rsidRPr="00CB2DE6" w:rsidTr="00AD7FAD">
        <w:trPr>
          <w:trHeight w:val="80"/>
          <w:jc w:val="center"/>
        </w:trPr>
        <w:tc>
          <w:tcPr>
            <w:tcW w:w="0" w:type="auto"/>
            <w:shd w:val="clear" w:color="auto" w:fill="auto"/>
            <w:noWrap/>
            <w:vAlign w:val="bottom"/>
          </w:tcPr>
          <w:p w:rsidR="007A4AA0" w:rsidRPr="00CB2DE6" w:rsidRDefault="007A4AA0" w:rsidP="007510F5">
            <w:pPr>
              <w:rPr>
                <w:rFonts w:ascii="Times New Roman" w:eastAsia="Times New Roman" w:hAnsi="Times New Roman" w:cs="Times New Roman"/>
                <w:bCs/>
                <w:color w:val="000000"/>
                <w:sz w:val="19"/>
                <w:szCs w:val="19"/>
              </w:rPr>
            </w:pPr>
          </w:p>
        </w:tc>
        <w:tc>
          <w:tcPr>
            <w:tcW w:w="0" w:type="auto"/>
            <w:shd w:val="clear" w:color="auto" w:fill="auto"/>
            <w:noWrap/>
            <w:vAlign w:val="bottom"/>
          </w:tcPr>
          <w:p w:rsidR="007A4AA0" w:rsidRPr="00CB2DE6" w:rsidRDefault="00AC7D8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w:t>
            </w:r>
            <w:r w:rsidR="00181DA2" w:rsidRPr="00CB2DE6">
              <w:rPr>
                <w:rFonts w:ascii="Times New Roman" w:eastAsia="Times New Roman" w:hAnsi="Times New Roman" w:cs="Times New Roman"/>
                <w:bCs/>
                <w:color w:val="000000"/>
                <w:sz w:val="19"/>
                <w:szCs w:val="19"/>
              </w:rPr>
              <w:t>-1.</w:t>
            </w:r>
            <w:r w:rsidR="00E73A00" w:rsidRPr="00CB2DE6">
              <w:rPr>
                <w:rFonts w:ascii="Times New Roman" w:eastAsia="Times New Roman" w:hAnsi="Times New Roman" w:cs="Times New Roman"/>
                <w:bCs/>
                <w:color w:val="000000"/>
                <w:sz w:val="19"/>
                <w:szCs w:val="19"/>
              </w:rPr>
              <w:t>46</w:t>
            </w:r>
            <w:r w:rsidRPr="00CB2DE6">
              <w:rPr>
                <w:rFonts w:ascii="Times New Roman" w:eastAsia="Times New Roman" w:hAnsi="Times New Roman" w:cs="Times New Roman"/>
                <w:bCs/>
                <w:color w:val="000000"/>
                <w:sz w:val="19"/>
                <w:szCs w:val="19"/>
              </w:rPr>
              <w:t>]</w:t>
            </w:r>
          </w:p>
        </w:tc>
        <w:tc>
          <w:tcPr>
            <w:tcW w:w="0" w:type="auto"/>
            <w:shd w:val="clear" w:color="auto" w:fill="auto"/>
            <w:noWrap/>
            <w:vAlign w:val="bottom"/>
          </w:tcPr>
          <w:p w:rsidR="007A4AA0" w:rsidRPr="00CB2DE6" w:rsidRDefault="00AC7D8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w:t>
            </w:r>
            <w:r w:rsidR="00AC64F3" w:rsidRPr="00CB2DE6">
              <w:rPr>
                <w:rFonts w:ascii="Times New Roman" w:eastAsia="Times New Roman" w:hAnsi="Times New Roman" w:cs="Times New Roman"/>
                <w:bCs/>
                <w:color w:val="000000"/>
                <w:sz w:val="19"/>
                <w:szCs w:val="19"/>
              </w:rPr>
              <w:t>0.</w:t>
            </w:r>
            <w:r w:rsidR="00E73A00" w:rsidRPr="00CB2DE6">
              <w:rPr>
                <w:rFonts w:ascii="Times New Roman" w:eastAsia="Times New Roman" w:hAnsi="Times New Roman" w:cs="Times New Roman"/>
                <w:bCs/>
                <w:color w:val="000000"/>
                <w:sz w:val="19"/>
                <w:szCs w:val="19"/>
              </w:rPr>
              <w:t>0</w:t>
            </w:r>
            <w:r w:rsidR="00AC64F3" w:rsidRPr="00CB2DE6">
              <w:rPr>
                <w:rFonts w:ascii="Times New Roman" w:eastAsia="Times New Roman" w:hAnsi="Times New Roman" w:cs="Times New Roman"/>
                <w:bCs/>
                <w:color w:val="000000"/>
                <w:sz w:val="19"/>
                <w:szCs w:val="19"/>
              </w:rPr>
              <w:t>4</w:t>
            </w:r>
            <w:r w:rsidRPr="00CB2DE6">
              <w:rPr>
                <w:rFonts w:ascii="Times New Roman" w:eastAsia="Times New Roman" w:hAnsi="Times New Roman" w:cs="Times New Roman"/>
                <w:bCs/>
                <w:color w:val="000000"/>
                <w:sz w:val="19"/>
                <w:szCs w:val="19"/>
              </w:rPr>
              <w:t>]</w:t>
            </w:r>
          </w:p>
        </w:tc>
        <w:tc>
          <w:tcPr>
            <w:tcW w:w="0" w:type="auto"/>
            <w:shd w:val="clear" w:color="auto" w:fill="auto"/>
            <w:noWrap/>
            <w:vAlign w:val="bottom"/>
          </w:tcPr>
          <w:p w:rsidR="007A4AA0" w:rsidRPr="00CB2DE6" w:rsidRDefault="007775E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w:t>
            </w:r>
            <w:r w:rsidR="00AC7D88" w:rsidRPr="00CB2DE6">
              <w:rPr>
                <w:rFonts w:ascii="Times New Roman" w:eastAsia="Times New Roman" w:hAnsi="Times New Roman" w:cs="Times New Roman"/>
                <w:bCs/>
                <w:color w:val="000000"/>
                <w:sz w:val="19"/>
                <w:szCs w:val="19"/>
              </w:rPr>
              <w:t>[</w:t>
            </w:r>
            <w:r w:rsidRPr="00CB2DE6">
              <w:rPr>
                <w:rFonts w:ascii="Times New Roman" w:eastAsia="Times New Roman" w:hAnsi="Times New Roman" w:cs="Times New Roman"/>
                <w:bCs/>
                <w:color w:val="000000"/>
                <w:sz w:val="19"/>
                <w:szCs w:val="19"/>
              </w:rPr>
              <w:t>1.</w:t>
            </w:r>
            <w:r w:rsidR="00E73A00" w:rsidRPr="00CB2DE6">
              <w:rPr>
                <w:rFonts w:ascii="Times New Roman" w:eastAsia="Times New Roman" w:hAnsi="Times New Roman" w:cs="Times New Roman"/>
                <w:bCs/>
                <w:color w:val="000000"/>
                <w:sz w:val="19"/>
                <w:szCs w:val="19"/>
              </w:rPr>
              <w:t>49</w:t>
            </w:r>
            <w:r w:rsidR="00AC7D88" w:rsidRPr="00CB2DE6">
              <w:rPr>
                <w:rFonts w:ascii="Times New Roman" w:eastAsia="Times New Roman" w:hAnsi="Times New Roman" w:cs="Times New Roman"/>
                <w:bCs/>
                <w:color w:val="000000"/>
                <w:sz w:val="19"/>
                <w:szCs w:val="19"/>
              </w:rPr>
              <w:t>]</w:t>
            </w:r>
          </w:p>
        </w:tc>
        <w:tc>
          <w:tcPr>
            <w:tcW w:w="0" w:type="auto"/>
            <w:shd w:val="clear" w:color="auto" w:fill="auto"/>
            <w:noWrap/>
            <w:vAlign w:val="bottom"/>
          </w:tcPr>
          <w:p w:rsidR="007A4AA0" w:rsidRPr="00CB2DE6" w:rsidRDefault="00AC7D8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w:t>
            </w:r>
            <w:r w:rsidR="00E73A00" w:rsidRPr="00CB2DE6">
              <w:rPr>
                <w:rFonts w:ascii="Times New Roman" w:eastAsia="Times New Roman" w:hAnsi="Times New Roman" w:cs="Times New Roman"/>
                <w:bCs/>
                <w:color w:val="000000"/>
                <w:sz w:val="19"/>
                <w:szCs w:val="19"/>
              </w:rPr>
              <w:t>1.72</w:t>
            </w:r>
            <w:r w:rsidRPr="00CB2DE6">
              <w:rPr>
                <w:rFonts w:ascii="Times New Roman" w:eastAsia="Times New Roman" w:hAnsi="Times New Roman" w:cs="Times New Roman"/>
                <w:bCs/>
                <w:color w:val="000000"/>
                <w:sz w:val="19"/>
                <w:szCs w:val="19"/>
              </w:rPr>
              <w:t>]</w:t>
            </w:r>
          </w:p>
        </w:tc>
        <w:tc>
          <w:tcPr>
            <w:tcW w:w="0" w:type="auto"/>
            <w:shd w:val="clear" w:color="auto" w:fill="auto"/>
            <w:noWrap/>
            <w:vAlign w:val="bottom"/>
          </w:tcPr>
          <w:p w:rsidR="007A4AA0" w:rsidRPr="00CB2DE6" w:rsidRDefault="00AC7D8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w:t>
            </w:r>
            <w:r w:rsidR="00902A07" w:rsidRPr="00CB2DE6">
              <w:rPr>
                <w:rFonts w:ascii="Times New Roman" w:eastAsia="Times New Roman" w:hAnsi="Times New Roman" w:cs="Times New Roman"/>
                <w:bCs/>
                <w:color w:val="000000"/>
                <w:sz w:val="19"/>
                <w:szCs w:val="19"/>
              </w:rPr>
              <w:t>2.</w:t>
            </w:r>
            <w:r w:rsidR="00E73A00" w:rsidRPr="00CB2DE6">
              <w:rPr>
                <w:rFonts w:ascii="Times New Roman" w:eastAsia="Times New Roman" w:hAnsi="Times New Roman" w:cs="Times New Roman"/>
                <w:bCs/>
                <w:color w:val="000000"/>
                <w:sz w:val="19"/>
                <w:szCs w:val="19"/>
              </w:rPr>
              <w:t>71</w:t>
            </w:r>
            <w:r w:rsidRPr="00CB2DE6">
              <w:rPr>
                <w:rFonts w:ascii="Times New Roman" w:eastAsia="Times New Roman" w:hAnsi="Times New Roman" w:cs="Times New Roman"/>
                <w:bCs/>
                <w:color w:val="000000"/>
                <w:sz w:val="19"/>
                <w:szCs w:val="19"/>
              </w:rPr>
              <w:t>]</w:t>
            </w:r>
          </w:p>
        </w:tc>
        <w:tc>
          <w:tcPr>
            <w:tcW w:w="0" w:type="auto"/>
            <w:shd w:val="clear" w:color="auto" w:fill="auto"/>
            <w:noWrap/>
            <w:vAlign w:val="bottom"/>
          </w:tcPr>
          <w:p w:rsidR="007A4AA0" w:rsidRPr="00CB2DE6" w:rsidRDefault="00902A07"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w:t>
            </w:r>
            <w:r w:rsidR="00AC7D88" w:rsidRPr="00CB2DE6">
              <w:rPr>
                <w:rFonts w:ascii="Times New Roman" w:eastAsia="Times New Roman" w:hAnsi="Times New Roman" w:cs="Times New Roman"/>
                <w:bCs/>
                <w:color w:val="000000"/>
                <w:sz w:val="19"/>
                <w:szCs w:val="19"/>
              </w:rPr>
              <w:t>[</w:t>
            </w:r>
            <w:r w:rsidRPr="00CB2DE6">
              <w:rPr>
                <w:rFonts w:ascii="Times New Roman" w:eastAsia="Times New Roman" w:hAnsi="Times New Roman" w:cs="Times New Roman"/>
                <w:bCs/>
                <w:color w:val="000000"/>
                <w:sz w:val="19"/>
                <w:szCs w:val="19"/>
              </w:rPr>
              <w:t>1.</w:t>
            </w:r>
            <w:r w:rsidR="00E73A00" w:rsidRPr="00CB2DE6">
              <w:rPr>
                <w:rFonts w:ascii="Times New Roman" w:eastAsia="Times New Roman" w:hAnsi="Times New Roman" w:cs="Times New Roman"/>
                <w:bCs/>
                <w:color w:val="000000"/>
                <w:sz w:val="19"/>
                <w:szCs w:val="19"/>
              </w:rPr>
              <w:t>20</w:t>
            </w:r>
            <w:r w:rsidR="00AC7D88" w:rsidRPr="00CB2DE6">
              <w:rPr>
                <w:rFonts w:ascii="Times New Roman" w:eastAsia="Times New Roman" w:hAnsi="Times New Roman" w:cs="Times New Roman"/>
                <w:bCs/>
                <w:color w:val="000000"/>
                <w:sz w:val="19"/>
                <w:szCs w:val="19"/>
              </w:rPr>
              <w:t>]</w:t>
            </w:r>
          </w:p>
        </w:tc>
        <w:tc>
          <w:tcPr>
            <w:tcW w:w="0" w:type="auto"/>
            <w:shd w:val="clear" w:color="auto" w:fill="auto"/>
            <w:noWrap/>
            <w:vAlign w:val="bottom"/>
          </w:tcPr>
          <w:p w:rsidR="007A4AA0" w:rsidRPr="00CB2DE6" w:rsidRDefault="00A656A1"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w:t>
            </w:r>
            <w:r w:rsidR="00AC7D88" w:rsidRPr="00CB2DE6">
              <w:rPr>
                <w:rFonts w:ascii="Times New Roman" w:eastAsia="Times New Roman" w:hAnsi="Times New Roman" w:cs="Times New Roman"/>
                <w:bCs/>
                <w:color w:val="000000"/>
                <w:sz w:val="19"/>
                <w:szCs w:val="19"/>
              </w:rPr>
              <w:t>[</w:t>
            </w:r>
            <w:r w:rsidR="00B73AAC" w:rsidRPr="00CB2DE6">
              <w:rPr>
                <w:rFonts w:ascii="Times New Roman" w:eastAsia="Times New Roman" w:hAnsi="Times New Roman" w:cs="Times New Roman"/>
                <w:bCs/>
                <w:color w:val="000000"/>
                <w:sz w:val="19"/>
                <w:szCs w:val="19"/>
              </w:rPr>
              <w:t>4.</w:t>
            </w:r>
            <w:r w:rsidR="00E73A00" w:rsidRPr="00CB2DE6">
              <w:rPr>
                <w:rFonts w:ascii="Times New Roman" w:eastAsia="Times New Roman" w:hAnsi="Times New Roman" w:cs="Times New Roman"/>
                <w:bCs/>
                <w:color w:val="000000"/>
                <w:sz w:val="19"/>
                <w:szCs w:val="19"/>
              </w:rPr>
              <w:t>58</w:t>
            </w:r>
            <w:r w:rsidR="00AC7D88" w:rsidRPr="00CB2DE6">
              <w:rPr>
                <w:rFonts w:ascii="Times New Roman" w:eastAsia="Times New Roman" w:hAnsi="Times New Roman" w:cs="Times New Roman"/>
                <w:bCs/>
                <w:color w:val="000000"/>
                <w:sz w:val="19"/>
                <w:szCs w:val="19"/>
              </w:rPr>
              <w:t>]</w:t>
            </w:r>
          </w:p>
        </w:tc>
        <w:tc>
          <w:tcPr>
            <w:tcW w:w="0" w:type="auto"/>
          </w:tcPr>
          <w:p w:rsidR="007A4AA0" w:rsidRPr="00CB2DE6" w:rsidRDefault="007A4AA0"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DB21D5" w:rsidRPr="00CB2DE6" w:rsidRDefault="00DB21D5" w:rsidP="007510F5">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Median</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-1.81</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2.45</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2.58</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5.29</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9.26</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3.35</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11.82</w:t>
            </w:r>
          </w:p>
        </w:tc>
        <w:tc>
          <w:tcPr>
            <w:tcW w:w="0" w:type="auto"/>
          </w:tcPr>
          <w:p w:rsidR="00DB21D5" w:rsidRPr="00CB2DE6" w:rsidRDefault="00DB21D5"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DB21D5" w:rsidRPr="00CB2DE6" w:rsidRDefault="00DB21D5" w:rsidP="007510F5">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Std. Dev.</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6.97</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7.73</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8.27</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8.32</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9.06</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7.32</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7.30</w:t>
            </w:r>
          </w:p>
        </w:tc>
        <w:tc>
          <w:tcPr>
            <w:tcW w:w="0" w:type="auto"/>
          </w:tcPr>
          <w:p w:rsidR="00DB21D5" w:rsidRPr="00CB2DE6" w:rsidRDefault="00DB21D5"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DB21D5" w:rsidRPr="00CB2DE6" w:rsidRDefault="00DB21D5" w:rsidP="007510F5">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Skewness</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-0.15</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-0.76</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-0.58</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-0.82</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-1.05</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-0.73</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-0.93</w:t>
            </w:r>
          </w:p>
        </w:tc>
        <w:tc>
          <w:tcPr>
            <w:tcW w:w="0" w:type="auto"/>
          </w:tcPr>
          <w:p w:rsidR="00DB21D5" w:rsidRPr="00CB2DE6" w:rsidRDefault="00DB21D5"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DB21D5" w:rsidRPr="00CB2DE6" w:rsidRDefault="00DB21D5" w:rsidP="007510F5">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Kurtosis</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3.68</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4.89</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4.98</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5.19</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6.13</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4.76</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4.95</w:t>
            </w:r>
          </w:p>
        </w:tc>
        <w:tc>
          <w:tcPr>
            <w:tcW w:w="0" w:type="auto"/>
          </w:tcPr>
          <w:p w:rsidR="00DB21D5" w:rsidRPr="00CB2DE6" w:rsidRDefault="00DB21D5"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DB21D5" w:rsidRPr="00CB2DE6" w:rsidRDefault="00DB21D5" w:rsidP="007510F5">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Sharpe Ratio</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-0.30</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0.01</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0.32</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0.37</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0.65</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0.26</w:t>
            </w:r>
          </w:p>
        </w:tc>
        <w:tc>
          <w:tcPr>
            <w:tcW w:w="0" w:type="auto"/>
            <w:shd w:val="clear" w:color="auto" w:fill="auto"/>
            <w:noWrap/>
          </w:tcPr>
          <w:p w:rsidR="00DB21D5" w:rsidRPr="00CB2DE6" w:rsidRDefault="00DB21D5" w:rsidP="00CF48DB">
            <w:pPr>
              <w:jc w:val="right"/>
              <w:rPr>
                <w:rFonts w:ascii="Times New Roman" w:hAnsi="Times New Roman" w:cs="Times New Roman"/>
                <w:sz w:val="19"/>
                <w:szCs w:val="19"/>
              </w:rPr>
            </w:pPr>
            <w:r w:rsidRPr="00CB2DE6">
              <w:rPr>
                <w:rFonts w:ascii="Times New Roman" w:hAnsi="Times New Roman" w:cs="Times New Roman"/>
                <w:sz w:val="19"/>
                <w:szCs w:val="19"/>
              </w:rPr>
              <w:t>1.09</w:t>
            </w:r>
          </w:p>
        </w:tc>
        <w:tc>
          <w:tcPr>
            <w:tcW w:w="0" w:type="auto"/>
          </w:tcPr>
          <w:p w:rsidR="00DB21D5" w:rsidRPr="00CB2DE6" w:rsidRDefault="00DB21D5"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7A4AA0" w:rsidRPr="00CB2DE6" w:rsidRDefault="00ED4079" w:rsidP="007510F5">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AC</w:t>
            </w:r>
            <w:r w:rsidR="007A4AA0" w:rsidRPr="00CB2DE6">
              <w:rPr>
                <w:rFonts w:ascii="Times New Roman" w:eastAsia="Times New Roman" w:hAnsi="Times New Roman" w:cs="Times New Roman"/>
                <w:bCs/>
                <w:color w:val="000000"/>
                <w:sz w:val="19"/>
                <w:szCs w:val="19"/>
              </w:rPr>
              <w:t>(1)</w:t>
            </w:r>
          </w:p>
        </w:tc>
        <w:tc>
          <w:tcPr>
            <w:tcW w:w="0" w:type="auto"/>
            <w:shd w:val="clear" w:color="auto" w:fill="auto"/>
            <w:noWrap/>
            <w:vAlign w:val="bottom"/>
          </w:tcPr>
          <w:p w:rsidR="007A4AA0" w:rsidRPr="00CB2DE6" w:rsidRDefault="00181DA2"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w:t>
            </w:r>
            <w:r w:rsidR="00CD4DA6" w:rsidRPr="00CB2DE6">
              <w:rPr>
                <w:rFonts w:ascii="Times New Roman" w:eastAsia="Times New Roman" w:hAnsi="Times New Roman" w:cs="Times New Roman"/>
                <w:bCs/>
                <w:color w:val="000000"/>
                <w:sz w:val="19"/>
                <w:szCs w:val="19"/>
              </w:rPr>
              <w:t>8</w:t>
            </w:r>
          </w:p>
        </w:tc>
        <w:tc>
          <w:tcPr>
            <w:tcW w:w="0" w:type="auto"/>
            <w:shd w:val="clear" w:color="auto" w:fill="auto"/>
            <w:noWrap/>
            <w:vAlign w:val="bottom"/>
          </w:tcPr>
          <w:p w:rsidR="007A4AA0" w:rsidRPr="00CB2DE6" w:rsidRDefault="00AC64F3"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w:t>
            </w:r>
            <w:r w:rsidR="00CD4DA6" w:rsidRPr="00CB2DE6">
              <w:rPr>
                <w:rFonts w:ascii="Times New Roman" w:eastAsia="Times New Roman" w:hAnsi="Times New Roman" w:cs="Times New Roman"/>
                <w:bCs/>
                <w:color w:val="000000"/>
                <w:sz w:val="19"/>
                <w:szCs w:val="19"/>
              </w:rPr>
              <w:t>6</w:t>
            </w:r>
          </w:p>
        </w:tc>
        <w:tc>
          <w:tcPr>
            <w:tcW w:w="0" w:type="auto"/>
            <w:shd w:val="clear" w:color="auto" w:fill="auto"/>
            <w:noWrap/>
            <w:vAlign w:val="bottom"/>
          </w:tcPr>
          <w:p w:rsidR="007A4AA0" w:rsidRPr="00CB2DE6" w:rsidRDefault="007775E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w:t>
            </w:r>
            <w:r w:rsidR="00CD4DA6" w:rsidRPr="00CB2DE6">
              <w:rPr>
                <w:rFonts w:ascii="Times New Roman" w:eastAsia="Times New Roman" w:hAnsi="Times New Roman" w:cs="Times New Roman"/>
                <w:bCs/>
                <w:color w:val="000000"/>
                <w:sz w:val="19"/>
                <w:szCs w:val="19"/>
              </w:rPr>
              <w:t>11</w:t>
            </w:r>
          </w:p>
        </w:tc>
        <w:tc>
          <w:tcPr>
            <w:tcW w:w="0" w:type="auto"/>
            <w:shd w:val="clear" w:color="auto" w:fill="auto"/>
            <w:noWrap/>
            <w:vAlign w:val="bottom"/>
          </w:tcPr>
          <w:p w:rsidR="007A4AA0" w:rsidRPr="00CB2DE6" w:rsidRDefault="00902A07"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w:t>
            </w:r>
            <w:r w:rsidR="00CD4DA6" w:rsidRPr="00CB2DE6">
              <w:rPr>
                <w:rFonts w:ascii="Times New Roman" w:eastAsia="Times New Roman" w:hAnsi="Times New Roman" w:cs="Times New Roman"/>
                <w:bCs/>
                <w:color w:val="000000"/>
                <w:sz w:val="19"/>
                <w:szCs w:val="19"/>
              </w:rPr>
              <w:t>14</w:t>
            </w:r>
          </w:p>
        </w:tc>
        <w:tc>
          <w:tcPr>
            <w:tcW w:w="0" w:type="auto"/>
            <w:shd w:val="clear" w:color="auto" w:fill="auto"/>
            <w:noWrap/>
            <w:vAlign w:val="bottom"/>
          </w:tcPr>
          <w:p w:rsidR="007A4AA0" w:rsidRPr="00CB2DE6" w:rsidRDefault="00902A07"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w:t>
            </w:r>
            <w:r w:rsidR="00CD4DA6" w:rsidRPr="00CB2DE6">
              <w:rPr>
                <w:rFonts w:ascii="Times New Roman" w:eastAsia="Times New Roman" w:hAnsi="Times New Roman" w:cs="Times New Roman"/>
                <w:bCs/>
                <w:color w:val="000000"/>
                <w:sz w:val="19"/>
                <w:szCs w:val="19"/>
              </w:rPr>
              <w:t>22</w:t>
            </w:r>
          </w:p>
        </w:tc>
        <w:tc>
          <w:tcPr>
            <w:tcW w:w="0" w:type="auto"/>
            <w:shd w:val="clear" w:color="auto" w:fill="auto"/>
            <w:noWrap/>
            <w:vAlign w:val="bottom"/>
          </w:tcPr>
          <w:p w:rsidR="007A4AA0" w:rsidRPr="00CB2DE6" w:rsidRDefault="00902A07"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w:t>
            </w:r>
            <w:r w:rsidR="00CD4DA6" w:rsidRPr="00CB2DE6">
              <w:rPr>
                <w:rFonts w:ascii="Times New Roman" w:eastAsia="Times New Roman" w:hAnsi="Times New Roman" w:cs="Times New Roman"/>
                <w:bCs/>
                <w:color w:val="000000"/>
                <w:sz w:val="19"/>
                <w:szCs w:val="19"/>
              </w:rPr>
              <w:t>14</w:t>
            </w:r>
          </w:p>
        </w:tc>
        <w:tc>
          <w:tcPr>
            <w:tcW w:w="0" w:type="auto"/>
            <w:shd w:val="clear" w:color="auto" w:fill="auto"/>
            <w:noWrap/>
            <w:vAlign w:val="bottom"/>
          </w:tcPr>
          <w:p w:rsidR="007A4AA0" w:rsidRPr="00CB2DE6" w:rsidRDefault="00A656A1"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w:t>
            </w:r>
            <w:r w:rsidR="00CD4DA6" w:rsidRPr="00CB2DE6">
              <w:rPr>
                <w:rFonts w:ascii="Times New Roman" w:eastAsia="Times New Roman" w:hAnsi="Times New Roman" w:cs="Times New Roman"/>
                <w:bCs/>
                <w:color w:val="000000"/>
                <w:sz w:val="19"/>
                <w:szCs w:val="19"/>
              </w:rPr>
              <w:t>20</w:t>
            </w:r>
          </w:p>
        </w:tc>
        <w:tc>
          <w:tcPr>
            <w:tcW w:w="0" w:type="auto"/>
          </w:tcPr>
          <w:p w:rsidR="007A4AA0" w:rsidRPr="00CB2DE6" w:rsidRDefault="007A4AA0"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tcBorders>
              <w:bottom w:val="single" w:sz="4" w:space="0" w:color="auto"/>
            </w:tcBorders>
            <w:shd w:val="clear" w:color="auto" w:fill="auto"/>
            <w:noWrap/>
            <w:vAlign w:val="bottom"/>
            <w:hideMark/>
          </w:tcPr>
          <w:p w:rsidR="007A4AA0" w:rsidRPr="00CB2DE6" w:rsidRDefault="007A4AA0" w:rsidP="009E0DAF">
            <w:pPr>
              <w:spacing w:after="120"/>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i/>
                <w:color w:val="000000"/>
                <w:sz w:val="19"/>
                <w:szCs w:val="19"/>
              </w:rPr>
              <w:t>p</w:t>
            </w:r>
            <w:r w:rsidRPr="00CB2DE6">
              <w:rPr>
                <w:rFonts w:ascii="Times New Roman" w:eastAsia="Times New Roman" w:hAnsi="Times New Roman" w:cs="Times New Roman"/>
                <w:bCs/>
                <w:color w:val="000000"/>
                <w:sz w:val="19"/>
                <w:szCs w:val="19"/>
              </w:rPr>
              <w:t>-value</w:t>
            </w:r>
          </w:p>
        </w:tc>
        <w:tc>
          <w:tcPr>
            <w:tcW w:w="0" w:type="auto"/>
            <w:tcBorders>
              <w:bottom w:val="single" w:sz="4" w:space="0" w:color="auto"/>
            </w:tcBorders>
            <w:shd w:val="clear" w:color="auto" w:fill="auto"/>
            <w:noWrap/>
            <w:vAlign w:val="bottom"/>
          </w:tcPr>
          <w:p w:rsidR="007A4AA0" w:rsidRPr="00CB2DE6" w:rsidRDefault="00181DA2"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w:t>
            </w:r>
            <w:r w:rsidR="00CD4DA6" w:rsidRPr="00CB2DE6">
              <w:rPr>
                <w:rFonts w:ascii="Times New Roman" w:eastAsia="Times New Roman" w:hAnsi="Times New Roman" w:cs="Times New Roman"/>
                <w:bCs/>
                <w:color w:val="000000"/>
                <w:sz w:val="19"/>
                <w:szCs w:val="19"/>
              </w:rPr>
              <w:t>14</w:t>
            </w:r>
          </w:p>
        </w:tc>
        <w:tc>
          <w:tcPr>
            <w:tcW w:w="0" w:type="auto"/>
            <w:tcBorders>
              <w:bottom w:val="single" w:sz="4" w:space="0" w:color="auto"/>
            </w:tcBorders>
            <w:shd w:val="clear" w:color="auto" w:fill="auto"/>
            <w:noWrap/>
            <w:vAlign w:val="bottom"/>
          </w:tcPr>
          <w:p w:rsidR="007A4AA0" w:rsidRPr="00CB2DE6" w:rsidRDefault="00AC64F3"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w:t>
            </w:r>
            <w:r w:rsidR="00CD4DA6" w:rsidRPr="00CB2DE6">
              <w:rPr>
                <w:rFonts w:ascii="Times New Roman" w:eastAsia="Times New Roman" w:hAnsi="Times New Roman" w:cs="Times New Roman"/>
                <w:bCs/>
                <w:color w:val="000000"/>
                <w:sz w:val="19"/>
                <w:szCs w:val="19"/>
              </w:rPr>
              <w:t>27</w:t>
            </w:r>
          </w:p>
        </w:tc>
        <w:tc>
          <w:tcPr>
            <w:tcW w:w="0" w:type="auto"/>
            <w:tcBorders>
              <w:bottom w:val="single" w:sz="4" w:space="0" w:color="auto"/>
            </w:tcBorders>
            <w:shd w:val="clear" w:color="auto" w:fill="auto"/>
            <w:noWrap/>
            <w:vAlign w:val="bottom"/>
          </w:tcPr>
          <w:p w:rsidR="007A4AA0" w:rsidRPr="00CB2DE6" w:rsidRDefault="007775E8"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w:t>
            </w:r>
            <w:r w:rsidR="00CD4DA6" w:rsidRPr="00CB2DE6">
              <w:rPr>
                <w:rFonts w:ascii="Times New Roman" w:eastAsia="Times New Roman" w:hAnsi="Times New Roman" w:cs="Times New Roman"/>
                <w:bCs/>
                <w:color w:val="000000"/>
                <w:sz w:val="19"/>
                <w:szCs w:val="19"/>
              </w:rPr>
              <w:t>6</w:t>
            </w:r>
          </w:p>
        </w:tc>
        <w:tc>
          <w:tcPr>
            <w:tcW w:w="0" w:type="auto"/>
            <w:tcBorders>
              <w:bottom w:val="single" w:sz="4" w:space="0" w:color="auto"/>
            </w:tcBorders>
            <w:shd w:val="clear" w:color="auto" w:fill="auto"/>
            <w:noWrap/>
            <w:vAlign w:val="bottom"/>
          </w:tcPr>
          <w:p w:rsidR="007A4AA0" w:rsidRPr="00CB2DE6" w:rsidRDefault="00902A07"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w:t>
            </w:r>
            <w:r w:rsidR="00CD4DA6" w:rsidRPr="00CB2DE6">
              <w:rPr>
                <w:rFonts w:ascii="Times New Roman" w:eastAsia="Times New Roman" w:hAnsi="Times New Roman" w:cs="Times New Roman"/>
                <w:bCs/>
                <w:color w:val="000000"/>
                <w:sz w:val="19"/>
                <w:szCs w:val="19"/>
              </w:rPr>
              <w:t>02</w:t>
            </w:r>
          </w:p>
        </w:tc>
        <w:tc>
          <w:tcPr>
            <w:tcW w:w="0" w:type="auto"/>
            <w:tcBorders>
              <w:bottom w:val="single" w:sz="4" w:space="0" w:color="auto"/>
            </w:tcBorders>
            <w:shd w:val="clear" w:color="auto" w:fill="auto"/>
            <w:noWrap/>
            <w:vAlign w:val="bottom"/>
          </w:tcPr>
          <w:p w:rsidR="007A4AA0" w:rsidRPr="00CB2DE6" w:rsidRDefault="00902A07"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w:t>
            </w:r>
            <w:r w:rsidR="00CD4DA6" w:rsidRPr="00CB2DE6">
              <w:rPr>
                <w:rFonts w:ascii="Times New Roman" w:eastAsia="Times New Roman" w:hAnsi="Times New Roman" w:cs="Times New Roman"/>
                <w:bCs/>
                <w:color w:val="000000"/>
                <w:sz w:val="19"/>
                <w:szCs w:val="19"/>
              </w:rPr>
              <w:t>0</w:t>
            </w:r>
          </w:p>
        </w:tc>
        <w:tc>
          <w:tcPr>
            <w:tcW w:w="0" w:type="auto"/>
            <w:tcBorders>
              <w:bottom w:val="single" w:sz="4" w:space="0" w:color="auto"/>
            </w:tcBorders>
            <w:shd w:val="clear" w:color="auto" w:fill="auto"/>
            <w:noWrap/>
            <w:vAlign w:val="bottom"/>
          </w:tcPr>
          <w:p w:rsidR="007A4AA0" w:rsidRPr="00CB2DE6" w:rsidRDefault="00902A07"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w:t>
            </w:r>
            <w:r w:rsidR="00CD4DA6" w:rsidRPr="00CB2DE6">
              <w:rPr>
                <w:rFonts w:ascii="Times New Roman" w:eastAsia="Times New Roman" w:hAnsi="Times New Roman" w:cs="Times New Roman"/>
                <w:bCs/>
                <w:color w:val="000000"/>
                <w:sz w:val="19"/>
                <w:szCs w:val="19"/>
              </w:rPr>
              <w:t>02</w:t>
            </w:r>
          </w:p>
        </w:tc>
        <w:tc>
          <w:tcPr>
            <w:tcW w:w="0" w:type="auto"/>
            <w:tcBorders>
              <w:bottom w:val="single" w:sz="4" w:space="0" w:color="auto"/>
            </w:tcBorders>
            <w:shd w:val="clear" w:color="auto" w:fill="auto"/>
            <w:noWrap/>
            <w:vAlign w:val="bottom"/>
          </w:tcPr>
          <w:p w:rsidR="007A4AA0" w:rsidRPr="00CB2DE6" w:rsidRDefault="00A656A1"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0.00</w:t>
            </w:r>
          </w:p>
        </w:tc>
        <w:tc>
          <w:tcPr>
            <w:tcW w:w="0" w:type="auto"/>
            <w:tcBorders>
              <w:bottom w:val="single" w:sz="4" w:space="0" w:color="auto"/>
            </w:tcBorders>
          </w:tcPr>
          <w:p w:rsidR="007A4AA0" w:rsidRPr="00CB2DE6" w:rsidRDefault="007A4AA0" w:rsidP="00CF48DB">
            <w:pPr>
              <w:spacing w:after="120"/>
              <w:jc w:val="right"/>
              <w:rPr>
                <w:rFonts w:ascii="Times New Roman" w:eastAsia="Times New Roman" w:hAnsi="Times New Roman" w:cs="Times New Roman"/>
                <w:bCs/>
                <w:color w:val="000000"/>
                <w:sz w:val="19"/>
                <w:szCs w:val="19"/>
              </w:rPr>
            </w:pPr>
          </w:p>
        </w:tc>
      </w:tr>
      <w:tr w:rsidR="0061303C" w:rsidRPr="00CB2DE6" w:rsidTr="00AD7FAD">
        <w:trPr>
          <w:trHeight w:val="70"/>
          <w:jc w:val="center"/>
        </w:trPr>
        <w:tc>
          <w:tcPr>
            <w:tcW w:w="0" w:type="auto"/>
            <w:gridSpan w:val="9"/>
            <w:tcBorders>
              <w:top w:val="single" w:sz="4" w:space="0" w:color="auto"/>
              <w:bottom w:val="single" w:sz="4" w:space="0" w:color="auto"/>
            </w:tcBorders>
            <w:shd w:val="clear" w:color="auto" w:fill="auto"/>
            <w:noWrap/>
            <w:vAlign w:val="bottom"/>
            <w:hideMark/>
          </w:tcPr>
          <w:p w:rsidR="009A04B1" w:rsidRPr="00CB2DE6" w:rsidRDefault="00D67A39" w:rsidP="00D06A0C">
            <w:pPr>
              <w:spacing w:before="20" w:after="20"/>
              <w:jc w:val="cente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Panel B: Excess Return</w:t>
            </w:r>
            <w:r w:rsidR="00BB03E4" w:rsidRPr="00CB2DE6">
              <w:rPr>
                <w:rFonts w:ascii="Times New Roman" w:eastAsia="Times New Roman" w:hAnsi="Times New Roman" w:cs="Times New Roman"/>
                <w:bCs/>
                <w:color w:val="000000"/>
                <w:sz w:val="19"/>
                <w:szCs w:val="19"/>
              </w:rPr>
              <w:t>s</w:t>
            </w:r>
            <w:r w:rsidR="009A04B1" w:rsidRPr="00CB2DE6">
              <w:rPr>
                <w:rFonts w:ascii="Times New Roman" w:eastAsia="Times New Roman" w:hAnsi="Times New Roman" w:cs="Times New Roman"/>
                <w:bCs/>
                <w:color w:val="000000"/>
                <w:sz w:val="19"/>
                <w:szCs w:val="19"/>
              </w:rPr>
              <w:t xml:space="preserve"> (with b</w:t>
            </w:r>
            <w:r w:rsidR="00923793" w:rsidRPr="00CB2DE6">
              <w:rPr>
                <w:rFonts w:ascii="Times New Roman" w:eastAsia="Times New Roman" w:hAnsi="Times New Roman" w:cs="Times New Roman"/>
                <w:bCs/>
                <w:color w:val="000000"/>
                <w:sz w:val="19"/>
                <w:szCs w:val="19"/>
              </w:rPr>
              <w:t>id</w:t>
            </w:r>
            <w:r w:rsidR="009A04B1" w:rsidRPr="00CB2DE6">
              <w:rPr>
                <w:rFonts w:ascii="Times New Roman" w:eastAsia="Times New Roman" w:hAnsi="Times New Roman" w:cs="Times New Roman"/>
                <w:bCs/>
                <w:color w:val="000000"/>
                <w:sz w:val="19"/>
                <w:szCs w:val="19"/>
              </w:rPr>
              <w:t>-a</w:t>
            </w:r>
            <w:r w:rsidR="00923793" w:rsidRPr="00CB2DE6">
              <w:rPr>
                <w:rFonts w:ascii="Times New Roman" w:eastAsia="Times New Roman" w:hAnsi="Times New Roman" w:cs="Times New Roman"/>
                <w:bCs/>
                <w:color w:val="000000"/>
                <w:sz w:val="19"/>
                <w:szCs w:val="19"/>
              </w:rPr>
              <w:t>sk</w:t>
            </w:r>
            <w:r w:rsidR="009A04B1" w:rsidRPr="00CB2DE6">
              <w:rPr>
                <w:rFonts w:ascii="Times New Roman" w:eastAsia="Times New Roman" w:hAnsi="Times New Roman" w:cs="Times New Roman"/>
                <w:bCs/>
                <w:color w:val="000000"/>
                <w:sz w:val="19"/>
                <w:szCs w:val="19"/>
              </w:rPr>
              <w:t>)</w:t>
            </w:r>
          </w:p>
        </w:tc>
      </w:tr>
      <w:tr w:rsidR="0061303C" w:rsidRPr="00CB2DE6" w:rsidTr="00AD7FAD">
        <w:trPr>
          <w:trHeight w:val="70"/>
          <w:jc w:val="center"/>
        </w:trPr>
        <w:tc>
          <w:tcPr>
            <w:tcW w:w="0" w:type="auto"/>
            <w:tcBorders>
              <w:top w:val="single" w:sz="4" w:space="0" w:color="auto"/>
            </w:tcBorders>
            <w:shd w:val="clear" w:color="auto" w:fill="auto"/>
            <w:noWrap/>
            <w:vAlign w:val="bottom"/>
          </w:tcPr>
          <w:p w:rsidR="007A4AA0" w:rsidRPr="00CB2DE6" w:rsidRDefault="007A4AA0" w:rsidP="00AD7FAD">
            <w:pPr>
              <w:spacing w:before="20" w:after="20"/>
              <w:rPr>
                <w:rFonts w:ascii="Times New Roman" w:eastAsia="Times New Roman" w:hAnsi="Times New Roman" w:cs="Times New Roman"/>
                <w:color w:val="000000"/>
                <w:sz w:val="19"/>
                <w:szCs w:val="19"/>
              </w:rPr>
            </w:pPr>
            <w:r w:rsidRPr="00CB2DE6">
              <w:rPr>
                <w:rFonts w:ascii="Times New Roman" w:eastAsia="Times New Roman" w:hAnsi="Times New Roman" w:cs="Times New Roman"/>
                <w:color w:val="000000"/>
                <w:sz w:val="19"/>
                <w:szCs w:val="19"/>
              </w:rPr>
              <w:t>Portfolio</w:t>
            </w:r>
          </w:p>
        </w:tc>
        <w:tc>
          <w:tcPr>
            <w:tcW w:w="0" w:type="auto"/>
            <w:tcBorders>
              <w:top w:val="single" w:sz="4" w:space="0" w:color="auto"/>
              <w:bottom w:val="single" w:sz="4" w:space="0" w:color="auto"/>
            </w:tcBorders>
            <w:shd w:val="clear" w:color="auto" w:fill="auto"/>
            <w:noWrap/>
            <w:vAlign w:val="bottom"/>
          </w:tcPr>
          <w:p w:rsidR="007A4AA0" w:rsidRPr="00CB2DE6" w:rsidRDefault="007A4AA0" w:rsidP="007510F5">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w:t>
            </w:r>
          </w:p>
        </w:tc>
        <w:tc>
          <w:tcPr>
            <w:tcW w:w="0" w:type="auto"/>
            <w:tcBorders>
              <w:top w:val="single" w:sz="4" w:space="0" w:color="auto"/>
              <w:bottom w:val="single" w:sz="4" w:space="0" w:color="auto"/>
            </w:tcBorders>
            <w:shd w:val="clear" w:color="auto" w:fill="auto"/>
            <w:noWrap/>
            <w:vAlign w:val="bottom"/>
          </w:tcPr>
          <w:p w:rsidR="007A4AA0" w:rsidRPr="00CB2DE6" w:rsidRDefault="007A4AA0" w:rsidP="007510F5">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2</w:t>
            </w:r>
          </w:p>
        </w:tc>
        <w:tc>
          <w:tcPr>
            <w:tcW w:w="0" w:type="auto"/>
            <w:tcBorders>
              <w:top w:val="single" w:sz="4" w:space="0" w:color="auto"/>
              <w:bottom w:val="single" w:sz="4" w:space="0" w:color="auto"/>
            </w:tcBorders>
            <w:shd w:val="clear" w:color="auto" w:fill="auto"/>
            <w:noWrap/>
            <w:vAlign w:val="bottom"/>
          </w:tcPr>
          <w:p w:rsidR="007A4AA0" w:rsidRPr="00CB2DE6" w:rsidRDefault="007A4AA0" w:rsidP="007510F5">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3</w:t>
            </w:r>
          </w:p>
        </w:tc>
        <w:tc>
          <w:tcPr>
            <w:tcW w:w="0" w:type="auto"/>
            <w:tcBorders>
              <w:top w:val="single" w:sz="4" w:space="0" w:color="auto"/>
              <w:bottom w:val="single" w:sz="4" w:space="0" w:color="auto"/>
            </w:tcBorders>
            <w:shd w:val="clear" w:color="auto" w:fill="auto"/>
            <w:noWrap/>
            <w:vAlign w:val="bottom"/>
          </w:tcPr>
          <w:p w:rsidR="007A4AA0" w:rsidRPr="00CB2DE6" w:rsidRDefault="007A4AA0" w:rsidP="007510F5">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4</w:t>
            </w:r>
          </w:p>
        </w:tc>
        <w:tc>
          <w:tcPr>
            <w:tcW w:w="0" w:type="auto"/>
            <w:tcBorders>
              <w:top w:val="single" w:sz="4" w:space="0" w:color="auto"/>
              <w:bottom w:val="single" w:sz="4" w:space="0" w:color="auto"/>
            </w:tcBorders>
            <w:shd w:val="clear" w:color="auto" w:fill="auto"/>
            <w:noWrap/>
            <w:vAlign w:val="bottom"/>
          </w:tcPr>
          <w:p w:rsidR="007A4AA0" w:rsidRPr="00CB2DE6" w:rsidRDefault="007A4AA0" w:rsidP="007510F5">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5</w:t>
            </w:r>
          </w:p>
        </w:tc>
        <w:tc>
          <w:tcPr>
            <w:tcW w:w="0" w:type="auto"/>
            <w:tcBorders>
              <w:top w:val="single" w:sz="4" w:space="0" w:color="auto"/>
              <w:bottom w:val="single" w:sz="4" w:space="0" w:color="auto"/>
            </w:tcBorders>
            <w:shd w:val="clear" w:color="auto" w:fill="auto"/>
            <w:noWrap/>
            <w:vAlign w:val="bottom"/>
          </w:tcPr>
          <w:p w:rsidR="007A4AA0" w:rsidRPr="00CB2DE6" w:rsidRDefault="007A4AA0" w:rsidP="00CF48DB">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Av</w:t>
            </w:r>
            <w:r w:rsidR="00F8514C" w:rsidRPr="00CB2DE6">
              <w:rPr>
                <w:rFonts w:ascii="Times New Roman" w:eastAsia="Times New Roman" w:hAnsi="Times New Roman" w:cs="Times New Roman"/>
                <w:bCs/>
                <w:color w:val="000000"/>
                <w:sz w:val="19"/>
                <w:szCs w:val="19"/>
              </w:rPr>
              <w:t>g.</w:t>
            </w:r>
          </w:p>
        </w:tc>
        <w:tc>
          <w:tcPr>
            <w:tcW w:w="0" w:type="auto"/>
            <w:tcBorders>
              <w:top w:val="single" w:sz="4" w:space="0" w:color="auto"/>
              <w:bottom w:val="single" w:sz="4" w:space="0" w:color="auto"/>
            </w:tcBorders>
            <w:shd w:val="clear" w:color="auto" w:fill="auto"/>
            <w:noWrap/>
            <w:vAlign w:val="bottom"/>
          </w:tcPr>
          <w:p w:rsidR="007A4AA0" w:rsidRPr="00CB2DE6" w:rsidRDefault="007A4AA0" w:rsidP="007510F5">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H</w:t>
            </w:r>
            <w:r w:rsidR="004F545B" w:rsidRPr="00CB2DE6">
              <w:rPr>
                <w:rFonts w:ascii="Times New Roman" w:eastAsia="Times New Roman" w:hAnsi="Times New Roman" w:cs="Times New Roman"/>
                <w:bCs/>
                <w:color w:val="000000"/>
                <w:sz w:val="19"/>
                <w:szCs w:val="19"/>
              </w:rPr>
              <w:t>M</w:t>
            </w:r>
            <w:r w:rsidRPr="00CB2DE6">
              <w:rPr>
                <w:rFonts w:ascii="Times New Roman" w:eastAsia="Times New Roman" w:hAnsi="Times New Roman" w:cs="Times New Roman"/>
                <w:bCs/>
                <w:color w:val="000000"/>
                <w:sz w:val="19"/>
                <w:szCs w:val="19"/>
              </w:rPr>
              <w:t>L</w:t>
            </w:r>
          </w:p>
        </w:tc>
        <w:tc>
          <w:tcPr>
            <w:tcW w:w="0" w:type="auto"/>
            <w:tcBorders>
              <w:top w:val="single" w:sz="4" w:space="0" w:color="auto"/>
              <w:bottom w:val="single" w:sz="4" w:space="0" w:color="auto"/>
            </w:tcBorders>
          </w:tcPr>
          <w:p w:rsidR="007A4AA0" w:rsidRPr="00CB2DE6" w:rsidRDefault="007A4AA0" w:rsidP="007510F5">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MR</w:t>
            </w:r>
          </w:p>
        </w:tc>
      </w:tr>
      <w:tr w:rsidR="0061303C" w:rsidRPr="00CB2DE6" w:rsidTr="00AD7FAD">
        <w:trPr>
          <w:trHeight w:val="70"/>
          <w:jc w:val="center"/>
        </w:trPr>
        <w:tc>
          <w:tcPr>
            <w:tcW w:w="0" w:type="auto"/>
            <w:shd w:val="clear" w:color="auto" w:fill="auto"/>
            <w:noWrap/>
            <w:vAlign w:val="bottom"/>
            <w:hideMark/>
          </w:tcPr>
          <w:p w:rsidR="005E5411" w:rsidRPr="00CB2DE6" w:rsidRDefault="005E5411" w:rsidP="009E0DAF">
            <w:pPr>
              <w:spacing w:before="120"/>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Mean</w:t>
            </w:r>
          </w:p>
        </w:tc>
        <w:tc>
          <w:tcPr>
            <w:tcW w:w="0" w:type="auto"/>
            <w:shd w:val="clear" w:color="auto" w:fill="auto"/>
            <w:noWrap/>
          </w:tcPr>
          <w:p w:rsidR="005E5411" w:rsidRPr="00CB2DE6" w:rsidRDefault="005E5411"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-1.32</w:t>
            </w:r>
          </w:p>
        </w:tc>
        <w:tc>
          <w:tcPr>
            <w:tcW w:w="0" w:type="auto"/>
            <w:shd w:val="clear" w:color="auto" w:fill="auto"/>
            <w:noWrap/>
          </w:tcPr>
          <w:p w:rsidR="005E5411" w:rsidRPr="00CB2DE6" w:rsidRDefault="005E5411"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-0.79</w:t>
            </w:r>
          </w:p>
        </w:tc>
        <w:tc>
          <w:tcPr>
            <w:tcW w:w="0" w:type="auto"/>
            <w:shd w:val="clear" w:color="auto" w:fill="auto"/>
            <w:noWrap/>
          </w:tcPr>
          <w:p w:rsidR="005E5411" w:rsidRPr="00CB2DE6" w:rsidRDefault="005E5411"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1.69</w:t>
            </w:r>
          </w:p>
        </w:tc>
        <w:tc>
          <w:tcPr>
            <w:tcW w:w="0" w:type="auto"/>
            <w:shd w:val="clear" w:color="auto" w:fill="auto"/>
            <w:noWrap/>
          </w:tcPr>
          <w:p w:rsidR="005E5411" w:rsidRPr="00CB2DE6" w:rsidRDefault="005E5411"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1.96</w:t>
            </w:r>
          </w:p>
        </w:tc>
        <w:tc>
          <w:tcPr>
            <w:tcW w:w="0" w:type="auto"/>
            <w:shd w:val="clear" w:color="auto" w:fill="auto"/>
            <w:noWrap/>
          </w:tcPr>
          <w:p w:rsidR="005E5411" w:rsidRPr="00CB2DE6" w:rsidRDefault="005E5411"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3.78</w:t>
            </w:r>
          </w:p>
        </w:tc>
        <w:tc>
          <w:tcPr>
            <w:tcW w:w="0" w:type="auto"/>
            <w:shd w:val="clear" w:color="auto" w:fill="auto"/>
            <w:noWrap/>
          </w:tcPr>
          <w:p w:rsidR="005E5411" w:rsidRPr="00CB2DE6" w:rsidRDefault="005E5411"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1.07</w:t>
            </w:r>
          </w:p>
        </w:tc>
        <w:tc>
          <w:tcPr>
            <w:tcW w:w="0" w:type="auto"/>
            <w:shd w:val="clear" w:color="auto" w:fill="auto"/>
            <w:noWrap/>
          </w:tcPr>
          <w:p w:rsidR="005E5411" w:rsidRPr="00CB2DE6" w:rsidRDefault="005E5411"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5.09</w:t>
            </w:r>
          </w:p>
        </w:tc>
        <w:tc>
          <w:tcPr>
            <w:tcW w:w="0" w:type="auto"/>
          </w:tcPr>
          <w:p w:rsidR="005E5411" w:rsidRPr="00CB2DE6" w:rsidRDefault="005E5411" w:rsidP="00CF48DB">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w:t>
            </w:r>
            <w:r w:rsidR="00525FF9" w:rsidRPr="00CB2DE6">
              <w:rPr>
                <w:rFonts w:ascii="Times New Roman" w:eastAsia="Times New Roman" w:hAnsi="Times New Roman" w:cs="Times New Roman"/>
                <w:bCs/>
                <w:color w:val="000000"/>
                <w:sz w:val="19"/>
                <w:szCs w:val="19"/>
              </w:rPr>
              <w:t>0.01</w:t>
            </w:r>
            <w:r w:rsidRPr="00CB2DE6">
              <w:rPr>
                <w:rFonts w:ascii="Times New Roman" w:eastAsia="Times New Roman" w:hAnsi="Times New Roman" w:cs="Times New Roman"/>
                <w:bCs/>
                <w:color w:val="000000"/>
                <w:sz w:val="19"/>
                <w:szCs w:val="19"/>
              </w:rPr>
              <w:t>)</w:t>
            </w:r>
          </w:p>
        </w:tc>
      </w:tr>
      <w:tr w:rsidR="0061303C" w:rsidRPr="00CB2DE6" w:rsidTr="00AD7FAD">
        <w:trPr>
          <w:trHeight w:val="80"/>
          <w:jc w:val="center"/>
        </w:trPr>
        <w:tc>
          <w:tcPr>
            <w:tcW w:w="0" w:type="auto"/>
            <w:shd w:val="clear" w:color="auto" w:fill="auto"/>
            <w:noWrap/>
            <w:vAlign w:val="bottom"/>
          </w:tcPr>
          <w:p w:rsidR="00AC7D88" w:rsidRPr="00CB2DE6" w:rsidRDefault="00AC7D88" w:rsidP="00AD7FAD">
            <w:pPr>
              <w:rPr>
                <w:rFonts w:ascii="Times New Roman" w:eastAsia="Times New Roman" w:hAnsi="Times New Roman" w:cs="Times New Roman"/>
                <w:bCs/>
                <w:color w:val="000000"/>
                <w:sz w:val="19"/>
                <w:szCs w:val="19"/>
              </w:rPr>
            </w:pPr>
          </w:p>
        </w:tc>
        <w:tc>
          <w:tcPr>
            <w:tcW w:w="0" w:type="auto"/>
            <w:shd w:val="clear" w:color="auto" w:fill="auto"/>
            <w:noWrap/>
            <w:vAlign w:val="bottom"/>
          </w:tcPr>
          <w:p w:rsidR="00AC7D88" w:rsidRPr="00CB2DE6" w:rsidRDefault="00AC7D8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w:t>
            </w:r>
            <w:r w:rsidR="00DE5E98" w:rsidRPr="00CB2DE6">
              <w:rPr>
                <w:rFonts w:ascii="Times New Roman" w:eastAsia="Times New Roman" w:hAnsi="Times New Roman" w:cs="Times New Roman"/>
                <w:bCs/>
                <w:color w:val="000000"/>
                <w:sz w:val="19"/>
                <w:szCs w:val="19"/>
              </w:rPr>
              <w:t>-0.</w:t>
            </w:r>
            <w:r w:rsidR="0061303C" w:rsidRPr="00CB2DE6">
              <w:rPr>
                <w:rFonts w:ascii="Times New Roman" w:eastAsia="Times New Roman" w:hAnsi="Times New Roman" w:cs="Times New Roman"/>
                <w:bCs/>
                <w:color w:val="000000"/>
                <w:sz w:val="19"/>
                <w:szCs w:val="19"/>
              </w:rPr>
              <w:t>93</w:t>
            </w:r>
            <w:r w:rsidRPr="00CB2DE6">
              <w:rPr>
                <w:rFonts w:ascii="Times New Roman" w:eastAsia="Times New Roman" w:hAnsi="Times New Roman" w:cs="Times New Roman"/>
                <w:bCs/>
                <w:color w:val="000000"/>
                <w:sz w:val="19"/>
                <w:szCs w:val="19"/>
              </w:rPr>
              <w:t>]</w:t>
            </w:r>
          </w:p>
        </w:tc>
        <w:tc>
          <w:tcPr>
            <w:tcW w:w="0" w:type="auto"/>
            <w:shd w:val="clear" w:color="auto" w:fill="auto"/>
            <w:noWrap/>
            <w:vAlign w:val="bottom"/>
          </w:tcPr>
          <w:p w:rsidR="00AC7D88" w:rsidRPr="00CB2DE6" w:rsidRDefault="0061303C"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[-0.5</w:t>
            </w:r>
            <w:r w:rsidR="003E02E6" w:rsidRPr="00CB2DE6">
              <w:rPr>
                <w:rFonts w:ascii="Times New Roman" w:eastAsia="Times New Roman" w:hAnsi="Times New Roman" w:cs="Times New Roman"/>
                <w:bCs/>
                <w:color w:val="000000"/>
                <w:sz w:val="19"/>
                <w:szCs w:val="19"/>
              </w:rPr>
              <w:t>0]</w:t>
            </w:r>
          </w:p>
        </w:tc>
        <w:tc>
          <w:tcPr>
            <w:tcW w:w="0" w:type="auto"/>
            <w:shd w:val="clear" w:color="auto" w:fill="auto"/>
            <w:noWrap/>
            <w:vAlign w:val="bottom"/>
          </w:tcPr>
          <w:p w:rsidR="00AC7D88" w:rsidRPr="00CB2DE6" w:rsidRDefault="00AC7D8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w:t>
            </w:r>
            <w:r w:rsidR="0061303C" w:rsidRPr="00CB2DE6">
              <w:rPr>
                <w:rFonts w:ascii="Times New Roman" w:eastAsia="Times New Roman" w:hAnsi="Times New Roman" w:cs="Times New Roman"/>
                <w:bCs/>
                <w:color w:val="000000"/>
                <w:sz w:val="19"/>
                <w:szCs w:val="19"/>
              </w:rPr>
              <w:t>0.96</w:t>
            </w:r>
            <w:r w:rsidRPr="00CB2DE6">
              <w:rPr>
                <w:rFonts w:ascii="Times New Roman" w:eastAsia="Times New Roman" w:hAnsi="Times New Roman" w:cs="Times New Roman"/>
                <w:bCs/>
                <w:color w:val="000000"/>
                <w:sz w:val="19"/>
                <w:szCs w:val="19"/>
              </w:rPr>
              <w:t>]</w:t>
            </w:r>
          </w:p>
        </w:tc>
        <w:tc>
          <w:tcPr>
            <w:tcW w:w="0" w:type="auto"/>
            <w:shd w:val="clear" w:color="auto" w:fill="auto"/>
            <w:noWrap/>
            <w:vAlign w:val="bottom"/>
          </w:tcPr>
          <w:p w:rsidR="00AC7D88" w:rsidRPr="00CB2DE6" w:rsidRDefault="00AC7D8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w:t>
            </w:r>
            <w:r w:rsidR="00E11AC6" w:rsidRPr="00CB2DE6">
              <w:rPr>
                <w:rFonts w:ascii="Times New Roman" w:eastAsia="Times New Roman" w:hAnsi="Times New Roman" w:cs="Times New Roman"/>
                <w:bCs/>
                <w:color w:val="000000"/>
                <w:sz w:val="19"/>
                <w:szCs w:val="19"/>
              </w:rPr>
              <w:t>1.</w:t>
            </w:r>
            <w:r w:rsidR="0061303C" w:rsidRPr="00CB2DE6">
              <w:rPr>
                <w:rFonts w:ascii="Times New Roman" w:eastAsia="Times New Roman" w:hAnsi="Times New Roman" w:cs="Times New Roman"/>
                <w:bCs/>
                <w:color w:val="000000"/>
                <w:sz w:val="19"/>
                <w:szCs w:val="19"/>
              </w:rPr>
              <w:t>09</w:t>
            </w:r>
            <w:r w:rsidRPr="00CB2DE6">
              <w:rPr>
                <w:rFonts w:ascii="Times New Roman" w:eastAsia="Times New Roman" w:hAnsi="Times New Roman" w:cs="Times New Roman"/>
                <w:bCs/>
                <w:color w:val="000000"/>
                <w:sz w:val="19"/>
                <w:szCs w:val="19"/>
              </w:rPr>
              <w:t>]</w:t>
            </w:r>
          </w:p>
        </w:tc>
        <w:tc>
          <w:tcPr>
            <w:tcW w:w="0" w:type="auto"/>
            <w:shd w:val="clear" w:color="auto" w:fill="auto"/>
            <w:noWrap/>
            <w:vAlign w:val="bottom"/>
          </w:tcPr>
          <w:p w:rsidR="00AC7D88" w:rsidRPr="00CB2DE6" w:rsidRDefault="00AC7D8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w:t>
            </w:r>
            <w:r w:rsidR="00CA7E0C" w:rsidRPr="00CB2DE6">
              <w:rPr>
                <w:rFonts w:ascii="Times New Roman" w:eastAsia="Times New Roman" w:hAnsi="Times New Roman" w:cs="Times New Roman"/>
                <w:bCs/>
                <w:color w:val="000000"/>
                <w:sz w:val="19"/>
                <w:szCs w:val="19"/>
              </w:rPr>
              <w:t>1.97</w:t>
            </w:r>
            <w:r w:rsidRPr="00CB2DE6">
              <w:rPr>
                <w:rFonts w:ascii="Times New Roman" w:eastAsia="Times New Roman" w:hAnsi="Times New Roman" w:cs="Times New Roman"/>
                <w:bCs/>
                <w:color w:val="000000"/>
                <w:sz w:val="19"/>
                <w:szCs w:val="19"/>
              </w:rPr>
              <w:t>]</w:t>
            </w:r>
          </w:p>
        </w:tc>
        <w:tc>
          <w:tcPr>
            <w:tcW w:w="0" w:type="auto"/>
            <w:shd w:val="clear" w:color="auto" w:fill="auto"/>
            <w:noWrap/>
            <w:vAlign w:val="bottom"/>
          </w:tcPr>
          <w:p w:rsidR="00AC7D88" w:rsidRPr="00CB2DE6" w:rsidRDefault="00AC7D8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w:t>
            </w:r>
            <w:r w:rsidR="000E6E2F" w:rsidRPr="00CB2DE6">
              <w:rPr>
                <w:rFonts w:ascii="Times New Roman" w:eastAsia="Times New Roman" w:hAnsi="Times New Roman" w:cs="Times New Roman"/>
                <w:bCs/>
                <w:color w:val="000000"/>
                <w:sz w:val="19"/>
                <w:szCs w:val="19"/>
              </w:rPr>
              <w:t>0.</w:t>
            </w:r>
            <w:r w:rsidR="0061303C" w:rsidRPr="00CB2DE6">
              <w:rPr>
                <w:rFonts w:ascii="Times New Roman" w:eastAsia="Times New Roman" w:hAnsi="Times New Roman" w:cs="Times New Roman"/>
                <w:bCs/>
                <w:color w:val="000000"/>
                <w:sz w:val="19"/>
                <w:szCs w:val="19"/>
              </w:rPr>
              <w:t>67</w:t>
            </w:r>
            <w:r w:rsidRPr="00CB2DE6">
              <w:rPr>
                <w:rFonts w:ascii="Times New Roman" w:eastAsia="Times New Roman" w:hAnsi="Times New Roman" w:cs="Times New Roman"/>
                <w:bCs/>
                <w:color w:val="000000"/>
                <w:sz w:val="19"/>
                <w:szCs w:val="19"/>
              </w:rPr>
              <w:t>]</w:t>
            </w:r>
          </w:p>
        </w:tc>
        <w:tc>
          <w:tcPr>
            <w:tcW w:w="0" w:type="auto"/>
            <w:shd w:val="clear" w:color="auto" w:fill="auto"/>
            <w:noWrap/>
            <w:vAlign w:val="bottom"/>
          </w:tcPr>
          <w:p w:rsidR="00AC7D88" w:rsidRPr="00CB2DE6" w:rsidRDefault="00AC7D88"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w:t>
            </w:r>
            <w:r w:rsidR="000E6E2F" w:rsidRPr="00CB2DE6">
              <w:rPr>
                <w:rFonts w:ascii="Times New Roman" w:eastAsia="Times New Roman" w:hAnsi="Times New Roman" w:cs="Times New Roman"/>
                <w:bCs/>
                <w:color w:val="000000"/>
                <w:sz w:val="19"/>
                <w:szCs w:val="19"/>
              </w:rPr>
              <w:t>2.</w:t>
            </w:r>
            <w:r w:rsidR="0061303C" w:rsidRPr="00CB2DE6">
              <w:rPr>
                <w:rFonts w:ascii="Times New Roman" w:eastAsia="Times New Roman" w:hAnsi="Times New Roman" w:cs="Times New Roman"/>
                <w:bCs/>
                <w:color w:val="000000"/>
                <w:sz w:val="19"/>
                <w:szCs w:val="19"/>
              </w:rPr>
              <w:t>95</w:t>
            </w:r>
            <w:r w:rsidRPr="00CB2DE6">
              <w:rPr>
                <w:rFonts w:ascii="Times New Roman" w:eastAsia="Times New Roman" w:hAnsi="Times New Roman" w:cs="Times New Roman"/>
                <w:bCs/>
                <w:color w:val="000000"/>
                <w:sz w:val="19"/>
                <w:szCs w:val="19"/>
              </w:rPr>
              <w:t>]</w:t>
            </w:r>
          </w:p>
        </w:tc>
        <w:tc>
          <w:tcPr>
            <w:tcW w:w="0" w:type="auto"/>
          </w:tcPr>
          <w:p w:rsidR="00AC7D88" w:rsidRPr="00CB2DE6" w:rsidRDefault="00AC7D88"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5E5411" w:rsidRPr="00CB2DE6" w:rsidRDefault="005E5411" w:rsidP="00AD7FAD">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Median</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-1.05</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1.66</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1.33</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4.36</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7.12</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2.64</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8.93</w:t>
            </w:r>
          </w:p>
        </w:tc>
        <w:tc>
          <w:tcPr>
            <w:tcW w:w="0" w:type="auto"/>
          </w:tcPr>
          <w:p w:rsidR="005E5411" w:rsidRPr="00CB2DE6" w:rsidRDefault="005E5411"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5E5411" w:rsidRPr="00CB2DE6" w:rsidRDefault="005E5411" w:rsidP="00AD7FAD">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Std. Dev.</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6.91</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7.73</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8.27</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8.33</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9.02</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7.31</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7.24</w:t>
            </w:r>
          </w:p>
        </w:tc>
        <w:tc>
          <w:tcPr>
            <w:tcW w:w="0" w:type="auto"/>
          </w:tcPr>
          <w:p w:rsidR="005E5411" w:rsidRPr="00CB2DE6" w:rsidRDefault="005E5411"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5E5411" w:rsidRPr="00CB2DE6" w:rsidRDefault="005E5411" w:rsidP="00AD7FAD">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Skewness</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-0.20</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-0.76</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-0.58</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-0.83</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-1.06</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-0.74</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-0.93</w:t>
            </w:r>
          </w:p>
        </w:tc>
        <w:tc>
          <w:tcPr>
            <w:tcW w:w="0" w:type="auto"/>
          </w:tcPr>
          <w:p w:rsidR="005E5411" w:rsidRPr="00CB2DE6" w:rsidRDefault="005E5411"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5E5411" w:rsidRPr="00CB2DE6" w:rsidRDefault="005E5411" w:rsidP="00AD7FAD">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Kurtosis</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3.58</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4.89</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4.99</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5.21</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6.13</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4.76</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5.00</w:t>
            </w:r>
          </w:p>
        </w:tc>
        <w:tc>
          <w:tcPr>
            <w:tcW w:w="0" w:type="auto"/>
          </w:tcPr>
          <w:p w:rsidR="005E5411" w:rsidRPr="00CB2DE6" w:rsidRDefault="005E5411"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5E5411" w:rsidRPr="00CB2DE6" w:rsidRDefault="005E5411" w:rsidP="00AD7FAD">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Sharpe Ratio</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 xml:space="preserve">   -0.1</w:t>
            </w:r>
            <w:r w:rsidR="00A23E19" w:rsidRPr="00CB2DE6">
              <w:rPr>
                <w:rFonts w:ascii="Times New Roman" w:hAnsi="Times New Roman" w:cs="Times New Roman"/>
                <w:sz w:val="19"/>
                <w:szCs w:val="19"/>
              </w:rPr>
              <w:t>9</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 xml:space="preserve">  -0.</w:t>
            </w:r>
            <w:r w:rsidR="00A23E19" w:rsidRPr="00CB2DE6">
              <w:rPr>
                <w:rFonts w:ascii="Times New Roman" w:hAnsi="Times New Roman" w:cs="Times New Roman"/>
                <w:sz w:val="19"/>
                <w:szCs w:val="19"/>
              </w:rPr>
              <w:t>10</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 xml:space="preserve">    0.2</w:t>
            </w:r>
            <w:r w:rsidR="00A23E19" w:rsidRPr="00CB2DE6">
              <w:rPr>
                <w:rFonts w:ascii="Times New Roman" w:hAnsi="Times New Roman" w:cs="Times New Roman"/>
                <w:sz w:val="19"/>
                <w:szCs w:val="19"/>
              </w:rPr>
              <w:t>0</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 xml:space="preserve">   0.2</w:t>
            </w:r>
            <w:r w:rsidR="00A23E19" w:rsidRPr="00CB2DE6">
              <w:rPr>
                <w:rFonts w:ascii="Times New Roman" w:hAnsi="Times New Roman" w:cs="Times New Roman"/>
                <w:sz w:val="19"/>
                <w:szCs w:val="19"/>
              </w:rPr>
              <w:t>4</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 xml:space="preserve">  0.4</w:t>
            </w:r>
            <w:r w:rsidR="00A23E19" w:rsidRPr="00CB2DE6">
              <w:rPr>
                <w:rFonts w:ascii="Times New Roman" w:hAnsi="Times New Roman" w:cs="Times New Roman"/>
                <w:sz w:val="19"/>
                <w:szCs w:val="19"/>
              </w:rPr>
              <w:t>2</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 xml:space="preserve">       0.1</w:t>
            </w:r>
            <w:r w:rsidR="00A23E19" w:rsidRPr="00CB2DE6">
              <w:rPr>
                <w:rFonts w:ascii="Times New Roman" w:hAnsi="Times New Roman" w:cs="Times New Roman"/>
                <w:sz w:val="19"/>
                <w:szCs w:val="19"/>
              </w:rPr>
              <w:t>5</w:t>
            </w:r>
          </w:p>
        </w:tc>
        <w:tc>
          <w:tcPr>
            <w:tcW w:w="0" w:type="auto"/>
            <w:shd w:val="clear" w:color="auto" w:fill="auto"/>
            <w:noWrap/>
          </w:tcPr>
          <w:p w:rsidR="005E5411" w:rsidRPr="00CB2DE6" w:rsidRDefault="005E5411" w:rsidP="00CF48DB">
            <w:pPr>
              <w:jc w:val="right"/>
              <w:rPr>
                <w:rFonts w:ascii="Times New Roman" w:hAnsi="Times New Roman" w:cs="Times New Roman"/>
                <w:sz w:val="19"/>
                <w:szCs w:val="19"/>
              </w:rPr>
            </w:pPr>
            <w:r w:rsidRPr="00CB2DE6">
              <w:rPr>
                <w:rFonts w:ascii="Times New Roman" w:hAnsi="Times New Roman" w:cs="Times New Roman"/>
                <w:sz w:val="19"/>
                <w:szCs w:val="19"/>
              </w:rPr>
              <w:t xml:space="preserve">      0.</w:t>
            </w:r>
            <w:r w:rsidR="00A23E19" w:rsidRPr="00CB2DE6">
              <w:rPr>
                <w:rFonts w:ascii="Times New Roman" w:hAnsi="Times New Roman" w:cs="Times New Roman"/>
                <w:sz w:val="19"/>
                <w:szCs w:val="19"/>
              </w:rPr>
              <w:t>70</w:t>
            </w:r>
          </w:p>
        </w:tc>
        <w:tc>
          <w:tcPr>
            <w:tcW w:w="0" w:type="auto"/>
          </w:tcPr>
          <w:p w:rsidR="005E5411" w:rsidRPr="00CB2DE6" w:rsidRDefault="005E5411"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shd w:val="clear" w:color="auto" w:fill="auto"/>
            <w:noWrap/>
            <w:vAlign w:val="bottom"/>
            <w:hideMark/>
          </w:tcPr>
          <w:p w:rsidR="00CD4DA6" w:rsidRPr="00CB2DE6" w:rsidRDefault="00CD4DA6" w:rsidP="00AD7FAD">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AC(1)</w:t>
            </w:r>
          </w:p>
        </w:tc>
        <w:tc>
          <w:tcPr>
            <w:tcW w:w="0" w:type="auto"/>
            <w:shd w:val="clear" w:color="auto" w:fill="auto"/>
            <w:noWrap/>
            <w:vAlign w:val="bottom"/>
          </w:tcPr>
          <w:p w:rsidR="00CD4DA6" w:rsidRPr="00CB2DE6" w:rsidRDefault="00CD4DA6"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0.08</w:t>
            </w:r>
          </w:p>
        </w:tc>
        <w:tc>
          <w:tcPr>
            <w:tcW w:w="0" w:type="auto"/>
            <w:shd w:val="clear" w:color="auto" w:fill="auto"/>
            <w:noWrap/>
            <w:vAlign w:val="bottom"/>
          </w:tcPr>
          <w:p w:rsidR="00CD4DA6" w:rsidRPr="00CB2DE6" w:rsidRDefault="00CD4DA6"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0.06</w:t>
            </w:r>
          </w:p>
        </w:tc>
        <w:tc>
          <w:tcPr>
            <w:tcW w:w="0" w:type="auto"/>
            <w:shd w:val="clear" w:color="auto" w:fill="auto"/>
            <w:noWrap/>
            <w:vAlign w:val="bottom"/>
          </w:tcPr>
          <w:p w:rsidR="00CD4DA6" w:rsidRPr="00CB2DE6" w:rsidRDefault="00CD4DA6"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0.11</w:t>
            </w:r>
          </w:p>
        </w:tc>
        <w:tc>
          <w:tcPr>
            <w:tcW w:w="0" w:type="auto"/>
            <w:shd w:val="clear" w:color="auto" w:fill="auto"/>
            <w:noWrap/>
            <w:vAlign w:val="bottom"/>
          </w:tcPr>
          <w:p w:rsidR="00CD4DA6" w:rsidRPr="00CB2DE6" w:rsidRDefault="00CD4DA6"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0.1</w:t>
            </w:r>
            <w:r w:rsidR="00F47B5F" w:rsidRPr="00CB2DE6">
              <w:rPr>
                <w:rFonts w:ascii="Times New Roman" w:eastAsia="Times New Roman" w:hAnsi="Times New Roman" w:cs="Times New Roman"/>
                <w:bCs/>
                <w:color w:val="000000"/>
                <w:sz w:val="19"/>
                <w:szCs w:val="19"/>
              </w:rPr>
              <w:t>5</w:t>
            </w:r>
          </w:p>
        </w:tc>
        <w:tc>
          <w:tcPr>
            <w:tcW w:w="0" w:type="auto"/>
            <w:shd w:val="clear" w:color="auto" w:fill="auto"/>
            <w:noWrap/>
            <w:vAlign w:val="bottom"/>
          </w:tcPr>
          <w:p w:rsidR="00CD4DA6" w:rsidRPr="00CB2DE6" w:rsidRDefault="00CD4DA6"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0.21</w:t>
            </w:r>
          </w:p>
        </w:tc>
        <w:tc>
          <w:tcPr>
            <w:tcW w:w="0" w:type="auto"/>
            <w:shd w:val="clear" w:color="auto" w:fill="auto"/>
            <w:noWrap/>
            <w:vAlign w:val="bottom"/>
          </w:tcPr>
          <w:p w:rsidR="00CD4DA6" w:rsidRPr="00CB2DE6" w:rsidRDefault="00CD4DA6"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0.14</w:t>
            </w:r>
          </w:p>
        </w:tc>
        <w:tc>
          <w:tcPr>
            <w:tcW w:w="0" w:type="auto"/>
            <w:shd w:val="clear" w:color="auto" w:fill="auto"/>
            <w:noWrap/>
            <w:vAlign w:val="bottom"/>
          </w:tcPr>
          <w:p w:rsidR="00CD4DA6" w:rsidRPr="00CB2DE6" w:rsidRDefault="00CD4DA6" w:rsidP="00CF48DB">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0.20</w:t>
            </w:r>
          </w:p>
        </w:tc>
        <w:tc>
          <w:tcPr>
            <w:tcW w:w="0" w:type="auto"/>
          </w:tcPr>
          <w:p w:rsidR="00CD4DA6" w:rsidRPr="00CB2DE6" w:rsidRDefault="00CD4DA6" w:rsidP="00CF48DB">
            <w:pPr>
              <w:jc w:val="right"/>
              <w:rPr>
                <w:rFonts w:ascii="Times New Roman" w:eastAsia="Times New Roman" w:hAnsi="Times New Roman" w:cs="Times New Roman"/>
                <w:bCs/>
                <w:color w:val="000000"/>
                <w:sz w:val="19"/>
                <w:szCs w:val="19"/>
              </w:rPr>
            </w:pPr>
          </w:p>
        </w:tc>
      </w:tr>
      <w:tr w:rsidR="0061303C" w:rsidRPr="00CB2DE6" w:rsidTr="00AD7FAD">
        <w:trPr>
          <w:trHeight w:val="80"/>
          <w:jc w:val="center"/>
        </w:trPr>
        <w:tc>
          <w:tcPr>
            <w:tcW w:w="0" w:type="auto"/>
            <w:tcBorders>
              <w:bottom w:val="single" w:sz="4" w:space="0" w:color="auto"/>
            </w:tcBorders>
            <w:shd w:val="clear" w:color="auto" w:fill="auto"/>
            <w:noWrap/>
            <w:vAlign w:val="bottom"/>
            <w:hideMark/>
          </w:tcPr>
          <w:p w:rsidR="00CD4DA6" w:rsidRPr="00CB2DE6" w:rsidRDefault="00CD4DA6" w:rsidP="009E0DAF">
            <w:pPr>
              <w:spacing w:after="120"/>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i/>
                <w:color w:val="000000"/>
                <w:sz w:val="19"/>
                <w:szCs w:val="19"/>
              </w:rPr>
              <w:t>p</w:t>
            </w:r>
            <w:r w:rsidRPr="00CB2DE6">
              <w:rPr>
                <w:rFonts w:ascii="Times New Roman" w:eastAsia="Times New Roman" w:hAnsi="Times New Roman" w:cs="Times New Roman"/>
                <w:bCs/>
                <w:color w:val="000000"/>
                <w:sz w:val="19"/>
                <w:szCs w:val="19"/>
              </w:rPr>
              <w:t>-value</w:t>
            </w:r>
          </w:p>
        </w:tc>
        <w:tc>
          <w:tcPr>
            <w:tcW w:w="0" w:type="auto"/>
            <w:tcBorders>
              <w:bottom w:val="single" w:sz="4" w:space="0" w:color="auto"/>
            </w:tcBorders>
            <w:shd w:val="clear" w:color="auto" w:fill="auto"/>
            <w:noWrap/>
            <w:vAlign w:val="bottom"/>
          </w:tcPr>
          <w:p w:rsidR="00CD4DA6" w:rsidRPr="00CB2DE6" w:rsidRDefault="00CD4DA6"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0.16</w:t>
            </w:r>
          </w:p>
        </w:tc>
        <w:tc>
          <w:tcPr>
            <w:tcW w:w="0" w:type="auto"/>
            <w:tcBorders>
              <w:bottom w:val="single" w:sz="4" w:space="0" w:color="auto"/>
            </w:tcBorders>
            <w:shd w:val="clear" w:color="auto" w:fill="auto"/>
            <w:noWrap/>
            <w:vAlign w:val="bottom"/>
          </w:tcPr>
          <w:p w:rsidR="00CD4DA6" w:rsidRPr="00CB2DE6" w:rsidRDefault="00CD4DA6"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0.26</w:t>
            </w:r>
          </w:p>
        </w:tc>
        <w:tc>
          <w:tcPr>
            <w:tcW w:w="0" w:type="auto"/>
            <w:tcBorders>
              <w:bottom w:val="single" w:sz="4" w:space="0" w:color="auto"/>
            </w:tcBorders>
            <w:shd w:val="clear" w:color="auto" w:fill="auto"/>
            <w:noWrap/>
            <w:vAlign w:val="bottom"/>
          </w:tcPr>
          <w:p w:rsidR="00CD4DA6" w:rsidRPr="00CB2DE6" w:rsidRDefault="00CD4DA6"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0.06</w:t>
            </w:r>
          </w:p>
        </w:tc>
        <w:tc>
          <w:tcPr>
            <w:tcW w:w="0" w:type="auto"/>
            <w:tcBorders>
              <w:bottom w:val="single" w:sz="4" w:space="0" w:color="auto"/>
            </w:tcBorders>
            <w:shd w:val="clear" w:color="auto" w:fill="auto"/>
            <w:noWrap/>
            <w:vAlign w:val="bottom"/>
          </w:tcPr>
          <w:p w:rsidR="00CD4DA6" w:rsidRPr="00CB2DE6" w:rsidRDefault="00CD4DA6"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w:t>
            </w:r>
            <w:r w:rsidR="003600E6" w:rsidRPr="00CB2DE6">
              <w:rPr>
                <w:rFonts w:ascii="Times New Roman" w:eastAsia="Times New Roman" w:hAnsi="Times New Roman" w:cs="Times New Roman"/>
                <w:bCs/>
                <w:color w:val="000000"/>
                <w:sz w:val="19"/>
                <w:szCs w:val="19"/>
              </w:rPr>
              <w:t>1</w:t>
            </w:r>
          </w:p>
        </w:tc>
        <w:tc>
          <w:tcPr>
            <w:tcW w:w="0" w:type="auto"/>
            <w:tcBorders>
              <w:bottom w:val="single" w:sz="4" w:space="0" w:color="auto"/>
            </w:tcBorders>
            <w:shd w:val="clear" w:color="auto" w:fill="auto"/>
            <w:noWrap/>
            <w:vAlign w:val="bottom"/>
          </w:tcPr>
          <w:p w:rsidR="00CD4DA6" w:rsidRPr="00CB2DE6" w:rsidRDefault="00CD4DA6"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0.00</w:t>
            </w:r>
          </w:p>
        </w:tc>
        <w:tc>
          <w:tcPr>
            <w:tcW w:w="0" w:type="auto"/>
            <w:tcBorders>
              <w:bottom w:val="single" w:sz="4" w:space="0" w:color="auto"/>
            </w:tcBorders>
            <w:shd w:val="clear" w:color="auto" w:fill="auto"/>
            <w:noWrap/>
            <w:vAlign w:val="bottom"/>
          </w:tcPr>
          <w:p w:rsidR="00CD4DA6" w:rsidRPr="00CB2DE6" w:rsidRDefault="00CD4DA6"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0.02</w:t>
            </w:r>
          </w:p>
        </w:tc>
        <w:tc>
          <w:tcPr>
            <w:tcW w:w="0" w:type="auto"/>
            <w:tcBorders>
              <w:bottom w:val="single" w:sz="4" w:space="0" w:color="auto"/>
            </w:tcBorders>
            <w:shd w:val="clear" w:color="auto" w:fill="auto"/>
            <w:noWrap/>
            <w:vAlign w:val="bottom"/>
          </w:tcPr>
          <w:p w:rsidR="00CD4DA6" w:rsidRPr="00CB2DE6" w:rsidRDefault="00CD4DA6" w:rsidP="00CF48DB">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 xml:space="preserve">      0.00</w:t>
            </w:r>
          </w:p>
        </w:tc>
        <w:tc>
          <w:tcPr>
            <w:tcW w:w="0" w:type="auto"/>
            <w:tcBorders>
              <w:bottom w:val="single" w:sz="4" w:space="0" w:color="auto"/>
            </w:tcBorders>
          </w:tcPr>
          <w:p w:rsidR="00CD4DA6" w:rsidRPr="00CB2DE6" w:rsidRDefault="00CD4DA6" w:rsidP="00CF48DB">
            <w:pPr>
              <w:spacing w:after="120"/>
              <w:jc w:val="right"/>
              <w:rPr>
                <w:rFonts w:ascii="Times New Roman" w:eastAsia="Times New Roman" w:hAnsi="Times New Roman" w:cs="Times New Roman"/>
                <w:bCs/>
                <w:color w:val="000000"/>
                <w:sz w:val="19"/>
                <w:szCs w:val="19"/>
              </w:rPr>
            </w:pPr>
          </w:p>
        </w:tc>
      </w:tr>
    </w:tbl>
    <w:p w:rsidR="00196DF5" w:rsidRPr="00CB2DE6" w:rsidRDefault="00196DF5" w:rsidP="00DB76F5">
      <w:pPr>
        <w:tabs>
          <w:tab w:val="left" w:pos="8364"/>
        </w:tabs>
        <w:jc w:val="both"/>
        <w:rPr>
          <w:rFonts w:ascii="Times New Roman" w:hAnsi="Times New Roman" w:cs="Times New Roman"/>
          <w:b/>
          <w:sz w:val="24"/>
          <w:szCs w:val="24"/>
        </w:rPr>
      </w:pPr>
    </w:p>
    <w:p w:rsidR="00AF5360" w:rsidRPr="00CB2DE6" w:rsidRDefault="00196DF5" w:rsidP="00B679D7">
      <w:pPr>
        <w:jc w:val="center"/>
        <w:rPr>
          <w:rFonts w:ascii="Times New Roman" w:hAnsi="Times New Roman" w:cs="Times New Roman"/>
          <w:b/>
          <w:sz w:val="24"/>
          <w:szCs w:val="24"/>
        </w:rPr>
      </w:pPr>
      <w:r w:rsidRPr="00CB2DE6">
        <w:rPr>
          <w:rFonts w:ascii="Times New Roman" w:hAnsi="Times New Roman" w:cs="Times New Roman"/>
          <w:b/>
          <w:sz w:val="24"/>
          <w:szCs w:val="24"/>
        </w:rPr>
        <w:br w:type="page"/>
      </w:r>
      <w:r w:rsidR="00BB0085" w:rsidRPr="00CB2DE6">
        <w:rPr>
          <w:rFonts w:ascii="Times New Roman" w:hAnsi="Times New Roman" w:cs="Times New Roman"/>
          <w:b/>
          <w:sz w:val="24"/>
          <w:szCs w:val="24"/>
        </w:rPr>
        <w:lastRenderedPageBreak/>
        <w:t xml:space="preserve">Table </w:t>
      </w:r>
      <w:r w:rsidR="001601F4" w:rsidRPr="00CB2DE6">
        <w:rPr>
          <w:rFonts w:ascii="Times New Roman" w:hAnsi="Times New Roman" w:cs="Times New Roman"/>
          <w:b/>
          <w:sz w:val="24"/>
          <w:szCs w:val="24"/>
        </w:rPr>
        <w:t>2</w:t>
      </w:r>
    </w:p>
    <w:p w:rsidR="00D66B1E" w:rsidRPr="00CB2DE6" w:rsidRDefault="00D66B1E" w:rsidP="00111E09">
      <w:pPr>
        <w:jc w:val="center"/>
        <w:rPr>
          <w:rFonts w:ascii="Times New Roman" w:hAnsi="Times New Roman" w:cs="Times New Roman"/>
          <w:b/>
          <w:sz w:val="24"/>
          <w:szCs w:val="24"/>
        </w:rPr>
      </w:pPr>
      <w:r w:rsidRPr="00CB2DE6">
        <w:rPr>
          <w:rFonts w:ascii="Times New Roman" w:hAnsi="Times New Roman" w:cs="Times New Roman"/>
          <w:b/>
          <w:sz w:val="24"/>
          <w:szCs w:val="24"/>
        </w:rPr>
        <w:t>Time-Series Estimation of the Volatility Components</w:t>
      </w:r>
    </w:p>
    <w:p w:rsidR="00F073A8" w:rsidRPr="00CB2DE6" w:rsidRDefault="00A11313" w:rsidP="006D0114">
      <w:pPr>
        <w:spacing w:before="180" w:after="180"/>
        <w:jc w:val="both"/>
        <w:rPr>
          <w:rFonts w:ascii="Times New Roman" w:hAnsi="Times New Roman" w:cs="Times New Roman"/>
          <w:sz w:val="20"/>
          <w:szCs w:val="20"/>
        </w:rPr>
      </w:pPr>
      <w:r w:rsidRPr="00CB2DE6">
        <w:rPr>
          <w:rFonts w:ascii="Times New Roman" w:hAnsi="Times New Roman" w:cs="Times New Roman"/>
          <w:sz w:val="20"/>
          <w:szCs w:val="20"/>
        </w:rPr>
        <w:t xml:space="preserve">The table presents the descriptive statistics of the global FX return and the quasi-maximum likelihood estimates of the </w:t>
      </w:r>
      <w:r w:rsidR="00C369FA" w:rsidRPr="00CB2DE6">
        <w:rPr>
          <w:rFonts w:ascii="Times New Roman" w:hAnsi="Times New Roman" w:cs="Times New Roman"/>
          <w:sz w:val="20"/>
          <w:szCs w:val="20"/>
        </w:rPr>
        <w:t>C</w:t>
      </w:r>
      <w:r w:rsidRPr="00CB2DE6">
        <w:rPr>
          <w:rFonts w:ascii="Times New Roman" w:hAnsi="Times New Roman" w:cs="Times New Roman"/>
          <w:sz w:val="20"/>
          <w:szCs w:val="20"/>
        </w:rPr>
        <w:t>GARCH</w:t>
      </w:r>
      <w:r w:rsidR="00867C10" w:rsidRPr="00CB2DE6">
        <w:rPr>
          <w:rFonts w:ascii="Times New Roman" w:hAnsi="Times New Roman" w:cs="Times New Roman"/>
          <w:sz w:val="20"/>
          <w:szCs w:val="20"/>
        </w:rPr>
        <w:t xml:space="preserve"> </w:t>
      </w:r>
      <w:r w:rsidRPr="00CB2DE6">
        <w:rPr>
          <w:rFonts w:ascii="Times New Roman" w:hAnsi="Times New Roman" w:cs="Times New Roman"/>
          <w:sz w:val="20"/>
          <w:szCs w:val="20"/>
        </w:rPr>
        <w:t xml:space="preserve">model introduced by Engle and Lee (1999). The </w:t>
      </w:r>
      <w:r w:rsidR="00867C10" w:rsidRPr="00CB2DE6">
        <w:rPr>
          <w:rFonts w:ascii="Times New Roman" w:hAnsi="Times New Roman" w:cs="Times New Roman"/>
          <w:sz w:val="20"/>
          <w:szCs w:val="20"/>
        </w:rPr>
        <w:t xml:space="preserve">global FX return </w:t>
      </w:r>
      <w:r w:rsidRPr="00CB2DE6">
        <w:rPr>
          <w:rFonts w:ascii="Times New Roman" w:hAnsi="Times New Roman" w:cs="Times New Roman"/>
          <w:sz w:val="20"/>
          <w:szCs w:val="20"/>
        </w:rPr>
        <w:t xml:space="preserve">at a daily frequency is </w:t>
      </w:r>
      <w:r w:rsidR="006E16F1">
        <w:rPr>
          <w:rFonts w:ascii="Times New Roman" w:hAnsi="Times New Roman" w:cs="Times New Roman"/>
          <w:sz w:val="20"/>
          <w:szCs w:val="20"/>
        </w:rPr>
        <w:t>computed as</w:t>
      </w:r>
      <m:oMath>
        <m:r>
          <w:rPr>
            <w:rFonts w:ascii="Cambria Math" w:hAnsi="Cambria Math" w:cs="Times New Roman"/>
            <w:sz w:val="20"/>
            <w:szCs w:val="20"/>
          </w:rPr>
          <m:t xml:space="preserve"> </m:t>
        </m:r>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R</m:t>
            </m:r>
          </m:e>
          <m:sub>
            <m:r>
              <w:rPr>
                <w:rFonts w:ascii="Cambria Math" w:eastAsia="Calibri" w:hAnsi="Cambria Math" w:cs="Times New Roman"/>
                <w:sz w:val="20"/>
                <w:szCs w:val="20"/>
              </w:rPr>
              <m:t>τ</m:t>
            </m:r>
          </m:sub>
        </m:sSub>
        <m:r>
          <w:rPr>
            <w:rFonts w:ascii="Cambria Math" w:eastAsia="Calibri" w:hAnsi="Cambria Math" w:cs="Times New Roman"/>
            <w:sz w:val="20"/>
            <w:szCs w:val="20"/>
          </w:rPr>
          <m:t>=</m:t>
        </m:r>
        <m:nary>
          <m:naryPr>
            <m:chr m:val="∑"/>
            <m:limLoc m:val="undOvr"/>
            <m:supHide m:val="1"/>
            <m:ctrlPr>
              <w:rPr>
                <w:rFonts w:ascii="Cambria Math" w:eastAsia="Calibri" w:hAnsi="Cambria Math" w:cs="Times New Roman"/>
                <w:i/>
                <w:sz w:val="20"/>
                <w:szCs w:val="20"/>
              </w:rPr>
            </m:ctrlPr>
          </m:naryPr>
          <m:sub>
            <m:r>
              <w:rPr>
                <w:rFonts w:ascii="Cambria Math" w:eastAsia="Calibri" w:hAnsi="Cambria Math" w:cs="Times New Roman"/>
                <w:sz w:val="20"/>
                <w:szCs w:val="20"/>
              </w:rPr>
              <m:t>k∈</m:t>
            </m:r>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K</m:t>
                </m:r>
              </m:e>
              <m:sub>
                <m:r>
                  <w:rPr>
                    <w:rFonts w:ascii="Cambria Math" w:eastAsia="Calibri" w:hAnsi="Cambria Math" w:cs="Times New Roman"/>
                    <w:sz w:val="20"/>
                    <w:szCs w:val="20"/>
                  </w:rPr>
                  <m:t>τ</m:t>
                </m:r>
              </m:sub>
            </m:sSub>
          </m:sub>
          <m:sup/>
          <m:e>
            <m:d>
              <m:dPr>
                <m:begChr m:val="["/>
                <m:endChr m:val="]"/>
                <m:ctrlPr>
                  <w:rPr>
                    <w:rFonts w:ascii="Cambria Math" w:eastAsia="Calibri" w:hAnsi="Cambria Math" w:cs="Times New Roman"/>
                    <w:i/>
                    <w:sz w:val="20"/>
                    <w:szCs w:val="20"/>
                  </w:rPr>
                </m:ctrlPr>
              </m:dPr>
              <m:e>
                <m:d>
                  <m:dPr>
                    <m:ctrlPr>
                      <w:rPr>
                        <w:rFonts w:ascii="Cambria Math" w:eastAsia="Calibri" w:hAnsi="Cambria Math" w:cs="Times New Roman"/>
                        <w:i/>
                        <w:sz w:val="20"/>
                        <w:szCs w:val="20"/>
                      </w:rPr>
                    </m:ctrlPr>
                  </m:dPr>
                  <m:e>
                    <m:f>
                      <m:fPr>
                        <m:ctrlPr>
                          <w:rPr>
                            <w:rFonts w:ascii="Cambria Math" w:eastAsia="Calibri" w:hAnsi="Cambria Math" w:cs="Times New Roman"/>
                            <w:i/>
                            <w:sz w:val="20"/>
                            <w:szCs w:val="20"/>
                          </w:rPr>
                        </m:ctrlPr>
                      </m:fPr>
                      <m:num>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S</m:t>
                            </m:r>
                          </m:e>
                          <m:sub>
                            <m:r>
                              <w:rPr>
                                <w:rFonts w:ascii="Cambria Math" w:eastAsia="Calibri" w:hAnsi="Cambria Math" w:cs="Times New Roman"/>
                                <w:sz w:val="20"/>
                                <w:szCs w:val="20"/>
                              </w:rPr>
                              <m:t>τ</m:t>
                            </m:r>
                          </m:sub>
                          <m:sup>
                            <m:r>
                              <w:rPr>
                                <w:rFonts w:ascii="Cambria Math" w:eastAsia="Calibri" w:hAnsi="Cambria Math" w:cs="Times New Roman"/>
                                <w:sz w:val="20"/>
                                <w:szCs w:val="20"/>
                              </w:rPr>
                              <m:t>k</m:t>
                            </m:r>
                          </m:sup>
                        </m:sSubSup>
                        <m:r>
                          <w:rPr>
                            <w:rFonts w:ascii="Cambria Math" w:eastAsia="Calibri" w:hAnsi="Cambria Math" w:cs="Times New Roman"/>
                            <w:sz w:val="20"/>
                            <w:szCs w:val="20"/>
                          </w:rPr>
                          <m:t>-</m:t>
                        </m:r>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S</m:t>
                            </m:r>
                          </m:e>
                          <m:sub>
                            <m:r>
                              <w:rPr>
                                <w:rFonts w:ascii="Cambria Math" w:eastAsia="Calibri" w:hAnsi="Cambria Math" w:cs="Times New Roman"/>
                                <w:sz w:val="20"/>
                                <w:szCs w:val="20"/>
                              </w:rPr>
                              <m:t>τ-1</m:t>
                            </m:r>
                          </m:sub>
                          <m:sup>
                            <m:r>
                              <w:rPr>
                                <w:rFonts w:ascii="Cambria Math" w:eastAsia="Calibri" w:hAnsi="Cambria Math" w:cs="Times New Roman"/>
                                <w:sz w:val="20"/>
                                <w:szCs w:val="20"/>
                              </w:rPr>
                              <m:t>k</m:t>
                            </m:r>
                          </m:sup>
                        </m:sSubSup>
                      </m:num>
                      <m:den>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S</m:t>
                            </m:r>
                          </m:e>
                          <m:sub>
                            <m:r>
                              <w:rPr>
                                <w:rFonts w:ascii="Cambria Math" w:eastAsia="Calibri" w:hAnsi="Cambria Math" w:cs="Times New Roman"/>
                                <w:sz w:val="20"/>
                                <w:szCs w:val="20"/>
                              </w:rPr>
                              <m:t>τ-1</m:t>
                            </m:r>
                          </m:sub>
                          <m:sup>
                            <m:r>
                              <w:rPr>
                                <w:rFonts w:ascii="Cambria Math" w:eastAsia="Calibri" w:hAnsi="Cambria Math" w:cs="Times New Roman"/>
                                <w:sz w:val="20"/>
                                <w:szCs w:val="20"/>
                              </w:rPr>
                              <m:t>k</m:t>
                            </m:r>
                          </m:sup>
                        </m:sSubSup>
                      </m:den>
                    </m:f>
                  </m:e>
                </m:d>
                <m:r>
                  <w:rPr>
                    <w:rFonts w:ascii="Cambria Math" w:eastAsia="Calibri" w:hAnsi="Cambria Math" w:cs="Times New Roman"/>
                    <w:sz w:val="20"/>
                    <w:szCs w:val="20"/>
                  </w:rPr>
                  <m:t>/</m:t>
                </m:r>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K</m:t>
                    </m:r>
                  </m:e>
                  <m:sub>
                    <m:r>
                      <w:rPr>
                        <w:rFonts w:ascii="Cambria Math" w:eastAsia="Calibri" w:hAnsi="Cambria Math" w:cs="Times New Roman"/>
                        <w:sz w:val="20"/>
                        <w:szCs w:val="20"/>
                      </w:rPr>
                      <m:t>τ</m:t>
                    </m:r>
                  </m:sub>
                </m:sSub>
              </m:e>
            </m:d>
          </m:e>
        </m:nary>
      </m:oMath>
      <w:r w:rsidR="00F74EEE" w:rsidRPr="00CB2DE6">
        <w:rPr>
          <w:rFonts w:ascii="Times New Roman" w:hAnsi="Times New Roman" w:cs="Times New Roman"/>
          <w:sz w:val="20"/>
          <w:szCs w:val="20"/>
        </w:rPr>
        <w:t xml:space="preserve">. </w:t>
      </w:r>
      <w:r w:rsidRPr="00CB2DE6">
        <w:rPr>
          <w:rFonts w:ascii="Times New Roman" w:hAnsi="Times New Roman" w:cs="Times New Roman"/>
          <w:sz w:val="20"/>
          <w:szCs w:val="20"/>
        </w:rPr>
        <w:t xml:space="preserve">The equations </w:t>
      </w:r>
      <w:r w:rsidR="00B92962" w:rsidRPr="00CB2DE6">
        <w:rPr>
          <w:rFonts w:ascii="Times New Roman" w:hAnsi="Times New Roman" w:cs="Times New Roman"/>
          <w:sz w:val="20"/>
          <w:szCs w:val="20"/>
        </w:rPr>
        <w:t xml:space="preserve">of </w:t>
      </w:r>
      <w:r w:rsidRPr="00CB2DE6">
        <w:rPr>
          <w:rFonts w:ascii="Times New Roman" w:hAnsi="Times New Roman" w:cs="Times New Roman"/>
          <w:sz w:val="20"/>
          <w:szCs w:val="20"/>
        </w:rPr>
        <w:t xml:space="preserve">the model are: (i)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τ</m:t>
            </m:r>
          </m:sub>
        </m:sSub>
      </m:oMath>
      <w:r w:rsidRPr="00CB2DE6">
        <w:rPr>
          <w:rFonts w:ascii="Times New Roman" w:hAnsi="Times New Roman" w:cs="Times New Roman"/>
          <w:sz w:val="20"/>
          <w:szCs w:val="20"/>
        </w:rPr>
        <w:t xml:space="preserve"> (where</w:t>
      </w:r>
      <m:oMath>
        <m:sSub>
          <m:sSubPr>
            <m:ctrlPr>
              <w:rPr>
                <w:rFonts w:ascii="Cambria Math" w:hAnsi="Cambria Math" w:cs="Times New Roman"/>
                <w:i/>
                <w:sz w:val="20"/>
                <w:szCs w:val="20"/>
              </w:rPr>
            </m:ctrlPr>
          </m:sSubPr>
          <m:e>
            <m:r>
              <w:rPr>
                <w:rFonts w:ascii="Cambria Math" w:hAnsi="Cambria Math" w:cs="Times New Roman"/>
                <w:sz w:val="20"/>
                <w:szCs w:val="20"/>
              </w:rPr>
              <m:t>ϵ</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τ</m:t>
            </m:r>
          </m:sub>
        </m:sSub>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τ</m:t>
            </m:r>
          </m:sub>
        </m:sSub>
      </m:oMath>
      <w:r w:rsidRPr="00CB2DE6">
        <w:rPr>
          <w:rFonts w:ascii="Times New Roman" w:hAnsi="Times New Roman" w:cs="Times New Roman"/>
          <w:sz w:val="20"/>
          <w:szCs w:val="20"/>
        </w:rPr>
        <w:t xml:space="preserve">) for the conditional mean; (ii) </w:t>
      </w:r>
      <m:oMath>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τ</m:t>
            </m:r>
          </m:sub>
          <m:sup>
            <m:r>
              <w:rPr>
                <w:rFonts w:ascii="Cambria Math" w:hAnsi="Cambria Math" w:cs="Times New Roman"/>
                <w:sz w:val="20"/>
                <w:szCs w:val="20"/>
              </w:rPr>
              <m:t>2</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2</m:t>
            </m:r>
          </m:sub>
        </m:sSub>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ϵ</m:t>
                </m:r>
              </m:e>
              <m:sub>
                <m:r>
                  <w:rPr>
                    <w:rFonts w:ascii="Cambria Math" w:hAnsi="Cambria Math" w:cs="Times New Roman"/>
                    <w:sz w:val="20"/>
                    <w:szCs w:val="20"/>
                  </w:rPr>
                  <m:t>τ-1</m:t>
                </m:r>
              </m:sub>
              <m:sup>
                <m:r>
                  <w:rPr>
                    <w:rFonts w:ascii="Cambria Math" w:hAnsi="Cambria Math" w:cs="Times New Roman"/>
                    <w:sz w:val="20"/>
                    <w:szCs w:val="20"/>
                  </w:rPr>
                  <m:t>2</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τ-1</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3</m:t>
            </m:r>
          </m:sub>
        </m:sSub>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ϵ</m:t>
                </m:r>
              </m:e>
              <m:sub>
                <m:r>
                  <w:rPr>
                    <w:rFonts w:ascii="Cambria Math" w:hAnsi="Cambria Math" w:cs="Times New Roman"/>
                    <w:sz w:val="20"/>
                    <w:szCs w:val="20"/>
                  </w:rPr>
                  <m:t>τ-1</m:t>
                </m:r>
              </m:sub>
              <m:sup>
                <m:r>
                  <w:rPr>
                    <w:rFonts w:ascii="Cambria Math" w:hAnsi="Cambria Math" w:cs="Times New Roman"/>
                    <w:sz w:val="20"/>
                    <w:szCs w:val="20"/>
                  </w:rPr>
                  <m:t>2</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τ-1</m:t>
                </m:r>
              </m:sub>
            </m:sSub>
          </m:e>
        </m:d>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τ-1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4</m:t>
            </m:r>
          </m:sub>
        </m:sSub>
        <m:d>
          <m:dPr>
            <m:ctrlPr>
              <w:rPr>
                <w:rFonts w:ascii="Cambria Math" w:hAnsi="Cambria Math" w:cs="Times New Roman"/>
                <w:i/>
                <w:sz w:val="20"/>
                <w:szCs w:val="20"/>
              </w:rPr>
            </m:ctrlPr>
          </m:dPr>
          <m:e>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τ-1</m:t>
                </m:r>
              </m:sub>
              <m:sup>
                <m:r>
                  <w:rPr>
                    <w:rFonts w:ascii="Cambria Math" w:hAnsi="Cambria Math" w:cs="Times New Roman"/>
                    <w:sz w:val="20"/>
                    <w:szCs w:val="20"/>
                  </w:rPr>
                  <m:t>2</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τ-1</m:t>
                </m:r>
              </m:sub>
            </m:sSub>
          </m:e>
        </m:d>
      </m:oMath>
      <w:r w:rsidRPr="00CB2DE6">
        <w:rPr>
          <w:rFonts w:ascii="Times New Roman" w:hAnsi="Times New Roman" w:cs="Times New Roman"/>
          <w:sz w:val="20"/>
          <w:szCs w:val="20"/>
        </w:rPr>
        <w:t xml:space="preserve"> for the </w:t>
      </w:r>
      <w:r w:rsidR="004C2474" w:rsidRPr="00CB2DE6">
        <w:rPr>
          <w:rFonts w:ascii="Times New Roman" w:hAnsi="Times New Roman" w:cs="Times New Roman"/>
          <w:sz w:val="20"/>
          <w:szCs w:val="20"/>
        </w:rPr>
        <w:t>short-</w:t>
      </w:r>
      <w:r w:rsidR="00C369FA" w:rsidRPr="00CB2DE6">
        <w:rPr>
          <w:rFonts w:ascii="Times New Roman" w:hAnsi="Times New Roman" w:cs="Times New Roman"/>
          <w:sz w:val="20"/>
          <w:szCs w:val="20"/>
        </w:rPr>
        <w:t xml:space="preserve">run </w:t>
      </w:r>
      <w:r w:rsidRPr="00CB2DE6">
        <w:rPr>
          <w:rFonts w:ascii="Times New Roman" w:hAnsi="Times New Roman" w:cs="Times New Roman"/>
          <w:sz w:val="20"/>
          <w:szCs w:val="20"/>
        </w:rPr>
        <w:t xml:space="preserve">component; and (iii) </w:t>
      </w: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5</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6</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τ-1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5</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7</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ϵ</m:t>
            </m:r>
          </m:e>
          <m:sub>
            <m:r>
              <w:rPr>
                <w:rFonts w:ascii="Cambria Math" w:hAnsi="Cambria Math" w:cs="Times New Roman"/>
                <w:sz w:val="20"/>
                <w:szCs w:val="20"/>
              </w:rPr>
              <m:t>τ-1</m:t>
            </m:r>
          </m:sub>
          <m:sup>
            <m:r>
              <w:rPr>
                <w:rFonts w:ascii="Cambria Math" w:hAnsi="Cambria Math" w:cs="Times New Roman"/>
                <w:sz w:val="20"/>
                <w:szCs w:val="20"/>
              </w:rPr>
              <m:t>2</m:t>
            </m:r>
          </m:sup>
        </m:sSubSup>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τ-1</m:t>
            </m:r>
          </m:sub>
          <m:sup>
            <m:r>
              <w:rPr>
                <w:rFonts w:ascii="Cambria Math" w:hAnsi="Cambria Math" w:cs="Times New Roman"/>
                <w:sz w:val="20"/>
                <w:szCs w:val="20"/>
              </w:rPr>
              <m:t>2</m:t>
            </m:r>
          </m:sup>
        </m:sSubSup>
        <m:r>
          <w:rPr>
            <w:rFonts w:ascii="Cambria Math" w:hAnsi="Cambria Math" w:cs="Times New Roman"/>
            <w:sz w:val="20"/>
            <w:szCs w:val="20"/>
          </w:rPr>
          <m:t>)</m:t>
        </m:r>
      </m:oMath>
      <w:r w:rsidRPr="00CB2DE6">
        <w:rPr>
          <w:rFonts w:ascii="Times New Roman" w:hAnsi="Times New Roman" w:cs="Times New Roman"/>
          <w:sz w:val="20"/>
          <w:szCs w:val="20"/>
        </w:rPr>
        <w:t xml:space="preserve"> for the</w:t>
      </w:r>
      <w:r w:rsidR="00914E67" w:rsidRPr="00CB2DE6">
        <w:rPr>
          <w:rFonts w:ascii="Times New Roman" w:hAnsi="Times New Roman" w:cs="Times New Roman"/>
          <w:sz w:val="20"/>
          <w:szCs w:val="20"/>
        </w:rPr>
        <w:t xml:space="preserve"> </w:t>
      </w:r>
      <w:r w:rsidR="004C2474" w:rsidRPr="00CB2DE6">
        <w:rPr>
          <w:rFonts w:ascii="Times New Roman" w:hAnsi="Times New Roman" w:cs="Times New Roman"/>
          <w:sz w:val="20"/>
          <w:szCs w:val="20"/>
        </w:rPr>
        <w:t>long-</w:t>
      </w:r>
      <w:r w:rsidR="00C369FA" w:rsidRPr="00CB2DE6">
        <w:rPr>
          <w:rFonts w:ascii="Times New Roman" w:hAnsi="Times New Roman" w:cs="Times New Roman"/>
          <w:sz w:val="20"/>
          <w:szCs w:val="20"/>
        </w:rPr>
        <w:t xml:space="preserve">run </w:t>
      </w:r>
      <w:r w:rsidR="00914E67" w:rsidRPr="00CB2DE6">
        <w:rPr>
          <w:rFonts w:ascii="Times New Roman" w:hAnsi="Times New Roman" w:cs="Times New Roman"/>
          <w:sz w:val="20"/>
          <w:szCs w:val="20"/>
        </w:rPr>
        <w:t xml:space="preserve">component. </w:t>
      </w:r>
      <w:r w:rsidRPr="00CB2DE6">
        <w:rPr>
          <w:rFonts w:ascii="Times New Roman" w:hAnsi="Times New Roman" w:cs="Times New Roman"/>
          <w:sz w:val="20"/>
          <w:szCs w:val="20"/>
        </w:rPr>
        <w:t xml:space="preserve">The table also reports </w:t>
      </w:r>
      <w:r w:rsidR="00120967" w:rsidRPr="00CB2DE6">
        <w:rPr>
          <w:rFonts w:ascii="Times New Roman" w:hAnsi="Times New Roman" w:cs="Times New Roman"/>
          <w:sz w:val="20"/>
          <w:szCs w:val="20"/>
        </w:rPr>
        <w:t xml:space="preserve">the </w:t>
      </w:r>
      <w:r w:rsidRPr="00CB2DE6">
        <w:rPr>
          <w:rFonts w:ascii="Times New Roman" w:hAnsi="Times New Roman" w:cs="Times New Roman"/>
          <w:sz w:val="20"/>
          <w:szCs w:val="20"/>
        </w:rPr>
        <w:t xml:space="preserve">Bollerslev and Wooldridge (1992) robust standard errors with associated </w:t>
      </w:r>
      <w:r w:rsidRPr="00CB2DE6">
        <w:rPr>
          <w:rFonts w:ascii="Times New Roman" w:hAnsi="Times New Roman" w:cs="Times New Roman"/>
          <w:i/>
          <w:sz w:val="20"/>
          <w:szCs w:val="20"/>
        </w:rPr>
        <w:t>p</w:t>
      </w:r>
      <w:r w:rsidRPr="00CB2DE6">
        <w:rPr>
          <w:rFonts w:ascii="Times New Roman" w:hAnsi="Times New Roman" w:cs="Times New Roman"/>
          <w:sz w:val="20"/>
          <w:szCs w:val="20"/>
        </w:rPr>
        <w:t xml:space="preserve">-values for the coefficient estimates. </w:t>
      </w:r>
      <w:r w:rsidR="00903B41" w:rsidRPr="00CB2DE6">
        <w:rPr>
          <w:rFonts w:ascii="Times New Roman" w:hAnsi="Times New Roman" w:cs="Times New Roman"/>
          <w:sz w:val="20"/>
          <w:szCs w:val="20"/>
        </w:rPr>
        <w:t xml:space="preserve">Panel D </w:t>
      </w:r>
      <w:r w:rsidR="00F03A29">
        <w:rPr>
          <w:rFonts w:ascii="Times New Roman" w:hAnsi="Times New Roman" w:cs="Times New Roman"/>
          <w:sz w:val="20"/>
          <w:szCs w:val="20"/>
        </w:rPr>
        <w:t xml:space="preserve">reports </w:t>
      </w:r>
      <w:r w:rsidRPr="00CB2DE6">
        <w:rPr>
          <w:rFonts w:ascii="Times New Roman" w:hAnsi="Times New Roman" w:cs="Times New Roman"/>
          <w:sz w:val="20"/>
          <w:szCs w:val="20"/>
        </w:rPr>
        <w:t xml:space="preserve">diagnostics for the standardized and squared standardized residuals based on </w:t>
      </w:r>
      <w:r w:rsidR="00250391" w:rsidRPr="00CB2DE6">
        <w:rPr>
          <w:rFonts w:ascii="Times New Roman" w:hAnsi="Times New Roman" w:cs="Times New Roman"/>
          <w:sz w:val="20"/>
          <w:szCs w:val="20"/>
        </w:rPr>
        <w:t xml:space="preserve">the </w:t>
      </w:r>
      <w:r w:rsidRPr="00CB2DE6">
        <w:rPr>
          <w:rFonts w:ascii="Times New Roman" w:hAnsi="Times New Roman" w:cs="Times New Roman"/>
          <w:sz w:val="20"/>
          <w:szCs w:val="20"/>
        </w:rPr>
        <w:t>Ljung</w:t>
      </w:r>
      <w:r w:rsidR="00867C10" w:rsidRPr="00CB2DE6">
        <w:rPr>
          <w:rFonts w:ascii="Times New Roman" w:hAnsi="Times New Roman" w:cs="Times New Roman"/>
          <w:sz w:val="20"/>
          <w:szCs w:val="20"/>
        </w:rPr>
        <w:t xml:space="preserve"> and </w:t>
      </w:r>
      <w:r w:rsidRPr="00CB2DE6">
        <w:rPr>
          <w:rFonts w:ascii="Times New Roman" w:hAnsi="Times New Roman" w:cs="Times New Roman"/>
          <w:sz w:val="20"/>
          <w:szCs w:val="20"/>
        </w:rPr>
        <w:t>Box</w:t>
      </w:r>
      <w:r w:rsidR="008717C3" w:rsidRPr="00CB2DE6">
        <w:rPr>
          <w:rFonts w:ascii="Times New Roman" w:hAnsi="Times New Roman" w:cs="Times New Roman"/>
          <w:sz w:val="20"/>
          <w:szCs w:val="20"/>
        </w:rPr>
        <w:t xml:space="preserve"> (1978)</w:t>
      </w:r>
      <w:r w:rsidR="003215D3" w:rsidRPr="00CB2DE6">
        <w:rPr>
          <w:rFonts w:ascii="Times New Roman" w:hAnsi="Times New Roman" w:cs="Times New Roman"/>
          <w:sz w:val="20"/>
          <w:szCs w:val="20"/>
        </w:rPr>
        <w:t xml:space="preserve"> </w:t>
      </w:r>
      <w:r w:rsidR="00806099" w:rsidRPr="00CB2DE6">
        <w:rPr>
          <w:rFonts w:ascii="Times New Roman" w:hAnsi="Times New Roman" w:cs="Times New Roman"/>
          <w:i/>
          <w:sz w:val="20"/>
          <w:szCs w:val="20"/>
        </w:rPr>
        <w:t>Q</w:t>
      </w:r>
      <w:r w:rsidR="00806099" w:rsidRPr="00CB2DE6">
        <w:rPr>
          <w:rFonts w:ascii="Times New Roman" w:hAnsi="Times New Roman" w:cs="Times New Roman"/>
          <w:sz w:val="20"/>
          <w:szCs w:val="20"/>
        </w:rPr>
        <w:t xml:space="preserve">-statistics at 10, 20, and 30 lags, respectively. </w:t>
      </w:r>
      <w:r w:rsidR="00F073A8" w:rsidRPr="00CB2DE6">
        <w:rPr>
          <w:rFonts w:ascii="Times New Roman" w:hAnsi="Times New Roman" w:cs="Times New Roman"/>
          <w:sz w:val="20"/>
          <w:szCs w:val="20"/>
        </w:rPr>
        <w:t xml:space="preserve">The sample period </w:t>
      </w:r>
      <w:r w:rsidR="00250391" w:rsidRPr="00CB2DE6">
        <w:rPr>
          <w:rFonts w:ascii="Times New Roman" w:hAnsi="Times New Roman" w:cs="Times New Roman"/>
          <w:sz w:val="20"/>
          <w:szCs w:val="20"/>
        </w:rPr>
        <w:t>is from N</w:t>
      </w:r>
      <w:r w:rsidR="00F073A8" w:rsidRPr="00CB2DE6">
        <w:rPr>
          <w:rFonts w:ascii="Times New Roman" w:hAnsi="Times New Roman" w:cs="Times New Roman"/>
          <w:sz w:val="20"/>
          <w:szCs w:val="20"/>
        </w:rPr>
        <w:t>ovem</w:t>
      </w:r>
      <w:r w:rsidR="003379CE" w:rsidRPr="00CB2DE6">
        <w:rPr>
          <w:rFonts w:ascii="Times New Roman" w:hAnsi="Times New Roman" w:cs="Times New Roman"/>
          <w:sz w:val="20"/>
          <w:szCs w:val="20"/>
        </w:rPr>
        <w:t>ber</w:t>
      </w:r>
      <w:r w:rsidR="006C6AF0" w:rsidRPr="00CB2DE6">
        <w:rPr>
          <w:rFonts w:ascii="Times New Roman" w:hAnsi="Times New Roman" w:cs="Times New Roman"/>
          <w:sz w:val="20"/>
          <w:szCs w:val="20"/>
        </w:rPr>
        <w:t xml:space="preserve"> 2,</w:t>
      </w:r>
      <w:r w:rsidR="003379CE" w:rsidRPr="00CB2DE6">
        <w:rPr>
          <w:rFonts w:ascii="Times New Roman" w:hAnsi="Times New Roman" w:cs="Times New Roman"/>
          <w:sz w:val="20"/>
          <w:szCs w:val="20"/>
        </w:rPr>
        <w:t xml:space="preserve"> 1983 to February</w:t>
      </w:r>
      <w:r w:rsidR="006C6AF0" w:rsidRPr="00CB2DE6">
        <w:rPr>
          <w:rFonts w:ascii="Times New Roman" w:hAnsi="Times New Roman" w:cs="Times New Roman"/>
          <w:sz w:val="20"/>
          <w:szCs w:val="20"/>
        </w:rPr>
        <w:t xml:space="preserve"> 28,</w:t>
      </w:r>
      <w:r w:rsidR="003379CE" w:rsidRPr="00CB2DE6">
        <w:rPr>
          <w:rFonts w:ascii="Times New Roman" w:hAnsi="Times New Roman" w:cs="Times New Roman"/>
          <w:sz w:val="20"/>
          <w:szCs w:val="20"/>
        </w:rPr>
        <w:t xml:space="preserve"> 2013.</w:t>
      </w:r>
    </w:p>
    <w:tbl>
      <w:tblPr>
        <w:tblStyle w:val="TableGrid"/>
        <w:tblW w:w="0" w:type="auto"/>
        <w:jc w:val="center"/>
        <w:tblLook w:val="04A0" w:firstRow="1" w:lastRow="0" w:firstColumn="1" w:lastColumn="0" w:noHBand="0" w:noVBand="1"/>
      </w:tblPr>
      <w:tblGrid>
        <w:gridCol w:w="855"/>
        <w:gridCol w:w="1716"/>
        <w:gridCol w:w="1473"/>
        <w:gridCol w:w="1378"/>
        <w:gridCol w:w="1425"/>
      </w:tblGrid>
      <w:tr w:rsidR="00D66B1E" w:rsidRPr="00CB2DE6" w:rsidTr="00F12ABA">
        <w:trPr>
          <w:trHeight w:val="70"/>
          <w:jc w:val="center"/>
        </w:trPr>
        <w:tc>
          <w:tcPr>
            <w:tcW w:w="0" w:type="auto"/>
            <w:gridSpan w:val="5"/>
            <w:tcBorders>
              <w:top w:val="single" w:sz="4" w:space="0" w:color="auto"/>
              <w:left w:val="nil"/>
              <w:bottom w:val="single" w:sz="4" w:space="0" w:color="auto"/>
              <w:right w:val="nil"/>
            </w:tcBorders>
          </w:tcPr>
          <w:p w:rsidR="00D66B1E" w:rsidRPr="00CB2DE6" w:rsidRDefault="00D66B1E" w:rsidP="006024D9">
            <w:pPr>
              <w:spacing w:before="20" w:after="20"/>
              <w:jc w:val="center"/>
              <w:rPr>
                <w:rFonts w:ascii="Times New Roman" w:hAnsi="Times New Roman" w:cs="Times New Roman"/>
                <w:position w:val="-6"/>
                <w:sz w:val="19"/>
                <w:szCs w:val="19"/>
              </w:rPr>
            </w:pPr>
            <w:r w:rsidRPr="00CB2DE6">
              <w:rPr>
                <w:rFonts w:ascii="Times New Roman" w:hAnsi="Times New Roman" w:cs="Times New Roman"/>
                <w:sz w:val="19"/>
                <w:szCs w:val="19"/>
              </w:rPr>
              <w:t xml:space="preserve">Panel A: </w:t>
            </w:r>
            <w:r w:rsidR="00944888" w:rsidRPr="00CB2DE6">
              <w:rPr>
                <w:rFonts w:ascii="Times New Roman" w:hAnsi="Times New Roman" w:cs="Times New Roman"/>
                <w:sz w:val="19"/>
                <w:szCs w:val="19"/>
              </w:rPr>
              <w:t xml:space="preserve">Descriptive Statistics of </w:t>
            </w:r>
            <w:r w:rsidR="00905527" w:rsidRPr="00CB2DE6">
              <w:rPr>
                <w:rFonts w:ascii="Times New Roman" w:hAnsi="Times New Roman" w:cs="Times New Roman"/>
                <w:sz w:val="19"/>
                <w:szCs w:val="19"/>
              </w:rPr>
              <w:t xml:space="preserve">Global </w:t>
            </w:r>
            <w:r w:rsidR="004D0E07" w:rsidRPr="00CB2DE6">
              <w:rPr>
                <w:rFonts w:ascii="Times New Roman" w:hAnsi="Times New Roman" w:cs="Times New Roman"/>
                <w:sz w:val="19"/>
                <w:szCs w:val="19"/>
              </w:rPr>
              <w:t xml:space="preserve">FX </w:t>
            </w:r>
            <w:r w:rsidR="00905527" w:rsidRPr="00CB2DE6">
              <w:rPr>
                <w:rFonts w:ascii="Times New Roman" w:hAnsi="Times New Roman" w:cs="Times New Roman"/>
                <w:sz w:val="19"/>
                <w:szCs w:val="19"/>
              </w:rPr>
              <w:t xml:space="preserve">Return </w:t>
            </w:r>
            <w:r w:rsidR="004D0E07" w:rsidRPr="00CB2DE6">
              <w:rPr>
                <w:rFonts w:ascii="Times New Roman" w:hAnsi="Times New Roman" w:cs="Times New Roman"/>
                <w:sz w:val="19"/>
                <w:szCs w:val="19"/>
              </w:rPr>
              <w:t>(7,652</w:t>
            </w:r>
            <w:r w:rsidRPr="00CB2DE6">
              <w:rPr>
                <w:rFonts w:ascii="Times New Roman" w:hAnsi="Times New Roman" w:cs="Times New Roman"/>
                <w:sz w:val="19"/>
                <w:szCs w:val="19"/>
              </w:rPr>
              <w:t xml:space="preserve"> Days)</w:t>
            </w:r>
          </w:p>
        </w:tc>
      </w:tr>
      <w:tr w:rsidR="003215D3" w:rsidRPr="00CB2DE6" w:rsidTr="00F12ABA">
        <w:trPr>
          <w:trHeight w:val="70"/>
          <w:jc w:val="center"/>
        </w:trPr>
        <w:tc>
          <w:tcPr>
            <w:tcW w:w="0" w:type="auto"/>
            <w:tcBorders>
              <w:top w:val="single" w:sz="4" w:space="0" w:color="auto"/>
              <w:left w:val="nil"/>
              <w:bottom w:val="single" w:sz="4" w:space="0" w:color="auto"/>
              <w:right w:val="nil"/>
            </w:tcBorders>
          </w:tcPr>
          <w:p w:rsidR="00D66B1E" w:rsidRPr="00CB2DE6" w:rsidRDefault="00D66B1E" w:rsidP="007C0E5E">
            <w:pPr>
              <w:spacing w:before="20" w:after="20"/>
              <w:rPr>
                <w:rFonts w:ascii="Times New Roman" w:hAnsi="Times New Roman" w:cs="Times New Roman"/>
                <w:sz w:val="19"/>
                <w:szCs w:val="19"/>
              </w:rPr>
            </w:pPr>
            <w:r w:rsidRPr="00CB2DE6">
              <w:rPr>
                <w:rFonts w:ascii="Times New Roman" w:hAnsi="Times New Roman" w:cs="Times New Roman"/>
                <w:sz w:val="19"/>
                <w:szCs w:val="19"/>
              </w:rPr>
              <w:t>Mean</w:t>
            </w:r>
          </w:p>
        </w:tc>
        <w:tc>
          <w:tcPr>
            <w:tcW w:w="0" w:type="auto"/>
            <w:tcBorders>
              <w:top w:val="single" w:sz="4" w:space="0" w:color="auto"/>
              <w:left w:val="nil"/>
              <w:bottom w:val="single" w:sz="4" w:space="0" w:color="auto"/>
              <w:right w:val="nil"/>
            </w:tcBorders>
          </w:tcPr>
          <w:p w:rsidR="00D66B1E" w:rsidRPr="00CB2DE6" w:rsidRDefault="00D66B1E" w:rsidP="007C0E5E">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Median</w:t>
            </w:r>
          </w:p>
        </w:tc>
        <w:tc>
          <w:tcPr>
            <w:tcW w:w="0" w:type="auto"/>
            <w:tcBorders>
              <w:top w:val="single" w:sz="4" w:space="0" w:color="auto"/>
              <w:left w:val="nil"/>
              <w:bottom w:val="single" w:sz="4" w:space="0" w:color="auto"/>
              <w:right w:val="nil"/>
            </w:tcBorders>
          </w:tcPr>
          <w:p w:rsidR="00D66B1E" w:rsidRPr="00CB2DE6" w:rsidRDefault="00D66B1E" w:rsidP="007C0E5E">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Std. Dev.</w:t>
            </w:r>
          </w:p>
        </w:tc>
        <w:tc>
          <w:tcPr>
            <w:tcW w:w="0" w:type="auto"/>
            <w:tcBorders>
              <w:top w:val="single" w:sz="4" w:space="0" w:color="auto"/>
              <w:left w:val="nil"/>
              <w:bottom w:val="single" w:sz="4" w:space="0" w:color="auto"/>
              <w:right w:val="nil"/>
            </w:tcBorders>
          </w:tcPr>
          <w:p w:rsidR="00D66B1E" w:rsidRPr="00CB2DE6" w:rsidRDefault="00D66B1E" w:rsidP="007C0E5E">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Skewness</w:t>
            </w:r>
          </w:p>
        </w:tc>
        <w:tc>
          <w:tcPr>
            <w:tcW w:w="0" w:type="auto"/>
            <w:tcBorders>
              <w:top w:val="single" w:sz="4" w:space="0" w:color="auto"/>
              <w:left w:val="nil"/>
              <w:bottom w:val="single" w:sz="4" w:space="0" w:color="auto"/>
              <w:right w:val="nil"/>
            </w:tcBorders>
          </w:tcPr>
          <w:p w:rsidR="00D66B1E" w:rsidRPr="00CB2DE6" w:rsidRDefault="00D66B1E" w:rsidP="00D66B1E">
            <w:pPr>
              <w:tabs>
                <w:tab w:val="left" w:pos="1349"/>
              </w:tabs>
              <w:spacing w:before="20" w:after="20"/>
              <w:ind w:right="-104"/>
              <w:jc w:val="center"/>
              <w:rPr>
                <w:rFonts w:ascii="Times New Roman" w:hAnsi="Times New Roman" w:cs="Times New Roman"/>
                <w:sz w:val="19"/>
                <w:szCs w:val="19"/>
              </w:rPr>
            </w:pPr>
            <w:r w:rsidRPr="00CB2DE6">
              <w:rPr>
                <w:rFonts w:ascii="Times New Roman" w:hAnsi="Times New Roman" w:cs="Times New Roman"/>
                <w:sz w:val="19"/>
                <w:szCs w:val="19"/>
              </w:rPr>
              <w:t xml:space="preserve">         Kurtosis</w:t>
            </w:r>
          </w:p>
        </w:tc>
      </w:tr>
      <w:tr w:rsidR="003215D3" w:rsidRPr="00CB2DE6" w:rsidTr="00F12ABA">
        <w:trPr>
          <w:trHeight w:val="70"/>
          <w:jc w:val="center"/>
        </w:trPr>
        <w:tc>
          <w:tcPr>
            <w:tcW w:w="0" w:type="auto"/>
            <w:tcBorders>
              <w:top w:val="single" w:sz="4" w:space="0" w:color="auto"/>
              <w:left w:val="nil"/>
              <w:bottom w:val="nil"/>
              <w:right w:val="nil"/>
            </w:tcBorders>
          </w:tcPr>
          <w:p w:rsidR="00D66B1E" w:rsidRPr="00CB2DE6" w:rsidRDefault="004D0E07" w:rsidP="007C7FFC">
            <w:pPr>
              <w:spacing w:before="120" w:after="120"/>
              <w:rPr>
                <w:rFonts w:ascii="Times New Roman" w:hAnsi="Times New Roman" w:cs="Times New Roman"/>
                <w:sz w:val="19"/>
                <w:szCs w:val="19"/>
              </w:rPr>
            </w:pPr>
            <w:r w:rsidRPr="00CB2DE6">
              <w:rPr>
                <w:rFonts w:ascii="Times New Roman" w:hAnsi="Times New Roman" w:cs="Times New Roman"/>
                <w:sz w:val="19"/>
                <w:szCs w:val="19"/>
              </w:rPr>
              <w:t>0.</w:t>
            </w:r>
            <w:r w:rsidR="003F78E6" w:rsidRPr="00CB2DE6">
              <w:rPr>
                <w:rFonts w:ascii="Times New Roman" w:hAnsi="Times New Roman" w:cs="Times New Roman"/>
                <w:sz w:val="19"/>
                <w:szCs w:val="19"/>
              </w:rPr>
              <w:t>001</w:t>
            </w:r>
          </w:p>
        </w:tc>
        <w:tc>
          <w:tcPr>
            <w:tcW w:w="0" w:type="auto"/>
            <w:tcBorders>
              <w:top w:val="single" w:sz="4" w:space="0" w:color="auto"/>
              <w:left w:val="nil"/>
              <w:bottom w:val="nil"/>
              <w:right w:val="nil"/>
            </w:tcBorders>
          </w:tcPr>
          <w:p w:rsidR="00D66B1E" w:rsidRPr="00CB2DE6" w:rsidRDefault="004D0E07" w:rsidP="007C7FFC">
            <w:pPr>
              <w:spacing w:before="120" w:after="120"/>
              <w:jc w:val="right"/>
              <w:rPr>
                <w:rFonts w:ascii="Times New Roman" w:hAnsi="Times New Roman" w:cs="Times New Roman"/>
                <w:sz w:val="19"/>
                <w:szCs w:val="19"/>
              </w:rPr>
            </w:pPr>
            <w:r w:rsidRPr="00CB2DE6">
              <w:rPr>
                <w:rFonts w:ascii="Times New Roman" w:hAnsi="Times New Roman" w:cs="Times New Roman"/>
                <w:sz w:val="19"/>
                <w:szCs w:val="19"/>
              </w:rPr>
              <w:t>0.</w:t>
            </w:r>
            <w:r w:rsidR="003F78E6" w:rsidRPr="00CB2DE6">
              <w:rPr>
                <w:rFonts w:ascii="Times New Roman" w:hAnsi="Times New Roman" w:cs="Times New Roman"/>
                <w:sz w:val="19"/>
                <w:szCs w:val="19"/>
              </w:rPr>
              <w:t>000</w:t>
            </w:r>
          </w:p>
        </w:tc>
        <w:tc>
          <w:tcPr>
            <w:tcW w:w="0" w:type="auto"/>
            <w:tcBorders>
              <w:top w:val="single" w:sz="4" w:space="0" w:color="auto"/>
              <w:left w:val="nil"/>
              <w:bottom w:val="nil"/>
              <w:right w:val="nil"/>
            </w:tcBorders>
          </w:tcPr>
          <w:p w:rsidR="00D66B1E" w:rsidRPr="00CB2DE6" w:rsidRDefault="004D0E07" w:rsidP="007C7FFC">
            <w:pPr>
              <w:spacing w:before="120" w:after="120"/>
              <w:jc w:val="right"/>
              <w:rPr>
                <w:rFonts w:ascii="Times New Roman" w:hAnsi="Times New Roman" w:cs="Times New Roman"/>
                <w:sz w:val="19"/>
                <w:szCs w:val="19"/>
              </w:rPr>
            </w:pPr>
            <w:r w:rsidRPr="00CB2DE6">
              <w:rPr>
                <w:rFonts w:ascii="Times New Roman" w:hAnsi="Times New Roman" w:cs="Times New Roman"/>
                <w:sz w:val="19"/>
                <w:szCs w:val="19"/>
              </w:rPr>
              <w:t>0.</w:t>
            </w:r>
            <w:r w:rsidR="003F78E6" w:rsidRPr="00CB2DE6">
              <w:rPr>
                <w:rFonts w:ascii="Times New Roman" w:hAnsi="Times New Roman" w:cs="Times New Roman"/>
                <w:sz w:val="19"/>
                <w:szCs w:val="19"/>
              </w:rPr>
              <w:t>419</w:t>
            </w:r>
          </w:p>
        </w:tc>
        <w:tc>
          <w:tcPr>
            <w:tcW w:w="0" w:type="auto"/>
            <w:tcBorders>
              <w:top w:val="single" w:sz="4" w:space="0" w:color="auto"/>
              <w:left w:val="nil"/>
              <w:bottom w:val="nil"/>
              <w:right w:val="nil"/>
            </w:tcBorders>
          </w:tcPr>
          <w:p w:rsidR="00D66B1E" w:rsidRPr="00CB2DE6" w:rsidRDefault="003F78E6" w:rsidP="007C7FFC">
            <w:pPr>
              <w:spacing w:before="120" w:after="120"/>
              <w:jc w:val="right"/>
              <w:rPr>
                <w:rFonts w:ascii="Times New Roman" w:hAnsi="Times New Roman" w:cs="Times New Roman"/>
                <w:sz w:val="19"/>
                <w:szCs w:val="19"/>
              </w:rPr>
            </w:pPr>
            <w:r w:rsidRPr="00CB2DE6">
              <w:rPr>
                <w:rFonts w:ascii="Times New Roman" w:hAnsi="Times New Roman" w:cs="Times New Roman"/>
                <w:sz w:val="19"/>
                <w:szCs w:val="19"/>
              </w:rPr>
              <w:t>-0.086</w:t>
            </w:r>
          </w:p>
        </w:tc>
        <w:tc>
          <w:tcPr>
            <w:tcW w:w="0" w:type="auto"/>
            <w:tcBorders>
              <w:top w:val="single" w:sz="4" w:space="0" w:color="auto"/>
              <w:left w:val="nil"/>
              <w:bottom w:val="nil"/>
              <w:right w:val="nil"/>
            </w:tcBorders>
          </w:tcPr>
          <w:p w:rsidR="00D66B1E" w:rsidRPr="00CB2DE6" w:rsidRDefault="001D23D8" w:rsidP="007C7FFC">
            <w:pPr>
              <w:spacing w:before="120" w:after="120"/>
              <w:jc w:val="right"/>
              <w:rPr>
                <w:rFonts w:ascii="Times New Roman" w:hAnsi="Times New Roman" w:cs="Times New Roman"/>
                <w:sz w:val="19"/>
                <w:szCs w:val="19"/>
              </w:rPr>
            </w:pPr>
            <w:r w:rsidRPr="00CB2DE6">
              <w:rPr>
                <w:rFonts w:ascii="Times New Roman" w:hAnsi="Times New Roman" w:cs="Times New Roman"/>
                <w:sz w:val="19"/>
                <w:szCs w:val="19"/>
              </w:rPr>
              <w:t>7.096</w:t>
            </w:r>
          </w:p>
        </w:tc>
      </w:tr>
      <w:tr w:rsidR="00D66B1E" w:rsidRPr="00CB2DE6" w:rsidTr="00F12ABA">
        <w:trPr>
          <w:jc w:val="center"/>
        </w:trPr>
        <w:tc>
          <w:tcPr>
            <w:tcW w:w="0" w:type="auto"/>
            <w:gridSpan w:val="5"/>
            <w:tcBorders>
              <w:top w:val="single" w:sz="4" w:space="0" w:color="auto"/>
              <w:left w:val="nil"/>
              <w:bottom w:val="single" w:sz="4" w:space="0" w:color="auto"/>
              <w:right w:val="nil"/>
            </w:tcBorders>
          </w:tcPr>
          <w:p w:rsidR="00D66B1E" w:rsidRPr="00CB2DE6" w:rsidRDefault="00D66B1E" w:rsidP="006A503E">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 xml:space="preserve">Panel </w:t>
            </w:r>
            <w:r w:rsidR="00903B41" w:rsidRPr="00CB2DE6">
              <w:rPr>
                <w:rFonts w:ascii="Times New Roman" w:hAnsi="Times New Roman" w:cs="Times New Roman"/>
                <w:sz w:val="19"/>
                <w:szCs w:val="19"/>
              </w:rPr>
              <w:t>B</w:t>
            </w:r>
            <w:r w:rsidRPr="00CB2DE6">
              <w:rPr>
                <w:rFonts w:ascii="Times New Roman" w:hAnsi="Times New Roman" w:cs="Times New Roman"/>
                <w:sz w:val="19"/>
                <w:szCs w:val="19"/>
              </w:rPr>
              <w:t xml:space="preserve">: </w:t>
            </w:r>
            <w:r w:rsidR="004C2474" w:rsidRPr="00CB2DE6">
              <w:rPr>
                <w:rFonts w:ascii="Times New Roman" w:hAnsi="Times New Roman" w:cs="Times New Roman"/>
                <w:sz w:val="19"/>
                <w:szCs w:val="19"/>
              </w:rPr>
              <w:t>Short-</w:t>
            </w:r>
            <w:r w:rsidR="006A503E" w:rsidRPr="00CB2DE6">
              <w:rPr>
                <w:rFonts w:ascii="Times New Roman" w:hAnsi="Times New Roman" w:cs="Times New Roman"/>
                <w:sz w:val="19"/>
                <w:szCs w:val="19"/>
              </w:rPr>
              <w:t xml:space="preserve">Run </w:t>
            </w:r>
            <w:r w:rsidRPr="00CB2DE6">
              <w:rPr>
                <w:rFonts w:ascii="Times New Roman" w:hAnsi="Times New Roman" w:cs="Times New Roman"/>
                <w:sz w:val="19"/>
                <w:szCs w:val="19"/>
              </w:rPr>
              <w:t>Component</w:t>
            </w:r>
          </w:p>
        </w:tc>
      </w:tr>
      <w:tr w:rsidR="003215D3" w:rsidRPr="00CB2DE6" w:rsidTr="00F12ABA">
        <w:trPr>
          <w:trHeight w:val="70"/>
          <w:jc w:val="center"/>
        </w:trPr>
        <w:tc>
          <w:tcPr>
            <w:tcW w:w="0" w:type="auto"/>
            <w:tcBorders>
              <w:top w:val="single" w:sz="4" w:space="0" w:color="auto"/>
              <w:left w:val="nil"/>
              <w:bottom w:val="single" w:sz="4" w:space="0" w:color="auto"/>
              <w:right w:val="nil"/>
            </w:tcBorders>
          </w:tcPr>
          <w:p w:rsidR="00307848" w:rsidRPr="00CB2DE6" w:rsidRDefault="00307848" w:rsidP="007C0E5E">
            <w:pPr>
              <w:spacing w:before="20" w:after="20"/>
              <w:jc w:val="center"/>
              <w:rPr>
                <w:rFonts w:ascii="Times New Roman" w:hAnsi="Times New Roman" w:cs="Times New Roman"/>
                <w:i/>
                <w:sz w:val="19"/>
                <w:szCs w:val="19"/>
              </w:rPr>
            </w:pPr>
          </w:p>
        </w:tc>
        <w:tc>
          <w:tcPr>
            <w:tcW w:w="0" w:type="auto"/>
            <w:tcBorders>
              <w:top w:val="single" w:sz="4" w:space="0" w:color="auto"/>
              <w:left w:val="nil"/>
              <w:bottom w:val="single" w:sz="4" w:space="0" w:color="auto"/>
              <w:right w:val="nil"/>
            </w:tcBorders>
          </w:tcPr>
          <w:p w:rsidR="00307848" w:rsidRPr="00CB2DE6" w:rsidRDefault="00120967" w:rsidP="006A503E">
            <w:pPr>
              <w:spacing w:before="20" w:after="20"/>
              <w:jc w:val="right"/>
              <w:rPr>
                <w:rFonts w:ascii="Times New Roman" w:hAnsi="Times New Roman" w:cs="Times New Roman"/>
                <w:i/>
                <w:sz w:val="19"/>
                <w:szCs w:val="19"/>
              </w:rPr>
            </w:pPr>
            <w:r w:rsidRPr="00CB2DE6">
              <w:rPr>
                <w:rFonts w:ascii="Times New Roman" w:hAnsi="Times New Roman" w:cs="Times New Roman"/>
                <w:i/>
                <w:sz w:val="19"/>
                <w:szCs w:val="19"/>
              </w:rPr>
              <w:t xml:space="preserve">                           </w:t>
            </w: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ψ</m:t>
                      </m:r>
                    </m:e>
                    <m:sub>
                      <m:r>
                        <w:rPr>
                          <w:rFonts w:ascii="Cambria Math" w:hAnsi="Cambria Math" w:cs="Times New Roman"/>
                          <w:sz w:val="19"/>
                          <w:szCs w:val="19"/>
                        </w:rPr>
                        <m:t>2</m:t>
                      </m:r>
                    </m:sub>
                  </m:sSub>
                </m:e>
              </m:acc>
            </m:oMath>
          </w:p>
        </w:tc>
        <w:tc>
          <w:tcPr>
            <w:tcW w:w="0" w:type="auto"/>
            <w:tcBorders>
              <w:top w:val="single" w:sz="4" w:space="0" w:color="auto"/>
              <w:left w:val="nil"/>
              <w:bottom w:val="single" w:sz="4" w:space="0" w:color="auto"/>
              <w:right w:val="nil"/>
            </w:tcBorders>
          </w:tcPr>
          <w:p w:rsidR="00307848" w:rsidRPr="00CB2DE6" w:rsidRDefault="00497F73" w:rsidP="006A503E">
            <w:pPr>
              <w:spacing w:before="20" w:after="20"/>
              <w:jc w:val="right"/>
              <w:rPr>
                <w:rFonts w:ascii="Times New Roman" w:hAnsi="Times New Roman" w:cs="Times New Roman"/>
                <w:i/>
                <w:sz w:val="19"/>
                <w:szCs w:val="19"/>
              </w:rPr>
            </w:pPr>
            <m:oMathPara>
              <m:oMathParaPr>
                <m:jc m:val="right"/>
              </m:oMathParaP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ψ</m:t>
                        </m:r>
                      </m:e>
                      <m:sub>
                        <m:r>
                          <w:rPr>
                            <w:rFonts w:ascii="Cambria Math" w:hAnsi="Cambria Math" w:cs="Times New Roman"/>
                            <w:sz w:val="19"/>
                            <w:szCs w:val="19"/>
                          </w:rPr>
                          <m:t>3</m:t>
                        </m:r>
                      </m:sub>
                    </m:sSub>
                  </m:e>
                </m:acc>
              </m:oMath>
            </m:oMathPara>
          </w:p>
        </w:tc>
        <w:tc>
          <w:tcPr>
            <w:tcW w:w="0" w:type="auto"/>
            <w:tcBorders>
              <w:top w:val="single" w:sz="4" w:space="0" w:color="auto"/>
              <w:left w:val="nil"/>
              <w:bottom w:val="single" w:sz="4" w:space="0" w:color="auto"/>
              <w:right w:val="nil"/>
            </w:tcBorders>
          </w:tcPr>
          <w:p w:rsidR="00307848" w:rsidRPr="00CB2DE6" w:rsidRDefault="00497F73" w:rsidP="006A503E">
            <w:pPr>
              <w:spacing w:before="20" w:after="20"/>
              <w:jc w:val="right"/>
              <w:rPr>
                <w:rFonts w:ascii="Times New Roman" w:hAnsi="Times New Roman" w:cs="Times New Roman"/>
                <w:i/>
                <w:sz w:val="19"/>
                <w:szCs w:val="19"/>
              </w:rPr>
            </w:pPr>
            <m:oMathPara>
              <m:oMathParaPr>
                <m:jc m:val="right"/>
              </m:oMathParaP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ψ</m:t>
                        </m:r>
                      </m:e>
                      <m:sub>
                        <m:r>
                          <w:rPr>
                            <w:rFonts w:ascii="Cambria Math" w:hAnsi="Cambria Math" w:cs="Times New Roman"/>
                            <w:sz w:val="19"/>
                            <w:szCs w:val="19"/>
                          </w:rPr>
                          <m:t>4</m:t>
                        </m:r>
                      </m:sub>
                    </m:sSub>
                  </m:e>
                </m:acc>
              </m:oMath>
            </m:oMathPara>
          </w:p>
        </w:tc>
        <w:tc>
          <w:tcPr>
            <w:tcW w:w="0" w:type="auto"/>
            <w:tcBorders>
              <w:top w:val="single" w:sz="4" w:space="0" w:color="auto"/>
              <w:left w:val="nil"/>
              <w:bottom w:val="single" w:sz="4" w:space="0" w:color="auto"/>
              <w:right w:val="nil"/>
            </w:tcBorders>
          </w:tcPr>
          <w:p w:rsidR="00307848" w:rsidRPr="00CB2DE6" w:rsidRDefault="00307848" w:rsidP="00CF48DB">
            <w:pPr>
              <w:spacing w:before="20" w:after="20"/>
              <w:jc w:val="right"/>
              <w:rPr>
                <w:rFonts w:ascii="Times New Roman" w:hAnsi="Times New Roman" w:cs="Times New Roman"/>
                <w:i/>
                <w:sz w:val="19"/>
                <w:szCs w:val="19"/>
              </w:rPr>
            </w:pPr>
          </w:p>
        </w:tc>
      </w:tr>
      <w:tr w:rsidR="003215D3" w:rsidRPr="00CB2DE6" w:rsidTr="00F12ABA">
        <w:trPr>
          <w:jc w:val="center"/>
        </w:trPr>
        <w:tc>
          <w:tcPr>
            <w:tcW w:w="0" w:type="auto"/>
            <w:tcBorders>
              <w:top w:val="single" w:sz="4" w:space="0" w:color="auto"/>
              <w:left w:val="nil"/>
              <w:bottom w:val="nil"/>
              <w:right w:val="nil"/>
            </w:tcBorders>
            <w:vAlign w:val="center"/>
          </w:tcPr>
          <w:p w:rsidR="00307848" w:rsidRPr="00CB2DE6" w:rsidRDefault="00307848" w:rsidP="007C7FFC">
            <w:pPr>
              <w:spacing w:before="120"/>
              <w:rPr>
                <w:rFonts w:ascii="Times New Roman" w:hAnsi="Times New Roman" w:cs="Times New Roman"/>
                <w:sz w:val="19"/>
                <w:szCs w:val="19"/>
              </w:rPr>
            </w:pPr>
            <w:r w:rsidRPr="00CB2DE6">
              <w:rPr>
                <w:rFonts w:ascii="Times New Roman" w:hAnsi="Times New Roman" w:cs="Times New Roman"/>
                <w:sz w:val="19"/>
                <w:szCs w:val="19"/>
              </w:rPr>
              <w:t>Coef.</w:t>
            </w:r>
          </w:p>
        </w:tc>
        <w:tc>
          <w:tcPr>
            <w:tcW w:w="0" w:type="auto"/>
            <w:tcBorders>
              <w:top w:val="single" w:sz="4" w:space="0" w:color="auto"/>
              <w:left w:val="nil"/>
              <w:bottom w:val="nil"/>
              <w:right w:val="nil"/>
            </w:tcBorders>
          </w:tcPr>
          <w:p w:rsidR="00307848" w:rsidRPr="00CB2DE6" w:rsidRDefault="00307848" w:rsidP="007331C5">
            <w:pPr>
              <w:spacing w:before="120"/>
              <w:jc w:val="right"/>
              <w:rPr>
                <w:rFonts w:ascii="Times New Roman" w:hAnsi="Times New Roman" w:cs="Times New Roman"/>
                <w:sz w:val="19"/>
                <w:szCs w:val="19"/>
              </w:rPr>
            </w:pPr>
            <w:r w:rsidRPr="00CB2DE6">
              <w:rPr>
                <w:rFonts w:ascii="Times New Roman" w:hAnsi="Times New Roman" w:cs="Times New Roman"/>
                <w:sz w:val="19"/>
                <w:szCs w:val="19"/>
              </w:rPr>
              <w:t>0.0</w:t>
            </w:r>
            <w:r w:rsidR="00987677" w:rsidRPr="00CB2DE6">
              <w:rPr>
                <w:rFonts w:ascii="Times New Roman" w:hAnsi="Times New Roman" w:cs="Times New Roman"/>
                <w:sz w:val="19"/>
                <w:szCs w:val="19"/>
              </w:rPr>
              <w:t>20</w:t>
            </w:r>
          </w:p>
        </w:tc>
        <w:tc>
          <w:tcPr>
            <w:tcW w:w="0" w:type="auto"/>
            <w:tcBorders>
              <w:top w:val="single" w:sz="4" w:space="0" w:color="auto"/>
              <w:left w:val="nil"/>
              <w:bottom w:val="nil"/>
              <w:right w:val="nil"/>
            </w:tcBorders>
          </w:tcPr>
          <w:p w:rsidR="00307848" w:rsidRPr="00CB2DE6" w:rsidRDefault="00307848" w:rsidP="007331C5">
            <w:pPr>
              <w:spacing w:before="120"/>
              <w:jc w:val="right"/>
              <w:rPr>
                <w:rFonts w:ascii="Times New Roman" w:hAnsi="Times New Roman" w:cs="Times New Roman"/>
                <w:sz w:val="19"/>
                <w:szCs w:val="19"/>
              </w:rPr>
            </w:pPr>
            <w:r w:rsidRPr="00CB2DE6">
              <w:rPr>
                <w:rFonts w:ascii="Times New Roman" w:hAnsi="Times New Roman" w:cs="Times New Roman"/>
                <w:sz w:val="19"/>
                <w:szCs w:val="19"/>
              </w:rPr>
              <w:t xml:space="preserve">               </w:t>
            </w:r>
            <w:r w:rsidR="00987677" w:rsidRPr="00CB2DE6">
              <w:rPr>
                <w:rFonts w:ascii="Times New Roman" w:hAnsi="Times New Roman" w:cs="Times New Roman"/>
                <w:sz w:val="19"/>
                <w:szCs w:val="19"/>
              </w:rPr>
              <w:t>-0.039</w:t>
            </w:r>
          </w:p>
        </w:tc>
        <w:tc>
          <w:tcPr>
            <w:tcW w:w="0" w:type="auto"/>
            <w:tcBorders>
              <w:top w:val="single" w:sz="4" w:space="0" w:color="auto"/>
              <w:left w:val="nil"/>
              <w:bottom w:val="nil"/>
              <w:right w:val="nil"/>
            </w:tcBorders>
          </w:tcPr>
          <w:p w:rsidR="00307848" w:rsidRPr="00CB2DE6" w:rsidRDefault="00307848" w:rsidP="007331C5">
            <w:pPr>
              <w:spacing w:before="120"/>
              <w:jc w:val="right"/>
              <w:rPr>
                <w:rFonts w:ascii="Times New Roman" w:hAnsi="Times New Roman" w:cs="Times New Roman"/>
                <w:sz w:val="19"/>
                <w:szCs w:val="19"/>
              </w:rPr>
            </w:pPr>
            <w:r w:rsidRPr="00CB2DE6">
              <w:rPr>
                <w:rFonts w:ascii="Times New Roman" w:hAnsi="Times New Roman" w:cs="Times New Roman"/>
                <w:sz w:val="19"/>
                <w:szCs w:val="19"/>
              </w:rPr>
              <w:t>0.</w:t>
            </w:r>
            <w:r w:rsidR="00987677" w:rsidRPr="00CB2DE6">
              <w:rPr>
                <w:rFonts w:ascii="Times New Roman" w:hAnsi="Times New Roman" w:cs="Times New Roman"/>
                <w:sz w:val="19"/>
                <w:szCs w:val="19"/>
              </w:rPr>
              <w:t>879</w:t>
            </w:r>
          </w:p>
        </w:tc>
        <w:tc>
          <w:tcPr>
            <w:tcW w:w="0" w:type="auto"/>
            <w:tcBorders>
              <w:top w:val="single" w:sz="4" w:space="0" w:color="auto"/>
              <w:left w:val="nil"/>
              <w:bottom w:val="nil"/>
              <w:right w:val="nil"/>
            </w:tcBorders>
          </w:tcPr>
          <w:p w:rsidR="00307848" w:rsidRPr="00CB2DE6" w:rsidRDefault="00307848" w:rsidP="00CF48DB">
            <w:pPr>
              <w:spacing w:before="120"/>
              <w:jc w:val="right"/>
              <w:rPr>
                <w:rFonts w:ascii="Times New Roman" w:hAnsi="Times New Roman" w:cs="Times New Roman"/>
                <w:sz w:val="19"/>
                <w:szCs w:val="19"/>
              </w:rPr>
            </w:pPr>
          </w:p>
        </w:tc>
      </w:tr>
      <w:tr w:rsidR="003215D3" w:rsidRPr="00CB2DE6" w:rsidTr="00F12ABA">
        <w:trPr>
          <w:jc w:val="center"/>
        </w:trPr>
        <w:tc>
          <w:tcPr>
            <w:tcW w:w="0" w:type="auto"/>
            <w:tcBorders>
              <w:top w:val="nil"/>
              <w:left w:val="nil"/>
              <w:bottom w:val="nil"/>
              <w:right w:val="nil"/>
            </w:tcBorders>
            <w:vAlign w:val="center"/>
          </w:tcPr>
          <w:p w:rsidR="00307848" w:rsidRPr="00CB2DE6" w:rsidRDefault="00307848" w:rsidP="007C0E5E">
            <w:pPr>
              <w:rPr>
                <w:rFonts w:ascii="Times New Roman" w:hAnsi="Times New Roman" w:cs="Times New Roman"/>
                <w:sz w:val="19"/>
                <w:szCs w:val="19"/>
              </w:rPr>
            </w:pPr>
            <w:r w:rsidRPr="00CB2DE6">
              <w:rPr>
                <w:rFonts w:ascii="Times New Roman" w:hAnsi="Times New Roman" w:cs="Times New Roman"/>
                <w:sz w:val="19"/>
                <w:szCs w:val="19"/>
              </w:rPr>
              <w:t>Std. Err.</w:t>
            </w:r>
          </w:p>
        </w:tc>
        <w:tc>
          <w:tcPr>
            <w:tcW w:w="0" w:type="auto"/>
            <w:tcBorders>
              <w:top w:val="nil"/>
              <w:left w:val="nil"/>
              <w:bottom w:val="nil"/>
              <w:right w:val="nil"/>
            </w:tcBorders>
          </w:tcPr>
          <w:p w:rsidR="00307848" w:rsidRPr="00CB2DE6" w:rsidRDefault="003F78E6" w:rsidP="007331C5">
            <w:pPr>
              <w:jc w:val="right"/>
              <w:rPr>
                <w:rFonts w:ascii="Times New Roman" w:hAnsi="Times New Roman" w:cs="Times New Roman"/>
                <w:sz w:val="19"/>
                <w:szCs w:val="19"/>
              </w:rPr>
            </w:pPr>
            <w:r w:rsidRPr="00CB2DE6">
              <w:rPr>
                <w:rFonts w:ascii="Times New Roman" w:hAnsi="Times New Roman" w:cs="Times New Roman"/>
                <w:sz w:val="19"/>
                <w:szCs w:val="19"/>
              </w:rPr>
              <w:t>0.0</w:t>
            </w:r>
            <w:r w:rsidR="001A4D13" w:rsidRPr="00CB2DE6">
              <w:rPr>
                <w:rFonts w:ascii="Times New Roman" w:hAnsi="Times New Roman" w:cs="Times New Roman"/>
                <w:sz w:val="19"/>
                <w:szCs w:val="19"/>
              </w:rPr>
              <w:t>08</w:t>
            </w:r>
          </w:p>
        </w:tc>
        <w:tc>
          <w:tcPr>
            <w:tcW w:w="0" w:type="auto"/>
            <w:tcBorders>
              <w:top w:val="nil"/>
              <w:left w:val="nil"/>
              <w:bottom w:val="nil"/>
              <w:right w:val="nil"/>
            </w:tcBorders>
          </w:tcPr>
          <w:p w:rsidR="00307848" w:rsidRPr="00CB2DE6" w:rsidRDefault="00307848" w:rsidP="007331C5">
            <w:pPr>
              <w:jc w:val="right"/>
              <w:rPr>
                <w:rFonts w:ascii="Times New Roman" w:hAnsi="Times New Roman" w:cs="Times New Roman"/>
                <w:sz w:val="19"/>
                <w:szCs w:val="19"/>
              </w:rPr>
            </w:pPr>
            <w:r w:rsidRPr="00CB2DE6">
              <w:rPr>
                <w:rFonts w:ascii="Times New Roman" w:hAnsi="Times New Roman" w:cs="Times New Roman"/>
                <w:sz w:val="19"/>
                <w:szCs w:val="19"/>
              </w:rPr>
              <w:t xml:space="preserve">                0.0</w:t>
            </w:r>
            <w:r w:rsidR="00987677" w:rsidRPr="00CB2DE6">
              <w:rPr>
                <w:rFonts w:ascii="Times New Roman" w:hAnsi="Times New Roman" w:cs="Times New Roman"/>
                <w:sz w:val="19"/>
                <w:szCs w:val="19"/>
              </w:rPr>
              <w:t>18</w:t>
            </w:r>
          </w:p>
        </w:tc>
        <w:tc>
          <w:tcPr>
            <w:tcW w:w="0" w:type="auto"/>
            <w:tcBorders>
              <w:top w:val="nil"/>
              <w:left w:val="nil"/>
              <w:bottom w:val="nil"/>
              <w:right w:val="nil"/>
            </w:tcBorders>
          </w:tcPr>
          <w:p w:rsidR="00307848" w:rsidRPr="00CB2DE6" w:rsidRDefault="00307848" w:rsidP="007331C5">
            <w:pPr>
              <w:jc w:val="right"/>
              <w:rPr>
                <w:rFonts w:ascii="Times New Roman" w:hAnsi="Times New Roman" w:cs="Times New Roman"/>
                <w:sz w:val="19"/>
                <w:szCs w:val="19"/>
              </w:rPr>
            </w:pPr>
            <w:r w:rsidRPr="00CB2DE6">
              <w:rPr>
                <w:rFonts w:ascii="Times New Roman" w:hAnsi="Times New Roman" w:cs="Times New Roman"/>
                <w:sz w:val="19"/>
                <w:szCs w:val="19"/>
              </w:rPr>
              <w:t>0.</w:t>
            </w:r>
            <w:r w:rsidR="00987677" w:rsidRPr="00CB2DE6">
              <w:rPr>
                <w:rFonts w:ascii="Times New Roman" w:hAnsi="Times New Roman" w:cs="Times New Roman"/>
                <w:sz w:val="19"/>
                <w:szCs w:val="19"/>
              </w:rPr>
              <w:t>096</w:t>
            </w:r>
          </w:p>
        </w:tc>
        <w:tc>
          <w:tcPr>
            <w:tcW w:w="0" w:type="auto"/>
            <w:tcBorders>
              <w:top w:val="nil"/>
              <w:left w:val="nil"/>
              <w:bottom w:val="nil"/>
              <w:right w:val="nil"/>
            </w:tcBorders>
          </w:tcPr>
          <w:p w:rsidR="00307848" w:rsidRPr="00CB2DE6" w:rsidRDefault="00307848" w:rsidP="00CF48DB">
            <w:pPr>
              <w:jc w:val="right"/>
              <w:rPr>
                <w:rFonts w:ascii="Times New Roman" w:hAnsi="Times New Roman" w:cs="Times New Roman"/>
                <w:sz w:val="19"/>
                <w:szCs w:val="19"/>
              </w:rPr>
            </w:pPr>
          </w:p>
        </w:tc>
      </w:tr>
      <w:tr w:rsidR="003215D3" w:rsidRPr="00CB2DE6" w:rsidTr="00F12ABA">
        <w:trPr>
          <w:jc w:val="center"/>
        </w:trPr>
        <w:tc>
          <w:tcPr>
            <w:tcW w:w="0" w:type="auto"/>
            <w:tcBorders>
              <w:top w:val="nil"/>
              <w:left w:val="nil"/>
              <w:bottom w:val="single" w:sz="4" w:space="0" w:color="auto"/>
              <w:right w:val="nil"/>
            </w:tcBorders>
            <w:vAlign w:val="center"/>
          </w:tcPr>
          <w:p w:rsidR="00307848" w:rsidRPr="00CB2DE6" w:rsidRDefault="00307848" w:rsidP="007C7FFC">
            <w:pPr>
              <w:spacing w:after="120"/>
              <w:rPr>
                <w:rFonts w:ascii="Times New Roman" w:hAnsi="Times New Roman" w:cs="Times New Roman"/>
                <w:sz w:val="19"/>
                <w:szCs w:val="19"/>
              </w:rPr>
            </w:pPr>
            <w:r w:rsidRPr="00CB2DE6">
              <w:rPr>
                <w:rFonts w:ascii="Times New Roman" w:hAnsi="Times New Roman" w:cs="Times New Roman"/>
                <w:i/>
                <w:sz w:val="19"/>
                <w:szCs w:val="19"/>
              </w:rPr>
              <w:t>p</w:t>
            </w:r>
            <w:r w:rsidRPr="00CB2DE6">
              <w:rPr>
                <w:rFonts w:ascii="Times New Roman" w:hAnsi="Times New Roman" w:cs="Times New Roman"/>
                <w:sz w:val="19"/>
                <w:szCs w:val="19"/>
              </w:rPr>
              <w:t>-value</w:t>
            </w:r>
          </w:p>
        </w:tc>
        <w:tc>
          <w:tcPr>
            <w:tcW w:w="0" w:type="auto"/>
            <w:tcBorders>
              <w:top w:val="nil"/>
              <w:left w:val="nil"/>
              <w:bottom w:val="single" w:sz="4" w:space="0" w:color="auto"/>
              <w:right w:val="nil"/>
            </w:tcBorders>
          </w:tcPr>
          <w:p w:rsidR="00307848" w:rsidRPr="00CB2DE6" w:rsidRDefault="00307848" w:rsidP="007331C5">
            <w:pPr>
              <w:spacing w:after="120"/>
              <w:jc w:val="right"/>
              <w:rPr>
                <w:rFonts w:ascii="Times New Roman" w:hAnsi="Times New Roman" w:cs="Times New Roman"/>
                <w:sz w:val="19"/>
                <w:szCs w:val="19"/>
              </w:rPr>
            </w:pPr>
            <w:r w:rsidRPr="00CB2DE6">
              <w:rPr>
                <w:rFonts w:ascii="Times New Roman" w:hAnsi="Times New Roman" w:cs="Times New Roman"/>
                <w:sz w:val="19"/>
                <w:szCs w:val="19"/>
              </w:rPr>
              <w:t>0.0</w:t>
            </w:r>
            <w:r w:rsidR="001A4D13" w:rsidRPr="00CB2DE6">
              <w:rPr>
                <w:rFonts w:ascii="Times New Roman" w:hAnsi="Times New Roman" w:cs="Times New Roman"/>
                <w:sz w:val="19"/>
                <w:szCs w:val="19"/>
              </w:rPr>
              <w:t>1</w:t>
            </w:r>
            <w:r w:rsidR="00803318" w:rsidRPr="00CB2DE6">
              <w:rPr>
                <w:rFonts w:ascii="Times New Roman" w:hAnsi="Times New Roman" w:cs="Times New Roman"/>
                <w:sz w:val="19"/>
                <w:szCs w:val="19"/>
              </w:rPr>
              <w:t>2</w:t>
            </w:r>
          </w:p>
        </w:tc>
        <w:tc>
          <w:tcPr>
            <w:tcW w:w="0" w:type="auto"/>
            <w:tcBorders>
              <w:top w:val="nil"/>
              <w:left w:val="nil"/>
              <w:bottom w:val="single" w:sz="4" w:space="0" w:color="auto"/>
              <w:right w:val="nil"/>
            </w:tcBorders>
            <w:vAlign w:val="center"/>
          </w:tcPr>
          <w:p w:rsidR="00307848" w:rsidRPr="00CB2DE6" w:rsidRDefault="00307848" w:rsidP="007331C5">
            <w:pPr>
              <w:spacing w:after="120"/>
              <w:jc w:val="right"/>
              <w:rPr>
                <w:rFonts w:ascii="Times New Roman" w:hAnsi="Times New Roman" w:cs="Times New Roman"/>
                <w:sz w:val="19"/>
                <w:szCs w:val="19"/>
              </w:rPr>
            </w:pPr>
            <w:r w:rsidRPr="00CB2DE6">
              <w:rPr>
                <w:rFonts w:ascii="Times New Roman" w:hAnsi="Times New Roman" w:cs="Times New Roman"/>
                <w:sz w:val="19"/>
                <w:szCs w:val="19"/>
              </w:rPr>
              <w:t xml:space="preserve">                0.0</w:t>
            </w:r>
            <w:r w:rsidR="00987677" w:rsidRPr="00CB2DE6">
              <w:rPr>
                <w:rFonts w:ascii="Times New Roman" w:hAnsi="Times New Roman" w:cs="Times New Roman"/>
                <w:sz w:val="19"/>
                <w:szCs w:val="19"/>
              </w:rPr>
              <w:t>31</w:t>
            </w:r>
          </w:p>
        </w:tc>
        <w:tc>
          <w:tcPr>
            <w:tcW w:w="0" w:type="auto"/>
            <w:tcBorders>
              <w:top w:val="nil"/>
              <w:left w:val="nil"/>
              <w:bottom w:val="single" w:sz="4" w:space="0" w:color="auto"/>
              <w:right w:val="nil"/>
            </w:tcBorders>
            <w:vAlign w:val="center"/>
          </w:tcPr>
          <w:p w:rsidR="00307848" w:rsidRPr="00CB2DE6" w:rsidRDefault="00307848" w:rsidP="007331C5">
            <w:pPr>
              <w:spacing w:after="120"/>
              <w:jc w:val="right"/>
              <w:rPr>
                <w:rFonts w:ascii="Times New Roman" w:hAnsi="Times New Roman" w:cs="Times New Roman"/>
                <w:sz w:val="19"/>
                <w:szCs w:val="19"/>
              </w:rPr>
            </w:pPr>
            <w:r w:rsidRPr="00CB2DE6">
              <w:rPr>
                <w:rFonts w:ascii="Times New Roman" w:hAnsi="Times New Roman" w:cs="Times New Roman"/>
                <w:sz w:val="19"/>
                <w:szCs w:val="19"/>
              </w:rPr>
              <w:t>0.0</w:t>
            </w:r>
            <w:r w:rsidR="00987677" w:rsidRPr="00CB2DE6">
              <w:rPr>
                <w:rFonts w:ascii="Times New Roman" w:hAnsi="Times New Roman" w:cs="Times New Roman"/>
                <w:sz w:val="19"/>
                <w:szCs w:val="19"/>
              </w:rPr>
              <w:t>00</w:t>
            </w:r>
          </w:p>
        </w:tc>
        <w:tc>
          <w:tcPr>
            <w:tcW w:w="0" w:type="auto"/>
            <w:tcBorders>
              <w:top w:val="nil"/>
              <w:left w:val="nil"/>
              <w:bottom w:val="single" w:sz="4" w:space="0" w:color="auto"/>
              <w:right w:val="nil"/>
            </w:tcBorders>
          </w:tcPr>
          <w:p w:rsidR="00307848" w:rsidRPr="00CB2DE6" w:rsidRDefault="00307848" w:rsidP="00CF48DB">
            <w:pPr>
              <w:spacing w:after="120"/>
              <w:jc w:val="right"/>
              <w:rPr>
                <w:rFonts w:ascii="Times New Roman" w:hAnsi="Times New Roman" w:cs="Times New Roman"/>
                <w:sz w:val="19"/>
                <w:szCs w:val="19"/>
              </w:rPr>
            </w:pPr>
          </w:p>
        </w:tc>
      </w:tr>
      <w:tr w:rsidR="00307848" w:rsidRPr="00CB2DE6" w:rsidTr="00F12ABA">
        <w:trPr>
          <w:jc w:val="center"/>
        </w:trPr>
        <w:tc>
          <w:tcPr>
            <w:tcW w:w="0" w:type="auto"/>
            <w:gridSpan w:val="5"/>
            <w:tcBorders>
              <w:top w:val="single" w:sz="4" w:space="0" w:color="auto"/>
              <w:left w:val="nil"/>
              <w:bottom w:val="single" w:sz="4" w:space="0" w:color="auto"/>
              <w:right w:val="nil"/>
            </w:tcBorders>
          </w:tcPr>
          <w:p w:rsidR="00307848" w:rsidRPr="00CB2DE6" w:rsidRDefault="00307848" w:rsidP="006A503E">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 xml:space="preserve">Panel </w:t>
            </w:r>
            <w:r w:rsidR="00903B41" w:rsidRPr="00CB2DE6">
              <w:rPr>
                <w:rFonts w:ascii="Times New Roman" w:hAnsi="Times New Roman" w:cs="Times New Roman"/>
                <w:sz w:val="19"/>
                <w:szCs w:val="19"/>
              </w:rPr>
              <w:t>C</w:t>
            </w:r>
            <w:r w:rsidRPr="00CB2DE6">
              <w:rPr>
                <w:rFonts w:ascii="Times New Roman" w:hAnsi="Times New Roman" w:cs="Times New Roman"/>
                <w:sz w:val="19"/>
                <w:szCs w:val="19"/>
              </w:rPr>
              <w:t xml:space="preserve">: </w:t>
            </w:r>
            <w:r w:rsidR="004C2474" w:rsidRPr="00CB2DE6">
              <w:rPr>
                <w:rFonts w:ascii="Times New Roman" w:hAnsi="Times New Roman" w:cs="Times New Roman"/>
                <w:sz w:val="19"/>
                <w:szCs w:val="19"/>
              </w:rPr>
              <w:t>Long-</w:t>
            </w:r>
            <w:r w:rsidR="006A503E" w:rsidRPr="00CB2DE6">
              <w:rPr>
                <w:rFonts w:ascii="Times New Roman" w:hAnsi="Times New Roman" w:cs="Times New Roman"/>
                <w:sz w:val="19"/>
                <w:szCs w:val="19"/>
              </w:rPr>
              <w:t>Run</w:t>
            </w:r>
            <w:r w:rsidRPr="00CB2DE6">
              <w:rPr>
                <w:rFonts w:ascii="Times New Roman" w:hAnsi="Times New Roman" w:cs="Times New Roman"/>
                <w:sz w:val="19"/>
                <w:szCs w:val="19"/>
              </w:rPr>
              <w:t xml:space="preserve"> Component</w:t>
            </w:r>
          </w:p>
        </w:tc>
      </w:tr>
      <w:tr w:rsidR="003215D3" w:rsidRPr="00CB2DE6" w:rsidTr="00F12ABA">
        <w:trPr>
          <w:jc w:val="center"/>
        </w:trPr>
        <w:tc>
          <w:tcPr>
            <w:tcW w:w="0" w:type="auto"/>
            <w:tcBorders>
              <w:top w:val="single" w:sz="4" w:space="0" w:color="auto"/>
              <w:left w:val="nil"/>
              <w:bottom w:val="single" w:sz="4" w:space="0" w:color="auto"/>
              <w:right w:val="nil"/>
            </w:tcBorders>
          </w:tcPr>
          <w:p w:rsidR="00307848" w:rsidRPr="00CB2DE6" w:rsidRDefault="00307848" w:rsidP="007C0E5E">
            <w:pPr>
              <w:spacing w:before="20" w:after="20"/>
              <w:rPr>
                <w:rFonts w:ascii="Times New Roman" w:hAnsi="Times New Roman" w:cs="Times New Roman"/>
                <w:i/>
                <w:sz w:val="19"/>
                <w:szCs w:val="19"/>
              </w:rPr>
            </w:pPr>
          </w:p>
        </w:tc>
        <w:tc>
          <w:tcPr>
            <w:tcW w:w="0" w:type="auto"/>
            <w:tcBorders>
              <w:top w:val="single" w:sz="4" w:space="0" w:color="auto"/>
              <w:left w:val="nil"/>
              <w:bottom w:val="single" w:sz="4" w:space="0" w:color="auto"/>
              <w:right w:val="nil"/>
            </w:tcBorders>
          </w:tcPr>
          <w:p w:rsidR="00307848" w:rsidRPr="00CB2DE6" w:rsidRDefault="00497F73" w:rsidP="00CF48DB">
            <w:pPr>
              <w:spacing w:before="20" w:after="20"/>
              <w:jc w:val="right"/>
              <w:rPr>
                <w:rFonts w:ascii="Times New Roman" w:hAnsi="Times New Roman" w:cs="Times New Roman"/>
                <w:i/>
                <w:sz w:val="19"/>
                <w:szCs w:val="19"/>
              </w:rPr>
            </w:pPr>
            <m:oMathPara>
              <m:oMathParaPr>
                <m:jc m:val="right"/>
              </m:oMathParaP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ψ</m:t>
                        </m:r>
                      </m:e>
                      <m:sub>
                        <m:r>
                          <w:rPr>
                            <w:rFonts w:ascii="Cambria Math" w:hAnsi="Cambria Math" w:cs="Times New Roman"/>
                            <w:sz w:val="19"/>
                            <w:szCs w:val="19"/>
                          </w:rPr>
                          <m:t>5</m:t>
                        </m:r>
                      </m:sub>
                    </m:sSub>
                  </m:e>
                </m:acc>
              </m:oMath>
            </m:oMathPara>
          </w:p>
        </w:tc>
        <w:tc>
          <w:tcPr>
            <w:tcW w:w="0" w:type="auto"/>
            <w:tcBorders>
              <w:top w:val="single" w:sz="4" w:space="0" w:color="auto"/>
              <w:left w:val="nil"/>
              <w:bottom w:val="single" w:sz="4" w:space="0" w:color="auto"/>
              <w:right w:val="nil"/>
            </w:tcBorders>
          </w:tcPr>
          <w:p w:rsidR="00307848" w:rsidRPr="00CB2DE6" w:rsidRDefault="00497F73" w:rsidP="007331C5">
            <w:pPr>
              <w:spacing w:before="20" w:after="20"/>
              <w:jc w:val="right"/>
              <w:rPr>
                <w:rFonts w:ascii="Times New Roman" w:hAnsi="Times New Roman" w:cs="Times New Roman"/>
                <w:i/>
                <w:sz w:val="19"/>
                <w:szCs w:val="19"/>
              </w:rPr>
            </w:pPr>
            <m:oMathPara>
              <m:oMathParaPr>
                <m:jc m:val="right"/>
              </m:oMathParaP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ψ</m:t>
                        </m:r>
                      </m:e>
                      <m:sub>
                        <m:r>
                          <w:rPr>
                            <w:rFonts w:ascii="Cambria Math" w:hAnsi="Cambria Math" w:cs="Times New Roman"/>
                            <w:sz w:val="19"/>
                            <w:szCs w:val="19"/>
                          </w:rPr>
                          <m:t>6</m:t>
                        </m:r>
                      </m:sub>
                    </m:sSub>
                  </m:e>
                </m:acc>
              </m:oMath>
            </m:oMathPara>
          </w:p>
        </w:tc>
        <w:tc>
          <w:tcPr>
            <w:tcW w:w="0" w:type="auto"/>
            <w:tcBorders>
              <w:top w:val="single" w:sz="4" w:space="0" w:color="auto"/>
              <w:left w:val="nil"/>
              <w:bottom w:val="single" w:sz="4" w:space="0" w:color="auto"/>
              <w:right w:val="nil"/>
            </w:tcBorders>
          </w:tcPr>
          <w:p w:rsidR="00307848" w:rsidRPr="00CB2DE6" w:rsidRDefault="00497F73" w:rsidP="007331C5">
            <w:pPr>
              <w:spacing w:before="20" w:after="20"/>
              <w:jc w:val="right"/>
              <w:rPr>
                <w:rFonts w:ascii="Times New Roman" w:hAnsi="Times New Roman" w:cs="Times New Roman"/>
                <w:i/>
                <w:sz w:val="19"/>
                <w:szCs w:val="19"/>
              </w:rPr>
            </w:pPr>
            <m:oMathPara>
              <m:oMathParaPr>
                <m:jc m:val="right"/>
              </m:oMathParaP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ψ</m:t>
                        </m:r>
                      </m:e>
                      <m:sub>
                        <m:r>
                          <w:rPr>
                            <w:rFonts w:ascii="Cambria Math" w:hAnsi="Cambria Math" w:cs="Times New Roman"/>
                            <w:sz w:val="19"/>
                            <w:szCs w:val="19"/>
                          </w:rPr>
                          <m:t>7</m:t>
                        </m:r>
                      </m:sub>
                    </m:sSub>
                  </m:e>
                </m:acc>
              </m:oMath>
            </m:oMathPara>
          </w:p>
        </w:tc>
        <w:tc>
          <w:tcPr>
            <w:tcW w:w="0" w:type="auto"/>
            <w:tcBorders>
              <w:top w:val="single" w:sz="4" w:space="0" w:color="auto"/>
              <w:left w:val="nil"/>
              <w:bottom w:val="single" w:sz="4" w:space="0" w:color="auto"/>
              <w:right w:val="nil"/>
            </w:tcBorders>
          </w:tcPr>
          <w:p w:rsidR="00307848" w:rsidRPr="00CB2DE6" w:rsidRDefault="00307848" w:rsidP="00CF48DB">
            <w:pPr>
              <w:spacing w:before="20" w:after="20"/>
              <w:jc w:val="right"/>
              <w:rPr>
                <w:rFonts w:ascii="Times New Roman" w:hAnsi="Times New Roman" w:cs="Times New Roman"/>
                <w:i/>
                <w:sz w:val="19"/>
                <w:szCs w:val="19"/>
              </w:rPr>
            </w:pPr>
          </w:p>
        </w:tc>
      </w:tr>
      <w:tr w:rsidR="003215D3" w:rsidRPr="00CB2DE6" w:rsidTr="00F12ABA">
        <w:trPr>
          <w:jc w:val="center"/>
        </w:trPr>
        <w:tc>
          <w:tcPr>
            <w:tcW w:w="0" w:type="auto"/>
            <w:tcBorders>
              <w:top w:val="single" w:sz="4" w:space="0" w:color="auto"/>
              <w:left w:val="nil"/>
              <w:bottom w:val="nil"/>
              <w:right w:val="nil"/>
            </w:tcBorders>
            <w:vAlign w:val="center"/>
          </w:tcPr>
          <w:p w:rsidR="00307848" w:rsidRPr="00CB2DE6" w:rsidRDefault="00307848" w:rsidP="007C7FFC">
            <w:pPr>
              <w:spacing w:before="120"/>
              <w:rPr>
                <w:rFonts w:ascii="Times New Roman" w:hAnsi="Times New Roman" w:cs="Times New Roman"/>
                <w:sz w:val="19"/>
                <w:szCs w:val="19"/>
              </w:rPr>
            </w:pPr>
            <w:r w:rsidRPr="00CB2DE6">
              <w:rPr>
                <w:rFonts w:ascii="Times New Roman" w:hAnsi="Times New Roman" w:cs="Times New Roman"/>
                <w:sz w:val="19"/>
                <w:szCs w:val="19"/>
              </w:rPr>
              <w:t>Coef.</w:t>
            </w:r>
          </w:p>
        </w:tc>
        <w:tc>
          <w:tcPr>
            <w:tcW w:w="0" w:type="auto"/>
            <w:tcBorders>
              <w:top w:val="single" w:sz="4" w:space="0" w:color="auto"/>
              <w:left w:val="nil"/>
              <w:bottom w:val="nil"/>
              <w:right w:val="nil"/>
            </w:tcBorders>
          </w:tcPr>
          <w:p w:rsidR="00307848" w:rsidRPr="00CB2DE6" w:rsidRDefault="00307848"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0.</w:t>
            </w:r>
            <w:r w:rsidR="00987677" w:rsidRPr="00CB2DE6">
              <w:rPr>
                <w:rFonts w:ascii="Times New Roman" w:hAnsi="Times New Roman" w:cs="Times New Roman"/>
                <w:sz w:val="19"/>
                <w:szCs w:val="19"/>
              </w:rPr>
              <w:t>178</w:t>
            </w:r>
          </w:p>
        </w:tc>
        <w:tc>
          <w:tcPr>
            <w:tcW w:w="0" w:type="auto"/>
            <w:tcBorders>
              <w:top w:val="single" w:sz="4" w:space="0" w:color="auto"/>
              <w:left w:val="nil"/>
              <w:bottom w:val="nil"/>
              <w:right w:val="nil"/>
            </w:tcBorders>
          </w:tcPr>
          <w:p w:rsidR="00307848" w:rsidRPr="00CB2DE6" w:rsidRDefault="00307848"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0.99</w:t>
            </w:r>
            <w:r w:rsidR="00987677" w:rsidRPr="00CB2DE6">
              <w:rPr>
                <w:rFonts w:ascii="Times New Roman" w:hAnsi="Times New Roman" w:cs="Times New Roman"/>
                <w:sz w:val="19"/>
                <w:szCs w:val="19"/>
              </w:rPr>
              <w:t>4</w:t>
            </w:r>
          </w:p>
        </w:tc>
        <w:tc>
          <w:tcPr>
            <w:tcW w:w="0" w:type="auto"/>
            <w:tcBorders>
              <w:top w:val="single" w:sz="4" w:space="0" w:color="auto"/>
              <w:left w:val="nil"/>
              <w:bottom w:val="nil"/>
              <w:right w:val="nil"/>
            </w:tcBorders>
          </w:tcPr>
          <w:p w:rsidR="00307848" w:rsidRPr="00CB2DE6" w:rsidRDefault="00307848"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0.0</w:t>
            </w:r>
            <w:r w:rsidR="00987677" w:rsidRPr="00CB2DE6">
              <w:rPr>
                <w:rFonts w:ascii="Times New Roman" w:hAnsi="Times New Roman" w:cs="Times New Roman"/>
                <w:sz w:val="19"/>
                <w:szCs w:val="19"/>
              </w:rPr>
              <w:t>41</w:t>
            </w:r>
          </w:p>
        </w:tc>
        <w:tc>
          <w:tcPr>
            <w:tcW w:w="0" w:type="auto"/>
            <w:tcBorders>
              <w:top w:val="single" w:sz="4" w:space="0" w:color="auto"/>
              <w:left w:val="nil"/>
              <w:bottom w:val="nil"/>
              <w:right w:val="nil"/>
            </w:tcBorders>
          </w:tcPr>
          <w:p w:rsidR="00307848" w:rsidRPr="00CB2DE6" w:rsidRDefault="00307848" w:rsidP="00CF48DB">
            <w:pPr>
              <w:spacing w:before="120"/>
              <w:jc w:val="right"/>
              <w:rPr>
                <w:rFonts w:ascii="Times New Roman" w:hAnsi="Times New Roman" w:cs="Times New Roman"/>
                <w:sz w:val="19"/>
                <w:szCs w:val="19"/>
              </w:rPr>
            </w:pPr>
          </w:p>
        </w:tc>
      </w:tr>
      <w:tr w:rsidR="003215D3" w:rsidRPr="00CB2DE6" w:rsidTr="00F12ABA">
        <w:trPr>
          <w:jc w:val="center"/>
        </w:trPr>
        <w:tc>
          <w:tcPr>
            <w:tcW w:w="0" w:type="auto"/>
            <w:tcBorders>
              <w:top w:val="nil"/>
              <w:left w:val="nil"/>
              <w:bottom w:val="nil"/>
              <w:right w:val="nil"/>
            </w:tcBorders>
            <w:vAlign w:val="center"/>
          </w:tcPr>
          <w:p w:rsidR="00307848" w:rsidRPr="00CB2DE6" w:rsidRDefault="00307848" w:rsidP="007C0E5E">
            <w:pPr>
              <w:rPr>
                <w:rFonts w:ascii="Times New Roman" w:hAnsi="Times New Roman" w:cs="Times New Roman"/>
                <w:sz w:val="19"/>
                <w:szCs w:val="19"/>
              </w:rPr>
            </w:pPr>
            <w:r w:rsidRPr="00CB2DE6">
              <w:rPr>
                <w:rFonts w:ascii="Times New Roman" w:hAnsi="Times New Roman" w:cs="Times New Roman"/>
                <w:sz w:val="19"/>
                <w:szCs w:val="19"/>
              </w:rPr>
              <w:t>Std. Err.</w:t>
            </w:r>
          </w:p>
        </w:tc>
        <w:tc>
          <w:tcPr>
            <w:tcW w:w="0" w:type="auto"/>
            <w:tcBorders>
              <w:top w:val="nil"/>
              <w:left w:val="nil"/>
              <w:bottom w:val="nil"/>
              <w:right w:val="nil"/>
            </w:tcBorders>
          </w:tcPr>
          <w:p w:rsidR="00307848" w:rsidRPr="00CB2DE6" w:rsidRDefault="00307848" w:rsidP="00CF48DB">
            <w:pPr>
              <w:jc w:val="right"/>
              <w:rPr>
                <w:rFonts w:ascii="Times New Roman" w:hAnsi="Times New Roman" w:cs="Times New Roman"/>
                <w:sz w:val="19"/>
                <w:szCs w:val="19"/>
              </w:rPr>
            </w:pPr>
            <w:r w:rsidRPr="00CB2DE6">
              <w:rPr>
                <w:rFonts w:ascii="Times New Roman" w:hAnsi="Times New Roman" w:cs="Times New Roman"/>
                <w:sz w:val="19"/>
                <w:szCs w:val="19"/>
              </w:rPr>
              <w:t>0.0</w:t>
            </w:r>
            <w:r w:rsidR="00987677" w:rsidRPr="00CB2DE6">
              <w:rPr>
                <w:rFonts w:ascii="Times New Roman" w:hAnsi="Times New Roman" w:cs="Times New Roman"/>
                <w:sz w:val="19"/>
                <w:szCs w:val="19"/>
              </w:rPr>
              <w:t>40</w:t>
            </w:r>
          </w:p>
        </w:tc>
        <w:tc>
          <w:tcPr>
            <w:tcW w:w="0" w:type="auto"/>
            <w:tcBorders>
              <w:top w:val="nil"/>
              <w:left w:val="nil"/>
              <w:bottom w:val="nil"/>
              <w:right w:val="nil"/>
            </w:tcBorders>
          </w:tcPr>
          <w:p w:rsidR="00307848" w:rsidRPr="00CB2DE6" w:rsidRDefault="00307848" w:rsidP="00CF48DB">
            <w:pPr>
              <w:jc w:val="right"/>
              <w:rPr>
                <w:rFonts w:ascii="Times New Roman" w:hAnsi="Times New Roman" w:cs="Times New Roman"/>
                <w:sz w:val="19"/>
                <w:szCs w:val="19"/>
              </w:rPr>
            </w:pPr>
            <w:r w:rsidRPr="00CB2DE6">
              <w:rPr>
                <w:rFonts w:ascii="Times New Roman" w:hAnsi="Times New Roman" w:cs="Times New Roman"/>
                <w:sz w:val="19"/>
                <w:szCs w:val="19"/>
              </w:rPr>
              <w:t>0.00</w:t>
            </w:r>
            <w:r w:rsidR="00987677" w:rsidRPr="00CB2DE6">
              <w:rPr>
                <w:rFonts w:ascii="Times New Roman" w:hAnsi="Times New Roman" w:cs="Times New Roman"/>
                <w:sz w:val="19"/>
                <w:szCs w:val="19"/>
              </w:rPr>
              <w:t>2</w:t>
            </w:r>
          </w:p>
        </w:tc>
        <w:tc>
          <w:tcPr>
            <w:tcW w:w="0" w:type="auto"/>
            <w:tcBorders>
              <w:top w:val="nil"/>
              <w:left w:val="nil"/>
              <w:bottom w:val="nil"/>
              <w:right w:val="nil"/>
            </w:tcBorders>
          </w:tcPr>
          <w:p w:rsidR="00307848" w:rsidRPr="00CB2DE6" w:rsidRDefault="00307848" w:rsidP="00CF48DB">
            <w:pPr>
              <w:jc w:val="right"/>
              <w:rPr>
                <w:rFonts w:ascii="Times New Roman" w:hAnsi="Times New Roman" w:cs="Times New Roman"/>
                <w:sz w:val="19"/>
                <w:szCs w:val="19"/>
              </w:rPr>
            </w:pPr>
            <w:r w:rsidRPr="00CB2DE6">
              <w:rPr>
                <w:rFonts w:ascii="Times New Roman" w:hAnsi="Times New Roman" w:cs="Times New Roman"/>
                <w:sz w:val="19"/>
                <w:szCs w:val="19"/>
              </w:rPr>
              <w:t>0.00</w:t>
            </w:r>
            <w:r w:rsidR="003F78E6" w:rsidRPr="00CB2DE6">
              <w:rPr>
                <w:rFonts w:ascii="Times New Roman" w:hAnsi="Times New Roman" w:cs="Times New Roman"/>
                <w:sz w:val="19"/>
                <w:szCs w:val="19"/>
              </w:rPr>
              <w:t>5</w:t>
            </w:r>
          </w:p>
        </w:tc>
        <w:tc>
          <w:tcPr>
            <w:tcW w:w="0" w:type="auto"/>
            <w:tcBorders>
              <w:top w:val="nil"/>
              <w:left w:val="nil"/>
              <w:bottom w:val="nil"/>
              <w:right w:val="nil"/>
            </w:tcBorders>
          </w:tcPr>
          <w:p w:rsidR="00307848" w:rsidRPr="00CB2DE6" w:rsidRDefault="00307848" w:rsidP="00CF48DB">
            <w:pPr>
              <w:jc w:val="right"/>
              <w:rPr>
                <w:rFonts w:ascii="Times New Roman" w:hAnsi="Times New Roman" w:cs="Times New Roman"/>
                <w:sz w:val="19"/>
                <w:szCs w:val="19"/>
              </w:rPr>
            </w:pPr>
          </w:p>
        </w:tc>
      </w:tr>
      <w:tr w:rsidR="003215D3" w:rsidRPr="00CB2DE6" w:rsidTr="00F12ABA">
        <w:trPr>
          <w:jc w:val="center"/>
        </w:trPr>
        <w:tc>
          <w:tcPr>
            <w:tcW w:w="0" w:type="auto"/>
            <w:tcBorders>
              <w:top w:val="nil"/>
              <w:left w:val="nil"/>
              <w:bottom w:val="nil"/>
              <w:right w:val="nil"/>
            </w:tcBorders>
            <w:vAlign w:val="center"/>
          </w:tcPr>
          <w:p w:rsidR="00307848" w:rsidRPr="00CB2DE6" w:rsidRDefault="00307848" w:rsidP="007C0E5E">
            <w:pPr>
              <w:rPr>
                <w:rFonts w:ascii="Times New Roman" w:hAnsi="Times New Roman" w:cs="Times New Roman"/>
                <w:sz w:val="19"/>
                <w:szCs w:val="19"/>
              </w:rPr>
            </w:pPr>
            <w:r w:rsidRPr="00CB2DE6">
              <w:rPr>
                <w:rFonts w:ascii="Times New Roman" w:hAnsi="Times New Roman" w:cs="Times New Roman"/>
                <w:i/>
                <w:sz w:val="19"/>
                <w:szCs w:val="19"/>
              </w:rPr>
              <w:t>p</w:t>
            </w:r>
            <w:r w:rsidRPr="00CB2DE6">
              <w:rPr>
                <w:rFonts w:ascii="Times New Roman" w:hAnsi="Times New Roman" w:cs="Times New Roman"/>
                <w:sz w:val="19"/>
                <w:szCs w:val="19"/>
              </w:rPr>
              <w:t>-value</w:t>
            </w:r>
          </w:p>
        </w:tc>
        <w:tc>
          <w:tcPr>
            <w:tcW w:w="0" w:type="auto"/>
            <w:tcBorders>
              <w:top w:val="nil"/>
              <w:left w:val="nil"/>
              <w:bottom w:val="nil"/>
              <w:right w:val="nil"/>
            </w:tcBorders>
            <w:vAlign w:val="center"/>
          </w:tcPr>
          <w:p w:rsidR="00307848" w:rsidRPr="00CB2DE6" w:rsidRDefault="00307848" w:rsidP="00CF48DB">
            <w:pPr>
              <w:jc w:val="right"/>
              <w:rPr>
                <w:rFonts w:ascii="Times New Roman" w:hAnsi="Times New Roman" w:cs="Times New Roman"/>
                <w:sz w:val="19"/>
                <w:szCs w:val="19"/>
              </w:rPr>
            </w:pPr>
            <w:r w:rsidRPr="00CB2DE6">
              <w:rPr>
                <w:rFonts w:ascii="Times New Roman" w:hAnsi="Times New Roman" w:cs="Times New Roman"/>
                <w:sz w:val="19"/>
                <w:szCs w:val="19"/>
              </w:rPr>
              <w:t>0.000</w:t>
            </w:r>
          </w:p>
        </w:tc>
        <w:tc>
          <w:tcPr>
            <w:tcW w:w="0" w:type="auto"/>
            <w:tcBorders>
              <w:top w:val="nil"/>
              <w:left w:val="nil"/>
              <w:bottom w:val="nil"/>
              <w:right w:val="nil"/>
            </w:tcBorders>
            <w:vAlign w:val="center"/>
          </w:tcPr>
          <w:p w:rsidR="00307848" w:rsidRPr="00CB2DE6" w:rsidRDefault="00307848" w:rsidP="00CF48DB">
            <w:pPr>
              <w:jc w:val="right"/>
              <w:rPr>
                <w:rFonts w:ascii="Times New Roman" w:hAnsi="Times New Roman" w:cs="Times New Roman"/>
                <w:sz w:val="19"/>
                <w:szCs w:val="19"/>
              </w:rPr>
            </w:pPr>
            <w:r w:rsidRPr="00CB2DE6">
              <w:rPr>
                <w:rFonts w:ascii="Times New Roman" w:hAnsi="Times New Roman" w:cs="Times New Roman"/>
                <w:sz w:val="19"/>
                <w:szCs w:val="19"/>
              </w:rPr>
              <w:t>0.000</w:t>
            </w:r>
          </w:p>
        </w:tc>
        <w:tc>
          <w:tcPr>
            <w:tcW w:w="0" w:type="auto"/>
            <w:tcBorders>
              <w:top w:val="nil"/>
              <w:left w:val="nil"/>
              <w:bottom w:val="nil"/>
              <w:right w:val="nil"/>
            </w:tcBorders>
            <w:vAlign w:val="center"/>
          </w:tcPr>
          <w:p w:rsidR="00307848" w:rsidRPr="00CB2DE6" w:rsidRDefault="00307848" w:rsidP="00CF48DB">
            <w:pPr>
              <w:jc w:val="right"/>
              <w:rPr>
                <w:rFonts w:ascii="Times New Roman" w:hAnsi="Times New Roman" w:cs="Times New Roman"/>
                <w:sz w:val="19"/>
                <w:szCs w:val="19"/>
              </w:rPr>
            </w:pPr>
            <w:r w:rsidRPr="00CB2DE6">
              <w:rPr>
                <w:rFonts w:ascii="Times New Roman" w:hAnsi="Times New Roman" w:cs="Times New Roman"/>
                <w:sz w:val="19"/>
                <w:szCs w:val="19"/>
              </w:rPr>
              <w:t>0.000</w:t>
            </w:r>
          </w:p>
        </w:tc>
        <w:tc>
          <w:tcPr>
            <w:tcW w:w="0" w:type="auto"/>
            <w:tcBorders>
              <w:top w:val="nil"/>
              <w:left w:val="nil"/>
              <w:bottom w:val="nil"/>
              <w:right w:val="nil"/>
            </w:tcBorders>
          </w:tcPr>
          <w:p w:rsidR="00307848" w:rsidRPr="00CB2DE6" w:rsidRDefault="00307848" w:rsidP="00CF48DB">
            <w:pPr>
              <w:jc w:val="right"/>
              <w:rPr>
                <w:rFonts w:ascii="Times New Roman" w:hAnsi="Times New Roman" w:cs="Times New Roman"/>
                <w:sz w:val="19"/>
                <w:szCs w:val="19"/>
              </w:rPr>
            </w:pPr>
          </w:p>
        </w:tc>
      </w:tr>
      <w:tr w:rsidR="00987677" w:rsidRPr="00CB2DE6" w:rsidTr="00F12ABA">
        <w:trPr>
          <w:jc w:val="center"/>
        </w:trPr>
        <w:tc>
          <w:tcPr>
            <w:tcW w:w="0" w:type="auto"/>
            <w:gridSpan w:val="2"/>
            <w:tcBorders>
              <w:top w:val="nil"/>
              <w:left w:val="nil"/>
              <w:bottom w:val="single" w:sz="4" w:space="0" w:color="auto"/>
              <w:right w:val="nil"/>
            </w:tcBorders>
          </w:tcPr>
          <w:p w:rsidR="00307848" w:rsidRPr="00CB2DE6" w:rsidRDefault="00307848" w:rsidP="006E16F1">
            <w:pPr>
              <w:spacing w:after="120"/>
              <w:rPr>
                <w:rFonts w:ascii="Times New Roman" w:hAnsi="Times New Roman" w:cs="Times New Roman"/>
                <w:sz w:val="19"/>
                <w:szCs w:val="19"/>
              </w:rPr>
            </w:pPr>
            <w:r w:rsidRPr="00CB2DE6">
              <w:rPr>
                <w:rFonts w:ascii="Times New Roman" w:hAnsi="Times New Roman" w:cs="Times New Roman"/>
                <w:i/>
                <w:sz w:val="19"/>
                <w:szCs w:val="19"/>
              </w:rPr>
              <w:t>p</w:t>
            </w:r>
            <w:r w:rsidRPr="00CB2DE6">
              <w:rPr>
                <w:rFonts w:ascii="Times New Roman" w:hAnsi="Times New Roman" w:cs="Times New Roman"/>
                <w:sz w:val="19"/>
                <w:szCs w:val="19"/>
              </w:rPr>
              <w:t>-value of</w:t>
            </w:r>
            <w:r w:rsidR="00FE4C9A" w:rsidRPr="00CB2DE6">
              <w:rPr>
                <w:rFonts w:ascii="Times New Roman" w:hAnsi="Times New Roman" w:cs="Times New Roman"/>
                <w:sz w:val="19"/>
                <w:szCs w:val="19"/>
              </w:rPr>
              <w:t xml:space="preserve"> </w:t>
            </w:r>
            <m:oMath>
              <m:sSub>
                <m:sSubPr>
                  <m:ctrlPr>
                    <w:rPr>
                      <w:rFonts w:ascii="Cambria Math" w:hAnsi="Cambria Math" w:cs="Times New Roman"/>
                      <w:i/>
                      <w:sz w:val="19"/>
                      <w:szCs w:val="19"/>
                    </w:rPr>
                  </m:ctrlPr>
                </m:sSubPr>
                <m:e>
                  <m:r>
                    <w:rPr>
                      <w:rFonts w:ascii="Cambria Math" w:hAnsi="Cambria Math" w:cs="Times New Roman"/>
                      <w:sz w:val="19"/>
                      <w:szCs w:val="19"/>
                    </w:rPr>
                    <m:t>H</m:t>
                  </m:r>
                </m:e>
                <m:sub>
                  <m:r>
                    <w:rPr>
                      <w:rFonts w:ascii="Cambria Math" w:hAnsi="Cambria Math" w:cs="Times New Roman"/>
                      <w:sz w:val="19"/>
                      <w:szCs w:val="19"/>
                    </w:rPr>
                    <m:t>0</m:t>
                  </m:r>
                </m:sub>
              </m:sSub>
              <m:r>
                <w:rPr>
                  <w:rFonts w:ascii="Cambria Math" w:hAnsi="Cambria Math" w:cs="Times New Roman"/>
                  <w:sz w:val="19"/>
                  <w:szCs w:val="19"/>
                </w:rPr>
                <m:t xml:space="preserve">: </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6</m:t>
                  </m:r>
                </m:sub>
              </m:sSub>
            </m:oMath>
            <w:r w:rsidRPr="00CB2DE6">
              <w:rPr>
                <w:rFonts w:ascii="Times New Roman" w:hAnsi="Times New Roman" w:cs="Times New Roman"/>
                <w:sz w:val="19"/>
                <w:szCs w:val="19"/>
                <w:lang w:val="en-GB"/>
              </w:rPr>
              <w:t xml:space="preserve"> = 1</w:t>
            </w:r>
          </w:p>
        </w:tc>
        <w:tc>
          <w:tcPr>
            <w:tcW w:w="0" w:type="auto"/>
            <w:gridSpan w:val="2"/>
            <w:tcBorders>
              <w:top w:val="nil"/>
              <w:left w:val="nil"/>
              <w:bottom w:val="single" w:sz="4" w:space="0" w:color="auto"/>
              <w:right w:val="nil"/>
            </w:tcBorders>
          </w:tcPr>
          <w:p w:rsidR="00307848" w:rsidRPr="00CB2DE6" w:rsidRDefault="00307848" w:rsidP="007C7FFC">
            <w:pPr>
              <w:spacing w:after="120"/>
              <w:rPr>
                <w:rFonts w:ascii="Times New Roman" w:hAnsi="Times New Roman" w:cs="Times New Roman"/>
                <w:sz w:val="19"/>
                <w:szCs w:val="19"/>
              </w:rPr>
            </w:pPr>
            <w:r w:rsidRPr="00CB2DE6">
              <w:rPr>
                <w:rFonts w:ascii="Times New Roman" w:hAnsi="Times New Roman" w:cs="Times New Roman"/>
                <w:sz w:val="19"/>
                <w:szCs w:val="19"/>
              </w:rPr>
              <w:t>0.0</w:t>
            </w:r>
            <w:r w:rsidR="00914E67" w:rsidRPr="00CB2DE6">
              <w:rPr>
                <w:rFonts w:ascii="Times New Roman" w:hAnsi="Times New Roman" w:cs="Times New Roman"/>
                <w:sz w:val="19"/>
                <w:szCs w:val="19"/>
              </w:rPr>
              <w:t>23</w:t>
            </w:r>
          </w:p>
        </w:tc>
        <w:tc>
          <w:tcPr>
            <w:tcW w:w="0" w:type="auto"/>
            <w:tcBorders>
              <w:top w:val="nil"/>
              <w:left w:val="nil"/>
              <w:bottom w:val="single" w:sz="4" w:space="0" w:color="auto"/>
              <w:right w:val="nil"/>
            </w:tcBorders>
          </w:tcPr>
          <w:p w:rsidR="00307848" w:rsidRPr="00CB2DE6" w:rsidRDefault="00307848" w:rsidP="007C7FFC">
            <w:pPr>
              <w:spacing w:after="120"/>
              <w:rPr>
                <w:rFonts w:ascii="Times New Roman" w:hAnsi="Times New Roman" w:cs="Times New Roman"/>
                <w:sz w:val="19"/>
                <w:szCs w:val="19"/>
              </w:rPr>
            </w:pPr>
          </w:p>
        </w:tc>
      </w:tr>
      <w:tr w:rsidR="00307848" w:rsidRPr="00CB2DE6" w:rsidTr="00F12ABA">
        <w:trPr>
          <w:jc w:val="center"/>
        </w:trPr>
        <w:tc>
          <w:tcPr>
            <w:tcW w:w="0" w:type="auto"/>
            <w:gridSpan w:val="5"/>
            <w:tcBorders>
              <w:top w:val="single" w:sz="4" w:space="0" w:color="auto"/>
              <w:left w:val="nil"/>
              <w:bottom w:val="single" w:sz="4" w:space="0" w:color="auto"/>
              <w:right w:val="nil"/>
            </w:tcBorders>
          </w:tcPr>
          <w:p w:rsidR="00307848" w:rsidRPr="00CB2DE6" w:rsidRDefault="00307848" w:rsidP="00903B41">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 xml:space="preserve">Panel </w:t>
            </w:r>
            <w:r w:rsidR="00903B41" w:rsidRPr="00CB2DE6">
              <w:rPr>
                <w:rFonts w:ascii="Times New Roman" w:hAnsi="Times New Roman" w:cs="Times New Roman"/>
                <w:sz w:val="19"/>
                <w:szCs w:val="19"/>
              </w:rPr>
              <w:t>D</w:t>
            </w:r>
            <w:r w:rsidRPr="00CB2DE6">
              <w:rPr>
                <w:rFonts w:ascii="Times New Roman" w:hAnsi="Times New Roman" w:cs="Times New Roman"/>
                <w:sz w:val="19"/>
                <w:szCs w:val="19"/>
              </w:rPr>
              <w:t>: Diagnostics</w:t>
            </w:r>
            <w:r w:rsidR="003508DD" w:rsidRPr="00CB2DE6">
              <w:rPr>
                <w:rFonts w:ascii="Times New Roman" w:hAnsi="Times New Roman" w:cs="Times New Roman"/>
                <w:sz w:val="19"/>
                <w:szCs w:val="19"/>
              </w:rPr>
              <w:t xml:space="preserve"> of the </w:t>
            </w:r>
            <w:r w:rsidRPr="00CB2DE6">
              <w:rPr>
                <w:rFonts w:ascii="Times New Roman" w:hAnsi="Times New Roman" w:cs="Times New Roman"/>
                <w:sz w:val="19"/>
                <w:szCs w:val="19"/>
              </w:rPr>
              <w:t>Model</w:t>
            </w:r>
          </w:p>
        </w:tc>
      </w:tr>
      <w:tr w:rsidR="00905527" w:rsidRPr="00CB2DE6" w:rsidTr="00F12ABA">
        <w:trPr>
          <w:jc w:val="center"/>
        </w:trPr>
        <w:tc>
          <w:tcPr>
            <w:tcW w:w="0" w:type="auto"/>
            <w:gridSpan w:val="2"/>
            <w:tcBorders>
              <w:top w:val="single" w:sz="4" w:space="0" w:color="auto"/>
              <w:left w:val="nil"/>
              <w:bottom w:val="single" w:sz="4" w:space="0" w:color="auto"/>
              <w:right w:val="nil"/>
            </w:tcBorders>
          </w:tcPr>
          <w:p w:rsidR="00307848" w:rsidRPr="00CB2DE6" w:rsidRDefault="00307848" w:rsidP="007C0E5E">
            <w:pPr>
              <w:jc w:val="center"/>
              <w:rPr>
                <w:rFonts w:ascii="Times New Roman" w:hAnsi="Times New Roman" w:cs="Times New Roman"/>
                <w:sz w:val="19"/>
                <w:szCs w:val="19"/>
              </w:rPr>
            </w:pPr>
          </w:p>
        </w:tc>
        <w:tc>
          <w:tcPr>
            <w:tcW w:w="0" w:type="auto"/>
            <w:tcBorders>
              <w:top w:val="single" w:sz="4" w:space="0" w:color="auto"/>
              <w:left w:val="nil"/>
              <w:bottom w:val="single" w:sz="4" w:space="0" w:color="auto"/>
              <w:right w:val="nil"/>
            </w:tcBorders>
          </w:tcPr>
          <w:p w:rsidR="00307848" w:rsidRPr="00CB2DE6" w:rsidRDefault="00307848" w:rsidP="00FC6108">
            <w:pPr>
              <w:jc w:val="right"/>
              <w:rPr>
                <w:rFonts w:ascii="Times New Roman" w:hAnsi="Times New Roman" w:cs="Times New Roman"/>
                <w:sz w:val="19"/>
                <w:szCs w:val="19"/>
              </w:rPr>
            </w:pPr>
            <w:r w:rsidRPr="00CB2DE6">
              <w:rPr>
                <w:rFonts w:ascii="Times New Roman" w:hAnsi="Times New Roman" w:cs="Times New Roman"/>
                <w:sz w:val="19"/>
                <w:szCs w:val="19"/>
              </w:rPr>
              <w:t xml:space="preserve">               10 lags</w:t>
            </w:r>
          </w:p>
        </w:tc>
        <w:tc>
          <w:tcPr>
            <w:tcW w:w="0" w:type="auto"/>
            <w:tcBorders>
              <w:top w:val="single" w:sz="4" w:space="0" w:color="auto"/>
              <w:left w:val="nil"/>
              <w:bottom w:val="single" w:sz="4" w:space="0" w:color="auto"/>
              <w:right w:val="nil"/>
            </w:tcBorders>
          </w:tcPr>
          <w:p w:rsidR="00307848" w:rsidRPr="00CB2DE6" w:rsidRDefault="00307848" w:rsidP="00FC6108">
            <w:pPr>
              <w:jc w:val="right"/>
              <w:rPr>
                <w:rFonts w:ascii="Times New Roman" w:hAnsi="Times New Roman" w:cs="Times New Roman"/>
                <w:sz w:val="19"/>
                <w:szCs w:val="19"/>
              </w:rPr>
            </w:pPr>
            <w:r w:rsidRPr="00CB2DE6">
              <w:rPr>
                <w:rFonts w:ascii="Times New Roman" w:hAnsi="Times New Roman" w:cs="Times New Roman"/>
                <w:sz w:val="19"/>
                <w:szCs w:val="19"/>
              </w:rPr>
              <w:t xml:space="preserve">             20 lags</w:t>
            </w:r>
          </w:p>
        </w:tc>
        <w:tc>
          <w:tcPr>
            <w:tcW w:w="0" w:type="auto"/>
            <w:tcBorders>
              <w:top w:val="single" w:sz="4" w:space="0" w:color="auto"/>
              <w:left w:val="nil"/>
              <w:bottom w:val="single" w:sz="4" w:space="0" w:color="auto"/>
              <w:right w:val="nil"/>
            </w:tcBorders>
          </w:tcPr>
          <w:p w:rsidR="00307848" w:rsidRPr="00CB2DE6" w:rsidRDefault="00307848" w:rsidP="00FC6108">
            <w:pPr>
              <w:jc w:val="right"/>
              <w:rPr>
                <w:rFonts w:ascii="Times New Roman" w:hAnsi="Times New Roman" w:cs="Times New Roman"/>
                <w:sz w:val="19"/>
                <w:szCs w:val="19"/>
              </w:rPr>
            </w:pPr>
            <w:r w:rsidRPr="00CB2DE6">
              <w:rPr>
                <w:rFonts w:ascii="Times New Roman" w:hAnsi="Times New Roman" w:cs="Times New Roman"/>
                <w:sz w:val="19"/>
                <w:szCs w:val="19"/>
              </w:rPr>
              <w:t xml:space="preserve">              30 lags</w:t>
            </w:r>
          </w:p>
        </w:tc>
      </w:tr>
      <w:tr w:rsidR="00905527" w:rsidRPr="00CB2DE6" w:rsidTr="00F12ABA">
        <w:trPr>
          <w:trHeight w:val="70"/>
          <w:jc w:val="center"/>
        </w:trPr>
        <w:tc>
          <w:tcPr>
            <w:tcW w:w="0" w:type="auto"/>
            <w:gridSpan w:val="2"/>
            <w:tcBorders>
              <w:top w:val="single" w:sz="4" w:space="0" w:color="auto"/>
              <w:left w:val="nil"/>
              <w:bottom w:val="nil"/>
              <w:right w:val="nil"/>
            </w:tcBorders>
            <w:vAlign w:val="center"/>
          </w:tcPr>
          <w:p w:rsidR="00307848" w:rsidRPr="00CB2DE6" w:rsidRDefault="00F07878" w:rsidP="007C7FFC">
            <w:pPr>
              <w:spacing w:before="120"/>
              <w:rPr>
                <w:rFonts w:ascii="Times New Roman" w:hAnsi="Times New Roman" w:cs="Times New Roman"/>
                <w:sz w:val="19"/>
                <w:szCs w:val="19"/>
              </w:rPr>
            </w:pPr>
            <w:r w:rsidRPr="00CB2DE6">
              <w:rPr>
                <w:rFonts w:ascii="Times New Roman" w:hAnsi="Times New Roman" w:cs="Times New Roman"/>
                <w:sz w:val="19"/>
                <w:szCs w:val="19"/>
              </w:rPr>
              <w:t xml:space="preserve">Ljung-Box </w:t>
            </w:r>
            <w:r w:rsidRPr="00CB2DE6">
              <w:rPr>
                <w:rFonts w:ascii="Times New Roman" w:hAnsi="Times New Roman" w:cs="Times New Roman"/>
                <w:i/>
                <w:sz w:val="19"/>
                <w:szCs w:val="19"/>
              </w:rPr>
              <w:t>Q</w:t>
            </w:r>
            <w:r w:rsidRPr="00CB2DE6">
              <w:rPr>
                <w:rFonts w:ascii="Times New Roman" w:hAnsi="Times New Roman" w:cs="Times New Roman"/>
                <w:sz w:val="19"/>
                <w:szCs w:val="19"/>
              </w:rPr>
              <w:t xml:space="preserve">-statistic of </w:t>
            </w:r>
            <m:oMath>
              <m:acc>
                <m:accPr>
                  <m:ctrlPr>
                    <w:rPr>
                      <w:rFonts w:ascii="Cambria Math" w:hAnsi="Cambria Math" w:cs="Times New Roman"/>
                      <w:i/>
                      <w:sz w:val="19"/>
                      <w:szCs w:val="19"/>
                    </w:rPr>
                  </m:ctrlPr>
                </m:accPr>
                <m:e>
                  <m:r>
                    <w:rPr>
                      <w:rFonts w:ascii="Cambria Math" w:hAnsi="Cambria Math" w:cs="Times New Roman"/>
                      <w:sz w:val="19"/>
                      <w:szCs w:val="19"/>
                    </w:rPr>
                    <m:t>v</m:t>
                  </m:r>
                </m:e>
              </m:acc>
            </m:oMath>
          </w:p>
        </w:tc>
        <w:tc>
          <w:tcPr>
            <w:tcW w:w="0" w:type="auto"/>
            <w:tcBorders>
              <w:top w:val="single" w:sz="4" w:space="0" w:color="auto"/>
              <w:left w:val="nil"/>
              <w:bottom w:val="nil"/>
              <w:right w:val="nil"/>
            </w:tcBorders>
          </w:tcPr>
          <w:p w:rsidR="00307848" w:rsidRPr="00CB2DE6" w:rsidRDefault="00307848"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1</w:t>
            </w:r>
            <w:r w:rsidR="00814394" w:rsidRPr="00CB2DE6">
              <w:rPr>
                <w:rFonts w:ascii="Times New Roman" w:hAnsi="Times New Roman" w:cs="Times New Roman"/>
                <w:sz w:val="19"/>
                <w:szCs w:val="19"/>
              </w:rPr>
              <w:t>1.952</w:t>
            </w:r>
          </w:p>
        </w:tc>
        <w:tc>
          <w:tcPr>
            <w:tcW w:w="0" w:type="auto"/>
            <w:tcBorders>
              <w:top w:val="single" w:sz="4" w:space="0" w:color="auto"/>
              <w:left w:val="nil"/>
              <w:bottom w:val="nil"/>
              <w:right w:val="nil"/>
            </w:tcBorders>
          </w:tcPr>
          <w:p w:rsidR="00307848" w:rsidRPr="00CB2DE6" w:rsidRDefault="00307848"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2</w:t>
            </w:r>
            <w:r w:rsidR="00814394" w:rsidRPr="00CB2DE6">
              <w:rPr>
                <w:rFonts w:ascii="Times New Roman" w:hAnsi="Times New Roman" w:cs="Times New Roman"/>
                <w:sz w:val="19"/>
                <w:szCs w:val="19"/>
              </w:rPr>
              <w:t>3.164</w:t>
            </w:r>
          </w:p>
        </w:tc>
        <w:tc>
          <w:tcPr>
            <w:tcW w:w="0" w:type="auto"/>
            <w:tcBorders>
              <w:top w:val="single" w:sz="4" w:space="0" w:color="auto"/>
              <w:left w:val="nil"/>
              <w:bottom w:val="nil"/>
              <w:right w:val="nil"/>
            </w:tcBorders>
          </w:tcPr>
          <w:p w:rsidR="00307848" w:rsidRPr="00CB2DE6" w:rsidRDefault="00307848" w:rsidP="00CF48DB">
            <w:pPr>
              <w:spacing w:before="120"/>
              <w:jc w:val="right"/>
              <w:rPr>
                <w:rFonts w:ascii="Times New Roman" w:hAnsi="Times New Roman" w:cs="Times New Roman"/>
                <w:sz w:val="19"/>
                <w:szCs w:val="19"/>
              </w:rPr>
            </w:pPr>
            <w:r w:rsidRPr="00CB2DE6">
              <w:rPr>
                <w:rFonts w:ascii="Times New Roman" w:hAnsi="Times New Roman" w:cs="Times New Roman"/>
                <w:sz w:val="19"/>
                <w:szCs w:val="19"/>
              </w:rPr>
              <w:t>3</w:t>
            </w:r>
            <w:r w:rsidR="00814394" w:rsidRPr="00CB2DE6">
              <w:rPr>
                <w:rFonts w:ascii="Times New Roman" w:hAnsi="Times New Roman" w:cs="Times New Roman"/>
                <w:sz w:val="19"/>
                <w:szCs w:val="19"/>
              </w:rPr>
              <w:t>2.567</w:t>
            </w:r>
          </w:p>
        </w:tc>
      </w:tr>
      <w:tr w:rsidR="00905527" w:rsidRPr="00CB2DE6" w:rsidTr="00F12ABA">
        <w:trPr>
          <w:jc w:val="center"/>
        </w:trPr>
        <w:tc>
          <w:tcPr>
            <w:tcW w:w="0" w:type="auto"/>
            <w:gridSpan w:val="2"/>
            <w:tcBorders>
              <w:top w:val="nil"/>
              <w:left w:val="nil"/>
              <w:bottom w:val="nil"/>
              <w:right w:val="nil"/>
            </w:tcBorders>
            <w:vAlign w:val="center"/>
          </w:tcPr>
          <w:p w:rsidR="00307848" w:rsidRPr="00CB2DE6" w:rsidRDefault="00307848" w:rsidP="007C0E5E">
            <w:pPr>
              <w:rPr>
                <w:rFonts w:ascii="Times New Roman" w:hAnsi="Times New Roman" w:cs="Times New Roman"/>
                <w:sz w:val="19"/>
                <w:szCs w:val="19"/>
              </w:rPr>
            </w:pPr>
            <w:r w:rsidRPr="00CB2DE6">
              <w:rPr>
                <w:rFonts w:ascii="Times New Roman" w:hAnsi="Times New Roman" w:cs="Times New Roman"/>
                <w:i/>
                <w:sz w:val="19"/>
                <w:szCs w:val="19"/>
              </w:rPr>
              <w:t>p</w:t>
            </w:r>
            <w:r w:rsidRPr="00CB2DE6">
              <w:rPr>
                <w:rFonts w:ascii="Times New Roman" w:hAnsi="Times New Roman" w:cs="Times New Roman"/>
                <w:sz w:val="19"/>
                <w:szCs w:val="19"/>
              </w:rPr>
              <w:t>-value</w:t>
            </w:r>
          </w:p>
        </w:tc>
        <w:tc>
          <w:tcPr>
            <w:tcW w:w="0" w:type="auto"/>
            <w:tcBorders>
              <w:top w:val="nil"/>
              <w:left w:val="nil"/>
              <w:bottom w:val="nil"/>
              <w:right w:val="nil"/>
            </w:tcBorders>
          </w:tcPr>
          <w:p w:rsidR="00307848" w:rsidRPr="00CB2DE6" w:rsidRDefault="00307848" w:rsidP="00CF48DB">
            <w:pPr>
              <w:jc w:val="right"/>
              <w:rPr>
                <w:rFonts w:ascii="Times New Roman" w:hAnsi="Times New Roman" w:cs="Times New Roman"/>
                <w:sz w:val="19"/>
                <w:szCs w:val="19"/>
              </w:rPr>
            </w:pPr>
            <w:r w:rsidRPr="00CB2DE6">
              <w:rPr>
                <w:rFonts w:ascii="Times New Roman" w:hAnsi="Times New Roman" w:cs="Times New Roman"/>
                <w:sz w:val="19"/>
                <w:szCs w:val="19"/>
              </w:rPr>
              <w:t>0.2</w:t>
            </w:r>
            <w:r w:rsidR="00814394" w:rsidRPr="00CB2DE6">
              <w:rPr>
                <w:rFonts w:ascii="Times New Roman" w:hAnsi="Times New Roman" w:cs="Times New Roman"/>
                <w:sz w:val="19"/>
                <w:szCs w:val="19"/>
              </w:rPr>
              <w:t>88</w:t>
            </w:r>
          </w:p>
        </w:tc>
        <w:tc>
          <w:tcPr>
            <w:tcW w:w="0" w:type="auto"/>
            <w:tcBorders>
              <w:top w:val="nil"/>
              <w:left w:val="nil"/>
              <w:bottom w:val="nil"/>
              <w:right w:val="nil"/>
            </w:tcBorders>
          </w:tcPr>
          <w:p w:rsidR="00307848" w:rsidRPr="00CB2DE6" w:rsidRDefault="00307848" w:rsidP="00CF48DB">
            <w:pPr>
              <w:jc w:val="right"/>
              <w:rPr>
                <w:rFonts w:ascii="Times New Roman" w:hAnsi="Times New Roman" w:cs="Times New Roman"/>
                <w:sz w:val="19"/>
                <w:szCs w:val="19"/>
              </w:rPr>
            </w:pPr>
            <w:r w:rsidRPr="00CB2DE6">
              <w:rPr>
                <w:rFonts w:ascii="Times New Roman" w:hAnsi="Times New Roman" w:cs="Times New Roman"/>
                <w:sz w:val="19"/>
                <w:szCs w:val="19"/>
              </w:rPr>
              <w:t>0.</w:t>
            </w:r>
            <w:r w:rsidR="00814394" w:rsidRPr="00CB2DE6">
              <w:rPr>
                <w:rFonts w:ascii="Times New Roman" w:hAnsi="Times New Roman" w:cs="Times New Roman"/>
                <w:sz w:val="19"/>
                <w:szCs w:val="19"/>
              </w:rPr>
              <w:t>319</w:t>
            </w:r>
          </w:p>
        </w:tc>
        <w:tc>
          <w:tcPr>
            <w:tcW w:w="0" w:type="auto"/>
            <w:tcBorders>
              <w:top w:val="nil"/>
              <w:left w:val="nil"/>
              <w:bottom w:val="nil"/>
              <w:right w:val="nil"/>
            </w:tcBorders>
          </w:tcPr>
          <w:p w:rsidR="00307848" w:rsidRPr="00CB2DE6" w:rsidRDefault="00307848" w:rsidP="00CF48DB">
            <w:pPr>
              <w:jc w:val="right"/>
              <w:rPr>
                <w:rFonts w:ascii="Times New Roman" w:hAnsi="Times New Roman" w:cs="Times New Roman"/>
                <w:sz w:val="19"/>
                <w:szCs w:val="19"/>
              </w:rPr>
            </w:pPr>
            <w:r w:rsidRPr="00CB2DE6">
              <w:rPr>
                <w:rFonts w:ascii="Times New Roman" w:hAnsi="Times New Roman" w:cs="Times New Roman"/>
                <w:sz w:val="19"/>
                <w:szCs w:val="19"/>
              </w:rPr>
              <w:t>0.</w:t>
            </w:r>
            <w:r w:rsidR="00814394" w:rsidRPr="00CB2DE6">
              <w:rPr>
                <w:rFonts w:ascii="Times New Roman" w:hAnsi="Times New Roman" w:cs="Times New Roman"/>
                <w:sz w:val="19"/>
                <w:szCs w:val="19"/>
              </w:rPr>
              <w:t>342</w:t>
            </w:r>
          </w:p>
        </w:tc>
      </w:tr>
      <w:tr w:rsidR="00F07878" w:rsidRPr="00CB2DE6" w:rsidTr="00F12ABA">
        <w:trPr>
          <w:trHeight w:val="80"/>
          <w:jc w:val="center"/>
        </w:trPr>
        <w:tc>
          <w:tcPr>
            <w:tcW w:w="0" w:type="auto"/>
            <w:gridSpan w:val="2"/>
            <w:tcBorders>
              <w:top w:val="nil"/>
              <w:left w:val="nil"/>
              <w:bottom w:val="nil"/>
              <w:right w:val="nil"/>
            </w:tcBorders>
            <w:vAlign w:val="center"/>
          </w:tcPr>
          <w:p w:rsidR="00F07878" w:rsidRPr="00CB2DE6" w:rsidRDefault="00F07878" w:rsidP="00F07878">
            <w:pPr>
              <w:rPr>
                <w:rFonts w:ascii="Times New Roman" w:hAnsi="Times New Roman" w:cs="Times New Roman"/>
                <w:sz w:val="19"/>
                <w:szCs w:val="19"/>
              </w:rPr>
            </w:pPr>
            <w:r w:rsidRPr="00CB2DE6">
              <w:rPr>
                <w:rFonts w:ascii="Times New Roman" w:hAnsi="Times New Roman" w:cs="Times New Roman"/>
                <w:sz w:val="19"/>
                <w:szCs w:val="19"/>
              </w:rPr>
              <w:t xml:space="preserve">Ljung-Box </w:t>
            </w:r>
            <w:r w:rsidRPr="00CB2DE6">
              <w:rPr>
                <w:rFonts w:ascii="Times New Roman" w:hAnsi="Times New Roman" w:cs="Times New Roman"/>
                <w:i/>
                <w:sz w:val="19"/>
                <w:szCs w:val="19"/>
              </w:rPr>
              <w:t>Q</w:t>
            </w:r>
            <w:r w:rsidRPr="00CB2DE6">
              <w:rPr>
                <w:rFonts w:ascii="Times New Roman" w:hAnsi="Times New Roman" w:cs="Times New Roman"/>
                <w:sz w:val="19"/>
                <w:szCs w:val="19"/>
              </w:rPr>
              <w:t xml:space="preserve">-statistic of </w:t>
            </w:r>
            <m:oMath>
              <m:sSup>
                <m:sSupPr>
                  <m:ctrlPr>
                    <w:rPr>
                      <w:rFonts w:ascii="Cambria Math" w:hAnsi="Cambria Math" w:cs="Times New Roman"/>
                      <w:i/>
                      <w:sz w:val="19"/>
                      <w:szCs w:val="19"/>
                    </w:rPr>
                  </m:ctrlPr>
                </m:sSupPr>
                <m:e>
                  <m:acc>
                    <m:accPr>
                      <m:ctrlPr>
                        <w:rPr>
                          <w:rFonts w:ascii="Cambria Math" w:hAnsi="Cambria Math" w:cs="Times New Roman"/>
                          <w:i/>
                          <w:sz w:val="19"/>
                          <w:szCs w:val="19"/>
                        </w:rPr>
                      </m:ctrlPr>
                    </m:accPr>
                    <m:e>
                      <m:r>
                        <w:rPr>
                          <w:rFonts w:ascii="Cambria Math" w:hAnsi="Cambria Math" w:cs="Times New Roman"/>
                          <w:sz w:val="19"/>
                          <w:szCs w:val="19"/>
                        </w:rPr>
                        <m:t>v</m:t>
                      </m:r>
                    </m:e>
                  </m:acc>
                </m:e>
                <m:sup>
                  <m:r>
                    <w:rPr>
                      <w:rFonts w:ascii="Cambria Math" w:hAnsi="Cambria Math" w:cs="Times New Roman"/>
                      <w:sz w:val="19"/>
                      <w:szCs w:val="19"/>
                    </w:rPr>
                    <m:t>2</m:t>
                  </m:r>
                </m:sup>
              </m:sSup>
            </m:oMath>
          </w:p>
        </w:tc>
        <w:tc>
          <w:tcPr>
            <w:tcW w:w="0" w:type="auto"/>
            <w:tcBorders>
              <w:top w:val="nil"/>
              <w:left w:val="nil"/>
              <w:bottom w:val="nil"/>
              <w:right w:val="nil"/>
            </w:tcBorders>
          </w:tcPr>
          <w:p w:rsidR="00F07878" w:rsidRPr="00CB2DE6" w:rsidRDefault="00F07878" w:rsidP="00CF48DB">
            <w:pPr>
              <w:jc w:val="right"/>
              <w:rPr>
                <w:rFonts w:ascii="Times New Roman" w:hAnsi="Times New Roman" w:cs="Times New Roman"/>
                <w:sz w:val="19"/>
                <w:szCs w:val="19"/>
              </w:rPr>
            </w:pPr>
            <w:r w:rsidRPr="00CB2DE6">
              <w:rPr>
                <w:rFonts w:ascii="Times New Roman" w:hAnsi="Times New Roman" w:cs="Times New Roman"/>
                <w:sz w:val="19"/>
                <w:szCs w:val="19"/>
              </w:rPr>
              <w:t>13.357</w:t>
            </w:r>
          </w:p>
        </w:tc>
        <w:tc>
          <w:tcPr>
            <w:tcW w:w="0" w:type="auto"/>
            <w:tcBorders>
              <w:top w:val="nil"/>
              <w:left w:val="nil"/>
              <w:bottom w:val="nil"/>
              <w:right w:val="nil"/>
            </w:tcBorders>
          </w:tcPr>
          <w:p w:rsidR="00F07878" w:rsidRPr="00CB2DE6" w:rsidRDefault="00F07878" w:rsidP="00CF48DB">
            <w:pPr>
              <w:jc w:val="right"/>
              <w:rPr>
                <w:rFonts w:ascii="Times New Roman" w:hAnsi="Times New Roman" w:cs="Times New Roman"/>
                <w:sz w:val="19"/>
                <w:szCs w:val="19"/>
              </w:rPr>
            </w:pPr>
            <w:r w:rsidRPr="00CB2DE6">
              <w:rPr>
                <w:rFonts w:ascii="Times New Roman" w:hAnsi="Times New Roman" w:cs="Times New Roman"/>
                <w:sz w:val="19"/>
                <w:szCs w:val="19"/>
              </w:rPr>
              <w:t>18.927</w:t>
            </w:r>
          </w:p>
        </w:tc>
        <w:tc>
          <w:tcPr>
            <w:tcW w:w="0" w:type="auto"/>
            <w:tcBorders>
              <w:top w:val="nil"/>
              <w:left w:val="nil"/>
              <w:bottom w:val="nil"/>
              <w:right w:val="nil"/>
            </w:tcBorders>
          </w:tcPr>
          <w:p w:rsidR="00F07878" w:rsidRPr="00CB2DE6" w:rsidRDefault="00F07878" w:rsidP="00CF48DB">
            <w:pPr>
              <w:jc w:val="right"/>
              <w:rPr>
                <w:rFonts w:ascii="Times New Roman" w:hAnsi="Times New Roman" w:cs="Times New Roman"/>
                <w:sz w:val="19"/>
                <w:szCs w:val="19"/>
              </w:rPr>
            </w:pPr>
            <w:r w:rsidRPr="00CB2DE6">
              <w:rPr>
                <w:rFonts w:ascii="Times New Roman" w:hAnsi="Times New Roman" w:cs="Times New Roman"/>
                <w:sz w:val="19"/>
                <w:szCs w:val="19"/>
              </w:rPr>
              <w:t>23.590</w:t>
            </w:r>
          </w:p>
        </w:tc>
      </w:tr>
      <w:tr w:rsidR="00F07878" w:rsidRPr="00CB2DE6" w:rsidTr="003215D3">
        <w:trPr>
          <w:jc w:val="center"/>
        </w:trPr>
        <w:tc>
          <w:tcPr>
            <w:tcW w:w="0" w:type="auto"/>
            <w:gridSpan w:val="2"/>
            <w:tcBorders>
              <w:top w:val="nil"/>
              <w:left w:val="nil"/>
              <w:bottom w:val="nil"/>
              <w:right w:val="nil"/>
            </w:tcBorders>
            <w:vAlign w:val="center"/>
          </w:tcPr>
          <w:p w:rsidR="00F07878" w:rsidRPr="00CB2DE6" w:rsidRDefault="00F07878" w:rsidP="00F07878">
            <w:pPr>
              <w:spacing w:after="20"/>
              <w:rPr>
                <w:rFonts w:ascii="Times New Roman" w:hAnsi="Times New Roman" w:cs="Times New Roman"/>
                <w:sz w:val="19"/>
                <w:szCs w:val="19"/>
              </w:rPr>
            </w:pPr>
            <w:r w:rsidRPr="00CB2DE6">
              <w:rPr>
                <w:rFonts w:ascii="Times New Roman" w:hAnsi="Times New Roman" w:cs="Times New Roman"/>
                <w:i/>
                <w:sz w:val="19"/>
                <w:szCs w:val="19"/>
              </w:rPr>
              <w:t>p</w:t>
            </w:r>
            <w:r w:rsidRPr="00CB2DE6">
              <w:rPr>
                <w:rFonts w:ascii="Times New Roman" w:hAnsi="Times New Roman" w:cs="Times New Roman"/>
                <w:sz w:val="19"/>
                <w:szCs w:val="19"/>
              </w:rPr>
              <w:t>-value</w:t>
            </w:r>
          </w:p>
        </w:tc>
        <w:tc>
          <w:tcPr>
            <w:tcW w:w="0" w:type="auto"/>
            <w:tcBorders>
              <w:top w:val="nil"/>
              <w:left w:val="nil"/>
              <w:bottom w:val="nil"/>
              <w:right w:val="nil"/>
            </w:tcBorders>
          </w:tcPr>
          <w:p w:rsidR="00F07878" w:rsidRPr="00CB2DE6" w:rsidRDefault="00F07878" w:rsidP="00CF48DB">
            <w:pPr>
              <w:spacing w:after="20"/>
              <w:jc w:val="right"/>
              <w:rPr>
                <w:rFonts w:ascii="Times New Roman" w:hAnsi="Times New Roman" w:cs="Times New Roman"/>
                <w:sz w:val="19"/>
                <w:szCs w:val="19"/>
              </w:rPr>
            </w:pPr>
            <w:r w:rsidRPr="00CB2DE6">
              <w:rPr>
                <w:rFonts w:ascii="Times New Roman" w:hAnsi="Times New Roman" w:cs="Times New Roman"/>
                <w:sz w:val="19"/>
                <w:szCs w:val="19"/>
              </w:rPr>
              <w:t>0.204</w:t>
            </w:r>
          </w:p>
        </w:tc>
        <w:tc>
          <w:tcPr>
            <w:tcW w:w="0" w:type="auto"/>
            <w:tcBorders>
              <w:top w:val="nil"/>
              <w:left w:val="nil"/>
              <w:bottom w:val="nil"/>
              <w:right w:val="nil"/>
            </w:tcBorders>
          </w:tcPr>
          <w:p w:rsidR="00F07878" w:rsidRPr="00CB2DE6" w:rsidRDefault="00F07878" w:rsidP="00CF48DB">
            <w:pPr>
              <w:spacing w:after="20"/>
              <w:jc w:val="right"/>
              <w:rPr>
                <w:rFonts w:ascii="Times New Roman" w:hAnsi="Times New Roman" w:cs="Times New Roman"/>
                <w:sz w:val="19"/>
                <w:szCs w:val="19"/>
              </w:rPr>
            </w:pPr>
            <w:r w:rsidRPr="00CB2DE6">
              <w:rPr>
                <w:rFonts w:ascii="Times New Roman" w:hAnsi="Times New Roman" w:cs="Times New Roman"/>
                <w:sz w:val="19"/>
                <w:szCs w:val="19"/>
              </w:rPr>
              <w:t>0.527</w:t>
            </w:r>
          </w:p>
        </w:tc>
        <w:tc>
          <w:tcPr>
            <w:tcW w:w="0" w:type="auto"/>
            <w:tcBorders>
              <w:top w:val="nil"/>
              <w:left w:val="nil"/>
              <w:bottom w:val="nil"/>
              <w:right w:val="nil"/>
            </w:tcBorders>
          </w:tcPr>
          <w:p w:rsidR="00F07878" w:rsidRPr="00CB2DE6" w:rsidRDefault="00F07878" w:rsidP="00CF48DB">
            <w:pPr>
              <w:spacing w:after="20"/>
              <w:jc w:val="right"/>
              <w:rPr>
                <w:rFonts w:ascii="Times New Roman" w:hAnsi="Times New Roman" w:cs="Times New Roman"/>
                <w:sz w:val="19"/>
                <w:szCs w:val="19"/>
              </w:rPr>
            </w:pPr>
            <w:r w:rsidRPr="00CB2DE6">
              <w:rPr>
                <w:rFonts w:ascii="Times New Roman" w:hAnsi="Times New Roman" w:cs="Times New Roman"/>
                <w:sz w:val="19"/>
                <w:szCs w:val="19"/>
              </w:rPr>
              <w:t>0.790</w:t>
            </w:r>
          </w:p>
        </w:tc>
      </w:tr>
      <w:tr w:rsidR="00F07878" w:rsidRPr="00CB2DE6" w:rsidTr="00F12ABA">
        <w:trPr>
          <w:jc w:val="center"/>
        </w:trPr>
        <w:tc>
          <w:tcPr>
            <w:tcW w:w="0" w:type="auto"/>
            <w:gridSpan w:val="2"/>
            <w:tcBorders>
              <w:top w:val="nil"/>
              <w:left w:val="nil"/>
              <w:bottom w:val="single" w:sz="4" w:space="0" w:color="auto"/>
              <w:right w:val="nil"/>
            </w:tcBorders>
            <w:vAlign w:val="center"/>
          </w:tcPr>
          <w:p w:rsidR="00F07878" w:rsidRPr="00CB2DE6" w:rsidRDefault="00F07878" w:rsidP="007C7FFC">
            <w:pPr>
              <w:spacing w:after="120"/>
              <w:rPr>
                <w:rFonts w:ascii="Times New Roman" w:hAnsi="Times New Roman" w:cs="Times New Roman"/>
                <w:sz w:val="19"/>
                <w:szCs w:val="19"/>
              </w:rPr>
            </w:pPr>
            <w:r w:rsidRPr="00CB2DE6">
              <w:rPr>
                <w:rFonts w:ascii="Times New Roman" w:hAnsi="Times New Roman" w:cs="Times New Roman"/>
                <w:sz w:val="19"/>
                <w:szCs w:val="19"/>
              </w:rPr>
              <w:t xml:space="preserve">Log-likelihood    </w:t>
            </w:r>
          </w:p>
        </w:tc>
        <w:tc>
          <w:tcPr>
            <w:tcW w:w="0" w:type="auto"/>
            <w:tcBorders>
              <w:top w:val="nil"/>
              <w:left w:val="nil"/>
              <w:bottom w:val="single" w:sz="4" w:space="0" w:color="auto"/>
              <w:right w:val="nil"/>
            </w:tcBorders>
          </w:tcPr>
          <w:p w:rsidR="00F07878" w:rsidRPr="00CB2DE6" w:rsidRDefault="00F07878" w:rsidP="007C7FFC">
            <w:pPr>
              <w:spacing w:after="120"/>
              <w:rPr>
                <w:rFonts w:ascii="Times New Roman" w:hAnsi="Times New Roman" w:cs="Times New Roman"/>
                <w:sz w:val="19"/>
                <w:szCs w:val="19"/>
              </w:rPr>
            </w:pPr>
            <w:r w:rsidRPr="00CB2DE6">
              <w:rPr>
                <w:rFonts w:ascii="Times New Roman" w:hAnsi="Times New Roman" w:cs="Times New Roman"/>
                <w:sz w:val="19"/>
                <w:szCs w:val="19"/>
              </w:rPr>
              <w:t>-3527</w:t>
            </w:r>
          </w:p>
        </w:tc>
        <w:tc>
          <w:tcPr>
            <w:tcW w:w="0" w:type="auto"/>
            <w:tcBorders>
              <w:top w:val="nil"/>
              <w:left w:val="nil"/>
              <w:bottom w:val="single" w:sz="4" w:space="0" w:color="auto"/>
              <w:right w:val="nil"/>
            </w:tcBorders>
          </w:tcPr>
          <w:p w:rsidR="00F07878" w:rsidRPr="00CB2DE6" w:rsidRDefault="00F07878" w:rsidP="007C7FFC">
            <w:pPr>
              <w:spacing w:after="120"/>
              <w:jc w:val="right"/>
              <w:rPr>
                <w:rFonts w:ascii="Times New Roman" w:hAnsi="Times New Roman" w:cs="Times New Roman"/>
                <w:sz w:val="19"/>
                <w:szCs w:val="19"/>
              </w:rPr>
            </w:pPr>
          </w:p>
        </w:tc>
        <w:tc>
          <w:tcPr>
            <w:tcW w:w="0" w:type="auto"/>
            <w:tcBorders>
              <w:top w:val="nil"/>
              <w:left w:val="nil"/>
              <w:bottom w:val="single" w:sz="4" w:space="0" w:color="auto"/>
              <w:right w:val="nil"/>
            </w:tcBorders>
          </w:tcPr>
          <w:p w:rsidR="00F07878" w:rsidRPr="00CB2DE6" w:rsidRDefault="00F07878" w:rsidP="007C7FFC">
            <w:pPr>
              <w:spacing w:after="120"/>
              <w:jc w:val="right"/>
              <w:rPr>
                <w:rFonts w:ascii="Times New Roman" w:hAnsi="Times New Roman" w:cs="Times New Roman"/>
                <w:sz w:val="19"/>
                <w:szCs w:val="19"/>
              </w:rPr>
            </w:pPr>
          </w:p>
        </w:tc>
      </w:tr>
    </w:tbl>
    <w:p w:rsidR="00196DF5" w:rsidRPr="00CB2DE6" w:rsidRDefault="00196DF5" w:rsidP="00DB76F5">
      <w:pPr>
        <w:jc w:val="both"/>
        <w:rPr>
          <w:rFonts w:ascii="Times New Roman" w:hAnsi="Times New Roman" w:cs="Times New Roman"/>
          <w:sz w:val="24"/>
          <w:szCs w:val="24"/>
        </w:rPr>
      </w:pPr>
    </w:p>
    <w:p w:rsidR="00196DF5" w:rsidRPr="00CB2DE6" w:rsidRDefault="00196DF5">
      <w:pPr>
        <w:rPr>
          <w:rFonts w:ascii="Times New Roman" w:hAnsi="Times New Roman" w:cs="Times New Roman"/>
          <w:sz w:val="24"/>
          <w:szCs w:val="24"/>
        </w:rPr>
      </w:pPr>
      <w:r w:rsidRPr="00CB2DE6">
        <w:rPr>
          <w:rFonts w:ascii="Times New Roman" w:hAnsi="Times New Roman" w:cs="Times New Roman"/>
          <w:sz w:val="24"/>
          <w:szCs w:val="24"/>
        </w:rPr>
        <w:br w:type="page"/>
      </w:r>
    </w:p>
    <w:p w:rsidR="000D3752" w:rsidRPr="00CB2DE6" w:rsidRDefault="000D3752" w:rsidP="000D3752">
      <w:pPr>
        <w:jc w:val="center"/>
        <w:rPr>
          <w:rFonts w:ascii="Times New Roman" w:hAnsi="Times New Roman" w:cs="Times New Roman"/>
          <w:b/>
          <w:sz w:val="24"/>
          <w:szCs w:val="24"/>
        </w:rPr>
      </w:pPr>
      <w:r w:rsidRPr="00CB2DE6">
        <w:rPr>
          <w:rFonts w:ascii="Times New Roman" w:hAnsi="Times New Roman" w:cs="Times New Roman"/>
          <w:b/>
          <w:sz w:val="24"/>
          <w:szCs w:val="24"/>
        </w:rPr>
        <w:lastRenderedPageBreak/>
        <w:t>Table 3</w:t>
      </w:r>
    </w:p>
    <w:p w:rsidR="000D3752" w:rsidRPr="00CB2DE6" w:rsidRDefault="000D3752" w:rsidP="000D3752">
      <w:pPr>
        <w:jc w:val="center"/>
        <w:rPr>
          <w:rFonts w:ascii="Times New Roman" w:hAnsi="Times New Roman" w:cs="Times New Roman"/>
          <w:b/>
          <w:sz w:val="24"/>
          <w:szCs w:val="24"/>
        </w:rPr>
      </w:pPr>
      <w:r w:rsidRPr="00CB2DE6">
        <w:rPr>
          <w:rFonts w:ascii="Times New Roman" w:hAnsi="Times New Roman" w:cs="Times New Roman"/>
          <w:b/>
          <w:sz w:val="24"/>
          <w:szCs w:val="24"/>
        </w:rPr>
        <w:t>Time-Series Estimation of the Volatility Components</w:t>
      </w:r>
      <w:r w:rsidR="00516D8D" w:rsidRPr="00CB2DE6">
        <w:rPr>
          <w:rFonts w:ascii="Times New Roman" w:hAnsi="Times New Roman" w:cs="Times New Roman"/>
          <w:b/>
          <w:sz w:val="24"/>
          <w:szCs w:val="24"/>
        </w:rPr>
        <w:t xml:space="preserve">: </w:t>
      </w:r>
      <w:r w:rsidRPr="00CB2DE6">
        <w:rPr>
          <w:rFonts w:ascii="Times New Roman" w:hAnsi="Times New Roman" w:cs="Times New Roman"/>
          <w:b/>
          <w:sz w:val="24"/>
          <w:szCs w:val="24"/>
        </w:rPr>
        <w:t>Adrian and Rosenberg (2008) Model</w:t>
      </w:r>
    </w:p>
    <w:p w:rsidR="000D3752" w:rsidRPr="00CB2DE6" w:rsidRDefault="00AF3F5B" w:rsidP="000D3752">
      <w:pPr>
        <w:spacing w:before="180" w:after="180"/>
        <w:jc w:val="both"/>
        <w:rPr>
          <w:rFonts w:ascii="Times New Roman" w:hAnsi="Times New Roman" w:cs="Times New Roman"/>
          <w:sz w:val="20"/>
          <w:szCs w:val="20"/>
        </w:rPr>
      </w:pPr>
      <w:r w:rsidRPr="00CB2DE6">
        <w:rPr>
          <w:rFonts w:ascii="Times New Roman" w:hAnsi="Times New Roman" w:cs="Times New Roman"/>
          <w:sz w:val="20"/>
          <w:szCs w:val="20"/>
        </w:rPr>
        <w:t xml:space="preserve">The table presents the maximum likelihood estimates of the </w:t>
      </w:r>
      <w:r w:rsidR="00C369FA" w:rsidRPr="00CB2DE6">
        <w:rPr>
          <w:rFonts w:ascii="Times New Roman" w:hAnsi="Times New Roman" w:cs="Times New Roman"/>
          <w:sz w:val="20"/>
          <w:szCs w:val="20"/>
        </w:rPr>
        <w:t>C</w:t>
      </w:r>
      <w:r w:rsidRPr="00CB2DE6">
        <w:rPr>
          <w:rFonts w:ascii="Times New Roman" w:hAnsi="Times New Roman" w:cs="Times New Roman"/>
          <w:sz w:val="20"/>
          <w:szCs w:val="20"/>
        </w:rPr>
        <w:t xml:space="preserve">EGARCH model introduced by Adrian and Rosenberg (2008). The global FX return at a daily frequency is obtained </w:t>
      </w:r>
      <w:r w:rsidR="003A4CC0">
        <w:rPr>
          <w:rFonts w:ascii="Times New Roman" w:hAnsi="Times New Roman" w:cs="Times New Roman"/>
          <w:sz w:val="20"/>
          <w:szCs w:val="20"/>
        </w:rPr>
        <w:t xml:space="preserve">as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R</m:t>
            </m:r>
          </m:e>
          <m:sub>
            <m:r>
              <w:rPr>
                <w:rFonts w:ascii="Cambria Math" w:eastAsia="Calibri" w:hAnsi="Cambria Math" w:cs="Times New Roman"/>
                <w:sz w:val="20"/>
                <w:szCs w:val="20"/>
              </w:rPr>
              <m:t>τ</m:t>
            </m:r>
          </m:sub>
        </m:sSub>
        <m:r>
          <w:rPr>
            <w:rFonts w:ascii="Cambria Math" w:eastAsia="Calibri" w:hAnsi="Cambria Math" w:cs="Times New Roman"/>
            <w:sz w:val="20"/>
            <w:szCs w:val="20"/>
          </w:rPr>
          <m:t>=</m:t>
        </m:r>
        <m:nary>
          <m:naryPr>
            <m:chr m:val="∑"/>
            <m:limLoc m:val="undOvr"/>
            <m:supHide m:val="1"/>
            <m:ctrlPr>
              <w:rPr>
                <w:rFonts w:ascii="Cambria Math" w:eastAsia="Calibri" w:hAnsi="Cambria Math" w:cs="Times New Roman"/>
                <w:i/>
                <w:sz w:val="20"/>
                <w:szCs w:val="20"/>
              </w:rPr>
            </m:ctrlPr>
          </m:naryPr>
          <m:sub>
            <m:r>
              <w:rPr>
                <w:rFonts w:ascii="Cambria Math" w:eastAsia="Calibri" w:hAnsi="Cambria Math" w:cs="Times New Roman"/>
                <w:sz w:val="20"/>
                <w:szCs w:val="20"/>
              </w:rPr>
              <m:t>k∈</m:t>
            </m:r>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K</m:t>
                </m:r>
              </m:e>
              <m:sub>
                <m:r>
                  <w:rPr>
                    <w:rFonts w:ascii="Cambria Math" w:eastAsia="Calibri" w:hAnsi="Cambria Math" w:cs="Times New Roman"/>
                    <w:sz w:val="20"/>
                    <w:szCs w:val="20"/>
                  </w:rPr>
                  <m:t>τ</m:t>
                </m:r>
              </m:sub>
            </m:sSub>
          </m:sub>
          <m:sup/>
          <m:e>
            <m:d>
              <m:dPr>
                <m:begChr m:val="["/>
                <m:endChr m:val="]"/>
                <m:ctrlPr>
                  <w:rPr>
                    <w:rFonts w:ascii="Cambria Math" w:eastAsia="Calibri" w:hAnsi="Cambria Math" w:cs="Times New Roman"/>
                    <w:i/>
                    <w:sz w:val="20"/>
                    <w:szCs w:val="20"/>
                  </w:rPr>
                </m:ctrlPr>
              </m:dPr>
              <m:e>
                <m:d>
                  <m:dPr>
                    <m:ctrlPr>
                      <w:rPr>
                        <w:rFonts w:ascii="Cambria Math" w:eastAsia="Calibri" w:hAnsi="Cambria Math" w:cs="Times New Roman"/>
                        <w:i/>
                        <w:sz w:val="20"/>
                        <w:szCs w:val="20"/>
                      </w:rPr>
                    </m:ctrlPr>
                  </m:dPr>
                  <m:e>
                    <m:f>
                      <m:fPr>
                        <m:ctrlPr>
                          <w:rPr>
                            <w:rFonts w:ascii="Cambria Math" w:eastAsia="Calibri" w:hAnsi="Cambria Math" w:cs="Times New Roman"/>
                            <w:i/>
                            <w:sz w:val="20"/>
                            <w:szCs w:val="20"/>
                          </w:rPr>
                        </m:ctrlPr>
                      </m:fPr>
                      <m:num>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S</m:t>
                            </m:r>
                          </m:e>
                          <m:sub>
                            <m:r>
                              <w:rPr>
                                <w:rFonts w:ascii="Cambria Math" w:eastAsia="Calibri" w:hAnsi="Cambria Math" w:cs="Times New Roman"/>
                                <w:sz w:val="20"/>
                                <w:szCs w:val="20"/>
                              </w:rPr>
                              <m:t>τ</m:t>
                            </m:r>
                          </m:sub>
                          <m:sup>
                            <m:r>
                              <w:rPr>
                                <w:rFonts w:ascii="Cambria Math" w:eastAsia="Calibri" w:hAnsi="Cambria Math" w:cs="Times New Roman"/>
                                <w:sz w:val="20"/>
                                <w:szCs w:val="20"/>
                              </w:rPr>
                              <m:t>k</m:t>
                            </m:r>
                          </m:sup>
                        </m:sSubSup>
                        <m:r>
                          <w:rPr>
                            <w:rFonts w:ascii="Cambria Math" w:eastAsia="Calibri" w:hAnsi="Cambria Math" w:cs="Times New Roman"/>
                            <w:sz w:val="20"/>
                            <w:szCs w:val="20"/>
                          </w:rPr>
                          <m:t>-</m:t>
                        </m:r>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S</m:t>
                            </m:r>
                          </m:e>
                          <m:sub>
                            <m:r>
                              <w:rPr>
                                <w:rFonts w:ascii="Cambria Math" w:eastAsia="Calibri" w:hAnsi="Cambria Math" w:cs="Times New Roman"/>
                                <w:sz w:val="20"/>
                                <w:szCs w:val="20"/>
                              </w:rPr>
                              <m:t>τ-1</m:t>
                            </m:r>
                          </m:sub>
                          <m:sup>
                            <m:r>
                              <w:rPr>
                                <w:rFonts w:ascii="Cambria Math" w:eastAsia="Calibri" w:hAnsi="Cambria Math" w:cs="Times New Roman"/>
                                <w:sz w:val="20"/>
                                <w:szCs w:val="20"/>
                              </w:rPr>
                              <m:t>k</m:t>
                            </m:r>
                          </m:sup>
                        </m:sSubSup>
                      </m:num>
                      <m:den>
                        <m:sSubSup>
                          <m:sSubSupPr>
                            <m:ctrlPr>
                              <w:rPr>
                                <w:rFonts w:ascii="Cambria Math" w:eastAsia="Calibri" w:hAnsi="Cambria Math" w:cs="Times New Roman"/>
                                <w:i/>
                                <w:sz w:val="20"/>
                                <w:szCs w:val="20"/>
                              </w:rPr>
                            </m:ctrlPr>
                          </m:sSubSupPr>
                          <m:e>
                            <m:r>
                              <w:rPr>
                                <w:rFonts w:ascii="Cambria Math" w:eastAsia="Calibri" w:hAnsi="Cambria Math" w:cs="Times New Roman"/>
                                <w:sz w:val="20"/>
                                <w:szCs w:val="20"/>
                              </w:rPr>
                              <m:t>S</m:t>
                            </m:r>
                          </m:e>
                          <m:sub>
                            <m:r>
                              <w:rPr>
                                <w:rFonts w:ascii="Cambria Math" w:eastAsia="Calibri" w:hAnsi="Cambria Math" w:cs="Times New Roman"/>
                                <w:sz w:val="20"/>
                                <w:szCs w:val="20"/>
                              </w:rPr>
                              <m:t>τ-1</m:t>
                            </m:r>
                          </m:sub>
                          <m:sup>
                            <m:r>
                              <w:rPr>
                                <w:rFonts w:ascii="Cambria Math" w:eastAsia="Calibri" w:hAnsi="Cambria Math" w:cs="Times New Roman"/>
                                <w:sz w:val="20"/>
                                <w:szCs w:val="20"/>
                              </w:rPr>
                              <m:t>k</m:t>
                            </m:r>
                          </m:sup>
                        </m:sSubSup>
                      </m:den>
                    </m:f>
                  </m:e>
                </m:d>
                <m:r>
                  <w:rPr>
                    <w:rFonts w:ascii="Cambria Math" w:eastAsia="Calibri" w:hAnsi="Cambria Math" w:cs="Times New Roman"/>
                    <w:sz w:val="20"/>
                    <w:szCs w:val="20"/>
                  </w:rPr>
                  <m:t>/</m:t>
                </m:r>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K</m:t>
                    </m:r>
                  </m:e>
                  <m:sub>
                    <m:r>
                      <w:rPr>
                        <w:rFonts w:ascii="Cambria Math" w:eastAsia="Calibri" w:hAnsi="Cambria Math" w:cs="Times New Roman"/>
                        <w:sz w:val="20"/>
                        <w:szCs w:val="20"/>
                      </w:rPr>
                      <m:t>τ</m:t>
                    </m:r>
                  </m:sub>
                </m:sSub>
              </m:e>
            </m:d>
          </m:e>
        </m:nary>
      </m:oMath>
      <w:r w:rsidRPr="00CB2DE6">
        <w:rPr>
          <w:rFonts w:ascii="Times New Roman" w:hAnsi="Times New Roman" w:cs="Times New Roman"/>
          <w:sz w:val="20"/>
          <w:szCs w:val="20"/>
        </w:rPr>
        <w:t xml:space="preserve">. The equations of the model are: (i) </w:t>
      </w: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r>
              <w:rPr>
                <w:rFonts w:ascii="Cambria Math" w:hAnsi="Cambria Math" w:cs="Times New Roman"/>
                <w:sz w:val="20"/>
                <w:szCs w:val="20"/>
              </w:rPr>
              <m:t>s</m:t>
            </m:r>
          </m:e>
          <m:sub>
            <m:r>
              <w:rPr>
                <w:rFonts w:ascii="Cambria Math" w:hAnsi="Cambria Math" w:cs="Times New Roman"/>
                <w:sz w:val="20"/>
                <w:szCs w:val="20"/>
              </w:rPr>
              <m:t>τ-1+</m:t>
            </m:r>
          </m:sub>
        </m:sSub>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3</m:t>
                </m:r>
              </m:sub>
            </m:sSub>
            <m:r>
              <w:rPr>
                <w:rFonts w:ascii="Cambria Math" w:hAnsi="Cambria Math" w:cs="Times New Roman"/>
                <w:sz w:val="20"/>
                <w:szCs w:val="20"/>
              </w:rPr>
              <m:t>l</m:t>
            </m:r>
          </m:e>
          <m:sub>
            <m:r>
              <w:rPr>
                <w:rFonts w:ascii="Cambria Math" w:hAnsi="Cambria Math" w:cs="Times New Roman"/>
                <w:sz w:val="20"/>
                <w:szCs w:val="20"/>
              </w:rPr>
              <m:t>τ-1+</m:t>
            </m:r>
          </m:sub>
        </m:sSub>
        <m:rad>
          <m:radPr>
            <m:degHide m:val="1"/>
            <m:ctrlPr>
              <w:rPr>
                <w:rFonts w:ascii="Cambria Math" w:hAnsi="Cambria Math" w:cs="Times New Roman"/>
                <w:i/>
                <w:sz w:val="20"/>
                <w:szCs w:val="20"/>
              </w:rPr>
            </m:ctrlPr>
          </m:radPr>
          <m:deg/>
          <m:e>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τ-1</m:t>
                </m:r>
              </m:sub>
            </m:sSub>
          </m:e>
        </m:rad>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τ</m:t>
            </m:r>
          </m:sub>
        </m:sSub>
      </m:oMath>
      <w:r w:rsidRPr="00CB2DE6">
        <w:rPr>
          <w:rFonts w:ascii="Times New Roman" w:hAnsi="Times New Roman" w:cs="Times New Roman"/>
          <w:sz w:val="20"/>
          <w:szCs w:val="20"/>
        </w:rPr>
        <w:t xml:space="preserve"> (where </w:t>
      </w:r>
      <m:oMath>
        <m:r>
          <w:rPr>
            <w:rFonts w:ascii="Cambria Math" w:hAnsi="Cambria Math" w:cs="Times New Roman"/>
            <w:sz w:val="20"/>
            <w:szCs w:val="20"/>
          </w:rPr>
          <m:t>log</m:t>
        </m:r>
        <m:rad>
          <m:radPr>
            <m:degHide m:val="1"/>
            <m:ctrlPr>
              <w:rPr>
                <w:rFonts w:ascii="Cambria Math" w:hAnsi="Cambria Math" w:cs="Times New Roman"/>
                <w:i/>
                <w:sz w:val="20"/>
                <w:szCs w:val="20"/>
              </w:rPr>
            </m:ctrlPr>
          </m:radPr>
          <m:deg/>
          <m:e>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τ</m:t>
                </m:r>
              </m:sub>
            </m:sSub>
          </m:e>
        </m:ra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τ</m:t>
            </m:r>
          </m:sub>
        </m:sSub>
      </m:oMath>
      <w:r w:rsidRPr="00CB2DE6">
        <w:rPr>
          <w:rFonts w:ascii="Times New Roman" w:hAnsi="Times New Roman" w:cs="Times New Roman"/>
          <w:sz w:val="20"/>
          <w:szCs w:val="20"/>
        </w:rPr>
        <w:t xml:space="preserve">) for the conditional mean; (ii)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4</m:t>
            </m:r>
          </m:sub>
        </m:sSub>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τ-1</m:t>
            </m:r>
          </m:sub>
        </m:sSub>
        <m:r>
          <w:rPr>
            <w:rFonts w:ascii="Cambria Math" w:hAnsi="Cambria Math" w:cs="Times New Roman"/>
            <w:sz w:val="20"/>
            <w:szCs w:val="20"/>
          </w:rPr>
          <m:t>+</m:t>
        </m:r>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5</m:t>
                </m:r>
              </m:sub>
            </m:sSub>
            <m:r>
              <w:rPr>
                <w:rFonts w:ascii="Cambria Math" w:hAnsi="Cambria Math" w:cs="Times New Roman"/>
                <w:sz w:val="20"/>
                <w:szCs w:val="20"/>
              </w:rPr>
              <m:t>ε</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6</m:t>
            </m:r>
          </m:sub>
        </m:sSub>
        <m:d>
          <m:dPr>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τ</m:t>
                    </m:r>
                  </m:sub>
                </m:sSub>
              </m:e>
            </m:d>
            <m:r>
              <w:rPr>
                <w:rFonts w:ascii="Cambria Math" w:hAnsi="Cambria Math" w:cs="Times New Roman"/>
                <w:sz w:val="20"/>
                <w:szCs w:val="20"/>
              </w:rPr>
              <m:t>-</m:t>
            </m:r>
            <m:rad>
              <m:radPr>
                <m:degHide m:val="1"/>
                <m:ctrlPr>
                  <w:rPr>
                    <w:rFonts w:ascii="Cambria Math" w:hAnsi="Cambria Math" w:cs="Times New Roman"/>
                    <w:i/>
                    <w:sz w:val="20"/>
                    <w:szCs w:val="20"/>
                  </w:rPr>
                </m:ctrlPr>
              </m:radPr>
              <m:deg/>
              <m:e>
                <m:f>
                  <m:fPr>
                    <m:type m:val="lin"/>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π</m:t>
                    </m:r>
                  </m:den>
                </m:f>
              </m:e>
            </m:rad>
          </m:e>
        </m:d>
        <m:r>
          <m:rPr>
            <m:sty m:val="p"/>
          </m:rPr>
          <w:rPr>
            <w:rFonts w:ascii="Cambria Math" w:hAnsi="Cambria Math" w:cs="Times New Roman"/>
            <w:sz w:val="20"/>
            <w:szCs w:val="20"/>
          </w:rPr>
          <m:t xml:space="preserve"> f</m:t>
        </m:r>
      </m:oMath>
      <w:r w:rsidRPr="00CB2DE6">
        <w:rPr>
          <w:rFonts w:ascii="Times New Roman" w:hAnsi="Times New Roman" w:cs="Times New Roman"/>
          <w:sz w:val="20"/>
          <w:szCs w:val="20"/>
        </w:rPr>
        <w:t xml:space="preserve">or the short-run component; and (iii) </w:t>
      </w:r>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7</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8</m:t>
            </m:r>
          </m:sub>
        </m:s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τ-1</m:t>
            </m:r>
          </m:sub>
        </m:sSub>
        <m:r>
          <w:rPr>
            <w:rFonts w:ascii="Cambria Math" w:hAnsi="Cambria Math" w:cs="Times New Roman"/>
            <w:sz w:val="20"/>
            <w:szCs w:val="20"/>
          </w:rPr>
          <m:t>+</m:t>
        </m:r>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9</m:t>
                </m:r>
              </m:sub>
            </m:sSub>
            <m:r>
              <w:rPr>
                <w:rFonts w:ascii="Cambria Math" w:hAnsi="Cambria Math" w:cs="Times New Roman"/>
                <w:sz w:val="20"/>
                <w:szCs w:val="20"/>
              </w:rPr>
              <m:t>ε</m:t>
            </m:r>
          </m:e>
          <m:sub>
            <m:r>
              <w:rPr>
                <w:rFonts w:ascii="Cambria Math" w:hAnsi="Cambria Math" w:cs="Times New Roman"/>
                <w:sz w:val="20"/>
                <w:szCs w:val="20"/>
              </w:rPr>
              <m:t>τ</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10</m:t>
            </m:r>
          </m:sub>
        </m:sSub>
        <m:d>
          <m:dPr>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τ</m:t>
                    </m:r>
                  </m:sub>
                </m:sSub>
              </m:e>
            </m:d>
            <m:r>
              <w:rPr>
                <w:rFonts w:ascii="Cambria Math" w:hAnsi="Cambria Math" w:cs="Times New Roman"/>
                <w:sz w:val="20"/>
                <w:szCs w:val="20"/>
              </w:rPr>
              <m:t>-</m:t>
            </m:r>
            <m:rad>
              <m:radPr>
                <m:degHide m:val="1"/>
                <m:ctrlPr>
                  <w:rPr>
                    <w:rFonts w:ascii="Cambria Math" w:hAnsi="Cambria Math" w:cs="Times New Roman"/>
                    <w:i/>
                    <w:sz w:val="20"/>
                    <w:szCs w:val="20"/>
                  </w:rPr>
                </m:ctrlPr>
              </m:radPr>
              <m:deg/>
              <m:e>
                <m:f>
                  <m:fPr>
                    <m:type m:val="lin"/>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π</m:t>
                    </m:r>
                  </m:den>
                </m:f>
              </m:e>
            </m:rad>
          </m:e>
        </m:d>
      </m:oMath>
      <w:r w:rsidRPr="00CB2DE6">
        <w:rPr>
          <w:rFonts w:ascii="Times New Roman" w:hAnsi="Times New Roman" w:cs="Times New Roman"/>
          <w:sz w:val="20"/>
          <w:szCs w:val="20"/>
        </w:rPr>
        <w:t xml:space="preserve"> for the long-run component. </w:t>
      </w:r>
      <w:r w:rsidR="000D3752" w:rsidRPr="00CB2DE6">
        <w:rPr>
          <w:rFonts w:ascii="Times New Roman" w:hAnsi="Times New Roman" w:cs="Times New Roman"/>
          <w:sz w:val="20"/>
          <w:szCs w:val="20"/>
        </w:rPr>
        <w:t xml:space="preserve">Panel D </w:t>
      </w:r>
      <w:r w:rsidR="00F03A29">
        <w:rPr>
          <w:rFonts w:ascii="Times New Roman" w:hAnsi="Times New Roman" w:cs="Times New Roman"/>
          <w:sz w:val="20"/>
          <w:szCs w:val="20"/>
        </w:rPr>
        <w:t xml:space="preserve">reports </w:t>
      </w:r>
      <w:r w:rsidR="000D3752" w:rsidRPr="00CB2DE6">
        <w:rPr>
          <w:rFonts w:ascii="Times New Roman" w:hAnsi="Times New Roman" w:cs="Times New Roman"/>
          <w:sz w:val="20"/>
          <w:szCs w:val="20"/>
        </w:rPr>
        <w:t xml:space="preserve">diagnostics for the squared standardized residuals based on the Ljung and Box (1978) </w:t>
      </w:r>
      <w:r w:rsidR="000D3752" w:rsidRPr="00CB2DE6">
        <w:rPr>
          <w:rFonts w:ascii="Times New Roman" w:hAnsi="Times New Roman" w:cs="Times New Roman"/>
          <w:i/>
          <w:sz w:val="20"/>
          <w:szCs w:val="20"/>
        </w:rPr>
        <w:t>Q</w:t>
      </w:r>
      <w:r w:rsidR="000D3752" w:rsidRPr="00CB2DE6">
        <w:rPr>
          <w:rFonts w:ascii="Times New Roman" w:hAnsi="Times New Roman" w:cs="Times New Roman"/>
          <w:sz w:val="20"/>
          <w:szCs w:val="20"/>
        </w:rPr>
        <w:t>-statistics at 10, 20, and 30 lags, respectively. The sample period is from November 2, 1983 to February 28, 2013.</w:t>
      </w:r>
    </w:p>
    <w:tbl>
      <w:tblPr>
        <w:tblStyle w:val="TableGrid"/>
        <w:tblW w:w="0" w:type="auto"/>
        <w:jc w:val="center"/>
        <w:tblLook w:val="04A0" w:firstRow="1" w:lastRow="0" w:firstColumn="1" w:lastColumn="0" w:noHBand="0" w:noVBand="1"/>
      </w:tblPr>
      <w:tblGrid>
        <w:gridCol w:w="1266"/>
        <w:gridCol w:w="1046"/>
        <w:gridCol w:w="1473"/>
        <w:gridCol w:w="1378"/>
        <w:gridCol w:w="1425"/>
      </w:tblGrid>
      <w:tr w:rsidR="000D3752" w:rsidRPr="00CB2DE6" w:rsidTr="00B7344E">
        <w:trPr>
          <w:jc w:val="center"/>
        </w:trPr>
        <w:tc>
          <w:tcPr>
            <w:tcW w:w="0" w:type="auto"/>
            <w:gridSpan w:val="5"/>
            <w:tcBorders>
              <w:top w:val="single" w:sz="4" w:space="0" w:color="auto"/>
              <w:left w:val="nil"/>
              <w:bottom w:val="single" w:sz="4" w:space="0" w:color="auto"/>
              <w:right w:val="nil"/>
            </w:tcBorders>
          </w:tcPr>
          <w:p w:rsidR="000D3752" w:rsidRPr="00CB2DE6" w:rsidRDefault="000D3752" w:rsidP="00B7344E">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Panel A: Conditional Mean</w:t>
            </w:r>
          </w:p>
        </w:tc>
      </w:tr>
      <w:tr w:rsidR="000D3752" w:rsidRPr="00CB2DE6" w:rsidTr="00B7344E">
        <w:trPr>
          <w:trHeight w:val="70"/>
          <w:jc w:val="center"/>
        </w:trPr>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center"/>
              <w:rPr>
                <w:rFonts w:ascii="Times New Roman" w:hAnsi="Times New Roman" w:cs="Times New Roman"/>
                <w:i/>
                <w:sz w:val="19"/>
                <w:szCs w:val="19"/>
              </w:rPr>
            </w:pPr>
          </w:p>
        </w:tc>
        <w:tc>
          <w:tcPr>
            <w:tcW w:w="0" w:type="auto"/>
            <w:tcBorders>
              <w:top w:val="single" w:sz="4" w:space="0" w:color="auto"/>
              <w:left w:val="nil"/>
              <w:bottom w:val="single" w:sz="4" w:space="0" w:color="auto"/>
              <w:right w:val="nil"/>
            </w:tcBorders>
          </w:tcPr>
          <w:p w:rsidR="000D3752" w:rsidRPr="00CB2DE6" w:rsidRDefault="00497F73" w:rsidP="00B7344E">
            <w:pPr>
              <w:spacing w:before="20" w:after="20"/>
              <w:jc w:val="right"/>
              <w:rPr>
                <w:rFonts w:ascii="Times New Roman" w:hAnsi="Times New Roman" w:cs="Times New Roman"/>
                <w:i/>
                <w:sz w:val="19"/>
                <w:szCs w:val="19"/>
              </w:rPr>
            </w:pP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θ</m:t>
                      </m:r>
                    </m:e>
                    <m:sub>
                      <m:r>
                        <w:rPr>
                          <w:rFonts w:ascii="Cambria Math" w:hAnsi="Cambria Math" w:cs="Times New Roman"/>
                          <w:sz w:val="19"/>
                          <w:szCs w:val="19"/>
                        </w:rPr>
                        <m:t>1</m:t>
                      </m:r>
                    </m:sub>
                  </m:sSub>
                </m:e>
              </m:acc>
            </m:oMath>
            <w:r w:rsidR="000D3752" w:rsidRPr="00CB2DE6">
              <w:rPr>
                <w:rFonts w:ascii="Times New Roman" w:hAnsi="Times New Roman" w:cs="Times New Roman"/>
                <w:i/>
                <w:sz w:val="19"/>
                <w:szCs w:val="19"/>
              </w:rPr>
              <w:t xml:space="preserve">                     </w:t>
            </w:r>
          </w:p>
        </w:tc>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right"/>
              <w:rPr>
                <w:rFonts w:ascii="Times New Roman" w:hAnsi="Times New Roman" w:cs="Times New Roman"/>
                <w:i/>
                <w:sz w:val="19"/>
                <w:szCs w:val="19"/>
              </w:rPr>
            </w:pPr>
            <w:r w:rsidRPr="00CB2DE6">
              <w:rPr>
                <w:rFonts w:ascii="Times New Roman" w:hAnsi="Times New Roman" w:cs="Times New Roman"/>
                <w:i/>
                <w:sz w:val="19"/>
                <w:szCs w:val="19"/>
              </w:rPr>
              <w:t xml:space="preserve">               </w:t>
            </w: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θ</m:t>
                      </m:r>
                    </m:e>
                    <m:sub>
                      <m:r>
                        <w:rPr>
                          <w:rFonts w:ascii="Cambria Math" w:hAnsi="Cambria Math" w:cs="Times New Roman"/>
                          <w:sz w:val="19"/>
                          <w:szCs w:val="19"/>
                        </w:rPr>
                        <m:t>2</m:t>
                      </m:r>
                    </m:sub>
                  </m:sSub>
                </m:e>
              </m:acc>
            </m:oMath>
            <w:r w:rsidRPr="00CB2DE6">
              <w:rPr>
                <w:rFonts w:ascii="Times New Roman" w:hAnsi="Times New Roman" w:cs="Times New Roman"/>
                <w:i/>
                <w:sz w:val="19"/>
                <w:szCs w:val="19"/>
              </w:rPr>
              <w:t xml:space="preserve"> </w:t>
            </w:r>
          </w:p>
        </w:tc>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right"/>
              <w:rPr>
                <w:rFonts w:ascii="Times New Roman" w:hAnsi="Times New Roman" w:cs="Times New Roman"/>
                <w:i/>
                <w:sz w:val="19"/>
                <w:szCs w:val="19"/>
              </w:rPr>
            </w:pPr>
            <w:r w:rsidRPr="00CB2DE6">
              <w:rPr>
                <w:rFonts w:ascii="Times New Roman" w:hAnsi="Times New Roman" w:cs="Times New Roman"/>
                <w:i/>
                <w:sz w:val="19"/>
                <w:szCs w:val="19"/>
              </w:rPr>
              <w:t xml:space="preserve">         </w:t>
            </w: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θ</m:t>
                      </m:r>
                    </m:e>
                    <m:sub>
                      <m:r>
                        <w:rPr>
                          <w:rFonts w:ascii="Cambria Math" w:hAnsi="Cambria Math" w:cs="Times New Roman"/>
                          <w:sz w:val="19"/>
                          <w:szCs w:val="19"/>
                        </w:rPr>
                        <m:t>3</m:t>
                      </m:r>
                    </m:sub>
                  </m:sSub>
                </m:e>
              </m:acc>
            </m:oMath>
            <w:r w:rsidRPr="00CB2DE6">
              <w:rPr>
                <w:rFonts w:ascii="Times New Roman" w:hAnsi="Times New Roman" w:cs="Times New Roman"/>
                <w:i/>
                <w:sz w:val="19"/>
                <w:szCs w:val="19"/>
              </w:rPr>
              <w:t xml:space="preserve"> </w:t>
            </w:r>
          </w:p>
        </w:tc>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right"/>
              <w:rPr>
                <w:rFonts w:ascii="Times New Roman" w:hAnsi="Times New Roman" w:cs="Times New Roman"/>
                <w:i/>
                <w:sz w:val="19"/>
                <w:szCs w:val="19"/>
              </w:rPr>
            </w:pPr>
          </w:p>
        </w:tc>
      </w:tr>
      <w:tr w:rsidR="000D3752" w:rsidRPr="00CB2DE6" w:rsidTr="00B7344E">
        <w:trPr>
          <w:jc w:val="center"/>
        </w:trPr>
        <w:tc>
          <w:tcPr>
            <w:tcW w:w="0" w:type="auto"/>
            <w:tcBorders>
              <w:top w:val="single" w:sz="4" w:space="0" w:color="auto"/>
              <w:left w:val="nil"/>
              <w:bottom w:val="nil"/>
              <w:right w:val="nil"/>
            </w:tcBorders>
            <w:vAlign w:val="center"/>
          </w:tcPr>
          <w:p w:rsidR="000D3752" w:rsidRPr="00CB2DE6" w:rsidRDefault="000D3752" w:rsidP="00B7344E">
            <w:pPr>
              <w:spacing w:before="120"/>
              <w:rPr>
                <w:rFonts w:ascii="Times New Roman" w:hAnsi="Times New Roman" w:cs="Times New Roman"/>
                <w:sz w:val="19"/>
                <w:szCs w:val="19"/>
              </w:rPr>
            </w:pPr>
            <w:r w:rsidRPr="00CB2DE6">
              <w:rPr>
                <w:rFonts w:ascii="Times New Roman" w:hAnsi="Times New Roman" w:cs="Times New Roman"/>
                <w:sz w:val="19"/>
                <w:szCs w:val="19"/>
              </w:rPr>
              <w:t>Coef.</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0.093</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 xml:space="preserve">               -0.006</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0.046</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p>
        </w:tc>
      </w:tr>
      <w:tr w:rsidR="000D3752" w:rsidRPr="00CB2DE6" w:rsidTr="00B7344E">
        <w:trPr>
          <w:jc w:val="center"/>
        </w:trPr>
        <w:tc>
          <w:tcPr>
            <w:tcW w:w="0" w:type="auto"/>
            <w:tcBorders>
              <w:top w:val="nil"/>
              <w:left w:val="nil"/>
              <w:bottom w:val="nil"/>
              <w:right w:val="nil"/>
            </w:tcBorders>
            <w:vAlign w:val="center"/>
          </w:tcPr>
          <w:p w:rsidR="000D3752" w:rsidRPr="00CB2DE6" w:rsidRDefault="000D3752" w:rsidP="00B7344E">
            <w:pPr>
              <w:rPr>
                <w:rFonts w:ascii="Times New Roman" w:hAnsi="Times New Roman" w:cs="Times New Roman"/>
                <w:sz w:val="19"/>
                <w:szCs w:val="19"/>
              </w:rPr>
            </w:pPr>
            <w:r w:rsidRPr="00CB2DE6">
              <w:rPr>
                <w:rFonts w:ascii="Times New Roman" w:hAnsi="Times New Roman" w:cs="Times New Roman"/>
                <w:sz w:val="19"/>
                <w:szCs w:val="19"/>
              </w:rPr>
              <w:t>Std. Err.</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0.019</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 xml:space="preserve">                0.001</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0.009</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p>
        </w:tc>
      </w:tr>
      <w:tr w:rsidR="000D3752" w:rsidRPr="00CB2DE6" w:rsidTr="00B7344E">
        <w:trPr>
          <w:jc w:val="center"/>
        </w:trPr>
        <w:tc>
          <w:tcPr>
            <w:tcW w:w="0" w:type="auto"/>
            <w:tcBorders>
              <w:top w:val="nil"/>
              <w:left w:val="nil"/>
              <w:bottom w:val="single" w:sz="4" w:space="0" w:color="auto"/>
              <w:right w:val="nil"/>
            </w:tcBorders>
            <w:vAlign w:val="center"/>
          </w:tcPr>
          <w:p w:rsidR="000D3752" w:rsidRPr="00CB2DE6" w:rsidRDefault="000D3752" w:rsidP="00B7344E">
            <w:pPr>
              <w:spacing w:after="120"/>
              <w:rPr>
                <w:rFonts w:ascii="Times New Roman" w:hAnsi="Times New Roman" w:cs="Times New Roman"/>
                <w:sz w:val="19"/>
                <w:szCs w:val="19"/>
              </w:rPr>
            </w:pPr>
            <w:r w:rsidRPr="00CB2DE6">
              <w:rPr>
                <w:rFonts w:ascii="Times New Roman" w:hAnsi="Times New Roman" w:cs="Times New Roman"/>
                <w:i/>
                <w:sz w:val="19"/>
                <w:szCs w:val="19"/>
              </w:rPr>
              <w:t>p</w:t>
            </w:r>
            <w:r w:rsidRPr="00CB2DE6">
              <w:rPr>
                <w:rFonts w:ascii="Times New Roman" w:hAnsi="Times New Roman" w:cs="Times New Roman"/>
                <w:sz w:val="19"/>
                <w:szCs w:val="19"/>
              </w:rPr>
              <w:t>-value</w:t>
            </w:r>
          </w:p>
        </w:tc>
        <w:tc>
          <w:tcPr>
            <w:tcW w:w="0" w:type="auto"/>
            <w:tcBorders>
              <w:top w:val="nil"/>
              <w:left w:val="nil"/>
              <w:bottom w:val="single" w:sz="4" w:space="0" w:color="auto"/>
              <w:right w:val="nil"/>
            </w:tcBorders>
          </w:tcPr>
          <w:p w:rsidR="000D3752" w:rsidRPr="00CB2DE6" w:rsidRDefault="000D3752" w:rsidP="00B7344E">
            <w:pPr>
              <w:spacing w:after="120"/>
              <w:jc w:val="right"/>
              <w:rPr>
                <w:rFonts w:ascii="Times New Roman" w:hAnsi="Times New Roman" w:cs="Times New Roman"/>
                <w:sz w:val="19"/>
                <w:szCs w:val="19"/>
              </w:rPr>
            </w:pPr>
            <w:r w:rsidRPr="00CB2DE6">
              <w:rPr>
                <w:rFonts w:ascii="Times New Roman" w:hAnsi="Times New Roman" w:cs="Times New Roman"/>
                <w:sz w:val="19"/>
                <w:szCs w:val="19"/>
              </w:rPr>
              <w:t>0.000</w:t>
            </w:r>
          </w:p>
        </w:tc>
        <w:tc>
          <w:tcPr>
            <w:tcW w:w="0" w:type="auto"/>
            <w:tcBorders>
              <w:top w:val="nil"/>
              <w:left w:val="nil"/>
              <w:bottom w:val="single" w:sz="4" w:space="0" w:color="auto"/>
              <w:right w:val="nil"/>
            </w:tcBorders>
            <w:vAlign w:val="center"/>
          </w:tcPr>
          <w:p w:rsidR="000D3752" w:rsidRPr="00CB2DE6" w:rsidRDefault="000D3752" w:rsidP="00B7344E">
            <w:pPr>
              <w:spacing w:after="120"/>
              <w:jc w:val="right"/>
              <w:rPr>
                <w:rFonts w:ascii="Times New Roman" w:hAnsi="Times New Roman" w:cs="Times New Roman"/>
                <w:sz w:val="19"/>
                <w:szCs w:val="19"/>
              </w:rPr>
            </w:pPr>
            <w:r w:rsidRPr="00CB2DE6">
              <w:rPr>
                <w:rFonts w:ascii="Times New Roman" w:hAnsi="Times New Roman" w:cs="Times New Roman"/>
                <w:sz w:val="19"/>
                <w:szCs w:val="19"/>
              </w:rPr>
              <w:t xml:space="preserve">                0.000</w:t>
            </w:r>
          </w:p>
        </w:tc>
        <w:tc>
          <w:tcPr>
            <w:tcW w:w="0" w:type="auto"/>
            <w:tcBorders>
              <w:top w:val="nil"/>
              <w:left w:val="nil"/>
              <w:bottom w:val="single" w:sz="4" w:space="0" w:color="auto"/>
              <w:right w:val="nil"/>
            </w:tcBorders>
            <w:vAlign w:val="center"/>
          </w:tcPr>
          <w:p w:rsidR="000D3752" w:rsidRPr="00CB2DE6" w:rsidRDefault="000D3752" w:rsidP="00B7344E">
            <w:pPr>
              <w:spacing w:after="120"/>
              <w:jc w:val="right"/>
              <w:rPr>
                <w:rFonts w:ascii="Times New Roman" w:hAnsi="Times New Roman" w:cs="Times New Roman"/>
                <w:sz w:val="19"/>
                <w:szCs w:val="19"/>
              </w:rPr>
            </w:pPr>
            <w:r w:rsidRPr="00CB2DE6">
              <w:rPr>
                <w:rFonts w:ascii="Times New Roman" w:hAnsi="Times New Roman" w:cs="Times New Roman"/>
                <w:sz w:val="19"/>
                <w:szCs w:val="19"/>
              </w:rPr>
              <w:t>0.000</w:t>
            </w:r>
          </w:p>
        </w:tc>
        <w:tc>
          <w:tcPr>
            <w:tcW w:w="0" w:type="auto"/>
            <w:tcBorders>
              <w:top w:val="nil"/>
              <w:left w:val="nil"/>
              <w:bottom w:val="single" w:sz="4" w:space="0" w:color="auto"/>
              <w:right w:val="nil"/>
            </w:tcBorders>
          </w:tcPr>
          <w:p w:rsidR="000D3752" w:rsidRPr="00CB2DE6" w:rsidRDefault="000D3752" w:rsidP="00B7344E">
            <w:pPr>
              <w:spacing w:after="120"/>
              <w:jc w:val="right"/>
              <w:rPr>
                <w:rFonts w:ascii="Times New Roman" w:hAnsi="Times New Roman" w:cs="Times New Roman"/>
                <w:sz w:val="19"/>
                <w:szCs w:val="19"/>
              </w:rPr>
            </w:pPr>
          </w:p>
        </w:tc>
      </w:tr>
      <w:tr w:rsidR="000D3752" w:rsidRPr="00CB2DE6" w:rsidTr="00B7344E">
        <w:trPr>
          <w:jc w:val="center"/>
        </w:trPr>
        <w:tc>
          <w:tcPr>
            <w:tcW w:w="0" w:type="auto"/>
            <w:gridSpan w:val="5"/>
            <w:tcBorders>
              <w:top w:val="single" w:sz="4" w:space="0" w:color="auto"/>
              <w:left w:val="nil"/>
              <w:bottom w:val="single" w:sz="4" w:space="0" w:color="auto"/>
              <w:right w:val="nil"/>
            </w:tcBorders>
          </w:tcPr>
          <w:p w:rsidR="000D3752" w:rsidRPr="00CB2DE6" w:rsidRDefault="000D3752" w:rsidP="004602FC">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Panel B: Short-</w:t>
            </w:r>
            <w:r w:rsidR="004602FC" w:rsidRPr="00CB2DE6">
              <w:rPr>
                <w:rFonts w:ascii="Times New Roman" w:hAnsi="Times New Roman" w:cs="Times New Roman"/>
                <w:sz w:val="19"/>
                <w:szCs w:val="19"/>
              </w:rPr>
              <w:t xml:space="preserve">Run </w:t>
            </w:r>
            <w:r w:rsidRPr="00CB2DE6">
              <w:rPr>
                <w:rFonts w:ascii="Times New Roman" w:hAnsi="Times New Roman" w:cs="Times New Roman"/>
                <w:sz w:val="19"/>
                <w:szCs w:val="19"/>
              </w:rPr>
              <w:t>Component</w:t>
            </w:r>
          </w:p>
        </w:tc>
      </w:tr>
      <w:tr w:rsidR="000D3752" w:rsidRPr="00CB2DE6" w:rsidTr="00B7344E">
        <w:trPr>
          <w:trHeight w:val="70"/>
          <w:jc w:val="center"/>
        </w:trPr>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center"/>
              <w:rPr>
                <w:rFonts w:ascii="Times New Roman" w:hAnsi="Times New Roman" w:cs="Times New Roman"/>
                <w:i/>
                <w:sz w:val="19"/>
                <w:szCs w:val="19"/>
              </w:rPr>
            </w:pPr>
          </w:p>
        </w:tc>
        <w:tc>
          <w:tcPr>
            <w:tcW w:w="0" w:type="auto"/>
            <w:tcBorders>
              <w:top w:val="single" w:sz="4" w:space="0" w:color="auto"/>
              <w:left w:val="nil"/>
              <w:bottom w:val="single" w:sz="4" w:space="0" w:color="auto"/>
              <w:right w:val="nil"/>
            </w:tcBorders>
          </w:tcPr>
          <w:p w:rsidR="000D3752" w:rsidRPr="00CB2DE6" w:rsidRDefault="00497F73" w:rsidP="00B7344E">
            <w:pPr>
              <w:spacing w:before="20" w:after="20"/>
              <w:jc w:val="right"/>
              <w:rPr>
                <w:rFonts w:ascii="Times New Roman" w:hAnsi="Times New Roman" w:cs="Times New Roman"/>
                <w:i/>
                <w:sz w:val="19"/>
                <w:szCs w:val="19"/>
              </w:rPr>
            </w:pP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θ</m:t>
                      </m:r>
                    </m:e>
                    <m:sub>
                      <m:r>
                        <w:rPr>
                          <w:rFonts w:ascii="Cambria Math" w:hAnsi="Cambria Math" w:cs="Times New Roman"/>
                          <w:sz w:val="19"/>
                          <w:szCs w:val="19"/>
                        </w:rPr>
                        <m:t>4</m:t>
                      </m:r>
                    </m:sub>
                  </m:sSub>
                </m:e>
              </m:acc>
            </m:oMath>
            <w:r w:rsidR="000D3752" w:rsidRPr="00CB2DE6">
              <w:rPr>
                <w:rFonts w:ascii="Times New Roman" w:hAnsi="Times New Roman" w:cs="Times New Roman"/>
                <w:i/>
                <w:sz w:val="19"/>
                <w:szCs w:val="19"/>
              </w:rPr>
              <w:t xml:space="preserve">                     </w:t>
            </w:r>
          </w:p>
        </w:tc>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right"/>
              <w:rPr>
                <w:rFonts w:ascii="Times New Roman" w:hAnsi="Times New Roman" w:cs="Times New Roman"/>
                <w:i/>
                <w:sz w:val="19"/>
                <w:szCs w:val="19"/>
              </w:rPr>
            </w:pPr>
            <w:r w:rsidRPr="00CB2DE6">
              <w:rPr>
                <w:rFonts w:ascii="Times New Roman" w:hAnsi="Times New Roman" w:cs="Times New Roman"/>
                <w:i/>
                <w:sz w:val="19"/>
                <w:szCs w:val="19"/>
              </w:rPr>
              <w:t xml:space="preserve">               </w:t>
            </w: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θ</m:t>
                      </m:r>
                    </m:e>
                    <m:sub>
                      <m:r>
                        <w:rPr>
                          <w:rFonts w:ascii="Cambria Math" w:hAnsi="Cambria Math" w:cs="Times New Roman"/>
                          <w:sz w:val="19"/>
                          <w:szCs w:val="19"/>
                        </w:rPr>
                        <m:t>5</m:t>
                      </m:r>
                    </m:sub>
                  </m:sSub>
                </m:e>
              </m:acc>
            </m:oMath>
            <w:r w:rsidRPr="00CB2DE6">
              <w:rPr>
                <w:rFonts w:ascii="Times New Roman" w:hAnsi="Times New Roman" w:cs="Times New Roman"/>
                <w:i/>
                <w:sz w:val="19"/>
                <w:szCs w:val="19"/>
              </w:rPr>
              <w:t xml:space="preserve"> </w:t>
            </w:r>
          </w:p>
        </w:tc>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right"/>
              <w:rPr>
                <w:rFonts w:ascii="Times New Roman" w:hAnsi="Times New Roman" w:cs="Times New Roman"/>
                <w:i/>
                <w:sz w:val="19"/>
                <w:szCs w:val="19"/>
              </w:rPr>
            </w:pPr>
            <w:r w:rsidRPr="00CB2DE6">
              <w:rPr>
                <w:rFonts w:ascii="Times New Roman" w:hAnsi="Times New Roman" w:cs="Times New Roman"/>
                <w:i/>
                <w:sz w:val="19"/>
                <w:szCs w:val="19"/>
              </w:rPr>
              <w:t xml:space="preserve">         </w:t>
            </w: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θ</m:t>
                      </m:r>
                    </m:e>
                    <m:sub>
                      <m:r>
                        <w:rPr>
                          <w:rFonts w:ascii="Cambria Math" w:hAnsi="Cambria Math" w:cs="Times New Roman"/>
                          <w:sz w:val="19"/>
                          <w:szCs w:val="19"/>
                        </w:rPr>
                        <m:t>6</m:t>
                      </m:r>
                    </m:sub>
                  </m:sSub>
                </m:e>
              </m:acc>
            </m:oMath>
            <w:r w:rsidRPr="00CB2DE6">
              <w:rPr>
                <w:rFonts w:ascii="Times New Roman" w:hAnsi="Times New Roman" w:cs="Times New Roman"/>
                <w:i/>
                <w:sz w:val="19"/>
                <w:szCs w:val="19"/>
              </w:rPr>
              <w:t xml:space="preserve"> </w:t>
            </w:r>
          </w:p>
        </w:tc>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right"/>
              <w:rPr>
                <w:rFonts w:ascii="Times New Roman" w:hAnsi="Times New Roman" w:cs="Times New Roman"/>
                <w:i/>
                <w:sz w:val="19"/>
                <w:szCs w:val="19"/>
              </w:rPr>
            </w:pPr>
          </w:p>
        </w:tc>
      </w:tr>
      <w:tr w:rsidR="000D3752" w:rsidRPr="00CB2DE6" w:rsidTr="00B7344E">
        <w:trPr>
          <w:jc w:val="center"/>
        </w:trPr>
        <w:tc>
          <w:tcPr>
            <w:tcW w:w="0" w:type="auto"/>
            <w:tcBorders>
              <w:top w:val="single" w:sz="4" w:space="0" w:color="auto"/>
              <w:left w:val="nil"/>
              <w:bottom w:val="nil"/>
              <w:right w:val="nil"/>
            </w:tcBorders>
            <w:vAlign w:val="center"/>
          </w:tcPr>
          <w:p w:rsidR="000D3752" w:rsidRPr="00CB2DE6" w:rsidRDefault="000D3752" w:rsidP="00B7344E">
            <w:pPr>
              <w:spacing w:before="120"/>
              <w:rPr>
                <w:rFonts w:ascii="Times New Roman" w:hAnsi="Times New Roman" w:cs="Times New Roman"/>
                <w:sz w:val="19"/>
                <w:szCs w:val="19"/>
              </w:rPr>
            </w:pPr>
            <w:r w:rsidRPr="00CB2DE6">
              <w:rPr>
                <w:rFonts w:ascii="Times New Roman" w:hAnsi="Times New Roman" w:cs="Times New Roman"/>
                <w:sz w:val="19"/>
                <w:szCs w:val="19"/>
              </w:rPr>
              <w:t>Coef.</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0.466</w:t>
            </w:r>
          </w:p>
        </w:tc>
        <w:tc>
          <w:tcPr>
            <w:tcW w:w="0" w:type="auto"/>
            <w:tcBorders>
              <w:top w:val="single" w:sz="4" w:space="0" w:color="auto"/>
              <w:left w:val="nil"/>
              <w:bottom w:val="nil"/>
              <w:right w:val="nil"/>
            </w:tcBorders>
          </w:tcPr>
          <w:p w:rsidR="000D3752" w:rsidRPr="00CB2DE6" w:rsidRDefault="000D3752" w:rsidP="00A26792">
            <w:pPr>
              <w:spacing w:before="120"/>
              <w:jc w:val="right"/>
              <w:rPr>
                <w:rFonts w:ascii="Times New Roman" w:hAnsi="Times New Roman" w:cs="Times New Roman"/>
                <w:sz w:val="19"/>
                <w:szCs w:val="19"/>
              </w:rPr>
            </w:pPr>
            <w:r w:rsidRPr="00CB2DE6">
              <w:rPr>
                <w:rFonts w:ascii="Times New Roman" w:hAnsi="Times New Roman" w:cs="Times New Roman"/>
                <w:sz w:val="19"/>
                <w:szCs w:val="19"/>
              </w:rPr>
              <w:t xml:space="preserve">               0.005</w:t>
            </w:r>
          </w:p>
        </w:tc>
        <w:tc>
          <w:tcPr>
            <w:tcW w:w="0" w:type="auto"/>
            <w:tcBorders>
              <w:top w:val="single" w:sz="4" w:space="0" w:color="auto"/>
              <w:left w:val="nil"/>
              <w:bottom w:val="nil"/>
              <w:right w:val="nil"/>
            </w:tcBorders>
          </w:tcPr>
          <w:p w:rsidR="000D3752" w:rsidRPr="00CB2DE6" w:rsidRDefault="000D3752" w:rsidP="0031472F">
            <w:pPr>
              <w:spacing w:before="120"/>
              <w:jc w:val="right"/>
              <w:rPr>
                <w:rFonts w:ascii="Times New Roman" w:hAnsi="Times New Roman" w:cs="Times New Roman"/>
                <w:sz w:val="19"/>
                <w:szCs w:val="19"/>
              </w:rPr>
            </w:pPr>
            <w:r w:rsidRPr="00CB2DE6">
              <w:rPr>
                <w:rFonts w:ascii="Times New Roman" w:hAnsi="Times New Roman" w:cs="Times New Roman"/>
                <w:sz w:val="19"/>
                <w:szCs w:val="19"/>
              </w:rPr>
              <w:t>0.</w:t>
            </w:r>
            <w:r w:rsidR="0031472F">
              <w:rPr>
                <w:rFonts w:ascii="Times New Roman" w:hAnsi="Times New Roman" w:cs="Times New Roman"/>
                <w:sz w:val="19"/>
                <w:szCs w:val="19"/>
              </w:rPr>
              <w:t>3</w:t>
            </w:r>
            <w:r w:rsidRPr="00CB2DE6">
              <w:rPr>
                <w:rFonts w:ascii="Times New Roman" w:hAnsi="Times New Roman" w:cs="Times New Roman"/>
                <w:sz w:val="19"/>
                <w:szCs w:val="19"/>
              </w:rPr>
              <w:t>09</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p>
        </w:tc>
      </w:tr>
      <w:tr w:rsidR="000D3752" w:rsidRPr="00CB2DE6" w:rsidTr="00B7344E">
        <w:trPr>
          <w:jc w:val="center"/>
        </w:trPr>
        <w:tc>
          <w:tcPr>
            <w:tcW w:w="0" w:type="auto"/>
            <w:tcBorders>
              <w:top w:val="nil"/>
              <w:left w:val="nil"/>
              <w:bottom w:val="nil"/>
              <w:right w:val="nil"/>
            </w:tcBorders>
            <w:vAlign w:val="center"/>
          </w:tcPr>
          <w:p w:rsidR="000D3752" w:rsidRPr="00CB2DE6" w:rsidRDefault="000D3752" w:rsidP="00B7344E">
            <w:pPr>
              <w:rPr>
                <w:rFonts w:ascii="Times New Roman" w:hAnsi="Times New Roman" w:cs="Times New Roman"/>
                <w:sz w:val="19"/>
                <w:szCs w:val="19"/>
              </w:rPr>
            </w:pPr>
            <w:r w:rsidRPr="00CB2DE6">
              <w:rPr>
                <w:rFonts w:ascii="Times New Roman" w:hAnsi="Times New Roman" w:cs="Times New Roman"/>
                <w:sz w:val="19"/>
                <w:szCs w:val="19"/>
              </w:rPr>
              <w:t>Std. Err.</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0.020</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 xml:space="preserve">                0.001</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0.015</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p>
        </w:tc>
      </w:tr>
      <w:tr w:rsidR="000D3752" w:rsidRPr="00CB2DE6" w:rsidTr="00B7344E">
        <w:trPr>
          <w:jc w:val="center"/>
        </w:trPr>
        <w:tc>
          <w:tcPr>
            <w:tcW w:w="0" w:type="auto"/>
            <w:tcBorders>
              <w:top w:val="nil"/>
              <w:left w:val="nil"/>
              <w:bottom w:val="single" w:sz="4" w:space="0" w:color="auto"/>
              <w:right w:val="nil"/>
            </w:tcBorders>
            <w:vAlign w:val="center"/>
          </w:tcPr>
          <w:p w:rsidR="000D3752" w:rsidRPr="00CB2DE6" w:rsidRDefault="000D3752" w:rsidP="00B7344E">
            <w:pPr>
              <w:spacing w:after="120"/>
              <w:rPr>
                <w:rFonts w:ascii="Times New Roman" w:hAnsi="Times New Roman" w:cs="Times New Roman"/>
                <w:sz w:val="19"/>
                <w:szCs w:val="19"/>
              </w:rPr>
            </w:pPr>
            <w:r w:rsidRPr="00CB2DE6">
              <w:rPr>
                <w:rFonts w:ascii="Times New Roman" w:hAnsi="Times New Roman" w:cs="Times New Roman"/>
                <w:i/>
                <w:sz w:val="19"/>
                <w:szCs w:val="19"/>
              </w:rPr>
              <w:t>p</w:t>
            </w:r>
            <w:r w:rsidRPr="00CB2DE6">
              <w:rPr>
                <w:rFonts w:ascii="Times New Roman" w:hAnsi="Times New Roman" w:cs="Times New Roman"/>
                <w:sz w:val="19"/>
                <w:szCs w:val="19"/>
              </w:rPr>
              <w:t>-value</w:t>
            </w:r>
          </w:p>
        </w:tc>
        <w:tc>
          <w:tcPr>
            <w:tcW w:w="0" w:type="auto"/>
            <w:tcBorders>
              <w:top w:val="nil"/>
              <w:left w:val="nil"/>
              <w:bottom w:val="single" w:sz="4" w:space="0" w:color="auto"/>
              <w:right w:val="nil"/>
            </w:tcBorders>
          </w:tcPr>
          <w:p w:rsidR="000D3752" w:rsidRPr="00CB2DE6" w:rsidRDefault="000D3752" w:rsidP="00B7344E">
            <w:pPr>
              <w:spacing w:after="120"/>
              <w:jc w:val="right"/>
              <w:rPr>
                <w:rFonts w:ascii="Times New Roman" w:hAnsi="Times New Roman" w:cs="Times New Roman"/>
                <w:sz w:val="19"/>
                <w:szCs w:val="19"/>
              </w:rPr>
            </w:pPr>
            <w:r w:rsidRPr="00CB2DE6">
              <w:rPr>
                <w:rFonts w:ascii="Times New Roman" w:hAnsi="Times New Roman" w:cs="Times New Roman"/>
                <w:sz w:val="19"/>
                <w:szCs w:val="19"/>
              </w:rPr>
              <w:t>0.000</w:t>
            </w:r>
          </w:p>
        </w:tc>
        <w:tc>
          <w:tcPr>
            <w:tcW w:w="0" w:type="auto"/>
            <w:tcBorders>
              <w:top w:val="nil"/>
              <w:left w:val="nil"/>
              <w:bottom w:val="single" w:sz="4" w:space="0" w:color="auto"/>
              <w:right w:val="nil"/>
            </w:tcBorders>
            <w:vAlign w:val="center"/>
          </w:tcPr>
          <w:p w:rsidR="000D3752" w:rsidRPr="00CB2DE6" w:rsidRDefault="000D3752" w:rsidP="00B7344E">
            <w:pPr>
              <w:spacing w:after="120"/>
              <w:jc w:val="right"/>
              <w:rPr>
                <w:rFonts w:ascii="Times New Roman" w:hAnsi="Times New Roman" w:cs="Times New Roman"/>
                <w:sz w:val="19"/>
                <w:szCs w:val="19"/>
              </w:rPr>
            </w:pPr>
            <w:r w:rsidRPr="00CB2DE6">
              <w:rPr>
                <w:rFonts w:ascii="Times New Roman" w:hAnsi="Times New Roman" w:cs="Times New Roman"/>
                <w:sz w:val="19"/>
                <w:szCs w:val="19"/>
              </w:rPr>
              <w:t xml:space="preserve">                0.000</w:t>
            </w:r>
          </w:p>
        </w:tc>
        <w:tc>
          <w:tcPr>
            <w:tcW w:w="0" w:type="auto"/>
            <w:tcBorders>
              <w:top w:val="nil"/>
              <w:left w:val="nil"/>
              <w:bottom w:val="single" w:sz="4" w:space="0" w:color="auto"/>
              <w:right w:val="nil"/>
            </w:tcBorders>
            <w:vAlign w:val="center"/>
          </w:tcPr>
          <w:p w:rsidR="000D3752" w:rsidRPr="00CB2DE6" w:rsidRDefault="000D3752" w:rsidP="00B7344E">
            <w:pPr>
              <w:spacing w:after="120"/>
              <w:jc w:val="right"/>
              <w:rPr>
                <w:rFonts w:ascii="Times New Roman" w:hAnsi="Times New Roman" w:cs="Times New Roman"/>
                <w:sz w:val="19"/>
                <w:szCs w:val="19"/>
              </w:rPr>
            </w:pPr>
            <w:r w:rsidRPr="00CB2DE6">
              <w:rPr>
                <w:rFonts w:ascii="Times New Roman" w:hAnsi="Times New Roman" w:cs="Times New Roman"/>
                <w:sz w:val="19"/>
                <w:szCs w:val="19"/>
              </w:rPr>
              <w:t>0.000</w:t>
            </w:r>
          </w:p>
        </w:tc>
        <w:tc>
          <w:tcPr>
            <w:tcW w:w="0" w:type="auto"/>
            <w:tcBorders>
              <w:top w:val="nil"/>
              <w:left w:val="nil"/>
              <w:bottom w:val="single" w:sz="4" w:space="0" w:color="auto"/>
              <w:right w:val="nil"/>
            </w:tcBorders>
          </w:tcPr>
          <w:p w:rsidR="000D3752" w:rsidRPr="00CB2DE6" w:rsidRDefault="000D3752" w:rsidP="00B7344E">
            <w:pPr>
              <w:spacing w:after="120"/>
              <w:jc w:val="right"/>
              <w:rPr>
                <w:rFonts w:ascii="Times New Roman" w:hAnsi="Times New Roman" w:cs="Times New Roman"/>
                <w:sz w:val="19"/>
                <w:szCs w:val="19"/>
              </w:rPr>
            </w:pPr>
          </w:p>
        </w:tc>
      </w:tr>
      <w:tr w:rsidR="000D3752" w:rsidRPr="00CB2DE6" w:rsidTr="00B7344E">
        <w:trPr>
          <w:jc w:val="center"/>
        </w:trPr>
        <w:tc>
          <w:tcPr>
            <w:tcW w:w="0" w:type="auto"/>
            <w:gridSpan w:val="5"/>
            <w:tcBorders>
              <w:top w:val="single" w:sz="4" w:space="0" w:color="auto"/>
              <w:left w:val="nil"/>
              <w:bottom w:val="single" w:sz="4" w:space="0" w:color="auto"/>
              <w:right w:val="nil"/>
            </w:tcBorders>
          </w:tcPr>
          <w:p w:rsidR="000D3752" w:rsidRPr="00CB2DE6" w:rsidRDefault="000D3752" w:rsidP="004602FC">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Panel C: Long-</w:t>
            </w:r>
            <w:r w:rsidR="004602FC" w:rsidRPr="00CB2DE6">
              <w:rPr>
                <w:rFonts w:ascii="Times New Roman" w:hAnsi="Times New Roman" w:cs="Times New Roman"/>
                <w:sz w:val="19"/>
                <w:szCs w:val="19"/>
              </w:rPr>
              <w:t xml:space="preserve">Run </w:t>
            </w:r>
            <w:r w:rsidRPr="00CB2DE6">
              <w:rPr>
                <w:rFonts w:ascii="Times New Roman" w:hAnsi="Times New Roman" w:cs="Times New Roman"/>
                <w:sz w:val="19"/>
                <w:szCs w:val="19"/>
              </w:rPr>
              <w:t>Component</w:t>
            </w:r>
          </w:p>
        </w:tc>
      </w:tr>
      <w:tr w:rsidR="000D3752" w:rsidRPr="00CB2DE6" w:rsidTr="00B7344E">
        <w:trPr>
          <w:jc w:val="center"/>
        </w:trPr>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center"/>
              <w:rPr>
                <w:rFonts w:ascii="Times New Roman" w:hAnsi="Times New Roman" w:cs="Times New Roman"/>
                <w:i/>
                <w:sz w:val="19"/>
                <w:szCs w:val="19"/>
              </w:rPr>
            </w:pPr>
          </w:p>
        </w:tc>
        <w:tc>
          <w:tcPr>
            <w:tcW w:w="0" w:type="auto"/>
            <w:tcBorders>
              <w:top w:val="single" w:sz="4" w:space="0" w:color="auto"/>
              <w:left w:val="nil"/>
              <w:bottom w:val="single" w:sz="4" w:space="0" w:color="auto"/>
              <w:right w:val="nil"/>
            </w:tcBorders>
          </w:tcPr>
          <w:p w:rsidR="000D3752" w:rsidRPr="00CB2DE6" w:rsidRDefault="00497F73" w:rsidP="00B7344E">
            <w:pPr>
              <w:spacing w:before="20" w:after="20"/>
              <w:jc w:val="right"/>
              <w:rPr>
                <w:rFonts w:ascii="Times New Roman" w:hAnsi="Times New Roman" w:cs="Times New Roman"/>
                <w:i/>
                <w:sz w:val="19"/>
                <w:szCs w:val="19"/>
              </w:rPr>
            </w:pP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θ</m:t>
                      </m:r>
                    </m:e>
                    <m:sub>
                      <m:r>
                        <w:rPr>
                          <w:rFonts w:ascii="Cambria Math" w:hAnsi="Cambria Math" w:cs="Times New Roman"/>
                          <w:sz w:val="19"/>
                          <w:szCs w:val="19"/>
                        </w:rPr>
                        <m:t>7</m:t>
                      </m:r>
                    </m:sub>
                  </m:sSub>
                </m:e>
              </m:acc>
            </m:oMath>
            <w:r w:rsidR="000D3752" w:rsidRPr="00CB2DE6">
              <w:rPr>
                <w:rFonts w:ascii="Times New Roman" w:hAnsi="Times New Roman" w:cs="Times New Roman"/>
                <w:i/>
                <w:sz w:val="19"/>
                <w:szCs w:val="19"/>
              </w:rPr>
              <w:t xml:space="preserve">                     </w:t>
            </w:r>
          </w:p>
        </w:tc>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right"/>
              <w:rPr>
                <w:rFonts w:ascii="Times New Roman" w:hAnsi="Times New Roman" w:cs="Times New Roman"/>
                <w:i/>
                <w:sz w:val="19"/>
                <w:szCs w:val="19"/>
              </w:rPr>
            </w:pPr>
            <w:r w:rsidRPr="00CB2DE6">
              <w:rPr>
                <w:rFonts w:ascii="Times New Roman" w:hAnsi="Times New Roman" w:cs="Times New Roman"/>
                <w:i/>
                <w:sz w:val="19"/>
                <w:szCs w:val="19"/>
              </w:rPr>
              <w:t xml:space="preserve">               </w:t>
            </w: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θ</m:t>
                      </m:r>
                    </m:e>
                    <m:sub>
                      <m:r>
                        <w:rPr>
                          <w:rFonts w:ascii="Cambria Math" w:hAnsi="Cambria Math" w:cs="Times New Roman"/>
                          <w:sz w:val="19"/>
                          <w:szCs w:val="19"/>
                        </w:rPr>
                        <m:t>8</m:t>
                      </m:r>
                    </m:sub>
                  </m:sSub>
                </m:e>
              </m:acc>
            </m:oMath>
            <w:r w:rsidRPr="00CB2DE6">
              <w:rPr>
                <w:rFonts w:ascii="Times New Roman" w:hAnsi="Times New Roman" w:cs="Times New Roman"/>
                <w:i/>
                <w:sz w:val="19"/>
                <w:szCs w:val="19"/>
              </w:rPr>
              <w:t xml:space="preserve"> </w:t>
            </w:r>
          </w:p>
        </w:tc>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right"/>
              <w:rPr>
                <w:rFonts w:ascii="Times New Roman" w:hAnsi="Times New Roman" w:cs="Times New Roman"/>
                <w:i/>
                <w:sz w:val="19"/>
                <w:szCs w:val="19"/>
              </w:rPr>
            </w:pPr>
            <w:r w:rsidRPr="00CB2DE6">
              <w:rPr>
                <w:rFonts w:ascii="Times New Roman" w:hAnsi="Times New Roman" w:cs="Times New Roman"/>
                <w:i/>
                <w:sz w:val="19"/>
                <w:szCs w:val="19"/>
              </w:rPr>
              <w:t xml:space="preserve">         </w:t>
            </w: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θ</m:t>
                      </m:r>
                    </m:e>
                    <m:sub>
                      <m:r>
                        <w:rPr>
                          <w:rFonts w:ascii="Cambria Math" w:hAnsi="Cambria Math" w:cs="Times New Roman"/>
                          <w:sz w:val="19"/>
                          <w:szCs w:val="19"/>
                        </w:rPr>
                        <m:t>9</m:t>
                      </m:r>
                    </m:sub>
                  </m:sSub>
                </m:e>
              </m:acc>
            </m:oMath>
            <w:r w:rsidRPr="00CB2DE6">
              <w:rPr>
                <w:rFonts w:ascii="Times New Roman" w:hAnsi="Times New Roman" w:cs="Times New Roman"/>
                <w:i/>
                <w:sz w:val="19"/>
                <w:szCs w:val="19"/>
              </w:rPr>
              <w:t xml:space="preserve"> </w:t>
            </w:r>
          </w:p>
        </w:tc>
        <w:tc>
          <w:tcPr>
            <w:tcW w:w="0" w:type="auto"/>
            <w:tcBorders>
              <w:top w:val="single" w:sz="4" w:space="0" w:color="auto"/>
              <w:left w:val="nil"/>
              <w:bottom w:val="single" w:sz="4" w:space="0" w:color="auto"/>
              <w:right w:val="nil"/>
            </w:tcBorders>
          </w:tcPr>
          <w:p w:rsidR="000D3752" w:rsidRPr="00CB2DE6" w:rsidRDefault="000D3752" w:rsidP="00B7344E">
            <w:pPr>
              <w:spacing w:before="20" w:after="20"/>
              <w:jc w:val="right"/>
              <w:rPr>
                <w:rFonts w:ascii="Times New Roman" w:hAnsi="Times New Roman" w:cs="Times New Roman"/>
                <w:i/>
                <w:sz w:val="19"/>
                <w:szCs w:val="19"/>
              </w:rPr>
            </w:pPr>
            <w:r w:rsidRPr="00CB2DE6">
              <w:rPr>
                <w:rFonts w:ascii="Times New Roman" w:hAnsi="Times New Roman" w:cs="Times New Roman"/>
                <w:i/>
                <w:sz w:val="19"/>
                <w:szCs w:val="19"/>
              </w:rPr>
              <w:t xml:space="preserve">     </w:t>
            </w:r>
            <m:oMath>
              <m:acc>
                <m:accPr>
                  <m:ctrlPr>
                    <w:rPr>
                      <w:rFonts w:ascii="Cambria Math" w:hAnsi="Cambria Math" w:cs="Times New Roman"/>
                      <w:i/>
                      <w:sz w:val="19"/>
                      <w:szCs w:val="19"/>
                    </w:rPr>
                  </m:ctrlPr>
                </m:accPr>
                <m:e>
                  <m:sSub>
                    <m:sSubPr>
                      <m:ctrlPr>
                        <w:rPr>
                          <w:rFonts w:ascii="Cambria Math" w:hAnsi="Cambria Math" w:cs="Times New Roman"/>
                          <w:i/>
                          <w:sz w:val="19"/>
                          <w:szCs w:val="19"/>
                        </w:rPr>
                      </m:ctrlPr>
                    </m:sSubPr>
                    <m:e>
                      <m:r>
                        <w:rPr>
                          <w:rFonts w:ascii="Cambria Math" w:hAnsi="Cambria Math" w:cs="Times New Roman"/>
                          <w:sz w:val="19"/>
                          <w:szCs w:val="19"/>
                        </w:rPr>
                        <m:t>θ</m:t>
                      </m:r>
                    </m:e>
                    <m:sub>
                      <m:r>
                        <w:rPr>
                          <w:rFonts w:ascii="Cambria Math" w:hAnsi="Cambria Math" w:cs="Times New Roman"/>
                          <w:sz w:val="19"/>
                          <w:szCs w:val="19"/>
                        </w:rPr>
                        <m:t>10</m:t>
                      </m:r>
                    </m:sub>
                  </m:sSub>
                </m:e>
              </m:acc>
            </m:oMath>
          </w:p>
        </w:tc>
      </w:tr>
      <w:tr w:rsidR="000D3752" w:rsidRPr="00CB2DE6" w:rsidTr="00B7344E">
        <w:trPr>
          <w:jc w:val="center"/>
        </w:trPr>
        <w:tc>
          <w:tcPr>
            <w:tcW w:w="0" w:type="auto"/>
            <w:tcBorders>
              <w:top w:val="single" w:sz="4" w:space="0" w:color="auto"/>
              <w:left w:val="nil"/>
              <w:bottom w:val="nil"/>
              <w:right w:val="nil"/>
            </w:tcBorders>
            <w:vAlign w:val="center"/>
          </w:tcPr>
          <w:p w:rsidR="000D3752" w:rsidRPr="00CB2DE6" w:rsidRDefault="000D3752" w:rsidP="00B7344E">
            <w:pPr>
              <w:spacing w:before="120"/>
              <w:rPr>
                <w:rFonts w:ascii="Times New Roman" w:hAnsi="Times New Roman" w:cs="Times New Roman"/>
                <w:sz w:val="19"/>
                <w:szCs w:val="19"/>
              </w:rPr>
            </w:pPr>
            <w:r w:rsidRPr="00CB2DE6">
              <w:rPr>
                <w:rFonts w:ascii="Times New Roman" w:hAnsi="Times New Roman" w:cs="Times New Roman"/>
                <w:sz w:val="19"/>
                <w:szCs w:val="19"/>
              </w:rPr>
              <w:t>Coef.</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-0.049</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0.992</w:t>
            </w:r>
          </w:p>
        </w:tc>
        <w:tc>
          <w:tcPr>
            <w:tcW w:w="0" w:type="auto"/>
            <w:tcBorders>
              <w:top w:val="single" w:sz="4" w:space="0" w:color="auto"/>
              <w:left w:val="nil"/>
              <w:bottom w:val="nil"/>
              <w:right w:val="nil"/>
            </w:tcBorders>
          </w:tcPr>
          <w:p w:rsidR="000D3752" w:rsidRPr="00CB2DE6" w:rsidRDefault="000D3752" w:rsidP="0031472F">
            <w:pPr>
              <w:spacing w:before="120"/>
              <w:jc w:val="right"/>
              <w:rPr>
                <w:rFonts w:ascii="Times New Roman" w:hAnsi="Times New Roman" w:cs="Times New Roman"/>
                <w:sz w:val="19"/>
                <w:szCs w:val="19"/>
              </w:rPr>
            </w:pPr>
            <w:r w:rsidRPr="00CB2DE6">
              <w:rPr>
                <w:rFonts w:ascii="Times New Roman" w:hAnsi="Times New Roman" w:cs="Times New Roman"/>
                <w:sz w:val="19"/>
                <w:szCs w:val="19"/>
              </w:rPr>
              <w:t>0.00</w:t>
            </w:r>
            <w:r w:rsidR="0031472F">
              <w:rPr>
                <w:rFonts w:ascii="Times New Roman" w:hAnsi="Times New Roman" w:cs="Times New Roman"/>
                <w:sz w:val="19"/>
                <w:szCs w:val="19"/>
              </w:rPr>
              <w:t>8</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0.063</w:t>
            </w:r>
          </w:p>
        </w:tc>
      </w:tr>
      <w:tr w:rsidR="000D3752" w:rsidRPr="00CB2DE6" w:rsidTr="00B7344E">
        <w:trPr>
          <w:jc w:val="center"/>
        </w:trPr>
        <w:tc>
          <w:tcPr>
            <w:tcW w:w="0" w:type="auto"/>
            <w:tcBorders>
              <w:top w:val="nil"/>
              <w:left w:val="nil"/>
              <w:bottom w:val="nil"/>
              <w:right w:val="nil"/>
            </w:tcBorders>
            <w:vAlign w:val="center"/>
          </w:tcPr>
          <w:p w:rsidR="000D3752" w:rsidRPr="00CB2DE6" w:rsidRDefault="000D3752" w:rsidP="00B7344E">
            <w:pPr>
              <w:rPr>
                <w:rFonts w:ascii="Times New Roman" w:hAnsi="Times New Roman" w:cs="Times New Roman"/>
                <w:sz w:val="19"/>
                <w:szCs w:val="19"/>
              </w:rPr>
            </w:pPr>
            <w:r w:rsidRPr="00CB2DE6">
              <w:rPr>
                <w:rFonts w:ascii="Times New Roman" w:hAnsi="Times New Roman" w:cs="Times New Roman"/>
                <w:sz w:val="19"/>
                <w:szCs w:val="19"/>
              </w:rPr>
              <w:t>Std. Err.</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0.011</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0.004</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0.007</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0.010</w:t>
            </w:r>
          </w:p>
        </w:tc>
      </w:tr>
      <w:tr w:rsidR="000D3752" w:rsidRPr="00CB2DE6" w:rsidTr="00B7344E">
        <w:trPr>
          <w:jc w:val="center"/>
        </w:trPr>
        <w:tc>
          <w:tcPr>
            <w:tcW w:w="0" w:type="auto"/>
            <w:tcBorders>
              <w:top w:val="nil"/>
              <w:left w:val="nil"/>
              <w:bottom w:val="nil"/>
              <w:right w:val="nil"/>
            </w:tcBorders>
            <w:vAlign w:val="center"/>
          </w:tcPr>
          <w:p w:rsidR="000D3752" w:rsidRPr="00CB2DE6" w:rsidRDefault="000D3752" w:rsidP="00B7344E">
            <w:pPr>
              <w:rPr>
                <w:rFonts w:ascii="Times New Roman" w:hAnsi="Times New Roman" w:cs="Times New Roman"/>
                <w:sz w:val="19"/>
                <w:szCs w:val="19"/>
              </w:rPr>
            </w:pPr>
            <w:r w:rsidRPr="00CB2DE6">
              <w:rPr>
                <w:rFonts w:ascii="Times New Roman" w:hAnsi="Times New Roman" w:cs="Times New Roman"/>
                <w:sz w:val="19"/>
                <w:szCs w:val="19"/>
              </w:rPr>
              <w:t>p-value</w:t>
            </w:r>
          </w:p>
        </w:tc>
        <w:tc>
          <w:tcPr>
            <w:tcW w:w="0" w:type="auto"/>
            <w:tcBorders>
              <w:top w:val="nil"/>
              <w:left w:val="nil"/>
              <w:bottom w:val="nil"/>
              <w:right w:val="nil"/>
            </w:tcBorders>
            <w:vAlign w:val="center"/>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0.000</w:t>
            </w:r>
          </w:p>
        </w:tc>
        <w:tc>
          <w:tcPr>
            <w:tcW w:w="0" w:type="auto"/>
            <w:tcBorders>
              <w:top w:val="nil"/>
              <w:left w:val="nil"/>
              <w:bottom w:val="nil"/>
              <w:right w:val="nil"/>
            </w:tcBorders>
            <w:vAlign w:val="center"/>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0.000</w:t>
            </w:r>
          </w:p>
        </w:tc>
        <w:tc>
          <w:tcPr>
            <w:tcW w:w="0" w:type="auto"/>
            <w:tcBorders>
              <w:top w:val="nil"/>
              <w:left w:val="nil"/>
              <w:bottom w:val="nil"/>
              <w:right w:val="nil"/>
            </w:tcBorders>
            <w:vAlign w:val="center"/>
          </w:tcPr>
          <w:p w:rsidR="000D3752" w:rsidRPr="00CB2DE6" w:rsidRDefault="000D3752" w:rsidP="0031472F">
            <w:pPr>
              <w:jc w:val="right"/>
              <w:rPr>
                <w:rFonts w:ascii="Times New Roman" w:hAnsi="Times New Roman" w:cs="Times New Roman"/>
                <w:sz w:val="19"/>
                <w:szCs w:val="19"/>
              </w:rPr>
            </w:pPr>
            <w:r w:rsidRPr="00CB2DE6">
              <w:rPr>
                <w:rFonts w:ascii="Times New Roman" w:hAnsi="Times New Roman" w:cs="Times New Roman"/>
                <w:sz w:val="19"/>
                <w:szCs w:val="19"/>
              </w:rPr>
              <w:t>0.</w:t>
            </w:r>
            <w:r w:rsidR="0031472F">
              <w:rPr>
                <w:rFonts w:ascii="Times New Roman" w:hAnsi="Times New Roman" w:cs="Times New Roman"/>
                <w:sz w:val="19"/>
                <w:szCs w:val="19"/>
              </w:rPr>
              <w:t>253</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0.000</w:t>
            </w:r>
          </w:p>
        </w:tc>
      </w:tr>
      <w:tr w:rsidR="000D3752" w:rsidRPr="00CB2DE6" w:rsidTr="00B7344E">
        <w:trPr>
          <w:jc w:val="center"/>
        </w:trPr>
        <w:tc>
          <w:tcPr>
            <w:tcW w:w="0" w:type="auto"/>
            <w:gridSpan w:val="2"/>
            <w:tcBorders>
              <w:top w:val="nil"/>
              <w:left w:val="nil"/>
              <w:bottom w:val="single" w:sz="4" w:space="0" w:color="auto"/>
              <w:right w:val="nil"/>
            </w:tcBorders>
          </w:tcPr>
          <w:p w:rsidR="000D3752" w:rsidRPr="00CB2DE6" w:rsidRDefault="000D3752" w:rsidP="003A4CC0">
            <w:pPr>
              <w:spacing w:after="120"/>
              <w:rPr>
                <w:rFonts w:ascii="Times New Roman" w:hAnsi="Times New Roman" w:cs="Times New Roman"/>
                <w:sz w:val="19"/>
                <w:szCs w:val="19"/>
              </w:rPr>
            </w:pPr>
            <w:r w:rsidRPr="00CB2DE6">
              <w:rPr>
                <w:rFonts w:ascii="Times New Roman" w:hAnsi="Times New Roman" w:cs="Times New Roman"/>
                <w:i/>
                <w:sz w:val="19"/>
                <w:szCs w:val="19"/>
              </w:rPr>
              <w:t>p</w:t>
            </w:r>
            <w:r w:rsidRPr="00CB2DE6">
              <w:rPr>
                <w:rFonts w:ascii="Times New Roman" w:hAnsi="Times New Roman" w:cs="Times New Roman"/>
                <w:sz w:val="19"/>
                <w:szCs w:val="19"/>
              </w:rPr>
              <w:t xml:space="preserve">-value of </w:t>
            </w:r>
            <m:oMath>
              <m:sSub>
                <m:sSubPr>
                  <m:ctrlPr>
                    <w:rPr>
                      <w:rFonts w:ascii="Cambria Math" w:hAnsi="Cambria Math" w:cs="Times New Roman"/>
                      <w:i/>
                      <w:sz w:val="19"/>
                      <w:szCs w:val="19"/>
                    </w:rPr>
                  </m:ctrlPr>
                </m:sSubPr>
                <m:e>
                  <m:r>
                    <w:rPr>
                      <w:rFonts w:ascii="Cambria Math" w:hAnsi="Cambria Math" w:cs="Times New Roman"/>
                      <w:sz w:val="19"/>
                      <w:szCs w:val="19"/>
                    </w:rPr>
                    <m:t>H</m:t>
                  </m:r>
                </m:e>
                <m:sub>
                  <m:r>
                    <w:rPr>
                      <w:rFonts w:ascii="Cambria Math" w:hAnsi="Cambria Math" w:cs="Times New Roman"/>
                      <w:sz w:val="19"/>
                      <w:szCs w:val="19"/>
                    </w:rPr>
                    <m:t>0</m:t>
                  </m:r>
                </m:sub>
              </m:sSub>
              <m:r>
                <w:rPr>
                  <w:rFonts w:ascii="Cambria Math" w:hAnsi="Cambria Math" w:cs="Times New Roman"/>
                  <w:sz w:val="19"/>
                  <w:szCs w:val="19"/>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8</m:t>
                  </m:r>
                </m:sub>
              </m:sSub>
            </m:oMath>
            <w:r w:rsidRPr="00CB2DE6">
              <w:rPr>
                <w:rFonts w:ascii="Times New Roman" w:hAnsi="Times New Roman" w:cs="Times New Roman"/>
                <w:sz w:val="19"/>
                <w:szCs w:val="19"/>
                <w:lang w:val="en-GB"/>
              </w:rPr>
              <w:t xml:space="preserve"> = 1</w:t>
            </w:r>
          </w:p>
        </w:tc>
        <w:tc>
          <w:tcPr>
            <w:tcW w:w="0" w:type="auto"/>
            <w:gridSpan w:val="2"/>
            <w:tcBorders>
              <w:top w:val="nil"/>
              <w:left w:val="nil"/>
              <w:bottom w:val="single" w:sz="4" w:space="0" w:color="auto"/>
              <w:right w:val="nil"/>
            </w:tcBorders>
          </w:tcPr>
          <w:p w:rsidR="000D3752" w:rsidRPr="00CB2DE6" w:rsidRDefault="000D3752" w:rsidP="00B7344E">
            <w:pPr>
              <w:spacing w:after="120"/>
              <w:rPr>
                <w:rFonts w:ascii="Times New Roman" w:hAnsi="Times New Roman" w:cs="Times New Roman"/>
                <w:sz w:val="19"/>
                <w:szCs w:val="19"/>
              </w:rPr>
            </w:pPr>
            <w:r w:rsidRPr="00CB2DE6">
              <w:rPr>
                <w:rFonts w:ascii="Times New Roman" w:hAnsi="Times New Roman" w:cs="Times New Roman"/>
                <w:sz w:val="19"/>
                <w:szCs w:val="19"/>
              </w:rPr>
              <w:t>0.047</w:t>
            </w:r>
          </w:p>
        </w:tc>
        <w:tc>
          <w:tcPr>
            <w:tcW w:w="0" w:type="auto"/>
            <w:tcBorders>
              <w:top w:val="nil"/>
              <w:left w:val="nil"/>
              <w:bottom w:val="single" w:sz="4" w:space="0" w:color="auto"/>
              <w:right w:val="nil"/>
            </w:tcBorders>
          </w:tcPr>
          <w:p w:rsidR="000D3752" w:rsidRPr="00CB2DE6" w:rsidRDefault="000D3752" w:rsidP="00B7344E">
            <w:pPr>
              <w:spacing w:after="120"/>
              <w:rPr>
                <w:rFonts w:ascii="Times New Roman" w:hAnsi="Times New Roman" w:cs="Times New Roman"/>
                <w:sz w:val="19"/>
                <w:szCs w:val="19"/>
              </w:rPr>
            </w:pPr>
          </w:p>
        </w:tc>
      </w:tr>
      <w:tr w:rsidR="000D3752" w:rsidRPr="00CB2DE6" w:rsidTr="00B7344E">
        <w:trPr>
          <w:jc w:val="center"/>
        </w:trPr>
        <w:tc>
          <w:tcPr>
            <w:tcW w:w="0" w:type="auto"/>
            <w:gridSpan w:val="5"/>
            <w:tcBorders>
              <w:top w:val="single" w:sz="4" w:space="0" w:color="auto"/>
              <w:left w:val="nil"/>
              <w:bottom w:val="single" w:sz="4" w:space="0" w:color="auto"/>
              <w:right w:val="nil"/>
            </w:tcBorders>
          </w:tcPr>
          <w:p w:rsidR="000D3752" w:rsidRPr="00CB2DE6" w:rsidRDefault="000D3752" w:rsidP="00B7344E">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Panel D: Diagnostics of the Model</w:t>
            </w:r>
          </w:p>
        </w:tc>
      </w:tr>
      <w:tr w:rsidR="000D3752" w:rsidRPr="00CB2DE6" w:rsidTr="00B7344E">
        <w:trPr>
          <w:jc w:val="center"/>
        </w:trPr>
        <w:tc>
          <w:tcPr>
            <w:tcW w:w="0" w:type="auto"/>
            <w:gridSpan w:val="2"/>
            <w:tcBorders>
              <w:top w:val="single" w:sz="4" w:space="0" w:color="auto"/>
              <w:left w:val="nil"/>
              <w:bottom w:val="single" w:sz="4" w:space="0" w:color="auto"/>
              <w:right w:val="nil"/>
            </w:tcBorders>
          </w:tcPr>
          <w:p w:rsidR="000D3752" w:rsidRPr="00CB2DE6" w:rsidRDefault="000D3752" w:rsidP="00B7344E">
            <w:pPr>
              <w:jc w:val="center"/>
              <w:rPr>
                <w:rFonts w:ascii="Times New Roman" w:hAnsi="Times New Roman" w:cs="Times New Roman"/>
                <w:sz w:val="19"/>
                <w:szCs w:val="19"/>
              </w:rPr>
            </w:pPr>
          </w:p>
        </w:tc>
        <w:tc>
          <w:tcPr>
            <w:tcW w:w="0" w:type="auto"/>
            <w:tcBorders>
              <w:top w:val="single" w:sz="4" w:space="0" w:color="auto"/>
              <w:left w:val="nil"/>
              <w:bottom w:val="single" w:sz="4" w:space="0" w:color="auto"/>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 xml:space="preserve">               10 lags</w:t>
            </w:r>
          </w:p>
        </w:tc>
        <w:tc>
          <w:tcPr>
            <w:tcW w:w="0" w:type="auto"/>
            <w:tcBorders>
              <w:top w:val="single" w:sz="4" w:space="0" w:color="auto"/>
              <w:left w:val="nil"/>
              <w:bottom w:val="single" w:sz="4" w:space="0" w:color="auto"/>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 xml:space="preserve">             20 lags</w:t>
            </w:r>
          </w:p>
        </w:tc>
        <w:tc>
          <w:tcPr>
            <w:tcW w:w="0" w:type="auto"/>
            <w:tcBorders>
              <w:top w:val="single" w:sz="4" w:space="0" w:color="auto"/>
              <w:left w:val="nil"/>
              <w:bottom w:val="single" w:sz="4" w:space="0" w:color="auto"/>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 xml:space="preserve">              30 lags</w:t>
            </w:r>
          </w:p>
        </w:tc>
      </w:tr>
      <w:tr w:rsidR="000D3752" w:rsidRPr="00CB2DE6" w:rsidTr="00B7344E">
        <w:trPr>
          <w:trHeight w:val="70"/>
          <w:jc w:val="center"/>
        </w:trPr>
        <w:tc>
          <w:tcPr>
            <w:tcW w:w="0" w:type="auto"/>
            <w:gridSpan w:val="2"/>
            <w:tcBorders>
              <w:top w:val="single" w:sz="4" w:space="0" w:color="auto"/>
              <w:left w:val="nil"/>
              <w:bottom w:val="nil"/>
              <w:right w:val="nil"/>
            </w:tcBorders>
            <w:vAlign w:val="center"/>
          </w:tcPr>
          <w:p w:rsidR="000D3752" w:rsidRPr="00CB2DE6" w:rsidRDefault="000D3752" w:rsidP="00B7344E">
            <w:pPr>
              <w:spacing w:before="120"/>
              <w:rPr>
                <w:rFonts w:ascii="Times New Roman" w:hAnsi="Times New Roman" w:cs="Times New Roman"/>
                <w:sz w:val="19"/>
                <w:szCs w:val="19"/>
              </w:rPr>
            </w:pPr>
            <w:r w:rsidRPr="00CB2DE6">
              <w:rPr>
                <w:rFonts w:ascii="Times New Roman" w:hAnsi="Times New Roman" w:cs="Times New Roman"/>
                <w:sz w:val="19"/>
                <w:szCs w:val="19"/>
              </w:rPr>
              <w:t xml:space="preserve">Ljung-Box </w:t>
            </w:r>
            <w:r w:rsidRPr="00CB2DE6">
              <w:rPr>
                <w:rFonts w:ascii="Times New Roman" w:hAnsi="Times New Roman" w:cs="Times New Roman"/>
                <w:i/>
                <w:sz w:val="19"/>
                <w:szCs w:val="19"/>
              </w:rPr>
              <w:t>Q</w:t>
            </w:r>
            <w:r w:rsidRPr="00CB2DE6">
              <w:rPr>
                <w:rFonts w:ascii="Times New Roman" w:hAnsi="Times New Roman" w:cs="Times New Roman"/>
                <w:sz w:val="19"/>
                <w:szCs w:val="19"/>
              </w:rPr>
              <w:t xml:space="preserve">-statistic of </w:t>
            </w:r>
            <m:oMath>
              <m:sSup>
                <m:sSupPr>
                  <m:ctrlPr>
                    <w:rPr>
                      <w:rFonts w:ascii="Cambria Math" w:hAnsi="Cambria Math" w:cs="Times New Roman"/>
                      <w:i/>
                      <w:sz w:val="19"/>
                      <w:szCs w:val="19"/>
                    </w:rPr>
                  </m:ctrlPr>
                </m:sSupPr>
                <m:e>
                  <m:acc>
                    <m:accPr>
                      <m:ctrlPr>
                        <w:rPr>
                          <w:rFonts w:ascii="Cambria Math" w:hAnsi="Cambria Math" w:cs="Times New Roman"/>
                          <w:i/>
                          <w:sz w:val="19"/>
                          <w:szCs w:val="19"/>
                        </w:rPr>
                      </m:ctrlPr>
                    </m:accPr>
                    <m:e>
                      <m:r>
                        <w:rPr>
                          <w:rFonts w:ascii="Cambria Math" w:hAnsi="Cambria Math" w:cs="Times New Roman"/>
                          <w:sz w:val="19"/>
                          <w:szCs w:val="19"/>
                        </w:rPr>
                        <m:t>ε</m:t>
                      </m:r>
                    </m:e>
                  </m:acc>
                </m:e>
                <m:sup>
                  <m:r>
                    <w:rPr>
                      <w:rFonts w:ascii="Cambria Math" w:hAnsi="Cambria Math" w:cs="Times New Roman"/>
                      <w:sz w:val="19"/>
                      <w:szCs w:val="19"/>
                    </w:rPr>
                    <m:t>2</m:t>
                  </m:r>
                </m:sup>
              </m:sSup>
            </m:oMath>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109.659</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118.853</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127.003</w:t>
            </w:r>
          </w:p>
        </w:tc>
      </w:tr>
      <w:tr w:rsidR="000D3752" w:rsidRPr="00CB2DE6" w:rsidTr="00B7344E">
        <w:trPr>
          <w:jc w:val="center"/>
        </w:trPr>
        <w:tc>
          <w:tcPr>
            <w:tcW w:w="0" w:type="auto"/>
            <w:gridSpan w:val="2"/>
            <w:tcBorders>
              <w:top w:val="nil"/>
              <w:left w:val="nil"/>
              <w:bottom w:val="nil"/>
              <w:right w:val="nil"/>
            </w:tcBorders>
            <w:vAlign w:val="center"/>
          </w:tcPr>
          <w:p w:rsidR="000D3752" w:rsidRPr="00CB2DE6" w:rsidRDefault="000D3752" w:rsidP="00B7344E">
            <w:pPr>
              <w:rPr>
                <w:rFonts w:ascii="Times New Roman" w:hAnsi="Times New Roman" w:cs="Times New Roman"/>
                <w:sz w:val="19"/>
                <w:szCs w:val="19"/>
              </w:rPr>
            </w:pPr>
            <w:r w:rsidRPr="00CB2DE6">
              <w:rPr>
                <w:rFonts w:ascii="Times New Roman" w:hAnsi="Times New Roman" w:cs="Times New Roman"/>
                <w:i/>
                <w:sz w:val="19"/>
                <w:szCs w:val="19"/>
              </w:rPr>
              <w:t>p</w:t>
            </w:r>
            <w:r w:rsidRPr="00CB2DE6">
              <w:rPr>
                <w:rFonts w:ascii="Times New Roman" w:hAnsi="Times New Roman" w:cs="Times New Roman"/>
                <w:sz w:val="19"/>
                <w:szCs w:val="19"/>
              </w:rPr>
              <w:t>-value</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0.000</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0.000</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0.000</w:t>
            </w:r>
          </w:p>
        </w:tc>
      </w:tr>
      <w:tr w:rsidR="000D3752" w:rsidRPr="00CB2DE6" w:rsidTr="00B7344E">
        <w:trPr>
          <w:jc w:val="center"/>
        </w:trPr>
        <w:tc>
          <w:tcPr>
            <w:tcW w:w="0" w:type="auto"/>
            <w:gridSpan w:val="2"/>
            <w:tcBorders>
              <w:top w:val="nil"/>
              <w:left w:val="nil"/>
              <w:bottom w:val="single" w:sz="4" w:space="0" w:color="auto"/>
              <w:right w:val="nil"/>
            </w:tcBorders>
            <w:vAlign w:val="center"/>
          </w:tcPr>
          <w:p w:rsidR="000D3752" w:rsidRPr="00CB2DE6" w:rsidRDefault="000D3752" w:rsidP="00B7344E">
            <w:pPr>
              <w:spacing w:after="120"/>
              <w:rPr>
                <w:rFonts w:ascii="Times New Roman" w:hAnsi="Times New Roman" w:cs="Times New Roman"/>
                <w:sz w:val="19"/>
                <w:szCs w:val="19"/>
              </w:rPr>
            </w:pPr>
            <w:r w:rsidRPr="00CB2DE6">
              <w:rPr>
                <w:rFonts w:ascii="Times New Roman" w:hAnsi="Times New Roman" w:cs="Times New Roman"/>
                <w:sz w:val="19"/>
                <w:szCs w:val="19"/>
              </w:rPr>
              <w:t xml:space="preserve">Log-likelihood    </w:t>
            </w:r>
          </w:p>
        </w:tc>
        <w:tc>
          <w:tcPr>
            <w:tcW w:w="0" w:type="auto"/>
            <w:tcBorders>
              <w:top w:val="nil"/>
              <w:left w:val="nil"/>
              <w:bottom w:val="single" w:sz="4" w:space="0" w:color="auto"/>
              <w:right w:val="nil"/>
            </w:tcBorders>
          </w:tcPr>
          <w:p w:rsidR="000D3752" w:rsidRPr="00CB2DE6" w:rsidRDefault="000D3752" w:rsidP="00B7344E">
            <w:pPr>
              <w:spacing w:after="120"/>
              <w:rPr>
                <w:rFonts w:ascii="Times New Roman" w:hAnsi="Times New Roman" w:cs="Times New Roman"/>
                <w:sz w:val="19"/>
                <w:szCs w:val="19"/>
              </w:rPr>
            </w:pPr>
            <w:r w:rsidRPr="00CB2DE6">
              <w:rPr>
                <w:rFonts w:ascii="Times New Roman" w:hAnsi="Times New Roman" w:cs="Times New Roman"/>
                <w:sz w:val="19"/>
                <w:szCs w:val="19"/>
              </w:rPr>
              <w:t>-2012</w:t>
            </w:r>
          </w:p>
        </w:tc>
        <w:tc>
          <w:tcPr>
            <w:tcW w:w="0" w:type="auto"/>
            <w:tcBorders>
              <w:top w:val="nil"/>
              <w:left w:val="nil"/>
              <w:bottom w:val="single" w:sz="4" w:space="0" w:color="auto"/>
              <w:right w:val="nil"/>
            </w:tcBorders>
          </w:tcPr>
          <w:p w:rsidR="000D3752" w:rsidRPr="00CB2DE6" w:rsidRDefault="000D3752" w:rsidP="00B7344E">
            <w:pPr>
              <w:spacing w:after="120"/>
              <w:jc w:val="right"/>
              <w:rPr>
                <w:rFonts w:ascii="Times New Roman" w:hAnsi="Times New Roman" w:cs="Times New Roman"/>
                <w:sz w:val="19"/>
                <w:szCs w:val="19"/>
              </w:rPr>
            </w:pPr>
          </w:p>
        </w:tc>
        <w:tc>
          <w:tcPr>
            <w:tcW w:w="0" w:type="auto"/>
            <w:tcBorders>
              <w:top w:val="nil"/>
              <w:left w:val="nil"/>
              <w:bottom w:val="single" w:sz="4" w:space="0" w:color="auto"/>
              <w:right w:val="nil"/>
            </w:tcBorders>
          </w:tcPr>
          <w:p w:rsidR="000D3752" w:rsidRPr="00CB2DE6" w:rsidRDefault="000D3752" w:rsidP="00B7344E">
            <w:pPr>
              <w:spacing w:after="120"/>
              <w:jc w:val="right"/>
              <w:rPr>
                <w:rFonts w:ascii="Times New Roman" w:hAnsi="Times New Roman" w:cs="Times New Roman"/>
                <w:sz w:val="19"/>
                <w:szCs w:val="19"/>
              </w:rPr>
            </w:pPr>
          </w:p>
        </w:tc>
      </w:tr>
    </w:tbl>
    <w:p w:rsidR="000D3752" w:rsidRPr="00CB2DE6" w:rsidRDefault="000D3752" w:rsidP="000D3752">
      <w:pPr>
        <w:jc w:val="both"/>
        <w:rPr>
          <w:rFonts w:ascii="Times New Roman" w:hAnsi="Times New Roman" w:cs="Times New Roman"/>
          <w:sz w:val="24"/>
          <w:szCs w:val="24"/>
        </w:rPr>
      </w:pPr>
    </w:p>
    <w:p w:rsidR="000D3752" w:rsidRPr="00CB2DE6" w:rsidRDefault="000D3752" w:rsidP="000D3752">
      <w:pPr>
        <w:rPr>
          <w:rFonts w:ascii="Times New Roman" w:hAnsi="Times New Roman" w:cs="Times New Roman"/>
          <w:sz w:val="24"/>
          <w:szCs w:val="24"/>
        </w:rPr>
      </w:pPr>
      <w:r w:rsidRPr="00CB2DE6">
        <w:rPr>
          <w:rFonts w:ascii="Times New Roman" w:hAnsi="Times New Roman" w:cs="Times New Roman"/>
          <w:sz w:val="24"/>
          <w:szCs w:val="24"/>
        </w:rPr>
        <w:br w:type="page"/>
      </w:r>
    </w:p>
    <w:p w:rsidR="000D3752" w:rsidRPr="00CB2DE6" w:rsidRDefault="000D3752" w:rsidP="000D3752">
      <w:pPr>
        <w:jc w:val="center"/>
        <w:rPr>
          <w:rFonts w:ascii="Times New Roman" w:hAnsi="Times New Roman" w:cs="Times New Roman"/>
          <w:b/>
          <w:sz w:val="24"/>
          <w:szCs w:val="24"/>
        </w:rPr>
      </w:pPr>
      <w:r w:rsidRPr="00623417">
        <w:rPr>
          <w:rFonts w:ascii="Times New Roman" w:hAnsi="Times New Roman" w:cs="Times New Roman"/>
          <w:b/>
          <w:sz w:val="24"/>
          <w:szCs w:val="24"/>
        </w:rPr>
        <w:lastRenderedPageBreak/>
        <w:t>Table 4</w:t>
      </w:r>
    </w:p>
    <w:p w:rsidR="000D3752" w:rsidRPr="00CB2DE6" w:rsidRDefault="000D3752" w:rsidP="000D3752">
      <w:pPr>
        <w:jc w:val="center"/>
        <w:rPr>
          <w:rFonts w:ascii="Times New Roman" w:hAnsi="Times New Roman" w:cs="Times New Roman"/>
          <w:b/>
          <w:sz w:val="24"/>
          <w:szCs w:val="24"/>
        </w:rPr>
      </w:pPr>
      <w:r w:rsidRPr="00CB2DE6">
        <w:rPr>
          <w:rFonts w:ascii="Times New Roman" w:hAnsi="Times New Roman" w:cs="Times New Roman"/>
          <w:b/>
          <w:sz w:val="24"/>
          <w:szCs w:val="24"/>
        </w:rPr>
        <w:t>Comparison of Global FX Volatility Forecasts</w:t>
      </w:r>
    </w:p>
    <w:p w:rsidR="000D3752" w:rsidRPr="00CB2DE6" w:rsidRDefault="00736D2C" w:rsidP="001F2007">
      <w:pPr>
        <w:spacing w:before="180" w:after="180"/>
        <w:jc w:val="both"/>
        <w:rPr>
          <w:rFonts w:ascii="Times New Roman" w:hAnsi="Times New Roman" w:cs="Times New Roman"/>
          <w:sz w:val="20"/>
          <w:szCs w:val="20"/>
        </w:rPr>
      </w:pPr>
      <w:r>
        <w:rPr>
          <w:rFonts w:ascii="Times New Roman" w:hAnsi="Times New Roman" w:cs="Times New Roman"/>
          <w:sz w:val="20"/>
          <w:szCs w:val="20"/>
        </w:rPr>
        <w:t xml:space="preserve">The table </w:t>
      </w:r>
      <w:r w:rsidR="00330BEF">
        <w:rPr>
          <w:rFonts w:ascii="Times New Roman" w:hAnsi="Times New Roman" w:cs="Times New Roman"/>
          <w:sz w:val="20"/>
          <w:szCs w:val="20"/>
        </w:rPr>
        <w:t xml:space="preserve">reports </w:t>
      </w:r>
      <w:r w:rsidR="00330BEF" w:rsidRPr="00D03147">
        <w:rPr>
          <w:rFonts w:ascii="Times New Roman" w:hAnsi="Times New Roman" w:cs="Times New Roman"/>
          <w:i/>
          <w:sz w:val="20"/>
          <w:szCs w:val="20"/>
        </w:rPr>
        <w:t>t</w:t>
      </w:r>
      <w:r w:rsidR="00330BEF" w:rsidRPr="00CB2DE6">
        <w:rPr>
          <w:rFonts w:ascii="Times New Roman" w:hAnsi="Times New Roman" w:cs="Times New Roman"/>
          <w:sz w:val="20"/>
          <w:szCs w:val="20"/>
        </w:rPr>
        <w:t>-statistics</w:t>
      </w:r>
      <w:r w:rsidR="00330BEF">
        <w:rPr>
          <w:rFonts w:ascii="Times New Roman" w:hAnsi="Times New Roman" w:cs="Times New Roman"/>
          <w:sz w:val="20"/>
          <w:szCs w:val="20"/>
        </w:rPr>
        <w:t xml:space="preserve"> for </w:t>
      </w:r>
      <w:r w:rsidR="00C15E8F">
        <w:rPr>
          <w:rFonts w:ascii="Times New Roman" w:hAnsi="Times New Roman" w:cs="Times New Roman"/>
          <w:sz w:val="20"/>
          <w:szCs w:val="20"/>
        </w:rPr>
        <w:t xml:space="preserve">the </w:t>
      </w:r>
      <w:r w:rsidR="00330BEF" w:rsidRPr="00CB2DE6">
        <w:rPr>
          <w:rFonts w:ascii="Times New Roman" w:hAnsi="Times New Roman" w:cs="Times New Roman"/>
          <w:sz w:val="20"/>
          <w:szCs w:val="20"/>
        </w:rPr>
        <w:t>test</w:t>
      </w:r>
      <w:r w:rsidR="00330BEF">
        <w:rPr>
          <w:rFonts w:ascii="Times New Roman" w:hAnsi="Times New Roman" w:cs="Times New Roman"/>
          <w:sz w:val="20"/>
          <w:szCs w:val="20"/>
        </w:rPr>
        <w:t>s</w:t>
      </w:r>
      <w:r w:rsidR="00330BEF" w:rsidRPr="00CB2DE6">
        <w:rPr>
          <w:rFonts w:ascii="Times New Roman" w:hAnsi="Times New Roman" w:cs="Times New Roman"/>
          <w:sz w:val="20"/>
          <w:szCs w:val="20"/>
        </w:rPr>
        <w:t xml:space="preserve"> of equal predictive accuracy </w:t>
      </w:r>
      <w:r w:rsidR="00862F50">
        <w:rPr>
          <w:rFonts w:ascii="Times New Roman" w:hAnsi="Times New Roman" w:cs="Times New Roman"/>
          <w:sz w:val="20"/>
          <w:szCs w:val="20"/>
        </w:rPr>
        <w:t xml:space="preserve">of </w:t>
      </w:r>
      <w:r w:rsidR="00C15E8F">
        <w:rPr>
          <w:rFonts w:ascii="Times New Roman" w:hAnsi="Times New Roman" w:cs="Times New Roman"/>
          <w:sz w:val="20"/>
          <w:szCs w:val="20"/>
        </w:rPr>
        <w:t xml:space="preserve">the forecasts </w:t>
      </w:r>
      <w:r w:rsidR="002B2C38">
        <w:rPr>
          <w:rFonts w:ascii="Times New Roman" w:hAnsi="Times New Roman" w:cs="Times New Roman"/>
          <w:sz w:val="20"/>
          <w:szCs w:val="20"/>
        </w:rPr>
        <w:t xml:space="preserve">from the </w:t>
      </w:r>
      <w:r w:rsidR="00330BEF">
        <w:rPr>
          <w:rFonts w:ascii="Times New Roman" w:hAnsi="Times New Roman" w:cs="Times New Roman"/>
          <w:sz w:val="20"/>
          <w:szCs w:val="20"/>
        </w:rPr>
        <w:t>CGARCH and CEGARCH models</w:t>
      </w:r>
      <w:r w:rsidR="00862F50">
        <w:rPr>
          <w:rFonts w:ascii="Times New Roman" w:hAnsi="Times New Roman" w:cs="Times New Roman"/>
          <w:sz w:val="20"/>
          <w:szCs w:val="20"/>
        </w:rPr>
        <w:t xml:space="preserve"> as in Patton (2011)</w:t>
      </w:r>
      <w:r w:rsidR="00330BEF">
        <w:rPr>
          <w:rFonts w:ascii="Times New Roman" w:hAnsi="Times New Roman" w:cs="Times New Roman"/>
          <w:sz w:val="20"/>
          <w:szCs w:val="20"/>
        </w:rPr>
        <w:t xml:space="preserve">. The </w:t>
      </w:r>
      <w:r w:rsidR="00330BEF" w:rsidRPr="00CB2DE6">
        <w:rPr>
          <w:rFonts w:ascii="Times New Roman" w:hAnsi="Times New Roman" w:cs="Times New Roman"/>
          <w:sz w:val="20"/>
          <w:szCs w:val="20"/>
        </w:rPr>
        <w:t xml:space="preserve">tests are performed using both daily and monthly average of daily </w:t>
      </w:r>
      <w:r w:rsidR="00486CF1">
        <w:rPr>
          <w:rFonts w:ascii="Times New Roman" w:hAnsi="Times New Roman" w:cs="Times New Roman"/>
          <w:sz w:val="20"/>
          <w:szCs w:val="20"/>
        </w:rPr>
        <w:t>global FX volatility</w:t>
      </w:r>
      <w:r w:rsidR="00486CF1" w:rsidRPr="00CB2DE6">
        <w:rPr>
          <w:rFonts w:ascii="Times New Roman" w:hAnsi="Times New Roman" w:cs="Times New Roman"/>
          <w:sz w:val="20"/>
          <w:szCs w:val="20"/>
        </w:rPr>
        <w:t xml:space="preserve"> </w:t>
      </w:r>
      <w:r w:rsidR="00330BEF" w:rsidRPr="00CB2DE6">
        <w:rPr>
          <w:rFonts w:ascii="Times New Roman" w:hAnsi="Times New Roman" w:cs="Times New Roman"/>
          <w:sz w:val="20"/>
          <w:szCs w:val="20"/>
        </w:rPr>
        <w:t>forecasts.</w:t>
      </w:r>
      <w:r w:rsidR="00330BEF" w:rsidRPr="00233E2D">
        <w:rPr>
          <w:rFonts w:ascii="Times New Roman" w:hAnsi="Times New Roman" w:cs="Times New Roman"/>
          <w:sz w:val="20"/>
          <w:szCs w:val="20"/>
        </w:rPr>
        <w:t xml:space="preserve"> </w:t>
      </w:r>
      <w:r w:rsidR="00330BEF" w:rsidRPr="00CB2DE6">
        <w:rPr>
          <w:rFonts w:ascii="Times New Roman" w:hAnsi="Times New Roman" w:cs="Times New Roman"/>
          <w:sz w:val="20"/>
          <w:szCs w:val="20"/>
        </w:rPr>
        <w:t>T</w:t>
      </w:r>
      <w:r w:rsidR="00330BEF">
        <w:rPr>
          <w:rFonts w:ascii="Times New Roman" w:hAnsi="Times New Roman" w:cs="Times New Roman"/>
          <w:sz w:val="20"/>
          <w:szCs w:val="20"/>
        </w:rPr>
        <w:t>he f</w:t>
      </w:r>
      <w:r w:rsidR="00330BEF" w:rsidRPr="00CB2DE6">
        <w:rPr>
          <w:rFonts w:ascii="Times New Roman" w:hAnsi="Times New Roman" w:cs="Times New Roman"/>
          <w:sz w:val="20"/>
          <w:szCs w:val="20"/>
        </w:rPr>
        <w:t>orecast errors</w:t>
      </w:r>
      <w:r w:rsidR="00330BEF">
        <w:rPr>
          <w:rFonts w:ascii="Times New Roman" w:hAnsi="Times New Roman" w:cs="Times New Roman"/>
          <w:sz w:val="20"/>
          <w:szCs w:val="20"/>
        </w:rPr>
        <w:t xml:space="preserve"> are obtained </w:t>
      </w:r>
      <w:r w:rsidR="00862F50">
        <w:rPr>
          <w:rFonts w:ascii="Times New Roman" w:hAnsi="Times New Roman" w:cs="Times New Roman"/>
          <w:sz w:val="20"/>
          <w:szCs w:val="20"/>
        </w:rPr>
        <w:t>in comparison with</w:t>
      </w:r>
      <w:r w:rsidR="00330BEF">
        <w:rPr>
          <w:rFonts w:ascii="Times New Roman" w:hAnsi="Times New Roman" w:cs="Times New Roman"/>
          <w:sz w:val="20"/>
          <w:szCs w:val="20"/>
        </w:rPr>
        <w:t xml:space="preserve"> </w:t>
      </w:r>
      <w:r w:rsidR="00330BEF" w:rsidRPr="00CB2DE6">
        <w:rPr>
          <w:rFonts w:ascii="Times New Roman" w:hAnsi="Times New Roman" w:cs="Times New Roman"/>
          <w:sz w:val="20"/>
          <w:szCs w:val="20"/>
        </w:rPr>
        <w:t xml:space="preserve">global FX daily </w:t>
      </w:r>
      <w:r w:rsidR="00862F50">
        <w:rPr>
          <w:rFonts w:ascii="Times New Roman" w:hAnsi="Times New Roman" w:cs="Times New Roman"/>
          <w:sz w:val="20"/>
          <w:szCs w:val="20"/>
        </w:rPr>
        <w:t xml:space="preserve">and </w:t>
      </w:r>
      <w:r w:rsidR="00330BEF" w:rsidRPr="00CB2DE6">
        <w:rPr>
          <w:rFonts w:ascii="Times New Roman" w:hAnsi="Times New Roman" w:cs="Times New Roman"/>
          <w:sz w:val="20"/>
          <w:szCs w:val="20"/>
        </w:rPr>
        <w:t xml:space="preserve">monthly average </w:t>
      </w:r>
      <w:r w:rsidR="00330BEF">
        <w:rPr>
          <w:rFonts w:ascii="Times New Roman" w:hAnsi="Times New Roman" w:cs="Times New Roman"/>
          <w:sz w:val="20"/>
          <w:szCs w:val="20"/>
        </w:rPr>
        <w:t xml:space="preserve">squared </w:t>
      </w:r>
      <w:r w:rsidR="00330BEF" w:rsidRPr="00CB2DE6">
        <w:rPr>
          <w:rFonts w:ascii="Times New Roman" w:hAnsi="Times New Roman" w:cs="Times New Roman"/>
          <w:sz w:val="20"/>
          <w:szCs w:val="20"/>
        </w:rPr>
        <w:t>returns</w:t>
      </w:r>
      <w:r w:rsidR="00330BEF">
        <w:rPr>
          <w:rFonts w:ascii="Times New Roman" w:hAnsi="Times New Roman" w:cs="Times New Roman"/>
          <w:sz w:val="20"/>
          <w:szCs w:val="20"/>
        </w:rPr>
        <w:t xml:space="preserve">. The </w:t>
      </w:r>
      <w:r w:rsidR="00330BEF" w:rsidRPr="00CB2DE6">
        <w:rPr>
          <w:rFonts w:ascii="Times New Roman" w:hAnsi="Times New Roman" w:cs="Times New Roman"/>
          <w:sz w:val="20"/>
          <w:szCs w:val="20"/>
        </w:rPr>
        <w:t xml:space="preserve">loss functions and the values of the loss function parameter </w:t>
      </w:r>
      <m:oMath>
        <m:r>
          <w:rPr>
            <w:rFonts w:ascii="Cambria Math" w:hAnsi="Cambria Math" w:cs="Times New Roman"/>
            <w:sz w:val="20"/>
            <w:szCs w:val="20"/>
          </w:rPr>
          <m:t>c</m:t>
        </m:r>
      </m:oMath>
      <w:r w:rsidR="00330BEF" w:rsidRPr="00CB2DE6">
        <w:rPr>
          <w:rFonts w:ascii="Times New Roman" w:hAnsi="Times New Roman" w:cs="Times New Roman"/>
          <w:sz w:val="20"/>
          <w:szCs w:val="20"/>
        </w:rPr>
        <w:t xml:space="preserve"> are </w:t>
      </w:r>
      <w:r w:rsidR="00862F50">
        <w:rPr>
          <w:rFonts w:ascii="Times New Roman" w:hAnsi="Times New Roman" w:cs="Times New Roman"/>
          <w:sz w:val="20"/>
          <w:szCs w:val="20"/>
        </w:rPr>
        <w:t>as suggested in</w:t>
      </w:r>
      <w:r w:rsidR="00330BEF" w:rsidRPr="00CB2DE6">
        <w:rPr>
          <w:rFonts w:ascii="Times New Roman" w:hAnsi="Times New Roman" w:cs="Times New Roman"/>
          <w:sz w:val="20"/>
          <w:szCs w:val="20"/>
        </w:rPr>
        <w:t xml:space="preserve"> Patton (2011</w:t>
      </w:r>
      <w:r w:rsidR="00862F50">
        <w:rPr>
          <w:rFonts w:ascii="Times New Roman" w:hAnsi="Times New Roman" w:cs="Times New Roman"/>
          <w:sz w:val="20"/>
          <w:szCs w:val="20"/>
        </w:rPr>
        <w:t>, p. 252-253</w:t>
      </w:r>
      <w:r w:rsidR="00330BEF">
        <w:rPr>
          <w:rFonts w:ascii="Times New Roman" w:hAnsi="Times New Roman" w:cs="Times New Roman"/>
          <w:sz w:val="20"/>
          <w:szCs w:val="20"/>
        </w:rPr>
        <w:t xml:space="preserve">). </w:t>
      </w:r>
      <w:r w:rsidR="00862F50">
        <w:rPr>
          <w:rFonts w:ascii="Times New Roman" w:hAnsi="Times New Roman" w:cs="Times New Roman"/>
          <w:sz w:val="20"/>
          <w:szCs w:val="20"/>
        </w:rPr>
        <w:t>The</w:t>
      </w:r>
      <w:r w:rsidR="00330BEF" w:rsidRPr="00CB2DE6">
        <w:rPr>
          <w:rFonts w:ascii="Times New Roman" w:hAnsi="Times New Roman" w:cs="Times New Roman"/>
          <w:sz w:val="20"/>
          <w:szCs w:val="20"/>
        </w:rPr>
        <w:t xml:space="preserve"> rejection of the null</w:t>
      </w:r>
      <w:r w:rsidR="00862F50">
        <w:rPr>
          <w:rFonts w:ascii="Times New Roman" w:hAnsi="Times New Roman" w:cs="Times New Roman"/>
          <w:sz w:val="20"/>
          <w:szCs w:val="20"/>
        </w:rPr>
        <w:t xml:space="preserve"> hypothesis</w:t>
      </w:r>
      <w:r w:rsidR="00330BEF" w:rsidRPr="00CB2DE6">
        <w:rPr>
          <w:rFonts w:ascii="Times New Roman" w:hAnsi="Times New Roman" w:cs="Times New Roman"/>
          <w:i/>
          <w:sz w:val="20"/>
          <w:szCs w:val="20"/>
        </w:rPr>
        <w:t xml:space="preserve"> </w:t>
      </w:r>
      <w:r w:rsidR="00330BEF" w:rsidRPr="00CB2DE6">
        <w:rPr>
          <w:rFonts w:ascii="Times New Roman" w:hAnsi="Times New Roman" w:cs="Times New Roman"/>
          <w:sz w:val="20"/>
          <w:szCs w:val="20"/>
        </w:rPr>
        <w:t xml:space="preserve">suggests that </w:t>
      </w:r>
      <w:r w:rsidR="00330BEF">
        <w:rPr>
          <w:rFonts w:ascii="Times New Roman" w:hAnsi="Times New Roman" w:cs="Times New Roman"/>
          <w:sz w:val="20"/>
          <w:szCs w:val="20"/>
        </w:rPr>
        <w:t xml:space="preserve">the </w:t>
      </w:r>
      <w:r w:rsidR="00156F0E">
        <w:rPr>
          <w:rFonts w:ascii="Times New Roman" w:hAnsi="Times New Roman" w:cs="Times New Roman"/>
          <w:sz w:val="20"/>
          <w:szCs w:val="20"/>
        </w:rPr>
        <w:t xml:space="preserve">baseline </w:t>
      </w:r>
      <w:r w:rsidR="00330BEF" w:rsidRPr="00CB2DE6">
        <w:rPr>
          <w:rFonts w:ascii="Times New Roman" w:hAnsi="Times New Roman" w:cs="Times New Roman"/>
          <w:sz w:val="20"/>
          <w:szCs w:val="20"/>
        </w:rPr>
        <w:t>CGARCH model forecast</w:t>
      </w:r>
      <w:r w:rsidR="00862F50">
        <w:rPr>
          <w:rFonts w:ascii="Times New Roman" w:hAnsi="Times New Roman" w:cs="Times New Roman"/>
          <w:sz w:val="20"/>
          <w:szCs w:val="20"/>
        </w:rPr>
        <w:t>s</w:t>
      </w:r>
      <w:r w:rsidR="00330BEF" w:rsidRPr="00CB2DE6">
        <w:rPr>
          <w:rFonts w:ascii="Times New Roman" w:hAnsi="Times New Roman" w:cs="Times New Roman"/>
          <w:sz w:val="20"/>
          <w:szCs w:val="20"/>
        </w:rPr>
        <w:t xml:space="preserve"> </w:t>
      </w:r>
      <w:r w:rsidR="00862F50">
        <w:rPr>
          <w:rFonts w:ascii="Times New Roman" w:hAnsi="Times New Roman" w:cs="Times New Roman"/>
          <w:sz w:val="20"/>
          <w:szCs w:val="20"/>
        </w:rPr>
        <w:t xml:space="preserve">generate significantly different </w:t>
      </w:r>
      <w:r w:rsidR="00330BEF" w:rsidRPr="00CB2DE6">
        <w:rPr>
          <w:rFonts w:ascii="Times New Roman" w:hAnsi="Times New Roman" w:cs="Times New Roman"/>
          <w:sz w:val="20"/>
          <w:szCs w:val="20"/>
        </w:rPr>
        <w:t>average loss than the CEGARCH model forecast</w:t>
      </w:r>
      <w:r w:rsidR="00862F50">
        <w:rPr>
          <w:rFonts w:ascii="Times New Roman" w:hAnsi="Times New Roman" w:cs="Times New Roman"/>
          <w:sz w:val="20"/>
          <w:szCs w:val="20"/>
        </w:rPr>
        <w:t>s</w:t>
      </w:r>
      <w:r w:rsidR="00330BEF" w:rsidRPr="00CB2DE6">
        <w:rPr>
          <w:rFonts w:ascii="Times New Roman" w:hAnsi="Times New Roman" w:cs="Times New Roman"/>
          <w:sz w:val="20"/>
          <w:szCs w:val="20"/>
        </w:rPr>
        <w:t>.</w:t>
      </w:r>
      <w:r>
        <w:rPr>
          <w:rFonts w:ascii="Times New Roman" w:hAnsi="Times New Roman" w:cs="Times New Roman"/>
          <w:sz w:val="20"/>
          <w:szCs w:val="20"/>
        </w:rPr>
        <w:t xml:space="preserve"> The </w:t>
      </w:r>
      <w:r w:rsidR="00330BEF" w:rsidRPr="00CB2DE6">
        <w:rPr>
          <w:rFonts w:ascii="Times New Roman" w:hAnsi="Times New Roman" w:cs="Times New Roman"/>
          <w:sz w:val="20"/>
          <w:szCs w:val="20"/>
        </w:rPr>
        <w:t xml:space="preserve">out-of-sample forecasts </w:t>
      </w:r>
      <w:r w:rsidR="00330BEF">
        <w:rPr>
          <w:rFonts w:ascii="Times New Roman" w:hAnsi="Times New Roman" w:cs="Times New Roman"/>
          <w:sz w:val="20"/>
          <w:szCs w:val="20"/>
        </w:rPr>
        <w:t xml:space="preserve">for </w:t>
      </w:r>
      <w:r w:rsidR="00330BEF" w:rsidRPr="00CB2DE6">
        <w:rPr>
          <w:rFonts w:ascii="Times New Roman" w:hAnsi="Times New Roman" w:cs="Times New Roman"/>
          <w:sz w:val="20"/>
          <w:szCs w:val="20"/>
        </w:rPr>
        <w:t>May 1, 1987 to February 28, 2013</w:t>
      </w:r>
      <w:r w:rsidR="00330BEF">
        <w:rPr>
          <w:rFonts w:ascii="Times New Roman" w:hAnsi="Times New Roman" w:cs="Times New Roman"/>
          <w:sz w:val="20"/>
          <w:szCs w:val="20"/>
        </w:rPr>
        <w:t xml:space="preserve"> </w:t>
      </w:r>
      <w:r w:rsidR="00330BEF" w:rsidRPr="00CB2DE6">
        <w:rPr>
          <w:rFonts w:ascii="Times New Roman" w:hAnsi="Times New Roman" w:cs="Times New Roman"/>
          <w:sz w:val="20"/>
          <w:szCs w:val="20"/>
        </w:rPr>
        <w:t>are obtained</w:t>
      </w:r>
      <w:r w:rsidR="00330BEF">
        <w:rPr>
          <w:rFonts w:ascii="Times New Roman" w:hAnsi="Times New Roman" w:cs="Times New Roman"/>
          <w:sz w:val="20"/>
          <w:szCs w:val="20"/>
        </w:rPr>
        <w:t xml:space="preserve"> using a 914-day rolling </w:t>
      </w:r>
      <w:r w:rsidR="00B05145" w:rsidRPr="00CB2DE6">
        <w:rPr>
          <w:rFonts w:ascii="Times New Roman" w:hAnsi="Times New Roman" w:cs="Times New Roman"/>
          <w:sz w:val="20"/>
          <w:szCs w:val="20"/>
        </w:rPr>
        <w:t>window</w:t>
      </w:r>
      <w:r w:rsidR="006031DC">
        <w:rPr>
          <w:rFonts w:ascii="Times New Roman" w:hAnsi="Times New Roman" w:cs="Times New Roman"/>
          <w:sz w:val="20"/>
          <w:szCs w:val="20"/>
        </w:rPr>
        <w:t xml:space="preserve"> scheme</w:t>
      </w:r>
      <w:r w:rsidR="00B05145" w:rsidRPr="00CB2DE6">
        <w:rPr>
          <w:rFonts w:ascii="Times New Roman" w:hAnsi="Times New Roman" w:cs="Times New Roman"/>
          <w:sz w:val="20"/>
          <w:szCs w:val="20"/>
        </w:rPr>
        <w:t>.</w:t>
      </w:r>
      <w:r w:rsidR="00B05145">
        <w:rPr>
          <w:rFonts w:ascii="Times New Roman" w:hAnsi="Times New Roman" w:cs="Times New Roman"/>
          <w:sz w:val="20"/>
          <w:szCs w:val="20"/>
        </w:rPr>
        <w:t xml:space="preserve"> </w:t>
      </w:r>
    </w:p>
    <w:tbl>
      <w:tblPr>
        <w:tblStyle w:val="TableGrid"/>
        <w:tblW w:w="0" w:type="auto"/>
        <w:jc w:val="center"/>
        <w:tblLook w:val="04A0" w:firstRow="1" w:lastRow="0" w:firstColumn="1" w:lastColumn="0" w:noHBand="0" w:noVBand="1"/>
      </w:tblPr>
      <w:tblGrid>
        <w:gridCol w:w="1454"/>
        <w:gridCol w:w="2728"/>
        <w:gridCol w:w="3652"/>
      </w:tblGrid>
      <w:tr w:rsidR="000D3752" w:rsidRPr="00CB2DE6" w:rsidTr="00736D2C">
        <w:trPr>
          <w:trHeight w:val="70"/>
          <w:jc w:val="center"/>
        </w:trPr>
        <w:tc>
          <w:tcPr>
            <w:tcW w:w="0" w:type="auto"/>
            <w:tcBorders>
              <w:top w:val="single" w:sz="4" w:space="0" w:color="auto"/>
              <w:left w:val="nil"/>
              <w:bottom w:val="single" w:sz="4" w:space="0" w:color="auto"/>
              <w:right w:val="nil"/>
            </w:tcBorders>
          </w:tcPr>
          <w:p w:rsidR="000D3752" w:rsidRPr="00CB2DE6" w:rsidRDefault="000D3752" w:rsidP="00B7344E">
            <w:pPr>
              <w:spacing w:before="20" w:after="20"/>
              <w:rPr>
                <w:rFonts w:ascii="Times New Roman" w:hAnsi="Times New Roman" w:cs="Times New Roman"/>
                <w:sz w:val="19"/>
                <w:szCs w:val="19"/>
              </w:rPr>
            </w:pPr>
            <w:r w:rsidRPr="00CB2DE6">
              <w:rPr>
                <w:rFonts w:ascii="Times New Roman" w:hAnsi="Times New Roman" w:cs="Times New Roman"/>
                <w:sz w:val="19"/>
                <w:szCs w:val="19"/>
              </w:rPr>
              <w:t>Loss Function</w:t>
            </w:r>
          </w:p>
        </w:tc>
        <w:tc>
          <w:tcPr>
            <w:tcW w:w="0" w:type="auto"/>
            <w:tcBorders>
              <w:top w:val="single" w:sz="4" w:space="0" w:color="auto"/>
              <w:left w:val="nil"/>
              <w:bottom w:val="single" w:sz="4" w:space="0" w:color="auto"/>
              <w:right w:val="nil"/>
            </w:tcBorders>
          </w:tcPr>
          <w:p w:rsidR="000D3752" w:rsidRPr="00CB2DE6" w:rsidRDefault="000D3752" w:rsidP="004154EC">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Global FX Daily </w:t>
            </w:r>
            <w:r w:rsidR="004154EC">
              <w:rPr>
                <w:rFonts w:ascii="Times New Roman" w:hAnsi="Times New Roman" w:cs="Times New Roman"/>
                <w:sz w:val="19"/>
                <w:szCs w:val="19"/>
              </w:rPr>
              <w:t xml:space="preserve">Squared </w:t>
            </w:r>
            <w:r w:rsidRPr="00CB2DE6">
              <w:rPr>
                <w:rFonts w:ascii="Times New Roman" w:hAnsi="Times New Roman" w:cs="Times New Roman"/>
                <w:sz w:val="19"/>
                <w:szCs w:val="19"/>
              </w:rPr>
              <w:t>Return</w:t>
            </w:r>
          </w:p>
        </w:tc>
        <w:tc>
          <w:tcPr>
            <w:tcW w:w="0" w:type="auto"/>
            <w:tcBorders>
              <w:top w:val="single" w:sz="4" w:space="0" w:color="auto"/>
              <w:left w:val="nil"/>
              <w:bottom w:val="single" w:sz="4" w:space="0" w:color="auto"/>
              <w:right w:val="nil"/>
            </w:tcBorders>
          </w:tcPr>
          <w:p w:rsidR="000D3752" w:rsidRPr="00CB2DE6" w:rsidRDefault="000D3752" w:rsidP="004154EC">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Global FX Monthly Average </w:t>
            </w:r>
            <w:r w:rsidR="004154EC">
              <w:rPr>
                <w:rFonts w:ascii="Times New Roman" w:hAnsi="Times New Roman" w:cs="Times New Roman"/>
                <w:sz w:val="19"/>
                <w:szCs w:val="19"/>
              </w:rPr>
              <w:t xml:space="preserve">Squared </w:t>
            </w:r>
            <w:r w:rsidRPr="00CB2DE6">
              <w:rPr>
                <w:rFonts w:ascii="Times New Roman" w:hAnsi="Times New Roman" w:cs="Times New Roman"/>
                <w:sz w:val="19"/>
                <w:szCs w:val="19"/>
              </w:rPr>
              <w:t>Return</w:t>
            </w:r>
          </w:p>
        </w:tc>
      </w:tr>
      <w:tr w:rsidR="000D3752" w:rsidRPr="00CB2DE6" w:rsidTr="00B7344E">
        <w:trPr>
          <w:jc w:val="center"/>
        </w:trPr>
        <w:tc>
          <w:tcPr>
            <w:tcW w:w="0" w:type="auto"/>
            <w:tcBorders>
              <w:top w:val="single" w:sz="4" w:space="0" w:color="auto"/>
              <w:left w:val="nil"/>
              <w:bottom w:val="nil"/>
              <w:right w:val="nil"/>
            </w:tcBorders>
            <w:vAlign w:val="center"/>
          </w:tcPr>
          <w:p w:rsidR="000D3752" w:rsidRPr="00CB2DE6" w:rsidRDefault="000D3752" w:rsidP="00B7344E">
            <w:pPr>
              <w:spacing w:before="120"/>
              <w:rPr>
                <w:rFonts w:ascii="Times New Roman" w:hAnsi="Times New Roman" w:cs="Times New Roman"/>
                <w:sz w:val="19"/>
                <w:szCs w:val="19"/>
              </w:rPr>
            </w:pPr>
            <m:oMath>
              <m:r>
                <w:rPr>
                  <w:rFonts w:ascii="Cambria Math" w:hAnsi="Cambria Math" w:cs="Times New Roman"/>
                  <w:sz w:val="19"/>
                  <w:szCs w:val="19"/>
                </w:rPr>
                <m:t>c=</m:t>
              </m:r>
            </m:oMath>
            <w:r w:rsidRPr="00CB2DE6">
              <w:rPr>
                <w:rFonts w:ascii="Times New Roman" w:hAnsi="Times New Roman" w:cs="Times New Roman"/>
                <w:sz w:val="19"/>
                <w:szCs w:val="19"/>
              </w:rPr>
              <w:t>1</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-1.11</w:t>
            </w:r>
          </w:p>
        </w:tc>
        <w:tc>
          <w:tcPr>
            <w:tcW w:w="0" w:type="auto"/>
            <w:tcBorders>
              <w:top w:val="single" w:sz="4" w:space="0" w:color="auto"/>
              <w:left w:val="nil"/>
              <w:bottom w:val="nil"/>
              <w:right w:val="nil"/>
            </w:tcBorders>
          </w:tcPr>
          <w:p w:rsidR="000D3752" w:rsidRPr="00CB2DE6" w:rsidRDefault="000D3752" w:rsidP="00B7344E">
            <w:pPr>
              <w:spacing w:before="120"/>
              <w:jc w:val="right"/>
              <w:rPr>
                <w:rFonts w:ascii="Times New Roman" w:hAnsi="Times New Roman" w:cs="Times New Roman"/>
                <w:sz w:val="19"/>
                <w:szCs w:val="19"/>
              </w:rPr>
            </w:pPr>
            <w:r w:rsidRPr="00CB2DE6">
              <w:rPr>
                <w:rFonts w:ascii="Times New Roman" w:hAnsi="Times New Roman" w:cs="Times New Roman"/>
                <w:sz w:val="19"/>
                <w:szCs w:val="19"/>
              </w:rPr>
              <w:t xml:space="preserve">               -1.26</w:t>
            </w:r>
          </w:p>
        </w:tc>
      </w:tr>
      <w:tr w:rsidR="000D3752" w:rsidRPr="00CB2DE6" w:rsidTr="00B7344E">
        <w:trPr>
          <w:jc w:val="center"/>
        </w:trPr>
        <w:tc>
          <w:tcPr>
            <w:tcW w:w="0" w:type="auto"/>
            <w:tcBorders>
              <w:top w:val="nil"/>
              <w:left w:val="nil"/>
              <w:bottom w:val="nil"/>
              <w:right w:val="nil"/>
            </w:tcBorders>
            <w:vAlign w:val="center"/>
          </w:tcPr>
          <w:p w:rsidR="000D3752" w:rsidRPr="00CB2DE6" w:rsidRDefault="000D3752" w:rsidP="00B7344E">
            <w:pPr>
              <w:rPr>
                <w:rFonts w:ascii="Times New Roman" w:hAnsi="Times New Roman" w:cs="Times New Roman"/>
                <w:sz w:val="19"/>
                <w:szCs w:val="19"/>
              </w:rPr>
            </w:pPr>
            <m:oMath>
              <m:r>
                <w:rPr>
                  <w:rFonts w:ascii="Cambria Math" w:hAnsi="Cambria Math" w:cs="Times New Roman"/>
                  <w:sz w:val="19"/>
                  <w:szCs w:val="19"/>
                </w:rPr>
                <m:t>c=</m:t>
              </m:r>
            </m:oMath>
            <w:r w:rsidRPr="00CB2DE6">
              <w:rPr>
                <w:rFonts w:ascii="Times New Roman" w:hAnsi="Times New Roman" w:cs="Times New Roman"/>
                <w:sz w:val="19"/>
                <w:szCs w:val="19"/>
              </w:rPr>
              <w:t xml:space="preserve"> 0 (MSE)</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-0.81</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 xml:space="preserve">               -0.94</w:t>
            </w:r>
          </w:p>
        </w:tc>
      </w:tr>
      <w:tr w:rsidR="000D3752" w:rsidRPr="00CB2DE6" w:rsidTr="00B7344E">
        <w:trPr>
          <w:jc w:val="center"/>
        </w:trPr>
        <w:tc>
          <w:tcPr>
            <w:tcW w:w="0" w:type="auto"/>
            <w:tcBorders>
              <w:top w:val="nil"/>
              <w:left w:val="nil"/>
              <w:bottom w:val="nil"/>
              <w:right w:val="nil"/>
            </w:tcBorders>
            <w:vAlign w:val="center"/>
          </w:tcPr>
          <w:p w:rsidR="000D3752" w:rsidRPr="00CB2DE6" w:rsidRDefault="000D3752" w:rsidP="00B7344E">
            <w:pPr>
              <w:rPr>
                <w:rFonts w:ascii="Times New Roman" w:hAnsi="Times New Roman" w:cs="Times New Roman"/>
                <w:sz w:val="19"/>
                <w:szCs w:val="19"/>
              </w:rPr>
            </w:pPr>
            <m:oMath>
              <m:r>
                <w:rPr>
                  <w:rFonts w:ascii="Cambria Math" w:hAnsi="Cambria Math" w:cs="Times New Roman"/>
                  <w:sz w:val="19"/>
                  <w:szCs w:val="19"/>
                </w:rPr>
                <m:t xml:space="preserve">c= </m:t>
              </m:r>
            </m:oMath>
            <w:r w:rsidRPr="00CB2DE6">
              <w:rPr>
                <w:rFonts w:ascii="Times New Roman" w:hAnsi="Times New Roman" w:cs="Times New Roman"/>
                <w:sz w:val="19"/>
                <w:szCs w:val="19"/>
              </w:rPr>
              <w:t>-1</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0.78</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 xml:space="preserve">               0.66</w:t>
            </w:r>
          </w:p>
        </w:tc>
      </w:tr>
      <w:tr w:rsidR="000D3752" w:rsidRPr="00CB2DE6" w:rsidTr="00B7344E">
        <w:trPr>
          <w:jc w:val="center"/>
        </w:trPr>
        <w:tc>
          <w:tcPr>
            <w:tcW w:w="0" w:type="auto"/>
            <w:tcBorders>
              <w:top w:val="nil"/>
              <w:left w:val="nil"/>
              <w:bottom w:val="nil"/>
              <w:right w:val="nil"/>
            </w:tcBorders>
            <w:vAlign w:val="center"/>
          </w:tcPr>
          <w:p w:rsidR="000D3752" w:rsidRPr="00CB2DE6" w:rsidRDefault="000D3752" w:rsidP="00B7344E">
            <w:pPr>
              <w:rPr>
                <w:rFonts w:ascii="Times New Roman" w:hAnsi="Times New Roman" w:cs="Times New Roman"/>
                <w:sz w:val="19"/>
                <w:szCs w:val="19"/>
              </w:rPr>
            </w:pPr>
            <m:oMath>
              <m:r>
                <w:rPr>
                  <w:rFonts w:ascii="Cambria Math" w:hAnsi="Cambria Math" w:cs="Times New Roman"/>
                  <w:sz w:val="19"/>
                  <w:szCs w:val="19"/>
                </w:rPr>
                <m:t>c=</m:t>
              </m:r>
            </m:oMath>
            <w:r w:rsidRPr="00CB2DE6">
              <w:rPr>
                <w:rFonts w:ascii="Times New Roman" w:hAnsi="Times New Roman" w:cs="Times New Roman"/>
                <w:sz w:val="19"/>
                <w:szCs w:val="19"/>
              </w:rPr>
              <w:t xml:space="preserve"> -2</w:t>
            </w:r>
            <w:r w:rsidR="00736D2C">
              <w:rPr>
                <w:rFonts w:ascii="Times New Roman" w:hAnsi="Times New Roman" w:cs="Times New Roman"/>
                <w:sz w:val="19"/>
                <w:szCs w:val="19"/>
              </w:rPr>
              <w:t xml:space="preserve"> </w:t>
            </w:r>
            <w:r w:rsidRPr="00CB2DE6">
              <w:rPr>
                <w:rFonts w:ascii="Times New Roman" w:hAnsi="Times New Roman" w:cs="Times New Roman"/>
                <w:sz w:val="19"/>
                <w:szCs w:val="19"/>
              </w:rPr>
              <w:t>(QLIKE)</w:t>
            </w:r>
          </w:p>
        </w:tc>
        <w:tc>
          <w:tcPr>
            <w:tcW w:w="0" w:type="auto"/>
            <w:tcBorders>
              <w:top w:val="nil"/>
              <w:left w:val="nil"/>
              <w:bottom w:val="nil"/>
              <w:right w:val="nil"/>
            </w:tcBorders>
          </w:tcPr>
          <w:p w:rsidR="000D3752" w:rsidRPr="00CB2DE6" w:rsidRDefault="000D3752" w:rsidP="00192C79">
            <w:pPr>
              <w:jc w:val="right"/>
              <w:rPr>
                <w:rFonts w:ascii="Times New Roman" w:hAnsi="Times New Roman" w:cs="Times New Roman"/>
                <w:sz w:val="19"/>
                <w:szCs w:val="19"/>
              </w:rPr>
            </w:pPr>
            <w:r w:rsidRPr="00CB2DE6">
              <w:rPr>
                <w:rFonts w:ascii="Times New Roman" w:hAnsi="Times New Roman" w:cs="Times New Roman"/>
                <w:sz w:val="19"/>
                <w:szCs w:val="19"/>
              </w:rPr>
              <w:t>1.6</w:t>
            </w:r>
            <w:r w:rsidR="00192C79" w:rsidRPr="00CB2DE6">
              <w:rPr>
                <w:rFonts w:ascii="Times New Roman" w:hAnsi="Times New Roman" w:cs="Times New Roman"/>
                <w:sz w:val="19"/>
                <w:szCs w:val="19"/>
              </w:rPr>
              <w:t>1</w:t>
            </w:r>
          </w:p>
        </w:tc>
        <w:tc>
          <w:tcPr>
            <w:tcW w:w="0" w:type="auto"/>
            <w:tcBorders>
              <w:top w:val="nil"/>
              <w:left w:val="nil"/>
              <w:bottom w:val="nil"/>
              <w:right w:val="nil"/>
            </w:tcBorders>
          </w:tcPr>
          <w:p w:rsidR="000D3752" w:rsidRPr="00CB2DE6" w:rsidRDefault="000D3752" w:rsidP="00B7344E">
            <w:pPr>
              <w:jc w:val="right"/>
              <w:rPr>
                <w:rFonts w:ascii="Times New Roman" w:hAnsi="Times New Roman" w:cs="Times New Roman"/>
                <w:sz w:val="19"/>
                <w:szCs w:val="19"/>
              </w:rPr>
            </w:pPr>
            <w:r w:rsidRPr="00CB2DE6">
              <w:rPr>
                <w:rFonts w:ascii="Times New Roman" w:hAnsi="Times New Roman" w:cs="Times New Roman"/>
                <w:sz w:val="19"/>
                <w:szCs w:val="19"/>
              </w:rPr>
              <w:t xml:space="preserve">               1.57</w:t>
            </w:r>
          </w:p>
        </w:tc>
      </w:tr>
      <w:tr w:rsidR="000D3752" w:rsidRPr="00CB2DE6" w:rsidTr="00B7344E">
        <w:trPr>
          <w:jc w:val="center"/>
        </w:trPr>
        <w:tc>
          <w:tcPr>
            <w:tcW w:w="0" w:type="auto"/>
            <w:tcBorders>
              <w:top w:val="nil"/>
              <w:left w:val="nil"/>
              <w:bottom w:val="single" w:sz="4" w:space="0" w:color="auto"/>
              <w:right w:val="nil"/>
            </w:tcBorders>
            <w:vAlign w:val="center"/>
          </w:tcPr>
          <w:p w:rsidR="000D3752" w:rsidRPr="00CB2DE6" w:rsidRDefault="000D3752" w:rsidP="00B7344E">
            <w:pPr>
              <w:spacing w:after="120"/>
              <w:rPr>
                <w:rFonts w:ascii="Times New Roman" w:hAnsi="Times New Roman" w:cs="Times New Roman"/>
                <w:sz w:val="19"/>
                <w:szCs w:val="19"/>
              </w:rPr>
            </w:pPr>
            <m:oMath>
              <m:r>
                <w:rPr>
                  <w:rFonts w:ascii="Cambria Math" w:hAnsi="Cambria Math" w:cs="Times New Roman"/>
                  <w:sz w:val="19"/>
                  <w:szCs w:val="19"/>
                </w:rPr>
                <m:t>c=</m:t>
              </m:r>
            </m:oMath>
            <w:r w:rsidRPr="00CB2DE6">
              <w:rPr>
                <w:rFonts w:ascii="Times New Roman" w:hAnsi="Times New Roman" w:cs="Times New Roman"/>
                <w:sz w:val="19"/>
                <w:szCs w:val="19"/>
              </w:rPr>
              <w:t xml:space="preserve"> -5</w:t>
            </w:r>
          </w:p>
        </w:tc>
        <w:tc>
          <w:tcPr>
            <w:tcW w:w="0" w:type="auto"/>
            <w:tcBorders>
              <w:top w:val="nil"/>
              <w:left w:val="nil"/>
              <w:bottom w:val="single" w:sz="4" w:space="0" w:color="auto"/>
              <w:right w:val="nil"/>
            </w:tcBorders>
          </w:tcPr>
          <w:p w:rsidR="000D3752" w:rsidRPr="00CB2DE6" w:rsidRDefault="000D3752" w:rsidP="00B7344E">
            <w:pPr>
              <w:spacing w:after="120"/>
              <w:jc w:val="right"/>
              <w:rPr>
                <w:rFonts w:ascii="Times New Roman" w:hAnsi="Times New Roman" w:cs="Times New Roman"/>
                <w:sz w:val="19"/>
                <w:szCs w:val="19"/>
              </w:rPr>
            </w:pPr>
            <w:r w:rsidRPr="00CB2DE6">
              <w:rPr>
                <w:rFonts w:ascii="Times New Roman" w:hAnsi="Times New Roman" w:cs="Times New Roman"/>
                <w:sz w:val="19"/>
                <w:szCs w:val="19"/>
              </w:rPr>
              <w:t>0.63</w:t>
            </w:r>
          </w:p>
        </w:tc>
        <w:tc>
          <w:tcPr>
            <w:tcW w:w="0" w:type="auto"/>
            <w:tcBorders>
              <w:top w:val="nil"/>
              <w:left w:val="nil"/>
              <w:bottom w:val="single" w:sz="4" w:space="0" w:color="auto"/>
              <w:right w:val="nil"/>
            </w:tcBorders>
          </w:tcPr>
          <w:p w:rsidR="000D3752" w:rsidRPr="00CB2DE6" w:rsidRDefault="000D3752" w:rsidP="00B7344E">
            <w:pPr>
              <w:spacing w:after="120"/>
              <w:jc w:val="right"/>
              <w:rPr>
                <w:rFonts w:ascii="Times New Roman" w:hAnsi="Times New Roman" w:cs="Times New Roman"/>
                <w:sz w:val="19"/>
                <w:szCs w:val="19"/>
              </w:rPr>
            </w:pPr>
            <w:r w:rsidRPr="00CB2DE6">
              <w:rPr>
                <w:rFonts w:ascii="Times New Roman" w:hAnsi="Times New Roman" w:cs="Times New Roman"/>
                <w:sz w:val="19"/>
                <w:szCs w:val="19"/>
              </w:rPr>
              <w:t xml:space="preserve">               0.71</w:t>
            </w:r>
          </w:p>
        </w:tc>
      </w:tr>
    </w:tbl>
    <w:p w:rsidR="000D3752" w:rsidRPr="00CB2DE6" w:rsidRDefault="000D3752" w:rsidP="000D3752">
      <w:pPr>
        <w:spacing w:after="120"/>
        <w:jc w:val="both"/>
        <w:rPr>
          <w:rFonts w:ascii="Times New Roman" w:hAnsi="Times New Roman" w:cs="Times New Roman"/>
          <w:sz w:val="20"/>
          <w:szCs w:val="20"/>
        </w:rPr>
      </w:pPr>
    </w:p>
    <w:p w:rsidR="000D3752" w:rsidRPr="00CB2DE6" w:rsidRDefault="000D3752" w:rsidP="000D3752">
      <w:pPr>
        <w:jc w:val="center"/>
        <w:rPr>
          <w:rFonts w:ascii="Times New Roman" w:hAnsi="Times New Roman" w:cs="Times New Roman"/>
          <w:b/>
          <w:sz w:val="24"/>
          <w:szCs w:val="24"/>
        </w:rPr>
      </w:pPr>
    </w:p>
    <w:p w:rsidR="00196DF5" w:rsidRPr="00CB2DE6" w:rsidRDefault="00196DF5" w:rsidP="00ED49A2">
      <w:pPr>
        <w:jc w:val="both"/>
        <w:rPr>
          <w:rFonts w:ascii="Times New Roman" w:hAnsi="Times New Roman" w:cs="Times New Roman"/>
          <w:sz w:val="24"/>
          <w:szCs w:val="24"/>
        </w:rPr>
      </w:pPr>
    </w:p>
    <w:p w:rsidR="00196DF5" w:rsidRPr="00CB2DE6" w:rsidRDefault="00196DF5" w:rsidP="00ED49A2">
      <w:pPr>
        <w:rPr>
          <w:rFonts w:ascii="Times New Roman" w:hAnsi="Times New Roman" w:cs="Times New Roman"/>
          <w:sz w:val="24"/>
          <w:szCs w:val="24"/>
        </w:rPr>
      </w:pPr>
      <w:r w:rsidRPr="00CB2DE6">
        <w:rPr>
          <w:rFonts w:ascii="Times New Roman" w:hAnsi="Times New Roman" w:cs="Times New Roman"/>
          <w:sz w:val="24"/>
          <w:szCs w:val="24"/>
        </w:rPr>
        <w:br w:type="page"/>
      </w:r>
    </w:p>
    <w:p w:rsidR="005F130B" w:rsidRPr="00CB2DE6" w:rsidRDefault="005F130B" w:rsidP="00ED49A2">
      <w:pPr>
        <w:jc w:val="center"/>
        <w:rPr>
          <w:rFonts w:ascii="Times New Roman" w:hAnsi="Times New Roman" w:cs="Times New Roman"/>
          <w:b/>
          <w:sz w:val="24"/>
          <w:szCs w:val="24"/>
        </w:rPr>
        <w:sectPr w:rsidR="005F130B" w:rsidRPr="00CB2DE6" w:rsidSect="00E51165">
          <w:footerReference w:type="default" r:id="rId22"/>
          <w:type w:val="continuous"/>
          <w:pgSz w:w="11906" w:h="16838"/>
          <w:pgMar w:top="1440" w:right="1440" w:bottom="1440" w:left="1440" w:header="709" w:footer="709" w:gutter="0"/>
          <w:pgNumType w:start="0"/>
          <w:cols w:space="708"/>
          <w:docGrid w:linePitch="360"/>
        </w:sectPr>
      </w:pPr>
    </w:p>
    <w:p w:rsidR="00AF5360" w:rsidRPr="00CB2DE6" w:rsidRDefault="00BB0085" w:rsidP="00DB76F5">
      <w:pPr>
        <w:jc w:val="center"/>
        <w:rPr>
          <w:rFonts w:ascii="Times New Roman" w:hAnsi="Times New Roman" w:cs="Times New Roman"/>
          <w:b/>
          <w:sz w:val="24"/>
          <w:szCs w:val="24"/>
        </w:rPr>
      </w:pPr>
      <w:r w:rsidRPr="00CB2DE6">
        <w:rPr>
          <w:rFonts w:ascii="Times New Roman" w:hAnsi="Times New Roman" w:cs="Times New Roman"/>
          <w:b/>
          <w:sz w:val="24"/>
          <w:szCs w:val="24"/>
        </w:rPr>
        <w:lastRenderedPageBreak/>
        <w:t xml:space="preserve">Table </w:t>
      </w:r>
      <w:r w:rsidR="00903D8B" w:rsidRPr="00CB2DE6">
        <w:rPr>
          <w:rFonts w:ascii="Times New Roman" w:hAnsi="Times New Roman" w:cs="Times New Roman"/>
          <w:b/>
          <w:sz w:val="24"/>
          <w:szCs w:val="24"/>
        </w:rPr>
        <w:t>5</w:t>
      </w:r>
    </w:p>
    <w:p w:rsidR="00FB459A" w:rsidRPr="00CB2DE6" w:rsidRDefault="00CC2B74" w:rsidP="00DB76F5">
      <w:pPr>
        <w:jc w:val="center"/>
        <w:rPr>
          <w:rFonts w:ascii="Times New Roman" w:hAnsi="Times New Roman" w:cs="Times New Roman"/>
          <w:b/>
          <w:sz w:val="24"/>
          <w:szCs w:val="24"/>
        </w:rPr>
      </w:pPr>
      <w:r w:rsidRPr="00CB2DE6">
        <w:rPr>
          <w:rFonts w:ascii="Times New Roman" w:hAnsi="Times New Roman" w:cs="Times New Roman"/>
          <w:b/>
          <w:sz w:val="24"/>
          <w:szCs w:val="24"/>
        </w:rPr>
        <w:t>Asset Pricing</w:t>
      </w:r>
      <w:r w:rsidR="00D46D21" w:rsidRPr="00CB2DE6">
        <w:rPr>
          <w:rFonts w:ascii="Times New Roman" w:hAnsi="Times New Roman" w:cs="Times New Roman"/>
          <w:b/>
          <w:sz w:val="24"/>
          <w:szCs w:val="24"/>
        </w:rPr>
        <w:t xml:space="preserve"> </w:t>
      </w:r>
      <w:r w:rsidR="006874A7" w:rsidRPr="00CB2DE6">
        <w:rPr>
          <w:rFonts w:ascii="Times New Roman" w:hAnsi="Times New Roman" w:cs="Times New Roman"/>
          <w:b/>
          <w:sz w:val="24"/>
          <w:szCs w:val="24"/>
        </w:rPr>
        <w:t>Results</w:t>
      </w:r>
      <w:r w:rsidR="00AF775A" w:rsidRPr="00CB2DE6">
        <w:rPr>
          <w:rFonts w:ascii="Times New Roman" w:hAnsi="Times New Roman" w:cs="Times New Roman"/>
          <w:b/>
          <w:sz w:val="24"/>
          <w:szCs w:val="24"/>
        </w:rPr>
        <w:t xml:space="preserve">: </w:t>
      </w:r>
      <w:r w:rsidR="004C2474" w:rsidRPr="00CB2DE6">
        <w:rPr>
          <w:rFonts w:ascii="Times New Roman" w:hAnsi="Times New Roman" w:cs="Times New Roman"/>
          <w:b/>
          <w:sz w:val="24"/>
          <w:szCs w:val="24"/>
        </w:rPr>
        <w:t>Short-</w:t>
      </w:r>
      <w:r w:rsidR="00AF775A" w:rsidRPr="00CB2DE6">
        <w:rPr>
          <w:rFonts w:ascii="Times New Roman" w:hAnsi="Times New Roman" w:cs="Times New Roman"/>
          <w:b/>
          <w:sz w:val="24"/>
          <w:szCs w:val="24"/>
        </w:rPr>
        <w:t xml:space="preserve">Run </w:t>
      </w:r>
      <w:r w:rsidR="00D46D21" w:rsidRPr="00CB2DE6">
        <w:rPr>
          <w:rFonts w:ascii="Times New Roman" w:hAnsi="Times New Roman" w:cs="Times New Roman"/>
          <w:b/>
          <w:sz w:val="24"/>
          <w:szCs w:val="24"/>
        </w:rPr>
        <w:t xml:space="preserve">and </w:t>
      </w:r>
      <w:r w:rsidR="004C2474" w:rsidRPr="00CB2DE6">
        <w:rPr>
          <w:rFonts w:ascii="Times New Roman" w:hAnsi="Times New Roman" w:cs="Times New Roman"/>
          <w:b/>
          <w:sz w:val="24"/>
          <w:szCs w:val="24"/>
        </w:rPr>
        <w:t>Long-</w:t>
      </w:r>
      <w:r w:rsidR="00AF775A" w:rsidRPr="00CB2DE6">
        <w:rPr>
          <w:rFonts w:ascii="Times New Roman" w:hAnsi="Times New Roman" w:cs="Times New Roman"/>
          <w:b/>
          <w:sz w:val="24"/>
          <w:szCs w:val="24"/>
        </w:rPr>
        <w:t xml:space="preserve">Run </w:t>
      </w:r>
      <w:r w:rsidR="00D46D21" w:rsidRPr="00CB2DE6">
        <w:rPr>
          <w:rFonts w:ascii="Times New Roman" w:hAnsi="Times New Roman" w:cs="Times New Roman"/>
          <w:b/>
          <w:sz w:val="24"/>
          <w:szCs w:val="24"/>
        </w:rPr>
        <w:t>Components of Volatility</w:t>
      </w:r>
    </w:p>
    <w:p w:rsidR="00EA2A93" w:rsidRPr="00CB2DE6" w:rsidRDefault="00EA2A93" w:rsidP="00B352D0">
      <w:pPr>
        <w:spacing w:before="180" w:after="180"/>
        <w:jc w:val="both"/>
        <w:rPr>
          <w:rFonts w:ascii="Times New Roman" w:hAnsi="Times New Roman" w:cs="Times New Roman"/>
          <w:sz w:val="20"/>
          <w:szCs w:val="20"/>
        </w:rPr>
      </w:pPr>
      <w:r w:rsidRPr="00CB2DE6">
        <w:rPr>
          <w:rFonts w:ascii="Times New Roman" w:hAnsi="Times New Roman" w:cs="Times New Roman"/>
          <w:sz w:val="20"/>
          <w:szCs w:val="20"/>
        </w:rPr>
        <w:t xml:space="preserve">The table presents asset pricing results from </w:t>
      </w:r>
      <w:r w:rsidR="00903D8B" w:rsidRPr="00CB2DE6">
        <w:rPr>
          <w:rFonts w:ascii="Times New Roman" w:hAnsi="Times New Roman" w:cs="Times New Roman"/>
          <w:sz w:val="20"/>
          <w:szCs w:val="20"/>
        </w:rPr>
        <w:t xml:space="preserve">the </w:t>
      </w:r>
      <w:r w:rsidRPr="00CB2DE6">
        <w:rPr>
          <w:rFonts w:ascii="Times New Roman" w:hAnsi="Times New Roman" w:cs="Times New Roman"/>
          <w:sz w:val="20"/>
          <w:szCs w:val="20"/>
        </w:rPr>
        <w:t>Fama and MacBeth (1973) two-pass regression</w:t>
      </w:r>
      <w:r w:rsidR="00F71616" w:rsidRPr="00CB2DE6">
        <w:rPr>
          <w:rFonts w:ascii="Times New Roman" w:hAnsi="Times New Roman" w:cs="Times New Roman"/>
          <w:sz w:val="20"/>
          <w:szCs w:val="20"/>
        </w:rPr>
        <w:t>s</w:t>
      </w:r>
      <w:r w:rsidRPr="00CB2DE6">
        <w:rPr>
          <w:rFonts w:ascii="Times New Roman" w:hAnsi="Times New Roman" w:cs="Times New Roman"/>
          <w:sz w:val="20"/>
          <w:szCs w:val="20"/>
        </w:rPr>
        <w:t xml:space="preserve"> for the linear factor</w:t>
      </w:r>
      <w:r w:rsidR="00CC5B01" w:rsidRPr="00CB2DE6">
        <w:rPr>
          <w:rFonts w:ascii="Times New Roman" w:hAnsi="Times New Roman" w:cs="Times New Roman"/>
          <w:sz w:val="20"/>
          <w:szCs w:val="20"/>
        </w:rPr>
        <w:t xml:space="preserve"> model</w:t>
      </w:r>
      <w:r w:rsidR="00903D8B" w:rsidRPr="00CB2DE6">
        <w:rPr>
          <w:rFonts w:ascii="Times New Roman" w:hAnsi="Times New Roman" w:cs="Times New Roman"/>
          <w:sz w:val="20"/>
          <w:szCs w:val="20"/>
        </w:rPr>
        <w:t xml:space="preserve"> based on the </w:t>
      </w:r>
      <w:r w:rsidR="00CC5B01" w:rsidRPr="00CB2DE6">
        <w:rPr>
          <w:rFonts w:ascii="Times New Roman" w:hAnsi="Times New Roman" w:cs="Times New Roman"/>
          <w:sz w:val="20"/>
          <w:szCs w:val="20"/>
        </w:rPr>
        <w:t>d</w:t>
      </w:r>
      <w:r w:rsidRPr="00CB2DE6">
        <w:rPr>
          <w:rFonts w:ascii="Times New Roman" w:hAnsi="Times New Roman" w:cs="Times New Roman"/>
          <w:sz w:val="20"/>
          <w:szCs w:val="20"/>
        </w:rPr>
        <w:t>ollar r</w:t>
      </w:r>
      <w:r w:rsidR="00CC5B01" w:rsidRPr="00CB2DE6">
        <w:rPr>
          <w:rFonts w:ascii="Times New Roman" w:hAnsi="Times New Roman" w:cs="Times New Roman"/>
          <w:sz w:val="20"/>
          <w:szCs w:val="20"/>
        </w:rPr>
        <w:t xml:space="preserve">isk </w:t>
      </w:r>
      <w:r w:rsidR="00903D8B" w:rsidRPr="00CB2DE6">
        <w:rPr>
          <w:rFonts w:ascii="Times New Roman" w:hAnsi="Times New Roman" w:cs="Times New Roman"/>
          <w:sz w:val="20"/>
          <w:szCs w:val="20"/>
        </w:rPr>
        <w:t xml:space="preserve">factor </w:t>
      </w:r>
      <w:r w:rsidR="00CC5B01" w:rsidRPr="00CB2DE6">
        <w:rPr>
          <w:rFonts w:ascii="Times New Roman" w:hAnsi="Times New Roman" w:cs="Times New Roman"/>
          <w:sz w:val="20"/>
          <w:szCs w:val="20"/>
        </w:rPr>
        <w:t>(DOL)</w:t>
      </w:r>
      <w:r w:rsidR="00671523" w:rsidRPr="00CB2DE6">
        <w:rPr>
          <w:rFonts w:ascii="Times New Roman" w:hAnsi="Times New Roman" w:cs="Times New Roman"/>
          <w:sz w:val="20"/>
          <w:szCs w:val="20"/>
        </w:rPr>
        <w:t xml:space="preserve">, </w:t>
      </w:r>
      <w:r w:rsidR="004C2474" w:rsidRPr="00CB2DE6">
        <w:rPr>
          <w:rFonts w:ascii="Times New Roman" w:hAnsi="Times New Roman" w:cs="Times New Roman"/>
          <w:sz w:val="20"/>
          <w:szCs w:val="20"/>
        </w:rPr>
        <w:t>short-</w:t>
      </w:r>
      <w:r w:rsidR="00AF775A" w:rsidRPr="00CB2DE6">
        <w:rPr>
          <w:rFonts w:ascii="Times New Roman" w:hAnsi="Times New Roman" w:cs="Times New Roman"/>
          <w:sz w:val="20"/>
          <w:szCs w:val="20"/>
        </w:rPr>
        <w:t xml:space="preserve">run </w:t>
      </w:r>
      <w:r w:rsidRPr="00CB2DE6">
        <w:rPr>
          <w:rFonts w:ascii="Times New Roman" w:hAnsi="Times New Roman" w:cs="Times New Roman"/>
          <w:sz w:val="20"/>
          <w:szCs w:val="20"/>
        </w:rPr>
        <w:t>volatility component innovations (SRVI)</w:t>
      </w:r>
      <w:r w:rsidR="00671523" w:rsidRPr="00CB2DE6">
        <w:rPr>
          <w:rFonts w:ascii="Times New Roman" w:hAnsi="Times New Roman" w:cs="Times New Roman"/>
          <w:sz w:val="20"/>
          <w:szCs w:val="20"/>
        </w:rPr>
        <w:t xml:space="preserve">, </w:t>
      </w:r>
      <w:r w:rsidRPr="00CB2DE6">
        <w:rPr>
          <w:rFonts w:ascii="Times New Roman" w:hAnsi="Times New Roman" w:cs="Times New Roman"/>
          <w:sz w:val="20"/>
          <w:szCs w:val="20"/>
        </w:rPr>
        <w:t xml:space="preserve">and </w:t>
      </w:r>
      <w:r w:rsidR="004C2474" w:rsidRPr="00CB2DE6">
        <w:rPr>
          <w:rFonts w:ascii="Times New Roman" w:hAnsi="Times New Roman" w:cs="Times New Roman"/>
          <w:sz w:val="20"/>
          <w:szCs w:val="20"/>
        </w:rPr>
        <w:t>long-</w:t>
      </w:r>
      <w:r w:rsidR="00AF775A" w:rsidRPr="00CB2DE6">
        <w:rPr>
          <w:rFonts w:ascii="Times New Roman" w:hAnsi="Times New Roman" w:cs="Times New Roman"/>
          <w:sz w:val="20"/>
          <w:szCs w:val="20"/>
        </w:rPr>
        <w:t xml:space="preserve">run </w:t>
      </w:r>
      <w:r w:rsidRPr="00CB2DE6">
        <w:rPr>
          <w:rFonts w:ascii="Times New Roman" w:hAnsi="Times New Roman" w:cs="Times New Roman"/>
          <w:sz w:val="20"/>
          <w:szCs w:val="20"/>
        </w:rPr>
        <w:t>volatility component innovations (LRVI). The test assets are transaction cost unadjusted (without bid-ask</w:t>
      </w:r>
      <w:r w:rsidR="003952D7" w:rsidRPr="00CB2DE6">
        <w:rPr>
          <w:rFonts w:ascii="Times New Roman" w:hAnsi="Times New Roman" w:cs="Times New Roman"/>
          <w:sz w:val="20"/>
          <w:szCs w:val="20"/>
        </w:rPr>
        <w:t xml:space="preserve"> </w:t>
      </w:r>
      <w:r w:rsidRPr="00CB2DE6">
        <w:rPr>
          <w:rFonts w:ascii="Times New Roman" w:hAnsi="Times New Roman" w:cs="Times New Roman"/>
          <w:sz w:val="20"/>
          <w:szCs w:val="20"/>
        </w:rPr>
        <w:t>spreads) excess returns of</w:t>
      </w:r>
      <w:r w:rsidR="00347506" w:rsidRPr="00CB2DE6">
        <w:rPr>
          <w:rFonts w:ascii="Times New Roman" w:hAnsi="Times New Roman" w:cs="Times New Roman"/>
          <w:sz w:val="20"/>
          <w:szCs w:val="20"/>
        </w:rPr>
        <w:t xml:space="preserve"> five portfolios </w:t>
      </w:r>
      <w:r w:rsidRPr="00CB2DE6">
        <w:rPr>
          <w:rFonts w:ascii="Times New Roman" w:hAnsi="Times New Roman" w:cs="Times New Roman"/>
          <w:sz w:val="20"/>
          <w:szCs w:val="20"/>
        </w:rPr>
        <w:t>constructed using currencies from all</w:t>
      </w:r>
      <w:r w:rsidR="00870E1E" w:rsidRPr="00CB2DE6">
        <w:rPr>
          <w:rFonts w:ascii="Times New Roman" w:hAnsi="Times New Roman" w:cs="Times New Roman"/>
          <w:sz w:val="20"/>
          <w:szCs w:val="20"/>
        </w:rPr>
        <w:t xml:space="preserve"> </w:t>
      </w:r>
      <w:r w:rsidRPr="00CB2DE6">
        <w:rPr>
          <w:rFonts w:ascii="Times New Roman" w:hAnsi="Times New Roman" w:cs="Times New Roman"/>
          <w:sz w:val="20"/>
          <w:szCs w:val="20"/>
        </w:rPr>
        <w:t>and developed</w:t>
      </w:r>
      <w:r w:rsidR="00870E1E" w:rsidRPr="00CB2DE6">
        <w:rPr>
          <w:rFonts w:ascii="Times New Roman" w:hAnsi="Times New Roman" w:cs="Times New Roman"/>
          <w:sz w:val="20"/>
          <w:szCs w:val="20"/>
        </w:rPr>
        <w:t xml:space="preserve"> </w:t>
      </w:r>
      <w:r w:rsidR="00F71616" w:rsidRPr="00CB2DE6">
        <w:rPr>
          <w:rFonts w:ascii="Times New Roman" w:hAnsi="Times New Roman" w:cs="Times New Roman"/>
          <w:sz w:val="20"/>
          <w:szCs w:val="20"/>
        </w:rPr>
        <w:t xml:space="preserve">country </w:t>
      </w:r>
      <w:r w:rsidRPr="00CB2DE6">
        <w:rPr>
          <w:rFonts w:ascii="Times New Roman" w:hAnsi="Times New Roman" w:cs="Times New Roman"/>
          <w:sz w:val="20"/>
          <w:szCs w:val="20"/>
        </w:rPr>
        <w:t xml:space="preserve">samples, respectively. Panel A shows results for the first-pass time-series regressions where excess returns are regressed on </w:t>
      </w:r>
      <w:r w:rsidR="00903D8B" w:rsidRPr="00CB2DE6">
        <w:rPr>
          <w:rFonts w:ascii="Times New Roman" w:hAnsi="Times New Roman" w:cs="Times New Roman"/>
          <w:sz w:val="20"/>
          <w:szCs w:val="20"/>
        </w:rPr>
        <w:t>a</w:t>
      </w:r>
      <w:r w:rsidRPr="00CB2DE6">
        <w:rPr>
          <w:rFonts w:ascii="Times New Roman" w:hAnsi="Times New Roman" w:cs="Times New Roman"/>
          <w:sz w:val="20"/>
          <w:szCs w:val="20"/>
        </w:rPr>
        <w:t xml:space="preserve"> constant (</w:t>
      </w:r>
      <w:r w:rsidRPr="00CB2DE6">
        <w:rPr>
          <w:rFonts w:ascii="Times New Roman" w:hAnsi="Times New Roman" w:cs="Times New Roman"/>
          <w:i/>
          <w:sz w:val="20"/>
          <w:szCs w:val="20"/>
        </w:rPr>
        <w:t>α</w:t>
      </w:r>
      <w:r w:rsidR="00CC5B01" w:rsidRPr="00CB2DE6">
        <w:rPr>
          <w:rFonts w:ascii="Times New Roman" w:hAnsi="Times New Roman" w:cs="Times New Roman"/>
          <w:sz w:val="20"/>
          <w:szCs w:val="20"/>
        </w:rPr>
        <w:t>)</w:t>
      </w:r>
      <w:r w:rsidR="00903D8B" w:rsidRPr="00CB2DE6">
        <w:rPr>
          <w:rFonts w:ascii="Times New Roman" w:hAnsi="Times New Roman" w:cs="Times New Roman"/>
          <w:sz w:val="20"/>
          <w:szCs w:val="20"/>
        </w:rPr>
        <w:t>, DOL, SRVI, and LRVI</w:t>
      </w:r>
      <w:r w:rsidR="00CC5B01" w:rsidRPr="00CB2DE6">
        <w:rPr>
          <w:rFonts w:ascii="Times New Roman" w:hAnsi="Times New Roman" w:cs="Times New Roman"/>
          <w:sz w:val="20"/>
          <w:szCs w:val="20"/>
        </w:rPr>
        <w:t xml:space="preserve">. </w:t>
      </w:r>
      <w:r w:rsidR="00546865" w:rsidRPr="00CB2DE6">
        <w:rPr>
          <w:rFonts w:ascii="Times New Roman" w:hAnsi="Times New Roman" w:cs="Times New Roman"/>
          <w:sz w:val="20"/>
          <w:szCs w:val="20"/>
        </w:rPr>
        <w:t xml:space="preserve">Panel B reports </w:t>
      </w:r>
      <w:r w:rsidRPr="00CB2DE6">
        <w:rPr>
          <w:rFonts w:ascii="Times New Roman" w:hAnsi="Times New Roman" w:cs="Times New Roman"/>
          <w:sz w:val="20"/>
          <w:szCs w:val="20"/>
        </w:rPr>
        <w:t>factor prices (</w:t>
      </w:r>
      <w:r w:rsidRPr="00CB2DE6">
        <w:rPr>
          <w:rFonts w:ascii="Times New Roman" w:hAnsi="Times New Roman" w:cs="Times New Roman"/>
          <w:i/>
          <w:sz w:val="20"/>
          <w:szCs w:val="20"/>
        </w:rPr>
        <w:t>λ</w:t>
      </w:r>
      <w:r w:rsidRPr="00CB2DE6">
        <w:rPr>
          <w:rFonts w:ascii="Times New Roman" w:hAnsi="Times New Roman" w:cs="Times New Roman"/>
          <w:sz w:val="20"/>
          <w:szCs w:val="20"/>
        </w:rPr>
        <w:t>) obtained from the second-pass cross-sectional regression</w:t>
      </w:r>
      <w:r w:rsidR="009B56B5" w:rsidRPr="00CB2DE6">
        <w:rPr>
          <w:rFonts w:ascii="Times New Roman" w:hAnsi="Times New Roman" w:cs="Times New Roman"/>
          <w:sz w:val="20"/>
          <w:szCs w:val="20"/>
        </w:rPr>
        <w:t>s</w:t>
      </w:r>
      <w:r w:rsidRPr="00CB2DE6">
        <w:rPr>
          <w:rFonts w:ascii="Times New Roman" w:hAnsi="Times New Roman" w:cs="Times New Roman"/>
          <w:sz w:val="20"/>
          <w:szCs w:val="20"/>
        </w:rPr>
        <w:t xml:space="preserve"> without a constant. Numbers in brackets are </w:t>
      </w:r>
      <w:r w:rsidR="00D408D8" w:rsidRPr="00CB2DE6">
        <w:rPr>
          <w:rFonts w:ascii="Times New Roman" w:hAnsi="Times New Roman" w:cs="Times New Roman"/>
          <w:sz w:val="20"/>
          <w:szCs w:val="20"/>
        </w:rPr>
        <w:t xml:space="preserve">robust standard errors based on </w:t>
      </w:r>
      <w:r w:rsidR="002D5A88" w:rsidRPr="00CB2DE6">
        <w:rPr>
          <w:rFonts w:ascii="Times New Roman" w:hAnsi="Times New Roman" w:cs="Times New Roman"/>
          <w:sz w:val="20"/>
          <w:szCs w:val="20"/>
        </w:rPr>
        <w:t xml:space="preserve">the </w:t>
      </w:r>
      <w:r w:rsidR="006F3A34" w:rsidRPr="00CB2DE6">
        <w:rPr>
          <w:rFonts w:ascii="Times New Roman" w:hAnsi="Times New Roman" w:cs="Times New Roman"/>
          <w:sz w:val="20"/>
          <w:szCs w:val="20"/>
        </w:rPr>
        <w:t>GMM-</w:t>
      </w:r>
      <w:r w:rsidR="00CC5B01" w:rsidRPr="00CB2DE6">
        <w:rPr>
          <w:rFonts w:ascii="Times New Roman" w:hAnsi="Times New Roman" w:cs="Times New Roman"/>
          <w:sz w:val="20"/>
          <w:szCs w:val="20"/>
        </w:rPr>
        <w:t xml:space="preserve">HAC </w:t>
      </w:r>
      <w:r w:rsidR="009D05EC" w:rsidRPr="00CB2DE6">
        <w:rPr>
          <w:rFonts w:ascii="Times New Roman" w:hAnsi="Times New Roman" w:cs="Times New Roman"/>
          <w:sz w:val="20"/>
          <w:szCs w:val="20"/>
        </w:rPr>
        <w:t>procedure</w:t>
      </w:r>
      <w:r w:rsidR="00880E18" w:rsidRPr="00CB2DE6">
        <w:rPr>
          <w:rFonts w:ascii="Times New Roman" w:hAnsi="Times New Roman" w:cs="Times New Roman"/>
          <w:sz w:val="20"/>
          <w:szCs w:val="20"/>
        </w:rPr>
        <w:t>,</w:t>
      </w:r>
      <w:r w:rsidR="00D408D8" w:rsidRPr="00CB2DE6">
        <w:rPr>
          <w:rFonts w:ascii="Times New Roman" w:hAnsi="Times New Roman" w:cs="Times New Roman"/>
          <w:sz w:val="20"/>
          <w:szCs w:val="20"/>
        </w:rPr>
        <w:t xml:space="preserve"> </w:t>
      </w:r>
      <w:r w:rsidRPr="00CB2DE6">
        <w:rPr>
          <w:rFonts w:ascii="Times New Roman" w:hAnsi="Times New Roman" w:cs="Times New Roman"/>
          <w:sz w:val="20"/>
          <w:szCs w:val="20"/>
        </w:rPr>
        <w:t xml:space="preserve">while numbers in parentheses are </w:t>
      </w:r>
      <w:r w:rsidR="002D5A88" w:rsidRPr="00CB2DE6">
        <w:rPr>
          <w:rFonts w:ascii="Times New Roman" w:hAnsi="Times New Roman" w:cs="Times New Roman"/>
          <w:sz w:val="20"/>
          <w:szCs w:val="20"/>
        </w:rPr>
        <w:t xml:space="preserve">the </w:t>
      </w:r>
      <w:r w:rsidRPr="00CB2DE6">
        <w:rPr>
          <w:rFonts w:ascii="Times New Roman" w:hAnsi="Times New Roman" w:cs="Times New Roman"/>
          <w:sz w:val="20"/>
          <w:szCs w:val="20"/>
        </w:rPr>
        <w:t>Shanken (SH, 1992) corrected standard</w:t>
      </w:r>
      <w:r w:rsidR="00201848" w:rsidRPr="00CB2DE6">
        <w:rPr>
          <w:rFonts w:ascii="Times New Roman" w:hAnsi="Times New Roman" w:cs="Times New Roman"/>
          <w:sz w:val="20"/>
          <w:szCs w:val="20"/>
        </w:rPr>
        <w:t xml:space="preserve"> errors. The table also reports</w:t>
      </w:r>
      <m:oMath>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oMath>
      <w:r w:rsidR="00201848" w:rsidRPr="00CB2DE6">
        <w:rPr>
          <w:rFonts w:ascii="Times New Roman" w:hAnsi="Times New Roman" w:cs="Times New Roman"/>
          <w:sz w:val="20"/>
          <w:szCs w:val="20"/>
        </w:rPr>
        <w:t xml:space="preserve">, </w:t>
      </w:r>
      <w:r w:rsidRPr="00CB2DE6">
        <w:rPr>
          <w:rFonts w:ascii="Times New Roman" w:hAnsi="Times New Roman" w:cs="Times New Roman"/>
          <w:sz w:val="20"/>
          <w:szCs w:val="20"/>
        </w:rPr>
        <w:t xml:space="preserve">mean </w:t>
      </w:r>
      <w:r w:rsidR="006F3A34" w:rsidRPr="00CB2DE6">
        <w:rPr>
          <w:rFonts w:ascii="Times New Roman" w:hAnsi="Times New Roman" w:cs="Times New Roman"/>
          <w:sz w:val="20"/>
          <w:szCs w:val="20"/>
        </w:rPr>
        <w:t>absolute pricing error</w:t>
      </w:r>
      <w:r w:rsidR="00201848" w:rsidRPr="00CB2DE6">
        <w:rPr>
          <w:rFonts w:ascii="Times New Roman" w:hAnsi="Times New Roman" w:cs="Times New Roman"/>
          <w:sz w:val="20"/>
          <w:szCs w:val="20"/>
        </w:rPr>
        <w:t xml:space="preserve"> (MAE</w:t>
      </w:r>
      <w:r w:rsidRPr="00CB2DE6">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r>
              <w:rPr>
                <w:rFonts w:ascii="Cambria Math" w:hAnsi="Cambria Math" w:cs="Times New Roman"/>
                <w:sz w:val="20"/>
                <w:szCs w:val="20"/>
              </w:rPr>
              <m:t>χ</m:t>
            </m:r>
          </m:e>
          <m:sup>
            <m:r>
              <w:rPr>
                <w:rFonts w:ascii="Cambria Math" w:hAnsi="Cambria Math" w:cs="Times New Roman"/>
                <w:sz w:val="20"/>
                <w:szCs w:val="20"/>
              </w:rPr>
              <m:t>2</m:t>
            </m:r>
          </m:sup>
        </m:sSup>
      </m:oMath>
      <w:r w:rsidR="00AF4D9E" w:rsidRPr="00CB2DE6">
        <w:rPr>
          <w:rFonts w:ascii="Times New Roman" w:hAnsi="Times New Roman" w:cs="Times New Roman"/>
          <w:sz w:val="20"/>
          <w:szCs w:val="20"/>
        </w:rPr>
        <w:t xml:space="preserve">-statistics with </w:t>
      </w:r>
      <w:r w:rsidR="00201848" w:rsidRPr="00CB2DE6">
        <w:rPr>
          <w:rFonts w:ascii="Times New Roman" w:hAnsi="Times New Roman" w:cs="Times New Roman"/>
          <w:sz w:val="20"/>
          <w:szCs w:val="20"/>
        </w:rPr>
        <w:t xml:space="preserve">associated </w:t>
      </w:r>
      <w:r w:rsidRPr="00CB2DE6">
        <w:rPr>
          <w:rFonts w:ascii="Times New Roman" w:hAnsi="Times New Roman" w:cs="Times New Roman"/>
          <w:i/>
          <w:sz w:val="20"/>
          <w:szCs w:val="20"/>
        </w:rPr>
        <w:t>p</w:t>
      </w:r>
      <w:r w:rsidR="009B56B5" w:rsidRPr="00CB2DE6">
        <w:rPr>
          <w:rFonts w:ascii="Times New Roman" w:hAnsi="Times New Roman" w:cs="Times New Roman"/>
          <w:sz w:val="20"/>
          <w:szCs w:val="20"/>
        </w:rPr>
        <w:t xml:space="preserve">-values for </w:t>
      </w:r>
      <w:r w:rsidRPr="00CB2DE6">
        <w:rPr>
          <w:rFonts w:ascii="Times New Roman" w:hAnsi="Times New Roman" w:cs="Times New Roman"/>
          <w:sz w:val="20"/>
          <w:szCs w:val="20"/>
        </w:rPr>
        <w:t xml:space="preserve">tests </w:t>
      </w:r>
      <w:r w:rsidR="009B56B5" w:rsidRPr="00CB2DE6">
        <w:rPr>
          <w:rFonts w:ascii="Times New Roman" w:hAnsi="Times New Roman" w:cs="Times New Roman"/>
          <w:sz w:val="20"/>
          <w:szCs w:val="20"/>
        </w:rPr>
        <w:t xml:space="preserve">of </w:t>
      </w:r>
      <w:r w:rsidRPr="00CB2DE6">
        <w:rPr>
          <w:rFonts w:ascii="Times New Roman" w:hAnsi="Times New Roman" w:cs="Times New Roman"/>
          <w:sz w:val="20"/>
          <w:szCs w:val="20"/>
        </w:rPr>
        <w:t xml:space="preserve">pricing errors based on </w:t>
      </w:r>
      <w:r w:rsidR="002D5A88" w:rsidRPr="00CB2DE6">
        <w:rPr>
          <w:rFonts w:ascii="Times New Roman" w:hAnsi="Times New Roman" w:cs="Times New Roman"/>
          <w:sz w:val="20"/>
          <w:szCs w:val="20"/>
        </w:rPr>
        <w:t xml:space="preserve">the </w:t>
      </w:r>
      <w:r w:rsidR="00B50360" w:rsidRPr="00CB2DE6">
        <w:rPr>
          <w:rFonts w:ascii="Times New Roman" w:hAnsi="Times New Roman" w:cs="Times New Roman"/>
          <w:sz w:val="20"/>
          <w:szCs w:val="20"/>
        </w:rPr>
        <w:t xml:space="preserve">GMM-HAC and SH adjustment </w:t>
      </w:r>
      <w:r w:rsidRPr="00CB2DE6">
        <w:rPr>
          <w:rFonts w:ascii="Times New Roman" w:hAnsi="Times New Roman" w:cs="Times New Roman"/>
          <w:sz w:val="20"/>
          <w:szCs w:val="20"/>
        </w:rPr>
        <w:t>method</w:t>
      </w:r>
      <w:r w:rsidR="00201848" w:rsidRPr="00CB2DE6">
        <w:rPr>
          <w:rFonts w:ascii="Times New Roman" w:hAnsi="Times New Roman" w:cs="Times New Roman"/>
          <w:sz w:val="20"/>
          <w:szCs w:val="20"/>
        </w:rPr>
        <w:t>s</w:t>
      </w:r>
      <w:r w:rsidRPr="00CB2DE6">
        <w:rPr>
          <w:rFonts w:ascii="Times New Roman" w:hAnsi="Times New Roman" w:cs="Times New Roman"/>
          <w:sz w:val="20"/>
          <w:szCs w:val="20"/>
        </w:rPr>
        <w:t xml:space="preserve">. All excess returns are monthly (%) and the sample period </w:t>
      </w:r>
      <w:r w:rsidR="002D5A88" w:rsidRPr="00CB2DE6">
        <w:rPr>
          <w:rFonts w:ascii="Times New Roman" w:hAnsi="Times New Roman" w:cs="Times New Roman"/>
          <w:sz w:val="20"/>
          <w:szCs w:val="20"/>
        </w:rPr>
        <w:t xml:space="preserve">is </w:t>
      </w:r>
      <w:r w:rsidRPr="00CB2DE6">
        <w:rPr>
          <w:rFonts w:ascii="Times New Roman" w:hAnsi="Times New Roman" w:cs="Times New Roman"/>
          <w:sz w:val="20"/>
          <w:szCs w:val="20"/>
        </w:rPr>
        <w:t xml:space="preserve">from </w:t>
      </w:r>
      <w:r w:rsidR="00A34FA7" w:rsidRPr="00CB2DE6">
        <w:rPr>
          <w:rFonts w:ascii="Times New Roman" w:hAnsi="Times New Roman" w:cs="Times New Roman"/>
          <w:sz w:val="20"/>
          <w:szCs w:val="20"/>
        </w:rPr>
        <w:t xml:space="preserve">May 1987 </w:t>
      </w:r>
      <w:r w:rsidR="00201848" w:rsidRPr="00CB2DE6">
        <w:rPr>
          <w:rFonts w:ascii="Times New Roman" w:hAnsi="Times New Roman" w:cs="Times New Roman"/>
          <w:sz w:val="20"/>
          <w:szCs w:val="20"/>
        </w:rPr>
        <w:t>to February 2013</w:t>
      </w:r>
      <w:r w:rsidRPr="00CB2DE6">
        <w:rPr>
          <w:rFonts w:ascii="Times New Roman" w:hAnsi="Times New Roman" w:cs="Times New Roman"/>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1011"/>
        <w:gridCol w:w="771"/>
        <w:gridCol w:w="771"/>
        <w:gridCol w:w="771"/>
        <w:gridCol w:w="644"/>
        <w:gridCol w:w="222"/>
        <w:gridCol w:w="892"/>
        <w:gridCol w:w="1011"/>
        <w:gridCol w:w="771"/>
        <w:gridCol w:w="887"/>
        <w:gridCol w:w="771"/>
        <w:gridCol w:w="686"/>
        <w:gridCol w:w="222"/>
      </w:tblGrid>
      <w:tr w:rsidR="00725836" w:rsidRPr="00CB2DE6" w:rsidTr="00E618E5">
        <w:trPr>
          <w:gridAfter w:val="1"/>
          <w:jc w:val="center"/>
        </w:trPr>
        <w:tc>
          <w:tcPr>
            <w:tcW w:w="0" w:type="auto"/>
            <w:gridSpan w:val="13"/>
            <w:tcBorders>
              <w:top w:val="single" w:sz="4" w:space="0" w:color="auto"/>
              <w:bottom w:val="single" w:sz="4" w:space="0" w:color="auto"/>
            </w:tcBorders>
          </w:tcPr>
          <w:p w:rsidR="00725836" w:rsidRPr="00CB2DE6" w:rsidRDefault="00725836" w:rsidP="0004193A">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Panel A: Factor Betas</w:t>
            </w:r>
          </w:p>
        </w:tc>
      </w:tr>
      <w:tr w:rsidR="00725836" w:rsidRPr="00CB2DE6" w:rsidTr="00E618E5">
        <w:trPr>
          <w:gridAfter w:val="1"/>
          <w:jc w:val="center"/>
        </w:trPr>
        <w:tc>
          <w:tcPr>
            <w:tcW w:w="0" w:type="auto"/>
            <w:gridSpan w:val="6"/>
            <w:tcBorders>
              <w:top w:val="single" w:sz="4" w:space="0" w:color="auto"/>
              <w:bottom w:val="single" w:sz="4" w:space="0" w:color="auto"/>
            </w:tcBorders>
          </w:tcPr>
          <w:p w:rsidR="00725836" w:rsidRPr="00CB2DE6" w:rsidRDefault="00725836" w:rsidP="0004193A">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All Countries (with</w:t>
            </w:r>
            <w:r w:rsidR="00D4623B" w:rsidRPr="00CB2DE6">
              <w:rPr>
                <w:rFonts w:ascii="Times New Roman" w:hAnsi="Times New Roman" w:cs="Times New Roman"/>
                <w:sz w:val="19"/>
                <w:szCs w:val="19"/>
              </w:rPr>
              <w:t>out</w:t>
            </w:r>
            <w:r w:rsidRPr="00CB2DE6">
              <w:rPr>
                <w:rFonts w:ascii="Times New Roman" w:hAnsi="Times New Roman" w:cs="Times New Roman"/>
                <w:sz w:val="19"/>
                <w:szCs w:val="19"/>
              </w:rPr>
              <w:t xml:space="preserve"> b</w:t>
            </w:r>
            <w:r w:rsidR="00923793" w:rsidRPr="00CB2DE6">
              <w:rPr>
                <w:rFonts w:ascii="Times New Roman" w:hAnsi="Times New Roman" w:cs="Times New Roman"/>
                <w:sz w:val="19"/>
                <w:szCs w:val="19"/>
              </w:rPr>
              <w:t>id</w:t>
            </w:r>
            <w:r w:rsidRPr="00CB2DE6">
              <w:rPr>
                <w:rFonts w:ascii="Times New Roman" w:hAnsi="Times New Roman" w:cs="Times New Roman"/>
                <w:sz w:val="19"/>
                <w:szCs w:val="19"/>
              </w:rPr>
              <w:t>-a</w:t>
            </w:r>
            <w:r w:rsidR="00923793" w:rsidRPr="00CB2DE6">
              <w:rPr>
                <w:rFonts w:ascii="Times New Roman" w:hAnsi="Times New Roman" w:cs="Times New Roman"/>
                <w:sz w:val="19"/>
                <w:szCs w:val="19"/>
              </w:rPr>
              <w:t>sk</w:t>
            </w:r>
            <w:r w:rsidRPr="00CB2DE6">
              <w:rPr>
                <w:rFonts w:ascii="Times New Roman" w:hAnsi="Times New Roman" w:cs="Times New Roman"/>
                <w:sz w:val="19"/>
                <w:szCs w:val="19"/>
              </w:rPr>
              <w:t>)</w:t>
            </w:r>
          </w:p>
        </w:tc>
        <w:tc>
          <w:tcPr>
            <w:tcW w:w="0" w:type="auto"/>
            <w:tcBorders>
              <w:top w:val="single" w:sz="4" w:space="0" w:color="auto"/>
            </w:tcBorders>
          </w:tcPr>
          <w:p w:rsidR="00725836" w:rsidRPr="00CB2DE6" w:rsidRDefault="00725836" w:rsidP="0004193A">
            <w:pPr>
              <w:spacing w:before="20" w:after="20"/>
              <w:rPr>
                <w:rFonts w:ascii="Times New Roman" w:hAnsi="Times New Roman" w:cs="Times New Roman"/>
                <w:sz w:val="19"/>
                <w:szCs w:val="19"/>
              </w:rPr>
            </w:pPr>
          </w:p>
        </w:tc>
        <w:tc>
          <w:tcPr>
            <w:tcW w:w="0" w:type="auto"/>
            <w:gridSpan w:val="6"/>
            <w:tcBorders>
              <w:top w:val="single" w:sz="4" w:space="0" w:color="auto"/>
              <w:bottom w:val="single" w:sz="4" w:space="0" w:color="auto"/>
            </w:tcBorders>
          </w:tcPr>
          <w:p w:rsidR="00725836" w:rsidRPr="00CB2DE6" w:rsidRDefault="00725836" w:rsidP="0004193A">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Developed Countries (with</w:t>
            </w:r>
            <w:r w:rsidR="00D4623B" w:rsidRPr="00CB2DE6">
              <w:rPr>
                <w:rFonts w:ascii="Times New Roman" w:hAnsi="Times New Roman" w:cs="Times New Roman"/>
                <w:sz w:val="19"/>
                <w:szCs w:val="19"/>
              </w:rPr>
              <w:t>out</w:t>
            </w:r>
            <w:r w:rsidRPr="00CB2DE6">
              <w:rPr>
                <w:rFonts w:ascii="Times New Roman" w:hAnsi="Times New Roman" w:cs="Times New Roman"/>
                <w:sz w:val="19"/>
                <w:szCs w:val="19"/>
              </w:rPr>
              <w:t xml:space="preserve"> b</w:t>
            </w:r>
            <w:r w:rsidR="00923793" w:rsidRPr="00CB2DE6">
              <w:rPr>
                <w:rFonts w:ascii="Times New Roman" w:hAnsi="Times New Roman" w:cs="Times New Roman"/>
                <w:sz w:val="19"/>
                <w:szCs w:val="19"/>
              </w:rPr>
              <w:t>id</w:t>
            </w:r>
            <w:r w:rsidRPr="00CB2DE6">
              <w:rPr>
                <w:rFonts w:ascii="Times New Roman" w:hAnsi="Times New Roman" w:cs="Times New Roman"/>
                <w:sz w:val="19"/>
                <w:szCs w:val="19"/>
              </w:rPr>
              <w:t>-a</w:t>
            </w:r>
            <w:r w:rsidR="00923793" w:rsidRPr="00CB2DE6">
              <w:rPr>
                <w:rFonts w:ascii="Times New Roman" w:hAnsi="Times New Roman" w:cs="Times New Roman"/>
                <w:sz w:val="19"/>
                <w:szCs w:val="19"/>
              </w:rPr>
              <w:t>sk</w:t>
            </w:r>
            <w:r w:rsidRPr="00CB2DE6">
              <w:rPr>
                <w:rFonts w:ascii="Times New Roman" w:hAnsi="Times New Roman" w:cs="Times New Roman"/>
                <w:sz w:val="19"/>
                <w:szCs w:val="19"/>
              </w:rPr>
              <w:t>)</w:t>
            </w:r>
          </w:p>
        </w:tc>
      </w:tr>
      <w:tr w:rsidR="00725836" w:rsidRPr="00CB2DE6" w:rsidTr="00E618E5">
        <w:trPr>
          <w:gridAfter w:val="1"/>
          <w:jc w:val="center"/>
        </w:trPr>
        <w:tc>
          <w:tcPr>
            <w:tcW w:w="0" w:type="auto"/>
            <w:tcBorders>
              <w:top w:val="single" w:sz="4" w:space="0" w:color="auto"/>
              <w:bottom w:val="single" w:sz="4" w:space="0" w:color="auto"/>
            </w:tcBorders>
          </w:tcPr>
          <w:p w:rsidR="00725836" w:rsidRPr="00CB2DE6" w:rsidRDefault="00347506" w:rsidP="0004193A">
            <w:pPr>
              <w:spacing w:before="20" w:after="20"/>
              <w:rPr>
                <w:rFonts w:ascii="Times New Roman" w:hAnsi="Times New Roman" w:cs="Times New Roman"/>
                <w:sz w:val="19"/>
                <w:szCs w:val="19"/>
              </w:rPr>
            </w:pPr>
            <w:r w:rsidRPr="00CB2DE6">
              <w:rPr>
                <w:rFonts w:ascii="Times New Roman" w:hAnsi="Times New Roman" w:cs="Times New Roman"/>
                <w:sz w:val="19"/>
                <w:szCs w:val="19"/>
              </w:rPr>
              <w:t>Portfolio</w:t>
            </w:r>
          </w:p>
        </w:tc>
        <w:tc>
          <w:tcPr>
            <w:tcW w:w="0" w:type="auto"/>
            <w:tcBorders>
              <w:top w:val="single" w:sz="4" w:space="0" w:color="auto"/>
              <w:bottom w:val="single" w:sz="4" w:space="0" w:color="auto"/>
            </w:tcBorders>
          </w:tcPr>
          <w:p w:rsidR="00725836" w:rsidRPr="00CB2DE6" w:rsidRDefault="00CF48DB" w:rsidP="006619F8">
            <w:pPr>
              <w:spacing w:before="20" w:after="20"/>
              <w:jc w:val="right"/>
              <w:rPr>
                <w:rFonts w:ascii="Times New Roman" w:hAnsi="Times New Roman" w:cs="Times New Roman"/>
                <w:i/>
                <w:sz w:val="19"/>
                <w:szCs w:val="19"/>
              </w:rPr>
            </w:pPr>
            <w:r w:rsidRPr="00CB2DE6">
              <w:rPr>
                <w:rFonts w:ascii="Times New Roman" w:hAnsi="Times New Roman" w:cs="Times New Roman"/>
                <w:i/>
                <w:sz w:val="19"/>
                <w:szCs w:val="19"/>
              </w:rPr>
              <w:t xml:space="preserve">           </w:t>
            </w:r>
            <w:r w:rsidR="00903D8B" w:rsidRPr="00CB2DE6">
              <w:rPr>
                <w:rFonts w:ascii="Times New Roman" w:hAnsi="Times New Roman" w:cs="Times New Roman"/>
                <w:i/>
                <w:sz w:val="19"/>
                <w:szCs w:val="19"/>
              </w:rPr>
              <w:t xml:space="preserve"> </w:t>
            </w:r>
            <m:oMath>
              <m:acc>
                <m:accPr>
                  <m:ctrlPr>
                    <w:rPr>
                      <w:rFonts w:ascii="Cambria Math" w:hAnsi="Cambria Math" w:cs="Times New Roman"/>
                      <w:i/>
                      <w:sz w:val="19"/>
                      <w:szCs w:val="19"/>
                    </w:rPr>
                  </m:ctrlPr>
                </m:accPr>
                <m:e>
                  <m:r>
                    <w:rPr>
                      <w:rFonts w:ascii="Cambria Math" w:hAnsi="Cambria Math" w:cs="Times New Roman"/>
                      <w:sz w:val="19"/>
                      <w:szCs w:val="19"/>
                    </w:rPr>
                    <m:t>α</m:t>
                  </m:r>
                </m:e>
              </m:acc>
            </m:oMath>
          </w:p>
        </w:tc>
        <w:tc>
          <w:tcPr>
            <w:tcW w:w="0" w:type="auto"/>
            <w:tcBorders>
              <w:top w:val="single" w:sz="4" w:space="0" w:color="auto"/>
              <w:bottom w:val="single" w:sz="4" w:space="0" w:color="auto"/>
            </w:tcBorders>
          </w:tcPr>
          <w:p w:rsidR="00725836" w:rsidRPr="00CB2DE6" w:rsidRDefault="00725836"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DOL</w:t>
            </w:r>
          </w:p>
        </w:tc>
        <w:tc>
          <w:tcPr>
            <w:tcW w:w="0" w:type="auto"/>
            <w:tcBorders>
              <w:top w:val="single" w:sz="4" w:space="0" w:color="auto"/>
              <w:bottom w:val="single" w:sz="4" w:space="0" w:color="auto"/>
            </w:tcBorders>
          </w:tcPr>
          <w:p w:rsidR="00725836" w:rsidRPr="00CB2DE6" w:rsidRDefault="00725836"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SRVI</w:t>
            </w:r>
          </w:p>
        </w:tc>
        <w:tc>
          <w:tcPr>
            <w:tcW w:w="0" w:type="auto"/>
            <w:tcBorders>
              <w:top w:val="single" w:sz="4" w:space="0" w:color="auto"/>
              <w:bottom w:val="single" w:sz="4" w:space="0" w:color="auto"/>
            </w:tcBorders>
          </w:tcPr>
          <w:p w:rsidR="00725836" w:rsidRPr="00CB2DE6" w:rsidRDefault="00725836"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LRVI</w:t>
            </w:r>
          </w:p>
        </w:tc>
        <w:tc>
          <w:tcPr>
            <w:tcW w:w="0" w:type="auto"/>
            <w:tcBorders>
              <w:top w:val="single" w:sz="4" w:space="0" w:color="auto"/>
              <w:bottom w:val="single" w:sz="4" w:space="0" w:color="auto"/>
            </w:tcBorders>
          </w:tcPr>
          <w:p w:rsidR="00725836" w:rsidRPr="00CB2DE6" w:rsidRDefault="00497F73" w:rsidP="006619F8">
            <w:pPr>
              <w:spacing w:before="20" w:after="20"/>
              <w:jc w:val="right"/>
              <w:rPr>
                <w:rFonts w:ascii="Times New Roman" w:hAnsi="Times New Roman" w:cs="Times New Roman"/>
                <w:sz w:val="19"/>
                <w:szCs w:val="19"/>
              </w:rPr>
            </w:pPr>
            <m:oMath>
              <m:sSup>
                <m:sSupPr>
                  <m:ctrlPr>
                    <w:rPr>
                      <w:rFonts w:ascii="Cambria Math" w:hAnsi="Cambria Math" w:cs="Times New Roman"/>
                      <w:i/>
                      <w:sz w:val="19"/>
                      <w:szCs w:val="19"/>
                    </w:rPr>
                  </m:ctrlPr>
                </m:sSupPr>
                <m:e>
                  <m:r>
                    <w:rPr>
                      <w:rFonts w:ascii="Cambria Math" w:hAnsi="Cambria Math" w:cs="Times New Roman"/>
                      <w:sz w:val="19"/>
                      <w:szCs w:val="19"/>
                    </w:rPr>
                    <m:t>R</m:t>
                  </m:r>
                </m:e>
                <m:sup>
                  <m:r>
                    <w:rPr>
                      <w:rFonts w:ascii="Cambria Math" w:hAnsi="Cambria Math" w:cs="Times New Roman"/>
                      <w:sz w:val="19"/>
                      <w:szCs w:val="19"/>
                    </w:rPr>
                    <m:t>2</m:t>
                  </m:r>
                </m:sup>
              </m:sSup>
            </m:oMath>
            <w:r w:rsidR="00725836" w:rsidRPr="00CB2DE6">
              <w:rPr>
                <w:rFonts w:ascii="Times New Roman" w:hAnsi="Times New Roman" w:cs="Times New Roman"/>
                <w:sz w:val="19"/>
                <w:szCs w:val="19"/>
              </w:rPr>
              <w:t xml:space="preserve">     </w:t>
            </w:r>
          </w:p>
        </w:tc>
        <w:tc>
          <w:tcPr>
            <w:tcW w:w="0" w:type="auto"/>
          </w:tcPr>
          <w:p w:rsidR="00725836" w:rsidRPr="00CB2DE6" w:rsidRDefault="00725836" w:rsidP="006619F8">
            <w:pPr>
              <w:spacing w:before="20" w:after="20"/>
              <w:jc w:val="right"/>
              <w:rPr>
                <w:rFonts w:ascii="Times New Roman" w:hAnsi="Times New Roman" w:cs="Times New Roman"/>
                <w:sz w:val="19"/>
                <w:szCs w:val="19"/>
              </w:rPr>
            </w:pPr>
          </w:p>
        </w:tc>
        <w:tc>
          <w:tcPr>
            <w:tcW w:w="0" w:type="auto"/>
            <w:tcBorders>
              <w:top w:val="single" w:sz="4" w:space="0" w:color="auto"/>
              <w:bottom w:val="single" w:sz="4" w:space="0" w:color="auto"/>
            </w:tcBorders>
          </w:tcPr>
          <w:p w:rsidR="00725836" w:rsidRPr="00CB2DE6" w:rsidRDefault="00347506"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Portfolio</w:t>
            </w:r>
          </w:p>
        </w:tc>
        <w:tc>
          <w:tcPr>
            <w:tcW w:w="0" w:type="auto"/>
            <w:tcBorders>
              <w:top w:val="single" w:sz="4" w:space="0" w:color="auto"/>
              <w:bottom w:val="single" w:sz="4" w:space="0" w:color="auto"/>
            </w:tcBorders>
          </w:tcPr>
          <w:p w:rsidR="00725836" w:rsidRPr="00CB2DE6" w:rsidRDefault="00903D8B" w:rsidP="006619F8">
            <w:pPr>
              <w:spacing w:before="20" w:after="20"/>
              <w:jc w:val="right"/>
              <w:rPr>
                <w:rFonts w:ascii="Times New Roman" w:hAnsi="Times New Roman" w:cs="Times New Roman"/>
                <w:i/>
                <w:sz w:val="19"/>
                <w:szCs w:val="19"/>
              </w:rPr>
            </w:pPr>
            <w:r w:rsidRPr="00CB2DE6">
              <w:rPr>
                <w:rFonts w:ascii="Times New Roman" w:hAnsi="Times New Roman" w:cs="Times New Roman"/>
                <w:i/>
                <w:sz w:val="19"/>
                <w:szCs w:val="19"/>
              </w:rPr>
              <w:t xml:space="preserve">       </w:t>
            </w:r>
            <w:r w:rsidR="00CF48DB" w:rsidRPr="00CB2DE6">
              <w:rPr>
                <w:rFonts w:ascii="Times New Roman" w:hAnsi="Times New Roman" w:cs="Times New Roman"/>
                <w:i/>
                <w:sz w:val="19"/>
                <w:szCs w:val="19"/>
              </w:rPr>
              <w:t xml:space="preserve">  </w:t>
            </w:r>
            <w:r w:rsidRPr="00CB2DE6">
              <w:rPr>
                <w:rFonts w:ascii="Times New Roman" w:hAnsi="Times New Roman" w:cs="Times New Roman"/>
                <w:i/>
                <w:sz w:val="19"/>
                <w:szCs w:val="19"/>
              </w:rPr>
              <w:t xml:space="preserve"> </w:t>
            </w:r>
            <m:oMath>
              <m:acc>
                <m:accPr>
                  <m:ctrlPr>
                    <w:rPr>
                      <w:rFonts w:ascii="Cambria Math" w:hAnsi="Cambria Math" w:cs="Times New Roman"/>
                      <w:i/>
                      <w:sz w:val="19"/>
                      <w:szCs w:val="19"/>
                    </w:rPr>
                  </m:ctrlPr>
                </m:accPr>
                <m:e>
                  <m:r>
                    <w:rPr>
                      <w:rFonts w:ascii="Cambria Math" w:hAnsi="Cambria Math" w:cs="Times New Roman"/>
                      <w:sz w:val="19"/>
                      <w:szCs w:val="19"/>
                    </w:rPr>
                    <m:t>α</m:t>
                  </m:r>
                </m:e>
              </m:acc>
            </m:oMath>
          </w:p>
        </w:tc>
        <w:tc>
          <w:tcPr>
            <w:tcW w:w="0" w:type="auto"/>
            <w:tcBorders>
              <w:top w:val="single" w:sz="4" w:space="0" w:color="auto"/>
              <w:bottom w:val="single" w:sz="4" w:space="0" w:color="auto"/>
            </w:tcBorders>
          </w:tcPr>
          <w:p w:rsidR="00725836" w:rsidRPr="00CB2DE6" w:rsidRDefault="00725836"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DOL</w:t>
            </w:r>
          </w:p>
        </w:tc>
        <w:tc>
          <w:tcPr>
            <w:tcW w:w="0" w:type="auto"/>
            <w:tcBorders>
              <w:top w:val="single" w:sz="4" w:space="0" w:color="auto"/>
              <w:bottom w:val="single" w:sz="4" w:space="0" w:color="auto"/>
            </w:tcBorders>
          </w:tcPr>
          <w:p w:rsidR="00725836" w:rsidRPr="00CB2DE6" w:rsidRDefault="00725836"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SRVI</w:t>
            </w:r>
          </w:p>
        </w:tc>
        <w:tc>
          <w:tcPr>
            <w:tcW w:w="0" w:type="auto"/>
            <w:tcBorders>
              <w:top w:val="single" w:sz="4" w:space="0" w:color="auto"/>
              <w:bottom w:val="single" w:sz="4" w:space="0" w:color="auto"/>
            </w:tcBorders>
          </w:tcPr>
          <w:p w:rsidR="00725836" w:rsidRPr="00CB2DE6" w:rsidRDefault="00725836"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LRVI</w:t>
            </w:r>
          </w:p>
        </w:tc>
        <w:tc>
          <w:tcPr>
            <w:tcW w:w="0" w:type="auto"/>
            <w:tcBorders>
              <w:top w:val="single" w:sz="4" w:space="0" w:color="auto"/>
              <w:bottom w:val="single" w:sz="4" w:space="0" w:color="auto"/>
            </w:tcBorders>
          </w:tcPr>
          <w:p w:rsidR="00725836" w:rsidRPr="00CB2DE6" w:rsidRDefault="00497F73" w:rsidP="006619F8">
            <w:pPr>
              <w:spacing w:before="20" w:after="20"/>
              <w:jc w:val="right"/>
              <w:rPr>
                <w:rFonts w:ascii="Times New Roman" w:hAnsi="Times New Roman" w:cs="Times New Roman"/>
                <w:sz w:val="19"/>
                <w:szCs w:val="19"/>
              </w:rPr>
            </w:pPr>
            <m:oMathPara>
              <m:oMathParaPr>
                <m:jc m:val="right"/>
              </m:oMathParaPr>
              <m:oMath>
                <m:sSup>
                  <m:sSupPr>
                    <m:ctrlPr>
                      <w:rPr>
                        <w:rFonts w:ascii="Cambria Math" w:hAnsi="Cambria Math" w:cs="Times New Roman"/>
                        <w:i/>
                        <w:sz w:val="19"/>
                        <w:szCs w:val="19"/>
                      </w:rPr>
                    </m:ctrlPr>
                  </m:sSupPr>
                  <m:e>
                    <m:r>
                      <w:rPr>
                        <w:rFonts w:ascii="Cambria Math" w:hAnsi="Cambria Math" w:cs="Times New Roman"/>
                        <w:sz w:val="19"/>
                        <w:szCs w:val="19"/>
                      </w:rPr>
                      <m:t>R</m:t>
                    </m:r>
                  </m:e>
                  <m:sup>
                    <m:r>
                      <w:rPr>
                        <w:rFonts w:ascii="Cambria Math" w:hAnsi="Cambria Math" w:cs="Times New Roman"/>
                        <w:sz w:val="19"/>
                        <w:szCs w:val="19"/>
                      </w:rPr>
                      <m:t>2</m:t>
                    </m:r>
                  </m:sup>
                </m:sSup>
              </m:oMath>
            </m:oMathPara>
          </w:p>
        </w:tc>
      </w:tr>
      <w:tr w:rsidR="00753343" w:rsidRPr="00CB2DE6" w:rsidTr="00E618E5">
        <w:trPr>
          <w:gridAfter w:val="1"/>
          <w:jc w:val="center"/>
        </w:trPr>
        <w:tc>
          <w:tcPr>
            <w:tcW w:w="0" w:type="auto"/>
            <w:tcBorders>
              <w:top w:val="single" w:sz="4" w:space="0" w:color="auto"/>
            </w:tcBorders>
          </w:tcPr>
          <w:p w:rsidR="00753343" w:rsidRPr="00CB2DE6" w:rsidRDefault="00753343" w:rsidP="00903D8B">
            <w:pPr>
              <w:spacing w:before="120"/>
              <w:rPr>
                <w:rFonts w:ascii="Times New Roman" w:hAnsi="Times New Roman" w:cs="Times New Roman"/>
                <w:sz w:val="19"/>
                <w:szCs w:val="19"/>
              </w:rPr>
            </w:pPr>
            <w:r w:rsidRPr="00CB2DE6">
              <w:rPr>
                <w:rFonts w:ascii="Times New Roman" w:hAnsi="Times New Roman" w:cs="Times New Roman"/>
                <w:sz w:val="19"/>
                <w:szCs w:val="19"/>
              </w:rPr>
              <w:t>1</w:t>
            </w:r>
          </w:p>
        </w:tc>
        <w:tc>
          <w:tcPr>
            <w:tcW w:w="0" w:type="auto"/>
            <w:tcBorders>
              <w:top w:val="single" w:sz="4" w:space="0" w:color="auto"/>
            </w:tcBorders>
          </w:tcPr>
          <w:p w:rsidR="00753343" w:rsidRPr="00CB2DE6" w:rsidRDefault="00C619A5"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-0.3</w:t>
            </w:r>
            <w:r w:rsidR="00C23FEA" w:rsidRPr="00CB2DE6">
              <w:rPr>
                <w:rFonts w:ascii="Times New Roman" w:hAnsi="Times New Roman" w:cs="Times New Roman"/>
                <w:sz w:val="19"/>
                <w:szCs w:val="19"/>
              </w:rPr>
              <w:t>08</w:t>
            </w:r>
          </w:p>
        </w:tc>
        <w:tc>
          <w:tcPr>
            <w:tcW w:w="0" w:type="auto"/>
            <w:tcBorders>
              <w:top w:val="single" w:sz="4" w:space="0" w:color="auto"/>
            </w:tcBorders>
          </w:tcPr>
          <w:p w:rsidR="00753343" w:rsidRPr="00CB2DE6" w:rsidRDefault="00C619A5"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0.84</w:t>
            </w:r>
            <w:r w:rsidR="00C23FEA" w:rsidRPr="00CB2DE6">
              <w:rPr>
                <w:rFonts w:ascii="Times New Roman" w:hAnsi="Times New Roman" w:cs="Times New Roman"/>
                <w:sz w:val="19"/>
                <w:szCs w:val="19"/>
              </w:rPr>
              <w:t>2</w:t>
            </w:r>
          </w:p>
        </w:tc>
        <w:tc>
          <w:tcPr>
            <w:tcW w:w="0" w:type="auto"/>
            <w:tcBorders>
              <w:top w:val="single" w:sz="4" w:space="0" w:color="auto"/>
            </w:tcBorders>
          </w:tcPr>
          <w:p w:rsidR="00753343" w:rsidRPr="00CB2DE6" w:rsidRDefault="00C619A5"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1.4</w:t>
            </w:r>
            <w:r w:rsidR="00C23FEA" w:rsidRPr="00CB2DE6">
              <w:rPr>
                <w:rFonts w:ascii="Times New Roman" w:hAnsi="Times New Roman" w:cs="Times New Roman"/>
                <w:sz w:val="19"/>
                <w:szCs w:val="19"/>
              </w:rPr>
              <w:t>57</w:t>
            </w:r>
          </w:p>
        </w:tc>
        <w:tc>
          <w:tcPr>
            <w:tcW w:w="0" w:type="auto"/>
            <w:tcBorders>
              <w:top w:val="single" w:sz="4" w:space="0" w:color="auto"/>
            </w:tcBorders>
          </w:tcPr>
          <w:p w:rsidR="00753343" w:rsidRPr="00CB2DE6" w:rsidRDefault="00C619A5"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3.15</w:t>
            </w:r>
            <w:r w:rsidR="00C23FEA" w:rsidRPr="00CB2DE6">
              <w:rPr>
                <w:rFonts w:ascii="Times New Roman" w:hAnsi="Times New Roman" w:cs="Times New Roman"/>
                <w:sz w:val="19"/>
                <w:szCs w:val="19"/>
              </w:rPr>
              <w:t>1</w:t>
            </w:r>
          </w:p>
        </w:tc>
        <w:tc>
          <w:tcPr>
            <w:tcW w:w="0" w:type="auto"/>
            <w:tcBorders>
              <w:top w:val="single" w:sz="4" w:space="0" w:color="auto"/>
            </w:tcBorders>
          </w:tcPr>
          <w:p w:rsidR="00753343" w:rsidRPr="00CB2DE6" w:rsidRDefault="00C619A5"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0.74</w:t>
            </w:r>
            <w:r w:rsidR="00C23FEA" w:rsidRPr="00CB2DE6">
              <w:rPr>
                <w:rFonts w:ascii="Times New Roman" w:hAnsi="Times New Roman" w:cs="Times New Roman"/>
                <w:sz w:val="19"/>
                <w:szCs w:val="19"/>
              </w:rPr>
              <w:t>3</w:t>
            </w:r>
          </w:p>
        </w:tc>
        <w:tc>
          <w:tcPr>
            <w:tcW w:w="0" w:type="auto"/>
          </w:tcPr>
          <w:p w:rsidR="00753343" w:rsidRPr="00CB2DE6" w:rsidRDefault="00753343" w:rsidP="006619F8">
            <w:pPr>
              <w:spacing w:before="120"/>
              <w:jc w:val="right"/>
              <w:rPr>
                <w:rFonts w:ascii="Times New Roman" w:hAnsi="Times New Roman" w:cs="Times New Roman"/>
                <w:sz w:val="19"/>
                <w:szCs w:val="19"/>
              </w:rPr>
            </w:pPr>
          </w:p>
        </w:tc>
        <w:tc>
          <w:tcPr>
            <w:tcW w:w="0" w:type="auto"/>
            <w:tcBorders>
              <w:top w:val="single" w:sz="4" w:space="0" w:color="auto"/>
            </w:tcBorders>
          </w:tcPr>
          <w:p w:rsidR="00753343" w:rsidRPr="00CB2DE6" w:rsidRDefault="00753343" w:rsidP="006619F8">
            <w:pPr>
              <w:spacing w:before="120"/>
              <w:rPr>
                <w:rFonts w:ascii="Times New Roman" w:hAnsi="Times New Roman" w:cs="Times New Roman"/>
                <w:sz w:val="19"/>
                <w:szCs w:val="19"/>
              </w:rPr>
            </w:pPr>
            <w:r w:rsidRPr="00CB2DE6">
              <w:rPr>
                <w:rFonts w:ascii="Times New Roman" w:hAnsi="Times New Roman" w:cs="Times New Roman"/>
                <w:sz w:val="19"/>
                <w:szCs w:val="19"/>
              </w:rPr>
              <w:t>1</w:t>
            </w:r>
          </w:p>
        </w:tc>
        <w:tc>
          <w:tcPr>
            <w:tcW w:w="0" w:type="auto"/>
            <w:tcBorders>
              <w:top w:val="single" w:sz="4" w:space="0" w:color="auto"/>
            </w:tcBorders>
          </w:tcPr>
          <w:p w:rsidR="00753343" w:rsidRPr="00CB2DE6" w:rsidRDefault="00B81620"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-0.233</w:t>
            </w:r>
          </w:p>
        </w:tc>
        <w:tc>
          <w:tcPr>
            <w:tcW w:w="0" w:type="auto"/>
            <w:tcBorders>
              <w:top w:val="single" w:sz="4" w:space="0" w:color="auto"/>
            </w:tcBorders>
          </w:tcPr>
          <w:p w:rsidR="00753343" w:rsidRPr="00CB2DE6" w:rsidRDefault="00B81620"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0.859</w:t>
            </w:r>
          </w:p>
        </w:tc>
        <w:tc>
          <w:tcPr>
            <w:tcW w:w="0" w:type="auto"/>
            <w:tcBorders>
              <w:top w:val="single" w:sz="4" w:space="0" w:color="auto"/>
            </w:tcBorders>
          </w:tcPr>
          <w:p w:rsidR="00753343" w:rsidRPr="00CB2DE6" w:rsidRDefault="00B81620"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-0.003</w:t>
            </w:r>
          </w:p>
        </w:tc>
        <w:tc>
          <w:tcPr>
            <w:tcW w:w="0" w:type="auto"/>
            <w:tcBorders>
              <w:top w:val="single" w:sz="4" w:space="0" w:color="auto"/>
            </w:tcBorders>
          </w:tcPr>
          <w:p w:rsidR="00753343" w:rsidRPr="00CB2DE6" w:rsidRDefault="00B81620"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5.592</w:t>
            </w:r>
          </w:p>
        </w:tc>
        <w:tc>
          <w:tcPr>
            <w:tcW w:w="0" w:type="auto"/>
            <w:tcBorders>
              <w:top w:val="single" w:sz="4" w:space="0" w:color="auto"/>
            </w:tcBorders>
          </w:tcPr>
          <w:p w:rsidR="00753343" w:rsidRPr="00CB2DE6" w:rsidRDefault="00B81620"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0.623</w:t>
            </w:r>
          </w:p>
        </w:tc>
      </w:tr>
      <w:tr w:rsidR="00753343" w:rsidRPr="00CB2DE6" w:rsidTr="00E618E5">
        <w:trPr>
          <w:gridAfter w:val="1"/>
          <w:jc w:val="center"/>
        </w:trPr>
        <w:tc>
          <w:tcPr>
            <w:tcW w:w="0" w:type="auto"/>
          </w:tcPr>
          <w:p w:rsidR="00753343" w:rsidRPr="00CB2DE6" w:rsidRDefault="00753343" w:rsidP="00E516F3">
            <w:pPr>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C619A5" w:rsidRPr="00CB2DE6">
              <w:rPr>
                <w:rFonts w:ascii="Times New Roman" w:hAnsi="Times New Roman" w:cs="Times New Roman"/>
                <w:sz w:val="19"/>
                <w:szCs w:val="19"/>
              </w:rPr>
              <w:t>0.0</w:t>
            </w:r>
            <w:r w:rsidR="00C23FEA" w:rsidRPr="00CB2DE6">
              <w:rPr>
                <w:rFonts w:ascii="Times New Roman" w:hAnsi="Times New Roman" w:cs="Times New Roman"/>
                <w:sz w:val="19"/>
                <w:szCs w:val="19"/>
              </w:rPr>
              <w:t>59</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C619A5" w:rsidRPr="00CB2DE6">
              <w:rPr>
                <w:rFonts w:ascii="Times New Roman" w:hAnsi="Times New Roman" w:cs="Times New Roman"/>
                <w:sz w:val="19"/>
                <w:szCs w:val="19"/>
              </w:rPr>
              <w:t>0.0</w:t>
            </w:r>
            <w:r w:rsidR="00C23FEA" w:rsidRPr="00CB2DE6">
              <w:rPr>
                <w:rFonts w:ascii="Times New Roman" w:hAnsi="Times New Roman" w:cs="Times New Roman"/>
                <w:sz w:val="19"/>
                <w:szCs w:val="19"/>
              </w:rPr>
              <w:t>38</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C619A5" w:rsidRPr="00CB2DE6">
              <w:rPr>
                <w:rFonts w:ascii="Times New Roman" w:hAnsi="Times New Roman" w:cs="Times New Roman"/>
                <w:sz w:val="19"/>
                <w:szCs w:val="19"/>
              </w:rPr>
              <w:t>3.72</w:t>
            </w:r>
            <w:r w:rsidR="00C23FEA" w:rsidRPr="00CB2DE6">
              <w:rPr>
                <w:rFonts w:ascii="Times New Roman" w:hAnsi="Times New Roman" w:cs="Times New Roman"/>
                <w:sz w:val="19"/>
                <w:szCs w:val="19"/>
              </w:rPr>
              <w:t>3</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C619A5" w:rsidRPr="00CB2DE6">
              <w:rPr>
                <w:rFonts w:ascii="Times New Roman" w:hAnsi="Times New Roman" w:cs="Times New Roman"/>
                <w:sz w:val="19"/>
                <w:szCs w:val="19"/>
              </w:rPr>
              <w:t>1.03</w:t>
            </w:r>
            <w:r w:rsidR="00C23FEA" w:rsidRPr="00CB2DE6">
              <w:rPr>
                <w:rFonts w:ascii="Times New Roman" w:hAnsi="Times New Roman" w:cs="Times New Roman"/>
                <w:sz w:val="19"/>
                <w:szCs w:val="19"/>
              </w:rPr>
              <w:t>2</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B81620" w:rsidRPr="00CB2DE6">
              <w:rPr>
                <w:rFonts w:ascii="Times New Roman" w:hAnsi="Times New Roman" w:cs="Times New Roman"/>
                <w:sz w:val="19"/>
                <w:szCs w:val="19"/>
              </w:rPr>
              <w:t>0.092</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B81620" w:rsidRPr="00CB2DE6">
              <w:rPr>
                <w:rFonts w:ascii="Times New Roman" w:hAnsi="Times New Roman" w:cs="Times New Roman"/>
                <w:sz w:val="19"/>
                <w:szCs w:val="19"/>
              </w:rPr>
              <w:t>0.055</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B81620" w:rsidRPr="00CB2DE6">
              <w:rPr>
                <w:rFonts w:ascii="Times New Roman" w:hAnsi="Times New Roman" w:cs="Times New Roman"/>
                <w:sz w:val="19"/>
                <w:szCs w:val="19"/>
              </w:rPr>
              <w:t>7.014</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B81620" w:rsidRPr="00CB2DE6">
              <w:rPr>
                <w:rFonts w:ascii="Times New Roman" w:hAnsi="Times New Roman" w:cs="Times New Roman"/>
                <w:sz w:val="19"/>
                <w:szCs w:val="19"/>
              </w:rPr>
              <w:t>3.266</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p>
        </w:tc>
      </w:tr>
      <w:tr w:rsidR="00753343" w:rsidRPr="00CB2DE6" w:rsidTr="00E618E5">
        <w:trPr>
          <w:gridAfter w:val="1"/>
          <w:jc w:val="center"/>
        </w:trPr>
        <w:tc>
          <w:tcPr>
            <w:tcW w:w="0" w:type="auto"/>
          </w:tcPr>
          <w:p w:rsidR="00753343" w:rsidRPr="00CB2DE6" w:rsidRDefault="00753343" w:rsidP="00E516F3">
            <w:pPr>
              <w:rPr>
                <w:rFonts w:ascii="Times New Roman" w:hAnsi="Times New Roman" w:cs="Times New Roman"/>
                <w:sz w:val="19"/>
                <w:szCs w:val="19"/>
              </w:rPr>
            </w:pPr>
            <w:r w:rsidRPr="00CB2DE6">
              <w:rPr>
                <w:rFonts w:ascii="Times New Roman" w:hAnsi="Times New Roman" w:cs="Times New Roman"/>
                <w:sz w:val="19"/>
                <w:szCs w:val="19"/>
              </w:rPr>
              <w:t>2</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-0.15</w:t>
            </w:r>
            <w:r w:rsidR="00C23FEA" w:rsidRPr="00CB2DE6">
              <w:rPr>
                <w:rFonts w:ascii="Times New Roman" w:hAnsi="Times New Roman" w:cs="Times New Roman"/>
                <w:sz w:val="19"/>
                <w:szCs w:val="19"/>
              </w:rPr>
              <w:t>1</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0.98</w:t>
            </w:r>
            <w:r w:rsidR="00C23FEA" w:rsidRPr="00CB2DE6">
              <w:rPr>
                <w:rFonts w:ascii="Times New Roman" w:hAnsi="Times New Roman" w:cs="Times New Roman"/>
                <w:sz w:val="19"/>
                <w:szCs w:val="19"/>
              </w:rPr>
              <w:t>3</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0.46</w:t>
            </w:r>
            <w:r w:rsidR="00C23FEA" w:rsidRPr="00CB2DE6">
              <w:rPr>
                <w:rFonts w:ascii="Times New Roman" w:hAnsi="Times New Roman" w:cs="Times New Roman"/>
                <w:sz w:val="19"/>
                <w:szCs w:val="19"/>
              </w:rPr>
              <w:t>4</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1.34</w:t>
            </w:r>
            <w:r w:rsidR="00295F55" w:rsidRPr="00CB2DE6">
              <w:rPr>
                <w:rFonts w:ascii="Times New Roman" w:hAnsi="Times New Roman" w:cs="Times New Roman"/>
                <w:sz w:val="19"/>
                <w:szCs w:val="19"/>
              </w:rPr>
              <w:t>4</w:t>
            </w:r>
          </w:p>
        </w:tc>
        <w:tc>
          <w:tcPr>
            <w:tcW w:w="0" w:type="auto"/>
          </w:tcPr>
          <w:p w:rsidR="00753343" w:rsidRPr="00CB2DE6" w:rsidRDefault="00C23FEA" w:rsidP="006619F8">
            <w:pPr>
              <w:jc w:val="right"/>
              <w:rPr>
                <w:rFonts w:ascii="Times New Roman" w:hAnsi="Times New Roman" w:cs="Times New Roman"/>
                <w:sz w:val="19"/>
                <w:szCs w:val="19"/>
              </w:rPr>
            </w:pPr>
            <w:r w:rsidRPr="00CB2DE6">
              <w:rPr>
                <w:rFonts w:ascii="Times New Roman" w:hAnsi="Times New Roman" w:cs="Times New Roman"/>
                <w:sz w:val="19"/>
                <w:szCs w:val="19"/>
              </w:rPr>
              <w:t>0.8</w:t>
            </w:r>
            <w:r w:rsidR="00295F55" w:rsidRPr="00CB2DE6">
              <w:rPr>
                <w:rFonts w:ascii="Times New Roman" w:hAnsi="Times New Roman" w:cs="Times New Roman"/>
                <w:sz w:val="19"/>
                <w:szCs w:val="19"/>
              </w:rPr>
              <w:t>49</w:t>
            </w: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rPr>
                <w:rFonts w:ascii="Times New Roman" w:hAnsi="Times New Roman" w:cs="Times New Roman"/>
                <w:sz w:val="19"/>
                <w:szCs w:val="19"/>
              </w:rPr>
            </w:pPr>
            <w:r w:rsidRPr="00CB2DE6">
              <w:rPr>
                <w:rFonts w:ascii="Times New Roman" w:hAnsi="Times New Roman" w:cs="Times New Roman"/>
                <w:sz w:val="19"/>
                <w:szCs w:val="19"/>
              </w:rPr>
              <w:t>2</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-0.105</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1.038</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1.937</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1.037</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0.817</w:t>
            </w:r>
          </w:p>
        </w:tc>
      </w:tr>
      <w:tr w:rsidR="00753343" w:rsidRPr="00CB2DE6" w:rsidTr="00E618E5">
        <w:trPr>
          <w:gridAfter w:val="1"/>
          <w:jc w:val="center"/>
        </w:trPr>
        <w:tc>
          <w:tcPr>
            <w:tcW w:w="0" w:type="auto"/>
          </w:tcPr>
          <w:p w:rsidR="00753343" w:rsidRPr="00CB2DE6" w:rsidRDefault="00753343" w:rsidP="00E516F3">
            <w:pPr>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0.05</w:t>
            </w:r>
            <w:r w:rsidR="00C23FEA" w:rsidRPr="00CB2DE6">
              <w:rPr>
                <w:rFonts w:ascii="Times New Roman" w:hAnsi="Times New Roman" w:cs="Times New Roman"/>
                <w:sz w:val="19"/>
                <w:szCs w:val="19"/>
              </w:rPr>
              <w:t>1</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0.0</w:t>
            </w:r>
            <w:r w:rsidR="00C23FEA" w:rsidRPr="00CB2DE6">
              <w:rPr>
                <w:rFonts w:ascii="Times New Roman" w:hAnsi="Times New Roman" w:cs="Times New Roman"/>
                <w:sz w:val="19"/>
                <w:szCs w:val="19"/>
              </w:rPr>
              <w:t>35</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2.9</w:t>
            </w:r>
            <w:r w:rsidR="00C23FEA" w:rsidRPr="00CB2DE6">
              <w:rPr>
                <w:rFonts w:ascii="Times New Roman" w:hAnsi="Times New Roman" w:cs="Times New Roman"/>
                <w:sz w:val="19"/>
                <w:szCs w:val="19"/>
              </w:rPr>
              <w:t>07</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0.9</w:t>
            </w:r>
            <w:r w:rsidR="0095570E" w:rsidRPr="00CB2DE6">
              <w:rPr>
                <w:rFonts w:ascii="Times New Roman" w:hAnsi="Times New Roman" w:cs="Times New Roman"/>
                <w:sz w:val="19"/>
                <w:szCs w:val="19"/>
              </w:rPr>
              <w:t>18</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0.068</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0.038</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4.391</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1.288</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p>
        </w:tc>
      </w:tr>
      <w:tr w:rsidR="00753343" w:rsidRPr="00CB2DE6" w:rsidTr="00E618E5">
        <w:trPr>
          <w:gridAfter w:val="1"/>
          <w:jc w:val="center"/>
        </w:trPr>
        <w:tc>
          <w:tcPr>
            <w:tcW w:w="0" w:type="auto"/>
          </w:tcPr>
          <w:p w:rsidR="00753343" w:rsidRPr="00CB2DE6" w:rsidRDefault="00753343" w:rsidP="00E516F3">
            <w:pPr>
              <w:rPr>
                <w:rFonts w:ascii="Times New Roman" w:hAnsi="Times New Roman" w:cs="Times New Roman"/>
                <w:sz w:val="19"/>
                <w:szCs w:val="19"/>
              </w:rPr>
            </w:pPr>
            <w:r w:rsidRPr="00CB2DE6">
              <w:rPr>
                <w:rFonts w:ascii="Times New Roman" w:hAnsi="Times New Roman" w:cs="Times New Roman"/>
                <w:sz w:val="19"/>
                <w:szCs w:val="19"/>
              </w:rPr>
              <w:t>3</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0.05</w:t>
            </w:r>
            <w:r w:rsidR="0095570E" w:rsidRPr="00CB2DE6">
              <w:rPr>
                <w:rFonts w:ascii="Times New Roman" w:hAnsi="Times New Roman" w:cs="Times New Roman"/>
                <w:sz w:val="19"/>
                <w:szCs w:val="19"/>
              </w:rPr>
              <w:t>1</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1.0</w:t>
            </w:r>
            <w:r w:rsidR="00295F55" w:rsidRPr="00CB2DE6">
              <w:rPr>
                <w:rFonts w:ascii="Times New Roman" w:hAnsi="Times New Roman" w:cs="Times New Roman"/>
                <w:sz w:val="19"/>
                <w:szCs w:val="19"/>
              </w:rPr>
              <w:t>58</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-5.1</w:t>
            </w:r>
            <w:r w:rsidR="0095570E" w:rsidRPr="00CB2DE6">
              <w:rPr>
                <w:rFonts w:ascii="Times New Roman" w:hAnsi="Times New Roman" w:cs="Times New Roman"/>
                <w:sz w:val="19"/>
                <w:szCs w:val="19"/>
              </w:rPr>
              <w:t>29</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-0.34</w:t>
            </w:r>
            <w:r w:rsidR="0095570E" w:rsidRPr="00CB2DE6">
              <w:rPr>
                <w:rFonts w:ascii="Times New Roman" w:hAnsi="Times New Roman" w:cs="Times New Roman"/>
                <w:sz w:val="19"/>
                <w:szCs w:val="19"/>
              </w:rPr>
              <w:t>0</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0.9</w:t>
            </w:r>
            <w:r w:rsidR="00295F55" w:rsidRPr="00CB2DE6">
              <w:rPr>
                <w:rFonts w:ascii="Times New Roman" w:hAnsi="Times New Roman" w:cs="Times New Roman"/>
                <w:sz w:val="19"/>
                <w:szCs w:val="19"/>
              </w:rPr>
              <w:t>06</w:t>
            </w: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rPr>
                <w:rFonts w:ascii="Times New Roman" w:hAnsi="Times New Roman" w:cs="Times New Roman"/>
                <w:sz w:val="19"/>
                <w:szCs w:val="19"/>
              </w:rPr>
            </w:pPr>
            <w:r w:rsidRPr="00CB2DE6">
              <w:rPr>
                <w:rFonts w:ascii="Times New Roman" w:hAnsi="Times New Roman" w:cs="Times New Roman"/>
                <w:sz w:val="19"/>
                <w:szCs w:val="19"/>
              </w:rPr>
              <w:t>3</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0.004</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1.006</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-4.967</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-1.210</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0.885</w:t>
            </w:r>
          </w:p>
        </w:tc>
      </w:tr>
      <w:tr w:rsidR="00753343" w:rsidRPr="00CB2DE6" w:rsidTr="00E618E5">
        <w:trPr>
          <w:gridAfter w:val="1"/>
          <w:jc w:val="center"/>
        </w:trPr>
        <w:tc>
          <w:tcPr>
            <w:tcW w:w="0" w:type="auto"/>
          </w:tcPr>
          <w:p w:rsidR="00753343" w:rsidRPr="00CB2DE6" w:rsidRDefault="00753343" w:rsidP="00E516F3">
            <w:pPr>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0.04</w:t>
            </w:r>
            <w:r w:rsidR="0095570E" w:rsidRPr="00CB2DE6">
              <w:rPr>
                <w:rFonts w:ascii="Times New Roman" w:hAnsi="Times New Roman" w:cs="Times New Roman"/>
                <w:sz w:val="19"/>
                <w:szCs w:val="19"/>
              </w:rPr>
              <w:t>2</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0.0</w:t>
            </w:r>
            <w:r w:rsidR="0095570E" w:rsidRPr="00CB2DE6">
              <w:rPr>
                <w:rFonts w:ascii="Times New Roman" w:hAnsi="Times New Roman" w:cs="Times New Roman"/>
                <w:sz w:val="19"/>
                <w:szCs w:val="19"/>
              </w:rPr>
              <w:t>25</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2.70</w:t>
            </w:r>
            <w:r w:rsidR="0095570E" w:rsidRPr="00CB2DE6">
              <w:rPr>
                <w:rFonts w:ascii="Times New Roman" w:hAnsi="Times New Roman" w:cs="Times New Roman"/>
                <w:sz w:val="19"/>
                <w:szCs w:val="19"/>
              </w:rPr>
              <w:t>2</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0.74</w:t>
            </w:r>
            <w:r w:rsidR="0095570E" w:rsidRPr="00CB2DE6">
              <w:rPr>
                <w:rFonts w:ascii="Times New Roman" w:hAnsi="Times New Roman" w:cs="Times New Roman"/>
                <w:sz w:val="19"/>
                <w:szCs w:val="19"/>
              </w:rPr>
              <w:t>4</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0.051</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0.024</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3.</w:t>
            </w:r>
            <w:r w:rsidR="000304FA" w:rsidRPr="00CB2DE6">
              <w:rPr>
                <w:rFonts w:ascii="Times New Roman" w:hAnsi="Times New Roman" w:cs="Times New Roman"/>
                <w:sz w:val="19"/>
                <w:szCs w:val="19"/>
              </w:rPr>
              <w:t>001</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0.951</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p>
        </w:tc>
      </w:tr>
      <w:tr w:rsidR="00753343" w:rsidRPr="00CB2DE6" w:rsidTr="00E618E5">
        <w:trPr>
          <w:gridAfter w:val="1"/>
          <w:jc w:val="center"/>
        </w:trPr>
        <w:tc>
          <w:tcPr>
            <w:tcW w:w="0" w:type="auto"/>
          </w:tcPr>
          <w:p w:rsidR="00753343" w:rsidRPr="00CB2DE6" w:rsidRDefault="00753343" w:rsidP="00E516F3">
            <w:pPr>
              <w:rPr>
                <w:rFonts w:ascii="Times New Roman" w:hAnsi="Times New Roman" w:cs="Times New Roman"/>
                <w:sz w:val="19"/>
                <w:szCs w:val="19"/>
              </w:rPr>
            </w:pPr>
            <w:r w:rsidRPr="00CB2DE6">
              <w:rPr>
                <w:rFonts w:ascii="Times New Roman" w:hAnsi="Times New Roman" w:cs="Times New Roman"/>
                <w:sz w:val="19"/>
                <w:szCs w:val="19"/>
              </w:rPr>
              <w:t>4</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0.0</w:t>
            </w:r>
            <w:r w:rsidR="0095570E" w:rsidRPr="00CB2DE6">
              <w:rPr>
                <w:rFonts w:ascii="Times New Roman" w:hAnsi="Times New Roman" w:cs="Times New Roman"/>
                <w:sz w:val="19"/>
                <w:szCs w:val="19"/>
              </w:rPr>
              <w:t>86</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1.0</w:t>
            </w:r>
            <w:r w:rsidR="0095570E" w:rsidRPr="00CB2DE6">
              <w:rPr>
                <w:rFonts w:ascii="Times New Roman" w:hAnsi="Times New Roman" w:cs="Times New Roman"/>
                <w:sz w:val="19"/>
                <w:szCs w:val="19"/>
              </w:rPr>
              <w:t>66</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4.0</w:t>
            </w:r>
            <w:r w:rsidR="0095570E" w:rsidRPr="00CB2DE6">
              <w:rPr>
                <w:rFonts w:ascii="Times New Roman" w:hAnsi="Times New Roman" w:cs="Times New Roman"/>
                <w:sz w:val="19"/>
                <w:szCs w:val="19"/>
              </w:rPr>
              <w:t>27</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-0.6</w:t>
            </w:r>
            <w:r w:rsidR="0095570E" w:rsidRPr="00CB2DE6">
              <w:rPr>
                <w:rFonts w:ascii="Times New Roman" w:hAnsi="Times New Roman" w:cs="Times New Roman"/>
                <w:sz w:val="19"/>
                <w:szCs w:val="19"/>
              </w:rPr>
              <w:t>77</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0.87</w:t>
            </w:r>
            <w:r w:rsidR="0095570E" w:rsidRPr="00CB2DE6">
              <w:rPr>
                <w:rFonts w:ascii="Times New Roman" w:hAnsi="Times New Roman" w:cs="Times New Roman"/>
                <w:sz w:val="19"/>
                <w:szCs w:val="19"/>
              </w:rPr>
              <w:t>2</w:t>
            </w: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rPr>
                <w:rFonts w:ascii="Times New Roman" w:hAnsi="Times New Roman" w:cs="Times New Roman"/>
                <w:sz w:val="19"/>
                <w:szCs w:val="19"/>
              </w:rPr>
            </w:pPr>
            <w:r w:rsidRPr="00CB2DE6">
              <w:rPr>
                <w:rFonts w:ascii="Times New Roman" w:hAnsi="Times New Roman" w:cs="Times New Roman"/>
                <w:sz w:val="19"/>
                <w:szCs w:val="19"/>
              </w:rPr>
              <w:t>4</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0.105</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1.011</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3.733</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-2.901</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0.818</w:t>
            </w:r>
          </w:p>
        </w:tc>
      </w:tr>
      <w:tr w:rsidR="00753343" w:rsidRPr="00CB2DE6" w:rsidTr="00E618E5">
        <w:trPr>
          <w:gridAfter w:val="1"/>
          <w:jc w:val="center"/>
        </w:trPr>
        <w:tc>
          <w:tcPr>
            <w:tcW w:w="0" w:type="auto"/>
          </w:tcPr>
          <w:p w:rsidR="00753343" w:rsidRPr="00CB2DE6" w:rsidRDefault="00753343" w:rsidP="00E516F3">
            <w:pPr>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0.05</w:t>
            </w:r>
            <w:r w:rsidR="00E3565E" w:rsidRPr="00CB2DE6">
              <w:rPr>
                <w:rFonts w:ascii="Times New Roman" w:hAnsi="Times New Roman" w:cs="Times New Roman"/>
                <w:sz w:val="19"/>
                <w:szCs w:val="19"/>
              </w:rPr>
              <w:t>4</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0.0</w:t>
            </w:r>
            <w:r w:rsidR="0095570E" w:rsidRPr="00CB2DE6">
              <w:rPr>
                <w:rFonts w:ascii="Times New Roman" w:hAnsi="Times New Roman" w:cs="Times New Roman"/>
                <w:sz w:val="19"/>
                <w:szCs w:val="19"/>
              </w:rPr>
              <w:t>36</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3.3</w:t>
            </w:r>
            <w:r w:rsidR="0095570E" w:rsidRPr="00CB2DE6">
              <w:rPr>
                <w:rFonts w:ascii="Times New Roman" w:hAnsi="Times New Roman" w:cs="Times New Roman"/>
                <w:sz w:val="19"/>
                <w:szCs w:val="19"/>
              </w:rPr>
              <w:t>07</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1.02</w:t>
            </w:r>
            <w:r w:rsidR="0095570E" w:rsidRPr="00CB2DE6">
              <w:rPr>
                <w:rFonts w:ascii="Times New Roman" w:hAnsi="Times New Roman" w:cs="Times New Roman"/>
                <w:sz w:val="19"/>
                <w:szCs w:val="19"/>
              </w:rPr>
              <w:t>0</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rPr>
                <w:rFonts w:ascii="Times New Roman" w:hAnsi="Times New Roman" w:cs="Times New Roman"/>
                <w:sz w:val="19"/>
                <w:szCs w:val="19"/>
              </w:rPr>
            </w:pP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0.068</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0.037</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4.536</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1.874</w:t>
            </w:r>
            <w:r w:rsidRPr="00CB2DE6">
              <w:rPr>
                <w:rFonts w:ascii="Times New Roman" w:hAnsi="Times New Roman" w:cs="Times New Roman"/>
                <w:sz w:val="19"/>
                <w:szCs w:val="19"/>
              </w:rPr>
              <w:t>]</w:t>
            </w:r>
          </w:p>
        </w:tc>
        <w:tc>
          <w:tcPr>
            <w:tcW w:w="0" w:type="auto"/>
          </w:tcPr>
          <w:p w:rsidR="00753343" w:rsidRPr="00CB2DE6" w:rsidRDefault="00753343" w:rsidP="006619F8">
            <w:pPr>
              <w:jc w:val="right"/>
              <w:rPr>
                <w:rFonts w:ascii="Times New Roman" w:hAnsi="Times New Roman" w:cs="Times New Roman"/>
                <w:sz w:val="19"/>
                <w:szCs w:val="19"/>
              </w:rPr>
            </w:pPr>
          </w:p>
        </w:tc>
      </w:tr>
      <w:tr w:rsidR="00753343" w:rsidRPr="00CB2DE6" w:rsidTr="00E618E5">
        <w:trPr>
          <w:gridAfter w:val="1"/>
          <w:jc w:val="center"/>
        </w:trPr>
        <w:tc>
          <w:tcPr>
            <w:tcW w:w="0" w:type="auto"/>
          </w:tcPr>
          <w:p w:rsidR="00753343" w:rsidRPr="00CB2DE6" w:rsidRDefault="00753343" w:rsidP="00E516F3">
            <w:pPr>
              <w:rPr>
                <w:rFonts w:ascii="Times New Roman" w:hAnsi="Times New Roman" w:cs="Times New Roman"/>
                <w:sz w:val="19"/>
                <w:szCs w:val="19"/>
              </w:rPr>
            </w:pPr>
            <w:r w:rsidRPr="00CB2DE6">
              <w:rPr>
                <w:rFonts w:ascii="Times New Roman" w:hAnsi="Times New Roman" w:cs="Times New Roman"/>
                <w:sz w:val="19"/>
                <w:szCs w:val="19"/>
              </w:rPr>
              <w:t>5</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0.32</w:t>
            </w:r>
            <w:r w:rsidR="0095570E" w:rsidRPr="00CB2DE6">
              <w:rPr>
                <w:rFonts w:ascii="Times New Roman" w:hAnsi="Times New Roman" w:cs="Times New Roman"/>
                <w:sz w:val="19"/>
                <w:szCs w:val="19"/>
              </w:rPr>
              <w:t>2</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1.05</w:t>
            </w:r>
            <w:r w:rsidR="0095570E" w:rsidRPr="00CB2DE6">
              <w:rPr>
                <w:rFonts w:ascii="Times New Roman" w:hAnsi="Times New Roman" w:cs="Times New Roman"/>
                <w:sz w:val="19"/>
                <w:szCs w:val="19"/>
              </w:rPr>
              <w:t>2</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-0.8</w:t>
            </w:r>
            <w:r w:rsidR="0095570E" w:rsidRPr="00CB2DE6">
              <w:rPr>
                <w:rFonts w:ascii="Times New Roman" w:hAnsi="Times New Roman" w:cs="Times New Roman"/>
                <w:sz w:val="19"/>
                <w:szCs w:val="19"/>
              </w:rPr>
              <w:t>19</w:t>
            </w:r>
          </w:p>
        </w:tc>
        <w:tc>
          <w:tcPr>
            <w:tcW w:w="0" w:type="auto"/>
          </w:tcPr>
          <w:p w:rsidR="00753343" w:rsidRPr="00CB2DE6" w:rsidRDefault="0095570E" w:rsidP="006619F8">
            <w:pPr>
              <w:jc w:val="right"/>
              <w:rPr>
                <w:rFonts w:ascii="Times New Roman" w:hAnsi="Times New Roman" w:cs="Times New Roman"/>
                <w:sz w:val="19"/>
                <w:szCs w:val="19"/>
              </w:rPr>
            </w:pPr>
            <w:r w:rsidRPr="00CB2DE6">
              <w:rPr>
                <w:rFonts w:ascii="Times New Roman" w:hAnsi="Times New Roman" w:cs="Times New Roman"/>
                <w:sz w:val="19"/>
                <w:szCs w:val="19"/>
              </w:rPr>
              <w:t>-3.478</w:t>
            </w:r>
          </w:p>
        </w:tc>
        <w:tc>
          <w:tcPr>
            <w:tcW w:w="0" w:type="auto"/>
          </w:tcPr>
          <w:p w:rsidR="00753343" w:rsidRPr="00CB2DE6" w:rsidRDefault="003A4B15" w:rsidP="006619F8">
            <w:pPr>
              <w:jc w:val="right"/>
              <w:rPr>
                <w:rFonts w:ascii="Times New Roman" w:hAnsi="Times New Roman" w:cs="Times New Roman"/>
                <w:sz w:val="19"/>
                <w:szCs w:val="19"/>
              </w:rPr>
            </w:pPr>
            <w:r w:rsidRPr="00CB2DE6">
              <w:rPr>
                <w:rFonts w:ascii="Times New Roman" w:hAnsi="Times New Roman" w:cs="Times New Roman"/>
                <w:sz w:val="19"/>
                <w:szCs w:val="19"/>
              </w:rPr>
              <w:t>0.7</w:t>
            </w:r>
            <w:r w:rsidR="0095570E" w:rsidRPr="00CB2DE6">
              <w:rPr>
                <w:rFonts w:ascii="Times New Roman" w:hAnsi="Times New Roman" w:cs="Times New Roman"/>
                <w:sz w:val="19"/>
                <w:szCs w:val="19"/>
              </w:rPr>
              <w:t>67</w:t>
            </w:r>
          </w:p>
        </w:tc>
        <w:tc>
          <w:tcPr>
            <w:tcW w:w="0" w:type="auto"/>
          </w:tcPr>
          <w:p w:rsidR="00753343" w:rsidRPr="00CB2DE6" w:rsidRDefault="00753343" w:rsidP="006619F8">
            <w:pPr>
              <w:jc w:val="right"/>
              <w:rPr>
                <w:rFonts w:ascii="Times New Roman" w:hAnsi="Times New Roman" w:cs="Times New Roman"/>
                <w:sz w:val="19"/>
                <w:szCs w:val="19"/>
              </w:rPr>
            </w:pPr>
          </w:p>
        </w:tc>
        <w:tc>
          <w:tcPr>
            <w:tcW w:w="0" w:type="auto"/>
          </w:tcPr>
          <w:p w:rsidR="00753343" w:rsidRPr="00CB2DE6" w:rsidRDefault="00753343" w:rsidP="006619F8">
            <w:pPr>
              <w:rPr>
                <w:rFonts w:ascii="Times New Roman" w:hAnsi="Times New Roman" w:cs="Times New Roman"/>
                <w:sz w:val="19"/>
                <w:szCs w:val="19"/>
              </w:rPr>
            </w:pPr>
            <w:r w:rsidRPr="00CB2DE6">
              <w:rPr>
                <w:rFonts w:ascii="Times New Roman" w:hAnsi="Times New Roman" w:cs="Times New Roman"/>
                <w:sz w:val="19"/>
                <w:szCs w:val="19"/>
              </w:rPr>
              <w:t>5</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0.229</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1.087</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-0.700</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-2.518</w:t>
            </w:r>
          </w:p>
        </w:tc>
        <w:tc>
          <w:tcPr>
            <w:tcW w:w="0" w:type="auto"/>
          </w:tcPr>
          <w:p w:rsidR="00753343" w:rsidRPr="00CB2DE6" w:rsidRDefault="00860E52" w:rsidP="006619F8">
            <w:pPr>
              <w:jc w:val="right"/>
              <w:rPr>
                <w:rFonts w:ascii="Times New Roman" w:hAnsi="Times New Roman" w:cs="Times New Roman"/>
                <w:sz w:val="19"/>
                <w:szCs w:val="19"/>
              </w:rPr>
            </w:pPr>
            <w:r w:rsidRPr="00CB2DE6">
              <w:rPr>
                <w:rFonts w:ascii="Times New Roman" w:hAnsi="Times New Roman" w:cs="Times New Roman"/>
                <w:sz w:val="19"/>
                <w:szCs w:val="19"/>
              </w:rPr>
              <w:t>0.739</w:t>
            </w:r>
          </w:p>
        </w:tc>
      </w:tr>
      <w:tr w:rsidR="00753343" w:rsidRPr="00CB2DE6" w:rsidTr="00E618E5">
        <w:trPr>
          <w:gridAfter w:val="1"/>
          <w:jc w:val="center"/>
        </w:trPr>
        <w:tc>
          <w:tcPr>
            <w:tcW w:w="0" w:type="auto"/>
            <w:tcBorders>
              <w:bottom w:val="single" w:sz="4" w:space="0" w:color="auto"/>
            </w:tcBorders>
          </w:tcPr>
          <w:p w:rsidR="00753343" w:rsidRPr="00CB2DE6" w:rsidRDefault="00753343" w:rsidP="00903D8B">
            <w:pPr>
              <w:spacing w:after="120"/>
              <w:rPr>
                <w:rFonts w:ascii="Times New Roman" w:hAnsi="Times New Roman" w:cs="Times New Roman"/>
                <w:sz w:val="19"/>
                <w:szCs w:val="19"/>
              </w:rPr>
            </w:pPr>
          </w:p>
        </w:tc>
        <w:tc>
          <w:tcPr>
            <w:tcW w:w="0" w:type="auto"/>
            <w:tcBorders>
              <w:bottom w:val="single" w:sz="4" w:space="0" w:color="auto"/>
            </w:tcBorders>
          </w:tcPr>
          <w:p w:rsidR="00753343" w:rsidRPr="00CB2DE6" w:rsidRDefault="00753343"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0.07</w:t>
            </w:r>
            <w:r w:rsidR="0095570E" w:rsidRPr="00CB2DE6">
              <w:rPr>
                <w:rFonts w:ascii="Times New Roman" w:hAnsi="Times New Roman" w:cs="Times New Roman"/>
                <w:sz w:val="19"/>
                <w:szCs w:val="19"/>
              </w:rPr>
              <w:t>3</w:t>
            </w:r>
            <w:r w:rsidRPr="00CB2DE6">
              <w:rPr>
                <w:rFonts w:ascii="Times New Roman" w:hAnsi="Times New Roman" w:cs="Times New Roman"/>
                <w:sz w:val="19"/>
                <w:szCs w:val="19"/>
              </w:rPr>
              <w:t>]</w:t>
            </w:r>
          </w:p>
        </w:tc>
        <w:tc>
          <w:tcPr>
            <w:tcW w:w="0" w:type="auto"/>
            <w:tcBorders>
              <w:bottom w:val="single" w:sz="4" w:space="0" w:color="auto"/>
            </w:tcBorders>
          </w:tcPr>
          <w:p w:rsidR="00753343" w:rsidRPr="00CB2DE6" w:rsidRDefault="00753343"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0.04</w:t>
            </w:r>
            <w:r w:rsidR="0095570E" w:rsidRPr="00CB2DE6">
              <w:rPr>
                <w:rFonts w:ascii="Times New Roman" w:hAnsi="Times New Roman" w:cs="Times New Roman"/>
                <w:sz w:val="19"/>
                <w:szCs w:val="19"/>
              </w:rPr>
              <w:t>4</w:t>
            </w:r>
            <w:r w:rsidRPr="00CB2DE6">
              <w:rPr>
                <w:rFonts w:ascii="Times New Roman" w:hAnsi="Times New Roman" w:cs="Times New Roman"/>
                <w:sz w:val="19"/>
                <w:szCs w:val="19"/>
              </w:rPr>
              <w:t>]</w:t>
            </w:r>
          </w:p>
        </w:tc>
        <w:tc>
          <w:tcPr>
            <w:tcW w:w="0" w:type="auto"/>
            <w:tcBorders>
              <w:bottom w:val="single" w:sz="4" w:space="0" w:color="auto"/>
            </w:tcBorders>
          </w:tcPr>
          <w:p w:rsidR="00753343" w:rsidRPr="00CB2DE6" w:rsidRDefault="00753343"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4.35</w:t>
            </w:r>
            <w:r w:rsidR="0095570E" w:rsidRPr="00CB2DE6">
              <w:rPr>
                <w:rFonts w:ascii="Times New Roman" w:hAnsi="Times New Roman" w:cs="Times New Roman"/>
                <w:sz w:val="19"/>
                <w:szCs w:val="19"/>
              </w:rPr>
              <w:t>2</w:t>
            </w:r>
            <w:r w:rsidRPr="00CB2DE6">
              <w:rPr>
                <w:rFonts w:ascii="Times New Roman" w:hAnsi="Times New Roman" w:cs="Times New Roman"/>
                <w:sz w:val="19"/>
                <w:szCs w:val="19"/>
              </w:rPr>
              <w:t>]</w:t>
            </w:r>
          </w:p>
        </w:tc>
        <w:tc>
          <w:tcPr>
            <w:tcW w:w="0" w:type="auto"/>
            <w:tcBorders>
              <w:bottom w:val="single" w:sz="4" w:space="0" w:color="auto"/>
            </w:tcBorders>
          </w:tcPr>
          <w:p w:rsidR="00753343" w:rsidRPr="00CB2DE6" w:rsidRDefault="00753343"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w:t>
            </w:r>
            <w:r w:rsidR="003A4B15" w:rsidRPr="00CB2DE6">
              <w:rPr>
                <w:rFonts w:ascii="Times New Roman" w:hAnsi="Times New Roman" w:cs="Times New Roman"/>
                <w:sz w:val="19"/>
                <w:szCs w:val="19"/>
              </w:rPr>
              <w:t>1.37</w:t>
            </w:r>
            <w:r w:rsidR="0095570E" w:rsidRPr="00CB2DE6">
              <w:rPr>
                <w:rFonts w:ascii="Times New Roman" w:hAnsi="Times New Roman" w:cs="Times New Roman"/>
                <w:sz w:val="19"/>
                <w:szCs w:val="19"/>
              </w:rPr>
              <w:t>2</w:t>
            </w:r>
            <w:r w:rsidRPr="00CB2DE6">
              <w:rPr>
                <w:rFonts w:ascii="Times New Roman" w:hAnsi="Times New Roman" w:cs="Times New Roman"/>
                <w:sz w:val="19"/>
                <w:szCs w:val="19"/>
              </w:rPr>
              <w:t>]</w:t>
            </w:r>
          </w:p>
        </w:tc>
        <w:tc>
          <w:tcPr>
            <w:tcW w:w="0" w:type="auto"/>
            <w:tcBorders>
              <w:bottom w:val="single" w:sz="4" w:space="0" w:color="auto"/>
            </w:tcBorders>
          </w:tcPr>
          <w:p w:rsidR="00753343" w:rsidRPr="00CB2DE6" w:rsidRDefault="00753343" w:rsidP="006619F8">
            <w:pPr>
              <w:spacing w:after="120"/>
              <w:jc w:val="right"/>
              <w:rPr>
                <w:rFonts w:ascii="Times New Roman" w:hAnsi="Times New Roman" w:cs="Times New Roman"/>
                <w:sz w:val="19"/>
                <w:szCs w:val="19"/>
              </w:rPr>
            </w:pPr>
          </w:p>
        </w:tc>
        <w:tc>
          <w:tcPr>
            <w:tcW w:w="0" w:type="auto"/>
            <w:tcBorders>
              <w:bottom w:val="single" w:sz="4" w:space="0" w:color="auto"/>
            </w:tcBorders>
          </w:tcPr>
          <w:p w:rsidR="00753343" w:rsidRPr="00CB2DE6" w:rsidRDefault="00753343" w:rsidP="006619F8">
            <w:pPr>
              <w:spacing w:after="120"/>
              <w:jc w:val="right"/>
              <w:rPr>
                <w:rFonts w:ascii="Times New Roman" w:hAnsi="Times New Roman" w:cs="Times New Roman"/>
                <w:sz w:val="19"/>
                <w:szCs w:val="19"/>
              </w:rPr>
            </w:pPr>
          </w:p>
        </w:tc>
        <w:tc>
          <w:tcPr>
            <w:tcW w:w="0" w:type="auto"/>
            <w:tcBorders>
              <w:bottom w:val="single" w:sz="4" w:space="0" w:color="auto"/>
            </w:tcBorders>
          </w:tcPr>
          <w:p w:rsidR="00753343" w:rsidRPr="00CB2DE6" w:rsidRDefault="00753343" w:rsidP="006619F8">
            <w:pPr>
              <w:spacing w:after="120"/>
              <w:rPr>
                <w:rFonts w:ascii="Times New Roman" w:hAnsi="Times New Roman" w:cs="Times New Roman"/>
                <w:sz w:val="19"/>
                <w:szCs w:val="19"/>
              </w:rPr>
            </w:pPr>
          </w:p>
        </w:tc>
        <w:tc>
          <w:tcPr>
            <w:tcW w:w="0" w:type="auto"/>
            <w:tcBorders>
              <w:bottom w:val="single" w:sz="4" w:space="0" w:color="auto"/>
            </w:tcBorders>
          </w:tcPr>
          <w:p w:rsidR="00753343" w:rsidRPr="00CB2DE6" w:rsidRDefault="00753343"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0.093</w:t>
            </w:r>
            <w:r w:rsidRPr="00CB2DE6">
              <w:rPr>
                <w:rFonts w:ascii="Times New Roman" w:hAnsi="Times New Roman" w:cs="Times New Roman"/>
                <w:sz w:val="19"/>
                <w:szCs w:val="19"/>
              </w:rPr>
              <w:t>]</w:t>
            </w:r>
          </w:p>
        </w:tc>
        <w:tc>
          <w:tcPr>
            <w:tcW w:w="0" w:type="auto"/>
            <w:tcBorders>
              <w:bottom w:val="single" w:sz="4" w:space="0" w:color="auto"/>
            </w:tcBorders>
          </w:tcPr>
          <w:p w:rsidR="00753343" w:rsidRPr="00CB2DE6" w:rsidRDefault="00753343"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0.053</w:t>
            </w:r>
            <w:r w:rsidRPr="00CB2DE6">
              <w:rPr>
                <w:rFonts w:ascii="Times New Roman" w:hAnsi="Times New Roman" w:cs="Times New Roman"/>
                <w:sz w:val="19"/>
                <w:szCs w:val="19"/>
              </w:rPr>
              <w:t>]</w:t>
            </w:r>
          </w:p>
        </w:tc>
        <w:tc>
          <w:tcPr>
            <w:tcW w:w="0" w:type="auto"/>
            <w:tcBorders>
              <w:bottom w:val="single" w:sz="4" w:space="0" w:color="auto"/>
            </w:tcBorders>
          </w:tcPr>
          <w:p w:rsidR="00753343" w:rsidRPr="00CB2DE6" w:rsidRDefault="00753343"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w:t>
            </w:r>
            <w:r w:rsidR="00860E52" w:rsidRPr="00CB2DE6">
              <w:rPr>
                <w:rFonts w:ascii="Times New Roman" w:hAnsi="Times New Roman" w:cs="Times New Roman"/>
                <w:sz w:val="19"/>
                <w:szCs w:val="19"/>
              </w:rPr>
              <w:t>6.485</w:t>
            </w:r>
            <w:r w:rsidRPr="00CB2DE6">
              <w:rPr>
                <w:rFonts w:ascii="Times New Roman" w:hAnsi="Times New Roman" w:cs="Times New Roman"/>
                <w:sz w:val="19"/>
                <w:szCs w:val="19"/>
              </w:rPr>
              <w:t>]</w:t>
            </w:r>
          </w:p>
        </w:tc>
        <w:tc>
          <w:tcPr>
            <w:tcW w:w="0" w:type="auto"/>
            <w:tcBorders>
              <w:bottom w:val="single" w:sz="4" w:space="0" w:color="auto"/>
            </w:tcBorders>
          </w:tcPr>
          <w:p w:rsidR="00753343" w:rsidRPr="00CB2DE6" w:rsidRDefault="00753343"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w:t>
            </w:r>
            <w:r w:rsidR="000D31AC" w:rsidRPr="00CB2DE6">
              <w:rPr>
                <w:rFonts w:ascii="Times New Roman" w:hAnsi="Times New Roman" w:cs="Times New Roman"/>
                <w:sz w:val="19"/>
                <w:szCs w:val="19"/>
              </w:rPr>
              <w:t>1.3</w:t>
            </w:r>
            <w:r w:rsidR="00860E52" w:rsidRPr="00CB2DE6">
              <w:rPr>
                <w:rFonts w:ascii="Times New Roman" w:hAnsi="Times New Roman" w:cs="Times New Roman"/>
                <w:sz w:val="19"/>
                <w:szCs w:val="19"/>
              </w:rPr>
              <w:t>12</w:t>
            </w:r>
            <w:r w:rsidRPr="00CB2DE6">
              <w:rPr>
                <w:rFonts w:ascii="Times New Roman" w:hAnsi="Times New Roman" w:cs="Times New Roman"/>
                <w:sz w:val="19"/>
                <w:szCs w:val="19"/>
              </w:rPr>
              <w:t>]</w:t>
            </w:r>
          </w:p>
        </w:tc>
        <w:tc>
          <w:tcPr>
            <w:tcW w:w="0" w:type="auto"/>
            <w:tcBorders>
              <w:bottom w:val="single" w:sz="4" w:space="0" w:color="auto"/>
            </w:tcBorders>
          </w:tcPr>
          <w:p w:rsidR="00753343" w:rsidRPr="00CB2DE6" w:rsidRDefault="00753343" w:rsidP="006619F8">
            <w:pPr>
              <w:spacing w:after="120"/>
              <w:jc w:val="right"/>
              <w:rPr>
                <w:rFonts w:ascii="Times New Roman" w:hAnsi="Times New Roman" w:cs="Times New Roman"/>
                <w:sz w:val="19"/>
                <w:szCs w:val="19"/>
              </w:rPr>
            </w:pPr>
          </w:p>
        </w:tc>
      </w:tr>
      <w:tr w:rsidR="00753343" w:rsidRPr="00CB2DE6" w:rsidTr="00E618E5">
        <w:trPr>
          <w:gridAfter w:val="1"/>
          <w:jc w:val="center"/>
        </w:trPr>
        <w:tc>
          <w:tcPr>
            <w:tcW w:w="0" w:type="auto"/>
            <w:gridSpan w:val="13"/>
            <w:tcBorders>
              <w:top w:val="single" w:sz="4" w:space="0" w:color="auto"/>
              <w:bottom w:val="single" w:sz="4" w:space="0" w:color="auto"/>
            </w:tcBorders>
          </w:tcPr>
          <w:p w:rsidR="00753343" w:rsidRPr="00CB2DE6" w:rsidRDefault="00753343" w:rsidP="0004193A">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Panel B: Factor Prices</w:t>
            </w:r>
          </w:p>
        </w:tc>
      </w:tr>
      <w:tr w:rsidR="00753343" w:rsidRPr="00CB2DE6" w:rsidTr="00E618E5">
        <w:trPr>
          <w:gridAfter w:val="1"/>
          <w:jc w:val="center"/>
        </w:trPr>
        <w:tc>
          <w:tcPr>
            <w:tcW w:w="0" w:type="auto"/>
            <w:gridSpan w:val="6"/>
            <w:tcBorders>
              <w:bottom w:val="single" w:sz="4" w:space="0" w:color="auto"/>
            </w:tcBorders>
          </w:tcPr>
          <w:p w:rsidR="00753343" w:rsidRPr="00CB2DE6" w:rsidRDefault="00753343" w:rsidP="0004193A">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All Countries (without b</w:t>
            </w:r>
            <w:r w:rsidR="00923793" w:rsidRPr="00CB2DE6">
              <w:rPr>
                <w:rFonts w:ascii="Times New Roman" w:hAnsi="Times New Roman" w:cs="Times New Roman"/>
                <w:sz w:val="19"/>
                <w:szCs w:val="19"/>
              </w:rPr>
              <w:t>id</w:t>
            </w:r>
            <w:r w:rsidRPr="00CB2DE6">
              <w:rPr>
                <w:rFonts w:ascii="Times New Roman" w:hAnsi="Times New Roman" w:cs="Times New Roman"/>
                <w:sz w:val="19"/>
                <w:szCs w:val="19"/>
              </w:rPr>
              <w:t>-a</w:t>
            </w:r>
            <w:r w:rsidR="00923793" w:rsidRPr="00CB2DE6">
              <w:rPr>
                <w:rFonts w:ascii="Times New Roman" w:hAnsi="Times New Roman" w:cs="Times New Roman"/>
                <w:sz w:val="19"/>
                <w:szCs w:val="19"/>
              </w:rPr>
              <w:t>sk</w:t>
            </w:r>
            <w:r w:rsidRPr="00CB2DE6">
              <w:rPr>
                <w:rFonts w:ascii="Times New Roman" w:hAnsi="Times New Roman" w:cs="Times New Roman"/>
                <w:sz w:val="19"/>
                <w:szCs w:val="19"/>
              </w:rPr>
              <w:t>)</w:t>
            </w:r>
          </w:p>
        </w:tc>
        <w:tc>
          <w:tcPr>
            <w:tcW w:w="0" w:type="auto"/>
            <w:tcBorders>
              <w:top w:val="single" w:sz="4" w:space="0" w:color="auto"/>
            </w:tcBorders>
          </w:tcPr>
          <w:p w:rsidR="00753343" w:rsidRPr="00CB2DE6" w:rsidRDefault="00753343" w:rsidP="0004193A">
            <w:pPr>
              <w:spacing w:before="20" w:after="20"/>
              <w:rPr>
                <w:rFonts w:ascii="Times New Roman" w:hAnsi="Times New Roman" w:cs="Times New Roman"/>
                <w:sz w:val="19"/>
                <w:szCs w:val="19"/>
              </w:rPr>
            </w:pPr>
          </w:p>
        </w:tc>
        <w:tc>
          <w:tcPr>
            <w:tcW w:w="0" w:type="auto"/>
            <w:gridSpan w:val="6"/>
            <w:tcBorders>
              <w:top w:val="single" w:sz="4" w:space="0" w:color="auto"/>
              <w:bottom w:val="single" w:sz="4" w:space="0" w:color="auto"/>
            </w:tcBorders>
          </w:tcPr>
          <w:p w:rsidR="00753343" w:rsidRPr="00CB2DE6" w:rsidRDefault="00753343" w:rsidP="0004193A">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Developed Countries (without b</w:t>
            </w:r>
            <w:r w:rsidR="00923793" w:rsidRPr="00CB2DE6">
              <w:rPr>
                <w:rFonts w:ascii="Times New Roman" w:hAnsi="Times New Roman" w:cs="Times New Roman"/>
                <w:sz w:val="19"/>
                <w:szCs w:val="19"/>
              </w:rPr>
              <w:t>id</w:t>
            </w:r>
            <w:r w:rsidRPr="00CB2DE6">
              <w:rPr>
                <w:rFonts w:ascii="Times New Roman" w:hAnsi="Times New Roman" w:cs="Times New Roman"/>
                <w:sz w:val="19"/>
                <w:szCs w:val="19"/>
              </w:rPr>
              <w:t>-a</w:t>
            </w:r>
            <w:r w:rsidR="00923793" w:rsidRPr="00CB2DE6">
              <w:rPr>
                <w:rFonts w:ascii="Times New Roman" w:hAnsi="Times New Roman" w:cs="Times New Roman"/>
                <w:sz w:val="19"/>
                <w:szCs w:val="19"/>
              </w:rPr>
              <w:t>sk</w:t>
            </w:r>
            <w:r w:rsidRPr="00CB2DE6">
              <w:rPr>
                <w:rFonts w:ascii="Times New Roman" w:hAnsi="Times New Roman" w:cs="Times New Roman"/>
                <w:sz w:val="19"/>
                <w:szCs w:val="19"/>
              </w:rPr>
              <w:t>)</w:t>
            </w:r>
          </w:p>
        </w:tc>
      </w:tr>
      <w:tr w:rsidR="00753343" w:rsidRPr="00CB2DE6" w:rsidTr="00E618E5">
        <w:trPr>
          <w:gridAfter w:val="1"/>
          <w:jc w:val="center"/>
        </w:trPr>
        <w:tc>
          <w:tcPr>
            <w:tcW w:w="0" w:type="auto"/>
            <w:tcBorders>
              <w:top w:val="single" w:sz="4" w:space="0" w:color="auto"/>
              <w:bottom w:val="single" w:sz="4" w:space="0" w:color="auto"/>
            </w:tcBorders>
          </w:tcPr>
          <w:p w:rsidR="00753343" w:rsidRPr="00CB2DE6" w:rsidRDefault="00753343" w:rsidP="0004193A">
            <w:pPr>
              <w:spacing w:before="20" w:after="20"/>
              <w:rPr>
                <w:rFonts w:ascii="Times New Roman" w:hAnsi="Times New Roman" w:cs="Times New Roman"/>
                <w:sz w:val="19"/>
                <w:szCs w:val="19"/>
              </w:rPr>
            </w:pPr>
          </w:p>
        </w:tc>
        <w:tc>
          <w:tcPr>
            <w:tcW w:w="0" w:type="auto"/>
            <w:tcBorders>
              <w:top w:val="single" w:sz="4" w:space="0" w:color="auto"/>
              <w:bottom w:val="single" w:sz="4" w:space="0" w:color="auto"/>
            </w:tcBorders>
          </w:tcPr>
          <w:p w:rsidR="00753343" w:rsidRPr="00CB2DE6" w:rsidRDefault="00753343"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DOL</w:t>
            </w:r>
          </w:p>
        </w:tc>
        <w:tc>
          <w:tcPr>
            <w:tcW w:w="0" w:type="auto"/>
            <w:tcBorders>
              <w:top w:val="single" w:sz="4" w:space="0" w:color="auto"/>
              <w:bottom w:val="single" w:sz="4" w:space="0" w:color="auto"/>
            </w:tcBorders>
          </w:tcPr>
          <w:p w:rsidR="00753343" w:rsidRPr="00CB2DE6" w:rsidRDefault="00753343"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SRVI</w:t>
            </w:r>
          </w:p>
        </w:tc>
        <w:tc>
          <w:tcPr>
            <w:tcW w:w="0" w:type="auto"/>
            <w:tcBorders>
              <w:top w:val="single" w:sz="4" w:space="0" w:color="auto"/>
              <w:bottom w:val="single" w:sz="4" w:space="0" w:color="auto"/>
            </w:tcBorders>
          </w:tcPr>
          <w:p w:rsidR="00753343" w:rsidRPr="00CB2DE6" w:rsidRDefault="00753343"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LRVI</w:t>
            </w:r>
          </w:p>
        </w:tc>
        <w:tc>
          <w:tcPr>
            <w:tcW w:w="0" w:type="auto"/>
            <w:tcBorders>
              <w:top w:val="single" w:sz="4" w:space="0" w:color="auto"/>
              <w:bottom w:val="single" w:sz="4" w:space="0" w:color="auto"/>
            </w:tcBorders>
          </w:tcPr>
          <w:p w:rsidR="00753343" w:rsidRPr="00CB2DE6" w:rsidRDefault="00497F73" w:rsidP="006619F8">
            <w:pPr>
              <w:spacing w:before="20" w:after="20"/>
              <w:jc w:val="right"/>
              <w:rPr>
                <w:rFonts w:ascii="Times New Roman" w:hAnsi="Times New Roman" w:cs="Times New Roman"/>
                <w:sz w:val="19"/>
                <w:szCs w:val="19"/>
              </w:rPr>
            </w:pPr>
            <m:oMathPara>
              <m:oMathParaPr>
                <m:jc m:val="right"/>
              </m:oMathParaPr>
              <m:oMath>
                <m:sSup>
                  <m:sSupPr>
                    <m:ctrlPr>
                      <w:rPr>
                        <w:rFonts w:ascii="Cambria Math" w:hAnsi="Cambria Math" w:cs="Times New Roman"/>
                        <w:i/>
                        <w:sz w:val="19"/>
                        <w:szCs w:val="19"/>
                      </w:rPr>
                    </m:ctrlPr>
                  </m:sSupPr>
                  <m:e>
                    <m:r>
                      <w:rPr>
                        <w:rFonts w:ascii="Cambria Math" w:hAnsi="Cambria Math" w:cs="Times New Roman"/>
                        <w:sz w:val="19"/>
                        <w:szCs w:val="19"/>
                      </w:rPr>
                      <m:t>R</m:t>
                    </m:r>
                  </m:e>
                  <m:sup>
                    <m:r>
                      <w:rPr>
                        <w:rFonts w:ascii="Cambria Math" w:hAnsi="Cambria Math" w:cs="Times New Roman"/>
                        <w:sz w:val="19"/>
                        <w:szCs w:val="19"/>
                      </w:rPr>
                      <m:t>2</m:t>
                    </m:r>
                  </m:sup>
                </m:sSup>
              </m:oMath>
            </m:oMathPara>
          </w:p>
        </w:tc>
        <w:tc>
          <w:tcPr>
            <w:tcW w:w="0" w:type="auto"/>
            <w:tcBorders>
              <w:top w:val="single" w:sz="4" w:space="0" w:color="auto"/>
              <w:bottom w:val="single" w:sz="4" w:space="0" w:color="auto"/>
            </w:tcBorders>
          </w:tcPr>
          <w:p w:rsidR="00753343" w:rsidRPr="00CB2DE6" w:rsidRDefault="00753343"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MAE</w:t>
            </w:r>
          </w:p>
        </w:tc>
        <w:tc>
          <w:tcPr>
            <w:tcW w:w="0" w:type="auto"/>
          </w:tcPr>
          <w:p w:rsidR="00753343" w:rsidRPr="00CB2DE6" w:rsidRDefault="00753343" w:rsidP="0004193A">
            <w:pPr>
              <w:spacing w:before="20" w:after="20"/>
              <w:rPr>
                <w:rFonts w:ascii="Times New Roman" w:hAnsi="Times New Roman" w:cs="Times New Roman"/>
                <w:sz w:val="19"/>
                <w:szCs w:val="19"/>
              </w:rPr>
            </w:pPr>
          </w:p>
        </w:tc>
        <w:tc>
          <w:tcPr>
            <w:tcW w:w="0" w:type="auto"/>
            <w:tcBorders>
              <w:top w:val="single" w:sz="4" w:space="0" w:color="auto"/>
              <w:bottom w:val="single" w:sz="4" w:space="0" w:color="auto"/>
            </w:tcBorders>
          </w:tcPr>
          <w:p w:rsidR="00753343" w:rsidRPr="00CB2DE6" w:rsidRDefault="00753343" w:rsidP="0004193A">
            <w:pPr>
              <w:spacing w:before="20" w:after="20"/>
              <w:rPr>
                <w:rFonts w:ascii="Times New Roman" w:hAnsi="Times New Roman" w:cs="Times New Roman"/>
                <w:sz w:val="19"/>
                <w:szCs w:val="19"/>
              </w:rPr>
            </w:pPr>
          </w:p>
        </w:tc>
        <w:tc>
          <w:tcPr>
            <w:tcW w:w="0" w:type="auto"/>
            <w:tcBorders>
              <w:top w:val="single" w:sz="4" w:space="0" w:color="auto"/>
              <w:bottom w:val="single" w:sz="4" w:space="0" w:color="auto"/>
            </w:tcBorders>
          </w:tcPr>
          <w:p w:rsidR="00753343" w:rsidRPr="00CB2DE6" w:rsidRDefault="00753343"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DOL</w:t>
            </w:r>
          </w:p>
        </w:tc>
        <w:tc>
          <w:tcPr>
            <w:tcW w:w="0" w:type="auto"/>
            <w:tcBorders>
              <w:top w:val="single" w:sz="4" w:space="0" w:color="auto"/>
              <w:bottom w:val="single" w:sz="4" w:space="0" w:color="auto"/>
            </w:tcBorders>
          </w:tcPr>
          <w:p w:rsidR="00753343" w:rsidRPr="00CB2DE6" w:rsidRDefault="00753343"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SRVI</w:t>
            </w:r>
          </w:p>
        </w:tc>
        <w:tc>
          <w:tcPr>
            <w:tcW w:w="0" w:type="auto"/>
            <w:tcBorders>
              <w:top w:val="single" w:sz="4" w:space="0" w:color="auto"/>
              <w:bottom w:val="single" w:sz="4" w:space="0" w:color="auto"/>
            </w:tcBorders>
          </w:tcPr>
          <w:p w:rsidR="00753343" w:rsidRPr="00CB2DE6" w:rsidRDefault="00753343"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LRVI</w:t>
            </w:r>
          </w:p>
        </w:tc>
        <w:tc>
          <w:tcPr>
            <w:tcW w:w="0" w:type="auto"/>
            <w:tcBorders>
              <w:top w:val="single" w:sz="4" w:space="0" w:color="auto"/>
              <w:bottom w:val="single" w:sz="4" w:space="0" w:color="auto"/>
            </w:tcBorders>
          </w:tcPr>
          <w:p w:rsidR="00753343" w:rsidRPr="00CB2DE6" w:rsidRDefault="00497F73" w:rsidP="006619F8">
            <w:pPr>
              <w:spacing w:before="20" w:after="20"/>
              <w:jc w:val="right"/>
              <w:rPr>
                <w:rFonts w:ascii="Times New Roman" w:hAnsi="Times New Roman" w:cs="Times New Roman"/>
                <w:sz w:val="19"/>
                <w:szCs w:val="19"/>
              </w:rPr>
            </w:pPr>
            <m:oMathPara>
              <m:oMathParaPr>
                <m:jc m:val="right"/>
              </m:oMathParaPr>
              <m:oMath>
                <m:sSup>
                  <m:sSupPr>
                    <m:ctrlPr>
                      <w:rPr>
                        <w:rFonts w:ascii="Cambria Math" w:hAnsi="Cambria Math" w:cs="Times New Roman"/>
                        <w:i/>
                        <w:sz w:val="19"/>
                        <w:szCs w:val="19"/>
                      </w:rPr>
                    </m:ctrlPr>
                  </m:sSupPr>
                  <m:e>
                    <m:r>
                      <w:rPr>
                        <w:rFonts w:ascii="Cambria Math" w:hAnsi="Cambria Math" w:cs="Times New Roman"/>
                        <w:sz w:val="19"/>
                        <w:szCs w:val="19"/>
                      </w:rPr>
                      <m:t>R</m:t>
                    </m:r>
                  </m:e>
                  <m:sup>
                    <m:r>
                      <w:rPr>
                        <w:rFonts w:ascii="Cambria Math" w:hAnsi="Cambria Math" w:cs="Times New Roman"/>
                        <w:sz w:val="19"/>
                        <w:szCs w:val="19"/>
                      </w:rPr>
                      <m:t>2</m:t>
                    </m:r>
                  </m:sup>
                </m:sSup>
              </m:oMath>
            </m:oMathPara>
          </w:p>
        </w:tc>
        <w:tc>
          <w:tcPr>
            <w:tcW w:w="0" w:type="auto"/>
            <w:tcBorders>
              <w:top w:val="single" w:sz="4" w:space="0" w:color="auto"/>
              <w:bottom w:val="single" w:sz="4" w:space="0" w:color="auto"/>
            </w:tcBorders>
          </w:tcPr>
          <w:p w:rsidR="00753343" w:rsidRPr="00CB2DE6" w:rsidRDefault="00753343" w:rsidP="006619F8">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MAE</w:t>
            </w:r>
          </w:p>
        </w:tc>
      </w:tr>
      <w:tr w:rsidR="00903D8B" w:rsidRPr="00CB2DE6" w:rsidTr="00E618E5">
        <w:trPr>
          <w:gridAfter w:val="1"/>
          <w:jc w:val="center"/>
        </w:trPr>
        <w:tc>
          <w:tcPr>
            <w:tcW w:w="0" w:type="auto"/>
            <w:tcBorders>
              <w:top w:val="single" w:sz="4" w:space="0" w:color="auto"/>
            </w:tcBorders>
          </w:tcPr>
          <w:p w:rsidR="00903D8B" w:rsidRPr="00CB2DE6" w:rsidRDefault="00497F73" w:rsidP="00903D8B">
            <w:pPr>
              <w:spacing w:before="120"/>
              <w:jc w:val="both"/>
              <w:rPr>
                <w:rFonts w:ascii="Times New Roman" w:hAnsi="Times New Roman" w:cs="Times New Roman"/>
                <w:i/>
                <w:sz w:val="19"/>
                <w:szCs w:val="19"/>
              </w:rPr>
            </w:pPr>
            <m:oMathPara>
              <m:oMathParaPr>
                <m:jc m:val="left"/>
              </m:oMathParaPr>
              <m:oMath>
                <m:acc>
                  <m:accPr>
                    <m:ctrlPr>
                      <w:rPr>
                        <w:rFonts w:ascii="Cambria Math" w:hAnsi="Cambria Math" w:cs="Times New Roman"/>
                        <w:i/>
                        <w:sz w:val="19"/>
                        <w:szCs w:val="19"/>
                      </w:rPr>
                    </m:ctrlPr>
                  </m:accPr>
                  <m:e>
                    <m:r>
                      <w:rPr>
                        <w:rFonts w:ascii="Cambria Math" w:hAnsi="Cambria Math" w:cs="Times New Roman"/>
                        <w:sz w:val="19"/>
                        <w:szCs w:val="19"/>
                      </w:rPr>
                      <m:t>λ</m:t>
                    </m:r>
                  </m:e>
                </m:acc>
              </m:oMath>
            </m:oMathPara>
          </w:p>
        </w:tc>
        <w:tc>
          <w:tcPr>
            <w:tcW w:w="0" w:type="auto"/>
            <w:tcBorders>
              <w:top w:val="single" w:sz="4" w:space="0" w:color="auto"/>
            </w:tcBorders>
          </w:tcPr>
          <w:p w:rsidR="00903D8B" w:rsidRPr="00CB2DE6" w:rsidRDefault="00903D8B"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0.160</w:t>
            </w:r>
          </w:p>
        </w:tc>
        <w:tc>
          <w:tcPr>
            <w:tcW w:w="0" w:type="auto"/>
            <w:tcBorders>
              <w:top w:val="single" w:sz="4" w:space="0" w:color="auto"/>
            </w:tcBorders>
          </w:tcPr>
          <w:p w:rsidR="00903D8B" w:rsidRPr="00CB2DE6" w:rsidRDefault="00903D8B"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-0.001</w:t>
            </w:r>
          </w:p>
        </w:tc>
        <w:tc>
          <w:tcPr>
            <w:tcW w:w="0" w:type="auto"/>
            <w:tcBorders>
              <w:top w:val="single" w:sz="4" w:space="0" w:color="auto"/>
            </w:tcBorders>
          </w:tcPr>
          <w:p w:rsidR="00903D8B" w:rsidRPr="00CB2DE6" w:rsidRDefault="00903D8B"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-0.097</w:t>
            </w:r>
          </w:p>
        </w:tc>
        <w:tc>
          <w:tcPr>
            <w:tcW w:w="0" w:type="auto"/>
            <w:tcBorders>
              <w:top w:val="single" w:sz="4" w:space="0" w:color="auto"/>
            </w:tcBorders>
          </w:tcPr>
          <w:p w:rsidR="00903D8B" w:rsidRPr="00CB2DE6" w:rsidRDefault="00903D8B"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0.984</w:t>
            </w:r>
          </w:p>
        </w:tc>
        <w:tc>
          <w:tcPr>
            <w:tcW w:w="0" w:type="auto"/>
            <w:tcBorders>
              <w:top w:val="single" w:sz="4" w:space="0" w:color="auto"/>
            </w:tcBorders>
          </w:tcPr>
          <w:p w:rsidR="00903D8B" w:rsidRPr="00CB2DE6" w:rsidRDefault="00903D8B"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0.015</w:t>
            </w:r>
          </w:p>
        </w:tc>
        <w:tc>
          <w:tcPr>
            <w:tcW w:w="0" w:type="auto"/>
          </w:tcPr>
          <w:p w:rsidR="00903D8B" w:rsidRPr="00CB2DE6" w:rsidRDefault="00903D8B" w:rsidP="00903D8B">
            <w:pPr>
              <w:spacing w:before="120"/>
              <w:rPr>
                <w:rFonts w:ascii="Times New Roman" w:hAnsi="Times New Roman" w:cs="Times New Roman"/>
                <w:sz w:val="19"/>
                <w:szCs w:val="19"/>
              </w:rPr>
            </w:pPr>
          </w:p>
        </w:tc>
        <w:tc>
          <w:tcPr>
            <w:tcW w:w="0" w:type="auto"/>
            <w:tcBorders>
              <w:top w:val="single" w:sz="4" w:space="0" w:color="auto"/>
            </w:tcBorders>
          </w:tcPr>
          <w:p w:rsidR="00903D8B" w:rsidRPr="00CB2DE6" w:rsidRDefault="00497F73" w:rsidP="00903D8B">
            <w:pPr>
              <w:spacing w:before="120"/>
              <w:jc w:val="both"/>
              <w:rPr>
                <w:rFonts w:ascii="Times New Roman" w:hAnsi="Times New Roman" w:cs="Times New Roman"/>
                <w:i/>
                <w:sz w:val="19"/>
                <w:szCs w:val="19"/>
              </w:rPr>
            </w:pPr>
            <m:oMathPara>
              <m:oMathParaPr>
                <m:jc m:val="left"/>
              </m:oMathParaPr>
              <m:oMath>
                <m:acc>
                  <m:accPr>
                    <m:ctrlPr>
                      <w:rPr>
                        <w:rFonts w:ascii="Cambria Math" w:hAnsi="Cambria Math" w:cs="Times New Roman"/>
                        <w:i/>
                        <w:sz w:val="19"/>
                        <w:szCs w:val="19"/>
                      </w:rPr>
                    </m:ctrlPr>
                  </m:accPr>
                  <m:e>
                    <m:r>
                      <w:rPr>
                        <w:rFonts w:ascii="Cambria Math" w:hAnsi="Cambria Math" w:cs="Times New Roman"/>
                        <w:sz w:val="19"/>
                        <w:szCs w:val="19"/>
                      </w:rPr>
                      <m:t>λ</m:t>
                    </m:r>
                  </m:e>
                </m:acc>
              </m:oMath>
            </m:oMathPara>
          </w:p>
        </w:tc>
        <w:tc>
          <w:tcPr>
            <w:tcW w:w="0" w:type="auto"/>
            <w:tcBorders>
              <w:top w:val="single" w:sz="4" w:space="0" w:color="auto"/>
            </w:tcBorders>
          </w:tcPr>
          <w:p w:rsidR="00903D8B" w:rsidRPr="00CB2DE6" w:rsidRDefault="00903D8B"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0.104</w:t>
            </w:r>
          </w:p>
        </w:tc>
        <w:tc>
          <w:tcPr>
            <w:tcW w:w="0" w:type="auto"/>
            <w:tcBorders>
              <w:top w:val="single" w:sz="4" w:space="0" w:color="auto"/>
            </w:tcBorders>
          </w:tcPr>
          <w:p w:rsidR="00903D8B" w:rsidRPr="00CB2DE6" w:rsidRDefault="00903D8B"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-0.001</w:t>
            </w:r>
          </w:p>
        </w:tc>
        <w:tc>
          <w:tcPr>
            <w:tcW w:w="0" w:type="auto"/>
            <w:tcBorders>
              <w:top w:val="single" w:sz="4" w:space="0" w:color="auto"/>
            </w:tcBorders>
          </w:tcPr>
          <w:p w:rsidR="00903D8B" w:rsidRPr="00CB2DE6" w:rsidRDefault="00903D8B"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-0.048</w:t>
            </w:r>
          </w:p>
        </w:tc>
        <w:tc>
          <w:tcPr>
            <w:tcW w:w="0" w:type="auto"/>
            <w:tcBorders>
              <w:top w:val="single" w:sz="4" w:space="0" w:color="auto"/>
            </w:tcBorders>
          </w:tcPr>
          <w:p w:rsidR="00903D8B" w:rsidRPr="00CB2DE6" w:rsidRDefault="00903D8B"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0.859</w:t>
            </w:r>
          </w:p>
        </w:tc>
        <w:tc>
          <w:tcPr>
            <w:tcW w:w="0" w:type="auto"/>
            <w:tcBorders>
              <w:top w:val="single" w:sz="4" w:space="0" w:color="auto"/>
            </w:tcBorders>
          </w:tcPr>
          <w:p w:rsidR="00903D8B" w:rsidRPr="00CB2DE6" w:rsidRDefault="00903D8B" w:rsidP="006619F8">
            <w:pPr>
              <w:spacing w:before="120"/>
              <w:jc w:val="right"/>
              <w:rPr>
                <w:rFonts w:ascii="Times New Roman" w:hAnsi="Times New Roman" w:cs="Times New Roman"/>
                <w:sz w:val="19"/>
                <w:szCs w:val="19"/>
              </w:rPr>
            </w:pPr>
            <w:r w:rsidRPr="00CB2DE6">
              <w:rPr>
                <w:rFonts w:ascii="Times New Roman" w:hAnsi="Times New Roman" w:cs="Times New Roman"/>
                <w:sz w:val="19"/>
                <w:szCs w:val="19"/>
              </w:rPr>
              <w:t>0.056</w:t>
            </w:r>
          </w:p>
        </w:tc>
      </w:tr>
      <w:tr w:rsidR="00903D8B" w:rsidRPr="00CB2DE6" w:rsidTr="00E618E5">
        <w:trPr>
          <w:gridAfter w:val="1"/>
          <w:jc w:val="center"/>
        </w:trPr>
        <w:tc>
          <w:tcPr>
            <w:tcW w:w="0" w:type="auto"/>
          </w:tcPr>
          <w:p w:rsidR="00903D8B" w:rsidRPr="00CB2DE6" w:rsidRDefault="00903D8B" w:rsidP="00903D8B">
            <w:pPr>
              <w:rPr>
                <w:rFonts w:ascii="Times New Roman" w:hAnsi="Times New Roman" w:cs="Times New Roman"/>
                <w:sz w:val="19"/>
                <w:szCs w:val="19"/>
              </w:rPr>
            </w:pPr>
          </w:p>
        </w:tc>
        <w:tc>
          <w:tcPr>
            <w:tcW w:w="0" w:type="auto"/>
          </w:tcPr>
          <w:p w:rsidR="00903D8B" w:rsidRPr="00CB2DE6" w:rsidRDefault="00903D8B" w:rsidP="006619F8">
            <w:pPr>
              <w:jc w:val="right"/>
              <w:rPr>
                <w:rFonts w:ascii="Times New Roman" w:hAnsi="Times New Roman" w:cs="Times New Roman"/>
                <w:sz w:val="19"/>
                <w:szCs w:val="19"/>
              </w:rPr>
            </w:pPr>
            <w:r w:rsidRPr="00CB2DE6">
              <w:rPr>
                <w:rFonts w:ascii="Times New Roman" w:hAnsi="Times New Roman" w:cs="Times New Roman"/>
                <w:sz w:val="19"/>
                <w:szCs w:val="19"/>
              </w:rPr>
              <w:t>[0.120]</w:t>
            </w:r>
          </w:p>
        </w:tc>
        <w:tc>
          <w:tcPr>
            <w:tcW w:w="0" w:type="auto"/>
          </w:tcPr>
          <w:p w:rsidR="00903D8B" w:rsidRPr="00CB2DE6" w:rsidRDefault="00903D8B" w:rsidP="006619F8">
            <w:pPr>
              <w:jc w:val="right"/>
              <w:rPr>
                <w:rFonts w:ascii="Times New Roman" w:hAnsi="Times New Roman" w:cs="Times New Roman"/>
                <w:sz w:val="19"/>
                <w:szCs w:val="19"/>
              </w:rPr>
            </w:pPr>
            <w:r w:rsidRPr="00CB2DE6">
              <w:rPr>
                <w:rFonts w:ascii="Times New Roman" w:hAnsi="Times New Roman" w:cs="Times New Roman"/>
                <w:sz w:val="19"/>
                <w:szCs w:val="19"/>
              </w:rPr>
              <w:t>[0.016]</w:t>
            </w:r>
          </w:p>
        </w:tc>
        <w:tc>
          <w:tcPr>
            <w:tcW w:w="0" w:type="auto"/>
          </w:tcPr>
          <w:p w:rsidR="00903D8B" w:rsidRPr="00CB2DE6" w:rsidRDefault="00903D8B" w:rsidP="006619F8">
            <w:pPr>
              <w:jc w:val="right"/>
              <w:rPr>
                <w:rFonts w:ascii="Times New Roman" w:hAnsi="Times New Roman" w:cs="Times New Roman"/>
                <w:sz w:val="19"/>
                <w:szCs w:val="19"/>
              </w:rPr>
            </w:pPr>
            <w:r w:rsidRPr="00CB2DE6">
              <w:rPr>
                <w:rFonts w:ascii="Times New Roman" w:hAnsi="Times New Roman" w:cs="Times New Roman"/>
                <w:sz w:val="19"/>
                <w:szCs w:val="19"/>
              </w:rPr>
              <w:t>[0.040]</w:t>
            </w:r>
          </w:p>
        </w:tc>
        <w:tc>
          <w:tcPr>
            <w:tcW w:w="0" w:type="auto"/>
          </w:tcPr>
          <w:p w:rsidR="00903D8B" w:rsidRPr="00CB2DE6" w:rsidRDefault="00903D8B" w:rsidP="006619F8">
            <w:pPr>
              <w:jc w:val="right"/>
              <w:rPr>
                <w:rFonts w:ascii="Times New Roman" w:hAnsi="Times New Roman" w:cs="Times New Roman"/>
                <w:sz w:val="19"/>
                <w:szCs w:val="19"/>
              </w:rPr>
            </w:pPr>
          </w:p>
        </w:tc>
        <w:tc>
          <w:tcPr>
            <w:tcW w:w="0" w:type="auto"/>
          </w:tcPr>
          <w:p w:rsidR="00903D8B" w:rsidRPr="00CB2DE6" w:rsidRDefault="00903D8B" w:rsidP="006619F8">
            <w:pPr>
              <w:jc w:val="right"/>
              <w:rPr>
                <w:rFonts w:ascii="Times New Roman" w:hAnsi="Times New Roman" w:cs="Times New Roman"/>
                <w:sz w:val="19"/>
                <w:szCs w:val="19"/>
              </w:rPr>
            </w:pPr>
          </w:p>
        </w:tc>
        <w:tc>
          <w:tcPr>
            <w:tcW w:w="0" w:type="auto"/>
          </w:tcPr>
          <w:p w:rsidR="00903D8B" w:rsidRPr="00CB2DE6" w:rsidRDefault="00903D8B" w:rsidP="00903D8B">
            <w:pPr>
              <w:rPr>
                <w:rFonts w:ascii="Times New Roman" w:hAnsi="Times New Roman" w:cs="Times New Roman"/>
                <w:sz w:val="19"/>
                <w:szCs w:val="19"/>
              </w:rPr>
            </w:pPr>
          </w:p>
        </w:tc>
        <w:tc>
          <w:tcPr>
            <w:tcW w:w="0" w:type="auto"/>
          </w:tcPr>
          <w:p w:rsidR="00903D8B" w:rsidRPr="00CB2DE6" w:rsidRDefault="00903D8B" w:rsidP="00903D8B">
            <w:pPr>
              <w:rPr>
                <w:rFonts w:ascii="Times New Roman" w:hAnsi="Times New Roman" w:cs="Times New Roman"/>
                <w:sz w:val="19"/>
                <w:szCs w:val="19"/>
              </w:rPr>
            </w:pPr>
          </w:p>
        </w:tc>
        <w:tc>
          <w:tcPr>
            <w:tcW w:w="0" w:type="auto"/>
          </w:tcPr>
          <w:p w:rsidR="00903D8B" w:rsidRPr="00CB2DE6" w:rsidRDefault="00903D8B" w:rsidP="006619F8">
            <w:pPr>
              <w:jc w:val="right"/>
              <w:rPr>
                <w:rFonts w:ascii="Times New Roman" w:hAnsi="Times New Roman" w:cs="Times New Roman"/>
                <w:sz w:val="19"/>
                <w:szCs w:val="19"/>
              </w:rPr>
            </w:pPr>
            <w:r w:rsidRPr="00CB2DE6">
              <w:rPr>
                <w:rFonts w:ascii="Times New Roman" w:hAnsi="Times New Roman" w:cs="Times New Roman"/>
                <w:sz w:val="19"/>
                <w:szCs w:val="19"/>
              </w:rPr>
              <w:t>[0.139]</w:t>
            </w:r>
          </w:p>
        </w:tc>
        <w:tc>
          <w:tcPr>
            <w:tcW w:w="0" w:type="auto"/>
          </w:tcPr>
          <w:p w:rsidR="00903D8B" w:rsidRPr="00CB2DE6" w:rsidRDefault="00903D8B" w:rsidP="006619F8">
            <w:pPr>
              <w:jc w:val="right"/>
              <w:rPr>
                <w:rFonts w:ascii="Times New Roman" w:hAnsi="Times New Roman" w:cs="Times New Roman"/>
                <w:sz w:val="19"/>
                <w:szCs w:val="19"/>
              </w:rPr>
            </w:pPr>
            <w:r w:rsidRPr="00CB2DE6">
              <w:rPr>
                <w:rFonts w:ascii="Times New Roman" w:hAnsi="Times New Roman" w:cs="Times New Roman"/>
                <w:sz w:val="19"/>
                <w:szCs w:val="19"/>
              </w:rPr>
              <w:t>[0.014]</w:t>
            </w:r>
          </w:p>
        </w:tc>
        <w:tc>
          <w:tcPr>
            <w:tcW w:w="0" w:type="auto"/>
          </w:tcPr>
          <w:p w:rsidR="00903D8B" w:rsidRPr="00CB2DE6" w:rsidRDefault="00903D8B" w:rsidP="006619F8">
            <w:pPr>
              <w:jc w:val="right"/>
              <w:rPr>
                <w:rFonts w:ascii="Times New Roman" w:hAnsi="Times New Roman" w:cs="Times New Roman"/>
                <w:sz w:val="19"/>
                <w:szCs w:val="19"/>
              </w:rPr>
            </w:pPr>
            <w:r w:rsidRPr="00CB2DE6">
              <w:rPr>
                <w:rFonts w:ascii="Times New Roman" w:hAnsi="Times New Roman" w:cs="Times New Roman"/>
                <w:sz w:val="19"/>
                <w:szCs w:val="19"/>
              </w:rPr>
              <w:t>[0.026]</w:t>
            </w:r>
          </w:p>
        </w:tc>
        <w:tc>
          <w:tcPr>
            <w:tcW w:w="0" w:type="auto"/>
          </w:tcPr>
          <w:p w:rsidR="00903D8B" w:rsidRPr="00CB2DE6" w:rsidRDefault="00903D8B" w:rsidP="006619F8">
            <w:pPr>
              <w:jc w:val="right"/>
              <w:rPr>
                <w:rFonts w:ascii="Times New Roman" w:hAnsi="Times New Roman" w:cs="Times New Roman"/>
                <w:sz w:val="19"/>
                <w:szCs w:val="19"/>
              </w:rPr>
            </w:pPr>
          </w:p>
        </w:tc>
        <w:tc>
          <w:tcPr>
            <w:tcW w:w="0" w:type="auto"/>
          </w:tcPr>
          <w:p w:rsidR="00903D8B" w:rsidRPr="00CB2DE6" w:rsidRDefault="00903D8B" w:rsidP="006619F8">
            <w:pPr>
              <w:jc w:val="right"/>
              <w:rPr>
                <w:rFonts w:ascii="Times New Roman" w:hAnsi="Times New Roman" w:cs="Times New Roman"/>
                <w:sz w:val="19"/>
                <w:szCs w:val="19"/>
              </w:rPr>
            </w:pPr>
          </w:p>
        </w:tc>
      </w:tr>
      <w:tr w:rsidR="00903D8B" w:rsidRPr="00CB2DE6" w:rsidTr="00E516F3">
        <w:trPr>
          <w:gridAfter w:val="1"/>
          <w:jc w:val="center"/>
        </w:trPr>
        <w:tc>
          <w:tcPr>
            <w:tcW w:w="0" w:type="auto"/>
            <w:tcBorders>
              <w:bottom w:val="single" w:sz="4" w:space="0" w:color="auto"/>
            </w:tcBorders>
          </w:tcPr>
          <w:p w:rsidR="00903D8B" w:rsidRPr="00CB2DE6" w:rsidRDefault="00903D8B" w:rsidP="00903D8B">
            <w:pPr>
              <w:spacing w:after="120"/>
              <w:rPr>
                <w:rFonts w:ascii="Times New Roman" w:hAnsi="Times New Roman" w:cs="Times New Roman"/>
                <w:sz w:val="19"/>
                <w:szCs w:val="19"/>
              </w:rPr>
            </w:pPr>
          </w:p>
        </w:tc>
        <w:tc>
          <w:tcPr>
            <w:tcW w:w="0" w:type="auto"/>
            <w:tcBorders>
              <w:bottom w:val="single" w:sz="4" w:space="0" w:color="auto"/>
            </w:tcBorders>
          </w:tcPr>
          <w:p w:rsidR="00903D8B" w:rsidRPr="00CB2DE6" w:rsidRDefault="00903D8B"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(0.120)</w:t>
            </w:r>
          </w:p>
        </w:tc>
        <w:tc>
          <w:tcPr>
            <w:tcW w:w="0" w:type="auto"/>
            <w:tcBorders>
              <w:bottom w:val="single" w:sz="4" w:space="0" w:color="auto"/>
            </w:tcBorders>
          </w:tcPr>
          <w:p w:rsidR="00903D8B" w:rsidRPr="00CB2DE6" w:rsidRDefault="00903D8B"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(0.012)</w:t>
            </w:r>
          </w:p>
        </w:tc>
        <w:tc>
          <w:tcPr>
            <w:tcW w:w="0" w:type="auto"/>
            <w:tcBorders>
              <w:bottom w:val="single" w:sz="4" w:space="0" w:color="auto"/>
            </w:tcBorders>
          </w:tcPr>
          <w:p w:rsidR="00903D8B" w:rsidRPr="00CB2DE6" w:rsidRDefault="00903D8B"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(0.034)</w:t>
            </w:r>
          </w:p>
        </w:tc>
        <w:tc>
          <w:tcPr>
            <w:tcW w:w="0" w:type="auto"/>
            <w:tcBorders>
              <w:bottom w:val="single" w:sz="4" w:space="0" w:color="auto"/>
            </w:tcBorders>
          </w:tcPr>
          <w:p w:rsidR="00903D8B" w:rsidRPr="00CB2DE6" w:rsidRDefault="00903D8B" w:rsidP="006619F8">
            <w:pPr>
              <w:spacing w:after="120"/>
              <w:jc w:val="right"/>
              <w:rPr>
                <w:rFonts w:ascii="Times New Roman" w:hAnsi="Times New Roman" w:cs="Times New Roman"/>
                <w:sz w:val="19"/>
                <w:szCs w:val="19"/>
              </w:rPr>
            </w:pPr>
          </w:p>
        </w:tc>
        <w:tc>
          <w:tcPr>
            <w:tcW w:w="0" w:type="auto"/>
            <w:tcBorders>
              <w:bottom w:val="single" w:sz="4" w:space="0" w:color="auto"/>
            </w:tcBorders>
          </w:tcPr>
          <w:p w:rsidR="00903D8B" w:rsidRPr="00CB2DE6" w:rsidRDefault="00903D8B" w:rsidP="006619F8">
            <w:pPr>
              <w:spacing w:after="120"/>
              <w:jc w:val="right"/>
              <w:rPr>
                <w:rFonts w:ascii="Times New Roman" w:hAnsi="Times New Roman" w:cs="Times New Roman"/>
                <w:sz w:val="19"/>
                <w:szCs w:val="19"/>
              </w:rPr>
            </w:pPr>
          </w:p>
        </w:tc>
        <w:tc>
          <w:tcPr>
            <w:tcW w:w="0" w:type="auto"/>
          </w:tcPr>
          <w:p w:rsidR="00903D8B" w:rsidRPr="00CB2DE6" w:rsidRDefault="00903D8B" w:rsidP="00903D8B">
            <w:pPr>
              <w:spacing w:after="120"/>
              <w:rPr>
                <w:rFonts w:ascii="Times New Roman" w:hAnsi="Times New Roman" w:cs="Times New Roman"/>
                <w:sz w:val="19"/>
                <w:szCs w:val="19"/>
              </w:rPr>
            </w:pPr>
          </w:p>
        </w:tc>
        <w:tc>
          <w:tcPr>
            <w:tcW w:w="0" w:type="auto"/>
            <w:tcBorders>
              <w:bottom w:val="single" w:sz="4" w:space="0" w:color="auto"/>
            </w:tcBorders>
          </w:tcPr>
          <w:p w:rsidR="00903D8B" w:rsidRPr="00CB2DE6" w:rsidRDefault="00903D8B" w:rsidP="00903D8B">
            <w:pPr>
              <w:spacing w:after="120"/>
              <w:rPr>
                <w:rFonts w:ascii="Times New Roman" w:hAnsi="Times New Roman" w:cs="Times New Roman"/>
                <w:sz w:val="19"/>
                <w:szCs w:val="19"/>
              </w:rPr>
            </w:pPr>
          </w:p>
        </w:tc>
        <w:tc>
          <w:tcPr>
            <w:tcW w:w="0" w:type="auto"/>
            <w:tcBorders>
              <w:bottom w:val="single" w:sz="4" w:space="0" w:color="auto"/>
            </w:tcBorders>
          </w:tcPr>
          <w:p w:rsidR="00903D8B" w:rsidRPr="00CB2DE6" w:rsidRDefault="00903D8B"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(0.139)</w:t>
            </w:r>
          </w:p>
        </w:tc>
        <w:tc>
          <w:tcPr>
            <w:tcW w:w="0" w:type="auto"/>
            <w:tcBorders>
              <w:bottom w:val="single" w:sz="4" w:space="0" w:color="auto"/>
            </w:tcBorders>
          </w:tcPr>
          <w:p w:rsidR="00903D8B" w:rsidRPr="00CB2DE6" w:rsidRDefault="00903D8B"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(0.012)</w:t>
            </w:r>
          </w:p>
        </w:tc>
        <w:tc>
          <w:tcPr>
            <w:tcW w:w="0" w:type="auto"/>
            <w:tcBorders>
              <w:bottom w:val="single" w:sz="4" w:space="0" w:color="auto"/>
            </w:tcBorders>
          </w:tcPr>
          <w:p w:rsidR="00903D8B" w:rsidRPr="00CB2DE6" w:rsidRDefault="00903D8B" w:rsidP="006619F8">
            <w:pPr>
              <w:spacing w:after="120"/>
              <w:jc w:val="right"/>
              <w:rPr>
                <w:rFonts w:ascii="Times New Roman" w:hAnsi="Times New Roman" w:cs="Times New Roman"/>
                <w:sz w:val="19"/>
                <w:szCs w:val="19"/>
              </w:rPr>
            </w:pPr>
            <w:r w:rsidRPr="00CB2DE6">
              <w:rPr>
                <w:rFonts w:ascii="Times New Roman" w:hAnsi="Times New Roman" w:cs="Times New Roman"/>
                <w:sz w:val="19"/>
                <w:szCs w:val="19"/>
              </w:rPr>
              <w:t>(0.021)</w:t>
            </w:r>
          </w:p>
        </w:tc>
        <w:tc>
          <w:tcPr>
            <w:tcW w:w="0" w:type="auto"/>
            <w:tcBorders>
              <w:bottom w:val="single" w:sz="4" w:space="0" w:color="auto"/>
            </w:tcBorders>
          </w:tcPr>
          <w:p w:rsidR="00903D8B" w:rsidRPr="00CB2DE6" w:rsidRDefault="00903D8B" w:rsidP="006619F8">
            <w:pPr>
              <w:spacing w:after="120"/>
              <w:jc w:val="right"/>
              <w:rPr>
                <w:rFonts w:ascii="Times New Roman" w:hAnsi="Times New Roman" w:cs="Times New Roman"/>
                <w:sz w:val="19"/>
                <w:szCs w:val="19"/>
              </w:rPr>
            </w:pPr>
          </w:p>
        </w:tc>
        <w:tc>
          <w:tcPr>
            <w:tcW w:w="0" w:type="auto"/>
            <w:tcBorders>
              <w:bottom w:val="single" w:sz="4" w:space="0" w:color="auto"/>
            </w:tcBorders>
          </w:tcPr>
          <w:p w:rsidR="00903D8B" w:rsidRPr="00CB2DE6" w:rsidRDefault="00903D8B" w:rsidP="006619F8">
            <w:pPr>
              <w:spacing w:after="120"/>
              <w:jc w:val="right"/>
              <w:rPr>
                <w:rFonts w:ascii="Times New Roman" w:hAnsi="Times New Roman" w:cs="Times New Roman"/>
                <w:sz w:val="19"/>
                <w:szCs w:val="19"/>
              </w:rPr>
            </w:pPr>
          </w:p>
        </w:tc>
      </w:tr>
      <w:tr w:rsidR="00903D8B" w:rsidRPr="00CB2DE6" w:rsidTr="00E516F3">
        <w:trPr>
          <w:jc w:val="center"/>
        </w:trPr>
        <w:tc>
          <w:tcPr>
            <w:tcW w:w="0" w:type="auto"/>
            <w:tcBorders>
              <w:top w:val="single" w:sz="4" w:space="0" w:color="auto"/>
              <w:bottom w:val="single" w:sz="4" w:space="0" w:color="auto"/>
            </w:tcBorders>
          </w:tcPr>
          <w:p w:rsidR="00903D8B" w:rsidRPr="00CB2DE6" w:rsidRDefault="00903D8B" w:rsidP="00903D8B">
            <w:pPr>
              <w:spacing w:before="20" w:after="20"/>
              <w:rPr>
                <w:rFonts w:ascii="Times New Roman" w:hAnsi="Times New Roman" w:cs="Times New Roman"/>
                <w:sz w:val="19"/>
                <w:szCs w:val="19"/>
              </w:rPr>
            </w:pPr>
          </w:p>
        </w:tc>
        <w:tc>
          <w:tcPr>
            <w:tcW w:w="0" w:type="auto"/>
            <w:tcBorders>
              <w:top w:val="single" w:sz="4" w:space="0" w:color="auto"/>
              <w:bottom w:val="single" w:sz="4" w:space="0" w:color="auto"/>
            </w:tcBorders>
          </w:tcPr>
          <w:p w:rsidR="00903D8B" w:rsidRPr="00CB2DE6" w:rsidRDefault="00497F73" w:rsidP="00903D8B">
            <w:pPr>
              <w:spacing w:before="20" w:after="20"/>
              <w:jc w:val="right"/>
              <w:rPr>
                <w:rFonts w:ascii="Times New Roman" w:hAnsi="Times New Roman" w:cs="Times New Roman"/>
                <w:sz w:val="19"/>
                <w:szCs w:val="19"/>
              </w:rPr>
            </w:pPr>
            <m:oMathPara>
              <m:oMath>
                <m:sSubSup>
                  <m:sSubSupPr>
                    <m:ctrlPr>
                      <w:rPr>
                        <w:rFonts w:ascii="Cambria Math" w:hAnsi="Cambria Math" w:cs="Times New Roman"/>
                        <w:i/>
                        <w:sz w:val="19"/>
                        <w:szCs w:val="19"/>
                      </w:rPr>
                    </m:ctrlPr>
                  </m:sSubSupPr>
                  <m:e>
                    <m:r>
                      <w:rPr>
                        <w:rFonts w:ascii="Cambria Math" w:hAnsi="Cambria Math" w:cs="Times New Roman"/>
                        <w:sz w:val="19"/>
                        <w:szCs w:val="19"/>
                      </w:rPr>
                      <m:t>χ</m:t>
                    </m:r>
                  </m:e>
                  <m:sub>
                    <m:r>
                      <w:rPr>
                        <w:rFonts w:ascii="Cambria Math" w:hAnsi="Cambria Math" w:cs="Times New Roman"/>
                        <w:sz w:val="19"/>
                        <w:szCs w:val="19"/>
                      </w:rPr>
                      <m:t>GMM-HAC</m:t>
                    </m:r>
                  </m:sub>
                  <m:sup>
                    <m:r>
                      <w:rPr>
                        <w:rFonts w:ascii="Cambria Math" w:hAnsi="Cambria Math" w:cs="Times New Roman"/>
                        <w:sz w:val="19"/>
                        <w:szCs w:val="19"/>
                      </w:rPr>
                      <m:t>2</m:t>
                    </m:r>
                  </m:sup>
                </m:sSubSup>
              </m:oMath>
            </m:oMathPara>
          </w:p>
        </w:tc>
        <w:tc>
          <w:tcPr>
            <w:tcW w:w="0" w:type="auto"/>
            <w:tcBorders>
              <w:top w:val="single" w:sz="4" w:space="0" w:color="auto"/>
              <w:bottom w:val="single" w:sz="4" w:space="0" w:color="auto"/>
            </w:tcBorders>
          </w:tcPr>
          <w:p w:rsidR="00903D8B" w:rsidRPr="00CB2DE6" w:rsidRDefault="00497F73" w:rsidP="00903D8B">
            <w:pPr>
              <w:spacing w:before="20" w:after="20"/>
              <w:jc w:val="right"/>
              <w:rPr>
                <w:rFonts w:ascii="Times New Roman" w:hAnsi="Times New Roman" w:cs="Times New Roman"/>
                <w:sz w:val="19"/>
                <w:szCs w:val="19"/>
              </w:rPr>
            </w:pPr>
            <m:oMathPara>
              <m:oMathParaPr>
                <m:jc m:val="right"/>
              </m:oMathParaPr>
              <m:oMath>
                <m:sSubSup>
                  <m:sSubSupPr>
                    <m:ctrlPr>
                      <w:rPr>
                        <w:rFonts w:ascii="Cambria Math" w:hAnsi="Cambria Math" w:cs="Times New Roman"/>
                        <w:i/>
                        <w:sz w:val="19"/>
                        <w:szCs w:val="19"/>
                      </w:rPr>
                    </m:ctrlPr>
                  </m:sSubSupPr>
                  <m:e>
                    <m:r>
                      <w:rPr>
                        <w:rFonts w:ascii="Cambria Math" w:hAnsi="Cambria Math" w:cs="Times New Roman"/>
                        <w:sz w:val="19"/>
                        <w:szCs w:val="19"/>
                      </w:rPr>
                      <m:t>χ</m:t>
                    </m:r>
                  </m:e>
                  <m:sub>
                    <m:r>
                      <w:rPr>
                        <w:rFonts w:ascii="Cambria Math" w:hAnsi="Cambria Math" w:cs="Times New Roman"/>
                        <w:sz w:val="19"/>
                        <w:szCs w:val="19"/>
                      </w:rPr>
                      <m:t>SH</m:t>
                    </m:r>
                  </m:sub>
                  <m:sup>
                    <m:r>
                      <w:rPr>
                        <w:rFonts w:ascii="Cambria Math" w:hAnsi="Cambria Math" w:cs="Times New Roman"/>
                        <w:sz w:val="19"/>
                        <w:szCs w:val="19"/>
                      </w:rPr>
                      <m:t>2</m:t>
                    </m:r>
                  </m:sup>
                </m:sSubSup>
              </m:oMath>
            </m:oMathPara>
          </w:p>
        </w:tc>
        <w:tc>
          <w:tcPr>
            <w:tcW w:w="0" w:type="auto"/>
            <w:tcBorders>
              <w:top w:val="single" w:sz="4" w:space="0" w:color="auto"/>
              <w:bottom w:val="single" w:sz="4" w:space="0" w:color="auto"/>
            </w:tcBorders>
          </w:tcPr>
          <w:p w:rsidR="00903D8B" w:rsidRPr="00CB2DE6" w:rsidRDefault="00903D8B" w:rsidP="00903D8B">
            <w:pPr>
              <w:spacing w:before="20" w:after="20"/>
              <w:jc w:val="right"/>
              <w:rPr>
                <w:rFonts w:ascii="Times New Roman" w:hAnsi="Times New Roman" w:cs="Times New Roman"/>
                <w:sz w:val="19"/>
                <w:szCs w:val="19"/>
              </w:rPr>
            </w:pPr>
          </w:p>
        </w:tc>
        <w:tc>
          <w:tcPr>
            <w:tcW w:w="0" w:type="auto"/>
            <w:tcBorders>
              <w:top w:val="single" w:sz="4" w:space="0" w:color="auto"/>
              <w:bottom w:val="single" w:sz="4" w:space="0" w:color="auto"/>
            </w:tcBorders>
          </w:tcPr>
          <w:p w:rsidR="00903D8B" w:rsidRPr="00CB2DE6" w:rsidRDefault="00903D8B" w:rsidP="00903D8B">
            <w:pPr>
              <w:spacing w:before="20" w:after="20"/>
              <w:jc w:val="right"/>
              <w:rPr>
                <w:rFonts w:ascii="Times New Roman" w:hAnsi="Times New Roman" w:cs="Times New Roman"/>
                <w:sz w:val="19"/>
                <w:szCs w:val="19"/>
              </w:rPr>
            </w:pPr>
          </w:p>
        </w:tc>
        <w:tc>
          <w:tcPr>
            <w:tcW w:w="0" w:type="auto"/>
            <w:tcBorders>
              <w:top w:val="single" w:sz="4" w:space="0" w:color="auto"/>
              <w:bottom w:val="single" w:sz="4" w:space="0" w:color="auto"/>
            </w:tcBorders>
          </w:tcPr>
          <w:p w:rsidR="00903D8B" w:rsidRPr="00CB2DE6" w:rsidRDefault="00903D8B" w:rsidP="00903D8B">
            <w:pPr>
              <w:spacing w:before="20" w:after="20"/>
              <w:jc w:val="right"/>
              <w:rPr>
                <w:rFonts w:ascii="Times New Roman" w:hAnsi="Times New Roman" w:cs="Times New Roman"/>
                <w:sz w:val="19"/>
                <w:szCs w:val="19"/>
              </w:rPr>
            </w:pPr>
          </w:p>
        </w:tc>
        <w:tc>
          <w:tcPr>
            <w:tcW w:w="0" w:type="auto"/>
          </w:tcPr>
          <w:p w:rsidR="00903D8B" w:rsidRPr="00CB2DE6" w:rsidRDefault="00903D8B" w:rsidP="00903D8B">
            <w:pPr>
              <w:spacing w:before="20" w:after="20"/>
              <w:rPr>
                <w:rFonts w:ascii="Times New Roman" w:hAnsi="Times New Roman" w:cs="Times New Roman"/>
                <w:sz w:val="19"/>
                <w:szCs w:val="19"/>
              </w:rPr>
            </w:pPr>
          </w:p>
        </w:tc>
        <w:tc>
          <w:tcPr>
            <w:tcW w:w="0" w:type="auto"/>
            <w:tcBorders>
              <w:top w:val="single" w:sz="4" w:space="0" w:color="auto"/>
              <w:bottom w:val="single" w:sz="4" w:space="0" w:color="auto"/>
            </w:tcBorders>
          </w:tcPr>
          <w:p w:rsidR="00903D8B" w:rsidRPr="00CB2DE6" w:rsidRDefault="00903D8B" w:rsidP="00903D8B">
            <w:pPr>
              <w:spacing w:before="20" w:after="20"/>
              <w:rPr>
                <w:rFonts w:ascii="Times New Roman" w:hAnsi="Times New Roman" w:cs="Times New Roman"/>
                <w:sz w:val="19"/>
                <w:szCs w:val="19"/>
              </w:rPr>
            </w:pPr>
          </w:p>
        </w:tc>
        <w:tc>
          <w:tcPr>
            <w:tcW w:w="0" w:type="auto"/>
            <w:tcBorders>
              <w:top w:val="single" w:sz="4" w:space="0" w:color="auto"/>
              <w:bottom w:val="single" w:sz="4" w:space="0" w:color="auto"/>
            </w:tcBorders>
          </w:tcPr>
          <w:p w:rsidR="00903D8B" w:rsidRPr="00CB2DE6" w:rsidRDefault="00497F73" w:rsidP="00903D8B">
            <w:pPr>
              <w:spacing w:before="20" w:after="20"/>
              <w:jc w:val="right"/>
              <w:rPr>
                <w:rFonts w:ascii="Times New Roman" w:hAnsi="Times New Roman" w:cs="Times New Roman"/>
                <w:sz w:val="19"/>
                <w:szCs w:val="19"/>
              </w:rPr>
            </w:pPr>
            <m:oMathPara>
              <m:oMath>
                <m:sSubSup>
                  <m:sSubSupPr>
                    <m:ctrlPr>
                      <w:rPr>
                        <w:rFonts w:ascii="Cambria Math" w:hAnsi="Cambria Math" w:cs="Times New Roman"/>
                        <w:i/>
                        <w:sz w:val="19"/>
                        <w:szCs w:val="19"/>
                      </w:rPr>
                    </m:ctrlPr>
                  </m:sSubSupPr>
                  <m:e>
                    <m:r>
                      <w:rPr>
                        <w:rFonts w:ascii="Cambria Math" w:hAnsi="Cambria Math" w:cs="Times New Roman"/>
                        <w:sz w:val="19"/>
                        <w:szCs w:val="19"/>
                      </w:rPr>
                      <m:t>χ</m:t>
                    </m:r>
                  </m:e>
                  <m:sub>
                    <m:r>
                      <w:rPr>
                        <w:rFonts w:ascii="Cambria Math" w:hAnsi="Cambria Math" w:cs="Times New Roman"/>
                        <w:sz w:val="19"/>
                        <w:szCs w:val="19"/>
                      </w:rPr>
                      <m:t>GMM-HAC</m:t>
                    </m:r>
                  </m:sub>
                  <m:sup>
                    <m:r>
                      <w:rPr>
                        <w:rFonts w:ascii="Cambria Math" w:hAnsi="Cambria Math" w:cs="Times New Roman"/>
                        <w:sz w:val="19"/>
                        <w:szCs w:val="19"/>
                      </w:rPr>
                      <m:t>2</m:t>
                    </m:r>
                  </m:sup>
                </m:sSubSup>
              </m:oMath>
            </m:oMathPara>
          </w:p>
        </w:tc>
        <w:tc>
          <w:tcPr>
            <w:tcW w:w="0" w:type="auto"/>
            <w:tcBorders>
              <w:top w:val="single" w:sz="4" w:space="0" w:color="auto"/>
              <w:bottom w:val="single" w:sz="4" w:space="0" w:color="auto"/>
            </w:tcBorders>
          </w:tcPr>
          <w:p w:rsidR="00903D8B" w:rsidRPr="00CB2DE6" w:rsidRDefault="00497F73" w:rsidP="00903D8B">
            <w:pPr>
              <w:spacing w:before="20" w:after="20"/>
              <w:jc w:val="right"/>
              <w:rPr>
                <w:rFonts w:ascii="Times New Roman" w:hAnsi="Times New Roman" w:cs="Times New Roman"/>
                <w:sz w:val="19"/>
                <w:szCs w:val="19"/>
              </w:rPr>
            </w:pPr>
            <m:oMathPara>
              <m:oMathParaPr>
                <m:jc m:val="right"/>
              </m:oMathParaPr>
              <m:oMath>
                <m:sSubSup>
                  <m:sSubSupPr>
                    <m:ctrlPr>
                      <w:rPr>
                        <w:rFonts w:ascii="Cambria Math" w:hAnsi="Cambria Math" w:cs="Times New Roman"/>
                        <w:i/>
                        <w:sz w:val="19"/>
                        <w:szCs w:val="19"/>
                      </w:rPr>
                    </m:ctrlPr>
                  </m:sSubSupPr>
                  <m:e>
                    <m:r>
                      <w:rPr>
                        <w:rFonts w:ascii="Cambria Math" w:hAnsi="Cambria Math" w:cs="Times New Roman"/>
                        <w:sz w:val="19"/>
                        <w:szCs w:val="19"/>
                      </w:rPr>
                      <m:t>χ</m:t>
                    </m:r>
                  </m:e>
                  <m:sub>
                    <m:r>
                      <w:rPr>
                        <w:rFonts w:ascii="Cambria Math" w:hAnsi="Cambria Math" w:cs="Times New Roman"/>
                        <w:sz w:val="19"/>
                        <w:szCs w:val="19"/>
                      </w:rPr>
                      <m:t>SH</m:t>
                    </m:r>
                  </m:sub>
                  <m:sup>
                    <m:r>
                      <w:rPr>
                        <w:rFonts w:ascii="Cambria Math" w:hAnsi="Cambria Math" w:cs="Times New Roman"/>
                        <w:sz w:val="19"/>
                        <w:szCs w:val="19"/>
                      </w:rPr>
                      <m:t>2</m:t>
                    </m:r>
                  </m:sup>
                </m:sSubSup>
              </m:oMath>
            </m:oMathPara>
          </w:p>
        </w:tc>
        <w:tc>
          <w:tcPr>
            <w:tcW w:w="0" w:type="auto"/>
            <w:tcBorders>
              <w:top w:val="single" w:sz="4" w:space="0" w:color="auto"/>
              <w:bottom w:val="single" w:sz="4" w:space="0" w:color="auto"/>
            </w:tcBorders>
          </w:tcPr>
          <w:p w:rsidR="00903D8B" w:rsidRPr="00CB2DE6" w:rsidRDefault="00903D8B" w:rsidP="00903D8B">
            <w:pPr>
              <w:spacing w:before="20" w:after="20"/>
              <w:jc w:val="right"/>
              <w:rPr>
                <w:rFonts w:ascii="Times New Roman" w:hAnsi="Times New Roman" w:cs="Times New Roman"/>
                <w:sz w:val="19"/>
                <w:szCs w:val="19"/>
              </w:rPr>
            </w:pPr>
          </w:p>
        </w:tc>
        <w:tc>
          <w:tcPr>
            <w:tcW w:w="0" w:type="auto"/>
            <w:tcBorders>
              <w:top w:val="single" w:sz="4" w:space="0" w:color="auto"/>
              <w:bottom w:val="single" w:sz="4" w:space="0" w:color="auto"/>
            </w:tcBorders>
          </w:tcPr>
          <w:p w:rsidR="00903D8B" w:rsidRPr="00CB2DE6" w:rsidRDefault="00903D8B" w:rsidP="00903D8B">
            <w:pPr>
              <w:spacing w:before="20" w:after="20"/>
              <w:jc w:val="right"/>
              <w:rPr>
                <w:rFonts w:ascii="Times New Roman" w:hAnsi="Times New Roman" w:cs="Times New Roman"/>
                <w:sz w:val="19"/>
                <w:szCs w:val="19"/>
              </w:rPr>
            </w:pPr>
          </w:p>
        </w:tc>
        <w:tc>
          <w:tcPr>
            <w:tcW w:w="0" w:type="auto"/>
            <w:tcBorders>
              <w:top w:val="single" w:sz="4" w:space="0" w:color="auto"/>
              <w:bottom w:val="single" w:sz="4" w:space="0" w:color="auto"/>
            </w:tcBorders>
          </w:tcPr>
          <w:p w:rsidR="00903D8B" w:rsidRPr="00CB2DE6" w:rsidRDefault="00903D8B" w:rsidP="00903D8B">
            <w:pPr>
              <w:spacing w:before="20" w:after="20"/>
              <w:jc w:val="right"/>
              <w:rPr>
                <w:rFonts w:ascii="Times New Roman" w:hAnsi="Times New Roman" w:cs="Times New Roman"/>
                <w:sz w:val="19"/>
                <w:szCs w:val="19"/>
              </w:rPr>
            </w:pPr>
          </w:p>
        </w:tc>
        <w:tc>
          <w:tcPr>
            <w:tcW w:w="0" w:type="auto"/>
          </w:tcPr>
          <w:p w:rsidR="00903D8B" w:rsidRPr="00CB2DE6" w:rsidRDefault="00903D8B" w:rsidP="00903D8B">
            <w:pPr>
              <w:rPr>
                <w:rFonts w:ascii="Times New Roman" w:hAnsi="Times New Roman" w:cs="Times New Roman"/>
                <w:sz w:val="19"/>
                <w:szCs w:val="19"/>
              </w:rPr>
            </w:pPr>
          </w:p>
        </w:tc>
      </w:tr>
      <w:tr w:rsidR="00903D8B" w:rsidRPr="00CB2DE6" w:rsidTr="00E516F3">
        <w:trPr>
          <w:jc w:val="center"/>
        </w:trPr>
        <w:tc>
          <w:tcPr>
            <w:tcW w:w="0" w:type="auto"/>
            <w:tcBorders>
              <w:top w:val="single" w:sz="4" w:space="0" w:color="auto"/>
            </w:tcBorders>
          </w:tcPr>
          <w:p w:rsidR="00903D8B" w:rsidRPr="00CB2DE6" w:rsidRDefault="00903D8B" w:rsidP="00903D8B">
            <w:pPr>
              <w:spacing w:before="120"/>
              <w:rPr>
                <w:rFonts w:ascii="Times New Roman" w:hAnsi="Times New Roman" w:cs="Times New Roman"/>
                <w:sz w:val="19"/>
                <w:szCs w:val="19"/>
              </w:rPr>
            </w:pPr>
          </w:p>
        </w:tc>
        <w:tc>
          <w:tcPr>
            <w:tcW w:w="0" w:type="auto"/>
            <w:tcBorders>
              <w:top w:val="single" w:sz="4" w:space="0" w:color="auto"/>
            </w:tcBorders>
          </w:tcPr>
          <w:p w:rsidR="00903D8B" w:rsidRPr="00CB2DE6" w:rsidRDefault="00903D8B" w:rsidP="00903D8B">
            <w:pPr>
              <w:spacing w:before="120"/>
              <w:jc w:val="right"/>
              <w:rPr>
                <w:rFonts w:ascii="Times New Roman" w:eastAsia="Times New Roman" w:hAnsi="Times New Roman" w:cs="Times New Roman"/>
                <w:sz w:val="19"/>
                <w:szCs w:val="19"/>
              </w:rPr>
            </w:pPr>
            <w:r w:rsidRPr="00CB2DE6">
              <w:rPr>
                <w:rFonts w:ascii="Times New Roman" w:eastAsia="Times New Roman" w:hAnsi="Times New Roman" w:cs="Times New Roman"/>
                <w:sz w:val="19"/>
                <w:szCs w:val="19"/>
              </w:rPr>
              <w:t>0.129</w:t>
            </w:r>
          </w:p>
        </w:tc>
        <w:tc>
          <w:tcPr>
            <w:tcW w:w="0" w:type="auto"/>
            <w:tcBorders>
              <w:top w:val="single" w:sz="4" w:space="0" w:color="auto"/>
            </w:tcBorders>
          </w:tcPr>
          <w:p w:rsidR="00903D8B" w:rsidRPr="00CB2DE6" w:rsidRDefault="00903D8B" w:rsidP="00903D8B">
            <w:pPr>
              <w:spacing w:before="120"/>
              <w:jc w:val="right"/>
              <w:rPr>
                <w:rFonts w:ascii="Times New Roman" w:eastAsia="Times New Roman" w:hAnsi="Times New Roman" w:cs="Times New Roman"/>
                <w:sz w:val="19"/>
                <w:szCs w:val="19"/>
              </w:rPr>
            </w:pPr>
            <w:r w:rsidRPr="00CB2DE6">
              <w:rPr>
                <w:rFonts w:ascii="Times New Roman" w:eastAsia="Times New Roman" w:hAnsi="Times New Roman" w:cs="Times New Roman"/>
                <w:sz w:val="19"/>
                <w:szCs w:val="19"/>
              </w:rPr>
              <w:t>0.133</w:t>
            </w:r>
          </w:p>
        </w:tc>
        <w:tc>
          <w:tcPr>
            <w:tcW w:w="0" w:type="auto"/>
            <w:tcBorders>
              <w:top w:val="single" w:sz="4" w:space="0" w:color="auto"/>
            </w:tcBorders>
          </w:tcPr>
          <w:p w:rsidR="00903D8B" w:rsidRPr="00CB2DE6" w:rsidRDefault="00903D8B" w:rsidP="00903D8B">
            <w:pPr>
              <w:spacing w:before="120"/>
              <w:jc w:val="right"/>
              <w:rPr>
                <w:rFonts w:ascii="Times New Roman" w:hAnsi="Times New Roman" w:cs="Times New Roman"/>
                <w:sz w:val="19"/>
                <w:szCs w:val="19"/>
              </w:rPr>
            </w:pPr>
          </w:p>
        </w:tc>
        <w:tc>
          <w:tcPr>
            <w:tcW w:w="0" w:type="auto"/>
            <w:tcBorders>
              <w:top w:val="single" w:sz="4" w:space="0" w:color="auto"/>
            </w:tcBorders>
          </w:tcPr>
          <w:p w:rsidR="00903D8B" w:rsidRPr="00CB2DE6" w:rsidRDefault="00903D8B" w:rsidP="00903D8B">
            <w:pPr>
              <w:spacing w:before="120"/>
              <w:jc w:val="right"/>
              <w:rPr>
                <w:rFonts w:ascii="Times New Roman" w:hAnsi="Times New Roman" w:cs="Times New Roman"/>
                <w:sz w:val="19"/>
                <w:szCs w:val="19"/>
              </w:rPr>
            </w:pPr>
          </w:p>
        </w:tc>
        <w:tc>
          <w:tcPr>
            <w:tcW w:w="0" w:type="auto"/>
            <w:tcBorders>
              <w:top w:val="single" w:sz="4" w:space="0" w:color="auto"/>
            </w:tcBorders>
          </w:tcPr>
          <w:p w:rsidR="00903D8B" w:rsidRPr="00CB2DE6" w:rsidRDefault="00903D8B" w:rsidP="00903D8B">
            <w:pPr>
              <w:spacing w:before="120"/>
              <w:jc w:val="right"/>
              <w:rPr>
                <w:rFonts w:ascii="Times New Roman" w:hAnsi="Times New Roman" w:cs="Times New Roman"/>
                <w:sz w:val="19"/>
                <w:szCs w:val="19"/>
              </w:rPr>
            </w:pPr>
          </w:p>
        </w:tc>
        <w:tc>
          <w:tcPr>
            <w:tcW w:w="0" w:type="auto"/>
          </w:tcPr>
          <w:p w:rsidR="00903D8B" w:rsidRPr="00CB2DE6" w:rsidRDefault="00903D8B" w:rsidP="00903D8B">
            <w:pPr>
              <w:spacing w:before="120"/>
              <w:rPr>
                <w:rFonts w:ascii="Times New Roman" w:hAnsi="Times New Roman" w:cs="Times New Roman"/>
                <w:sz w:val="19"/>
                <w:szCs w:val="19"/>
              </w:rPr>
            </w:pPr>
          </w:p>
        </w:tc>
        <w:tc>
          <w:tcPr>
            <w:tcW w:w="0" w:type="auto"/>
            <w:tcBorders>
              <w:top w:val="single" w:sz="4" w:space="0" w:color="auto"/>
            </w:tcBorders>
          </w:tcPr>
          <w:p w:rsidR="00903D8B" w:rsidRPr="00CB2DE6" w:rsidRDefault="00903D8B" w:rsidP="00903D8B">
            <w:pPr>
              <w:spacing w:before="120"/>
              <w:rPr>
                <w:rFonts w:ascii="Times New Roman" w:hAnsi="Times New Roman" w:cs="Times New Roman"/>
                <w:sz w:val="19"/>
                <w:szCs w:val="19"/>
              </w:rPr>
            </w:pPr>
          </w:p>
        </w:tc>
        <w:tc>
          <w:tcPr>
            <w:tcW w:w="0" w:type="auto"/>
            <w:tcBorders>
              <w:top w:val="single" w:sz="4" w:space="0" w:color="auto"/>
            </w:tcBorders>
          </w:tcPr>
          <w:p w:rsidR="00903D8B" w:rsidRPr="00CB2DE6" w:rsidRDefault="00903D8B" w:rsidP="00903D8B">
            <w:pPr>
              <w:spacing w:before="120"/>
              <w:jc w:val="right"/>
              <w:rPr>
                <w:rFonts w:ascii="Times New Roman" w:eastAsia="Times New Roman" w:hAnsi="Times New Roman" w:cs="Times New Roman"/>
                <w:sz w:val="19"/>
                <w:szCs w:val="19"/>
              </w:rPr>
            </w:pPr>
            <w:r w:rsidRPr="00CB2DE6">
              <w:rPr>
                <w:rFonts w:ascii="Times New Roman" w:eastAsia="Times New Roman" w:hAnsi="Times New Roman" w:cs="Times New Roman"/>
                <w:sz w:val="19"/>
                <w:szCs w:val="19"/>
              </w:rPr>
              <w:t>1.195</w:t>
            </w:r>
          </w:p>
        </w:tc>
        <w:tc>
          <w:tcPr>
            <w:tcW w:w="0" w:type="auto"/>
            <w:tcBorders>
              <w:top w:val="single" w:sz="4" w:space="0" w:color="auto"/>
            </w:tcBorders>
          </w:tcPr>
          <w:p w:rsidR="00903D8B" w:rsidRPr="00CB2DE6" w:rsidRDefault="00903D8B" w:rsidP="00903D8B">
            <w:pPr>
              <w:spacing w:before="120"/>
              <w:jc w:val="right"/>
              <w:rPr>
                <w:rFonts w:ascii="Times New Roman" w:eastAsia="Times New Roman" w:hAnsi="Times New Roman" w:cs="Times New Roman"/>
                <w:sz w:val="19"/>
                <w:szCs w:val="19"/>
              </w:rPr>
            </w:pPr>
            <w:r w:rsidRPr="00CB2DE6">
              <w:rPr>
                <w:rFonts w:ascii="Times New Roman" w:eastAsia="Times New Roman" w:hAnsi="Times New Roman" w:cs="Times New Roman"/>
                <w:sz w:val="19"/>
                <w:szCs w:val="19"/>
              </w:rPr>
              <w:t>1.662</w:t>
            </w:r>
          </w:p>
        </w:tc>
        <w:tc>
          <w:tcPr>
            <w:tcW w:w="0" w:type="auto"/>
            <w:tcBorders>
              <w:top w:val="single" w:sz="4" w:space="0" w:color="auto"/>
            </w:tcBorders>
          </w:tcPr>
          <w:p w:rsidR="00903D8B" w:rsidRPr="00CB2DE6" w:rsidRDefault="00903D8B" w:rsidP="00903D8B">
            <w:pPr>
              <w:spacing w:before="120"/>
              <w:jc w:val="right"/>
              <w:rPr>
                <w:rFonts w:ascii="Times New Roman" w:hAnsi="Times New Roman" w:cs="Times New Roman"/>
                <w:sz w:val="19"/>
                <w:szCs w:val="19"/>
              </w:rPr>
            </w:pPr>
          </w:p>
        </w:tc>
        <w:tc>
          <w:tcPr>
            <w:tcW w:w="0" w:type="auto"/>
            <w:tcBorders>
              <w:top w:val="single" w:sz="4" w:space="0" w:color="auto"/>
            </w:tcBorders>
          </w:tcPr>
          <w:p w:rsidR="00903D8B" w:rsidRPr="00CB2DE6" w:rsidRDefault="00903D8B" w:rsidP="00903D8B">
            <w:pPr>
              <w:spacing w:before="120"/>
              <w:jc w:val="right"/>
              <w:rPr>
                <w:rFonts w:ascii="Times New Roman" w:hAnsi="Times New Roman" w:cs="Times New Roman"/>
                <w:sz w:val="19"/>
                <w:szCs w:val="19"/>
              </w:rPr>
            </w:pPr>
          </w:p>
        </w:tc>
        <w:tc>
          <w:tcPr>
            <w:tcW w:w="0" w:type="auto"/>
            <w:tcBorders>
              <w:top w:val="single" w:sz="4" w:space="0" w:color="auto"/>
            </w:tcBorders>
          </w:tcPr>
          <w:p w:rsidR="00903D8B" w:rsidRPr="00CB2DE6" w:rsidRDefault="00903D8B" w:rsidP="00903D8B">
            <w:pPr>
              <w:spacing w:before="120"/>
              <w:jc w:val="right"/>
              <w:rPr>
                <w:rFonts w:ascii="Times New Roman" w:hAnsi="Times New Roman" w:cs="Times New Roman"/>
                <w:sz w:val="19"/>
                <w:szCs w:val="19"/>
              </w:rPr>
            </w:pPr>
          </w:p>
        </w:tc>
        <w:tc>
          <w:tcPr>
            <w:tcW w:w="0" w:type="auto"/>
          </w:tcPr>
          <w:p w:rsidR="00903D8B" w:rsidRPr="00CB2DE6" w:rsidRDefault="00903D8B" w:rsidP="00903D8B">
            <w:pPr>
              <w:rPr>
                <w:rFonts w:ascii="Times New Roman" w:hAnsi="Times New Roman" w:cs="Times New Roman"/>
                <w:sz w:val="19"/>
                <w:szCs w:val="19"/>
              </w:rPr>
            </w:pPr>
          </w:p>
        </w:tc>
      </w:tr>
      <w:tr w:rsidR="00903D8B" w:rsidRPr="00CB2DE6" w:rsidTr="00E516F3">
        <w:trPr>
          <w:jc w:val="center"/>
        </w:trPr>
        <w:tc>
          <w:tcPr>
            <w:tcW w:w="0" w:type="auto"/>
            <w:tcBorders>
              <w:bottom w:val="single" w:sz="4" w:space="0" w:color="auto"/>
            </w:tcBorders>
          </w:tcPr>
          <w:p w:rsidR="00903D8B" w:rsidRPr="00CB2DE6" w:rsidRDefault="00903D8B" w:rsidP="00903D8B">
            <w:pPr>
              <w:spacing w:after="120"/>
              <w:rPr>
                <w:rFonts w:ascii="Times New Roman" w:hAnsi="Times New Roman" w:cs="Times New Roman"/>
                <w:sz w:val="19"/>
                <w:szCs w:val="19"/>
              </w:rPr>
            </w:pPr>
            <w:r w:rsidRPr="00CB2DE6">
              <w:rPr>
                <w:rFonts w:ascii="Times New Roman" w:hAnsi="Times New Roman" w:cs="Times New Roman"/>
                <w:i/>
                <w:sz w:val="19"/>
                <w:szCs w:val="19"/>
              </w:rPr>
              <w:t>p</w:t>
            </w:r>
            <w:r w:rsidRPr="00CB2DE6">
              <w:rPr>
                <w:rFonts w:ascii="Times New Roman" w:hAnsi="Times New Roman" w:cs="Times New Roman"/>
                <w:sz w:val="19"/>
                <w:szCs w:val="19"/>
              </w:rPr>
              <w:t>-value</w:t>
            </w:r>
          </w:p>
        </w:tc>
        <w:tc>
          <w:tcPr>
            <w:tcW w:w="0" w:type="auto"/>
            <w:tcBorders>
              <w:bottom w:val="single" w:sz="4" w:space="0" w:color="auto"/>
            </w:tcBorders>
          </w:tcPr>
          <w:p w:rsidR="00903D8B" w:rsidRPr="00CB2DE6" w:rsidRDefault="00903D8B" w:rsidP="00903D8B">
            <w:pPr>
              <w:spacing w:after="120"/>
              <w:jc w:val="right"/>
              <w:rPr>
                <w:rFonts w:ascii="Times New Roman" w:eastAsia="Times New Roman" w:hAnsi="Times New Roman" w:cs="Times New Roman"/>
                <w:sz w:val="19"/>
                <w:szCs w:val="19"/>
              </w:rPr>
            </w:pPr>
            <w:r w:rsidRPr="00CB2DE6">
              <w:rPr>
                <w:rFonts w:ascii="Times New Roman" w:eastAsia="Times New Roman" w:hAnsi="Times New Roman" w:cs="Times New Roman"/>
                <w:sz w:val="19"/>
                <w:szCs w:val="19"/>
              </w:rPr>
              <w:t>0.938</w:t>
            </w:r>
          </w:p>
        </w:tc>
        <w:tc>
          <w:tcPr>
            <w:tcW w:w="0" w:type="auto"/>
            <w:tcBorders>
              <w:bottom w:val="single" w:sz="4" w:space="0" w:color="auto"/>
            </w:tcBorders>
          </w:tcPr>
          <w:p w:rsidR="00903D8B" w:rsidRPr="00CB2DE6" w:rsidRDefault="00903D8B" w:rsidP="00903D8B">
            <w:pPr>
              <w:spacing w:after="120"/>
              <w:jc w:val="right"/>
              <w:rPr>
                <w:rFonts w:ascii="Times New Roman" w:eastAsia="Times New Roman" w:hAnsi="Times New Roman" w:cs="Times New Roman"/>
                <w:sz w:val="19"/>
                <w:szCs w:val="19"/>
              </w:rPr>
            </w:pPr>
            <w:r w:rsidRPr="00CB2DE6">
              <w:rPr>
                <w:rFonts w:ascii="Times New Roman" w:eastAsia="Times New Roman" w:hAnsi="Times New Roman" w:cs="Times New Roman"/>
                <w:sz w:val="19"/>
                <w:szCs w:val="19"/>
              </w:rPr>
              <w:t>0.936</w:t>
            </w:r>
          </w:p>
        </w:tc>
        <w:tc>
          <w:tcPr>
            <w:tcW w:w="0" w:type="auto"/>
            <w:tcBorders>
              <w:bottom w:val="single" w:sz="4" w:space="0" w:color="auto"/>
            </w:tcBorders>
          </w:tcPr>
          <w:p w:rsidR="00903D8B" w:rsidRPr="00CB2DE6" w:rsidRDefault="00903D8B" w:rsidP="00903D8B">
            <w:pPr>
              <w:spacing w:after="120"/>
              <w:jc w:val="right"/>
              <w:rPr>
                <w:rFonts w:ascii="Times New Roman" w:hAnsi="Times New Roman" w:cs="Times New Roman"/>
                <w:sz w:val="19"/>
                <w:szCs w:val="19"/>
              </w:rPr>
            </w:pPr>
          </w:p>
        </w:tc>
        <w:tc>
          <w:tcPr>
            <w:tcW w:w="0" w:type="auto"/>
            <w:tcBorders>
              <w:bottom w:val="single" w:sz="4" w:space="0" w:color="auto"/>
            </w:tcBorders>
          </w:tcPr>
          <w:p w:rsidR="00903D8B" w:rsidRPr="00CB2DE6" w:rsidRDefault="00903D8B" w:rsidP="00903D8B">
            <w:pPr>
              <w:spacing w:after="120"/>
              <w:jc w:val="right"/>
              <w:rPr>
                <w:rFonts w:ascii="Times New Roman" w:hAnsi="Times New Roman" w:cs="Times New Roman"/>
                <w:sz w:val="19"/>
                <w:szCs w:val="19"/>
              </w:rPr>
            </w:pPr>
          </w:p>
        </w:tc>
        <w:tc>
          <w:tcPr>
            <w:tcW w:w="0" w:type="auto"/>
            <w:tcBorders>
              <w:bottom w:val="single" w:sz="4" w:space="0" w:color="auto"/>
            </w:tcBorders>
          </w:tcPr>
          <w:p w:rsidR="00903D8B" w:rsidRPr="00CB2DE6" w:rsidRDefault="00903D8B" w:rsidP="00903D8B">
            <w:pPr>
              <w:spacing w:after="120"/>
              <w:jc w:val="right"/>
              <w:rPr>
                <w:rFonts w:ascii="Times New Roman" w:hAnsi="Times New Roman" w:cs="Times New Roman"/>
                <w:sz w:val="19"/>
                <w:szCs w:val="19"/>
              </w:rPr>
            </w:pPr>
          </w:p>
        </w:tc>
        <w:tc>
          <w:tcPr>
            <w:tcW w:w="0" w:type="auto"/>
            <w:tcBorders>
              <w:bottom w:val="single" w:sz="4" w:space="0" w:color="auto"/>
            </w:tcBorders>
          </w:tcPr>
          <w:p w:rsidR="00903D8B" w:rsidRPr="00CB2DE6" w:rsidRDefault="00903D8B" w:rsidP="00903D8B">
            <w:pPr>
              <w:spacing w:after="120"/>
              <w:rPr>
                <w:rFonts w:ascii="Times New Roman" w:hAnsi="Times New Roman" w:cs="Times New Roman"/>
                <w:sz w:val="19"/>
                <w:szCs w:val="19"/>
              </w:rPr>
            </w:pPr>
          </w:p>
        </w:tc>
        <w:tc>
          <w:tcPr>
            <w:tcW w:w="0" w:type="auto"/>
            <w:tcBorders>
              <w:bottom w:val="single" w:sz="4" w:space="0" w:color="auto"/>
            </w:tcBorders>
          </w:tcPr>
          <w:p w:rsidR="00903D8B" w:rsidRPr="00CB2DE6" w:rsidRDefault="00903D8B" w:rsidP="00903D8B">
            <w:pPr>
              <w:spacing w:after="120"/>
              <w:rPr>
                <w:rFonts w:ascii="Times New Roman" w:hAnsi="Times New Roman" w:cs="Times New Roman"/>
                <w:sz w:val="19"/>
                <w:szCs w:val="19"/>
              </w:rPr>
            </w:pPr>
            <w:r w:rsidRPr="00CB2DE6">
              <w:rPr>
                <w:rFonts w:ascii="Times New Roman" w:hAnsi="Times New Roman" w:cs="Times New Roman"/>
                <w:i/>
                <w:sz w:val="19"/>
                <w:szCs w:val="19"/>
              </w:rPr>
              <w:t>p</w:t>
            </w:r>
            <w:r w:rsidRPr="00CB2DE6">
              <w:rPr>
                <w:rFonts w:ascii="Times New Roman" w:hAnsi="Times New Roman" w:cs="Times New Roman"/>
                <w:sz w:val="19"/>
                <w:szCs w:val="19"/>
              </w:rPr>
              <w:t>-value</w:t>
            </w:r>
          </w:p>
        </w:tc>
        <w:tc>
          <w:tcPr>
            <w:tcW w:w="0" w:type="auto"/>
            <w:tcBorders>
              <w:bottom w:val="single" w:sz="4" w:space="0" w:color="auto"/>
            </w:tcBorders>
          </w:tcPr>
          <w:p w:rsidR="00903D8B" w:rsidRPr="00CB2DE6" w:rsidRDefault="00903D8B" w:rsidP="00903D8B">
            <w:pPr>
              <w:spacing w:after="120"/>
              <w:jc w:val="right"/>
              <w:rPr>
                <w:rFonts w:ascii="Times New Roman" w:eastAsia="Times New Roman" w:hAnsi="Times New Roman" w:cs="Times New Roman"/>
                <w:sz w:val="19"/>
                <w:szCs w:val="19"/>
              </w:rPr>
            </w:pPr>
            <w:r w:rsidRPr="00CB2DE6">
              <w:rPr>
                <w:rFonts w:ascii="Times New Roman" w:eastAsia="Times New Roman" w:hAnsi="Times New Roman" w:cs="Times New Roman"/>
                <w:sz w:val="19"/>
                <w:szCs w:val="19"/>
              </w:rPr>
              <w:t>0.550</w:t>
            </w:r>
          </w:p>
        </w:tc>
        <w:tc>
          <w:tcPr>
            <w:tcW w:w="0" w:type="auto"/>
            <w:tcBorders>
              <w:bottom w:val="single" w:sz="4" w:space="0" w:color="auto"/>
            </w:tcBorders>
          </w:tcPr>
          <w:p w:rsidR="00903D8B" w:rsidRPr="00CB2DE6" w:rsidRDefault="00903D8B" w:rsidP="00903D8B">
            <w:pPr>
              <w:spacing w:after="120"/>
              <w:jc w:val="right"/>
              <w:rPr>
                <w:rFonts w:ascii="Times New Roman" w:eastAsia="Times New Roman" w:hAnsi="Times New Roman" w:cs="Times New Roman"/>
                <w:sz w:val="19"/>
                <w:szCs w:val="19"/>
              </w:rPr>
            </w:pPr>
            <w:r w:rsidRPr="00CB2DE6">
              <w:rPr>
                <w:rFonts w:ascii="Times New Roman" w:eastAsia="Times New Roman" w:hAnsi="Times New Roman" w:cs="Times New Roman"/>
                <w:sz w:val="19"/>
                <w:szCs w:val="19"/>
              </w:rPr>
              <w:t>0.436</w:t>
            </w:r>
          </w:p>
        </w:tc>
        <w:tc>
          <w:tcPr>
            <w:tcW w:w="0" w:type="auto"/>
            <w:tcBorders>
              <w:bottom w:val="single" w:sz="4" w:space="0" w:color="auto"/>
            </w:tcBorders>
          </w:tcPr>
          <w:p w:rsidR="00903D8B" w:rsidRPr="00CB2DE6" w:rsidRDefault="00903D8B" w:rsidP="00903D8B">
            <w:pPr>
              <w:spacing w:after="120"/>
              <w:jc w:val="right"/>
              <w:rPr>
                <w:rFonts w:ascii="Times New Roman" w:hAnsi="Times New Roman" w:cs="Times New Roman"/>
                <w:sz w:val="19"/>
                <w:szCs w:val="19"/>
              </w:rPr>
            </w:pPr>
          </w:p>
        </w:tc>
        <w:tc>
          <w:tcPr>
            <w:tcW w:w="0" w:type="auto"/>
            <w:tcBorders>
              <w:bottom w:val="single" w:sz="4" w:space="0" w:color="auto"/>
            </w:tcBorders>
          </w:tcPr>
          <w:p w:rsidR="00903D8B" w:rsidRPr="00CB2DE6" w:rsidRDefault="00903D8B" w:rsidP="00903D8B">
            <w:pPr>
              <w:spacing w:after="120"/>
              <w:jc w:val="right"/>
              <w:rPr>
                <w:rFonts w:ascii="Times New Roman" w:hAnsi="Times New Roman" w:cs="Times New Roman"/>
                <w:sz w:val="19"/>
                <w:szCs w:val="19"/>
              </w:rPr>
            </w:pPr>
          </w:p>
        </w:tc>
        <w:tc>
          <w:tcPr>
            <w:tcW w:w="0" w:type="auto"/>
            <w:tcBorders>
              <w:bottom w:val="single" w:sz="4" w:space="0" w:color="auto"/>
            </w:tcBorders>
          </w:tcPr>
          <w:p w:rsidR="00903D8B" w:rsidRPr="00CB2DE6" w:rsidRDefault="00903D8B" w:rsidP="00903D8B">
            <w:pPr>
              <w:spacing w:after="120"/>
              <w:jc w:val="right"/>
              <w:rPr>
                <w:rFonts w:ascii="Times New Roman" w:hAnsi="Times New Roman" w:cs="Times New Roman"/>
                <w:sz w:val="19"/>
                <w:szCs w:val="19"/>
              </w:rPr>
            </w:pPr>
          </w:p>
        </w:tc>
        <w:tc>
          <w:tcPr>
            <w:tcW w:w="0" w:type="auto"/>
          </w:tcPr>
          <w:p w:rsidR="00903D8B" w:rsidRPr="00CB2DE6" w:rsidRDefault="00903D8B" w:rsidP="00903D8B">
            <w:pPr>
              <w:rPr>
                <w:rFonts w:ascii="Times New Roman" w:hAnsi="Times New Roman" w:cs="Times New Roman"/>
                <w:sz w:val="19"/>
                <w:szCs w:val="19"/>
              </w:rPr>
            </w:pPr>
          </w:p>
        </w:tc>
      </w:tr>
    </w:tbl>
    <w:p w:rsidR="00A833BA" w:rsidRPr="00CB2DE6" w:rsidRDefault="00A833BA" w:rsidP="00A833BA">
      <w:pPr>
        <w:spacing w:before="180" w:after="180"/>
        <w:jc w:val="both"/>
        <w:rPr>
          <w:rFonts w:ascii="Times New Roman" w:hAnsi="Times New Roman" w:cs="Times New Roman"/>
          <w:sz w:val="20"/>
          <w:szCs w:val="20"/>
        </w:rPr>
      </w:pPr>
    </w:p>
    <w:p w:rsidR="00FF3CB8" w:rsidRPr="00CB2DE6" w:rsidRDefault="00FF3CB8" w:rsidP="00FF3CB8">
      <w:pPr>
        <w:jc w:val="center"/>
        <w:rPr>
          <w:rFonts w:ascii="Times New Roman" w:hAnsi="Times New Roman" w:cs="Times New Roman"/>
          <w:b/>
          <w:sz w:val="24"/>
          <w:szCs w:val="24"/>
        </w:rPr>
      </w:pPr>
      <w:r w:rsidRPr="00CB2DE6">
        <w:rPr>
          <w:rFonts w:ascii="Times New Roman" w:hAnsi="Times New Roman" w:cs="Times New Roman"/>
          <w:b/>
          <w:sz w:val="24"/>
          <w:szCs w:val="24"/>
        </w:rPr>
        <w:lastRenderedPageBreak/>
        <w:t>Table 6</w:t>
      </w:r>
    </w:p>
    <w:p w:rsidR="00FF3CB8" w:rsidRPr="00CB2DE6" w:rsidRDefault="00FF3CB8" w:rsidP="00FF3CB8">
      <w:pPr>
        <w:jc w:val="center"/>
        <w:rPr>
          <w:rFonts w:ascii="Times New Roman" w:hAnsi="Times New Roman" w:cs="Times New Roman"/>
          <w:b/>
          <w:sz w:val="24"/>
          <w:szCs w:val="24"/>
        </w:rPr>
      </w:pPr>
      <w:r w:rsidRPr="00CB2DE6">
        <w:rPr>
          <w:rFonts w:ascii="Times New Roman" w:hAnsi="Times New Roman" w:cs="Times New Roman"/>
          <w:b/>
          <w:sz w:val="24"/>
          <w:szCs w:val="24"/>
        </w:rPr>
        <w:t>Country-Level Asset Pricing Results</w:t>
      </w:r>
    </w:p>
    <w:p w:rsidR="00FF3CB8" w:rsidRPr="00CB2DE6" w:rsidRDefault="00FF3CB8" w:rsidP="00FF3CB8">
      <w:pPr>
        <w:spacing w:before="180" w:after="180"/>
        <w:jc w:val="both"/>
        <w:rPr>
          <w:rFonts w:ascii="Times New Roman" w:hAnsi="Times New Roman" w:cs="Times New Roman"/>
          <w:sz w:val="20"/>
          <w:szCs w:val="20"/>
        </w:rPr>
      </w:pPr>
      <w:r w:rsidRPr="00CB2DE6">
        <w:rPr>
          <w:rFonts w:ascii="Times New Roman" w:hAnsi="Times New Roman" w:cs="Times New Roman"/>
          <w:sz w:val="20"/>
          <w:szCs w:val="20"/>
        </w:rPr>
        <w:t>The table presents cross-sectional asset pricing results from the Fama and MacBeth (1973) second-pass regressions for the linear factor model based on the dollar risk factor (DOL), short-run volatility component innovations (SRVI), and long-run volatility component innovations (LRVI). The test assets are transaction cost unadjusted excess returns (without bid-ask spreads) of individual currencies. The second-pass cross-sectional regressions are performed without a constant. Panel A shows the estimated factor prices (</w:t>
      </w:r>
      <w:r w:rsidRPr="00CB2DE6">
        <w:rPr>
          <w:rFonts w:ascii="Times New Roman" w:hAnsi="Times New Roman" w:cs="Times New Roman"/>
          <w:i/>
          <w:sz w:val="20"/>
          <w:szCs w:val="20"/>
        </w:rPr>
        <w:t>λ</w:t>
      </w:r>
      <w:r w:rsidRPr="00CB2DE6">
        <w:rPr>
          <w:rFonts w:ascii="Times New Roman" w:hAnsi="Times New Roman" w:cs="Times New Roman"/>
          <w:sz w:val="20"/>
          <w:szCs w:val="20"/>
        </w:rPr>
        <w:t xml:space="preserve">) for the all country sample, while panel B presents factor prices for the developed country sample. Numbers in parentheses are the 95% confidence regions based on a bootstrap procedure. See also notes to Table 5.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1246"/>
        <w:gridCol w:w="1309"/>
        <w:gridCol w:w="1372"/>
        <w:gridCol w:w="707"/>
        <w:gridCol w:w="686"/>
        <w:gridCol w:w="222"/>
        <w:gridCol w:w="318"/>
        <w:gridCol w:w="1309"/>
        <w:gridCol w:w="1309"/>
        <w:gridCol w:w="1372"/>
        <w:gridCol w:w="644"/>
        <w:gridCol w:w="686"/>
      </w:tblGrid>
      <w:tr w:rsidR="00FF3CB8" w:rsidRPr="00CB2DE6" w:rsidTr="00F11691">
        <w:trPr>
          <w:jc w:val="center"/>
        </w:trPr>
        <w:tc>
          <w:tcPr>
            <w:tcW w:w="0" w:type="auto"/>
            <w:tcBorders>
              <w:top w:val="single" w:sz="4" w:space="0" w:color="auto"/>
              <w:bottom w:val="single" w:sz="4" w:space="0" w:color="auto"/>
            </w:tcBorders>
          </w:tcPr>
          <w:p w:rsidR="00FF3CB8" w:rsidRPr="00CB2DE6" w:rsidRDefault="00FF3CB8" w:rsidP="00F11691">
            <w:pPr>
              <w:spacing w:before="20" w:after="20"/>
              <w:jc w:val="center"/>
              <w:rPr>
                <w:rFonts w:ascii="Times New Roman" w:hAnsi="Times New Roman" w:cs="Times New Roman"/>
                <w:sz w:val="19"/>
                <w:szCs w:val="19"/>
              </w:rPr>
            </w:pPr>
          </w:p>
        </w:tc>
        <w:tc>
          <w:tcPr>
            <w:tcW w:w="0" w:type="auto"/>
            <w:gridSpan w:val="12"/>
            <w:tcBorders>
              <w:top w:val="single" w:sz="4" w:space="0" w:color="auto"/>
              <w:bottom w:val="single" w:sz="4" w:space="0" w:color="auto"/>
            </w:tcBorders>
          </w:tcPr>
          <w:p w:rsidR="00FF3CB8" w:rsidRPr="00CB2DE6" w:rsidRDefault="00FF3CB8" w:rsidP="00F11691">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Factor Prices</w:t>
            </w:r>
          </w:p>
        </w:tc>
      </w:tr>
      <w:tr w:rsidR="00FF3CB8" w:rsidRPr="00CB2DE6" w:rsidTr="00F11691">
        <w:trPr>
          <w:jc w:val="center"/>
        </w:trPr>
        <w:tc>
          <w:tcPr>
            <w:tcW w:w="0" w:type="auto"/>
            <w:gridSpan w:val="6"/>
            <w:tcBorders>
              <w:bottom w:val="single" w:sz="4" w:space="0" w:color="auto"/>
            </w:tcBorders>
          </w:tcPr>
          <w:p w:rsidR="00FF3CB8" w:rsidRPr="00CB2DE6" w:rsidRDefault="00FF3CB8" w:rsidP="00F11691">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Panel A: All Countries (without bid-ask)</w:t>
            </w:r>
          </w:p>
        </w:tc>
        <w:tc>
          <w:tcPr>
            <w:tcW w:w="0" w:type="auto"/>
          </w:tcPr>
          <w:p w:rsidR="00FF3CB8" w:rsidRPr="00CB2DE6" w:rsidRDefault="00FF3CB8" w:rsidP="00F11691">
            <w:pPr>
              <w:spacing w:before="20" w:after="20"/>
              <w:rPr>
                <w:rFonts w:ascii="Times New Roman" w:hAnsi="Times New Roman" w:cs="Times New Roman"/>
                <w:sz w:val="19"/>
                <w:szCs w:val="19"/>
              </w:rPr>
            </w:pPr>
          </w:p>
        </w:tc>
        <w:tc>
          <w:tcPr>
            <w:tcW w:w="0" w:type="auto"/>
            <w:gridSpan w:val="6"/>
          </w:tcPr>
          <w:p w:rsidR="00FF3CB8" w:rsidRPr="00CB2DE6" w:rsidRDefault="00FF3CB8" w:rsidP="00F11691">
            <w:pPr>
              <w:spacing w:before="20" w:after="20"/>
              <w:jc w:val="center"/>
              <w:rPr>
                <w:rFonts w:ascii="Times New Roman" w:hAnsi="Times New Roman" w:cs="Times New Roman"/>
                <w:sz w:val="19"/>
                <w:szCs w:val="19"/>
              </w:rPr>
            </w:pPr>
            <w:r w:rsidRPr="00CB2DE6">
              <w:rPr>
                <w:rFonts w:ascii="Times New Roman" w:hAnsi="Times New Roman" w:cs="Times New Roman"/>
                <w:sz w:val="19"/>
                <w:szCs w:val="19"/>
              </w:rPr>
              <w:t>Panel B: Developed Countries (without bid-ask)</w:t>
            </w:r>
          </w:p>
        </w:tc>
      </w:tr>
      <w:tr w:rsidR="00FF3CB8" w:rsidRPr="00CB2DE6" w:rsidTr="00F11691">
        <w:trPr>
          <w:jc w:val="center"/>
        </w:trPr>
        <w:tc>
          <w:tcPr>
            <w:tcW w:w="0" w:type="auto"/>
            <w:tcBorders>
              <w:top w:val="single" w:sz="4" w:space="0" w:color="auto"/>
              <w:bottom w:val="single" w:sz="4" w:space="0" w:color="auto"/>
            </w:tcBorders>
          </w:tcPr>
          <w:p w:rsidR="00FF3CB8" w:rsidRPr="00CB2DE6" w:rsidRDefault="00FF3CB8" w:rsidP="00F11691">
            <w:pPr>
              <w:spacing w:before="20" w:after="20"/>
              <w:rPr>
                <w:rFonts w:ascii="Times New Roman" w:hAnsi="Times New Roman" w:cs="Times New Roman"/>
                <w:sz w:val="19"/>
                <w:szCs w:val="19"/>
              </w:rPr>
            </w:pPr>
          </w:p>
        </w:tc>
        <w:tc>
          <w:tcPr>
            <w:tcW w:w="0" w:type="auto"/>
            <w:tcBorders>
              <w:top w:val="single" w:sz="4" w:space="0" w:color="auto"/>
              <w:bottom w:val="single" w:sz="4" w:space="0" w:color="auto"/>
            </w:tcBorders>
          </w:tcPr>
          <w:p w:rsidR="00FF3CB8" w:rsidRPr="00CB2DE6" w:rsidRDefault="00FF3CB8" w:rsidP="00F11691">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DOL</w:t>
            </w:r>
          </w:p>
        </w:tc>
        <w:tc>
          <w:tcPr>
            <w:tcW w:w="0" w:type="auto"/>
            <w:tcBorders>
              <w:top w:val="single" w:sz="4" w:space="0" w:color="auto"/>
              <w:bottom w:val="single" w:sz="4" w:space="0" w:color="auto"/>
            </w:tcBorders>
          </w:tcPr>
          <w:p w:rsidR="00FF3CB8" w:rsidRPr="00CB2DE6" w:rsidRDefault="00FF3CB8" w:rsidP="00F11691">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SRVI</w:t>
            </w:r>
          </w:p>
        </w:tc>
        <w:tc>
          <w:tcPr>
            <w:tcW w:w="0" w:type="auto"/>
            <w:tcBorders>
              <w:top w:val="single" w:sz="4" w:space="0" w:color="auto"/>
              <w:bottom w:val="single" w:sz="4" w:space="0" w:color="auto"/>
            </w:tcBorders>
          </w:tcPr>
          <w:p w:rsidR="00FF3CB8" w:rsidRPr="00CB2DE6" w:rsidRDefault="00FF3CB8" w:rsidP="00F11691">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LRVI</w:t>
            </w:r>
          </w:p>
        </w:tc>
        <w:tc>
          <w:tcPr>
            <w:tcW w:w="0" w:type="auto"/>
            <w:tcBorders>
              <w:top w:val="single" w:sz="4" w:space="0" w:color="auto"/>
              <w:bottom w:val="single" w:sz="4" w:space="0" w:color="auto"/>
            </w:tcBorders>
          </w:tcPr>
          <w:p w:rsidR="00FF3CB8" w:rsidRPr="00CB2DE6" w:rsidRDefault="00497F73" w:rsidP="00F11691">
            <w:pPr>
              <w:spacing w:before="20" w:after="20"/>
              <w:jc w:val="right"/>
              <w:rPr>
                <w:rFonts w:ascii="Times New Roman" w:hAnsi="Times New Roman" w:cs="Times New Roman"/>
                <w:sz w:val="19"/>
                <w:szCs w:val="19"/>
              </w:rPr>
            </w:pPr>
            <m:oMath>
              <m:sSup>
                <m:sSupPr>
                  <m:ctrlPr>
                    <w:rPr>
                      <w:rFonts w:ascii="Cambria Math" w:hAnsi="Cambria Math" w:cs="Times New Roman"/>
                      <w:i/>
                      <w:sz w:val="19"/>
                      <w:szCs w:val="19"/>
                    </w:rPr>
                  </m:ctrlPr>
                </m:sSupPr>
                <m:e>
                  <m:r>
                    <w:rPr>
                      <w:rFonts w:ascii="Cambria Math" w:hAnsi="Cambria Math" w:cs="Times New Roman"/>
                      <w:sz w:val="19"/>
                      <w:szCs w:val="19"/>
                    </w:rPr>
                    <m:t>R</m:t>
                  </m:r>
                </m:e>
                <m:sup>
                  <m:r>
                    <w:rPr>
                      <w:rFonts w:ascii="Cambria Math" w:hAnsi="Cambria Math" w:cs="Times New Roman"/>
                      <w:sz w:val="19"/>
                      <w:szCs w:val="19"/>
                    </w:rPr>
                    <m:t>2</m:t>
                  </m:r>
                </m:sup>
              </m:sSup>
            </m:oMath>
            <w:r w:rsidR="00FF3CB8" w:rsidRPr="00CB2DE6">
              <w:rPr>
                <w:rFonts w:ascii="Times New Roman" w:hAnsi="Times New Roman" w:cs="Times New Roman"/>
                <w:sz w:val="19"/>
                <w:szCs w:val="19"/>
              </w:rPr>
              <w:t xml:space="preserve">    </w:t>
            </w:r>
          </w:p>
        </w:tc>
        <w:tc>
          <w:tcPr>
            <w:tcW w:w="0" w:type="auto"/>
            <w:tcBorders>
              <w:top w:val="single" w:sz="4" w:space="0" w:color="auto"/>
              <w:bottom w:val="single" w:sz="4" w:space="0" w:color="auto"/>
            </w:tcBorders>
          </w:tcPr>
          <w:p w:rsidR="00FF3CB8" w:rsidRPr="00CB2DE6" w:rsidRDefault="00FF3CB8" w:rsidP="00F11691">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MAE</w:t>
            </w:r>
          </w:p>
        </w:tc>
        <w:tc>
          <w:tcPr>
            <w:tcW w:w="0" w:type="auto"/>
          </w:tcPr>
          <w:p w:rsidR="00FF3CB8" w:rsidRPr="00CB2DE6" w:rsidRDefault="00FF3CB8" w:rsidP="00F11691">
            <w:pPr>
              <w:spacing w:before="20" w:after="20"/>
              <w:rPr>
                <w:rFonts w:ascii="Times New Roman" w:hAnsi="Times New Roman" w:cs="Times New Roman"/>
                <w:sz w:val="19"/>
                <w:szCs w:val="19"/>
              </w:rPr>
            </w:pPr>
          </w:p>
        </w:tc>
        <w:tc>
          <w:tcPr>
            <w:tcW w:w="0" w:type="auto"/>
            <w:tcBorders>
              <w:top w:val="single" w:sz="4" w:space="0" w:color="auto"/>
              <w:bottom w:val="single" w:sz="4" w:space="0" w:color="auto"/>
            </w:tcBorders>
          </w:tcPr>
          <w:p w:rsidR="00FF3CB8" w:rsidRPr="00CB2DE6" w:rsidRDefault="00FF3CB8" w:rsidP="00F11691">
            <w:pPr>
              <w:spacing w:before="20" w:after="20"/>
              <w:jc w:val="right"/>
              <w:rPr>
                <w:rFonts w:ascii="Times New Roman" w:hAnsi="Times New Roman" w:cs="Times New Roman"/>
                <w:sz w:val="19"/>
                <w:szCs w:val="19"/>
              </w:rPr>
            </w:pPr>
          </w:p>
        </w:tc>
        <w:tc>
          <w:tcPr>
            <w:tcW w:w="0" w:type="auto"/>
            <w:tcBorders>
              <w:top w:val="single" w:sz="4" w:space="0" w:color="auto"/>
              <w:bottom w:val="single" w:sz="4" w:space="0" w:color="auto"/>
            </w:tcBorders>
          </w:tcPr>
          <w:p w:rsidR="00FF3CB8" w:rsidRPr="00CB2DE6" w:rsidRDefault="00FF3CB8" w:rsidP="00F11691">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DOL</w:t>
            </w:r>
          </w:p>
        </w:tc>
        <w:tc>
          <w:tcPr>
            <w:tcW w:w="0" w:type="auto"/>
            <w:tcBorders>
              <w:top w:val="single" w:sz="4" w:space="0" w:color="auto"/>
              <w:bottom w:val="single" w:sz="4" w:space="0" w:color="auto"/>
            </w:tcBorders>
          </w:tcPr>
          <w:p w:rsidR="00FF3CB8" w:rsidRPr="00CB2DE6" w:rsidRDefault="00FF3CB8" w:rsidP="00F11691">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SRVI</w:t>
            </w:r>
          </w:p>
        </w:tc>
        <w:tc>
          <w:tcPr>
            <w:tcW w:w="0" w:type="auto"/>
            <w:tcBorders>
              <w:top w:val="single" w:sz="4" w:space="0" w:color="auto"/>
              <w:bottom w:val="single" w:sz="4" w:space="0" w:color="auto"/>
            </w:tcBorders>
          </w:tcPr>
          <w:p w:rsidR="00FF3CB8" w:rsidRPr="00CB2DE6" w:rsidRDefault="00FF3CB8" w:rsidP="00F11691">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LRVI</w:t>
            </w:r>
          </w:p>
        </w:tc>
        <w:tc>
          <w:tcPr>
            <w:tcW w:w="0" w:type="auto"/>
            <w:tcBorders>
              <w:top w:val="single" w:sz="4" w:space="0" w:color="auto"/>
              <w:bottom w:val="single" w:sz="4" w:space="0" w:color="auto"/>
            </w:tcBorders>
          </w:tcPr>
          <w:p w:rsidR="00FF3CB8" w:rsidRPr="00CB2DE6" w:rsidRDefault="00497F73" w:rsidP="00F11691">
            <w:pPr>
              <w:spacing w:before="20" w:after="20"/>
              <w:jc w:val="right"/>
              <w:rPr>
                <w:rFonts w:ascii="Times New Roman" w:hAnsi="Times New Roman" w:cs="Times New Roman"/>
                <w:sz w:val="19"/>
                <w:szCs w:val="19"/>
              </w:rPr>
            </w:pPr>
            <m:oMath>
              <m:sSup>
                <m:sSupPr>
                  <m:ctrlPr>
                    <w:rPr>
                      <w:rFonts w:ascii="Cambria Math" w:hAnsi="Cambria Math" w:cs="Times New Roman"/>
                      <w:i/>
                      <w:sz w:val="19"/>
                      <w:szCs w:val="19"/>
                    </w:rPr>
                  </m:ctrlPr>
                </m:sSupPr>
                <m:e>
                  <m:r>
                    <w:rPr>
                      <w:rFonts w:ascii="Cambria Math" w:hAnsi="Cambria Math" w:cs="Times New Roman"/>
                      <w:sz w:val="19"/>
                      <w:szCs w:val="19"/>
                    </w:rPr>
                    <m:t>R</m:t>
                  </m:r>
                </m:e>
                <m:sup>
                  <m:r>
                    <w:rPr>
                      <w:rFonts w:ascii="Cambria Math" w:hAnsi="Cambria Math" w:cs="Times New Roman"/>
                      <w:sz w:val="19"/>
                      <w:szCs w:val="19"/>
                    </w:rPr>
                    <m:t>2</m:t>
                  </m:r>
                </m:sup>
              </m:sSup>
            </m:oMath>
            <w:r w:rsidR="00FF3CB8" w:rsidRPr="00CB2DE6">
              <w:rPr>
                <w:rFonts w:ascii="Times New Roman" w:hAnsi="Times New Roman" w:cs="Times New Roman"/>
                <w:sz w:val="19"/>
                <w:szCs w:val="19"/>
              </w:rPr>
              <w:t xml:space="preserve">    </w:t>
            </w:r>
          </w:p>
        </w:tc>
        <w:tc>
          <w:tcPr>
            <w:tcW w:w="0" w:type="auto"/>
            <w:tcBorders>
              <w:top w:val="single" w:sz="4" w:space="0" w:color="auto"/>
              <w:bottom w:val="single" w:sz="4" w:space="0" w:color="auto"/>
            </w:tcBorders>
          </w:tcPr>
          <w:p w:rsidR="00FF3CB8" w:rsidRPr="00CB2DE6" w:rsidRDefault="00FF3CB8" w:rsidP="00F11691">
            <w:pPr>
              <w:spacing w:before="20" w:after="20"/>
              <w:jc w:val="right"/>
              <w:rPr>
                <w:rFonts w:ascii="Times New Roman" w:hAnsi="Times New Roman" w:cs="Times New Roman"/>
                <w:sz w:val="19"/>
                <w:szCs w:val="19"/>
              </w:rPr>
            </w:pPr>
            <w:r w:rsidRPr="00CB2DE6">
              <w:rPr>
                <w:rFonts w:ascii="Times New Roman" w:hAnsi="Times New Roman" w:cs="Times New Roman"/>
                <w:sz w:val="19"/>
                <w:szCs w:val="19"/>
              </w:rPr>
              <w:t xml:space="preserve"> MAE</w:t>
            </w:r>
          </w:p>
        </w:tc>
      </w:tr>
      <w:tr w:rsidR="00FF3CB8" w:rsidRPr="00CB2DE6" w:rsidTr="00F11691">
        <w:trPr>
          <w:jc w:val="center"/>
        </w:trPr>
        <w:tc>
          <w:tcPr>
            <w:tcW w:w="0" w:type="auto"/>
            <w:tcBorders>
              <w:top w:val="single" w:sz="4" w:space="0" w:color="auto"/>
            </w:tcBorders>
          </w:tcPr>
          <w:p w:rsidR="00FF3CB8" w:rsidRPr="00CB2DE6" w:rsidRDefault="00497F73" w:rsidP="00F11691">
            <w:pPr>
              <w:spacing w:before="120"/>
              <w:rPr>
                <w:rFonts w:ascii="Times New Roman" w:hAnsi="Times New Roman" w:cs="Times New Roman"/>
                <w:i/>
                <w:sz w:val="19"/>
                <w:szCs w:val="19"/>
              </w:rPr>
            </w:pPr>
            <m:oMathPara>
              <m:oMathParaPr>
                <m:jc m:val="left"/>
              </m:oMathParaPr>
              <m:oMath>
                <m:acc>
                  <m:accPr>
                    <m:ctrlPr>
                      <w:rPr>
                        <w:rFonts w:ascii="Cambria Math" w:hAnsi="Cambria Math" w:cs="Times New Roman"/>
                        <w:i/>
                        <w:sz w:val="19"/>
                        <w:szCs w:val="19"/>
                      </w:rPr>
                    </m:ctrlPr>
                  </m:accPr>
                  <m:e>
                    <m:r>
                      <w:rPr>
                        <w:rFonts w:ascii="Cambria Math" w:hAnsi="Cambria Math" w:cs="Times New Roman"/>
                        <w:sz w:val="19"/>
                        <w:szCs w:val="19"/>
                      </w:rPr>
                      <m:t>λ</m:t>
                    </m:r>
                  </m:e>
                </m:acc>
              </m:oMath>
            </m:oMathPara>
          </w:p>
        </w:tc>
        <w:tc>
          <w:tcPr>
            <w:tcW w:w="0" w:type="auto"/>
            <w:tcBorders>
              <w:top w:val="single" w:sz="4" w:space="0" w:color="auto"/>
            </w:tcBorders>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0.139</w:t>
            </w:r>
          </w:p>
        </w:tc>
        <w:tc>
          <w:tcPr>
            <w:tcW w:w="0" w:type="auto"/>
            <w:tcBorders>
              <w:top w:val="single" w:sz="4" w:space="0" w:color="auto"/>
            </w:tcBorders>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-0.001</w:t>
            </w:r>
          </w:p>
        </w:tc>
        <w:tc>
          <w:tcPr>
            <w:tcW w:w="0" w:type="auto"/>
            <w:tcBorders>
              <w:top w:val="single" w:sz="4" w:space="0" w:color="auto"/>
            </w:tcBorders>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-0.033</w:t>
            </w:r>
          </w:p>
        </w:tc>
        <w:tc>
          <w:tcPr>
            <w:tcW w:w="0" w:type="auto"/>
            <w:tcBorders>
              <w:top w:val="single" w:sz="4" w:space="0" w:color="auto"/>
            </w:tcBorders>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0.181</w:t>
            </w:r>
          </w:p>
        </w:tc>
        <w:tc>
          <w:tcPr>
            <w:tcW w:w="0" w:type="auto"/>
            <w:tcBorders>
              <w:top w:val="single" w:sz="4" w:space="0" w:color="auto"/>
            </w:tcBorders>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0.187</w:t>
            </w:r>
          </w:p>
        </w:tc>
        <w:tc>
          <w:tcPr>
            <w:tcW w:w="0" w:type="auto"/>
          </w:tcPr>
          <w:p w:rsidR="00FF3CB8" w:rsidRPr="00CB2DE6" w:rsidRDefault="00FF3CB8" w:rsidP="00F11691">
            <w:pPr>
              <w:spacing w:before="120"/>
              <w:rPr>
                <w:rFonts w:ascii="Times New Roman" w:hAnsi="Times New Roman" w:cs="Times New Roman"/>
                <w:sz w:val="19"/>
                <w:szCs w:val="19"/>
              </w:rPr>
            </w:pPr>
          </w:p>
        </w:tc>
        <w:tc>
          <w:tcPr>
            <w:tcW w:w="0" w:type="auto"/>
            <w:tcBorders>
              <w:top w:val="single" w:sz="4" w:space="0" w:color="auto"/>
            </w:tcBorders>
          </w:tcPr>
          <w:p w:rsidR="00FF3CB8" w:rsidRPr="00CB2DE6" w:rsidRDefault="00497F73" w:rsidP="00F11691">
            <w:pPr>
              <w:spacing w:before="120"/>
              <w:rPr>
                <w:rFonts w:ascii="Times New Roman" w:hAnsi="Times New Roman" w:cs="Times New Roman"/>
                <w:i/>
                <w:sz w:val="19"/>
                <w:szCs w:val="19"/>
              </w:rPr>
            </w:pPr>
            <m:oMathPara>
              <m:oMathParaPr>
                <m:jc m:val="left"/>
              </m:oMathParaPr>
              <m:oMath>
                <m:acc>
                  <m:accPr>
                    <m:ctrlPr>
                      <w:rPr>
                        <w:rFonts w:ascii="Cambria Math" w:hAnsi="Cambria Math" w:cs="Times New Roman"/>
                        <w:i/>
                        <w:sz w:val="19"/>
                        <w:szCs w:val="19"/>
                      </w:rPr>
                    </m:ctrlPr>
                  </m:accPr>
                  <m:e>
                    <m:r>
                      <w:rPr>
                        <w:rFonts w:ascii="Cambria Math" w:hAnsi="Cambria Math" w:cs="Times New Roman"/>
                        <w:sz w:val="19"/>
                        <w:szCs w:val="19"/>
                      </w:rPr>
                      <m:t>λ</m:t>
                    </m:r>
                  </m:e>
                </m:acc>
              </m:oMath>
            </m:oMathPara>
          </w:p>
        </w:tc>
        <w:tc>
          <w:tcPr>
            <w:tcW w:w="0" w:type="auto"/>
            <w:tcBorders>
              <w:top w:val="single" w:sz="4" w:space="0" w:color="auto"/>
            </w:tcBorders>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0.040</w:t>
            </w:r>
          </w:p>
        </w:tc>
        <w:tc>
          <w:tcPr>
            <w:tcW w:w="0" w:type="auto"/>
            <w:tcBorders>
              <w:top w:val="single" w:sz="4" w:space="0" w:color="auto"/>
            </w:tcBorders>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-0.009</w:t>
            </w:r>
          </w:p>
        </w:tc>
        <w:tc>
          <w:tcPr>
            <w:tcW w:w="0" w:type="auto"/>
            <w:tcBorders>
              <w:top w:val="single" w:sz="4" w:space="0" w:color="auto"/>
            </w:tcBorders>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-0.024</w:t>
            </w:r>
          </w:p>
        </w:tc>
        <w:tc>
          <w:tcPr>
            <w:tcW w:w="0" w:type="auto"/>
            <w:tcBorders>
              <w:top w:val="single" w:sz="4" w:space="0" w:color="auto"/>
            </w:tcBorders>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0.301</w:t>
            </w:r>
          </w:p>
        </w:tc>
        <w:tc>
          <w:tcPr>
            <w:tcW w:w="0" w:type="auto"/>
            <w:tcBorders>
              <w:top w:val="single" w:sz="4" w:space="0" w:color="auto"/>
            </w:tcBorders>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0.123</w:t>
            </w:r>
          </w:p>
        </w:tc>
      </w:tr>
      <w:tr w:rsidR="00FF3CB8" w:rsidRPr="00CB2DE6" w:rsidTr="00F11691">
        <w:trPr>
          <w:jc w:val="center"/>
        </w:trPr>
        <w:tc>
          <w:tcPr>
            <w:tcW w:w="0" w:type="auto"/>
          </w:tcPr>
          <w:p w:rsidR="00FF3CB8" w:rsidRPr="00CB2DE6" w:rsidRDefault="00FF3CB8" w:rsidP="00F11691">
            <w:pPr>
              <w:rPr>
                <w:rFonts w:ascii="Times New Roman" w:hAnsi="Times New Roman" w:cs="Times New Roman"/>
                <w:sz w:val="19"/>
                <w:szCs w:val="19"/>
              </w:rPr>
            </w:pPr>
          </w:p>
        </w:tc>
        <w:tc>
          <w:tcPr>
            <w:tcW w:w="0" w:type="auto"/>
          </w:tcPr>
          <w:p w:rsidR="00FF3CB8" w:rsidRPr="00CB2DE6" w:rsidRDefault="00FF3CB8" w:rsidP="00F11691">
            <w:pPr>
              <w:jc w:val="right"/>
              <w:rPr>
                <w:rFonts w:ascii="Times New Roman" w:hAnsi="Times New Roman" w:cs="Times New Roman"/>
                <w:sz w:val="19"/>
                <w:szCs w:val="19"/>
              </w:rPr>
            </w:pPr>
            <w:r w:rsidRPr="00CB2DE6">
              <w:rPr>
                <w:rFonts w:ascii="Times New Roman" w:hAnsi="Times New Roman" w:cs="Times New Roman"/>
                <w:sz w:val="19"/>
                <w:szCs w:val="19"/>
              </w:rPr>
              <w:t>(0.064,0.215)</w:t>
            </w:r>
          </w:p>
        </w:tc>
        <w:tc>
          <w:tcPr>
            <w:tcW w:w="0" w:type="auto"/>
          </w:tcPr>
          <w:p w:rsidR="00FF3CB8" w:rsidRPr="00CB2DE6" w:rsidRDefault="00FF3CB8" w:rsidP="00F11691">
            <w:pPr>
              <w:jc w:val="right"/>
              <w:rPr>
                <w:rFonts w:ascii="Times New Roman" w:hAnsi="Times New Roman" w:cs="Times New Roman"/>
                <w:sz w:val="19"/>
                <w:szCs w:val="19"/>
              </w:rPr>
            </w:pPr>
            <w:r w:rsidRPr="00CB2DE6">
              <w:rPr>
                <w:rFonts w:ascii="Times New Roman" w:hAnsi="Times New Roman" w:cs="Times New Roman"/>
                <w:sz w:val="19"/>
                <w:szCs w:val="19"/>
              </w:rPr>
              <w:t>(-0.007,0.006)</w:t>
            </w:r>
          </w:p>
        </w:tc>
        <w:tc>
          <w:tcPr>
            <w:tcW w:w="0" w:type="auto"/>
          </w:tcPr>
          <w:p w:rsidR="00FF3CB8" w:rsidRPr="00CB2DE6" w:rsidRDefault="00FF3CB8" w:rsidP="00F11691">
            <w:pPr>
              <w:jc w:val="right"/>
              <w:rPr>
                <w:rFonts w:ascii="Times New Roman" w:hAnsi="Times New Roman" w:cs="Times New Roman"/>
                <w:sz w:val="19"/>
                <w:szCs w:val="19"/>
              </w:rPr>
            </w:pPr>
            <w:r w:rsidRPr="00CB2DE6">
              <w:rPr>
                <w:rFonts w:ascii="Times New Roman" w:hAnsi="Times New Roman" w:cs="Times New Roman"/>
                <w:sz w:val="19"/>
                <w:szCs w:val="19"/>
              </w:rPr>
              <w:t>(-0.053,-0.015)</w:t>
            </w:r>
          </w:p>
        </w:tc>
        <w:tc>
          <w:tcPr>
            <w:tcW w:w="0" w:type="auto"/>
          </w:tcPr>
          <w:p w:rsidR="00FF3CB8" w:rsidRPr="00CB2DE6" w:rsidRDefault="00FF3CB8" w:rsidP="00F11691">
            <w:pPr>
              <w:jc w:val="right"/>
              <w:rPr>
                <w:rFonts w:ascii="Times New Roman" w:hAnsi="Times New Roman" w:cs="Times New Roman"/>
                <w:sz w:val="19"/>
                <w:szCs w:val="19"/>
              </w:rPr>
            </w:pPr>
          </w:p>
        </w:tc>
        <w:tc>
          <w:tcPr>
            <w:tcW w:w="0" w:type="auto"/>
          </w:tcPr>
          <w:p w:rsidR="00FF3CB8" w:rsidRPr="00CB2DE6" w:rsidRDefault="00FF3CB8" w:rsidP="00F11691">
            <w:pPr>
              <w:jc w:val="right"/>
              <w:rPr>
                <w:rFonts w:ascii="Times New Roman" w:hAnsi="Times New Roman" w:cs="Times New Roman"/>
                <w:sz w:val="19"/>
                <w:szCs w:val="19"/>
              </w:rPr>
            </w:pPr>
          </w:p>
        </w:tc>
        <w:tc>
          <w:tcPr>
            <w:tcW w:w="0" w:type="auto"/>
          </w:tcPr>
          <w:p w:rsidR="00FF3CB8" w:rsidRPr="00CB2DE6" w:rsidRDefault="00FF3CB8" w:rsidP="00F11691">
            <w:pPr>
              <w:rPr>
                <w:rFonts w:ascii="Times New Roman" w:hAnsi="Times New Roman" w:cs="Times New Roman"/>
                <w:sz w:val="19"/>
                <w:szCs w:val="19"/>
              </w:rPr>
            </w:pPr>
          </w:p>
        </w:tc>
        <w:tc>
          <w:tcPr>
            <w:tcW w:w="0" w:type="auto"/>
          </w:tcPr>
          <w:p w:rsidR="00FF3CB8" w:rsidRPr="00CB2DE6" w:rsidRDefault="00FF3CB8" w:rsidP="00F11691">
            <w:pPr>
              <w:rPr>
                <w:rFonts w:ascii="Times New Roman" w:hAnsi="Times New Roman" w:cs="Times New Roman"/>
                <w:sz w:val="19"/>
                <w:szCs w:val="19"/>
              </w:rPr>
            </w:pPr>
          </w:p>
        </w:tc>
        <w:tc>
          <w:tcPr>
            <w:tcW w:w="0" w:type="auto"/>
          </w:tcPr>
          <w:p w:rsidR="00FF3CB8" w:rsidRPr="00CB2DE6" w:rsidRDefault="00FF3CB8" w:rsidP="00F11691">
            <w:pPr>
              <w:jc w:val="right"/>
              <w:rPr>
                <w:rFonts w:ascii="Times New Roman" w:hAnsi="Times New Roman" w:cs="Times New Roman"/>
                <w:sz w:val="19"/>
                <w:szCs w:val="19"/>
              </w:rPr>
            </w:pPr>
            <w:r w:rsidRPr="00CB2DE6">
              <w:rPr>
                <w:rFonts w:ascii="Times New Roman" w:hAnsi="Times New Roman" w:cs="Times New Roman"/>
                <w:sz w:val="19"/>
                <w:szCs w:val="19"/>
              </w:rPr>
              <w:t>(-0.019,0.112)</w:t>
            </w:r>
          </w:p>
        </w:tc>
        <w:tc>
          <w:tcPr>
            <w:tcW w:w="0" w:type="auto"/>
          </w:tcPr>
          <w:p w:rsidR="00FF3CB8" w:rsidRPr="00CB2DE6" w:rsidRDefault="00FF3CB8" w:rsidP="00F11691">
            <w:pPr>
              <w:jc w:val="right"/>
              <w:rPr>
                <w:rFonts w:ascii="Times New Roman" w:hAnsi="Times New Roman" w:cs="Times New Roman"/>
                <w:sz w:val="19"/>
                <w:szCs w:val="19"/>
              </w:rPr>
            </w:pPr>
            <w:r w:rsidRPr="00CB2DE6">
              <w:rPr>
                <w:rFonts w:ascii="Times New Roman" w:hAnsi="Times New Roman" w:cs="Times New Roman"/>
                <w:sz w:val="19"/>
                <w:szCs w:val="19"/>
              </w:rPr>
              <w:t>(-0.019,0.011)</w:t>
            </w:r>
          </w:p>
        </w:tc>
        <w:tc>
          <w:tcPr>
            <w:tcW w:w="0" w:type="auto"/>
          </w:tcPr>
          <w:p w:rsidR="00FF3CB8" w:rsidRPr="00CB2DE6" w:rsidRDefault="00FF3CB8" w:rsidP="00F11691">
            <w:pPr>
              <w:jc w:val="right"/>
              <w:rPr>
                <w:rFonts w:ascii="Times New Roman" w:hAnsi="Times New Roman" w:cs="Times New Roman"/>
                <w:sz w:val="19"/>
                <w:szCs w:val="19"/>
              </w:rPr>
            </w:pPr>
            <w:r w:rsidRPr="00CB2DE6">
              <w:rPr>
                <w:rFonts w:ascii="Times New Roman" w:hAnsi="Times New Roman" w:cs="Times New Roman"/>
                <w:sz w:val="19"/>
                <w:szCs w:val="19"/>
              </w:rPr>
              <w:t>(-0.047,-0.005)</w:t>
            </w:r>
          </w:p>
        </w:tc>
        <w:tc>
          <w:tcPr>
            <w:tcW w:w="0" w:type="auto"/>
          </w:tcPr>
          <w:p w:rsidR="00FF3CB8" w:rsidRPr="00CB2DE6" w:rsidRDefault="00FF3CB8" w:rsidP="00F11691">
            <w:pPr>
              <w:jc w:val="right"/>
              <w:rPr>
                <w:rFonts w:ascii="Times New Roman" w:hAnsi="Times New Roman" w:cs="Times New Roman"/>
                <w:sz w:val="19"/>
                <w:szCs w:val="19"/>
              </w:rPr>
            </w:pPr>
          </w:p>
        </w:tc>
        <w:tc>
          <w:tcPr>
            <w:tcW w:w="0" w:type="auto"/>
          </w:tcPr>
          <w:p w:rsidR="00FF3CB8" w:rsidRPr="00CB2DE6" w:rsidRDefault="00FF3CB8" w:rsidP="00F11691">
            <w:pPr>
              <w:jc w:val="right"/>
              <w:rPr>
                <w:rFonts w:ascii="Times New Roman" w:hAnsi="Times New Roman" w:cs="Times New Roman"/>
                <w:sz w:val="19"/>
                <w:szCs w:val="19"/>
              </w:rPr>
            </w:pPr>
          </w:p>
        </w:tc>
      </w:tr>
      <w:tr w:rsidR="00FF3CB8" w:rsidRPr="00CB2DE6" w:rsidTr="00F11691">
        <w:trPr>
          <w:jc w:val="center"/>
        </w:trPr>
        <w:tc>
          <w:tcPr>
            <w:tcW w:w="0" w:type="auto"/>
          </w:tcPr>
          <w:p w:rsidR="00FF3CB8" w:rsidRPr="00CB2DE6" w:rsidRDefault="00497F73" w:rsidP="00F11691">
            <w:pPr>
              <w:spacing w:before="120"/>
              <w:rPr>
                <w:rFonts w:ascii="Times New Roman" w:hAnsi="Times New Roman" w:cs="Times New Roman"/>
                <w:i/>
                <w:sz w:val="19"/>
                <w:szCs w:val="19"/>
              </w:rPr>
            </w:pPr>
            <m:oMathPara>
              <m:oMathParaPr>
                <m:jc m:val="left"/>
              </m:oMathParaPr>
              <m:oMath>
                <m:acc>
                  <m:accPr>
                    <m:ctrlPr>
                      <w:rPr>
                        <w:rFonts w:ascii="Cambria Math" w:hAnsi="Cambria Math" w:cs="Times New Roman"/>
                        <w:i/>
                        <w:sz w:val="19"/>
                        <w:szCs w:val="19"/>
                      </w:rPr>
                    </m:ctrlPr>
                  </m:accPr>
                  <m:e>
                    <m:r>
                      <w:rPr>
                        <w:rFonts w:ascii="Cambria Math" w:hAnsi="Cambria Math" w:cs="Times New Roman"/>
                        <w:sz w:val="19"/>
                        <w:szCs w:val="19"/>
                      </w:rPr>
                      <m:t>λ</m:t>
                    </m:r>
                  </m:e>
                </m:acc>
              </m:oMath>
            </m:oMathPara>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0.132</w:t>
            </w: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-0.002</w:t>
            </w:r>
          </w:p>
        </w:tc>
        <w:tc>
          <w:tcPr>
            <w:tcW w:w="0" w:type="auto"/>
          </w:tcPr>
          <w:p w:rsidR="00FF3CB8" w:rsidRPr="00CB2DE6" w:rsidRDefault="00FF3CB8" w:rsidP="00F11691">
            <w:pPr>
              <w:spacing w:before="120"/>
              <w:jc w:val="right"/>
              <w:rPr>
                <w:rFonts w:ascii="Times New Roman" w:hAnsi="Times New Roman" w:cs="Times New Roman"/>
                <w:sz w:val="19"/>
                <w:szCs w:val="19"/>
              </w:rPr>
            </w:pP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-0.014</w:t>
            </w: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0.200</w:t>
            </w:r>
          </w:p>
        </w:tc>
        <w:tc>
          <w:tcPr>
            <w:tcW w:w="0" w:type="auto"/>
          </w:tcPr>
          <w:p w:rsidR="00FF3CB8" w:rsidRPr="00CB2DE6" w:rsidRDefault="00FF3CB8" w:rsidP="00F11691">
            <w:pPr>
              <w:spacing w:before="120"/>
              <w:rPr>
                <w:rFonts w:ascii="Times New Roman" w:hAnsi="Times New Roman" w:cs="Times New Roman"/>
                <w:sz w:val="19"/>
                <w:szCs w:val="19"/>
              </w:rPr>
            </w:pPr>
          </w:p>
        </w:tc>
        <w:tc>
          <w:tcPr>
            <w:tcW w:w="0" w:type="auto"/>
          </w:tcPr>
          <w:p w:rsidR="00FF3CB8" w:rsidRPr="00CB2DE6" w:rsidRDefault="00497F73" w:rsidP="00F11691">
            <w:pPr>
              <w:spacing w:before="120"/>
              <w:rPr>
                <w:rFonts w:ascii="Times New Roman" w:hAnsi="Times New Roman" w:cs="Times New Roman"/>
                <w:i/>
                <w:sz w:val="19"/>
                <w:szCs w:val="19"/>
              </w:rPr>
            </w:pPr>
            <m:oMathPara>
              <m:oMathParaPr>
                <m:jc m:val="left"/>
              </m:oMathParaPr>
              <m:oMath>
                <m:acc>
                  <m:accPr>
                    <m:ctrlPr>
                      <w:rPr>
                        <w:rFonts w:ascii="Cambria Math" w:hAnsi="Cambria Math" w:cs="Times New Roman"/>
                        <w:i/>
                        <w:sz w:val="19"/>
                        <w:szCs w:val="19"/>
                      </w:rPr>
                    </m:ctrlPr>
                  </m:accPr>
                  <m:e>
                    <m:r>
                      <w:rPr>
                        <w:rFonts w:ascii="Cambria Math" w:hAnsi="Cambria Math" w:cs="Times New Roman"/>
                        <w:sz w:val="19"/>
                        <w:szCs w:val="19"/>
                      </w:rPr>
                      <m:t>λ</m:t>
                    </m:r>
                  </m:e>
                </m:acc>
              </m:oMath>
            </m:oMathPara>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0.039</w:t>
            </w: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-0.005</w:t>
            </w:r>
          </w:p>
        </w:tc>
        <w:tc>
          <w:tcPr>
            <w:tcW w:w="0" w:type="auto"/>
          </w:tcPr>
          <w:p w:rsidR="00FF3CB8" w:rsidRPr="00CB2DE6" w:rsidRDefault="00FF3CB8" w:rsidP="00F11691">
            <w:pPr>
              <w:spacing w:before="120"/>
              <w:jc w:val="right"/>
              <w:rPr>
                <w:rFonts w:ascii="Times New Roman" w:hAnsi="Times New Roman" w:cs="Times New Roman"/>
                <w:sz w:val="19"/>
                <w:szCs w:val="19"/>
              </w:rPr>
            </w:pP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0.081</w:t>
            </w: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0.137</w:t>
            </w:r>
          </w:p>
        </w:tc>
      </w:tr>
      <w:tr w:rsidR="00FF3CB8" w:rsidRPr="00CB2DE6" w:rsidTr="00F11691">
        <w:trPr>
          <w:jc w:val="center"/>
        </w:trPr>
        <w:tc>
          <w:tcPr>
            <w:tcW w:w="0" w:type="auto"/>
          </w:tcPr>
          <w:p w:rsidR="00FF3CB8" w:rsidRPr="00CB2DE6" w:rsidRDefault="00FF3CB8" w:rsidP="00F11691">
            <w:pPr>
              <w:rPr>
                <w:rFonts w:ascii="Times New Roman" w:hAnsi="Times New Roman" w:cs="Times New Roman"/>
                <w:sz w:val="19"/>
                <w:szCs w:val="19"/>
              </w:rPr>
            </w:pPr>
          </w:p>
        </w:tc>
        <w:tc>
          <w:tcPr>
            <w:tcW w:w="0" w:type="auto"/>
          </w:tcPr>
          <w:p w:rsidR="00FF3CB8" w:rsidRPr="00CB2DE6" w:rsidRDefault="00FF3CB8" w:rsidP="00F11691">
            <w:pPr>
              <w:jc w:val="right"/>
              <w:rPr>
                <w:rFonts w:ascii="Times New Roman" w:hAnsi="Times New Roman" w:cs="Times New Roman"/>
                <w:sz w:val="19"/>
                <w:szCs w:val="19"/>
              </w:rPr>
            </w:pPr>
            <w:r w:rsidRPr="00CB2DE6">
              <w:rPr>
                <w:rFonts w:ascii="Times New Roman" w:hAnsi="Times New Roman" w:cs="Times New Roman"/>
                <w:sz w:val="19"/>
                <w:szCs w:val="19"/>
              </w:rPr>
              <w:t>(0.055,0.216)</w:t>
            </w:r>
          </w:p>
        </w:tc>
        <w:tc>
          <w:tcPr>
            <w:tcW w:w="0" w:type="auto"/>
          </w:tcPr>
          <w:p w:rsidR="00FF3CB8" w:rsidRPr="00CB2DE6" w:rsidRDefault="00FF3CB8" w:rsidP="00F11691">
            <w:pPr>
              <w:jc w:val="right"/>
              <w:rPr>
                <w:rFonts w:ascii="Times New Roman" w:hAnsi="Times New Roman" w:cs="Times New Roman"/>
                <w:sz w:val="19"/>
                <w:szCs w:val="19"/>
              </w:rPr>
            </w:pPr>
            <w:r w:rsidRPr="00CB2DE6">
              <w:rPr>
                <w:rFonts w:ascii="Times New Roman" w:hAnsi="Times New Roman" w:cs="Times New Roman"/>
                <w:sz w:val="19"/>
                <w:szCs w:val="19"/>
              </w:rPr>
              <w:t>(-0.008,0.005)</w:t>
            </w:r>
          </w:p>
        </w:tc>
        <w:tc>
          <w:tcPr>
            <w:tcW w:w="0" w:type="auto"/>
          </w:tcPr>
          <w:p w:rsidR="00FF3CB8" w:rsidRPr="00CB2DE6" w:rsidRDefault="00FF3CB8" w:rsidP="00F11691">
            <w:pPr>
              <w:jc w:val="right"/>
              <w:rPr>
                <w:rFonts w:ascii="Times New Roman" w:hAnsi="Times New Roman" w:cs="Times New Roman"/>
                <w:sz w:val="19"/>
                <w:szCs w:val="19"/>
              </w:rPr>
            </w:pPr>
          </w:p>
        </w:tc>
        <w:tc>
          <w:tcPr>
            <w:tcW w:w="0" w:type="auto"/>
          </w:tcPr>
          <w:p w:rsidR="00FF3CB8" w:rsidRPr="00CB2DE6" w:rsidRDefault="00FF3CB8" w:rsidP="00F11691">
            <w:pPr>
              <w:jc w:val="right"/>
              <w:rPr>
                <w:rFonts w:ascii="Times New Roman" w:hAnsi="Times New Roman" w:cs="Times New Roman"/>
                <w:sz w:val="19"/>
                <w:szCs w:val="19"/>
              </w:rPr>
            </w:pPr>
          </w:p>
        </w:tc>
        <w:tc>
          <w:tcPr>
            <w:tcW w:w="0" w:type="auto"/>
          </w:tcPr>
          <w:p w:rsidR="00FF3CB8" w:rsidRPr="00CB2DE6" w:rsidRDefault="00FF3CB8" w:rsidP="00F11691">
            <w:pPr>
              <w:jc w:val="right"/>
              <w:rPr>
                <w:rFonts w:ascii="Times New Roman" w:hAnsi="Times New Roman" w:cs="Times New Roman"/>
                <w:sz w:val="19"/>
                <w:szCs w:val="19"/>
              </w:rPr>
            </w:pPr>
          </w:p>
        </w:tc>
        <w:tc>
          <w:tcPr>
            <w:tcW w:w="0" w:type="auto"/>
          </w:tcPr>
          <w:p w:rsidR="00FF3CB8" w:rsidRPr="00CB2DE6" w:rsidRDefault="00FF3CB8" w:rsidP="00F11691">
            <w:pPr>
              <w:rPr>
                <w:rFonts w:ascii="Times New Roman" w:hAnsi="Times New Roman" w:cs="Times New Roman"/>
                <w:sz w:val="19"/>
                <w:szCs w:val="19"/>
              </w:rPr>
            </w:pPr>
          </w:p>
        </w:tc>
        <w:tc>
          <w:tcPr>
            <w:tcW w:w="0" w:type="auto"/>
          </w:tcPr>
          <w:p w:rsidR="00FF3CB8" w:rsidRPr="00CB2DE6" w:rsidRDefault="00FF3CB8" w:rsidP="00F11691">
            <w:pPr>
              <w:rPr>
                <w:rFonts w:ascii="Times New Roman" w:hAnsi="Times New Roman" w:cs="Times New Roman"/>
                <w:sz w:val="19"/>
                <w:szCs w:val="19"/>
              </w:rPr>
            </w:pPr>
          </w:p>
        </w:tc>
        <w:tc>
          <w:tcPr>
            <w:tcW w:w="0" w:type="auto"/>
          </w:tcPr>
          <w:p w:rsidR="00FF3CB8" w:rsidRPr="00CB2DE6" w:rsidRDefault="00FF3CB8" w:rsidP="00F11691">
            <w:pPr>
              <w:jc w:val="right"/>
              <w:rPr>
                <w:rFonts w:ascii="Times New Roman" w:hAnsi="Times New Roman" w:cs="Times New Roman"/>
                <w:sz w:val="19"/>
                <w:szCs w:val="19"/>
              </w:rPr>
            </w:pPr>
            <w:r w:rsidRPr="00CB2DE6">
              <w:rPr>
                <w:rFonts w:ascii="Times New Roman" w:hAnsi="Times New Roman" w:cs="Times New Roman"/>
                <w:sz w:val="19"/>
                <w:szCs w:val="19"/>
              </w:rPr>
              <w:t>(-0.021,0.117)</w:t>
            </w:r>
          </w:p>
        </w:tc>
        <w:tc>
          <w:tcPr>
            <w:tcW w:w="0" w:type="auto"/>
          </w:tcPr>
          <w:p w:rsidR="00FF3CB8" w:rsidRPr="00CB2DE6" w:rsidRDefault="00FF3CB8" w:rsidP="00F11691">
            <w:pPr>
              <w:jc w:val="right"/>
              <w:rPr>
                <w:rFonts w:ascii="Times New Roman" w:hAnsi="Times New Roman" w:cs="Times New Roman"/>
                <w:sz w:val="19"/>
                <w:szCs w:val="19"/>
              </w:rPr>
            </w:pPr>
            <w:r w:rsidRPr="00CB2DE6">
              <w:rPr>
                <w:rFonts w:ascii="Times New Roman" w:hAnsi="Times New Roman" w:cs="Times New Roman"/>
                <w:sz w:val="19"/>
                <w:szCs w:val="19"/>
              </w:rPr>
              <w:t>(-0.013,0.016)</w:t>
            </w:r>
          </w:p>
        </w:tc>
        <w:tc>
          <w:tcPr>
            <w:tcW w:w="0" w:type="auto"/>
          </w:tcPr>
          <w:p w:rsidR="00FF3CB8" w:rsidRPr="00CB2DE6" w:rsidRDefault="00FF3CB8" w:rsidP="00F11691">
            <w:pPr>
              <w:jc w:val="right"/>
              <w:rPr>
                <w:rFonts w:ascii="Times New Roman" w:hAnsi="Times New Roman" w:cs="Times New Roman"/>
                <w:sz w:val="19"/>
                <w:szCs w:val="19"/>
              </w:rPr>
            </w:pPr>
          </w:p>
        </w:tc>
        <w:tc>
          <w:tcPr>
            <w:tcW w:w="0" w:type="auto"/>
          </w:tcPr>
          <w:p w:rsidR="00FF3CB8" w:rsidRPr="00CB2DE6" w:rsidRDefault="00FF3CB8" w:rsidP="00F11691">
            <w:pPr>
              <w:jc w:val="right"/>
              <w:rPr>
                <w:rFonts w:ascii="Times New Roman" w:hAnsi="Times New Roman" w:cs="Times New Roman"/>
                <w:sz w:val="19"/>
                <w:szCs w:val="19"/>
              </w:rPr>
            </w:pPr>
          </w:p>
        </w:tc>
        <w:tc>
          <w:tcPr>
            <w:tcW w:w="0" w:type="auto"/>
          </w:tcPr>
          <w:p w:rsidR="00FF3CB8" w:rsidRPr="00CB2DE6" w:rsidRDefault="00FF3CB8" w:rsidP="00F11691">
            <w:pPr>
              <w:jc w:val="right"/>
              <w:rPr>
                <w:rFonts w:ascii="Times New Roman" w:hAnsi="Times New Roman" w:cs="Times New Roman"/>
                <w:sz w:val="19"/>
                <w:szCs w:val="19"/>
              </w:rPr>
            </w:pPr>
          </w:p>
        </w:tc>
      </w:tr>
      <w:tr w:rsidR="00FF3CB8" w:rsidRPr="00CB2DE6" w:rsidTr="00F11691">
        <w:trPr>
          <w:jc w:val="center"/>
        </w:trPr>
        <w:tc>
          <w:tcPr>
            <w:tcW w:w="0" w:type="auto"/>
          </w:tcPr>
          <w:p w:rsidR="00FF3CB8" w:rsidRPr="00CB2DE6" w:rsidRDefault="00497F73" w:rsidP="00F11691">
            <w:pPr>
              <w:spacing w:before="120"/>
              <w:rPr>
                <w:rFonts w:ascii="Times New Roman" w:hAnsi="Times New Roman" w:cs="Times New Roman"/>
                <w:i/>
                <w:sz w:val="19"/>
                <w:szCs w:val="19"/>
              </w:rPr>
            </w:pPr>
            <m:oMathPara>
              <m:oMathParaPr>
                <m:jc m:val="left"/>
              </m:oMathParaPr>
              <m:oMath>
                <m:acc>
                  <m:accPr>
                    <m:ctrlPr>
                      <w:rPr>
                        <w:rFonts w:ascii="Cambria Math" w:hAnsi="Cambria Math" w:cs="Times New Roman"/>
                        <w:i/>
                        <w:sz w:val="19"/>
                        <w:szCs w:val="19"/>
                      </w:rPr>
                    </m:ctrlPr>
                  </m:accPr>
                  <m:e>
                    <m:r>
                      <w:rPr>
                        <w:rFonts w:ascii="Cambria Math" w:hAnsi="Cambria Math" w:cs="Times New Roman"/>
                        <w:sz w:val="19"/>
                        <w:szCs w:val="19"/>
                      </w:rPr>
                      <m:t>λ</m:t>
                    </m:r>
                  </m:e>
                </m:acc>
              </m:oMath>
            </m:oMathPara>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0.139</w:t>
            </w:r>
          </w:p>
        </w:tc>
        <w:tc>
          <w:tcPr>
            <w:tcW w:w="0" w:type="auto"/>
          </w:tcPr>
          <w:p w:rsidR="00FF3CB8" w:rsidRPr="00CB2DE6" w:rsidRDefault="00FF3CB8" w:rsidP="00F11691">
            <w:pPr>
              <w:spacing w:before="120"/>
              <w:jc w:val="right"/>
              <w:rPr>
                <w:rFonts w:ascii="Times New Roman" w:hAnsi="Times New Roman" w:cs="Times New Roman"/>
                <w:sz w:val="19"/>
                <w:szCs w:val="19"/>
              </w:rPr>
            </w:pP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-0.034</w:t>
            </w: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0.220</w:t>
            </w: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0.183</w:t>
            </w:r>
          </w:p>
        </w:tc>
        <w:tc>
          <w:tcPr>
            <w:tcW w:w="0" w:type="auto"/>
          </w:tcPr>
          <w:p w:rsidR="00FF3CB8" w:rsidRPr="00CB2DE6" w:rsidRDefault="00FF3CB8" w:rsidP="00F11691">
            <w:pPr>
              <w:spacing w:before="120"/>
              <w:rPr>
                <w:rFonts w:ascii="Times New Roman" w:hAnsi="Times New Roman" w:cs="Times New Roman"/>
                <w:sz w:val="19"/>
                <w:szCs w:val="19"/>
              </w:rPr>
            </w:pPr>
          </w:p>
        </w:tc>
        <w:tc>
          <w:tcPr>
            <w:tcW w:w="0" w:type="auto"/>
          </w:tcPr>
          <w:p w:rsidR="00FF3CB8" w:rsidRPr="00CB2DE6" w:rsidRDefault="00497F73" w:rsidP="00F11691">
            <w:pPr>
              <w:spacing w:before="120"/>
              <w:rPr>
                <w:rFonts w:ascii="Times New Roman" w:hAnsi="Times New Roman" w:cs="Times New Roman"/>
                <w:i/>
                <w:sz w:val="19"/>
                <w:szCs w:val="19"/>
              </w:rPr>
            </w:pPr>
            <m:oMathPara>
              <m:oMathParaPr>
                <m:jc m:val="left"/>
              </m:oMathParaPr>
              <m:oMath>
                <m:acc>
                  <m:accPr>
                    <m:ctrlPr>
                      <w:rPr>
                        <w:rFonts w:ascii="Cambria Math" w:hAnsi="Cambria Math" w:cs="Times New Roman"/>
                        <w:i/>
                        <w:sz w:val="19"/>
                        <w:szCs w:val="19"/>
                      </w:rPr>
                    </m:ctrlPr>
                  </m:accPr>
                  <m:e>
                    <m:r>
                      <w:rPr>
                        <w:rFonts w:ascii="Cambria Math" w:hAnsi="Cambria Math" w:cs="Times New Roman"/>
                        <w:sz w:val="19"/>
                        <w:szCs w:val="19"/>
                      </w:rPr>
                      <m:t>λ</m:t>
                    </m:r>
                  </m:e>
                </m:acc>
              </m:oMath>
            </m:oMathPara>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0.040</w:t>
            </w:r>
          </w:p>
        </w:tc>
        <w:tc>
          <w:tcPr>
            <w:tcW w:w="0" w:type="auto"/>
          </w:tcPr>
          <w:p w:rsidR="00FF3CB8" w:rsidRPr="00CB2DE6" w:rsidRDefault="00FF3CB8" w:rsidP="00F11691">
            <w:pPr>
              <w:spacing w:before="120"/>
              <w:jc w:val="right"/>
              <w:rPr>
                <w:rFonts w:ascii="Times New Roman" w:hAnsi="Times New Roman" w:cs="Times New Roman"/>
                <w:sz w:val="19"/>
                <w:szCs w:val="19"/>
              </w:rPr>
            </w:pP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-0.024</w:t>
            </w: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0.311</w:t>
            </w:r>
          </w:p>
        </w:tc>
        <w:tc>
          <w:tcPr>
            <w:tcW w:w="0" w:type="auto"/>
          </w:tcPr>
          <w:p w:rsidR="00FF3CB8" w:rsidRPr="00CB2DE6" w:rsidRDefault="00FF3CB8" w:rsidP="00F11691">
            <w:pPr>
              <w:spacing w:before="120"/>
              <w:jc w:val="right"/>
              <w:rPr>
                <w:rFonts w:ascii="Times New Roman" w:hAnsi="Times New Roman" w:cs="Times New Roman"/>
                <w:sz w:val="19"/>
                <w:szCs w:val="19"/>
              </w:rPr>
            </w:pPr>
            <w:r w:rsidRPr="00CB2DE6">
              <w:rPr>
                <w:rFonts w:ascii="Times New Roman" w:hAnsi="Times New Roman" w:cs="Times New Roman"/>
                <w:sz w:val="19"/>
                <w:szCs w:val="19"/>
              </w:rPr>
              <w:t>0.113</w:t>
            </w:r>
          </w:p>
        </w:tc>
      </w:tr>
      <w:tr w:rsidR="00FF3CB8" w:rsidRPr="00CB2DE6" w:rsidTr="00F11691">
        <w:trPr>
          <w:jc w:val="center"/>
        </w:trPr>
        <w:tc>
          <w:tcPr>
            <w:tcW w:w="0" w:type="auto"/>
            <w:tcBorders>
              <w:bottom w:val="single" w:sz="4" w:space="0" w:color="auto"/>
            </w:tcBorders>
          </w:tcPr>
          <w:p w:rsidR="00FF3CB8" w:rsidRPr="00CB2DE6" w:rsidRDefault="00FF3CB8" w:rsidP="00F11691">
            <w:pPr>
              <w:spacing w:after="120"/>
              <w:rPr>
                <w:rFonts w:ascii="Times New Roman" w:hAnsi="Times New Roman" w:cs="Times New Roman"/>
                <w:sz w:val="19"/>
                <w:szCs w:val="19"/>
              </w:rPr>
            </w:pPr>
          </w:p>
        </w:tc>
        <w:tc>
          <w:tcPr>
            <w:tcW w:w="0" w:type="auto"/>
            <w:tcBorders>
              <w:bottom w:val="single" w:sz="4" w:space="0" w:color="auto"/>
            </w:tcBorders>
          </w:tcPr>
          <w:p w:rsidR="00FF3CB8" w:rsidRPr="00CB2DE6" w:rsidRDefault="00FF3CB8" w:rsidP="00F11691">
            <w:pPr>
              <w:spacing w:after="120"/>
              <w:jc w:val="right"/>
              <w:rPr>
                <w:rFonts w:ascii="Times New Roman" w:hAnsi="Times New Roman" w:cs="Times New Roman"/>
                <w:sz w:val="19"/>
                <w:szCs w:val="19"/>
              </w:rPr>
            </w:pPr>
            <w:r w:rsidRPr="00CB2DE6">
              <w:rPr>
                <w:rFonts w:ascii="Times New Roman" w:hAnsi="Times New Roman" w:cs="Times New Roman"/>
                <w:sz w:val="19"/>
                <w:szCs w:val="19"/>
              </w:rPr>
              <w:t>(0.067,0.211)</w:t>
            </w:r>
          </w:p>
        </w:tc>
        <w:tc>
          <w:tcPr>
            <w:tcW w:w="0" w:type="auto"/>
            <w:tcBorders>
              <w:bottom w:val="single" w:sz="4" w:space="0" w:color="auto"/>
            </w:tcBorders>
          </w:tcPr>
          <w:p w:rsidR="00FF3CB8" w:rsidRPr="00CB2DE6" w:rsidRDefault="00FF3CB8" w:rsidP="00F11691">
            <w:pPr>
              <w:spacing w:after="120"/>
              <w:jc w:val="right"/>
              <w:rPr>
                <w:rFonts w:ascii="Times New Roman" w:hAnsi="Times New Roman" w:cs="Times New Roman"/>
                <w:sz w:val="19"/>
                <w:szCs w:val="19"/>
              </w:rPr>
            </w:pPr>
          </w:p>
        </w:tc>
        <w:tc>
          <w:tcPr>
            <w:tcW w:w="0" w:type="auto"/>
            <w:tcBorders>
              <w:bottom w:val="single" w:sz="4" w:space="0" w:color="auto"/>
            </w:tcBorders>
          </w:tcPr>
          <w:p w:rsidR="00FF3CB8" w:rsidRPr="00CB2DE6" w:rsidRDefault="00FF3CB8" w:rsidP="00F11691">
            <w:pPr>
              <w:spacing w:after="120"/>
              <w:jc w:val="right"/>
              <w:rPr>
                <w:rFonts w:ascii="Times New Roman" w:hAnsi="Times New Roman" w:cs="Times New Roman"/>
                <w:sz w:val="19"/>
                <w:szCs w:val="19"/>
              </w:rPr>
            </w:pPr>
            <w:r w:rsidRPr="00CB2DE6">
              <w:rPr>
                <w:rFonts w:ascii="Times New Roman" w:hAnsi="Times New Roman" w:cs="Times New Roman"/>
                <w:sz w:val="19"/>
                <w:szCs w:val="19"/>
              </w:rPr>
              <w:t>(-0.052,-0.017)</w:t>
            </w:r>
          </w:p>
        </w:tc>
        <w:tc>
          <w:tcPr>
            <w:tcW w:w="0" w:type="auto"/>
            <w:tcBorders>
              <w:bottom w:val="single" w:sz="4" w:space="0" w:color="auto"/>
            </w:tcBorders>
          </w:tcPr>
          <w:p w:rsidR="00FF3CB8" w:rsidRPr="00CB2DE6" w:rsidRDefault="00FF3CB8" w:rsidP="00F11691">
            <w:pPr>
              <w:spacing w:after="120"/>
              <w:jc w:val="right"/>
              <w:rPr>
                <w:rFonts w:ascii="Times New Roman" w:hAnsi="Times New Roman" w:cs="Times New Roman"/>
                <w:sz w:val="19"/>
                <w:szCs w:val="19"/>
              </w:rPr>
            </w:pPr>
          </w:p>
        </w:tc>
        <w:tc>
          <w:tcPr>
            <w:tcW w:w="0" w:type="auto"/>
            <w:tcBorders>
              <w:bottom w:val="single" w:sz="4" w:space="0" w:color="auto"/>
            </w:tcBorders>
          </w:tcPr>
          <w:p w:rsidR="00FF3CB8" w:rsidRPr="00CB2DE6" w:rsidRDefault="00FF3CB8" w:rsidP="00F11691">
            <w:pPr>
              <w:spacing w:after="120"/>
              <w:jc w:val="right"/>
              <w:rPr>
                <w:rFonts w:ascii="Times New Roman" w:hAnsi="Times New Roman" w:cs="Times New Roman"/>
                <w:sz w:val="19"/>
                <w:szCs w:val="19"/>
              </w:rPr>
            </w:pPr>
          </w:p>
        </w:tc>
        <w:tc>
          <w:tcPr>
            <w:tcW w:w="0" w:type="auto"/>
            <w:tcBorders>
              <w:bottom w:val="single" w:sz="4" w:space="0" w:color="auto"/>
            </w:tcBorders>
          </w:tcPr>
          <w:p w:rsidR="00FF3CB8" w:rsidRPr="00CB2DE6" w:rsidRDefault="00FF3CB8" w:rsidP="00F11691">
            <w:pPr>
              <w:spacing w:after="120"/>
              <w:rPr>
                <w:rFonts w:ascii="Times New Roman" w:hAnsi="Times New Roman" w:cs="Times New Roman"/>
                <w:sz w:val="19"/>
                <w:szCs w:val="19"/>
              </w:rPr>
            </w:pPr>
          </w:p>
        </w:tc>
        <w:tc>
          <w:tcPr>
            <w:tcW w:w="0" w:type="auto"/>
            <w:tcBorders>
              <w:bottom w:val="single" w:sz="4" w:space="0" w:color="auto"/>
            </w:tcBorders>
          </w:tcPr>
          <w:p w:rsidR="00FF3CB8" w:rsidRPr="00CB2DE6" w:rsidRDefault="00FF3CB8" w:rsidP="00F11691">
            <w:pPr>
              <w:spacing w:after="120"/>
              <w:rPr>
                <w:rFonts w:ascii="Times New Roman" w:hAnsi="Times New Roman" w:cs="Times New Roman"/>
                <w:sz w:val="19"/>
                <w:szCs w:val="19"/>
              </w:rPr>
            </w:pPr>
          </w:p>
        </w:tc>
        <w:tc>
          <w:tcPr>
            <w:tcW w:w="0" w:type="auto"/>
            <w:tcBorders>
              <w:bottom w:val="single" w:sz="4" w:space="0" w:color="auto"/>
            </w:tcBorders>
          </w:tcPr>
          <w:p w:rsidR="00FF3CB8" w:rsidRPr="00CB2DE6" w:rsidRDefault="00FF3CB8" w:rsidP="00F11691">
            <w:pPr>
              <w:spacing w:after="120"/>
              <w:jc w:val="right"/>
              <w:rPr>
                <w:rFonts w:ascii="Times New Roman" w:hAnsi="Times New Roman" w:cs="Times New Roman"/>
                <w:sz w:val="19"/>
                <w:szCs w:val="19"/>
              </w:rPr>
            </w:pPr>
            <w:r w:rsidRPr="00CB2DE6">
              <w:rPr>
                <w:rFonts w:ascii="Times New Roman" w:hAnsi="Times New Roman" w:cs="Times New Roman"/>
                <w:sz w:val="19"/>
                <w:szCs w:val="19"/>
              </w:rPr>
              <w:t>(-0.017,0.110)</w:t>
            </w:r>
          </w:p>
        </w:tc>
        <w:tc>
          <w:tcPr>
            <w:tcW w:w="0" w:type="auto"/>
            <w:tcBorders>
              <w:bottom w:val="single" w:sz="4" w:space="0" w:color="auto"/>
            </w:tcBorders>
          </w:tcPr>
          <w:p w:rsidR="00FF3CB8" w:rsidRPr="00CB2DE6" w:rsidRDefault="00FF3CB8" w:rsidP="00F11691">
            <w:pPr>
              <w:spacing w:after="120"/>
              <w:jc w:val="right"/>
              <w:rPr>
                <w:rFonts w:ascii="Times New Roman" w:hAnsi="Times New Roman" w:cs="Times New Roman"/>
                <w:sz w:val="19"/>
                <w:szCs w:val="19"/>
              </w:rPr>
            </w:pPr>
          </w:p>
        </w:tc>
        <w:tc>
          <w:tcPr>
            <w:tcW w:w="0" w:type="auto"/>
            <w:tcBorders>
              <w:bottom w:val="single" w:sz="4" w:space="0" w:color="auto"/>
            </w:tcBorders>
          </w:tcPr>
          <w:p w:rsidR="00FF3CB8" w:rsidRPr="00CB2DE6" w:rsidRDefault="00FF3CB8" w:rsidP="00F11691">
            <w:pPr>
              <w:spacing w:after="120"/>
              <w:jc w:val="right"/>
              <w:rPr>
                <w:rFonts w:ascii="Times New Roman" w:hAnsi="Times New Roman" w:cs="Times New Roman"/>
                <w:sz w:val="19"/>
                <w:szCs w:val="19"/>
              </w:rPr>
            </w:pPr>
            <w:r w:rsidRPr="00CB2DE6">
              <w:rPr>
                <w:rFonts w:ascii="Times New Roman" w:hAnsi="Times New Roman" w:cs="Times New Roman"/>
                <w:sz w:val="19"/>
                <w:szCs w:val="19"/>
              </w:rPr>
              <w:t>(-0.045,-0.006)</w:t>
            </w:r>
          </w:p>
        </w:tc>
        <w:tc>
          <w:tcPr>
            <w:tcW w:w="0" w:type="auto"/>
            <w:tcBorders>
              <w:bottom w:val="single" w:sz="4" w:space="0" w:color="auto"/>
            </w:tcBorders>
          </w:tcPr>
          <w:p w:rsidR="00FF3CB8" w:rsidRPr="00CB2DE6" w:rsidRDefault="00FF3CB8" w:rsidP="00F11691">
            <w:pPr>
              <w:spacing w:after="120"/>
              <w:jc w:val="right"/>
              <w:rPr>
                <w:rFonts w:ascii="Times New Roman" w:hAnsi="Times New Roman" w:cs="Times New Roman"/>
                <w:sz w:val="19"/>
                <w:szCs w:val="19"/>
              </w:rPr>
            </w:pPr>
          </w:p>
        </w:tc>
        <w:tc>
          <w:tcPr>
            <w:tcW w:w="0" w:type="auto"/>
            <w:tcBorders>
              <w:bottom w:val="single" w:sz="4" w:space="0" w:color="auto"/>
            </w:tcBorders>
          </w:tcPr>
          <w:p w:rsidR="00FF3CB8" w:rsidRPr="00CB2DE6" w:rsidRDefault="00FF3CB8" w:rsidP="00F11691">
            <w:pPr>
              <w:spacing w:after="120"/>
              <w:jc w:val="right"/>
              <w:rPr>
                <w:rFonts w:ascii="Times New Roman" w:hAnsi="Times New Roman" w:cs="Times New Roman"/>
                <w:sz w:val="19"/>
                <w:szCs w:val="19"/>
              </w:rPr>
            </w:pPr>
          </w:p>
        </w:tc>
      </w:tr>
    </w:tbl>
    <w:p w:rsidR="00FF3CB8" w:rsidRPr="00CB2DE6" w:rsidRDefault="00FF3CB8" w:rsidP="00FF3CB8">
      <w:pPr>
        <w:jc w:val="both"/>
        <w:rPr>
          <w:rFonts w:ascii="Times New Roman" w:hAnsi="Times New Roman" w:cs="Times New Roman"/>
          <w:b/>
          <w:sz w:val="24"/>
          <w:szCs w:val="24"/>
        </w:rPr>
      </w:pPr>
    </w:p>
    <w:p w:rsidR="00FF3CB8" w:rsidRPr="00CB2DE6" w:rsidRDefault="00FF3CB8" w:rsidP="00FF3CB8">
      <w:pPr>
        <w:rPr>
          <w:rFonts w:ascii="Times New Roman" w:hAnsi="Times New Roman" w:cs="Times New Roman"/>
          <w:b/>
          <w:sz w:val="24"/>
          <w:szCs w:val="24"/>
        </w:rPr>
      </w:pPr>
      <w:r w:rsidRPr="00CB2DE6">
        <w:rPr>
          <w:rFonts w:ascii="Times New Roman" w:hAnsi="Times New Roman" w:cs="Times New Roman"/>
          <w:b/>
          <w:sz w:val="24"/>
          <w:szCs w:val="24"/>
        </w:rPr>
        <w:br w:type="page"/>
      </w:r>
    </w:p>
    <w:p w:rsidR="00FF3CB8" w:rsidRPr="00CB2DE6" w:rsidRDefault="00FF3CB8" w:rsidP="000B2541">
      <w:pPr>
        <w:jc w:val="both"/>
        <w:rPr>
          <w:rFonts w:ascii="Times New Roman" w:hAnsi="Times New Roman" w:cs="Times New Roman"/>
          <w:b/>
          <w:sz w:val="24"/>
          <w:szCs w:val="24"/>
        </w:rPr>
        <w:sectPr w:rsidR="00FF3CB8" w:rsidRPr="00CB2DE6" w:rsidSect="00E51165">
          <w:type w:val="continuous"/>
          <w:pgSz w:w="16838" w:h="11906" w:orient="landscape"/>
          <w:pgMar w:top="1440" w:right="1440" w:bottom="1440" w:left="1440" w:header="709" w:footer="709" w:gutter="0"/>
          <w:cols w:space="708"/>
          <w:docGrid w:linePitch="360"/>
        </w:sectPr>
      </w:pPr>
    </w:p>
    <w:p w:rsidR="00FF3CB8" w:rsidRPr="00CB2DE6" w:rsidRDefault="00FF3CB8" w:rsidP="00FF3CB8">
      <w:pPr>
        <w:jc w:val="center"/>
        <w:rPr>
          <w:rFonts w:ascii="Times New Roman" w:hAnsi="Times New Roman" w:cs="Times New Roman"/>
          <w:b/>
          <w:sz w:val="24"/>
          <w:szCs w:val="24"/>
        </w:rPr>
      </w:pPr>
      <w:r w:rsidRPr="00CB2DE6">
        <w:rPr>
          <w:rFonts w:ascii="Times New Roman" w:hAnsi="Times New Roman" w:cs="Times New Roman"/>
          <w:b/>
          <w:sz w:val="24"/>
          <w:szCs w:val="24"/>
        </w:rPr>
        <w:lastRenderedPageBreak/>
        <w:t>Table 7</w:t>
      </w:r>
    </w:p>
    <w:p w:rsidR="00FF3CB8" w:rsidRPr="00CB2DE6" w:rsidRDefault="00FF3CB8" w:rsidP="00FF3CB8">
      <w:pPr>
        <w:jc w:val="center"/>
        <w:rPr>
          <w:rFonts w:ascii="Times New Roman" w:hAnsi="Times New Roman" w:cs="Times New Roman"/>
          <w:b/>
          <w:sz w:val="24"/>
          <w:szCs w:val="24"/>
        </w:rPr>
      </w:pPr>
      <w:r w:rsidRPr="00CB2DE6">
        <w:rPr>
          <w:rFonts w:ascii="Times New Roman" w:hAnsi="Times New Roman" w:cs="Times New Roman"/>
          <w:b/>
          <w:sz w:val="24"/>
          <w:szCs w:val="24"/>
        </w:rPr>
        <w:t>Portfolios Sorted on Long-Run Volatility Component Betas</w:t>
      </w:r>
    </w:p>
    <w:p w:rsidR="00FF3CB8" w:rsidRPr="00CB2DE6" w:rsidRDefault="00FF3CB8" w:rsidP="00FF3CB8">
      <w:pPr>
        <w:spacing w:before="180" w:after="180"/>
        <w:jc w:val="both"/>
        <w:rPr>
          <w:rFonts w:ascii="Times New Roman" w:hAnsi="Times New Roman" w:cs="Times New Roman"/>
          <w:sz w:val="20"/>
          <w:szCs w:val="20"/>
        </w:rPr>
      </w:pPr>
      <w:r w:rsidRPr="00CB2DE6">
        <w:rPr>
          <w:rFonts w:ascii="Times New Roman" w:hAnsi="Times New Roman" w:cs="Times New Roman"/>
          <w:sz w:val="20"/>
          <w:szCs w:val="20"/>
        </w:rPr>
        <w:t xml:space="preserve">The table presents annualized mean, standard deviation, and Sharpe ratio for excess returns of each portfolio. The portfolios are constructed using currencies sorted into five groups based on their exposure to long-run volatility </w:t>
      </w:r>
      <w:r w:rsidR="009E0F34" w:rsidRPr="00CB2DE6">
        <w:rPr>
          <w:rFonts w:ascii="Times New Roman" w:hAnsi="Times New Roman" w:cs="Times New Roman"/>
          <w:sz w:val="20"/>
          <w:szCs w:val="20"/>
        </w:rPr>
        <w:t xml:space="preserve">component </w:t>
      </w:r>
      <w:r w:rsidRPr="00CB2DE6">
        <w:rPr>
          <w:rFonts w:ascii="Times New Roman" w:hAnsi="Times New Roman" w:cs="Times New Roman"/>
          <w:sz w:val="20"/>
          <w:szCs w:val="20"/>
        </w:rPr>
        <w:t xml:space="preserve">innovations. The volatility betas for each currency in month </w:t>
      </w:r>
      <w:r w:rsidR="00826BD3" w:rsidRPr="00CB2DE6">
        <w:rPr>
          <w:rFonts w:ascii="Times New Roman" w:hAnsi="Times New Roman" w:cs="Times New Roman"/>
          <w:i/>
          <w:sz w:val="20"/>
          <w:szCs w:val="20"/>
        </w:rPr>
        <w:t>t</w:t>
      </w:r>
      <w:r w:rsidRPr="00CB2DE6">
        <w:rPr>
          <w:rFonts w:ascii="Times New Roman" w:hAnsi="Times New Roman" w:cs="Times New Roman"/>
          <w:sz w:val="20"/>
          <w:szCs w:val="20"/>
        </w:rPr>
        <w:t xml:space="preserve"> are obtained by regressing respective currency’s transaction cost unadjusted (without bid-ask spreads) excess return on a constant and long-run volatility component innovations under a 36-month rolling window that ends in month</w:t>
      </w:r>
      <w:r w:rsidR="00826BD3" w:rsidRPr="00CB2DE6">
        <w:rPr>
          <w:rFonts w:ascii="Times New Roman" w:hAnsi="Times New Roman" w:cs="Times New Roman"/>
          <w:i/>
          <w:sz w:val="20"/>
          <w:szCs w:val="20"/>
        </w:rPr>
        <w:t xml:space="preserve"> t</w:t>
      </w:r>
      <w:r w:rsidR="00826BD3" w:rsidRPr="00CB2DE6">
        <w:rPr>
          <w:rFonts w:ascii="Times New Roman" w:hAnsi="Times New Roman" w:cs="Times New Roman"/>
          <w:sz w:val="20"/>
          <w:szCs w:val="20"/>
        </w:rPr>
        <w:t>-1</w:t>
      </w:r>
      <w:r w:rsidRPr="00CB2DE6">
        <w:rPr>
          <w:rFonts w:ascii="Times New Roman" w:hAnsi="Times New Roman" w:cs="Times New Roman"/>
          <w:sz w:val="20"/>
          <w:szCs w:val="20"/>
        </w:rPr>
        <w:t xml:space="preserve">. All portfolios are rebalanced every month. The table also reports skewness, kurtosis, and annualized average (%) forward discount </w:t>
      </w:r>
      <m:oMath>
        <m:r>
          <w:rPr>
            <w:rFonts w:ascii="Cambria Math" w:hAnsi="Cambria Math" w:cs="Times New Roman"/>
            <w:sz w:val="20"/>
            <w:szCs w:val="20"/>
          </w:rPr>
          <m:t>[(F-S)/S]</m:t>
        </m:r>
      </m:oMath>
      <w:r w:rsidRPr="00CB2DE6">
        <w:rPr>
          <w:rFonts w:ascii="Times New Roman" w:hAnsi="Times New Roman" w:cs="Times New Roman"/>
          <w:sz w:val="20"/>
          <w:szCs w:val="20"/>
        </w:rPr>
        <w:t xml:space="preserve"> for each portfolio. Numbers in brackets are </w:t>
      </w:r>
      <w:r w:rsidRPr="00CB2DE6">
        <w:rPr>
          <w:rFonts w:ascii="Times New Roman" w:hAnsi="Times New Roman" w:cs="Times New Roman"/>
          <w:i/>
          <w:sz w:val="20"/>
          <w:szCs w:val="20"/>
        </w:rPr>
        <w:t>t</w:t>
      </w:r>
      <w:r w:rsidRPr="00CB2DE6">
        <w:rPr>
          <w:rFonts w:ascii="Times New Roman" w:hAnsi="Times New Roman" w:cs="Times New Roman"/>
          <w:sz w:val="20"/>
          <w:szCs w:val="20"/>
        </w:rPr>
        <w:t>-statistics based on the Newey and West (1987) estimator. The Sharpe ratios are estimated as ratios of annualized means to annualized standard deviations. Portfolio 1 includes 20% of currencies with the lowest long-run volatility component betas, while portfolio 5 includes 20% of currencies with the highest long-run volatility component betas. Avg. denotes the average excess return of the five beta-sorted portfolios, while HML denotes the long-short portfolio (</w:t>
      </w:r>
      <w:r w:rsidR="00826BD3" w:rsidRPr="00CB2DE6">
        <w:rPr>
          <w:rFonts w:ascii="Times New Roman" w:hAnsi="Times New Roman" w:cs="Times New Roman"/>
          <w:sz w:val="20"/>
          <w:szCs w:val="20"/>
        </w:rPr>
        <w:t xml:space="preserve">in this case, </w:t>
      </w:r>
      <w:r w:rsidRPr="00CB2DE6">
        <w:rPr>
          <w:rFonts w:ascii="Times New Roman" w:hAnsi="Times New Roman" w:cs="Times New Roman"/>
          <w:sz w:val="20"/>
          <w:szCs w:val="20"/>
        </w:rPr>
        <w:t>long in portfolio 1 and short in portfolio 5). Panel A reports results for portfolios constructed using all country sample currencies, while panel B shows results for developed country sample. Pre-sorting (</w:t>
      </w:r>
      <w:r w:rsidRPr="00CB2DE6">
        <w:rPr>
          <w:rFonts w:ascii="Times New Roman" w:eastAsia="Times New Roman" w:hAnsi="Times New Roman" w:cs="Times New Roman"/>
          <w:bCs/>
          <w:color w:val="000000"/>
          <w:sz w:val="20"/>
          <w:szCs w:val="20"/>
        </w:rPr>
        <w:t>Pre-</w:t>
      </w:r>
      <m:oMath>
        <m:sSub>
          <m:sSubPr>
            <m:ctrlPr>
              <w:rPr>
                <w:rFonts w:ascii="Cambria Math" w:eastAsia="Times New Roman" w:hAnsi="Cambria Math" w:cs="Times New Roman"/>
                <w:bCs/>
                <w:i/>
                <w:color w:val="000000"/>
                <w:sz w:val="20"/>
                <w:szCs w:val="20"/>
              </w:rPr>
            </m:ctrlPr>
          </m:sSubPr>
          <m:e>
            <m:r>
              <w:rPr>
                <w:rFonts w:ascii="Cambria Math" w:eastAsia="Times New Roman" w:hAnsi="Cambria Math" w:cs="Times New Roman"/>
                <w:color w:val="000000"/>
                <w:sz w:val="20"/>
                <w:szCs w:val="20"/>
              </w:rPr>
              <m:t>β</m:t>
            </m:r>
          </m:e>
          <m:sub>
            <m:r>
              <w:rPr>
                <w:rFonts w:ascii="Cambria Math" w:eastAsia="Times New Roman" w:hAnsi="Cambria Math" w:cs="Times New Roman"/>
                <w:color w:val="000000"/>
                <w:sz w:val="20"/>
                <w:szCs w:val="20"/>
              </w:rPr>
              <m:t>LRVI</m:t>
            </m:r>
          </m:sub>
        </m:sSub>
      </m:oMath>
      <w:r w:rsidRPr="00CB2DE6">
        <w:rPr>
          <w:rFonts w:ascii="Times New Roman" w:hAnsi="Times New Roman" w:cs="Times New Roman"/>
          <w:sz w:val="20"/>
          <w:szCs w:val="20"/>
        </w:rPr>
        <w:t>) and post-sorting (</w:t>
      </w:r>
      <w:r w:rsidRPr="00CB2DE6">
        <w:rPr>
          <w:rFonts w:ascii="Times New Roman" w:eastAsia="Times New Roman" w:hAnsi="Times New Roman" w:cs="Times New Roman"/>
          <w:bCs/>
          <w:color w:val="000000"/>
          <w:sz w:val="20"/>
          <w:szCs w:val="20"/>
        </w:rPr>
        <w:t>Post-</w:t>
      </w:r>
      <m:oMath>
        <m:sSub>
          <m:sSubPr>
            <m:ctrlPr>
              <w:rPr>
                <w:rFonts w:ascii="Cambria Math" w:eastAsia="Times New Roman" w:hAnsi="Cambria Math" w:cs="Times New Roman"/>
                <w:bCs/>
                <w:i/>
                <w:color w:val="000000"/>
                <w:sz w:val="20"/>
                <w:szCs w:val="20"/>
              </w:rPr>
            </m:ctrlPr>
          </m:sSubPr>
          <m:e>
            <m:r>
              <w:rPr>
                <w:rFonts w:ascii="Cambria Math" w:eastAsia="Times New Roman" w:hAnsi="Cambria Math" w:cs="Times New Roman"/>
                <w:color w:val="000000"/>
                <w:sz w:val="20"/>
                <w:szCs w:val="20"/>
              </w:rPr>
              <m:t>β</m:t>
            </m:r>
          </m:e>
          <m:sub>
            <m:r>
              <w:rPr>
                <w:rFonts w:ascii="Cambria Math" w:eastAsia="Times New Roman" w:hAnsi="Cambria Math" w:cs="Times New Roman"/>
                <w:color w:val="000000"/>
                <w:sz w:val="20"/>
                <w:szCs w:val="20"/>
              </w:rPr>
              <m:t>LRVI</m:t>
            </m:r>
          </m:sub>
        </m:sSub>
      </m:oMath>
      <w:r w:rsidRPr="00CB2DE6">
        <w:rPr>
          <w:rFonts w:ascii="Times New Roman" w:hAnsi="Times New Roman" w:cs="Times New Roman"/>
          <w:sz w:val="20"/>
          <w:szCs w:val="20"/>
        </w:rPr>
        <w:t>) long-run volatility component betas for all and developed country samples are reported in the last two rows of the corresponding panels. All excess returns are monthly (%) reported in USD. In each panel, excess returns for the first 36 months are excluded to avoid relying on in-sample estimated volatility component betas for this period. The effective sample period is from May 1990 to February 2013.</w:t>
      </w:r>
    </w:p>
    <w:tbl>
      <w:tblPr>
        <w:tblW w:w="0" w:type="auto"/>
        <w:jc w:val="center"/>
        <w:tblLook w:val="04A0" w:firstRow="1" w:lastRow="0" w:firstColumn="1" w:lastColumn="0" w:noHBand="0" w:noVBand="1"/>
      </w:tblPr>
      <w:tblGrid>
        <w:gridCol w:w="1203"/>
        <w:gridCol w:w="707"/>
        <w:gridCol w:w="676"/>
        <w:gridCol w:w="676"/>
        <w:gridCol w:w="676"/>
        <w:gridCol w:w="739"/>
        <w:gridCol w:w="676"/>
        <w:gridCol w:w="676"/>
      </w:tblGrid>
      <w:tr w:rsidR="00FF3CB8" w:rsidRPr="00CB2DE6" w:rsidTr="00F11691">
        <w:trPr>
          <w:trHeight w:val="70"/>
          <w:jc w:val="center"/>
        </w:trPr>
        <w:tc>
          <w:tcPr>
            <w:tcW w:w="0" w:type="auto"/>
            <w:gridSpan w:val="8"/>
            <w:tcBorders>
              <w:top w:val="single" w:sz="4" w:space="0" w:color="auto"/>
            </w:tcBorders>
            <w:shd w:val="clear" w:color="auto" w:fill="auto"/>
            <w:noWrap/>
            <w:vAlign w:val="bottom"/>
          </w:tcPr>
          <w:p w:rsidR="00FF3CB8" w:rsidRPr="00CB2DE6" w:rsidRDefault="00FF3CB8" w:rsidP="00F11691">
            <w:pPr>
              <w:spacing w:before="20" w:after="20"/>
              <w:jc w:val="cente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Panel A: All Countries</w:t>
            </w:r>
          </w:p>
        </w:tc>
      </w:tr>
      <w:tr w:rsidR="00FF3CB8" w:rsidRPr="00CB2DE6" w:rsidTr="00F11691">
        <w:trPr>
          <w:trHeight w:val="70"/>
          <w:jc w:val="center"/>
        </w:trPr>
        <w:tc>
          <w:tcPr>
            <w:tcW w:w="0" w:type="auto"/>
            <w:tcBorders>
              <w:top w:val="single" w:sz="4" w:space="0" w:color="auto"/>
            </w:tcBorders>
            <w:shd w:val="clear" w:color="auto" w:fill="auto"/>
            <w:noWrap/>
            <w:vAlign w:val="bottom"/>
            <w:hideMark/>
          </w:tcPr>
          <w:p w:rsidR="00FF3CB8" w:rsidRPr="00CB2DE6" w:rsidRDefault="00FF3CB8" w:rsidP="00F11691">
            <w:pPr>
              <w:spacing w:before="20" w:after="20"/>
              <w:rPr>
                <w:rFonts w:ascii="Times New Roman" w:eastAsia="Times New Roman" w:hAnsi="Times New Roman" w:cs="Times New Roman"/>
                <w:color w:val="000000"/>
                <w:sz w:val="19"/>
                <w:szCs w:val="19"/>
              </w:rPr>
            </w:pPr>
            <w:r w:rsidRPr="00CB2DE6">
              <w:rPr>
                <w:rFonts w:ascii="Times New Roman" w:eastAsia="Times New Roman" w:hAnsi="Times New Roman" w:cs="Times New Roman"/>
                <w:color w:val="000000"/>
                <w:sz w:val="19"/>
                <w:szCs w:val="19"/>
              </w:rPr>
              <w:t>Portfolio</w:t>
            </w:r>
          </w:p>
        </w:tc>
        <w:tc>
          <w:tcPr>
            <w:tcW w:w="0" w:type="auto"/>
            <w:tcBorders>
              <w:top w:val="single" w:sz="4" w:space="0" w:color="auto"/>
              <w:bottom w:val="single" w:sz="4" w:space="0" w:color="auto"/>
            </w:tcBorders>
            <w:shd w:val="clear" w:color="auto" w:fill="auto"/>
            <w:noWrap/>
            <w:vAlign w:val="bottom"/>
            <w:hideMark/>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w:t>
            </w:r>
          </w:p>
        </w:tc>
        <w:tc>
          <w:tcPr>
            <w:tcW w:w="0" w:type="auto"/>
            <w:tcBorders>
              <w:top w:val="single" w:sz="4" w:space="0" w:color="auto"/>
              <w:bottom w:val="single" w:sz="4" w:space="0" w:color="auto"/>
            </w:tcBorders>
            <w:shd w:val="clear" w:color="auto" w:fill="auto"/>
            <w:noWrap/>
            <w:vAlign w:val="bottom"/>
            <w:hideMark/>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2</w:t>
            </w:r>
          </w:p>
        </w:tc>
        <w:tc>
          <w:tcPr>
            <w:tcW w:w="0" w:type="auto"/>
            <w:tcBorders>
              <w:top w:val="single" w:sz="4" w:space="0" w:color="auto"/>
              <w:bottom w:val="single" w:sz="4" w:space="0" w:color="auto"/>
            </w:tcBorders>
            <w:shd w:val="clear" w:color="auto" w:fill="auto"/>
            <w:noWrap/>
            <w:vAlign w:val="bottom"/>
            <w:hideMark/>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3</w:t>
            </w:r>
          </w:p>
        </w:tc>
        <w:tc>
          <w:tcPr>
            <w:tcW w:w="0" w:type="auto"/>
            <w:tcBorders>
              <w:top w:val="single" w:sz="4" w:space="0" w:color="auto"/>
              <w:bottom w:val="single" w:sz="4" w:space="0" w:color="auto"/>
            </w:tcBorders>
            <w:shd w:val="clear" w:color="auto" w:fill="auto"/>
            <w:noWrap/>
            <w:vAlign w:val="bottom"/>
            <w:hideMark/>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4</w:t>
            </w:r>
          </w:p>
        </w:tc>
        <w:tc>
          <w:tcPr>
            <w:tcW w:w="0" w:type="auto"/>
            <w:tcBorders>
              <w:top w:val="single" w:sz="4" w:space="0" w:color="auto"/>
              <w:bottom w:val="single" w:sz="4" w:space="0" w:color="auto"/>
            </w:tcBorders>
            <w:shd w:val="clear" w:color="auto" w:fill="auto"/>
            <w:noWrap/>
            <w:vAlign w:val="bottom"/>
            <w:hideMark/>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5</w:t>
            </w:r>
          </w:p>
        </w:tc>
        <w:tc>
          <w:tcPr>
            <w:tcW w:w="0" w:type="auto"/>
            <w:tcBorders>
              <w:top w:val="single" w:sz="4" w:space="0" w:color="auto"/>
              <w:bottom w:val="single" w:sz="4" w:space="0" w:color="auto"/>
            </w:tcBorders>
            <w:shd w:val="clear" w:color="auto" w:fill="auto"/>
            <w:noWrap/>
            <w:vAlign w:val="bottom"/>
            <w:hideMark/>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Avg.</w:t>
            </w:r>
          </w:p>
        </w:tc>
        <w:tc>
          <w:tcPr>
            <w:tcW w:w="0" w:type="auto"/>
            <w:tcBorders>
              <w:top w:val="single" w:sz="4" w:space="0" w:color="auto"/>
              <w:bottom w:val="single" w:sz="4" w:space="0" w:color="auto"/>
            </w:tcBorders>
            <w:shd w:val="clear" w:color="auto" w:fill="auto"/>
            <w:noWrap/>
            <w:vAlign w:val="bottom"/>
            <w:hideMark/>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HML</w:t>
            </w:r>
          </w:p>
        </w:tc>
      </w:tr>
      <w:tr w:rsidR="00FF3CB8" w:rsidRPr="00CB2DE6" w:rsidTr="00F11691">
        <w:trPr>
          <w:trHeight w:val="70"/>
          <w:jc w:val="center"/>
        </w:trPr>
        <w:tc>
          <w:tcPr>
            <w:tcW w:w="0" w:type="auto"/>
            <w:shd w:val="clear" w:color="auto" w:fill="auto"/>
            <w:noWrap/>
            <w:vAlign w:val="bottom"/>
            <w:hideMark/>
          </w:tcPr>
          <w:p w:rsidR="00FF3CB8" w:rsidRPr="00CB2DE6" w:rsidRDefault="00FF3CB8" w:rsidP="00F11691">
            <w:pPr>
              <w:spacing w:before="120"/>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Mean</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2.93</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2.16</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1.12</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0.97</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-0.33</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1.37</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3.26</w:t>
            </w:r>
          </w:p>
        </w:tc>
      </w:tr>
      <w:tr w:rsidR="00FF3CB8" w:rsidRPr="00CB2DE6" w:rsidTr="00F11691">
        <w:trPr>
          <w:trHeight w:val="80"/>
          <w:jc w:val="center"/>
        </w:trPr>
        <w:tc>
          <w:tcPr>
            <w:tcW w:w="0" w:type="auto"/>
            <w:shd w:val="clear" w:color="auto" w:fill="auto"/>
            <w:noWrap/>
            <w:vAlign w:val="bottom"/>
          </w:tcPr>
          <w:p w:rsidR="00FF3CB8" w:rsidRPr="00CB2DE6" w:rsidRDefault="00FF3CB8" w:rsidP="00F11691">
            <w:pPr>
              <w:rPr>
                <w:rFonts w:ascii="Times New Roman" w:eastAsia="Times New Roman" w:hAnsi="Times New Roman" w:cs="Times New Roman"/>
                <w:bCs/>
                <w:color w:val="000000"/>
                <w:sz w:val="19"/>
                <w:szCs w:val="19"/>
              </w:rPr>
            </w:pP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[1.34]</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[1.13]</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[0.62]</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[0.53]</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[-0.19]</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[0.83]</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[1.76]</w:t>
            </w:r>
          </w:p>
        </w:tc>
      </w:tr>
      <w:tr w:rsidR="00FF3CB8" w:rsidRPr="00CB2DE6" w:rsidTr="00F11691">
        <w:trPr>
          <w:trHeight w:val="80"/>
          <w:jc w:val="center"/>
        </w:trPr>
        <w:tc>
          <w:tcPr>
            <w:tcW w:w="0" w:type="auto"/>
            <w:shd w:val="clear" w:color="auto" w:fill="auto"/>
            <w:noWrap/>
            <w:vAlign w:val="bottom"/>
            <w:hideMark/>
          </w:tcPr>
          <w:p w:rsidR="00FF3CB8" w:rsidRPr="00CB2DE6" w:rsidRDefault="00FF3CB8" w:rsidP="00F11691">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Std. Dev.</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9.54</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8.68</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8.31</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7.53</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7.32</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6.96</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8.82</w:t>
            </w:r>
          </w:p>
        </w:tc>
      </w:tr>
      <w:tr w:rsidR="00FF3CB8" w:rsidRPr="00CB2DE6" w:rsidTr="00F11691">
        <w:trPr>
          <w:trHeight w:val="80"/>
          <w:jc w:val="center"/>
        </w:trPr>
        <w:tc>
          <w:tcPr>
            <w:tcW w:w="0" w:type="auto"/>
            <w:shd w:val="clear" w:color="auto" w:fill="auto"/>
            <w:noWrap/>
            <w:vAlign w:val="bottom"/>
            <w:hideMark/>
          </w:tcPr>
          <w:p w:rsidR="00FF3CB8" w:rsidRPr="00CB2DE6" w:rsidRDefault="00FF3CB8" w:rsidP="00F11691">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Skewness</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-1.02</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-0.62</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-0.65</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-0.59</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-0.07</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-0.71</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-0.23</w:t>
            </w:r>
          </w:p>
        </w:tc>
      </w:tr>
      <w:tr w:rsidR="00FF3CB8" w:rsidRPr="00CB2DE6" w:rsidTr="00F11691">
        <w:trPr>
          <w:trHeight w:val="80"/>
          <w:jc w:val="center"/>
        </w:trPr>
        <w:tc>
          <w:tcPr>
            <w:tcW w:w="0" w:type="auto"/>
            <w:shd w:val="clear" w:color="auto" w:fill="auto"/>
            <w:noWrap/>
            <w:vAlign w:val="bottom"/>
            <w:hideMark/>
          </w:tcPr>
          <w:p w:rsidR="00FF3CB8" w:rsidRPr="00CB2DE6" w:rsidRDefault="00FF3CB8" w:rsidP="00F11691">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Kurtosis</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7.11</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5.33</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5.53</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4.57</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3.65</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4.78</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4.75</w:t>
            </w:r>
          </w:p>
        </w:tc>
      </w:tr>
      <w:tr w:rsidR="00FF3CB8" w:rsidRPr="00CB2DE6" w:rsidTr="00F11691">
        <w:trPr>
          <w:trHeight w:val="80"/>
          <w:jc w:val="center"/>
        </w:trPr>
        <w:tc>
          <w:tcPr>
            <w:tcW w:w="0" w:type="auto"/>
            <w:shd w:val="clear" w:color="auto" w:fill="auto"/>
            <w:noWrap/>
            <w:vAlign w:val="bottom"/>
            <w:hideMark/>
          </w:tcPr>
          <w:p w:rsidR="00FF3CB8" w:rsidRPr="00CB2DE6" w:rsidRDefault="00FF3CB8" w:rsidP="00F11691">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Sharpe Ratio</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0.31</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0.25</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0.14</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0.13</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-0.04</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0.20</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0.37</w:t>
            </w:r>
          </w:p>
        </w:tc>
      </w:tr>
      <w:tr w:rsidR="00FF3CB8" w:rsidRPr="00CB2DE6" w:rsidTr="00F11691">
        <w:trPr>
          <w:trHeight w:val="80"/>
          <w:jc w:val="center"/>
        </w:trPr>
        <w:tc>
          <w:tcPr>
            <w:tcW w:w="0" w:type="auto"/>
            <w:shd w:val="clear" w:color="auto" w:fill="auto"/>
            <w:noWrap/>
            <w:vAlign w:val="bottom"/>
          </w:tcPr>
          <w:p w:rsidR="00FF3CB8" w:rsidRPr="00CB2DE6" w:rsidRDefault="00FF3CB8" w:rsidP="00F11691">
            <w:pPr>
              <w:spacing w:after="20"/>
              <w:rPr>
                <w:rFonts w:ascii="Times New Roman" w:eastAsia="Times New Roman" w:hAnsi="Times New Roman" w:cs="Times New Roman"/>
                <w:bCs/>
                <w:color w:val="000000"/>
                <w:sz w:val="19"/>
                <w:szCs w:val="19"/>
              </w:rPr>
            </w:pPr>
            <m:oMathPara>
              <m:oMathParaPr>
                <m:jc m:val="left"/>
              </m:oMathParaPr>
              <m:oMath>
                <m:r>
                  <w:rPr>
                    <w:rFonts w:ascii="Cambria Math" w:hAnsi="Cambria Math" w:cs="Times New Roman"/>
                    <w:sz w:val="19"/>
                    <w:szCs w:val="19"/>
                  </w:rPr>
                  <m:t>[(F-S)/S]</m:t>
                </m:r>
              </m:oMath>
            </m:oMathPara>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2.21</w:t>
            </w: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1.67</w:t>
            </w: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0.91</w:t>
            </w: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0.74</w:t>
            </w: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-0.19</w:t>
            </w: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p>
        </w:tc>
      </w:tr>
      <w:tr w:rsidR="00FF3CB8" w:rsidRPr="00CB2DE6" w:rsidTr="00F11691">
        <w:trPr>
          <w:trHeight w:val="70"/>
          <w:jc w:val="center"/>
        </w:trPr>
        <w:tc>
          <w:tcPr>
            <w:tcW w:w="0" w:type="auto"/>
            <w:shd w:val="clear" w:color="auto" w:fill="auto"/>
            <w:noWrap/>
            <w:vAlign w:val="bottom"/>
          </w:tcPr>
          <w:p w:rsidR="00FF3CB8" w:rsidRPr="00CB2DE6" w:rsidRDefault="00FF3CB8" w:rsidP="00F11691">
            <w:pPr>
              <w:spacing w:before="20"/>
              <w:rPr>
                <w:rFonts w:ascii="Times New Roman" w:eastAsia="Times New Roman" w:hAnsi="Times New Roman" w:cs="Times New Roman"/>
                <w:bCs/>
                <w:color w:val="000000"/>
                <w:sz w:val="19"/>
                <w:szCs w:val="19"/>
                <w:vertAlign w:val="subscript"/>
              </w:rPr>
            </w:pPr>
            <w:r w:rsidRPr="00CB2DE6">
              <w:rPr>
                <w:rFonts w:ascii="Times New Roman" w:eastAsia="Times New Roman" w:hAnsi="Times New Roman" w:cs="Times New Roman"/>
                <w:bCs/>
                <w:color w:val="000000"/>
                <w:sz w:val="19"/>
                <w:szCs w:val="19"/>
              </w:rPr>
              <w:t>Pre-</w:t>
            </w:r>
            <m:oMath>
              <m:sSub>
                <m:sSubPr>
                  <m:ctrlPr>
                    <w:rPr>
                      <w:rFonts w:ascii="Cambria Math" w:eastAsia="Times New Roman" w:hAnsi="Cambria Math" w:cs="Times New Roman"/>
                      <w:bCs/>
                      <w:i/>
                      <w:color w:val="000000"/>
                      <w:sz w:val="19"/>
                      <w:szCs w:val="19"/>
                    </w:rPr>
                  </m:ctrlPr>
                </m:sSubPr>
                <m:e>
                  <m:r>
                    <w:rPr>
                      <w:rFonts w:ascii="Cambria Math" w:eastAsia="Times New Roman" w:hAnsi="Cambria Math" w:cs="Times New Roman"/>
                      <w:color w:val="000000"/>
                      <w:sz w:val="19"/>
                      <w:szCs w:val="19"/>
                    </w:rPr>
                    <m:t>β</m:t>
                  </m:r>
                </m:e>
                <m:sub>
                  <m:r>
                    <w:rPr>
                      <w:rFonts w:ascii="Cambria Math" w:eastAsia="Times New Roman" w:hAnsi="Cambria Math" w:cs="Times New Roman"/>
                      <w:color w:val="000000"/>
                      <w:sz w:val="19"/>
                      <w:szCs w:val="19"/>
                    </w:rPr>
                    <m:t>LRVI</m:t>
                  </m:r>
                </m:sub>
              </m:sSub>
            </m:oMath>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-19.19</w:t>
            </w: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-8.02</w:t>
            </w: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-3.46</w:t>
            </w: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0.92</w:t>
            </w: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8.22</w:t>
            </w: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p>
        </w:tc>
      </w:tr>
      <w:tr w:rsidR="00FF3CB8" w:rsidRPr="00CB2DE6" w:rsidTr="00F11691">
        <w:trPr>
          <w:trHeight w:val="80"/>
          <w:jc w:val="center"/>
        </w:trPr>
        <w:tc>
          <w:tcPr>
            <w:tcW w:w="0" w:type="auto"/>
            <w:tcBorders>
              <w:bottom w:val="single" w:sz="4" w:space="0" w:color="auto"/>
            </w:tcBorders>
            <w:shd w:val="clear" w:color="auto" w:fill="auto"/>
            <w:noWrap/>
            <w:vAlign w:val="bottom"/>
          </w:tcPr>
          <w:p w:rsidR="00FF3CB8" w:rsidRPr="00CB2DE6" w:rsidRDefault="00FF3CB8" w:rsidP="00F11691">
            <w:pPr>
              <w:spacing w:after="120"/>
              <w:rPr>
                <w:rFonts w:ascii="Times New Roman" w:eastAsia="Times New Roman" w:hAnsi="Times New Roman" w:cs="Times New Roman"/>
                <w:bCs/>
                <w:color w:val="000000"/>
                <w:sz w:val="19"/>
                <w:szCs w:val="19"/>
                <w:vertAlign w:val="subscript"/>
              </w:rPr>
            </w:pPr>
            <w:r w:rsidRPr="00CB2DE6">
              <w:rPr>
                <w:rFonts w:ascii="Times New Roman" w:eastAsia="Times New Roman" w:hAnsi="Times New Roman" w:cs="Times New Roman"/>
                <w:bCs/>
                <w:color w:val="000000"/>
                <w:sz w:val="19"/>
                <w:szCs w:val="19"/>
              </w:rPr>
              <w:t>Post-</w:t>
            </w:r>
            <m:oMath>
              <m:sSub>
                <m:sSubPr>
                  <m:ctrlPr>
                    <w:rPr>
                      <w:rFonts w:ascii="Cambria Math" w:eastAsia="Times New Roman" w:hAnsi="Cambria Math" w:cs="Times New Roman"/>
                      <w:bCs/>
                      <w:i/>
                      <w:color w:val="000000"/>
                      <w:sz w:val="19"/>
                      <w:szCs w:val="19"/>
                    </w:rPr>
                  </m:ctrlPr>
                </m:sSubPr>
                <m:e>
                  <m:r>
                    <w:rPr>
                      <w:rFonts w:ascii="Cambria Math" w:eastAsia="Times New Roman" w:hAnsi="Cambria Math" w:cs="Times New Roman"/>
                      <w:color w:val="000000"/>
                      <w:sz w:val="19"/>
                      <w:szCs w:val="19"/>
                    </w:rPr>
                    <m:t>β</m:t>
                  </m:r>
                </m:e>
                <m:sub>
                  <m:r>
                    <w:rPr>
                      <w:rFonts w:ascii="Cambria Math" w:eastAsia="Times New Roman" w:hAnsi="Cambria Math" w:cs="Times New Roman"/>
                      <w:color w:val="000000"/>
                      <w:sz w:val="19"/>
                      <w:szCs w:val="19"/>
                    </w:rPr>
                    <m:t>LRVI</m:t>
                  </m:r>
                </m:sub>
              </m:sSub>
            </m:oMath>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-0.99</w:t>
            </w: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-0.09</w:t>
            </w: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1.65</w:t>
            </w: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0.36</w:t>
            </w: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2.37</w:t>
            </w: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p>
        </w:tc>
      </w:tr>
      <w:tr w:rsidR="00FF3CB8" w:rsidRPr="00CB2DE6" w:rsidTr="00F11691">
        <w:trPr>
          <w:trHeight w:val="70"/>
          <w:jc w:val="center"/>
        </w:trPr>
        <w:tc>
          <w:tcPr>
            <w:tcW w:w="0" w:type="auto"/>
            <w:gridSpan w:val="8"/>
            <w:tcBorders>
              <w:top w:val="single" w:sz="4" w:space="0" w:color="auto"/>
            </w:tcBorders>
            <w:shd w:val="clear" w:color="auto" w:fill="auto"/>
            <w:noWrap/>
            <w:vAlign w:val="bottom"/>
          </w:tcPr>
          <w:p w:rsidR="00FF3CB8" w:rsidRPr="00CB2DE6" w:rsidRDefault="00FF3CB8" w:rsidP="00F11691">
            <w:pPr>
              <w:spacing w:before="20" w:after="20"/>
              <w:jc w:val="cente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Panel B: Developed Countries</w:t>
            </w:r>
          </w:p>
        </w:tc>
      </w:tr>
      <w:tr w:rsidR="00FF3CB8" w:rsidRPr="00CB2DE6" w:rsidTr="00F11691">
        <w:trPr>
          <w:trHeight w:val="70"/>
          <w:jc w:val="center"/>
        </w:trPr>
        <w:tc>
          <w:tcPr>
            <w:tcW w:w="0" w:type="auto"/>
            <w:tcBorders>
              <w:top w:val="single" w:sz="4" w:space="0" w:color="auto"/>
            </w:tcBorders>
            <w:shd w:val="clear" w:color="auto" w:fill="auto"/>
            <w:noWrap/>
            <w:vAlign w:val="bottom"/>
          </w:tcPr>
          <w:p w:rsidR="00FF3CB8" w:rsidRPr="00CB2DE6" w:rsidRDefault="00FF3CB8" w:rsidP="00F11691">
            <w:pPr>
              <w:spacing w:before="20" w:after="20"/>
              <w:rPr>
                <w:rFonts w:ascii="Times New Roman" w:eastAsia="Times New Roman" w:hAnsi="Times New Roman" w:cs="Times New Roman"/>
                <w:color w:val="000000"/>
                <w:sz w:val="19"/>
                <w:szCs w:val="19"/>
              </w:rPr>
            </w:pPr>
            <w:r w:rsidRPr="00CB2DE6">
              <w:rPr>
                <w:rFonts w:ascii="Times New Roman" w:eastAsia="Times New Roman" w:hAnsi="Times New Roman" w:cs="Times New Roman"/>
                <w:color w:val="000000"/>
                <w:sz w:val="19"/>
                <w:szCs w:val="19"/>
              </w:rPr>
              <w:t>Portfolio</w:t>
            </w:r>
          </w:p>
        </w:tc>
        <w:tc>
          <w:tcPr>
            <w:tcW w:w="0" w:type="auto"/>
            <w:tcBorders>
              <w:top w:val="single" w:sz="4" w:space="0" w:color="auto"/>
              <w:bottom w:val="single" w:sz="4" w:space="0" w:color="auto"/>
            </w:tcBorders>
            <w:shd w:val="clear" w:color="auto" w:fill="auto"/>
            <w:noWrap/>
            <w:vAlign w:val="bottom"/>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w:t>
            </w:r>
          </w:p>
        </w:tc>
        <w:tc>
          <w:tcPr>
            <w:tcW w:w="0" w:type="auto"/>
            <w:tcBorders>
              <w:top w:val="single" w:sz="4" w:space="0" w:color="auto"/>
              <w:bottom w:val="single" w:sz="4" w:space="0" w:color="auto"/>
            </w:tcBorders>
            <w:shd w:val="clear" w:color="auto" w:fill="auto"/>
            <w:noWrap/>
            <w:vAlign w:val="bottom"/>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2</w:t>
            </w:r>
          </w:p>
        </w:tc>
        <w:tc>
          <w:tcPr>
            <w:tcW w:w="0" w:type="auto"/>
            <w:tcBorders>
              <w:top w:val="single" w:sz="4" w:space="0" w:color="auto"/>
              <w:bottom w:val="single" w:sz="4" w:space="0" w:color="auto"/>
            </w:tcBorders>
            <w:shd w:val="clear" w:color="auto" w:fill="auto"/>
            <w:noWrap/>
            <w:vAlign w:val="bottom"/>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3</w:t>
            </w:r>
          </w:p>
        </w:tc>
        <w:tc>
          <w:tcPr>
            <w:tcW w:w="0" w:type="auto"/>
            <w:tcBorders>
              <w:top w:val="single" w:sz="4" w:space="0" w:color="auto"/>
              <w:bottom w:val="single" w:sz="4" w:space="0" w:color="auto"/>
            </w:tcBorders>
            <w:shd w:val="clear" w:color="auto" w:fill="auto"/>
            <w:noWrap/>
            <w:vAlign w:val="bottom"/>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4</w:t>
            </w:r>
          </w:p>
        </w:tc>
        <w:tc>
          <w:tcPr>
            <w:tcW w:w="0" w:type="auto"/>
            <w:tcBorders>
              <w:top w:val="single" w:sz="4" w:space="0" w:color="auto"/>
              <w:bottom w:val="single" w:sz="4" w:space="0" w:color="auto"/>
            </w:tcBorders>
            <w:shd w:val="clear" w:color="auto" w:fill="auto"/>
            <w:noWrap/>
            <w:vAlign w:val="bottom"/>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5</w:t>
            </w:r>
          </w:p>
        </w:tc>
        <w:tc>
          <w:tcPr>
            <w:tcW w:w="0" w:type="auto"/>
            <w:tcBorders>
              <w:top w:val="single" w:sz="4" w:space="0" w:color="auto"/>
              <w:bottom w:val="single" w:sz="4" w:space="0" w:color="auto"/>
            </w:tcBorders>
            <w:shd w:val="clear" w:color="auto" w:fill="auto"/>
            <w:noWrap/>
            <w:vAlign w:val="bottom"/>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Avg.</w:t>
            </w:r>
          </w:p>
        </w:tc>
        <w:tc>
          <w:tcPr>
            <w:tcW w:w="0" w:type="auto"/>
            <w:tcBorders>
              <w:top w:val="single" w:sz="4" w:space="0" w:color="auto"/>
              <w:bottom w:val="single" w:sz="4" w:space="0" w:color="auto"/>
            </w:tcBorders>
            <w:shd w:val="clear" w:color="auto" w:fill="auto"/>
            <w:noWrap/>
            <w:vAlign w:val="bottom"/>
          </w:tcPr>
          <w:p w:rsidR="00FF3CB8" w:rsidRPr="00CB2DE6" w:rsidRDefault="00FF3CB8" w:rsidP="00F11691">
            <w:pPr>
              <w:spacing w:before="20"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HML</w:t>
            </w:r>
          </w:p>
        </w:tc>
      </w:tr>
      <w:tr w:rsidR="00FF3CB8" w:rsidRPr="00CB2DE6" w:rsidTr="00F11691">
        <w:trPr>
          <w:trHeight w:val="70"/>
          <w:jc w:val="center"/>
        </w:trPr>
        <w:tc>
          <w:tcPr>
            <w:tcW w:w="0" w:type="auto"/>
            <w:shd w:val="clear" w:color="auto" w:fill="auto"/>
            <w:noWrap/>
            <w:vAlign w:val="bottom"/>
            <w:hideMark/>
          </w:tcPr>
          <w:p w:rsidR="00FF3CB8" w:rsidRPr="00CB2DE6" w:rsidRDefault="00FF3CB8" w:rsidP="00F11691">
            <w:pPr>
              <w:spacing w:before="120"/>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Mean</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2.27</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1.34</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0.76</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0.81</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-0.78</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0.88</w:t>
            </w:r>
          </w:p>
        </w:tc>
        <w:tc>
          <w:tcPr>
            <w:tcW w:w="0" w:type="auto"/>
            <w:shd w:val="clear" w:color="auto" w:fill="auto"/>
            <w:noWrap/>
            <w:vAlign w:val="bottom"/>
          </w:tcPr>
          <w:p w:rsidR="00FF3CB8" w:rsidRPr="00CB2DE6" w:rsidRDefault="00FF3CB8" w:rsidP="00F11691">
            <w:pPr>
              <w:spacing w:before="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3.05</w:t>
            </w:r>
          </w:p>
        </w:tc>
      </w:tr>
      <w:tr w:rsidR="00FF3CB8" w:rsidRPr="00CB2DE6" w:rsidTr="00F11691">
        <w:trPr>
          <w:trHeight w:val="80"/>
          <w:jc w:val="center"/>
        </w:trPr>
        <w:tc>
          <w:tcPr>
            <w:tcW w:w="0" w:type="auto"/>
            <w:shd w:val="clear" w:color="auto" w:fill="auto"/>
            <w:noWrap/>
            <w:vAlign w:val="bottom"/>
          </w:tcPr>
          <w:p w:rsidR="00FF3CB8" w:rsidRPr="00CB2DE6" w:rsidRDefault="00FF3CB8" w:rsidP="00F11691">
            <w:pPr>
              <w:rPr>
                <w:rFonts w:ascii="Times New Roman" w:eastAsia="Times New Roman" w:hAnsi="Times New Roman" w:cs="Times New Roman"/>
                <w:bCs/>
                <w:color w:val="000000"/>
                <w:sz w:val="19"/>
                <w:szCs w:val="19"/>
              </w:rPr>
            </w:pP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[0.98]</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[0.61]</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[0.35]</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[0.36]</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[-0.42]</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[0.47]</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[1.66]</w:t>
            </w:r>
          </w:p>
        </w:tc>
      </w:tr>
      <w:tr w:rsidR="00FF3CB8" w:rsidRPr="00CB2DE6" w:rsidTr="00F11691">
        <w:trPr>
          <w:trHeight w:val="80"/>
          <w:jc w:val="center"/>
        </w:trPr>
        <w:tc>
          <w:tcPr>
            <w:tcW w:w="0" w:type="auto"/>
            <w:shd w:val="clear" w:color="auto" w:fill="auto"/>
            <w:noWrap/>
            <w:vAlign w:val="bottom"/>
            <w:hideMark/>
          </w:tcPr>
          <w:p w:rsidR="00FF3CB8" w:rsidRPr="00CB2DE6" w:rsidRDefault="00FF3CB8" w:rsidP="00F11691">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Std. Dev.</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10.61</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9.80</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10.13</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10.05</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8.84</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8.37</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9.42</w:t>
            </w:r>
          </w:p>
        </w:tc>
      </w:tr>
      <w:tr w:rsidR="00FF3CB8" w:rsidRPr="00CB2DE6" w:rsidTr="00F11691">
        <w:trPr>
          <w:trHeight w:val="80"/>
          <w:jc w:val="center"/>
        </w:trPr>
        <w:tc>
          <w:tcPr>
            <w:tcW w:w="0" w:type="auto"/>
            <w:shd w:val="clear" w:color="auto" w:fill="auto"/>
            <w:noWrap/>
            <w:vAlign w:val="bottom"/>
            <w:hideMark/>
          </w:tcPr>
          <w:p w:rsidR="00FF3CB8" w:rsidRPr="00CB2DE6" w:rsidRDefault="00FF3CB8" w:rsidP="00F11691">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Skewness</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-0.80</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-0.53</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-0.44</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-0.63</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-0.22</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-0.41</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-0.79</w:t>
            </w:r>
          </w:p>
        </w:tc>
      </w:tr>
      <w:tr w:rsidR="00FF3CB8" w:rsidRPr="00CB2DE6" w:rsidTr="00F11691">
        <w:trPr>
          <w:trHeight w:val="80"/>
          <w:jc w:val="center"/>
        </w:trPr>
        <w:tc>
          <w:tcPr>
            <w:tcW w:w="0" w:type="auto"/>
            <w:shd w:val="clear" w:color="auto" w:fill="auto"/>
            <w:noWrap/>
            <w:vAlign w:val="bottom"/>
            <w:hideMark/>
          </w:tcPr>
          <w:p w:rsidR="00FF3CB8" w:rsidRPr="00CB2DE6" w:rsidRDefault="00FF3CB8" w:rsidP="00F11691">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Kurtosis</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6.37</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5.20</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4.08</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5.00</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4.12</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4.09</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6.56</w:t>
            </w:r>
          </w:p>
        </w:tc>
      </w:tr>
      <w:tr w:rsidR="00FF3CB8" w:rsidRPr="00CB2DE6" w:rsidTr="00F11691">
        <w:trPr>
          <w:trHeight w:val="80"/>
          <w:jc w:val="center"/>
        </w:trPr>
        <w:tc>
          <w:tcPr>
            <w:tcW w:w="0" w:type="auto"/>
            <w:shd w:val="clear" w:color="auto" w:fill="auto"/>
            <w:noWrap/>
            <w:vAlign w:val="bottom"/>
            <w:hideMark/>
          </w:tcPr>
          <w:p w:rsidR="00FF3CB8" w:rsidRPr="00CB2DE6" w:rsidRDefault="00FF3CB8" w:rsidP="00F11691">
            <w:pPr>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Sharpe Ratio</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0.21</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0.14</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0.07</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0.08</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-0.09</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0.10</w:t>
            </w:r>
          </w:p>
        </w:tc>
        <w:tc>
          <w:tcPr>
            <w:tcW w:w="0" w:type="auto"/>
            <w:shd w:val="clear" w:color="auto" w:fill="auto"/>
            <w:noWrap/>
            <w:vAlign w:val="bottom"/>
          </w:tcPr>
          <w:p w:rsidR="00FF3CB8" w:rsidRPr="00CB2DE6" w:rsidRDefault="00FF3CB8" w:rsidP="00F11691">
            <w:pPr>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0.32</w:t>
            </w:r>
          </w:p>
        </w:tc>
      </w:tr>
      <w:tr w:rsidR="00FF3CB8" w:rsidRPr="00CB2DE6" w:rsidTr="00F11691">
        <w:trPr>
          <w:trHeight w:val="80"/>
          <w:jc w:val="center"/>
        </w:trPr>
        <w:tc>
          <w:tcPr>
            <w:tcW w:w="0" w:type="auto"/>
            <w:shd w:val="clear" w:color="auto" w:fill="auto"/>
            <w:noWrap/>
            <w:vAlign w:val="bottom"/>
          </w:tcPr>
          <w:p w:rsidR="00FF3CB8" w:rsidRPr="00CB2DE6" w:rsidRDefault="00FF3CB8" w:rsidP="00F11691">
            <w:pPr>
              <w:spacing w:after="20"/>
              <w:rPr>
                <w:rFonts w:ascii="Times New Roman" w:eastAsia="Times New Roman" w:hAnsi="Times New Roman" w:cs="Times New Roman"/>
                <w:bCs/>
                <w:color w:val="000000"/>
                <w:sz w:val="19"/>
                <w:szCs w:val="19"/>
              </w:rPr>
            </w:pPr>
            <m:oMathPara>
              <m:oMathParaPr>
                <m:jc m:val="left"/>
              </m:oMathParaPr>
              <m:oMath>
                <m:r>
                  <w:rPr>
                    <w:rFonts w:ascii="Cambria Math" w:hAnsi="Cambria Math" w:cs="Times New Roman"/>
                    <w:sz w:val="19"/>
                    <w:szCs w:val="19"/>
                  </w:rPr>
                  <m:t>[(F-S)/S]</m:t>
                </m:r>
              </m:oMath>
            </m:oMathPara>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1.51</w:t>
            </w: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1.20</w:t>
            </w: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0.50</w:t>
            </w: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0.54</w:t>
            </w: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-0.04</w:t>
            </w: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p>
        </w:tc>
        <w:tc>
          <w:tcPr>
            <w:tcW w:w="0" w:type="auto"/>
            <w:shd w:val="clear" w:color="auto" w:fill="auto"/>
            <w:noWrap/>
            <w:vAlign w:val="bottom"/>
          </w:tcPr>
          <w:p w:rsidR="00FF3CB8" w:rsidRPr="00CB2DE6" w:rsidRDefault="00FF3CB8" w:rsidP="00F11691">
            <w:pPr>
              <w:spacing w:after="20"/>
              <w:jc w:val="right"/>
              <w:rPr>
                <w:rFonts w:ascii="Times New Roman" w:eastAsia="Times New Roman" w:hAnsi="Times New Roman" w:cs="Times New Roman"/>
                <w:bCs/>
                <w:color w:val="000000"/>
                <w:sz w:val="19"/>
                <w:szCs w:val="19"/>
              </w:rPr>
            </w:pPr>
          </w:p>
        </w:tc>
      </w:tr>
      <w:tr w:rsidR="00FF3CB8" w:rsidRPr="00CB2DE6" w:rsidTr="00F11691">
        <w:trPr>
          <w:trHeight w:val="70"/>
          <w:jc w:val="center"/>
        </w:trPr>
        <w:tc>
          <w:tcPr>
            <w:tcW w:w="0" w:type="auto"/>
            <w:shd w:val="clear" w:color="auto" w:fill="auto"/>
            <w:noWrap/>
            <w:vAlign w:val="bottom"/>
          </w:tcPr>
          <w:p w:rsidR="00FF3CB8" w:rsidRPr="00CB2DE6" w:rsidRDefault="00FF3CB8" w:rsidP="00F11691">
            <w:pPr>
              <w:spacing w:before="20"/>
              <w:rPr>
                <w:rFonts w:ascii="Times New Roman" w:eastAsia="Times New Roman" w:hAnsi="Times New Roman" w:cs="Times New Roman"/>
                <w:bCs/>
                <w:color w:val="000000"/>
                <w:sz w:val="19"/>
                <w:szCs w:val="19"/>
                <w:vertAlign w:val="subscript"/>
              </w:rPr>
            </w:pPr>
            <w:r w:rsidRPr="00CB2DE6">
              <w:rPr>
                <w:rFonts w:ascii="Times New Roman" w:eastAsia="Times New Roman" w:hAnsi="Times New Roman" w:cs="Times New Roman"/>
                <w:bCs/>
                <w:color w:val="000000"/>
                <w:sz w:val="19"/>
                <w:szCs w:val="19"/>
              </w:rPr>
              <w:t>Pre-</w:t>
            </w:r>
            <m:oMath>
              <m:sSub>
                <m:sSubPr>
                  <m:ctrlPr>
                    <w:rPr>
                      <w:rFonts w:ascii="Cambria Math" w:eastAsia="Times New Roman" w:hAnsi="Cambria Math" w:cs="Times New Roman"/>
                      <w:bCs/>
                      <w:i/>
                      <w:color w:val="000000"/>
                      <w:sz w:val="19"/>
                      <w:szCs w:val="19"/>
                    </w:rPr>
                  </m:ctrlPr>
                </m:sSubPr>
                <m:e>
                  <m:r>
                    <w:rPr>
                      <w:rFonts w:ascii="Cambria Math" w:eastAsia="Times New Roman" w:hAnsi="Cambria Math" w:cs="Times New Roman"/>
                      <w:color w:val="000000"/>
                      <w:sz w:val="19"/>
                      <w:szCs w:val="19"/>
                    </w:rPr>
                    <m:t>β</m:t>
                  </m:r>
                </m:e>
                <m:sub>
                  <m:r>
                    <w:rPr>
                      <w:rFonts w:ascii="Cambria Math" w:eastAsia="Times New Roman" w:hAnsi="Cambria Math" w:cs="Times New Roman"/>
                      <w:color w:val="000000"/>
                      <w:sz w:val="19"/>
                      <w:szCs w:val="19"/>
                    </w:rPr>
                    <m:t>LRVI</m:t>
                  </m:r>
                </m:sub>
              </m:sSub>
            </m:oMath>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-18.03</w:t>
            </w: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-9.57</w:t>
            </w: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-3.48</w:t>
            </w: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1.10</w:t>
            </w: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9.48</w:t>
            </w: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p>
        </w:tc>
        <w:tc>
          <w:tcPr>
            <w:tcW w:w="0" w:type="auto"/>
            <w:shd w:val="clear" w:color="auto" w:fill="auto"/>
            <w:noWrap/>
            <w:vAlign w:val="bottom"/>
          </w:tcPr>
          <w:p w:rsidR="00FF3CB8" w:rsidRPr="00CB2DE6" w:rsidRDefault="00FF3CB8" w:rsidP="00F11691">
            <w:pPr>
              <w:spacing w:before="20"/>
              <w:jc w:val="right"/>
              <w:rPr>
                <w:rFonts w:ascii="Times New Roman" w:eastAsia="Times New Roman" w:hAnsi="Times New Roman" w:cs="Times New Roman"/>
                <w:bCs/>
                <w:color w:val="000000"/>
                <w:sz w:val="19"/>
                <w:szCs w:val="19"/>
              </w:rPr>
            </w:pPr>
          </w:p>
        </w:tc>
      </w:tr>
      <w:tr w:rsidR="00FF3CB8" w:rsidRPr="00CB2DE6" w:rsidTr="00F11691">
        <w:trPr>
          <w:trHeight w:val="80"/>
          <w:jc w:val="center"/>
        </w:trPr>
        <w:tc>
          <w:tcPr>
            <w:tcW w:w="0" w:type="auto"/>
            <w:tcBorders>
              <w:bottom w:val="single" w:sz="4" w:space="0" w:color="auto"/>
            </w:tcBorders>
            <w:shd w:val="clear" w:color="auto" w:fill="auto"/>
            <w:noWrap/>
            <w:vAlign w:val="bottom"/>
          </w:tcPr>
          <w:p w:rsidR="00FF3CB8" w:rsidRPr="00CB2DE6" w:rsidRDefault="00FF3CB8" w:rsidP="00F11691">
            <w:pPr>
              <w:spacing w:after="120"/>
              <w:rPr>
                <w:rFonts w:ascii="Times New Roman" w:eastAsia="Times New Roman" w:hAnsi="Times New Roman" w:cs="Times New Roman"/>
                <w:bCs/>
                <w:color w:val="000000"/>
                <w:sz w:val="19"/>
                <w:szCs w:val="19"/>
                <w:vertAlign w:val="subscript"/>
              </w:rPr>
            </w:pPr>
            <w:r w:rsidRPr="00CB2DE6">
              <w:rPr>
                <w:rFonts w:ascii="Times New Roman" w:eastAsia="Times New Roman" w:hAnsi="Times New Roman" w:cs="Times New Roman"/>
                <w:bCs/>
                <w:color w:val="000000"/>
                <w:sz w:val="19"/>
                <w:szCs w:val="19"/>
              </w:rPr>
              <w:t>Post-</w:t>
            </w:r>
            <m:oMath>
              <m:sSub>
                <m:sSubPr>
                  <m:ctrlPr>
                    <w:rPr>
                      <w:rFonts w:ascii="Cambria Math" w:eastAsia="Times New Roman" w:hAnsi="Cambria Math" w:cs="Times New Roman"/>
                      <w:bCs/>
                      <w:i/>
                      <w:color w:val="000000"/>
                      <w:sz w:val="19"/>
                      <w:szCs w:val="19"/>
                    </w:rPr>
                  </m:ctrlPr>
                </m:sSubPr>
                <m:e>
                  <m:r>
                    <w:rPr>
                      <w:rFonts w:ascii="Cambria Math" w:eastAsia="Times New Roman" w:hAnsi="Cambria Math" w:cs="Times New Roman"/>
                      <w:color w:val="000000"/>
                      <w:sz w:val="19"/>
                      <w:szCs w:val="19"/>
                    </w:rPr>
                    <m:t>β</m:t>
                  </m:r>
                </m:e>
                <m:sub>
                  <m:r>
                    <w:rPr>
                      <w:rFonts w:ascii="Cambria Math" w:eastAsia="Times New Roman" w:hAnsi="Cambria Math" w:cs="Times New Roman"/>
                      <w:color w:val="000000"/>
                      <w:sz w:val="19"/>
                      <w:szCs w:val="19"/>
                    </w:rPr>
                    <m:t>LRVI</m:t>
                  </m:r>
                </m:sub>
              </m:sSub>
            </m:oMath>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-3.12</w:t>
            </w: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-2.44</w:t>
            </w: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0.23</w:t>
            </w: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-1.20</w:t>
            </w: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r w:rsidRPr="00CB2DE6">
              <w:rPr>
                <w:rFonts w:ascii="Times New Roman" w:eastAsia="Times New Roman" w:hAnsi="Times New Roman" w:cs="Times New Roman"/>
                <w:bCs/>
                <w:color w:val="000000"/>
                <w:sz w:val="19"/>
                <w:szCs w:val="19"/>
              </w:rPr>
              <w:t>6.89</w:t>
            </w: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p>
        </w:tc>
        <w:tc>
          <w:tcPr>
            <w:tcW w:w="0" w:type="auto"/>
            <w:tcBorders>
              <w:bottom w:val="single" w:sz="4" w:space="0" w:color="auto"/>
            </w:tcBorders>
            <w:shd w:val="clear" w:color="auto" w:fill="auto"/>
            <w:noWrap/>
            <w:vAlign w:val="bottom"/>
          </w:tcPr>
          <w:p w:rsidR="00FF3CB8" w:rsidRPr="00CB2DE6" w:rsidRDefault="00FF3CB8" w:rsidP="00F11691">
            <w:pPr>
              <w:spacing w:after="120"/>
              <w:jc w:val="right"/>
              <w:rPr>
                <w:rFonts w:ascii="Times New Roman" w:eastAsia="Times New Roman" w:hAnsi="Times New Roman" w:cs="Times New Roman"/>
                <w:bCs/>
                <w:color w:val="000000"/>
                <w:sz w:val="19"/>
                <w:szCs w:val="19"/>
              </w:rPr>
            </w:pPr>
          </w:p>
        </w:tc>
      </w:tr>
    </w:tbl>
    <w:p w:rsidR="00FF3CB8" w:rsidRPr="00CB2DE6" w:rsidRDefault="00FF3CB8" w:rsidP="00FF3CB8">
      <w:pPr>
        <w:rPr>
          <w:rFonts w:ascii="Times New Roman" w:hAnsi="Times New Roman" w:cs="Times New Roman"/>
          <w:b/>
          <w:sz w:val="24"/>
          <w:szCs w:val="24"/>
        </w:rPr>
      </w:pPr>
    </w:p>
    <w:p w:rsidR="00FF3CB8" w:rsidRPr="00CB2DE6" w:rsidRDefault="00FF3CB8" w:rsidP="00FF3CB8">
      <w:pPr>
        <w:rPr>
          <w:rFonts w:ascii="Times New Roman" w:hAnsi="Times New Roman" w:cs="Times New Roman"/>
          <w:b/>
          <w:sz w:val="24"/>
          <w:szCs w:val="24"/>
        </w:rPr>
      </w:pPr>
    </w:p>
    <w:p w:rsidR="00FF3CB8" w:rsidRPr="00CB2DE6" w:rsidRDefault="00FF3CB8" w:rsidP="00FF3CB8">
      <w:pPr>
        <w:rPr>
          <w:rFonts w:ascii="Times New Roman" w:hAnsi="Times New Roman" w:cs="Times New Roman"/>
          <w:b/>
          <w:sz w:val="24"/>
          <w:szCs w:val="24"/>
        </w:rPr>
      </w:pPr>
    </w:p>
    <w:p w:rsidR="00FF3CB8" w:rsidRPr="00CB2DE6" w:rsidRDefault="00FF3CB8">
      <w:pPr>
        <w:rPr>
          <w:rFonts w:ascii="Times New Roman" w:hAnsi="Times New Roman" w:cs="Times New Roman"/>
          <w:b/>
          <w:sz w:val="24"/>
          <w:szCs w:val="24"/>
        </w:rPr>
      </w:pPr>
    </w:p>
    <w:p w:rsidR="00FF3CB8" w:rsidRPr="00CB2DE6" w:rsidRDefault="00FF3CB8">
      <w:pPr>
        <w:rPr>
          <w:rFonts w:ascii="Times New Roman" w:hAnsi="Times New Roman" w:cs="Times New Roman"/>
          <w:b/>
          <w:sz w:val="24"/>
          <w:szCs w:val="24"/>
        </w:rPr>
      </w:pPr>
      <w:r w:rsidRPr="00CB2DE6">
        <w:rPr>
          <w:rFonts w:ascii="Times New Roman" w:hAnsi="Times New Roman" w:cs="Times New Roman"/>
          <w:b/>
          <w:sz w:val="24"/>
          <w:szCs w:val="24"/>
        </w:rPr>
        <w:br w:type="page"/>
      </w:r>
    </w:p>
    <w:p w:rsidR="00AF5360" w:rsidRPr="00CB2DE6" w:rsidRDefault="00354030" w:rsidP="00D11463">
      <w:pPr>
        <w:jc w:val="center"/>
        <w:rPr>
          <w:rFonts w:ascii="Times New Roman" w:hAnsi="Times New Roman" w:cs="Times New Roman"/>
          <w:b/>
          <w:sz w:val="24"/>
          <w:szCs w:val="24"/>
        </w:rPr>
      </w:pPr>
      <w:r w:rsidRPr="00CB2DE6">
        <w:rPr>
          <w:rFonts w:ascii="Times New Roman" w:hAnsi="Times New Roman" w:cs="Times New Roman"/>
          <w:b/>
          <w:sz w:val="24"/>
          <w:szCs w:val="24"/>
        </w:rPr>
        <w:lastRenderedPageBreak/>
        <w:t xml:space="preserve">Figure </w:t>
      </w:r>
      <w:r w:rsidR="00550029">
        <w:rPr>
          <w:rFonts w:ascii="Times New Roman" w:hAnsi="Times New Roman" w:cs="Times New Roman"/>
          <w:b/>
          <w:sz w:val="24"/>
          <w:szCs w:val="24"/>
        </w:rPr>
        <w:t>1</w:t>
      </w:r>
    </w:p>
    <w:p w:rsidR="00354030" w:rsidRPr="00CB2DE6" w:rsidRDefault="00C844C2" w:rsidP="00D11463">
      <w:pPr>
        <w:jc w:val="center"/>
        <w:rPr>
          <w:rFonts w:ascii="Times New Roman" w:hAnsi="Times New Roman" w:cs="Times New Roman"/>
          <w:b/>
          <w:sz w:val="24"/>
          <w:szCs w:val="24"/>
        </w:rPr>
      </w:pPr>
      <w:r w:rsidRPr="00CB2DE6">
        <w:rPr>
          <w:rFonts w:ascii="Times New Roman" w:hAnsi="Times New Roman" w:cs="Times New Roman"/>
          <w:b/>
          <w:sz w:val="24"/>
          <w:szCs w:val="24"/>
        </w:rPr>
        <w:t xml:space="preserve">Global FX </w:t>
      </w:r>
      <w:r w:rsidR="00B14AE3" w:rsidRPr="00CB2DE6">
        <w:rPr>
          <w:rFonts w:ascii="Times New Roman" w:hAnsi="Times New Roman" w:cs="Times New Roman"/>
          <w:b/>
          <w:sz w:val="24"/>
          <w:szCs w:val="24"/>
        </w:rPr>
        <w:t>Volatility</w:t>
      </w:r>
      <w:r w:rsidRPr="00CB2DE6">
        <w:rPr>
          <w:rFonts w:ascii="Times New Roman" w:hAnsi="Times New Roman" w:cs="Times New Roman"/>
          <w:b/>
          <w:sz w:val="24"/>
          <w:szCs w:val="24"/>
        </w:rPr>
        <w:t xml:space="preserve"> Components</w:t>
      </w:r>
    </w:p>
    <w:p w:rsidR="00E003E5" w:rsidRPr="00CB2DE6" w:rsidRDefault="00370AC0" w:rsidP="00D11463">
      <w:pPr>
        <w:spacing w:before="180" w:after="180"/>
        <w:jc w:val="center"/>
        <w:rPr>
          <w:rFonts w:ascii="Times New Roman" w:hAnsi="Times New Roman" w:cs="Times New Roman"/>
          <w:sz w:val="24"/>
          <w:szCs w:val="24"/>
        </w:rPr>
      </w:pPr>
      <w:r w:rsidRPr="00CB2DE6">
        <w:rPr>
          <w:rFonts w:ascii="Times New Roman" w:hAnsi="Times New Roman" w:cs="Times New Roman"/>
          <w:sz w:val="24"/>
          <w:szCs w:val="24"/>
        </w:rPr>
        <w:object w:dxaOrig="7104" w:dyaOrig="4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243.5pt" o:ole="">
            <v:imagedata r:id="rId23" o:title=""/>
          </v:shape>
          <o:OLEObject Type="Embed" ProgID="EViews.Workfile.2" ShapeID="_x0000_i1025" DrawAspect="Content" ObjectID="_1532716499" r:id="rId24"/>
        </w:object>
      </w:r>
    </w:p>
    <w:p w:rsidR="00D11463" w:rsidRPr="00CB2DE6" w:rsidRDefault="00D11463" w:rsidP="00D11463">
      <w:pPr>
        <w:jc w:val="center"/>
        <w:rPr>
          <w:rFonts w:ascii="Times New Roman" w:hAnsi="Times New Roman" w:cs="Times New Roman"/>
          <w:sz w:val="24"/>
          <w:szCs w:val="24"/>
        </w:rPr>
      </w:pPr>
    </w:p>
    <w:p w:rsidR="00E003E5" w:rsidRPr="00CB2DE6" w:rsidRDefault="00370AC0" w:rsidP="003C3BCF">
      <w:pPr>
        <w:spacing w:after="240"/>
        <w:jc w:val="center"/>
        <w:rPr>
          <w:rFonts w:ascii="Times New Roman" w:hAnsi="Times New Roman" w:cs="Times New Roman"/>
          <w:b/>
          <w:sz w:val="24"/>
          <w:szCs w:val="24"/>
        </w:rPr>
      </w:pPr>
      <w:r w:rsidRPr="00CB2DE6">
        <w:rPr>
          <w:rFonts w:ascii="Times New Roman" w:hAnsi="Times New Roman" w:cs="Times New Roman"/>
          <w:sz w:val="24"/>
          <w:szCs w:val="24"/>
        </w:rPr>
        <w:object w:dxaOrig="7044" w:dyaOrig="4920">
          <v:shape id="_x0000_i1026" type="#_x0000_t75" style="width:350.85pt;height:243.5pt" o:ole="">
            <v:imagedata r:id="rId25" o:title=""/>
          </v:shape>
          <o:OLEObject Type="Embed" ProgID="EViews.Workfile.2" ShapeID="_x0000_i1026" DrawAspect="Content" ObjectID="_1532716500" r:id="rId26"/>
        </w:object>
      </w:r>
    </w:p>
    <w:p w:rsidR="00354030" w:rsidRPr="00CB2DE6" w:rsidRDefault="00354030" w:rsidP="003C3BCF">
      <w:pPr>
        <w:jc w:val="both"/>
        <w:rPr>
          <w:rFonts w:ascii="Times New Roman" w:hAnsi="Times New Roman" w:cs="Times New Roman"/>
          <w:sz w:val="20"/>
          <w:szCs w:val="20"/>
        </w:rPr>
      </w:pPr>
      <w:r w:rsidRPr="00CB2DE6">
        <w:rPr>
          <w:rFonts w:ascii="Times New Roman" w:hAnsi="Times New Roman" w:cs="Times New Roman"/>
          <w:sz w:val="20"/>
          <w:szCs w:val="20"/>
        </w:rPr>
        <w:t xml:space="preserve">The upper and lower panels of the figure plot the </w:t>
      </w:r>
      <w:r w:rsidR="00B14AE3" w:rsidRPr="00CB2DE6">
        <w:rPr>
          <w:rFonts w:ascii="Times New Roman" w:hAnsi="Times New Roman" w:cs="Times New Roman"/>
          <w:sz w:val="20"/>
          <w:szCs w:val="20"/>
        </w:rPr>
        <w:t xml:space="preserve">estimated </w:t>
      </w:r>
      <w:r w:rsidRPr="00CB2DE6">
        <w:rPr>
          <w:rFonts w:ascii="Times New Roman" w:hAnsi="Times New Roman" w:cs="Times New Roman"/>
          <w:sz w:val="20"/>
          <w:szCs w:val="20"/>
        </w:rPr>
        <w:t xml:space="preserve">short- and </w:t>
      </w:r>
      <w:r w:rsidR="004C2474" w:rsidRPr="00CB2DE6">
        <w:rPr>
          <w:rFonts w:ascii="Times New Roman" w:hAnsi="Times New Roman" w:cs="Times New Roman"/>
          <w:sz w:val="20"/>
          <w:szCs w:val="20"/>
        </w:rPr>
        <w:t>long-</w:t>
      </w:r>
      <w:r w:rsidR="00AF775A" w:rsidRPr="00CB2DE6">
        <w:rPr>
          <w:rFonts w:ascii="Times New Roman" w:hAnsi="Times New Roman" w:cs="Times New Roman"/>
          <w:sz w:val="20"/>
          <w:szCs w:val="20"/>
        </w:rPr>
        <w:t xml:space="preserve">run </w:t>
      </w:r>
      <w:r w:rsidRPr="00CB2DE6">
        <w:rPr>
          <w:rFonts w:ascii="Times New Roman" w:hAnsi="Times New Roman" w:cs="Times New Roman"/>
          <w:sz w:val="20"/>
          <w:szCs w:val="20"/>
        </w:rPr>
        <w:t xml:space="preserve">components of </w:t>
      </w:r>
      <w:r w:rsidR="002C4BDF" w:rsidRPr="00CB2DE6">
        <w:rPr>
          <w:rFonts w:ascii="Times New Roman" w:hAnsi="Times New Roman" w:cs="Times New Roman"/>
          <w:sz w:val="20"/>
          <w:szCs w:val="20"/>
        </w:rPr>
        <w:t xml:space="preserve">global </w:t>
      </w:r>
      <w:r w:rsidRPr="00CB2DE6">
        <w:rPr>
          <w:rFonts w:ascii="Times New Roman" w:hAnsi="Times New Roman" w:cs="Times New Roman"/>
          <w:sz w:val="20"/>
          <w:szCs w:val="20"/>
        </w:rPr>
        <w:t>FX volatility at a monthly frequency, respectively. The short-</w:t>
      </w:r>
      <w:r w:rsidR="00EA13C6" w:rsidRPr="00CB2DE6">
        <w:rPr>
          <w:rFonts w:ascii="Times New Roman" w:hAnsi="Times New Roman" w:cs="Times New Roman"/>
          <w:sz w:val="20"/>
          <w:szCs w:val="20"/>
        </w:rPr>
        <w:t xml:space="preserve"> </w:t>
      </w:r>
      <w:r w:rsidRPr="00CB2DE6">
        <w:rPr>
          <w:rFonts w:ascii="Times New Roman" w:hAnsi="Times New Roman" w:cs="Times New Roman"/>
          <w:sz w:val="20"/>
          <w:szCs w:val="20"/>
        </w:rPr>
        <w:t xml:space="preserve">and </w:t>
      </w:r>
      <w:r w:rsidR="004C2474" w:rsidRPr="00CB2DE6">
        <w:rPr>
          <w:rFonts w:ascii="Times New Roman" w:hAnsi="Times New Roman" w:cs="Times New Roman"/>
          <w:sz w:val="20"/>
          <w:szCs w:val="20"/>
        </w:rPr>
        <w:t>long-</w:t>
      </w:r>
      <w:r w:rsidR="00AF775A" w:rsidRPr="00CB2DE6">
        <w:rPr>
          <w:rFonts w:ascii="Times New Roman" w:hAnsi="Times New Roman" w:cs="Times New Roman"/>
          <w:sz w:val="20"/>
          <w:szCs w:val="20"/>
        </w:rPr>
        <w:t xml:space="preserve">run </w:t>
      </w:r>
      <w:r w:rsidRPr="00CB2DE6">
        <w:rPr>
          <w:rFonts w:ascii="Times New Roman" w:hAnsi="Times New Roman" w:cs="Times New Roman"/>
          <w:sz w:val="20"/>
          <w:szCs w:val="20"/>
        </w:rPr>
        <w:t xml:space="preserve">components are from the </w:t>
      </w:r>
      <w:r w:rsidR="00AF775A" w:rsidRPr="00CB2DE6">
        <w:rPr>
          <w:rFonts w:ascii="Times New Roman" w:hAnsi="Times New Roman" w:cs="Times New Roman"/>
          <w:sz w:val="20"/>
          <w:szCs w:val="20"/>
        </w:rPr>
        <w:t>C</w:t>
      </w:r>
      <w:r w:rsidR="00AC0351" w:rsidRPr="00CB2DE6">
        <w:rPr>
          <w:rFonts w:ascii="Times New Roman" w:hAnsi="Times New Roman" w:cs="Times New Roman"/>
          <w:sz w:val="20"/>
          <w:szCs w:val="20"/>
        </w:rPr>
        <w:t>GARCH</w:t>
      </w:r>
      <w:r w:rsidR="00843268" w:rsidRPr="00CB2DE6">
        <w:rPr>
          <w:rFonts w:ascii="Times New Roman" w:hAnsi="Times New Roman" w:cs="Times New Roman"/>
          <w:sz w:val="20"/>
          <w:szCs w:val="20"/>
        </w:rPr>
        <w:t xml:space="preserve"> </w:t>
      </w:r>
      <w:r w:rsidR="00CE456C" w:rsidRPr="00CB2DE6">
        <w:rPr>
          <w:rFonts w:ascii="Times New Roman" w:hAnsi="Times New Roman" w:cs="Times New Roman"/>
          <w:sz w:val="20"/>
          <w:szCs w:val="20"/>
        </w:rPr>
        <w:t xml:space="preserve">model </w:t>
      </w:r>
      <w:r w:rsidR="002C4BDF" w:rsidRPr="00CB2DE6">
        <w:rPr>
          <w:rFonts w:ascii="Times New Roman" w:hAnsi="Times New Roman" w:cs="Times New Roman"/>
          <w:sz w:val="20"/>
          <w:szCs w:val="20"/>
        </w:rPr>
        <w:t xml:space="preserve">reported in Table </w:t>
      </w:r>
      <w:r w:rsidR="00AF775A" w:rsidRPr="00CB2DE6">
        <w:rPr>
          <w:rFonts w:ascii="Times New Roman" w:hAnsi="Times New Roman" w:cs="Times New Roman"/>
          <w:sz w:val="20"/>
          <w:szCs w:val="20"/>
        </w:rPr>
        <w:t>2</w:t>
      </w:r>
      <w:r w:rsidR="002C4BDF" w:rsidRPr="00CB2DE6">
        <w:rPr>
          <w:rFonts w:ascii="Times New Roman" w:hAnsi="Times New Roman" w:cs="Times New Roman"/>
          <w:sz w:val="20"/>
          <w:szCs w:val="20"/>
        </w:rPr>
        <w:t xml:space="preserve">. </w:t>
      </w:r>
      <w:r w:rsidR="00091BE4" w:rsidRPr="00CB2DE6">
        <w:rPr>
          <w:rFonts w:ascii="Times New Roman" w:hAnsi="Times New Roman" w:cs="Times New Roman"/>
          <w:sz w:val="20"/>
          <w:szCs w:val="20"/>
        </w:rPr>
        <w:t xml:space="preserve">Shaded areas </w:t>
      </w:r>
      <w:r w:rsidR="00332888" w:rsidRPr="00CB2DE6">
        <w:rPr>
          <w:rFonts w:ascii="Times New Roman" w:hAnsi="Times New Roman" w:cs="Times New Roman"/>
          <w:sz w:val="20"/>
          <w:szCs w:val="20"/>
        </w:rPr>
        <w:t xml:space="preserve">represent </w:t>
      </w:r>
      <w:r w:rsidR="00550029" w:rsidRPr="00CB2DE6">
        <w:rPr>
          <w:rFonts w:ascii="Times New Roman" w:hAnsi="Times New Roman" w:cs="Times New Roman"/>
          <w:sz w:val="20"/>
          <w:szCs w:val="20"/>
        </w:rPr>
        <w:t xml:space="preserve">the National Bureau of Economic Research </w:t>
      </w:r>
      <w:r w:rsidR="00332888" w:rsidRPr="00CB2DE6">
        <w:rPr>
          <w:rFonts w:ascii="Times New Roman" w:hAnsi="Times New Roman" w:cs="Times New Roman"/>
          <w:sz w:val="20"/>
          <w:szCs w:val="20"/>
        </w:rPr>
        <w:t>recessions</w:t>
      </w:r>
      <w:r w:rsidR="00091BE4" w:rsidRPr="00CB2DE6">
        <w:rPr>
          <w:rFonts w:ascii="Times New Roman" w:hAnsi="Times New Roman" w:cs="Times New Roman"/>
          <w:sz w:val="20"/>
          <w:szCs w:val="20"/>
        </w:rPr>
        <w:t xml:space="preserve">. </w:t>
      </w:r>
      <w:r w:rsidRPr="00CB2DE6">
        <w:rPr>
          <w:rFonts w:ascii="Times New Roman" w:hAnsi="Times New Roman" w:cs="Times New Roman"/>
          <w:sz w:val="20"/>
          <w:szCs w:val="20"/>
        </w:rPr>
        <w:t xml:space="preserve">The sample period </w:t>
      </w:r>
      <w:r w:rsidR="00843268" w:rsidRPr="00CB2DE6">
        <w:rPr>
          <w:rFonts w:ascii="Times New Roman" w:hAnsi="Times New Roman" w:cs="Times New Roman"/>
          <w:sz w:val="20"/>
          <w:szCs w:val="20"/>
        </w:rPr>
        <w:t xml:space="preserve">is </w:t>
      </w:r>
      <w:r w:rsidRPr="00CB2DE6">
        <w:rPr>
          <w:rFonts w:ascii="Times New Roman" w:hAnsi="Times New Roman" w:cs="Times New Roman"/>
          <w:sz w:val="20"/>
          <w:szCs w:val="20"/>
        </w:rPr>
        <w:t xml:space="preserve">from </w:t>
      </w:r>
      <w:r w:rsidR="00F61531" w:rsidRPr="00CB2DE6">
        <w:rPr>
          <w:rFonts w:ascii="Times New Roman" w:hAnsi="Times New Roman" w:cs="Times New Roman"/>
          <w:sz w:val="20"/>
          <w:szCs w:val="20"/>
        </w:rPr>
        <w:t xml:space="preserve">November 1983 </w:t>
      </w:r>
      <w:r w:rsidRPr="00CB2DE6">
        <w:rPr>
          <w:rFonts w:ascii="Times New Roman" w:hAnsi="Times New Roman" w:cs="Times New Roman"/>
          <w:sz w:val="20"/>
          <w:szCs w:val="20"/>
        </w:rPr>
        <w:t>to February 2013.</w:t>
      </w:r>
    </w:p>
    <w:p w:rsidR="00196DF5" w:rsidRPr="00CB2DE6" w:rsidRDefault="00196DF5" w:rsidP="00F82F54">
      <w:pPr>
        <w:jc w:val="both"/>
        <w:rPr>
          <w:rFonts w:ascii="Times New Roman" w:hAnsi="Times New Roman" w:cs="Times New Roman"/>
          <w:b/>
          <w:noProof/>
          <w:sz w:val="24"/>
          <w:szCs w:val="24"/>
          <w:lang w:eastAsia="en-GB"/>
        </w:rPr>
      </w:pPr>
      <w:r w:rsidRPr="00CB2DE6">
        <w:rPr>
          <w:rFonts w:ascii="Times New Roman" w:hAnsi="Times New Roman" w:cs="Times New Roman"/>
          <w:b/>
          <w:noProof/>
          <w:sz w:val="24"/>
          <w:szCs w:val="24"/>
          <w:lang w:eastAsia="en-GB"/>
        </w:rPr>
        <w:br w:type="page"/>
      </w:r>
    </w:p>
    <w:p w:rsidR="00E82CC1" w:rsidRPr="00CB2DE6" w:rsidRDefault="00E82CC1" w:rsidP="00E82CC1">
      <w:pPr>
        <w:tabs>
          <w:tab w:val="left" w:pos="8222"/>
        </w:tabs>
        <w:jc w:val="center"/>
        <w:rPr>
          <w:rFonts w:ascii="Times New Roman" w:hAnsi="Times New Roman" w:cs="Times New Roman"/>
          <w:b/>
          <w:sz w:val="24"/>
          <w:szCs w:val="24"/>
        </w:rPr>
      </w:pPr>
      <w:r w:rsidRPr="00CB2DE6">
        <w:rPr>
          <w:rFonts w:ascii="Times New Roman" w:hAnsi="Times New Roman" w:cs="Times New Roman"/>
          <w:b/>
          <w:sz w:val="24"/>
          <w:szCs w:val="24"/>
        </w:rPr>
        <w:lastRenderedPageBreak/>
        <w:t xml:space="preserve">Figure </w:t>
      </w:r>
      <w:r w:rsidR="00550029">
        <w:rPr>
          <w:rFonts w:ascii="Times New Roman" w:hAnsi="Times New Roman" w:cs="Times New Roman"/>
          <w:b/>
          <w:sz w:val="24"/>
          <w:szCs w:val="24"/>
        </w:rPr>
        <w:t>2</w:t>
      </w:r>
    </w:p>
    <w:p w:rsidR="00E82CC1" w:rsidRPr="00CB2DE6" w:rsidRDefault="00E82CC1" w:rsidP="00E82CC1">
      <w:pPr>
        <w:jc w:val="center"/>
        <w:rPr>
          <w:rFonts w:ascii="Times New Roman" w:eastAsiaTheme="minorHAnsi" w:hAnsi="Times New Roman" w:cs="Times New Roman"/>
          <w:b/>
          <w:sz w:val="24"/>
          <w:szCs w:val="24"/>
          <w:lang w:val="en-GB" w:eastAsia="en-US"/>
        </w:rPr>
      </w:pPr>
      <w:r w:rsidRPr="00CB2DE6">
        <w:rPr>
          <w:rFonts w:ascii="Times New Roman" w:eastAsiaTheme="minorHAnsi" w:hAnsi="Times New Roman" w:cs="Times New Roman"/>
          <w:b/>
          <w:sz w:val="24"/>
          <w:szCs w:val="24"/>
          <w:lang w:val="en-GB" w:eastAsia="en-US"/>
        </w:rPr>
        <w:t>Impulse Response Functions for Shock</w:t>
      </w:r>
      <w:r w:rsidR="00AE2C57">
        <w:rPr>
          <w:rFonts w:ascii="Times New Roman" w:eastAsiaTheme="minorHAnsi" w:hAnsi="Times New Roman" w:cs="Times New Roman"/>
          <w:b/>
          <w:sz w:val="24"/>
          <w:szCs w:val="24"/>
          <w:lang w:val="en-GB" w:eastAsia="en-US"/>
        </w:rPr>
        <w:t>s</w:t>
      </w:r>
      <w:r w:rsidRPr="00CB2DE6">
        <w:rPr>
          <w:rFonts w:ascii="Times New Roman" w:eastAsiaTheme="minorHAnsi" w:hAnsi="Times New Roman" w:cs="Times New Roman"/>
          <w:b/>
          <w:sz w:val="24"/>
          <w:szCs w:val="24"/>
          <w:lang w:val="en-GB" w:eastAsia="en-US"/>
        </w:rPr>
        <w:t xml:space="preserve"> to Macroeconomic Fundamentals</w:t>
      </w:r>
    </w:p>
    <w:p w:rsidR="00E82CC1" w:rsidRPr="00CB2DE6" w:rsidRDefault="00E82CC1" w:rsidP="00E82CC1">
      <w:pPr>
        <w:jc w:val="center"/>
        <w:rPr>
          <w:rFonts w:ascii="Times New Roman" w:hAnsi="Times New Roman" w:cs="Times New Roman"/>
          <w:b/>
          <w:sz w:val="24"/>
          <w:szCs w:val="24"/>
        </w:rPr>
      </w:pPr>
    </w:p>
    <w:p w:rsidR="00E82CC1" w:rsidRPr="00CB2DE6" w:rsidRDefault="00337174" w:rsidP="006D1042">
      <w:pPr>
        <w:tabs>
          <w:tab w:val="left" w:pos="7938"/>
          <w:tab w:val="left" w:pos="8080"/>
        </w:tabs>
        <w:jc w:val="center"/>
        <w:rPr>
          <w:rFonts w:ascii="Times New Roman" w:hAnsi="Times New Roman" w:cs="Times New Roman"/>
          <w:sz w:val="24"/>
          <w:szCs w:val="24"/>
        </w:rPr>
      </w:pPr>
      <w:r w:rsidRPr="00CB2DE6">
        <w:rPr>
          <w:rFonts w:ascii="Times New Roman" w:hAnsi="Times New Roman" w:cs="Times New Roman"/>
          <w:sz w:val="24"/>
          <w:szCs w:val="24"/>
        </w:rPr>
        <w:object w:dxaOrig="7896" w:dyaOrig="4908">
          <v:shape id="_x0000_i1027" type="#_x0000_t75" style="width:374.4pt;height:244.8pt" o:ole="">
            <v:imagedata r:id="rId27" o:title=""/>
          </v:shape>
          <o:OLEObject Type="Embed" ProgID="EViews.Workfile.2" ShapeID="_x0000_i1027" DrawAspect="Content" ObjectID="_1532716501" r:id="rId28"/>
        </w:object>
      </w:r>
    </w:p>
    <w:p w:rsidR="006D1042" w:rsidRPr="00CB2DE6" w:rsidRDefault="006D1042" w:rsidP="006D1042">
      <w:pPr>
        <w:tabs>
          <w:tab w:val="left" w:pos="7938"/>
          <w:tab w:val="left" w:pos="8080"/>
        </w:tabs>
        <w:jc w:val="center"/>
        <w:rPr>
          <w:rFonts w:ascii="Times New Roman" w:hAnsi="Times New Roman" w:cs="Times New Roman"/>
          <w:sz w:val="24"/>
          <w:szCs w:val="24"/>
        </w:rPr>
      </w:pPr>
    </w:p>
    <w:p w:rsidR="00E82CC1" w:rsidRPr="00CB2DE6" w:rsidRDefault="00337174" w:rsidP="006D1042">
      <w:pPr>
        <w:tabs>
          <w:tab w:val="left" w:pos="7938"/>
          <w:tab w:val="left" w:pos="8080"/>
        </w:tabs>
        <w:spacing w:before="240" w:after="240"/>
        <w:jc w:val="center"/>
        <w:rPr>
          <w:rFonts w:ascii="Times New Roman" w:eastAsiaTheme="minorHAnsi" w:hAnsi="Times New Roman" w:cs="Times New Roman"/>
          <w:b/>
          <w:sz w:val="24"/>
          <w:szCs w:val="24"/>
          <w:lang w:val="en-GB" w:eastAsia="en-US"/>
        </w:rPr>
      </w:pPr>
      <w:r w:rsidRPr="00CB2DE6">
        <w:rPr>
          <w:rFonts w:ascii="Times New Roman" w:hAnsi="Times New Roman" w:cs="Times New Roman"/>
          <w:sz w:val="24"/>
          <w:szCs w:val="24"/>
        </w:rPr>
        <w:object w:dxaOrig="8124" w:dyaOrig="5052">
          <v:shape id="_x0000_i1028" type="#_x0000_t75" style="width:374.4pt;height:252pt" o:ole="">
            <v:imagedata r:id="rId29" o:title=""/>
          </v:shape>
          <o:OLEObject Type="Embed" ProgID="EViews.Workfile.2" ShapeID="_x0000_i1028" DrawAspect="Content" ObjectID="_1532716502" r:id="rId30"/>
        </w:object>
      </w:r>
    </w:p>
    <w:p w:rsidR="00E82CC1" w:rsidRPr="00CB2DE6" w:rsidRDefault="00440B3E" w:rsidP="006D1042">
      <w:pPr>
        <w:tabs>
          <w:tab w:val="left" w:pos="7938"/>
          <w:tab w:val="left" w:pos="8080"/>
        </w:tabs>
        <w:jc w:val="both"/>
        <w:rPr>
          <w:rFonts w:ascii="Times New Roman" w:hAnsi="Times New Roman" w:cs="Times New Roman"/>
          <w:b/>
          <w:sz w:val="24"/>
          <w:szCs w:val="24"/>
        </w:rPr>
      </w:pPr>
      <w:r w:rsidRPr="00CB2DE6">
        <w:rPr>
          <w:rFonts w:ascii="Times New Roman" w:eastAsiaTheme="minorHAnsi" w:hAnsi="Times New Roman" w:cs="Times New Roman"/>
          <w:sz w:val="20"/>
          <w:szCs w:val="20"/>
          <w:lang w:val="en-GB" w:eastAsia="en-US"/>
        </w:rPr>
        <w:t xml:space="preserve">The upper panel </w:t>
      </w:r>
      <w:r w:rsidR="00AE2C57">
        <w:rPr>
          <w:rFonts w:ascii="Times New Roman" w:eastAsiaTheme="minorHAnsi" w:hAnsi="Times New Roman" w:cs="Times New Roman"/>
          <w:sz w:val="20"/>
          <w:szCs w:val="20"/>
          <w:lang w:val="en-GB" w:eastAsia="en-US"/>
        </w:rPr>
        <w:t xml:space="preserve">of the figure </w:t>
      </w:r>
      <w:r w:rsidRPr="00CB2DE6">
        <w:rPr>
          <w:rFonts w:ascii="Times New Roman" w:eastAsiaTheme="minorHAnsi" w:hAnsi="Times New Roman" w:cs="Times New Roman"/>
          <w:sz w:val="20"/>
          <w:szCs w:val="20"/>
          <w:lang w:val="en-GB" w:eastAsia="en-US"/>
        </w:rPr>
        <w:t>plots impulse response function (IRF) for a unit positive shock to industrial production growth (IP) with the 95% confidence intervals. T</w:t>
      </w:r>
      <w:r w:rsidR="00E82CC1" w:rsidRPr="00CB2DE6">
        <w:rPr>
          <w:rFonts w:ascii="Times New Roman" w:eastAsiaTheme="minorHAnsi" w:hAnsi="Times New Roman" w:cs="Times New Roman"/>
          <w:sz w:val="20"/>
          <w:szCs w:val="20"/>
          <w:lang w:val="en-GB" w:eastAsia="en-US"/>
        </w:rPr>
        <w:t>he lowe</w:t>
      </w:r>
      <w:r w:rsidRPr="00CB2DE6">
        <w:rPr>
          <w:rFonts w:ascii="Times New Roman" w:eastAsiaTheme="minorHAnsi" w:hAnsi="Times New Roman" w:cs="Times New Roman"/>
          <w:sz w:val="20"/>
          <w:szCs w:val="20"/>
          <w:lang w:val="en-GB" w:eastAsia="en-US"/>
        </w:rPr>
        <w:t>r</w:t>
      </w:r>
      <w:r w:rsidR="00E82CC1" w:rsidRPr="00CB2DE6">
        <w:rPr>
          <w:rFonts w:ascii="Times New Roman" w:eastAsiaTheme="minorHAnsi" w:hAnsi="Times New Roman" w:cs="Times New Roman"/>
          <w:sz w:val="20"/>
          <w:szCs w:val="20"/>
          <w:lang w:val="en-GB" w:eastAsia="en-US"/>
        </w:rPr>
        <w:t xml:space="preserve"> panel plots IRF for a unit positive shock to money balances growth (MB) with the 95% confidence intervals. The (endogenous) variables of VAR(3) are IP, </w:t>
      </w:r>
      <w:r w:rsidRPr="00CB2DE6">
        <w:rPr>
          <w:rFonts w:ascii="Times New Roman" w:eastAsiaTheme="minorHAnsi" w:hAnsi="Times New Roman" w:cs="Times New Roman"/>
          <w:sz w:val="20"/>
          <w:szCs w:val="20"/>
          <w:lang w:val="en-GB" w:eastAsia="en-US"/>
        </w:rPr>
        <w:t xml:space="preserve">MB, </w:t>
      </w:r>
      <w:r w:rsidR="00E82CC1" w:rsidRPr="00CB2DE6">
        <w:rPr>
          <w:rFonts w:ascii="Times New Roman" w:eastAsiaTheme="minorHAnsi" w:hAnsi="Times New Roman" w:cs="Times New Roman"/>
          <w:sz w:val="20"/>
          <w:szCs w:val="20"/>
          <w:lang w:val="en-GB" w:eastAsia="en-US"/>
        </w:rPr>
        <w:t xml:space="preserve">and long-run component (LRV) </w:t>
      </w:r>
      <w:r w:rsidRPr="00CB2DE6">
        <w:rPr>
          <w:rFonts w:ascii="Times New Roman" w:eastAsiaTheme="minorHAnsi" w:hAnsi="Times New Roman" w:cs="Times New Roman"/>
          <w:sz w:val="20"/>
          <w:szCs w:val="20"/>
          <w:lang w:val="en-GB" w:eastAsia="en-US"/>
        </w:rPr>
        <w:t xml:space="preserve">of global FX volatility. </w:t>
      </w:r>
      <w:r w:rsidR="00E82CC1" w:rsidRPr="00CB2DE6">
        <w:rPr>
          <w:rFonts w:ascii="Times New Roman" w:eastAsiaTheme="minorHAnsi" w:hAnsi="Times New Roman" w:cs="Times New Roman"/>
          <w:sz w:val="20"/>
          <w:szCs w:val="20"/>
          <w:lang w:val="en-GB" w:eastAsia="en-US"/>
        </w:rPr>
        <w:t>The IRFs are generated through 10,000 Monte Carlo random draws from the orthogonalized residuals with the Choleski ordering</w:t>
      </w:r>
      <w:r w:rsidRPr="00CB2DE6">
        <w:rPr>
          <w:rFonts w:ascii="Times New Roman" w:eastAsiaTheme="minorHAnsi" w:hAnsi="Times New Roman" w:cs="Times New Roman"/>
          <w:sz w:val="20"/>
          <w:szCs w:val="20"/>
          <w:lang w:val="en-GB" w:eastAsia="en-US"/>
        </w:rPr>
        <w:t xml:space="preserve"> of </w:t>
      </w:r>
      <w:r w:rsidR="00E82CC1" w:rsidRPr="00CB2DE6">
        <w:rPr>
          <w:rFonts w:ascii="Times New Roman" w:eastAsiaTheme="minorHAnsi" w:hAnsi="Times New Roman" w:cs="Times New Roman"/>
          <w:sz w:val="20"/>
          <w:szCs w:val="20"/>
          <w:lang w:val="en-GB" w:eastAsia="en-US"/>
        </w:rPr>
        <w:t>MB, IP, LRV.</w:t>
      </w:r>
    </w:p>
    <w:p w:rsidR="00E12E7C" w:rsidRPr="00CB2DE6" w:rsidRDefault="00E12E7C" w:rsidP="00E82CC1">
      <w:pPr>
        <w:jc w:val="center"/>
        <w:rPr>
          <w:rFonts w:ascii="Times New Roman" w:eastAsiaTheme="minorHAnsi" w:hAnsi="Times New Roman" w:cs="Times New Roman"/>
          <w:sz w:val="20"/>
          <w:szCs w:val="20"/>
          <w:lang w:val="en-GB" w:eastAsia="en-US"/>
        </w:rPr>
      </w:pPr>
      <w:bookmarkStart w:id="0" w:name="_GoBack"/>
      <w:bookmarkEnd w:id="0"/>
    </w:p>
    <w:sectPr w:rsidR="00E12E7C" w:rsidRPr="00CB2DE6" w:rsidSect="00E5116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5A" w:rsidRDefault="00BA665A" w:rsidP="00A23CC7">
      <w:r>
        <w:separator/>
      </w:r>
    </w:p>
  </w:endnote>
  <w:endnote w:type="continuationSeparator" w:id="0">
    <w:p w:rsidR="00BA665A" w:rsidRDefault="00BA665A" w:rsidP="00A2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CC" w:rsidRDefault="004C02CC" w:rsidP="00A65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02CC" w:rsidRDefault="004C02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CC" w:rsidRDefault="004C02CC" w:rsidP="00A65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02CC" w:rsidRDefault="004C02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CC" w:rsidRDefault="004C02CC" w:rsidP="00A65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02CC" w:rsidRDefault="004C02C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CC" w:rsidRDefault="004C02CC" w:rsidP="00A65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02CC" w:rsidRDefault="004C02C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508511"/>
      <w:docPartObj>
        <w:docPartGallery w:val="Page Numbers (Bottom of Page)"/>
        <w:docPartUnique/>
      </w:docPartObj>
    </w:sdtPr>
    <w:sdtEndPr>
      <w:rPr>
        <w:rFonts w:ascii="Times New Roman" w:hAnsi="Times New Roman" w:cs="Times New Roman"/>
        <w:noProof/>
        <w:sz w:val="24"/>
        <w:szCs w:val="24"/>
      </w:rPr>
    </w:sdtEndPr>
    <w:sdtContent>
      <w:p w:rsidR="004C02CC" w:rsidRPr="001A4E58" w:rsidRDefault="004C02CC">
        <w:pPr>
          <w:pStyle w:val="Footer"/>
          <w:jc w:val="center"/>
          <w:rPr>
            <w:rFonts w:ascii="Times New Roman" w:hAnsi="Times New Roman" w:cs="Times New Roman"/>
            <w:sz w:val="24"/>
            <w:szCs w:val="24"/>
          </w:rPr>
        </w:pPr>
        <w:r w:rsidRPr="001A4E58">
          <w:rPr>
            <w:rFonts w:ascii="Times New Roman" w:hAnsi="Times New Roman" w:cs="Times New Roman"/>
            <w:sz w:val="24"/>
            <w:szCs w:val="24"/>
          </w:rPr>
          <w:fldChar w:fldCharType="begin"/>
        </w:r>
        <w:r w:rsidRPr="001A4E58">
          <w:rPr>
            <w:rFonts w:ascii="Times New Roman" w:hAnsi="Times New Roman" w:cs="Times New Roman"/>
            <w:sz w:val="24"/>
            <w:szCs w:val="24"/>
          </w:rPr>
          <w:instrText xml:space="preserve"> PAGE   \* MERGEFORMAT </w:instrText>
        </w:r>
        <w:r w:rsidRPr="001A4E58">
          <w:rPr>
            <w:rFonts w:ascii="Times New Roman" w:hAnsi="Times New Roman" w:cs="Times New Roman"/>
            <w:sz w:val="24"/>
            <w:szCs w:val="24"/>
          </w:rPr>
          <w:fldChar w:fldCharType="separate"/>
        </w:r>
        <w:r w:rsidR="00497F73">
          <w:rPr>
            <w:rFonts w:ascii="Times New Roman" w:hAnsi="Times New Roman" w:cs="Times New Roman"/>
            <w:noProof/>
            <w:sz w:val="24"/>
            <w:szCs w:val="24"/>
          </w:rPr>
          <w:t>10</w:t>
        </w:r>
        <w:r w:rsidRPr="001A4E58">
          <w:rPr>
            <w:rFonts w:ascii="Times New Roman" w:hAnsi="Times New Roman" w:cs="Times New Roman"/>
            <w:noProof/>
            <w:sz w:val="24"/>
            <w:szCs w:val="24"/>
          </w:rPr>
          <w:fldChar w:fldCharType="end"/>
        </w:r>
      </w:p>
    </w:sdtContent>
  </w:sdt>
  <w:p w:rsidR="004C02CC" w:rsidRDefault="004C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5A" w:rsidRDefault="00BA665A" w:rsidP="00A23CC7">
      <w:r>
        <w:separator/>
      </w:r>
    </w:p>
  </w:footnote>
  <w:footnote w:type="continuationSeparator" w:id="0">
    <w:p w:rsidR="00BA665A" w:rsidRDefault="00BA665A" w:rsidP="00A23CC7">
      <w:r>
        <w:continuationSeparator/>
      </w:r>
    </w:p>
  </w:footnote>
  <w:footnote w:id="1">
    <w:p w:rsidR="004C02CC" w:rsidRPr="00C9254E" w:rsidRDefault="004C02CC" w:rsidP="001E01BF">
      <w:pPr>
        <w:ind w:firstLine="284"/>
        <w:jc w:val="both"/>
        <w:rPr>
          <w:rFonts w:ascii="Times New Roman" w:hAnsi="Times New Roman"/>
          <w:sz w:val="20"/>
          <w:szCs w:val="20"/>
        </w:rPr>
      </w:pPr>
      <w:r w:rsidRPr="00C9254E">
        <w:rPr>
          <w:rStyle w:val="FootnoteReference"/>
          <w:rFonts w:ascii="Times New Roman" w:hAnsi="Times New Roman"/>
          <w:sz w:val="20"/>
          <w:szCs w:val="20"/>
        </w:rPr>
        <w:footnoteRef/>
      </w:r>
      <w:r w:rsidRPr="00C9254E">
        <w:rPr>
          <w:rFonts w:ascii="Times New Roman" w:hAnsi="Times New Roman" w:cs="Times New Roman"/>
          <w:sz w:val="20"/>
          <w:szCs w:val="20"/>
        </w:rPr>
        <w:t xml:space="preserve"> Lustig and Verdelhan (2007) and Lustig, Roussanov, and Verdelhan (2011) are among the first to propose a cross-sectional asset</w:t>
      </w:r>
      <w:r>
        <w:rPr>
          <w:rFonts w:ascii="Times New Roman" w:hAnsi="Times New Roman" w:cs="Times New Roman"/>
          <w:sz w:val="20"/>
          <w:szCs w:val="20"/>
        </w:rPr>
        <w:t xml:space="preserve"> </w:t>
      </w:r>
      <w:r w:rsidRPr="00C9254E">
        <w:rPr>
          <w:rFonts w:ascii="Times New Roman" w:hAnsi="Times New Roman" w:cs="Times New Roman"/>
          <w:sz w:val="20"/>
          <w:szCs w:val="20"/>
        </w:rPr>
        <w:t xml:space="preserve">pricing framework in the context of FX markets. These studies also record some success in explaining the cross-section of carry trade returns by employing currency-based risk factors. See </w:t>
      </w:r>
      <w:r>
        <w:rPr>
          <w:rFonts w:ascii="Times New Roman" w:hAnsi="Times New Roman" w:cs="Times New Roman"/>
          <w:sz w:val="20"/>
          <w:szCs w:val="20"/>
        </w:rPr>
        <w:t xml:space="preserve">also </w:t>
      </w:r>
      <w:r w:rsidRPr="00C9254E">
        <w:rPr>
          <w:rFonts w:ascii="Times New Roman" w:hAnsi="Times New Roman" w:cs="Times New Roman"/>
          <w:sz w:val="20"/>
          <w:szCs w:val="20"/>
        </w:rPr>
        <w:t xml:space="preserve">Burnside, Eichenbaum, </w:t>
      </w:r>
      <w:r>
        <w:rPr>
          <w:rFonts w:ascii="Times New Roman" w:hAnsi="Times New Roman" w:cs="Times New Roman"/>
          <w:sz w:val="20"/>
          <w:szCs w:val="20"/>
        </w:rPr>
        <w:t xml:space="preserve">Kleshchelski, and Rebelo (2011), </w:t>
      </w:r>
      <w:r w:rsidRPr="00C9254E">
        <w:rPr>
          <w:rFonts w:ascii="Times New Roman" w:hAnsi="Times New Roman" w:cs="Times New Roman"/>
          <w:sz w:val="20"/>
          <w:szCs w:val="20"/>
        </w:rPr>
        <w:t>Burnside, Eichenbaum, and Rebelo (2011)</w:t>
      </w:r>
      <w:r>
        <w:rPr>
          <w:rFonts w:ascii="Times New Roman" w:hAnsi="Times New Roman" w:cs="Times New Roman"/>
          <w:sz w:val="20"/>
          <w:szCs w:val="20"/>
        </w:rPr>
        <w:t>, and Mancini, Ranaldo, and Wrampelmeyer (2013)</w:t>
      </w:r>
      <w:r w:rsidRPr="00C9254E">
        <w:rPr>
          <w:rFonts w:ascii="Times New Roman" w:hAnsi="Times New Roman" w:cs="Times New Roman"/>
          <w:sz w:val="20"/>
          <w:szCs w:val="20"/>
        </w:rPr>
        <w:t>.</w:t>
      </w:r>
    </w:p>
  </w:footnote>
  <w:footnote w:id="2">
    <w:p w:rsidR="004C02CC" w:rsidRPr="00CB2DE6" w:rsidRDefault="004C02CC" w:rsidP="003E46F7">
      <w:pPr>
        <w:ind w:firstLine="284"/>
        <w:jc w:val="both"/>
        <w:rPr>
          <w:rFonts w:ascii="Times New Roman" w:hAnsi="Times New Roman"/>
          <w:sz w:val="20"/>
          <w:szCs w:val="20"/>
        </w:rPr>
      </w:pPr>
      <w:r w:rsidRPr="00CB2DE6">
        <w:rPr>
          <w:rStyle w:val="FootnoteReference"/>
          <w:rFonts w:ascii="Times New Roman" w:hAnsi="Times New Roman"/>
          <w:sz w:val="20"/>
          <w:szCs w:val="20"/>
        </w:rPr>
        <w:footnoteRef/>
      </w:r>
      <w:r w:rsidRPr="00CB2DE6">
        <w:rPr>
          <w:rFonts w:ascii="Times New Roman" w:hAnsi="Times New Roman" w:cs="Times New Roman"/>
          <w:sz w:val="20"/>
          <w:szCs w:val="20"/>
        </w:rPr>
        <w:t xml:space="preserve"> It is worthwhile noting that Adrian and Rosenberg (2008) found that the long-run component of US equity market volatility relates to business cycle risk. However, to the best of our knowledge similar evidence has not been recorded in the context of FX markets.</w:t>
      </w:r>
    </w:p>
  </w:footnote>
  <w:footnote w:id="3">
    <w:p w:rsidR="004C02CC" w:rsidRPr="00CD05D8" w:rsidRDefault="004C02CC" w:rsidP="00C30B18">
      <w:pPr>
        <w:ind w:firstLine="284"/>
        <w:jc w:val="both"/>
        <w:rPr>
          <w:rFonts w:ascii="Times New Roman" w:eastAsia="Calibri" w:hAnsi="Times New Roman" w:cs="Times New Roman"/>
          <w:sz w:val="20"/>
          <w:szCs w:val="20"/>
        </w:rPr>
      </w:pPr>
      <w:r w:rsidRPr="00CD05D8">
        <w:rPr>
          <w:rStyle w:val="FootnoteReference"/>
          <w:rFonts w:ascii="Times New Roman" w:hAnsi="Times New Roman" w:cs="Times New Roman"/>
          <w:sz w:val="20"/>
          <w:szCs w:val="20"/>
        </w:rPr>
        <w:footnoteRef/>
      </w:r>
      <w:r w:rsidRPr="00CD05D8">
        <w:rPr>
          <w:rFonts w:ascii="Times New Roman" w:hAnsi="Times New Roman" w:cs="Times New Roman"/>
          <w:sz w:val="20"/>
          <w:szCs w:val="20"/>
        </w:rPr>
        <w:t xml:space="preserve"> </w:t>
      </w:r>
      <w:r w:rsidRPr="00CD05D8">
        <w:rPr>
          <w:rFonts w:ascii="Times New Roman" w:eastAsia="Calibri" w:hAnsi="Times New Roman" w:cs="Times New Roman"/>
          <w:sz w:val="20"/>
          <w:szCs w:val="20"/>
        </w:rPr>
        <w:t>Using log</w:t>
      </w:r>
      <w:r>
        <w:rPr>
          <w:rFonts w:ascii="Times New Roman" w:eastAsia="Calibri" w:hAnsi="Times New Roman" w:cs="Times New Roman"/>
          <w:sz w:val="20"/>
          <w:szCs w:val="20"/>
        </w:rPr>
        <w:t xml:space="preserve"> </w:t>
      </w:r>
      <w:r w:rsidRPr="00CD05D8">
        <w:rPr>
          <w:rFonts w:ascii="Times New Roman" w:eastAsia="Calibri" w:hAnsi="Times New Roman" w:cs="Times New Roman"/>
          <w:sz w:val="20"/>
          <w:szCs w:val="20"/>
        </w:rPr>
        <w:t>returns instead of discrete returns has an immaterial effect on the subsequent empirical results.</w:t>
      </w:r>
    </w:p>
  </w:footnote>
  <w:footnote w:id="4">
    <w:p w:rsidR="004C02CC" w:rsidRPr="00312778" w:rsidRDefault="004C02CC" w:rsidP="00C30B18">
      <w:pPr>
        <w:ind w:firstLine="284"/>
        <w:jc w:val="both"/>
        <w:rPr>
          <w:rFonts w:eastAsia="Calibri"/>
          <w:sz w:val="24"/>
          <w:szCs w:val="24"/>
        </w:rPr>
      </w:pPr>
      <w:r w:rsidRPr="00CD05D8">
        <w:rPr>
          <w:rStyle w:val="FootnoteReference"/>
          <w:rFonts w:ascii="Times New Roman" w:hAnsi="Times New Roman" w:cs="Times New Roman"/>
          <w:sz w:val="20"/>
          <w:szCs w:val="20"/>
        </w:rPr>
        <w:footnoteRef/>
      </w:r>
      <w:r w:rsidRPr="00CD05D8">
        <w:rPr>
          <w:rFonts w:ascii="Times New Roman" w:hAnsi="Times New Roman" w:cs="Times New Roman"/>
          <w:sz w:val="20"/>
          <w:szCs w:val="20"/>
        </w:rPr>
        <w:t xml:space="preserve"> </w:t>
      </w:r>
      <w:r w:rsidRPr="00CD05D8">
        <w:rPr>
          <w:rFonts w:ascii="Times New Roman" w:eastAsia="Calibri" w:hAnsi="Times New Roman" w:cs="Times New Roman"/>
          <w:sz w:val="20"/>
          <w:szCs w:val="20"/>
        </w:rPr>
        <w:t xml:space="preserve">We consider alternative modeling strategies that do not rely on parametric </w:t>
      </w:r>
      <w:r>
        <w:rPr>
          <w:rFonts w:ascii="Times New Roman" w:eastAsia="Calibri" w:hAnsi="Times New Roman" w:cs="Times New Roman"/>
          <w:sz w:val="20"/>
          <w:szCs w:val="20"/>
        </w:rPr>
        <w:t>generalized autoregressive conditional heteroskedastic (</w:t>
      </w:r>
      <w:r w:rsidRPr="00CD05D8">
        <w:rPr>
          <w:rFonts w:ascii="Times New Roman" w:eastAsia="Calibri" w:hAnsi="Times New Roman" w:cs="Times New Roman"/>
          <w:sz w:val="20"/>
          <w:szCs w:val="20"/>
        </w:rPr>
        <w:t>GARCH</w:t>
      </w:r>
      <w:r>
        <w:rPr>
          <w:rFonts w:ascii="Times New Roman" w:eastAsia="Calibri" w:hAnsi="Times New Roman" w:cs="Times New Roman"/>
          <w:sz w:val="20"/>
          <w:szCs w:val="20"/>
        </w:rPr>
        <w:t>)</w:t>
      </w:r>
      <w:r w:rsidRPr="00CD05D8">
        <w:rPr>
          <w:rFonts w:ascii="Times New Roman" w:eastAsia="Calibri" w:hAnsi="Times New Roman" w:cs="Times New Roman"/>
          <w:sz w:val="20"/>
          <w:szCs w:val="20"/>
        </w:rPr>
        <w:t xml:space="preserve"> models in the robustness </w:t>
      </w:r>
      <w:r>
        <w:rPr>
          <w:rFonts w:ascii="Times New Roman" w:eastAsia="Calibri" w:hAnsi="Times New Roman" w:cs="Times New Roman"/>
          <w:sz w:val="20"/>
          <w:szCs w:val="20"/>
        </w:rPr>
        <w:t>S</w:t>
      </w:r>
      <w:r w:rsidRPr="00CD05D8">
        <w:rPr>
          <w:rFonts w:ascii="Times New Roman" w:eastAsia="Calibri" w:hAnsi="Times New Roman" w:cs="Times New Roman"/>
          <w:sz w:val="20"/>
          <w:szCs w:val="20"/>
        </w:rPr>
        <w:t xml:space="preserve">ection 5.1. </w:t>
      </w:r>
    </w:p>
  </w:footnote>
  <w:footnote w:id="5">
    <w:p w:rsidR="004C02CC" w:rsidRPr="00606C74" w:rsidRDefault="004C02CC" w:rsidP="00561261">
      <w:pPr>
        <w:tabs>
          <w:tab w:val="left" w:pos="2977"/>
          <w:tab w:val="left" w:pos="3119"/>
        </w:tabs>
        <w:ind w:firstLine="284"/>
        <w:jc w:val="both"/>
        <w:rPr>
          <w:rFonts w:ascii="Times New Roman" w:eastAsia="Calibri" w:hAnsi="Times New Roman" w:cs="Times New Roman"/>
          <w:sz w:val="20"/>
          <w:szCs w:val="20"/>
        </w:rPr>
      </w:pPr>
      <w:r w:rsidRPr="00606C74">
        <w:rPr>
          <w:rStyle w:val="FootnoteReference"/>
          <w:rFonts w:ascii="Times New Roman" w:hAnsi="Times New Roman" w:cs="Times New Roman"/>
          <w:sz w:val="20"/>
          <w:szCs w:val="20"/>
        </w:rPr>
        <w:footnoteRef/>
      </w:r>
      <w:r w:rsidRPr="00606C74">
        <w:rPr>
          <w:rFonts w:ascii="Times New Roman" w:hAnsi="Times New Roman" w:cs="Times New Roman"/>
          <w:sz w:val="20"/>
          <w:szCs w:val="20"/>
        </w:rPr>
        <w:t xml:space="preserve"> The implementation of the CGARCH model requires parameters to satisfy restrictions of  </w:t>
      </w:r>
      <m:oMath>
        <m:r>
          <w:rPr>
            <w:rFonts w:ascii="Cambria Math" w:hAnsi="Cambria Math" w:cs="Times New Roman"/>
            <w:sz w:val="20"/>
            <w:szCs w:val="20"/>
          </w:rPr>
          <m:t>0&lt;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4</m:t>
            </m:r>
          </m:sub>
        </m:sSub>
        <m:r>
          <w:rPr>
            <w:rFonts w:ascii="Cambria Math" w:hAns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6</m:t>
            </m:r>
          </m:sub>
        </m:sSub>
        <m:r>
          <w:rPr>
            <w:rFonts w:ascii="Cambria Math" w:hAnsi="Cambria Math" w:cs="Times New Roman"/>
            <w:sz w:val="20"/>
            <w:szCs w:val="20"/>
          </w:rPr>
          <m:t>&lt;1</m:t>
        </m:r>
      </m:oMath>
      <w:r w:rsidRPr="00606C74">
        <w:rPr>
          <w:rFonts w:ascii="Times New Roman" w:hAnsi="Times New Roman" w:cs="Times New Roman"/>
          <w:sz w:val="20"/>
          <w:szCs w:val="20"/>
        </w:rPr>
        <w:t xml:space="preserve">, </w:t>
      </w:r>
      <m:oMath>
        <m:r>
          <w:rPr>
            <w:rFonts w:ascii="Cambria Math" w:hAnsi="Cambria Math" w:cs="Times New Roman"/>
            <w:sz w:val="20"/>
            <w:szCs w:val="20"/>
          </w:rPr>
          <m:t>0&lt;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7</m:t>
            </m:r>
          </m:sub>
        </m:sSub>
        <m:r>
          <w:rPr>
            <w:rFonts w:ascii="Cambria Math" w:hAns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4</m:t>
            </m:r>
          </m:sub>
        </m:sSub>
        <m:r>
          <w:rPr>
            <w:rFonts w:ascii="Cambria Math" w:hAns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6</m:t>
            </m:r>
          </m:sub>
        </m:sSub>
        <m:r>
          <w:rPr>
            <w:rFonts w:ascii="Cambria Math" w:hAnsi="Cambria Math" w:cs="Times New Roman"/>
            <w:sz w:val="20"/>
            <w:szCs w:val="20"/>
          </w:rPr>
          <m:t>&lt;1</m:t>
        </m:r>
      </m:oMath>
      <w:r w:rsidRPr="00606C74">
        <w:rPr>
          <w:rFonts w:ascii="Times New Roman" w:hAnsi="Times New Roman" w:cs="Times New Roman"/>
          <w:sz w:val="20"/>
          <w:szCs w:val="20"/>
        </w:rPr>
        <w:t xml:space="preserve">, and </w:t>
      </w:r>
      <m:oMath>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5</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2</m:t>
            </m:r>
          </m:sub>
        </m:sSub>
        <m:r>
          <w:rPr>
            <w:rFonts w:ascii="Cambria Math" w:hAnsi="Cambria Math" w:cs="Times New Roman"/>
            <w:sz w:val="20"/>
            <w:szCs w:val="20"/>
          </w:rPr>
          <m:t>&gt;</m:t>
        </m:r>
        <m:r>
          <m:rPr>
            <m:sty m:val="p"/>
          </m:rPr>
          <w:rPr>
            <w:rFonts w:ascii="Cambria Math" w:hAnsi="Cambria Math" w:cs="Times New Roman"/>
            <w:sz w:val="20"/>
            <w:szCs w:val="20"/>
          </w:rPr>
          <m:t>0</m:t>
        </m:r>
      </m:oMath>
      <w:r w:rsidRPr="00606C74">
        <w:rPr>
          <w:rFonts w:ascii="Times New Roman" w:hAnsi="Times New Roman" w:cs="Times New Roman"/>
          <w:sz w:val="20"/>
          <w:szCs w:val="20"/>
        </w:rPr>
        <w:t xml:space="preserve"> in order to: (1) identify individual volatility components separately; (2) ensure a positive conditional variance; and (3) attain sufficiency condition for covariance stationarity. There is no sign restriction on the coefficient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3</m:t>
            </m:r>
          </m:sub>
        </m:sSub>
        <m:r>
          <w:rPr>
            <w:rFonts w:ascii="Cambria Math" w:hAnsi="Cambria Math" w:cs="Times New Roman"/>
            <w:sz w:val="20"/>
            <w:szCs w:val="20"/>
          </w:rPr>
          <m:t>)</m:t>
        </m:r>
      </m:oMath>
      <w:r w:rsidRPr="00606C74">
        <w:rPr>
          <w:rFonts w:ascii="Times New Roman" w:hAnsi="Times New Roman" w:cs="Times New Roman"/>
          <w:sz w:val="20"/>
          <w:szCs w:val="20"/>
        </w:rPr>
        <w:t xml:space="preserve"> for the asymmetric effect term. But its statistical significance implies the presence of a threshold effect. </w:t>
      </w:r>
      <w:r w:rsidRPr="00606C74">
        <w:rPr>
          <w:rFonts w:ascii="Times New Roman" w:eastAsia="Calibri" w:hAnsi="Times New Roman" w:cs="Times New Roman"/>
          <w:sz w:val="20"/>
          <w:szCs w:val="20"/>
        </w:rPr>
        <w:t xml:space="preserve"> </w:t>
      </w:r>
    </w:p>
  </w:footnote>
  <w:footnote w:id="6">
    <w:p w:rsidR="004C02CC" w:rsidRPr="0085170A" w:rsidRDefault="004C02CC" w:rsidP="007810F8">
      <w:pPr>
        <w:pStyle w:val="FootnoteText"/>
        <w:ind w:firstLine="284"/>
        <w:jc w:val="both"/>
        <w:rPr>
          <w:rFonts w:ascii="Times New Roman" w:hAnsi="Times New Roman"/>
        </w:rPr>
      </w:pPr>
      <w:r w:rsidRPr="0085170A">
        <w:rPr>
          <w:rStyle w:val="FootnoteReference"/>
          <w:rFonts w:ascii="Times New Roman" w:hAnsi="Times New Roman"/>
        </w:rPr>
        <w:footnoteRef/>
      </w:r>
      <w:r w:rsidRPr="0085170A">
        <w:rPr>
          <w:rFonts w:ascii="Times New Roman" w:hAnsi="Times New Roman"/>
        </w:rPr>
        <w:t xml:space="preserve"> </w:t>
      </w:r>
      <w:r>
        <w:rPr>
          <w:rFonts w:ascii="Times New Roman" w:hAnsi="Times New Roman"/>
        </w:rPr>
        <w:t xml:space="preserve">In the empirical investigation, we use the US dollar risk factor (DOL) suggested by </w:t>
      </w:r>
      <w:r w:rsidRPr="007810F8">
        <w:rPr>
          <w:rFonts w:ascii="Times New Roman" w:hAnsi="Times New Roman"/>
        </w:rPr>
        <w:t>Lustig, Roussanov, and Verdelhan (2011)</w:t>
      </w:r>
      <w:r>
        <w:rPr>
          <w:rFonts w:ascii="Times New Roman" w:hAnsi="Times New Roman"/>
        </w:rPr>
        <w:t xml:space="preserve"> as a proxy for the risk factor </w:t>
      </w:r>
      <m:oMath>
        <m:r>
          <w:rPr>
            <w:rFonts w:ascii="Cambria Math" w:hAnsi="Cambria Math"/>
          </w:rPr>
          <m:t>X</m:t>
        </m:r>
      </m:oMath>
      <w:r>
        <w:rPr>
          <w:rFonts w:ascii="Times New Roman" w:hAnsi="Times New Roman"/>
        </w:rPr>
        <w:t>. The second-pass regression is carried out without an intercept</w:t>
      </w:r>
      <w:r w:rsidR="00311E9E">
        <w:rPr>
          <w:rFonts w:ascii="Times New Roman" w:hAnsi="Times New Roman"/>
        </w:rPr>
        <w:t>. This</w:t>
      </w:r>
      <w:r>
        <w:rPr>
          <w:rFonts w:ascii="Times New Roman" w:hAnsi="Times New Roman"/>
        </w:rPr>
        <w:t xml:space="preserve"> </w:t>
      </w:r>
      <w:r w:rsidRPr="007810F8">
        <w:rPr>
          <w:rFonts w:ascii="Times New Roman" w:hAnsi="Times New Roman"/>
        </w:rPr>
        <w:t xml:space="preserve">is due to the fact that the estimated betas for the DOL factor reported </w:t>
      </w:r>
      <w:r>
        <w:rPr>
          <w:rFonts w:ascii="Times New Roman" w:hAnsi="Times New Roman"/>
        </w:rPr>
        <w:t xml:space="preserve">in Section 4.2 </w:t>
      </w:r>
      <w:r w:rsidRPr="007810F8">
        <w:rPr>
          <w:rFonts w:ascii="Times New Roman" w:hAnsi="Times New Roman"/>
        </w:rPr>
        <w:t xml:space="preserve">have </w:t>
      </w:r>
      <w:r>
        <w:rPr>
          <w:rFonts w:ascii="Times New Roman" w:hAnsi="Times New Roman"/>
        </w:rPr>
        <w:t>little</w:t>
      </w:r>
      <w:r w:rsidRPr="007810F8">
        <w:rPr>
          <w:rFonts w:ascii="Times New Roman" w:hAnsi="Times New Roman"/>
        </w:rPr>
        <w:t xml:space="preserve"> pricing power in the cross-section of carry trade returns. The factor </w:t>
      </w:r>
      <w:r>
        <w:rPr>
          <w:rFonts w:ascii="Times New Roman" w:hAnsi="Times New Roman"/>
        </w:rPr>
        <w:t xml:space="preserve">itself </w:t>
      </w:r>
      <w:r w:rsidRPr="007810F8">
        <w:rPr>
          <w:rFonts w:ascii="Times New Roman" w:hAnsi="Times New Roman"/>
        </w:rPr>
        <w:t xml:space="preserve">serves the function of a constant that allows pricing errors shared by currency portfolios. </w:t>
      </w:r>
      <w:r>
        <w:rPr>
          <w:rFonts w:ascii="Times New Roman" w:hAnsi="Times New Roman"/>
        </w:rPr>
        <w:t>See on this issue,</w:t>
      </w:r>
      <w:r w:rsidRPr="007810F8">
        <w:rPr>
          <w:rFonts w:ascii="Times New Roman" w:hAnsi="Times New Roman"/>
        </w:rPr>
        <w:t xml:space="preserve"> Lustig, Roussanov, and Verdelhan (2011)</w:t>
      </w:r>
      <w:r>
        <w:rPr>
          <w:rFonts w:ascii="Times New Roman" w:hAnsi="Times New Roman"/>
        </w:rPr>
        <w:t xml:space="preserve">, </w:t>
      </w:r>
      <w:r w:rsidRPr="007810F8">
        <w:rPr>
          <w:rFonts w:ascii="Times New Roman" w:hAnsi="Times New Roman"/>
        </w:rPr>
        <w:t>Burnside (2012)</w:t>
      </w:r>
      <w:r>
        <w:rPr>
          <w:rFonts w:ascii="Times New Roman" w:hAnsi="Times New Roman"/>
        </w:rPr>
        <w:t xml:space="preserve">, </w:t>
      </w:r>
      <w:r w:rsidRPr="007810F8">
        <w:rPr>
          <w:rFonts w:ascii="Times New Roman" w:hAnsi="Times New Roman"/>
        </w:rPr>
        <w:t>and Menkhoff</w:t>
      </w:r>
      <w:r>
        <w:rPr>
          <w:rFonts w:ascii="Times New Roman" w:hAnsi="Times New Roman"/>
        </w:rPr>
        <w:t xml:space="preserve">, Sarno, Schmeling, and Schrimpf </w:t>
      </w:r>
      <w:r w:rsidRPr="007810F8">
        <w:rPr>
          <w:rFonts w:ascii="Times New Roman" w:hAnsi="Times New Roman"/>
        </w:rPr>
        <w:t>(2012).</w:t>
      </w:r>
    </w:p>
  </w:footnote>
  <w:footnote w:id="7">
    <w:p w:rsidR="004C02CC" w:rsidRPr="0085170A" w:rsidRDefault="004C02CC" w:rsidP="009F4DDA">
      <w:pPr>
        <w:pStyle w:val="FootnoteText"/>
        <w:ind w:firstLine="284"/>
        <w:jc w:val="both"/>
        <w:rPr>
          <w:rFonts w:ascii="Times New Roman" w:hAnsi="Times New Roman"/>
        </w:rPr>
      </w:pPr>
      <w:r w:rsidRPr="0085170A">
        <w:rPr>
          <w:rStyle w:val="FootnoteReference"/>
          <w:rFonts w:ascii="Times New Roman" w:hAnsi="Times New Roman"/>
        </w:rPr>
        <w:footnoteRef/>
      </w:r>
      <w:r w:rsidRPr="0085170A">
        <w:rPr>
          <w:rFonts w:ascii="Times New Roman" w:hAnsi="Times New Roman"/>
        </w:rPr>
        <w:t xml:space="preserve"> </w:t>
      </w:r>
      <w:r w:rsidRPr="009F4DDA">
        <w:rPr>
          <w:rFonts w:ascii="Times New Roman" w:hAnsi="Times New Roman"/>
        </w:rPr>
        <w:t xml:space="preserve">We test the null hypothesis that all (estimated) pricing errors are jointly equal to zero with the statistic: </w:t>
      </w:r>
      <m:oMath>
        <m:r>
          <w:rPr>
            <w:rFonts w:ascii="Cambria Math" w:hAnsi="Cambria Math"/>
          </w:rPr>
          <m:t>J=T</m:t>
        </m:r>
        <m:sSup>
          <m:sSupPr>
            <m:ctrlPr>
              <w:rPr>
                <w:rFonts w:ascii="Cambria Math" w:hAnsi="Cambria Math"/>
                <w:i/>
              </w:rPr>
            </m:ctrlPr>
          </m:sSupPr>
          <m:e>
            <m:acc>
              <m:accPr>
                <m:ctrlPr>
                  <w:rPr>
                    <w:rFonts w:ascii="Cambria Math" w:hAnsi="Cambria Math"/>
                    <w:i/>
                  </w:rPr>
                </m:ctrlPr>
              </m:accPr>
              <m:e>
                <m:r>
                  <w:rPr>
                    <w:rFonts w:ascii="Cambria Math" w:hAnsi="Cambria Math"/>
                  </w:rPr>
                  <m:t>ϛ</m:t>
                </m:r>
              </m:e>
            </m:acc>
          </m:e>
          <m:sup>
            <m:r>
              <w:rPr>
                <w:rFonts w:ascii="Cambria Math" w:hAnsi="Cambria Math"/>
              </w:rPr>
              <m:t>'</m:t>
            </m:r>
          </m:sup>
        </m:sSup>
        <m:sSubSup>
          <m:sSubSupPr>
            <m:ctrlPr>
              <w:rPr>
                <w:rFonts w:ascii="Cambria Math" w:hAnsi="Cambria Math"/>
                <w:i/>
              </w:rPr>
            </m:ctrlPr>
          </m:sSubSupPr>
          <m:e>
            <m:acc>
              <m:accPr>
                <m:ctrlPr>
                  <w:rPr>
                    <w:rFonts w:ascii="Cambria Math" w:hAnsi="Cambria Math"/>
                    <w:i/>
                  </w:rPr>
                </m:ctrlPr>
              </m:accPr>
              <m:e>
                <m:r>
                  <w:rPr>
                    <w:rFonts w:ascii="Cambria Math" w:hAnsi="Cambria Math"/>
                  </w:rPr>
                  <m:t>Ω</m:t>
                </m:r>
              </m:e>
            </m:acc>
          </m:e>
          <m:sub>
            <m:acc>
              <m:accPr>
                <m:ctrlPr>
                  <w:rPr>
                    <w:rFonts w:ascii="Cambria Math" w:hAnsi="Cambria Math"/>
                    <w:i/>
                  </w:rPr>
                </m:ctrlPr>
              </m:accPr>
              <m:e>
                <m:r>
                  <w:rPr>
                    <w:rFonts w:ascii="Cambria Math" w:hAnsi="Cambria Math"/>
                  </w:rPr>
                  <m:t>ϛ</m:t>
                </m:r>
              </m:e>
            </m:acc>
          </m:sub>
          <m:sup>
            <m:r>
              <w:rPr>
                <w:rFonts w:ascii="Cambria Math" w:hAnsi="Cambria Math"/>
              </w:rPr>
              <m:t>-1</m:t>
            </m:r>
          </m:sup>
        </m:sSubSup>
        <m:acc>
          <m:accPr>
            <m:ctrlPr>
              <w:rPr>
                <w:rFonts w:ascii="Cambria Math" w:hAnsi="Cambria Math"/>
                <w:i/>
              </w:rPr>
            </m:ctrlPr>
          </m:accPr>
          <m:e>
            <m:r>
              <w:rPr>
                <w:rFonts w:ascii="Cambria Math" w:hAnsi="Cambria Math"/>
              </w:rPr>
              <m:t>ϛ</m:t>
            </m:r>
          </m:e>
        </m:acc>
      </m:oMath>
      <w:r w:rsidRPr="009F4DDA">
        <w:rPr>
          <w:rFonts w:ascii="Times New Roman" w:hAnsi="Times New Roman"/>
        </w:rPr>
        <w:t xml:space="preserve">, where </w:t>
      </w:r>
      <m:oMath>
        <m:sSub>
          <m:sSubPr>
            <m:ctrlPr>
              <w:rPr>
                <w:rFonts w:ascii="Cambria Math" w:hAnsi="Cambria Math"/>
                <w:i/>
              </w:rPr>
            </m:ctrlPr>
          </m:sSubPr>
          <m:e>
            <m:acc>
              <m:accPr>
                <m:ctrlPr>
                  <w:rPr>
                    <w:rFonts w:ascii="Cambria Math" w:hAnsi="Cambria Math"/>
                    <w:i/>
                  </w:rPr>
                </m:ctrlPr>
              </m:accPr>
              <m:e>
                <m:r>
                  <w:rPr>
                    <w:rFonts w:ascii="Cambria Math" w:hAnsi="Cambria Math"/>
                  </w:rPr>
                  <m:t>Ω</m:t>
                </m:r>
              </m:e>
            </m:acc>
          </m:e>
          <m:sub>
            <m:acc>
              <m:accPr>
                <m:ctrlPr>
                  <w:rPr>
                    <w:rFonts w:ascii="Cambria Math" w:hAnsi="Cambria Math"/>
                    <w:i/>
                  </w:rPr>
                </m:ctrlPr>
              </m:accPr>
              <m:e>
                <m:r>
                  <w:rPr>
                    <w:rFonts w:ascii="Cambria Math" w:hAnsi="Cambria Math"/>
                  </w:rPr>
                  <m:t>ϛ</m:t>
                </m:r>
              </m:e>
            </m:acc>
          </m:sub>
        </m:sSub>
      </m:oMath>
      <w:r w:rsidRPr="009F4DDA">
        <w:rPr>
          <w:rFonts w:ascii="Times New Roman" w:hAnsi="Times New Roman"/>
        </w:rPr>
        <w:t xml:space="preserve"> is a consistent estimator for the asymptotic covariance matrix of </w:t>
      </w:r>
      <m:oMath>
        <m:rad>
          <m:radPr>
            <m:degHide m:val="1"/>
            <m:ctrlPr>
              <w:rPr>
                <w:rFonts w:ascii="Cambria Math" w:hAnsi="Cambria Math"/>
                <w:i/>
              </w:rPr>
            </m:ctrlPr>
          </m:radPr>
          <m:deg/>
          <m:e>
            <m:r>
              <w:rPr>
                <w:rFonts w:ascii="Cambria Math" w:hAnsi="Cambria Math"/>
              </w:rPr>
              <m:t>T</m:t>
            </m:r>
          </m:e>
        </m:rad>
        <m:acc>
          <m:accPr>
            <m:ctrlPr>
              <w:rPr>
                <w:rFonts w:ascii="Cambria Math" w:hAnsi="Cambria Math"/>
                <w:i/>
              </w:rPr>
            </m:ctrlPr>
          </m:accPr>
          <m:e>
            <m:r>
              <w:rPr>
                <w:rFonts w:ascii="Cambria Math" w:hAnsi="Cambria Math"/>
              </w:rPr>
              <m:t>ϛ</m:t>
            </m:r>
          </m:e>
        </m:acc>
      </m:oMath>
      <w:r w:rsidRPr="009F4DDA">
        <w:rPr>
          <w:rFonts w:ascii="Times New Roman" w:hAnsi="Times New Roman"/>
        </w:rPr>
        <w:t xml:space="preserve">. The test statistic asymptotically follows the </w:t>
      </w:r>
      <m:oMath>
        <m:sSubSup>
          <m:sSubSupPr>
            <m:ctrlPr>
              <w:rPr>
                <w:rFonts w:ascii="Cambria Math" w:hAnsi="Cambria Math"/>
                <w:i/>
              </w:rPr>
            </m:ctrlPr>
          </m:sSubSupPr>
          <m:e>
            <m:r>
              <w:rPr>
                <w:rFonts w:ascii="Cambria Math" w:hAnsi="Cambria Math"/>
              </w:rPr>
              <m:t>χ</m:t>
            </m:r>
          </m:e>
          <m:sub>
            <m:r>
              <w:rPr>
                <w:rFonts w:ascii="Cambria Math" w:hAnsi="Cambria Math"/>
              </w:rPr>
              <m:t>P-j</m:t>
            </m:r>
          </m:sub>
          <m:sup>
            <m:r>
              <w:rPr>
                <w:rFonts w:ascii="Cambria Math" w:hAnsi="Cambria Math"/>
              </w:rPr>
              <m:t>2</m:t>
            </m:r>
          </m:sup>
        </m:sSubSup>
      </m:oMath>
      <w:r w:rsidRPr="009F4DDA">
        <w:rPr>
          <w:rFonts w:ascii="Times New Roman" w:hAnsi="Times New Roman"/>
        </w:rPr>
        <w:t xml:space="preserve"> distribution.</w:t>
      </w:r>
    </w:p>
  </w:footnote>
  <w:footnote w:id="8">
    <w:p w:rsidR="004C02CC" w:rsidRPr="00CC5710" w:rsidRDefault="004C02CC" w:rsidP="00CC5710">
      <w:pPr>
        <w:ind w:firstLine="284"/>
        <w:jc w:val="both"/>
        <w:rPr>
          <w:rFonts w:ascii="Times New Roman" w:eastAsia="Calibri" w:hAnsi="Times New Roman" w:cs="Times New Roman"/>
          <w:sz w:val="20"/>
          <w:szCs w:val="20"/>
        </w:rPr>
      </w:pPr>
      <w:r w:rsidRPr="00F509CA">
        <w:rPr>
          <w:rStyle w:val="FootnoteReference"/>
          <w:rFonts w:ascii="Times New Roman" w:hAnsi="Times New Roman"/>
        </w:rPr>
        <w:footnoteRef/>
      </w:r>
      <w:r>
        <w:rPr>
          <w:rFonts w:ascii="Times New Roman" w:eastAsia="Calibri" w:hAnsi="Times New Roman" w:cs="Times New Roman"/>
          <w:sz w:val="20"/>
          <w:szCs w:val="20"/>
        </w:rPr>
        <w:t xml:space="preserve"> </w:t>
      </w:r>
      <w:r w:rsidRPr="00CC5710">
        <w:rPr>
          <w:rFonts w:ascii="Times New Roman" w:eastAsia="Calibri" w:hAnsi="Times New Roman" w:cs="Times New Roman"/>
          <w:sz w:val="20"/>
          <w:szCs w:val="20"/>
        </w:rPr>
        <w:t>We also consider a smaller subsample consisting only of 15 developed countries to further comprehend the empirical results obtained for the main sample. The list includes: Australia, Belgium, Canada, Denmark, Euro area, France, Germany, Italy, Japan, the Netherlands, New Zealand, Norway, Sweden, Switzerland, and the United Kingdom</w:t>
      </w:r>
      <w:r>
        <w:rPr>
          <w:rFonts w:ascii="Times New Roman" w:eastAsia="Calibri" w:hAnsi="Times New Roman" w:cs="Times New Roman"/>
          <w:sz w:val="20"/>
          <w:szCs w:val="20"/>
        </w:rPr>
        <w:t xml:space="preserve">. The </w:t>
      </w:r>
      <w:r w:rsidRPr="00D749DD">
        <w:rPr>
          <w:rFonts w:ascii="Times New Roman" w:eastAsia="Calibri" w:hAnsi="Times New Roman" w:cs="Times New Roman"/>
          <w:sz w:val="20"/>
          <w:szCs w:val="20"/>
        </w:rPr>
        <w:t xml:space="preserve">currency coverage </w:t>
      </w:r>
      <w:r>
        <w:rPr>
          <w:rFonts w:ascii="Times New Roman" w:eastAsia="Calibri" w:hAnsi="Times New Roman" w:cs="Times New Roman"/>
          <w:sz w:val="20"/>
          <w:szCs w:val="20"/>
        </w:rPr>
        <w:t>is</w:t>
      </w:r>
      <w:r w:rsidRPr="00D749D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as in </w:t>
      </w:r>
      <w:r w:rsidRPr="00D749DD">
        <w:rPr>
          <w:rFonts w:ascii="Times New Roman" w:eastAsia="Calibri" w:hAnsi="Times New Roman" w:cs="Times New Roman"/>
          <w:sz w:val="20"/>
          <w:szCs w:val="20"/>
        </w:rPr>
        <w:t>Lustig</w:t>
      </w:r>
      <w:r>
        <w:rPr>
          <w:rFonts w:ascii="Times New Roman" w:eastAsia="Calibri" w:hAnsi="Times New Roman" w:cs="Times New Roman"/>
          <w:sz w:val="20"/>
          <w:szCs w:val="20"/>
        </w:rPr>
        <w:t xml:space="preserve">, </w:t>
      </w:r>
      <w:r w:rsidRPr="00D749DD">
        <w:rPr>
          <w:rFonts w:ascii="Times New Roman" w:eastAsia="Calibri" w:hAnsi="Times New Roman" w:cs="Times New Roman"/>
          <w:sz w:val="20"/>
          <w:szCs w:val="20"/>
        </w:rPr>
        <w:t>Roussanov</w:t>
      </w:r>
      <w:r>
        <w:rPr>
          <w:rFonts w:ascii="Times New Roman" w:eastAsia="Calibri" w:hAnsi="Times New Roman" w:cs="Times New Roman"/>
          <w:sz w:val="20"/>
          <w:szCs w:val="20"/>
        </w:rPr>
        <w:t xml:space="preserve">, and </w:t>
      </w:r>
      <w:r w:rsidRPr="00D749DD">
        <w:rPr>
          <w:rFonts w:ascii="Times New Roman" w:eastAsia="Calibri" w:hAnsi="Times New Roman" w:cs="Times New Roman"/>
          <w:sz w:val="20"/>
          <w:szCs w:val="20"/>
        </w:rPr>
        <w:t>Verdelhan</w:t>
      </w:r>
      <w:r>
        <w:rPr>
          <w:rFonts w:ascii="Times New Roman" w:eastAsia="Calibri" w:hAnsi="Times New Roman" w:cs="Times New Roman"/>
          <w:sz w:val="20"/>
          <w:szCs w:val="20"/>
        </w:rPr>
        <w:t xml:space="preserve"> (</w:t>
      </w:r>
      <w:r w:rsidRPr="00D749DD">
        <w:rPr>
          <w:rFonts w:ascii="Times New Roman" w:eastAsia="Calibri" w:hAnsi="Times New Roman" w:cs="Times New Roman"/>
          <w:sz w:val="20"/>
          <w:szCs w:val="20"/>
        </w:rPr>
        <w:t>2011</w:t>
      </w:r>
      <w:r>
        <w:rPr>
          <w:rFonts w:ascii="Times New Roman" w:eastAsia="Calibri" w:hAnsi="Times New Roman" w:cs="Times New Roman"/>
          <w:sz w:val="20"/>
          <w:szCs w:val="20"/>
        </w:rPr>
        <w:t>) and</w:t>
      </w:r>
      <w:r w:rsidRPr="00D749DD">
        <w:rPr>
          <w:rFonts w:ascii="Times New Roman" w:eastAsia="Calibri" w:hAnsi="Times New Roman" w:cs="Times New Roman"/>
          <w:sz w:val="20"/>
          <w:szCs w:val="20"/>
        </w:rPr>
        <w:t xml:space="preserve"> Menkhoff</w:t>
      </w:r>
      <w:r>
        <w:rPr>
          <w:rFonts w:ascii="Times New Roman" w:eastAsia="Calibri" w:hAnsi="Times New Roman" w:cs="Times New Roman"/>
          <w:sz w:val="20"/>
          <w:szCs w:val="20"/>
        </w:rPr>
        <w:t xml:space="preserve">, </w:t>
      </w:r>
      <w:r w:rsidRPr="00D749DD">
        <w:rPr>
          <w:rFonts w:ascii="Times New Roman" w:eastAsia="Calibri" w:hAnsi="Times New Roman" w:cs="Times New Roman"/>
          <w:sz w:val="20"/>
          <w:szCs w:val="20"/>
        </w:rPr>
        <w:t>Sarno</w:t>
      </w:r>
      <w:r>
        <w:rPr>
          <w:rFonts w:ascii="Times New Roman" w:eastAsia="Calibri" w:hAnsi="Times New Roman" w:cs="Times New Roman"/>
          <w:sz w:val="20"/>
          <w:szCs w:val="20"/>
        </w:rPr>
        <w:t xml:space="preserve">, </w:t>
      </w:r>
      <w:r w:rsidRPr="00D749DD">
        <w:rPr>
          <w:rFonts w:ascii="Times New Roman" w:eastAsia="Calibri" w:hAnsi="Times New Roman" w:cs="Times New Roman"/>
          <w:sz w:val="20"/>
          <w:szCs w:val="20"/>
        </w:rPr>
        <w:t>Schmeling</w:t>
      </w:r>
      <w:r>
        <w:rPr>
          <w:rFonts w:ascii="Times New Roman" w:eastAsia="Calibri" w:hAnsi="Times New Roman" w:cs="Times New Roman"/>
          <w:sz w:val="20"/>
          <w:szCs w:val="20"/>
        </w:rPr>
        <w:t xml:space="preserve">, and </w:t>
      </w:r>
      <w:r w:rsidRPr="00D749DD">
        <w:rPr>
          <w:rFonts w:ascii="Times New Roman" w:eastAsia="Calibri" w:hAnsi="Times New Roman" w:cs="Times New Roman"/>
          <w:sz w:val="20"/>
          <w:szCs w:val="20"/>
        </w:rPr>
        <w:t>Schrimpf</w:t>
      </w:r>
      <w:r>
        <w:rPr>
          <w:rFonts w:ascii="Times New Roman" w:eastAsia="Calibri" w:hAnsi="Times New Roman" w:cs="Times New Roman"/>
          <w:sz w:val="20"/>
          <w:szCs w:val="20"/>
        </w:rPr>
        <w:t xml:space="preserve"> (</w:t>
      </w:r>
      <w:r w:rsidRPr="00D749DD">
        <w:rPr>
          <w:rFonts w:ascii="Times New Roman" w:eastAsia="Calibri" w:hAnsi="Times New Roman" w:cs="Times New Roman"/>
          <w:sz w:val="20"/>
          <w:szCs w:val="20"/>
        </w:rPr>
        <w:t>2012</w:t>
      </w:r>
      <w:r>
        <w:rPr>
          <w:rFonts w:ascii="Times New Roman" w:eastAsia="Calibri" w:hAnsi="Times New Roman" w:cs="Times New Roman"/>
          <w:sz w:val="20"/>
          <w:szCs w:val="20"/>
        </w:rPr>
        <w:t>).</w:t>
      </w:r>
    </w:p>
  </w:footnote>
  <w:footnote w:id="9">
    <w:p w:rsidR="004C02CC" w:rsidRPr="00761B2C" w:rsidRDefault="004C02CC" w:rsidP="00761B2C">
      <w:pPr>
        <w:ind w:firstLine="284"/>
        <w:jc w:val="both"/>
        <w:rPr>
          <w:rFonts w:ascii="Times New Roman" w:hAnsi="Times New Roman" w:cs="Times New Roman"/>
          <w:sz w:val="20"/>
          <w:szCs w:val="20"/>
        </w:rPr>
      </w:pPr>
      <w:r w:rsidRPr="0085170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w:t>
      </w:r>
      <w:r w:rsidRPr="00761B2C">
        <w:rPr>
          <w:rFonts w:ascii="Times New Roman" w:eastAsia="Calibri" w:hAnsi="Times New Roman" w:cs="Times New Roman"/>
          <w:sz w:val="20"/>
          <w:szCs w:val="20"/>
        </w:rPr>
        <w:t>net excess returns estimated using the bid-ask quotes from WMR should be regarded as conservative estimates relative to returns if estimated using the effective inter-dealer quotes in FX markets. Th</w:t>
      </w:r>
      <w:r>
        <w:rPr>
          <w:rFonts w:ascii="Times New Roman" w:eastAsia="Calibri" w:hAnsi="Times New Roman" w:cs="Times New Roman"/>
          <w:sz w:val="20"/>
          <w:szCs w:val="20"/>
        </w:rPr>
        <w:t xml:space="preserve">e </w:t>
      </w:r>
      <w:r w:rsidRPr="00761B2C">
        <w:rPr>
          <w:rFonts w:ascii="Times New Roman" w:eastAsia="Calibri" w:hAnsi="Times New Roman" w:cs="Times New Roman"/>
          <w:sz w:val="20"/>
          <w:szCs w:val="20"/>
        </w:rPr>
        <w:t xml:space="preserve">quoted bid-ask spreads, although indicative of the daily market condition, are roughly twice larger than the effective inter-dealer spreads </w:t>
      </w:r>
      <w:r>
        <w:rPr>
          <w:rFonts w:ascii="Times New Roman" w:eastAsia="Calibri" w:hAnsi="Times New Roman" w:cs="Times New Roman"/>
          <w:sz w:val="20"/>
          <w:szCs w:val="20"/>
        </w:rPr>
        <w:t>(</w:t>
      </w:r>
      <w:r w:rsidRPr="00761B2C">
        <w:rPr>
          <w:rFonts w:ascii="Times New Roman" w:eastAsia="Calibri" w:hAnsi="Times New Roman" w:cs="Times New Roman"/>
          <w:sz w:val="20"/>
          <w:szCs w:val="20"/>
        </w:rPr>
        <w:t>Lyons (2001)</w:t>
      </w:r>
      <w:r>
        <w:rPr>
          <w:rFonts w:ascii="Times New Roman" w:eastAsia="Calibri" w:hAnsi="Times New Roman" w:cs="Times New Roman"/>
          <w:sz w:val="20"/>
          <w:szCs w:val="20"/>
        </w:rPr>
        <w:t>).</w:t>
      </w:r>
    </w:p>
  </w:footnote>
  <w:footnote w:id="10">
    <w:p w:rsidR="004C02CC" w:rsidRPr="0086764F" w:rsidRDefault="004C02CC" w:rsidP="00D37DAC">
      <w:pPr>
        <w:ind w:firstLine="284"/>
        <w:jc w:val="both"/>
        <w:rPr>
          <w:rFonts w:ascii="Times New Roman" w:hAnsi="Times New Roman" w:cs="Times New Roman"/>
          <w:sz w:val="20"/>
          <w:szCs w:val="20"/>
        </w:rPr>
      </w:pPr>
      <w:r w:rsidRPr="0085170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We also</w:t>
      </w:r>
      <w:r w:rsidRPr="003A4165">
        <w:rPr>
          <w:rFonts w:ascii="Times New Roman" w:hAnsi="Times New Roman" w:cs="Times New Roman"/>
          <w:sz w:val="20"/>
          <w:szCs w:val="20"/>
        </w:rPr>
        <w:t xml:space="preserve"> </w:t>
      </w:r>
      <w:r>
        <w:rPr>
          <w:rFonts w:ascii="Times New Roman" w:hAnsi="Times New Roman" w:cs="Times New Roman"/>
          <w:sz w:val="20"/>
          <w:szCs w:val="20"/>
        </w:rPr>
        <w:t>compute</w:t>
      </w:r>
      <w:r w:rsidRPr="003A4165">
        <w:rPr>
          <w:rFonts w:ascii="Times New Roman" w:hAnsi="Times New Roman" w:cs="Times New Roman"/>
          <w:sz w:val="20"/>
          <w:szCs w:val="20"/>
        </w:rPr>
        <w:t xml:space="preserve"> descriptive statistics for the five carry trade portfolios, the DOL and HML carry trade portfolios constructed using the subsample of 15 developed countries. The results </w:t>
      </w:r>
      <w:r>
        <w:rPr>
          <w:rFonts w:ascii="Times New Roman" w:hAnsi="Times New Roman" w:cs="Times New Roman"/>
          <w:sz w:val="20"/>
          <w:szCs w:val="20"/>
        </w:rPr>
        <w:t>reported in Table A1 of the Internet Appendix confirms qualitatively and quantitatively the ones reported in Table 1.</w:t>
      </w:r>
    </w:p>
  </w:footnote>
  <w:footnote w:id="11">
    <w:p w:rsidR="004C02CC" w:rsidRPr="0086764F" w:rsidRDefault="004C02CC" w:rsidP="00C95DBD">
      <w:pPr>
        <w:ind w:firstLine="284"/>
        <w:jc w:val="both"/>
        <w:rPr>
          <w:rFonts w:ascii="Times New Roman" w:hAnsi="Times New Roman" w:cs="Times New Roman"/>
          <w:sz w:val="20"/>
          <w:szCs w:val="20"/>
        </w:rPr>
      </w:pPr>
      <w:r w:rsidRPr="0085170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86764F">
        <w:rPr>
          <w:rFonts w:ascii="Times New Roman" w:hAnsi="Times New Roman" w:cs="Times New Roman"/>
          <w:sz w:val="20"/>
          <w:szCs w:val="20"/>
        </w:rPr>
        <w:t>The</w:t>
      </w:r>
      <w:r>
        <w:rPr>
          <w:rFonts w:ascii="Times New Roman" w:hAnsi="Times New Roman" w:cs="Times New Roman"/>
          <w:sz w:val="20"/>
          <w:szCs w:val="20"/>
        </w:rPr>
        <w:t>se values are in line with those reported for FX volatility decomposition in the literature (e.g., Maheu (2005)).</w:t>
      </w:r>
    </w:p>
  </w:footnote>
  <w:footnote w:id="12">
    <w:p w:rsidR="004C02CC" w:rsidRPr="00CB2DE6" w:rsidRDefault="004C02CC" w:rsidP="00C95DBD">
      <w:pPr>
        <w:pStyle w:val="FootnoteText"/>
        <w:ind w:firstLine="284"/>
        <w:jc w:val="both"/>
        <w:rPr>
          <w:rFonts w:ascii="Times New Roman" w:hAnsi="Times New Roman"/>
        </w:rPr>
      </w:pPr>
      <w:r w:rsidRPr="00CB2DE6">
        <w:rPr>
          <w:rStyle w:val="FootnoteReference"/>
          <w:rFonts w:ascii="Times New Roman" w:hAnsi="Times New Roman"/>
        </w:rPr>
        <w:footnoteRef/>
      </w:r>
      <w:r w:rsidRPr="00CB2DE6">
        <w:rPr>
          <w:rFonts w:ascii="Times New Roman" w:hAnsi="Times New Roman"/>
        </w:rPr>
        <w:t xml:space="preserve"> The conditional variance estimate can be related to </w:t>
      </w:r>
      <w:r w:rsidR="005D5A99">
        <w:rPr>
          <w:rFonts w:ascii="Times New Roman" w:hAnsi="Times New Roman"/>
        </w:rPr>
        <w:t xml:space="preserve">the </w:t>
      </w:r>
      <w:r w:rsidRPr="00CB2DE6">
        <w:rPr>
          <w:rFonts w:ascii="Times New Roman" w:hAnsi="Times New Roman"/>
        </w:rPr>
        <w:t xml:space="preserve">global FX volatility measure of Menkhoff, Sarno, </w:t>
      </w:r>
      <w:r>
        <w:rPr>
          <w:rFonts w:ascii="Times New Roman" w:hAnsi="Times New Roman"/>
        </w:rPr>
        <w:t>Schmeling, and Schrimpf (2012).</w:t>
      </w:r>
      <w:r w:rsidRPr="0031235D">
        <w:rPr>
          <w:rFonts w:ascii="Times New Roman" w:hAnsi="Times New Roman"/>
        </w:rPr>
        <w:t xml:space="preserve"> </w:t>
      </w:r>
      <w:r w:rsidRPr="00CB2DE6">
        <w:rPr>
          <w:rFonts w:ascii="Times New Roman" w:hAnsi="Times New Roman"/>
        </w:rPr>
        <w:t xml:space="preserve">To show this, we first take the square-root of the time-series on estimated conditional variance and average the resultant series over the number of trading days in each month. We then construct the </w:t>
      </w:r>
      <w:r w:rsidR="0010735E" w:rsidRPr="00CB2DE6">
        <w:rPr>
          <w:rFonts w:ascii="Times New Roman" w:hAnsi="Times New Roman"/>
        </w:rPr>
        <w:t xml:space="preserve">Menkhoff, Sarno, </w:t>
      </w:r>
      <w:r w:rsidR="0010735E">
        <w:rPr>
          <w:rFonts w:ascii="Times New Roman" w:hAnsi="Times New Roman"/>
        </w:rPr>
        <w:t xml:space="preserve">Schmeling, and Schrimpf (2012) </w:t>
      </w:r>
      <w:r w:rsidRPr="00CB2DE6">
        <w:rPr>
          <w:rFonts w:ascii="Times New Roman" w:hAnsi="Times New Roman"/>
        </w:rPr>
        <w:t xml:space="preserve">measure of global FX volatility in each month </w:t>
      </w:r>
      <m:oMath>
        <m:r>
          <w:rPr>
            <w:rFonts w:ascii="Cambria Math" w:hAnsi="Cambria Math"/>
          </w:rPr>
          <m:t>t</m:t>
        </m:r>
      </m:oMath>
      <w:r w:rsidRPr="00CB2DE6">
        <w:rPr>
          <w:rFonts w:ascii="Times New Roman" w:hAnsi="Times New Roman"/>
        </w:rPr>
        <w:t xml:space="preserve"> </w:t>
      </w:r>
      <w:r>
        <w:rPr>
          <w:rFonts w:ascii="Times New Roman" w:hAnsi="Times New Roman"/>
        </w:rPr>
        <w:t>as</w:t>
      </w:r>
      <w:r w:rsidRPr="00CB2DE6">
        <w:rPr>
          <w:rFonts w:ascii="Times New Roman" w:hAnsi="Times New Roman"/>
        </w:rPr>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FX</m:t>
            </m:r>
          </m:sup>
        </m:sSubSup>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t</m:t>
                </m:r>
              </m:sub>
            </m:sSub>
          </m:den>
        </m:f>
        <m:nary>
          <m:naryPr>
            <m:chr m:val="∑"/>
            <m:limLoc m:val="undOvr"/>
            <m:supHide m:val="1"/>
            <m:ctrlPr>
              <w:rPr>
                <w:rFonts w:ascii="Cambria Math" w:hAnsi="Cambria Math"/>
                <w:i/>
              </w:rPr>
            </m:ctrlPr>
          </m:naryPr>
          <m:sub>
            <m:r>
              <w:rPr>
                <w:rFonts w:ascii="Cambria Math" w:hAnsi="Cambria Math"/>
              </w:rPr>
              <m:t>τ∈</m:t>
            </m:r>
            <m:sSub>
              <m:sSubPr>
                <m:ctrlPr>
                  <w:rPr>
                    <w:rFonts w:ascii="Cambria Math" w:hAnsi="Cambria Math"/>
                    <w:i/>
                  </w:rPr>
                </m:ctrlPr>
              </m:sSubPr>
              <m:e>
                <m:r>
                  <w:rPr>
                    <w:rFonts w:ascii="Cambria Math" w:hAnsi="Cambria Math"/>
                  </w:rPr>
                  <m:t>T</m:t>
                </m:r>
              </m:e>
              <m:sub>
                <m:r>
                  <w:rPr>
                    <w:rFonts w:ascii="Cambria Math" w:hAnsi="Cambria Math"/>
                  </w:rPr>
                  <m:t>t</m:t>
                </m:r>
              </m:sub>
            </m:sSub>
          </m:sub>
          <m:sup/>
          <m:e>
            <m:d>
              <m:dPr>
                <m:begChr m:val="["/>
                <m:endChr m:val="]"/>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τ</m:t>
                        </m:r>
                      </m:sub>
                    </m:sSub>
                  </m:sub>
                  <m:sup/>
                  <m:e>
                    <m:d>
                      <m:dPr>
                        <m:ctrlPr>
                          <w:rPr>
                            <w:rFonts w:ascii="Cambria Math" w:hAnsi="Cambria Math"/>
                            <w:i/>
                          </w:rPr>
                        </m:ctrlPr>
                      </m:dPr>
                      <m:e>
                        <m:f>
                          <m:fPr>
                            <m:type m:val="lin"/>
                            <m:ctrlPr>
                              <w:rPr>
                                <w:rFonts w:ascii="Cambria Math" w:hAnsi="Cambria Math"/>
                                <w:i/>
                              </w:rPr>
                            </m:ctrlPr>
                          </m:fPr>
                          <m:num>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τ</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τ-1</m:t>
                                        </m:r>
                                      </m:sub>
                                      <m:sup>
                                        <m:r>
                                          <w:rPr>
                                            <w:rFonts w:ascii="Cambria Math" w:hAnsi="Cambria Math"/>
                                          </w:rPr>
                                          <m:t>k</m:t>
                                        </m:r>
                                      </m:sup>
                                    </m:sSubSup>
                                  </m:num>
                                  <m:den>
                                    <m:sSubSup>
                                      <m:sSubSupPr>
                                        <m:ctrlPr>
                                          <w:rPr>
                                            <w:rFonts w:ascii="Cambria Math" w:hAnsi="Cambria Math"/>
                                            <w:i/>
                                          </w:rPr>
                                        </m:ctrlPr>
                                      </m:sSubSupPr>
                                      <m:e>
                                        <m:r>
                                          <w:rPr>
                                            <w:rFonts w:ascii="Cambria Math" w:hAnsi="Cambria Math"/>
                                          </w:rPr>
                                          <m:t>S</m:t>
                                        </m:r>
                                      </m:e>
                                      <m:sub>
                                        <m:r>
                                          <w:rPr>
                                            <w:rFonts w:ascii="Cambria Math" w:hAnsi="Cambria Math"/>
                                          </w:rPr>
                                          <m:t>τ-1</m:t>
                                        </m:r>
                                      </m:sub>
                                      <m:sup>
                                        <m:r>
                                          <w:rPr>
                                            <w:rFonts w:ascii="Cambria Math" w:hAnsi="Cambria Math"/>
                                          </w:rPr>
                                          <m:t>k</m:t>
                                        </m:r>
                                      </m:sup>
                                    </m:sSubSup>
                                  </m:den>
                                </m:f>
                              </m:e>
                            </m:d>
                          </m:num>
                          <m:den>
                            <m:sSub>
                              <m:sSubPr>
                                <m:ctrlPr>
                                  <w:rPr>
                                    <w:rFonts w:ascii="Cambria Math" w:hAnsi="Cambria Math"/>
                                    <w:i/>
                                  </w:rPr>
                                </m:ctrlPr>
                              </m:sSubPr>
                              <m:e>
                                <m:r>
                                  <w:rPr>
                                    <w:rFonts w:ascii="Cambria Math" w:hAnsi="Cambria Math"/>
                                  </w:rPr>
                                  <m:t>K</m:t>
                                </m:r>
                              </m:e>
                              <m:sub>
                                <m:r>
                                  <w:rPr>
                                    <w:rFonts w:ascii="Cambria Math" w:hAnsi="Cambria Math"/>
                                  </w:rPr>
                                  <m:t>τ</m:t>
                                </m:r>
                              </m:sub>
                            </m:sSub>
                          </m:den>
                        </m:f>
                      </m:e>
                    </m:d>
                  </m:e>
                </m:nary>
              </m:e>
            </m:d>
          </m:e>
        </m:nary>
      </m:oMath>
      <w:r w:rsidRPr="00CB2DE6">
        <w:rPr>
          <w:rFonts w:ascii="Times New Roman" w:hAnsi="Times New Roman"/>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Pr="00CB2DE6">
        <w:rPr>
          <w:rFonts w:ascii="Times New Roman" w:hAnsi="Times New Roman"/>
        </w:rPr>
        <w:t xml:space="preserve"> denotes the total number of trading days in month </w:t>
      </w:r>
      <m:oMath>
        <m:r>
          <w:rPr>
            <w:rFonts w:ascii="Cambria Math" w:hAnsi="Cambria Math"/>
          </w:rPr>
          <m:t>t</m:t>
        </m:r>
      </m:oMath>
      <w:r w:rsidRPr="00CB2DE6">
        <w:rPr>
          <w:rFonts w:ascii="Times New Roman" w:hAnsi="Times New Roman"/>
        </w:rPr>
        <w:t>. The correlation between these two versions of global FX volatilities is +79%.</w:t>
      </w:r>
    </w:p>
  </w:footnote>
  <w:footnote w:id="13">
    <w:p w:rsidR="004C02CC" w:rsidRPr="00CB2DE6" w:rsidRDefault="004C02CC" w:rsidP="00C95DBD">
      <w:pPr>
        <w:pStyle w:val="FootnoteText"/>
        <w:ind w:firstLine="284"/>
        <w:jc w:val="both"/>
        <w:rPr>
          <w:rFonts w:ascii="Times New Roman" w:hAnsi="Times New Roman"/>
        </w:rPr>
      </w:pPr>
      <w:r w:rsidRPr="00CB2DE6">
        <w:rPr>
          <w:rStyle w:val="FootnoteReference"/>
          <w:rFonts w:ascii="Times New Roman" w:hAnsi="Times New Roman"/>
        </w:rPr>
        <w:footnoteRef/>
      </w:r>
      <w:r w:rsidRPr="00CB2DE6">
        <w:rPr>
          <w:rFonts w:ascii="Times New Roman" w:hAnsi="Times New Roman"/>
        </w:rPr>
        <w:t xml:space="preserve"> Although some alternative testing procedures have been proposed in the literature to compare the in-sample performance </w:t>
      </w:r>
      <w:r w:rsidR="00E73446">
        <w:rPr>
          <w:rFonts w:ascii="Times New Roman" w:hAnsi="Times New Roman"/>
        </w:rPr>
        <w:t xml:space="preserve">of </w:t>
      </w:r>
      <w:r w:rsidRPr="00CB2DE6">
        <w:rPr>
          <w:rFonts w:ascii="Times New Roman" w:hAnsi="Times New Roman"/>
        </w:rPr>
        <w:t>non-nested volatility models (Lee and Brorsen (1997), Kobayashi and Shi (2005), and the references therein), they are either unsuitable to our case.</w:t>
      </w:r>
    </w:p>
  </w:footnote>
  <w:footnote w:id="14">
    <w:p w:rsidR="004C02CC" w:rsidRPr="0085170A" w:rsidRDefault="004C02CC" w:rsidP="00D03147">
      <w:pPr>
        <w:pStyle w:val="FootnoteText"/>
        <w:ind w:firstLine="284"/>
        <w:jc w:val="both"/>
        <w:rPr>
          <w:rFonts w:ascii="Times New Roman" w:hAnsi="Times New Roman"/>
        </w:rPr>
      </w:pPr>
      <w:r w:rsidRPr="0085170A">
        <w:rPr>
          <w:rStyle w:val="FootnoteReference"/>
          <w:rFonts w:ascii="Times New Roman" w:hAnsi="Times New Roman"/>
        </w:rPr>
        <w:footnoteRef/>
      </w:r>
      <w:r>
        <w:rPr>
          <w:rFonts w:ascii="Times New Roman" w:hAnsi="Times New Roman"/>
        </w:rPr>
        <w:t xml:space="preserve"> Full details of the out-of-sample volatility testing procedure are reported in the Internet Appendix.</w:t>
      </w:r>
    </w:p>
  </w:footnote>
  <w:footnote w:id="15">
    <w:p w:rsidR="004C02CC" w:rsidRPr="0085170A" w:rsidRDefault="004C02CC" w:rsidP="00C95DBD">
      <w:pPr>
        <w:pStyle w:val="FootnoteText"/>
        <w:ind w:firstLine="284"/>
        <w:jc w:val="both"/>
        <w:rPr>
          <w:rFonts w:ascii="Times New Roman" w:hAnsi="Times New Roman"/>
        </w:rPr>
      </w:pPr>
      <w:r w:rsidRPr="0085170A">
        <w:rPr>
          <w:rStyle w:val="FootnoteReference"/>
          <w:rFonts w:ascii="Times New Roman" w:hAnsi="Times New Roman"/>
        </w:rPr>
        <w:footnoteRef/>
      </w:r>
      <w:r>
        <w:rPr>
          <w:rFonts w:ascii="Times New Roman" w:hAnsi="Times New Roman"/>
        </w:rPr>
        <w:t xml:space="preserve"> We have also carried out a thorough robustness check on the results of our asset pric</w:t>
      </w:r>
      <w:r w:rsidR="00133E8E">
        <w:rPr>
          <w:rFonts w:ascii="Times New Roman" w:hAnsi="Times New Roman"/>
        </w:rPr>
        <w:t xml:space="preserve">ing </w:t>
      </w:r>
      <w:r>
        <w:rPr>
          <w:rFonts w:ascii="Times New Roman" w:hAnsi="Times New Roman"/>
        </w:rPr>
        <w:t>tests using alternative frameworks used to decompose global FX volatility, which are not based on GARCH models. The results, discussed in Section 5.1, confirm our baseline findings and they are reported in Tables IA4</w:t>
      </w:r>
      <w:r w:rsidRPr="00DC2F99">
        <w:rPr>
          <w:rFonts w:ascii="Times New Roman" w:hAnsi="Times New Roman"/>
        </w:rPr>
        <w:t>−</w:t>
      </w:r>
      <w:r>
        <w:rPr>
          <w:rFonts w:ascii="Times New Roman" w:hAnsi="Times New Roman"/>
        </w:rPr>
        <w:t xml:space="preserve">IA6 of the Internet Appendix.   </w:t>
      </w:r>
    </w:p>
  </w:footnote>
  <w:footnote w:id="16">
    <w:p w:rsidR="004C02CC" w:rsidRPr="00F9412A" w:rsidRDefault="004C02CC" w:rsidP="004C2474">
      <w:pPr>
        <w:pStyle w:val="FootnoteText"/>
        <w:ind w:firstLine="284"/>
        <w:jc w:val="both"/>
        <w:rPr>
          <w:rFonts w:ascii="Times New Roman" w:hAnsi="Times New Roman"/>
        </w:rPr>
      </w:pPr>
      <w:r w:rsidRPr="0085170A">
        <w:rPr>
          <w:rStyle w:val="FootnoteReference"/>
          <w:rFonts w:ascii="Times New Roman" w:hAnsi="Times New Roman"/>
        </w:rPr>
        <w:footnoteRef/>
      </w:r>
      <w:r>
        <w:rPr>
          <w:rFonts w:ascii="Times New Roman" w:hAnsi="Times New Roman"/>
        </w:rPr>
        <w:t xml:space="preserve"> </w:t>
      </w:r>
      <w:r w:rsidRPr="00F9412A">
        <w:rPr>
          <w:rFonts w:ascii="Times New Roman" w:hAnsi="Times New Roman"/>
        </w:rPr>
        <w:t xml:space="preserve">The end-of-month estimates of volatility components closely follow their average-of-month counterparts. The correlations between the end- and average-of-month series are +93% and +92% for the short- and </w:t>
      </w:r>
      <w:r>
        <w:rPr>
          <w:rFonts w:ascii="Times New Roman" w:hAnsi="Times New Roman"/>
        </w:rPr>
        <w:t>long-run</w:t>
      </w:r>
      <w:r w:rsidRPr="00F9412A">
        <w:rPr>
          <w:rFonts w:ascii="Times New Roman" w:hAnsi="Times New Roman"/>
        </w:rPr>
        <w:t xml:space="preserve"> components, respectively. The corresponding correlations increase to +96% and +94% for the sample period considered in asset pricing regressions.</w:t>
      </w:r>
    </w:p>
  </w:footnote>
  <w:footnote w:id="17">
    <w:p w:rsidR="004C02CC" w:rsidRPr="0085170A" w:rsidRDefault="004C02CC" w:rsidP="00516D8D">
      <w:pPr>
        <w:pStyle w:val="FootnoteText"/>
        <w:ind w:firstLine="284"/>
        <w:jc w:val="both"/>
        <w:rPr>
          <w:rFonts w:ascii="Times New Roman" w:hAnsi="Times New Roman"/>
        </w:rPr>
      </w:pPr>
      <w:r w:rsidRPr="0085170A">
        <w:rPr>
          <w:rStyle w:val="FootnoteReference"/>
          <w:rFonts w:ascii="Times New Roman" w:hAnsi="Times New Roman"/>
        </w:rPr>
        <w:footnoteRef/>
      </w:r>
      <w:r>
        <w:t xml:space="preserve"> </w:t>
      </w:r>
      <w:r>
        <w:rPr>
          <w:rFonts w:ascii="Times New Roman" w:hAnsi="Times New Roman"/>
        </w:rPr>
        <w:t>D</w:t>
      </w:r>
      <w:r w:rsidRPr="004C2474">
        <w:rPr>
          <w:rFonts w:ascii="Times New Roman" w:hAnsi="Times New Roman"/>
        </w:rPr>
        <w:t>escriptive statistics for both of the innovatio</w:t>
      </w:r>
      <w:r>
        <w:rPr>
          <w:rFonts w:ascii="Times New Roman" w:hAnsi="Times New Roman"/>
        </w:rPr>
        <w:t>n series at a monthly frequency are reported in Table A2 of the Internet Appendix. W</w:t>
      </w:r>
      <w:r w:rsidRPr="00150592">
        <w:rPr>
          <w:rFonts w:ascii="Times New Roman" w:hAnsi="Times New Roman"/>
        </w:rPr>
        <w:t xml:space="preserve">e drop first 42 months of data on volatility component innovations (as burn-in period) and perform asset pricing analysis covering the period from May 1987 to February 2013. </w:t>
      </w:r>
    </w:p>
  </w:footnote>
  <w:footnote w:id="18">
    <w:p w:rsidR="004C02CC" w:rsidRPr="00CB2DE6" w:rsidRDefault="004C02CC" w:rsidP="00A8110A">
      <w:pPr>
        <w:pStyle w:val="NoSpacing"/>
        <w:ind w:firstLine="284"/>
        <w:jc w:val="both"/>
        <w:rPr>
          <w:sz w:val="20"/>
          <w:szCs w:val="20"/>
        </w:rPr>
      </w:pPr>
      <w:r w:rsidRPr="00CB2DE6">
        <w:rPr>
          <w:rStyle w:val="FootnoteReference"/>
          <w:rFonts w:ascii="Times New Roman" w:hAnsi="Times New Roman"/>
          <w:sz w:val="20"/>
          <w:szCs w:val="20"/>
        </w:rPr>
        <w:footnoteRef/>
      </w:r>
      <w:r w:rsidRPr="00CB2DE6">
        <w:rPr>
          <w:sz w:val="20"/>
          <w:szCs w:val="20"/>
        </w:rPr>
        <w:t xml:space="preserve"> </w:t>
      </w:r>
      <w:r w:rsidRPr="00CB2DE6">
        <w:rPr>
          <w:rFonts w:ascii="Times New Roman" w:hAnsi="Times New Roman" w:cs="Times New Roman"/>
          <w:sz w:val="20"/>
          <w:szCs w:val="20"/>
        </w:rPr>
        <w:t>This evidence is also corroborated by the results reported in Wrampelmeyer (2012) showing that volatility responses to illiquidity shocks are nearly four time larger in the equity market than the FX market.</w:t>
      </w:r>
    </w:p>
  </w:footnote>
  <w:footnote w:id="19">
    <w:p w:rsidR="004C02CC" w:rsidRPr="0085170A" w:rsidRDefault="004C02CC" w:rsidP="00D03147">
      <w:pPr>
        <w:pStyle w:val="FootnoteText"/>
        <w:ind w:firstLine="284"/>
        <w:jc w:val="both"/>
        <w:rPr>
          <w:rFonts w:ascii="Times New Roman" w:hAnsi="Times New Roman"/>
        </w:rPr>
      </w:pPr>
      <w:r w:rsidRPr="0085170A">
        <w:rPr>
          <w:rStyle w:val="FootnoteReference"/>
          <w:rFonts w:ascii="Times New Roman" w:hAnsi="Times New Roman"/>
        </w:rPr>
        <w:footnoteRef/>
      </w:r>
      <w:r>
        <w:rPr>
          <w:rFonts w:ascii="Times New Roman" w:hAnsi="Times New Roman"/>
        </w:rPr>
        <w:t xml:space="preserve"> See the Internet Appendix for full details of the model.</w:t>
      </w:r>
    </w:p>
  </w:footnote>
  <w:footnote w:id="20">
    <w:p w:rsidR="004C02CC" w:rsidRPr="0085170A" w:rsidRDefault="004C02CC" w:rsidP="009D6259">
      <w:pPr>
        <w:pStyle w:val="NoSpacing"/>
        <w:ind w:firstLine="284"/>
        <w:jc w:val="both"/>
        <w:rPr>
          <w:rFonts w:ascii="Times New Roman" w:hAnsi="Times New Roman"/>
        </w:rPr>
      </w:pPr>
      <w:r w:rsidRPr="00CB2DE6">
        <w:rPr>
          <w:rStyle w:val="FootnoteReference"/>
          <w:rFonts w:ascii="Times New Roman" w:hAnsi="Times New Roman"/>
          <w:sz w:val="20"/>
          <w:szCs w:val="20"/>
        </w:rPr>
        <w:footnoteRef/>
      </w:r>
      <w:r w:rsidRPr="00CB2DE6">
        <w:rPr>
          <w:sz w:val="20"/>
          <w:szCs w:val="20"/>
        </w:rPr>
        <w:t xml:space="preserve"> </w:t>
      </w:r>
      <w:r w:rsidRPr="00CB2DE6">
        <w:rPr>
          <w:rFonts w:ascii="Times New Roman" w:hAnsi="Times New Roman" w:cs="Times New Roman"/>
          <w:sz w:val="20"/>
          <w:szCs w:val="20"/>
        </w:rPr>
        <w:t>Perma</w:t>
      </w:r>
      <w:r>
        <w:rPr>
          <w:rFonts w:ascii="Times New Roman" w:hAnsi="Times New Roman" w:cs="Times New Roman"/>
          <w:sz w:val="20"/>
          <w:szCs w:val="20"/>
        </w:rPr>
        <w:t xml:space="preserve">nent-transitory decompositions, </w:t>
      </w:r>
      <w:r w:rsidRPr="00CB2DE6">
        <w:rPr>
          <w:rFonts w:ascii="Times New Roman" w:hAnsi="Times New Roman" w:cs="Times New Roman"/>
          <w:sz w:val="20"/>
          <w:szCs w:val="20"/>
        </w:rPr>
        <w:t xml:space="preserve">generally carried out by variants of the Beveridge and Nelson (1981) decompositions, are also routinely employed in empirical studies in international finance (see, among others, Corsetti and Konstantinou (2012) and the references therein). </w:t>
      </w:r>
    </w:p>
  </w:footnote>
  <w:footnote w:id="21">
    <w:p w:rsidR="004C02CC" w:rsidRPr="00CB2DE6" w:rsidRDefault="004C02CC" w:rsidP="008657DF">
      <w:pPr>
        <w:ind w:firstLine="284"/>
        <w:jc w:val="both"/>
        <w:rPr>
          <w:rFonts w:ascii="Times New Roman" w:hAnsi="Times New Roman"/>
          <w:sz w:val="20"/>
          <w:szCs w:val="20"/>
        </w:rPr>
      </w:pPr>
      <w:r w:rsidRPr="00CB2DE6">
        <w:rPr>
          <w:rStyle w:val="FootnoteReference"/>
          <w:rFonts w:ascii="Times New Roman" w:hAnsi="Times New Roman"/>
          <w:sz w:val="20"/>
          <w:szCs w:val="20"/>
        </w:rPr>
        <w:footnoteRef/>
      </w:r>
      <w:r w:rsidRPr="00CB2DE6">
        <w:rPr>
          <w:rFonts w:ascii="Times New Roman" w:hAnsi="Times New Roman"/>
          <w:sz w:val="20"/>
          <w:szCs w:val="20"/>
        </w:rPr>
        <w:t xml:space="preserve"> We do not find any meaningful pattern in annualized mean excess returns or/and forward discounts for portfolios and therefore do not report them in the paper. Besides, we </w:t>
      </w:r>
      <w:r w:rsidRPr="00CB2DE6">
        <w:rPr>
          <w:rFonts w:ascii="Times New Roman" w:hAnsi="Times New Roman" w:cs="Times New Roman"/>
          <w:sz w:val="20"/>
          <w:szCs w:val="20"/>
        </w:rPr>
        <w:t>abstain from double sorting currencies since it yields missing observations in many months, especially for portfolios based on the sample comprising developed countries.</w:t>
      </w:r>
    </w:p>
  </w:footnote>
  <w:footnote w:id="22">
    <w:p w:rsidR="004C02CC" w:rsidRPr="00C67A76" w:rsidRDefault="004C02CC" w:rsidP="00C67A76">
      <w:pPr>
        <w:ind w:firstLine="284"/>
        <w:jc w:val="both"/>
        <w:rPr>
          <w:rFonts w:ascii="Times New Roman" w:hAnsi="Times New Roman"/>
          <w:sz w:val="20"/>
          <w:szCs w:val="20"/>
        </w:rPr>
      </w:pPr>
      <w:r w:rsidRPr="00C67A76">
        <w:rPr>
          <w:rStyle w:val="FootnoteReference"/>
          <w:rFonts w:ascii="Times New Roman" w:hAnsi="Times New Roman"/>
          <w:sz w:val="20"/>
          <w:szCs w:val="20"/>
        </w:rPr>
        <w:footnoteRef/>
      </w:r>
      <w:r w:rsidRPr="00C67A76">
        <w:rPr>
          <w:rFonts w:ascii="Times New Roman" w:hAnsi="Times New Roman"/>
          <w:sz w:val="20"/>
          <w:szCs w:val="20"/>
        </w:rPr>
        <w:t xml:space="preserve"> </w:t>
      </w:r>
      <w:r w:rsidRPr="00C67A76">
        <w:rPr>
          <w:rFonts w:ascii="Times New Roman" w:hAnsi="Times New Roman" w:cs="Times New Roman"/>
          <w:sz w:val="20"/>
          <w:szCs w:val="20"/>
        </w:rPr>
        <w:t>The seasonally adju</w:t>
      </w:r>
      <w:r>
        <w:rPr>
          <w:rFonts w:ascii="Times New Roman" w:hAnsi="Times New Roman" w:cs="Times New Roman"/>
          <w:sz w:val="20"/>
          <w:szCs w:val="20"/>
        </w:rPr>
        <w:t>sted industrial production data</w:t>
      </w:r>
      <w:r w:rsidRPr="00C67A76">
        <w:rPr>
          <w:rFonts w:ascii="Times New Roman" w:hAnsi="Times New Roman" w:cs="Times New Roman"/>
          <w:sz w:val="20"/>
          <w:szCs w:val="20"/>
        </w:rPr>
        <w:t xml:space="preserve"> are from the </w:t>
      </w:r>
      <w:r>
        <w:rPr>
          <w:rFonts w:ascii="Times New Roman" w:hAnsi="Times New Roman" w:cs="Times New Roman"/>
          <w:sz w:val="20"/>
          <w:szCs w:val="20"/>
        </w:rPr>
        <w:t xml:space="preserve">IMF </w:t>
      </w:r>
      <w:r w:rsidRPr="00C67A76">
        <w:rPr>
          <w:rFonts w:ascii="Times New Roman" w:hAnsi="Times New Roman" w:cs="Times New Roman"/>
          <w:sz w:val="20"/>
          <w:szCs w:val="20"/>
        </w:rPr>
        <w:t>International Financial Statistics. We consider monthly growth rate.</w:t>
      </w:r>
      <w:r>
        <w:rPr>
          <w:rFonts w:ascii="Times New Roman" w:hAnsi="Times New Roman" w:cs="Times New Roman"/>
          <w:sz w:val="20"/>
          <w:szCs w:val="20"/>
        </w:rPr>
        <w:t xml:space="preserve"> </w:t>
      </w:r>
      <w:r>
        <w:rPr>
          <w:rFonts w:ascii="Times New Roman" w:hAnsi="Times New Roman"/>
          <w:sz w:val="20"/>
          <w:szCs w:val="20"/>
        </w:rPr>
        <w:t xml:space="preserve">As a proxy for money balances, we use </w:t>
      </w:r>
      <w:r w:rsidRPr="00C67A76">
        <w:rPr>
          <w:rFonts w:ascii="Times New Roman" w:hAnsi="Times New Roman" w:cs="Times New Roman"/>
          <w:sz w:val="20"/>
          <w:szCs w:val="20"/>
        </w:rPr>
        <w:t>data on seasonally adjusted M1 stock from the Federal Reserve Bank of St. Louis</w:t>
      </w:r>
      <w:r>
        <w:rPr>
          <w:rFonts w:ascii="Times New Roman" w:hAnsi="Times New Roman" w:cs="Times New Roman"/>
          <w:sz w:val="20"/>
          <w:szCs w:val="20"/>
        </w:rPr>
        <w:t xml:space="preserve">. </w:t>
      </w:r>
      <w:r w:rsidRPr="00C67A76">
        <w:rPr>
          <w:rFonts w:ascii="Times New Roman" w:hAnsi="Times New Roman" w:cs="Times New Roman"/>
          <w:sz w:val="20"/>
          <w:szCs w:val="20"/>
        </w:rPr>
        <w:t>Similar to industrial production, we consider monthly growth rate</w:t>
      </w:r>
      <w:r>
        <w:rPr>
          <w:rFonts w:ascii="Times New Roman" w:hAnsi="Times New Roman" w:cs="Times New Roman"/>
          <w:sz w:val="20"/>
          <w:szCs w:val="20"/>
        </w:rPr>
        <w:t xml:space="preserve"> of the M1 time-series.</w:t>
      </w:r>
    </w:p>
  </w:footnote>
  <w:footnote w:id="23">
    <w:p w:rsidR="00EF0DC3" w:rsidRPr="00C67A76" w:rsidRDefault="00EF0DC3" w:rsidP="00EF0DC3">
      <w:pPr>
        <w:ind w:firstLine="284"/>
        <w:jc w:val="both"/>
        <w:rPr>
          <w:rFonts w:ascii="Times New Roman" w:hAnsi="Times New Roman"/>
          <w:sz w:val="20"/>
          <w:szCs w:val="20"/>
        </w:rPr>
      </w:pPr>
      <w:r w:rsidRPr="00C67A76">
        <w:rPr>
          <w:rStyle w:val="FootnoteReference"/>
          <w:rFonts w:ascii="Times New Roman" w:hAnsi="Times New Roman"/>
          <w:sz w:val="20"/>
          <w:szCs w:val="20"/>
        </w:rPr>
        <w:footnoteRef/>
      </w:r>
      <w:r w:rsidRPr="00C67A76">
        <w:rPr>
          <w:rFonts w:ascii="Times New Roman" w:hAnsi="Times New Roman"/>
          <w:sz w:val="20"/>
          <w:szCs w:val="20"/>
        </w:rPr>
        <w:t xml:space="preserve"> </w:t>
      </w:r>
      <w:r w:rsidRPr="00C67A76">
        <w:rPr>
          <w:rFonts w:ascii="Times New Roman" w:hAnsi="Times New Roman" w:cs="Times New Roman"/>
          <w:sz w:val="20"/>
          <w:szCs w:val="20"/>
        </w:rPr>
        <w:t xml:space="preserve">We report the </w:t>
      </w:r>
      <w:r>
        <w:rPr>
          <w:rFonts w:ascii="Times New Roman" w:hAnsi="Times New Roman" w:cs="Times New Roman"/>
          <w:sz w:val="20"/>
          <w:szCs w:val="20"/>
        </w:rPr>
        <w:t xml:space="preserve">estimated </w:t>
      </w:r>
      <w:r w:rsidRPr="00C67A76">
        <w:rPr>
          <w:rFonts w:ascii="Times New Roman" w:hAnsi="Times New Roman" w:cs="Times New Roman"/>
          <w:sz w:val="20"/>
          <w:szCs w:val="20"/>
        </w:rPr>
        <w:t>IRFs for a unit positive shock with the 95% confidence intervals. The order of the VAR is chosen based on the Schwartz Bayesian Information Criterion.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2AF"/>
    <w:multiLevelType w:val="hybridMultilevel"/>
    <w:tmpl w:val="05BC5D28"/>
    <w:lvl w:ilvl="0" w:tplc="A900E5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3A119F"/>
    <w:multiLevelType w:val="multilevel"/>
    <w:tmpl w:val="76261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D6ED5"/>
    <w:multiLevelType w:val="hybridMultilevel"/>
    <w:tmpl w:val="F0B8818E"/>
    <w:lvl w:ilvl="0" w:tplc="9C7E0DA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D95219"/>
    <w:multiLevelType w:val="hybridMultilevel"/>
    <w:tmpl w:val="D080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0337C"/>
    <w:multiLevelType w:val="hybridMultilevel"/>
    <w:tmpl w:val="6EA4F65C"/>
    <w:lvl w:ilvl="0" w:tplc="22244C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DFB59C1"/>
    <w:multiLevelType w:val="hybridMultilevel"/>
    <w:tmpl w:val="4282FFA8"/>
    <w:lvl w:ilvl="0" w:tplc="BC38540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B648E9"/>
    <w:multiLevelType w:val="hybridMultilevel"/>
    <w:tmpl w:val="7F263FDC"/>
    <w:lvl w:ilvl="0" w:tplc="A900E5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A403FF"/>
    <w:multiLevelType w:val="hybridMultilevel"/>
    <w:tmpl w:val="3110798C"/>
    <w:lvl w:ilvl="0" w:tplc="6F14B55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55543F"/>
    <w:multiLevelType w:val="hybridMultilevel"/>
    <w:tmpl w:val="A9EE934C"/>
    <w:lvl w:ilvl="0" w:tplc="A900E5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4A7D94"/>
    <w:multiLevelType w:val="hybridMultilevel"/>
    <w:tmpl w:val="EA067E4C"/>
    <w:lvl w:ilvl="0" w:tplc="DEB0B96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45FEC"/>
    <w:multiLevelType w:val="multilevel"/>
    <w:tmpl w:val="49FA5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60ECD"/>
    <w:multiLevelType w:val="multilevel"/>
    <w:tmpl w:val="0804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B7788"/>
    <w:multiLevelType w:val="hybridMultilevel"/>
    <w:tmpl w:val="18305370"/>
    <w:lvl w:ilvl="0" w:tplc="4B8CA0E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BD6B24"/>
    <w:multiLevelType w:val="hybridMultilevel"/>
    <w:tmpl w:val="ABDA51DE"/>
    <w:lvl w:ilvl="0" w:tplc="A900E5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904DC5"/>
    <w:multiLevelType w:val="multilevel"/>
    <w:tmpl w:val="6914A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8C48FA"/>
    <w:multiLevelType w:val="multilevel"/>
    <w:tmpl w:val="A8D2F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A7D08"/>
    <w:multiLevelType w:val="hybridMultilevel"/>
    <w:tmpl w:val="A08A7C18"/>
    <w:lvl w:ilvl="0" w:tplc="6B38B6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F17748"/>
    <w:multiLevelType w:val="multilevel"/>
    <w:tmpl w:val="9098B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77C1F"/>
    <w:multiLevelType w:val="hybridMultilevel"/>
    <w:tmpl w:val="931E53A8"/>
    <w:lvl w:ilvl="0" w:tplc="BE94C556">
      <w:start w:val="3"/>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500CA3"/>
    <w:multiLevelType w:val="hybridMultilevel"/>
    <w:tmpl w:val="924C0C5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F1A0B61"/>
    <w:multiLevelType w:val="hybridMultilevel"/>
    <w:tmpl w:val="AEAA488E"/>
    <w:lvl w:ilvl="0" w:tplc="A900E5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5241DA"/>
    <w:multiLevelType w:val="hybridMultilevel"/>
    <w:tmpl w:val="7CC87158"/>
    <w:lvl w:ilvl="0" w:tplc="07FCBAC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59538C"/>
    <w:multiLevelType w:val="hybridMultilevel"/>
    <w:tmpl w:val="EF7AABF0"/>
    <w:lvl w:ilvl="0" w:tplc="CCF2001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554776"/>
    <w:multiLevelType w:val="hybridMultilevel"/>
    <w:tmpl w:val="534029B2"/>
    <w:lvl w:ilvl="0" w:tplc="10BC7F10">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3821276"/>
    <w:multiLevelType w:val="hybridMultilevel"/>
    <w:tmpl w:val="54781778"/>
    <w:lvl w:ilvl="0" w:tplc="4FE2049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20474F"/>
    <w:multiLevelType w:val="multilevel"/>
    <w:tmpl w:val="DBFC0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4D7CA9"/>
    <w:multiLevelType w:val="hybridMultilevel"/>
    <w:tmpl w:val="C27EE520"/>
    <w:lvl w:ilvl="0" w:tplc="A900E5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197480"/>
    <w:multiLevelType w:val="hybridMultilevel"/>
    <w:tmpl w:val="B33CB190"/>
    <w:lvl w:ilvl="0" w:tplc="A900E5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9AE663B"/>
    <w:multiLevelType w:val="hybridMultilevel"/>
    <w:tmpl w:val="C51E8F7C"/>
    <w:lvl w:ilvl="0" w:tplc="8CF41470">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696403"/>
    <w:multiLevelType w:val="hybridMultilevel"/>
    <w:tmpl w:val="8EFCDBF4"/>
    <w:lvl w:ilvl="0" w:tplc="A900E5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F358C8"/>
    <w:multiLevelType w:val="hybridMultilevel"/>
    <w:tmpl w:val="08D65A08"/>
    <w:lvl w:ilvl="0" w:tplc="6BAE6F0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0"/>
  </w:num>
  <w:num w:numId="2">
    <w:abstractNumId w:val="4"/>
  </w:num>
  <w:num w:numId="3">
    <w:abstractNumId w:val="28"/>
  </w:num>
  <w:num w:numId="4">
    <w:abstractNumId w:val="23"/>
  </w:num>
  <w:num w:numId="5">
    <w:abstractNumId w:val="18"/>
  </w:num>
  <w:num w:numId="6">
    <w:abstractNumId w:val="2"/>
  </w:num>
  <w:num w:numId="7">
    <w:abstractNumId w:val="16"/>
  </w:num>
  <w:num w:numId="8">
    <w:abstractNumId w:val="5"/>
  </w:num>
  <w:num w:numId="9">
    <w:abstractNumId w:val="14"/>
  </w:num>
  <w:num w:numId="10">
    <w:abstractNumId w:val="17"/>
  </w:num>
  <w:num w:numId="11">
    <w:abstractNumId w:val="25"/>
  </w:num>
  <w:num w:numId="12">
    <w:abstractNumId w:val="1"/>
  </w:num>
  <w:num w:numId="13">
    <w:abstractNumId w:val="10"/>
  </w:num>
  <w:num w:numId="14">
    <w:abstractNumId w:val="15"/>
  </w:num>
  <w:num w:numId="15">
    <w:abstractNumId w:val="21"/>
  </w:num>
  <w:num w:numId="16">
    <w:abstractNumId w:val="24"/>
  </w:num>
  <w:num w:numId="17">
    <w:abstractNumId w:val="29"/>
  </w:num>
  <w:num w:numId="18">
    <w:abstractNumId w:val="0"/>
  </w:num>
  <w:num w:numId="19">
    <w:abstractNumId w:val="26"/>
  </w:num>
  <w:num w:numId="20">
    <w:abstractNumId w:val="19"/>
  </w:num>
  <w:num w:numId="21">
    <w:abstractNumId w:val="8"/>
  </w:num>
  <w:num w:numId="22">
    <w:abstractNumId w:val="27"/>
  </w:num>
  <w:num w:numId="23">
    <w:abstractNumId w:val="6"/>
  </w:num>
  <w:num w:numId="24">
    <w:abstractNumId w:val="20"/>
  </w:num>
  <w:num w:numId="25">
    <w:abstractNumId w:val="13"/>
  </w:num>
  <w:num w:numId="26">
    <w:abstractNumId w:val="12"/>
  </w:num>
  <w:num w:numId="27">
    <w:abstractNumId w:val="7"/>
  </w:num>
  <w:num w:numId="28">
    <w:abstractNumId w:val="22"/>
  </w:num>
  <w:num w:numId="29">
    <w:abstractNumId w:val="3"/>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numFmt w:val="chicago"/>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44"/>
    <w:rsid w:val="0000018D"/>
    <w:rsid w:val="00000F64"/>
    <w:rsid w:val="0000107B"/>
    <w:rsid w:val="000010F9"/>
    <w:rsid w:val="0000119F"/>
    <w:rsid w:val="00001855"/>
    <w:rsid w:val="00001FF5"/>
    <w:rsid w:val="000022A4"/>
    <w:rsid w:val="0000247E"/>
    <w:rsid w:val="00002551"/>
    <w:rsid w:val="000025FA"/>
    <w:rsid w:val="00002924"/>
    <w:rsid w:val="00002990"/>
    <w:rsid w:val="00002D8B"/>
    <w:rsid w:val="000037F5"/>
    <w:rsid w:val="00003C76"/>
    <w:rsid w:val="00004385"/>
    <w:rsid w:val="00004497"/>
    <w:rsid w:val="000046BA"/>
    <w:rsid w:val="00004A87"/>
    <w:rsid w:val="00004C0D"/>
    <w:rsid w:val="000055B7"/>
    <w:rsid w:val="000058C8"/>
    <w:rsid w:val="00005AAF"/>
    <w:rsid w:val="00005E49"/>
    <w:rsid w:val="00006114"/>
    <w:rsid w:val="000066BD"/>
    <w:rsid w:val="0000696F"/>
    <w:rsid w:val="000072DA"/>
    <w:rsid w:val="000074A4"/>
    <w:rsid w:val="000078FA"/>
    <w:rsid w:val="0001009B"/>
    <w:rsid w:val="00010482"/>
    <w:rsid w:val="00010731"/>
    <w:rsid w:val="00010C0D"/>
    <w:rsid w:val="00011478"/>
    <w:rsid w:val="000118AC"/>
    <w:rsid w:val="00011E93"/>
    <w:rsid w:val="00013446"/>
    <w:rsid w:val="000138B5"/>
    <w:rsid w:val="00013A7A"/>
    <w:rsid w:val="00013CD6"/>
    <w:rsid w:val="00013DAB"/>
    <w:rsid w:val="00013F41"/>
    <w:rsid w:val="00013FA0"/>
    <w:rsid w:val="00013FAD"/>
    <w:rsid w:val="0001478B"/>
    <w:rsid w:val="00014CB0"/>
    <w:rsid w:val="00015875"/>
    <w:rsid w:val="000158A7"/>
    <w:rsid w:val="00015B82"/>
    <w:rsid w:val="00015D4E"/>
    <w:rsid w:val="000163A5"/>
    <w:rsid w:val="0001660C"/>
    <w:rsid w:val="00016833"/>
    <w:rsid w:val="00016889"/>
    <w:rsid w:val="000168C4"/>
    <w:rsid w:val="00016F43"/>
    <w:rsid w:val="00016FAA"/>
    <w:rsid w:val="00017725"/>
    <w:rsid w:val="00017B91"/>
    <w:rsid w:val="000200D8"/>
    <w:rsid w:val="00020363"/>
    <w:rsid w:val="0002039A"/>
    <w:rsid w:val="000206FC"/>
    <w:rsid w:val="000208FC"/>
    <w:rsid w:val="000209CF"/>
    <w:rsid w:val="00020F94"/>
    <w:rsid w:val="00020FE2"/>
    <w:rsid w:val="00021876"/>
    <w:rsid w:val="0002187B"/>
    <w:rsid w:val="00021DB3"/>
    <w:rsid w:val="00022039"/>
    <w:rsid w:val="000220A5"/>
    <w:rsid w:val="00022217"/>
    <w:rsid w:val="00022627"/>
    <w:rsid w:val="000234FC"/>
    <w:rsid w:val="00023D8A"/>
    <w:rsid w:val="000241E0"/>
    <w:rsid w:val="000242C7"/>
    <w:rsid w:val="00024649"/>
    <w:rsid w:val="00024917"/>
    <w:rsid w:val="00024C4F"/>
    <w:rsid w:val="00024EFF"/>
    <w:rsid w:val="000251A0"/>
    <w:rsid w:val="000252F4"/>
    <w:rsid w:val="00025354"/>
    <w:rsid w:val="00025473"/>
    <w:rsid w:val="00025867"/>
    <w:rsid w:val="00025B20"/>
    <w:rsid w:val="00025B45"/>
    <w:rsid w:val="000261D3"/>
    <w:rsid w:val="0002775F"/>
    <w:rsid w:val="00027A49"/>
    <w:rsid w:val="00027CF3"/>
    <w:rsid w:val="00027CF5"/>
    <w:rsid w:val="00030083"/>
    <w:rsid w:val="000300A2"/>
    <w:rsid w:val="00030392"/>
    <w:rsid w:val="000303D5"/>
    <w:rsid w:val="000304FA"/>
    <w:rsid w:val="000308DE"/>
    <w:rsid w:val="000309DA"/>
    <w:rsid w:val="00030FFE"/>
    <w:rsid w:val="000311D9"/>
    <w:rsid w:val="000312F4"/>
    <w:rsid w:val="0003168B"/>
    <w:rsid w:val="0003176B"/>
    <w:rsid w:val="00031A28"/>
    <w:rsid w:val="00032313"/>
    <w:rsid w:val="00032647"/>
    <w:rsid w:val="00032878"/>
    <w:rsid w:val="00032B47"/>
    <w:rsid w:val="00032D2C"/>
    <w:rsid w:val="000336E7"/>
    <w:rsid w:val="000339A3"/>
    <w:rsid w:val="00033D56"/>
    <w:rsid w:val="00033F5D"/>
    <w:rsid w:val="00034190"/>
    <w:rsid w:val="000341BF"/>
    <w:rsid w:val="000343B5"/>
    <w:rsid w:val="000343E0"/>
    <w:rsid w:val="000348B5"/>
    <w:rsid w:val="00034D1B"/>
    <w:rsid w:val="00034F02"/>
    <w:rsid w:val="0003509B"/>
    <w:rsid w:val="000354CC"/>
    <w:rsid w:val="00035596"/>
    <w:rsid w:val="00035AF4"/>
    <w:rsid w:val="00035BBF"/>
    <w:rsid w:val="00035BEF"/>
    <w:rsid w:val="00035C18"/>
    <w:rsid w:val="00035E33"/>
    <w:rsid w:val="00035EBF"/>
    <w:rsid w:val="000362B1"/>
    <w:rsid w:val="00036866"/>
    <w:rsid w:val="0003717A"/>
    <w:rsid w:val="00037365"/>
    <w:rsid w:val="00037F11"/>
    <w:rsid w:val="00037FFA"/>
    <w:rsid w:val="00040295"/>
    <w:rsid w:val="00040567"/>
    <w:rsid w:val="0004099B"/>
    <w:rsid w:val="000411B6"/>
    <w:rsid w:val="000412B6"/>
    <w:rsid w:val="00041414"/>
    <w:rsid w:val="0004193A"/>
    <w:rsid w:val="00041B66"/>
    <w:rsid w:val="00041B93"/>
    <w:rsid w:val="00041C7F"/>
    <w:rsid w:val="00041D92"/>
    <w:rsid w:val="00041DF8"/>
    <w:rsid w:val="000420CB"/>
    <w:rsid w:val="00042AD8"/>
    <w:rsid w:val="00042C14"/>
    <w:rsid w:val="00042E9B"/>
    <w:rsid w:val="0004325E"/>
    <w:rsid w:val="000434E5"/>
    <w:rsid w:val="00043528"/>
    <w:rsid w:val="000437D4"/>
    <w:rsid w:val="00043949"/>
    <w:rsid w:val="00043A59"/>
    <w:rsid w:val="00043D61"/>
    <w:rsid w:val="00044222"/>
    <w:rsid w:val="000446DB"/>
    <w:rsid w:val="00044BFF"/>
    <w:rsid w:val="000459C3"/>
    <w:rsid w:val="0004665B"/>
    <w:rsid w:val="00046751"/>
    <w:rsid w:val="00046846"/>
    <w:rsid w:val="00046A11"/>
    <w:rsid w:val="00047418"/>
    <w:rsid w:val="0004780C"/>
    <w:rsid w:val="000479CA"/>
    <w:rsid w:val="00047B1B"/>
    <w:rsid w:val="00050957"/>
    <w:rsid w:val="00050A84"/>
    <w:rsid w:val="00050BA3"/>
    <w:rsid w:val="0005107B"/>
    <w:rsid w:val="0005149C"/>
    <w:rsid w:val="00051709"/>
    <w:rsid w:val="0005242C"/>
    <w:rsid w:val="00052652"/>
    <w:rsid w:val="00052A90"/>
    <w:rsid w:val="00052D29"/>
    <w:rsid w:val="00053161"/>
    <w:rsid w:val="00053337"/>
    <w:rsid w:val="000536A7"/>
    <w:rsid w:val="00053902"/>
    <w:rsid w:val="0005398F"/>
    <w:rsid w:val="00053B3E"/>
    <w:rsid w:val="00053BE4"/>
    <w:rsid w:val="000548A4"/>
    <w:rsid w:val="00054C0F"/>
    <w:rsid w:val="00055182"/>
    <w:rsid w:val="00055484"/>
    <w:rsid w:val="00055674"/>
    <w:rsid w:val="00055749"/>
    <w:rsid w:val="00055838"/>
    <w:rsid w:val="00055C43"/>
    <w:rsid w:val="000563CC"/>
    <w:rsid w:val="00056631"/>
    <w:rsid w:val="0005779B"/>
    <w:rsid w:val="000577BC"/>
    <w:rsid w:val="000579A0"/>
    <w:rsid w:val="00057C6C"/>
    <w:rsid w:val="00057D2B"/>
    <w:rsid w:val="00057E19"/>
    <w:rsid w:val="0006016E"/>
    <w:rsid w:val="000601D0"/>
    <w:rsid w:val="00060430"/>
    <w:rsid w:val="000606B0"/>
    <w:rsid w:val="000606EF"/>
    <w:rsid w:val="000608EC"/>
    <w:rsid w:val="00060A9A"/>
    <w:rsid w:val="00060DA4"/>
    <w:rsid w:val="0006115B"/>
    <w:rsid w:val="0006169B"/>
    <w:rsid w:val="000619C0"/>
    <w:rsid w:val="00061FC5"/>
    <w:rsid w:val="00062090"/>
    <w:rsid w:val="000620FE"/>
    <w:rsid w:val="00062118"/>
    <w:rsid w:val="00062502"/>
    <w:rsid w:val="00062CB9"/>
    <w:rsid w:val="00062D3A"/>
    <w:rsid w:val="00062F42"/>
    <w:rsid w:val="0006353C"/>
    <w:rsid w:val="000639CE"/>
    <w:rsid w:val="00063A93"/>
    <w:rsid w:val="00063B2C"/>
    <w:rsid w:val="00063BEB"/>
    <w:rsid w:val="00064072"/>
    <w:rsid w:val="000641CB"/>
    <w:rsid w:val="00064480"/>
    <w:rsid w:val="0006493F"/>
    <w:rsid w:val="00064B82"/>
    <w:rsid w:val="00064F72"/>
    <w:rsid w:val="00066567"/>
    <w:rsid w:val="00066889"/>
    <w:rsid w:val="0006696F"/>
    <w:rsid w:val="00066A82"/>
    <w:rsid w:val="00066B93"/>
    <w:rsid w:val="00066C0B"/>
    <w:rsid w:val="00067096"/>
    <w:rsid w:val="0006714B"/>
    <w:rsid w:val="00067B17"/>
    <w:rsid w:val="00067E16"/>
    <w:rsid w:val="00067E41"/>
    <w:rsid w:val="00070207"/>
    <w:rsid w:val="000705F6"/>
    <w:rsid w:val="00070824"/>
    <w:rsid w:val="00070F1E"/>
    <w:rsid w:val="00070FD2"/>
    <w:rsid w:val="0007108B"/>
    <w:rsid w:val="000713B7"/>
    <w:rsid w:val="000713F0"/>
    <w:rsid w:val="000713F8"/>
    <w:rsid w:val="00071BAC"/>
    <w:rsid w:val="00072383"/>
    <w:rsid w:val="000724A2"/>
    <w:rsid w:val="00072870"/>
    <w:rsid w:val="00073233"/>
    <w:rsid w:val="00073618"/>
    <w:rsid w:val="00073852"/>
    <w:rsid w:val="0007408F"/>
    <w:rsid w:val="000740E6"/>
    <w:rsid w:val="000741D8"/>
    <w:rsid w:val="000743A7"/>
    <w:rsid w:val="00074514"/>
    <w:rsid w:val="000750FD"/>
    <w:rsid w:val="0007512B"/>
    <w:rsid w:val="00075223"/>
    <w:rsid w:val="0007591F"/>
    <w:rsid w:val="00075F67"/>
    <w:rsid w:val="00076D0B"/>
    <w:rsid w:val="00076E23"/>
    <w:rsid w:val="00076E84"/>
    <w:rsid w:val="00077705"/>
    <w:rsid w:val="000778E8"/>
    <w:rsid w:val="000779A7"/>
    <w:rsid w:val="00077B59"/>
    <w:rsid w:val="00077DD3"/>
    <w:rsid w:val="00080754"/>
    <w:rsid w:val="00080C6D"/>
    <w:rsid w:val="0008117D"/>
    <w:rsid w:val="000813EC"/>
    <w:rsid w:val="000814B0"/>
    <w:rsid w:val="0008180F"/>
    <w:rsid w:val="00081863"/>
    <w:rsid w:val="00082451"/>
    <w:rsid w:val="0008256D"/>
    <w:rsid w:val="00082DDD"/>
    <w:rsid w:val="00082F7E"/>
    <w:rsid w:val="00083280"/>
    <w:rsid w:val="00083440"/>
    <w:rsid w:val="0008349C"/>
    <w:rsid w:val="00083B87"/>
    <w:rsid w:val="00083C34"/>
    <w:rsid w:val="00083C5D"/>
    <w:rsid w:val="00084110"/>
    <w:rsid w:val="000841FE"/>
    <w:rsid w:val="00084487"/>
    <w:rsid w:val="000846C0"/>
    <w:rsid w:val="00084A8D"/>
    <w:rsid w:val="00085122"/>
    <w:rsid w:val="0008555D"/>
    <w:rsid w:val="00085644"/>
    <w:rsid w:val="00085996"/>
    <w:rsid w:val="00085E40"/>
    <w:rsid w:val="000864A0"/>
    <w:rsid w:val="00087B23"/>
    <w:rsid w:val="00087D78"/>
    <w:rsid w:val="00090729"/>
    <w:rsid w:val="00090A25"/>
    <w:rsid w:val="00090B98"/>
    <w:rsid w:val="0009109D"/>
    <w:rsid w:val="00091585"/>
    <w:rsid w:val="000917DB"/>
    <w:rsid w:val="00091A8C"/>
    <w:rsid w:val="00091BE4"/>
    <w:rsid w:val="000935BA"/>
    <w:rsid w:val="00093BD3"/>
    <w:rsid w:val="00093EB8"/>
    <w:rsid w:val="00093FD0"/>
    <w:rsid w:val="00094416"/>
    <w:rsid w:val="000944D0"/>
    <w:rsid w:val="00094634"/>
    <w:rsid w:val="00094E71"/>
    <w:rsid w:val="00095383"/>
    <w:rsid w:val="00095905"/>
    <w:rsid w:val="0009603B"/>
    <w:rsid w:val="000960F1"/>
    <w:rsid w:val="0009653C"/>
    <w:rsid w:val="000969DA"/>
    <w:rsid w:val="00096C48"/>
    <w:rsid w:val="00096CC9"/>
    <w:rsid w:val="00097200"/>
    <w:rsid w:val="000976DE"/>
    <w:rsid w:val="00097AF4"/>
    <w:rsid w:val="00097C13"/>
    <w:rsid w:val="00097CFC"/>
    <w:rsid w:val="00097D0D"/>
    <w:rsid w:val="00097F4A"/>
    <w:rsid w:val="00097FA2"/>
    <w:rsid w:val="000A0814"/>
    <w:rsid w:val="000A0841"/>
    <w:rsid w:val="000A0B38"/>
    <w:rsid w:val="000A1346"/>
    <w:rsid w:val="000A1A2A"/>
    <w:rsid w:val="000A1DFD"/>
    <w:rsid w:val="000A1E86"/>
    <w:rsid w:val="000A29BB"/>
    <w:rsid w:val="000A2A62"/>
    <w:rsid w:val="000A339E"/>
    <w:rsid w:val="000A3907"/>
    <w:rsid w:val="000A3E0E"/>
    <w:rsid w:val="000A4265"/>
    <w:rsid w:val="000A427C"/>
    <w:rsid w:val="000A4289"/>
    <w:rsid w:val="000A445F"/>
    <w:rsid w:val="000A4981"/>
    <w:rsid w:val="000A5040"/>
    <w:rsid w:val="000A59A5"/>
    <w:rsid w:val="000A5A15"/>
    <w:rsid w:val="000A5A21"/>
    <w:rsid w:val="000A5CF8"/>
    <w:rsid w:val="000A5F11"/>
    <w:rsid w:val="000A5F64"/>
    <w:rsid w:val="000A6A86"/>
    <w:rsid w:val="000A6B15"/>
    <w:rsid w:val="000A7427"/>
    <w:rsid w:val="000A7546"/>
    <w:rsid w:val="000A7B6E"/>
    <w:rsid w:val="000B030D"/>
    <w:rsid w:val="000B03FE"/>
    <w:rsid w:val="000B0671"/>
    <w:rsid w:val="000B0E1A"/>
    <w:rsid w:val="000B14A3"/>
    <w:rsid w:val="000B1709"/>
    <w:rsid w:val="000B1F68"/>
    <w:rsid w:val="000B2541"/>
    <w:rsid w:val="000B277C"/>
    <w:rsid w:val="000B294B"/>
    <w:rsid w:val="000B2E0F"/>
    <w:rsid w:val="000B2E28"/>
    <w:rsid w:val="000B321B"/>
    <w:rsid w:val="000B35C5"/>
    <w:rsid w:val="000B3C87"/>
    <w:rsid w:val="000B3E06"/>
    <w:rsid w:val="000B4C32"/>
    <w:rsid w:val="000B4CF2"/>
    <w:rsid w:val="000B4E37"/>
    <w:rsid w:val="000B549E"/>
    <w:rsid w:val="000B59D3"/>
    <w:rsid w:val="000B5C9B"/>
    <w:rsid w:val="000B62B2"/>
    <w:rsid w:val="000B65AE"/>
    <w:rsid w:val="000B6640"/>
    <w:rsid w:val="000B6667"/>
    <w:rsid w:val="000B676F"/>
    <w:rsid w:val="000B6C31"/>
    <w:rsid w:val="000B6FFC"/>
    <w:rsid w:val="000B7430"/>
    <w:rsid w:val="000B77F7"/>
    <w:rsid w:val="000B7C14"/>
    <w:rsid w:val="000C0066"/>
    <w:rsid w:val="000C01EF"/>
    <w:rsid w:val="000C0624"/>
    <w:rsid w:val="000C15C9"/>
    <w:rsid w:val="000C18E2"/>
    <w:rsid w:val="000C1E1C"/>
    <w:rsid w:val="000C32A6"/>
    <w:rsid w:val="000C34F0"/>
    <w:rsid w:val="000C35D3"/>
    <w:rsid w:val="000C361B"/>
    <w:rsid w:val="000C4637"/>
    <w:rsid w:val="000C4AF6"/>
    <w:rsid w:val="000C4B6D"/>
    <w:rsid w:val="000C508C"/>
    <w:rsid w:val="000C541C"/>
    <w:rsid w:val="000C61C7"/>
    <w:rsid w:val="000C64C5"/>
    <w:rsid w:val="000C66E2"/>
    <w:rsid w:val="000C6DF3"/>
    <w:rsid w:val="000C73AA"/>
    <w:rsid w:val="000C7BD9"/>
    <w:rsid w:val="000C7F99"/>
    <w:rsid w:val="000D0391"/>
    <w:rsid w:val="000D18C4"/>
    <w:rsid w:val="000D199E"/>
    <w:rsid w:val="000D20DF"/>
    <w:rsid w:val="000D2331"/>
    <w:rsid w:val="000D31AC"/>
    <w:rsid w:val="000D3752"/>
    <w:rsid w:val="000D42C6"/>
    <w:rsid w:val="000D45A8"/>
    <w:rsid w:val="000D484B"/>
    <w:rsid w:val="000D4A9C"/>
    <w:rsid w:val="000D4B9C"/>
    <w:rsid w:val="000D4C24"/>
    <w:rsid w:val="000D4C84"/>
    <w:rsid w:val="000D4D97"/>
    <w:rsid w:val="000D50F9"/>
    <w:rsid w:val="000D5103"/>
    <w:rsid w:val="000D54C4"/>
    <w:rsid w:val="000D5567"/>
    <w:rsid w:val="000D5592"/>
    <w:rsid w:val="000D5BEF"/>
    <w:rsid w:val="000D61A8"/>
    <w:rsid w:val="000D62C5"/>
    <w:rsid w:val="000D6914"/>
    <w:rsid w:val="000D6E50"/>
    <w:rsid w:val="000D708A"/>
    <w:rsid w:val="000D757A"/>
    <w:rsid w:val="000E02A5"/>
    <w:rsid w:val="000E038C"/>
    <w:rsid w:val="000E04E4"/>
    <w:rsid w:val="000E062B"/>
    <w:rsid w:val="000E0663"/>
    <w:rsid w:val="000E0781"/>
    <w:rsid w:val="000E0B53"/>
    <w:rsid w:val="000E1C8F"/>
    <w:rsid w:val="000E1EF8"/>
    <w:rsid w:val="000E25C7"/>
    <w:rsid w:val="000E2C97"/>
    <w:rsid w:val="000E2CBD"/>
    <w:rsid w:val="000E3171"/>
    <w:rsid w:val="000E356E"/>
    <w:rsid w:val="000E3A5A"/>
    <w:rsid w:val="000E3B9C"/>
    <w:rsid w:val="000E4239"/>
    <w:rsid w:val="000E4C46"/>
    <w:rsid w:val="000E4D71"/>
    <w:rsid w:val="000E4E7F"/>
    <w:rsid w:val="000E544E"/>
    <w:rsid w:val="000E5B9B"/>
    <w:rsid w:val="000E5F0A"/>
    <w:rsid w:val="000E61E0"/>
    <w:rsid w:val="000E6224"/>
    <w:rsid w:val="000E6415"/>
    <w:rsid w:val="000E6821"/>
    <w:rsid w:val="000E68DB"/>
    <w:rsid w:val="000E6E2F"/>
    <w:rsid w:val="000E6EC3"/>
    <w:rsid w:val="000E7216"/>
    <w:rsid w:val="000E721A"/>
    <w:rsid w:val="000E72BA"/>
    <w:rsid w:val="000E7D62"/>
    <w:rsid w:val="000F0404"/>
    <w:rsid w:val="000F0B69"/>
    <w:rsid w:val="000F13CC"/>
    <w:rsid w:val="000F15F2"/>
    <w:rsid w:val="000F2387"/>
    <w:rsid w:val="000F25B2"/>
    <w:rsid w:val="000F2785"/>
    <w:rsid w:val="000F2E06"/>
    <w:rsid w:val="000F302D"/>
    <w:rsid w:val="000F3795"/>
    <w:rsid w:val="000F3975"/>
    <w:rsid w:val="000F3C04"/>
    <w:rsid w:val="000F3D4B"/>
    <w:rsid w:val="000F3DA0"/>
    <w:rsid w:val="000F4462"/>
    <w:rsid w:val="000F45C4"/>
    <w:rsid w:val="000F47C0"/>
    <w:rsid w:val="000F4824"/>
    <w:rsid w:val="000F5435"/>
    <w:rsid w:val="000F6466"/>
    <w:rsid w:val="000F6AAA"/>
    <w:rsid w:val="000F6BA4"/>
    <w:rsid w:val="000F6BB5"/>
    <w:rsid w:val="000F6EAA"/>
    <w:rsid w:val="000F6F6A"/>
    <w:rsid w:val="000F71C9"/>
    <w:rsid w:val="000F73C5"/>
    <w:rsid w:val="000F743B"/>
    <w:rsid w:val="000F7586"/>
    <w:rsid w:val="000F7A7A"/>
    <w:rsid w:val="001004F4"/>
    <w:rsid w:val="0010062E"/>
    <w:rsid w:val="00100D05"/>
    <w:rsid w:val="00101334"/>
    <w:rsid w:val="00101921"/>
    <w:rsid w:val="0010196F"/>
    <w:rsid w:val="001020DA"/>
    <w:rsid w:val="00102368"/>
    <w:rsid w:val="00102513"/>
    <w:rsid w:val="00102752"/>
    <w:rsid w:val="00102EE9"/>
    <w:rsid w:val="00103173"/>
    <w:rsid w:val="00103FF3"/>
    <w:rsid w:val="001048A7"/>
    <w:rsid w:val="001048C3"/>
    <w:rsid w:val="00104B23"/>
    <w:rsid w:val="00104DA1"/>
    <w:rsid w:val="00106275"/>
    <w:rsid w:val="001064DE"/>
    <w:rsid w:val="00106670"/>
    <w:rsid w:val="00107234"/>
    <w:rsid w:val="0010735E"/>
    <w:rsid w:val="001077AF"/>
    <w:rsid w:val="00107991"/>
    <w:rsid w:val="00110127"/>
    <w:rsid w:val="001107A8"/>
    <w:rsid w:val="00110A84"/>
    <w:rsid w:val="00111AF3"/>
    <w:rsid w:val="00111BEB"/>
    <w:rsid w:val="00111D80"/>
    <w:rsid w:val="00111E09"/>
    <w:rsid w:val="0011244F"/>
    <w:rsid w:val="00112669"/>
    <w:rsid w:val="0011284E"/>
    <w:rsid w:val="00112A98"/>
    <w:rsid w:val="00113780"/>
    <w:rsid w:val="00113A32"/>
    <w:rsid w:val="00113CB4"/>
    <w:rsid w:val="001145F2"/>
    <w:rsid w:val="00114E36"/>
    <w:rsid w:val="00114EC7"/>
    <w:rsid w:val="00114FDD"/>
    <w:rsid w:val="001152F1"/>
    <w:rsid w:val="0011547D"/>
    <w:rsid w:val="001155FD"/>
    <w:rsid w:val="00115913"/>
    <w:rsid w:val="00115D0C"/>
    <w:rsid w:val="00115EC6"/>
    <w:rsid w:val="00115F4F"/>
    <w:rsid w:val="00115F7F"/>
    <w:rsid w:val="0011644E"/>
    <w:rsid w:val="00116532"/>
    <w:rsid w:val="00116AFB"/>
    <w:rsid w:val="00116D94"/>
    <w:rsid w:val="00117130"/>
    <w:rsid w:val="00117584"/>
    <w:rsid w:val="0011760F"/>
    <w:rsid w:val="00117867"/>
    <w:rsid w:val="00117B0F"/>
    <w:rsid w:val="00117BFA"/>
    <w:rsid w:val="00117DC7"/>
    <w:rsid w:val="00120516"/>
    <w:rsid w:val="00120544"/>
    <w:rsid w:val="0012060F"/>
    <w:rsid w:val="00120967"/>
    <w:rsid w:val="00121311"/>
    <w:rsid w:val="00121434"/>
    <w:rsid w:val="00121735"/>
    <w:rsid w:val="00121BEF"/>
    <w:rsid w:val="001226DD"/>
    <w:rsid w:val="001229CE"/>
    <w:rsid w:val="001229ED"/>
    <w:rsid w:val="001233F8"/>
    <w:rsid w:val="00123784"/>
    <w:rsid w:val="00124346"/>
    <w:rsid w:val="00124D09"/>
    <w:rsid w:val="00124D68"/>
    <w:rsid w:val="001252EA"/>
    <w:rsid w:val="001254DA"/>
    <w:rsid w:val="001259E6"/>
    <w:rsid w:val="00125F58"/>
    <w:rsid w:val="001260F9"/>
    <w:rsid w:val="00126376"/>
    <w:rsid w:val="00130059"/>
    <w:rsid w:val="001301FF"/>
    <w:rsid w:val="001303B8"/>
    <w:rsid w:val="001307CA"/>
    <w:rsid w:val="00130848"/>
    <w:rsid w:val="00131188"/>
    <w:rsid w:val="001314DD"/>
    <w:rsid w:val="001326BA"/>
    <w:rsid w:val="00132A8F"/>
    <w:rsid w:val="00132DB4"/>
    <w:rsid w:val="0013306F"/>
    <w:rsid w:val="001330C0"/>
    <w:rsid w:val="001337CD"/>
    <w:rsid w:val="00133810"/>
    <w:rsid w:val="00133838"/>
    <w:rsid w:val="00133E8E"/>
    <w:rsid w:val="0013459A"/>
    <w:rsid w:val="001345B1"/>
    <w:rsid w:val="001348BA"/>
    <w:rsid w:val="00134C22"/>
    <w:rsid w:val="00134FD2"/>
    <w:rsid w:val="00135358"/>
    <w:rsid w:val="0013657C"/>
    <w:rsid w:val="001365D9"/>
    <w:rsid w:val="00136638"/>
    <w:rsid w:val="00137367"/>
    <w:rsid w:val="00137558"/>
    <w:rsid w:val="001376C7"/>
    <w:rsid w:val="00137D9B"/>
    <w:rsid w:val="00140348"/>
    <w:rsid w:val="001403F0"/>
    <w:rsid w:val="00140469"/>
    <w:rsid w:val="001409A7"/>
    <w:rsid w:val="00140B08"/>
    <w:rsid w:val="00140E1D"/>
    <w:rsid w:val="001410F9"/>
    <w:rsid w:val="0014126D"/>
    <w:rsid w:val="0014135A"/>
    <w:rsid w:val="001414B0"/>
    <w:rsid w:val="001414E2"/>
    <w:rsid w:val="00141AFE"/>
    <w:rsid w:val="00141B7C"/>
    <w:rsid w:val="00141E7D"/>
    <w:rsid w:val="00142189"/>
    <w:rsid w:val="00142401"/>
    <w:rsid w:val="00142F97"/>
    <w:rsid w:val="001436BC"/>
    <w:rsid w:val="001436E5"/>
    <w:rsid w:val="001437A2"/>
    <w:rsid w:val="0014395A"/>
    <w:rsid w:val="00143ED3"/>
    <w:rsid w:val="00144655"/>
    <w:rsid w:val="001448AB"/>
    <w:rsid w:val="00144904"/>
    <w:rsid w:val="00144D9C"/>
    <w:rsid w:val="001450D3"/>
    <w:rsid w:val="00145616"/>
    <w:rsid w:val="00145BE7"/>
    <w:rsid w:val="00145F0B"/>
    <w:rsid w:val="001468B4"/>
    <w:rsid w:val="0014767E"/>
    <w:rsid w:val="00147744"/>
    <w:rsid w:val="001477A6"/>
    <w:rsid w:val="00147A19"/>
    <w:rsid w:val="00147A86"/>
    <w:rsid w:val="001504BD"/>
    <w:rsid w:val="00150592"/>
    <w:rsid w:val="00150B3C"/>
    <w:rsid w:val="00150CB1"/>
    <w:rsid w:val="00151A03"/>
    <w:rsid w:val="00152758"/>
    <w:rsid w:val="00152B61"/>
    <w:rsid w:val="00153D97"/>
    <w:rsid w:val="00154FA3"/>
    <w:rsid w:val="00155195"/>
    <w:rsid w:val="001555F4"/>
    <w:rsid w:val="001556DA"/>
    <w:rsid w:val="001558D9"/>
    <w:rsid w:val="00155E2B"/>
    <w:rsid w:val="00155E85"/>
    <w:rsid w:val="00156F0E"/>
    <w:rsid w:val="0015720D"/>
    <w:rsid w:val="00157437"/>
    <w:rsid w:val="00157E4B"/>
    <w:rsid w:val="001601F4"/>
    <w:rsid w:val="00161472"/>
    <w:rsid w:val="0016155B"/>
    <w:rsid w:val="001615BD"/>
    <w:rsid w:val="00161922"/>
    <w:rsid w:val="00161964"/>
    <w:rsid w:val="001619C6"/>
    <w:rsid w:val="00161F0D"/>
    <w:rsid w:val="001625D8"/>
    <w:rsid w:val="001633BC"/>
    <w:rsid w:val="0016359D"/>
    <w:rsid w:val="00163A83"/>
    <w:rsid w:val="00163D3F"/>
    <w:rsid w:val="00163F5B"/>
    <w:rsid w:val="0016403A"/>
    <w:rsid w:val="001643D0"/>
    <w:rsid w:val="00164648"/>
    <w:rsid w:val="001647E5"/>
    <w:rsid w:val="00164FB6"/>
    <w:rsid w:val="0016507C"/>
    <w:rsid w:val="001651AA"/>
    <w:rsid w:val="00165688"/>
    <w:rsid w:val="00165E70"/>
    <w:rsid w:val="00165EBB"/>
    <w:rsid w:val="001661BB"/>
    <w:rsid w:val="001664D8"/>
    <w:rsid w:val="0016678A"/>
    <w:rsid w:val="00166CDC"/>
    <w:rsid w:val="00166D49"/>
    <w:rsid w:val="00166F23"/>
    <w:rsid w:val="00166F8F"/>
    <w:rsid w:val="001672A1"/>
    <w:rsid w:val="001679E0"/>
    <w:rsid w:val="00170725"/>
    <w:rsid w:val="00170887"/>
    <w:rsid w:val="00170929"/>
    <w:rsid w:val="00170A22"/>
    <w:rsid w:val="00170C08"/>
    <w:rsid w:val="00170C8A"/>
    <w:rsid w:val="00170DC2"/>
    <w:rsid w:val="00171D30"/>
    <w:rsid w:val="00172306"/>
    <w:rsid w:val="001723CC"/>
    <w:rsid w:val="001728FD"/>
    <w:rsid w:val="00173507"/>
    <w:rsid w:val="001738C0"/>
    <w:rsid w:val="00173AC3"/>
    <w:rsid w:val="0017487B"/>
    <w:rsid w:val="001751FD"/>
    <w:rsid w:val="00175274"/>
    <w:rsid w:val="00175565"/>
    <w:rsid w:val="0017718E"/>
    <w:rsid w:val="00177244"/>
    <w:rsid w:val="00177415"/>
    <w:rsid w:val="00177E1F"/>
    <w:rsid w:val="0018013E"/>
    <w:rsid w:val="0018055B"/>
    <w:rsid w:val="001810CB"/>
    <w:rsid w:val="00181935"/>
    <w:rsid w:val="00181DA2"/>
    <w:rsid w:val="001821D5"/>
    <w:rsid w:val="00182C01"/>
    <w:rsid w:val="00182D56"/>
    <w:rsid w:val="00183216"/>
    <w:rsid w:val="00183A6D"/>
    <w:rsid w:val="00183FDD"/>
    <w:rsid w:val="001841A9"/>
    <w:rsid w:val="00184238"/>
    <w:rsid w:val="001842F6"/>
    <w:rsid w:val="001843E2"/>
    <w:rsid w:val="00184492"/>
    <w:rsid w:val="00184829"/>
    <w:rsid w:val="00185126"/>
    <w:rsid w:val="00185726"/>
    <w:rsid w:val="00185A0B"/>
    <w:rsid w:val="00185E45"/>
    <w:rsid w:val="00185FAD"/>
    <w:rsid w:val="001860C2"/>
    <w:rsid w:val="00186393"/>
    <w:rsid w:val="00186BDE"/>
    <w:rsid w:val="00186F2E"/>
    <w:rsid w:val="0018736F"/>
    <w:rsid w:val="00187525"/>
    <w:rsid w:val="00187A7C"/>
    <w:rsid w:val="00187BC4"/>
    <w:rsid w:val="00190331"/>
    <w:rsid w:val="00191234"/>
    <w:rsid w:val="00192345"/>
    <w:rsid w:val="0019252A"/>
    <w:rsid w:val="001925FA"/>
    <w:rsid w:val="00192C79"/>
    <w:rsid w:val="00192E75"/>
    <w:rsid w:val="00193384"/>
    <w:rsid w:val="0019378C"/>
    <w:rsid w:val="00193BCE"/>
    <w:rsid w:val="00193DF7"/>
    <w:rsid w:val="001940C2"/>
    <w:rsid w:val="0019495D"/>
    <w:rsid w:val="00194CD5"/>
    <w:rsid w:val="001953D2"/>
    <w:rsid w:val="001955F8"/>
    <w:rsid w:val="00195F99"/>
    <w:rsid w:val="001968EC"/>
    <w:rsid w:val="00196DF5"/>
    <w:rsid w:val="001974CA"/>
    <w:rsid w:val="001976CC"/>
    <w:rsid w:val="00197771"/>
    <w:rsid w:val="001979F7"/>
    <w:rsid w:val="00197FC1"/>
    <w:rsid w:val="001A072C"/>
    <w:rsid w:val="001A0852"/>
    <w:rsid w:val="001A0A89"/>
    <w:rsid w:val="001A0B70"/>
    <w:rsid w:val="001A0BBD"/>
    <w:rsid w:val="001A0D8C"/>
    <w:rsid w:val="001A2209"/>
    <w:rsid w:val="001A2218"/>
    <w:rsid w:val="001A2683"/>
    <w:rsid w:val="001A2892"/>
    <w:rsid w:val="001A292E"/>
    <w:rsid w:val="001A2E05"/>
    <w:rsid w:val="001A318B"/>
    <w:rsid w:val="001A35EE"/>
    <w:rsid w:val="001A3D34"/>
    <w:rsid w:val="001A3D63"/>
    <w:rsid w:val="001A3E7E"/>
    <w:rsid w:val="001A419D"/>
    <w:rsid w:val="001A4D13"/>
    <w:rsid w:val="001A4E58"/>
    <w:rsid w:val="001A4FD0"/>
    <w:rsid w:val="001A5411"/>
    <w:rsid w:val="001A5DD5"/>
    <w:rsid w:val="001A5F3F"/>
    <w:rsid w:val="001A620B"/>
    <w:rsid w:val="001A6E6B"/>
    <w:rsid w:val="001A7027"/>
    <w:rsid w:val="001A70E3"/>
    <w:rsid w:val="001A725E"/>
    <w:rsid w:val="001A737C"/>
    <w:rsid w:val="001A74F7"/>
    <w:rsid w:val="001A77B6"/>
    <w:rsid w:val="001A7894"/>
    <w:rsid w:val="001A7902"/>
    <w:rsid w:val="001B03FC"/>
    <w:rsid w:val="001B0CBA"/>
    <w:rsid w:val="001B1C13"/>
    <w:rsid w:val="001B1EE2"/>
    <w:rsid w:val="001B2145"/>
    <w:rsid w:val="001B2188"/>
    <w:rsid w:val="001B2CC8"/>
    <w:rsid w:val="001B31C5"/>
    <w:rsid w:val="001B343A"/>
    <w:rsid w:val="001B345E"/>
    <w:rsid w:val="001B3469"/>
    <w:rsid w:val="001B3657"/>
    <w:rsid w:val="001B3BB1"/>
    <w:rsid w:val="001B46CC"/>
    <w:rsid w:val="001B4801"/>
    <w:rsid w:val="001B4EC3"/>
    <w:rsid w:val="001B6081"/>
    <w:rsid w:val="001B626A"/>
    <w:rsid w:val="001B630F"/>
    <w:rsid w:val="001B6885"/>
    <w:rsid w:val="001B6ED5"/>
    <w:rsid w:val="001B6FFA"/>
    <w:rsid w:val="001B7151"/>
    <w:rsid w:val="001B74E1"/>
    <w:rsid w:val="001B7A06"/>
    <w:rsid w:val="001C07C1"/>
    <w:rsid w:val="001C0ACC"/>
    <w:rsid w:val="001C0DB5"/>
    <w:rsid w:val="001C1036"/>
    <w:rsid w:val="001C13DA"/>
    <w:rsid w:val="001C1499"/>
    <w:rsid w:val="001C1E25"/>
    <w:rsid w:val="001C208A"/>
    <w:rsid w:val="001C236F"/>
    <w:rsid w:val="001C2775"/>
    <w:rsid w:val="001C29DC"/>
    <w:rsid w:val="001C3128"/>
    <w:rsid w:val="001C3834"/>
    <w:rsid w:val="001C39C5"/>
    <w:rsid w:val="001C3EC2"/>
    <w:rsid w:val="001C4A0D"/>
    <w:rsid w:val="001C4B34"/>
    <w:rsid w:val="001C4B4C"/>
    <w:rsid w:val="001C4EA8"/>
    <w:rsid w:val="001C5816"/>
    <w:rsid w:val="001C5DB4"/>
    <w:rsid w:val="001C6273"/>
    <w:rsid w:val="001C6AF8"/>
    <w:rsid w:val="001C6B18"/>
    <w:rsid w:val="001C6BE9"/>
    <w:rsid w:val="001C7E85"/>
    <w:rsid w:val="001D14F6"/>
    <w:rsid w:val="001D16BE"/>
    <w:rsid w:val="001D1AC1"/>
    <w:rsid w:val="001D1CCC"/>
    <w:rsid w:val="001D212F"/>
    <w:rsid w:val="001D23D8"/>
    <w:rsid w:val="001D2657"/>
    <w:rsid w:val="001D28C5"/>
    <w:rsid w:val="001D2E8A"/>
    <w:rsid w:val="001D2EA5"/>
    <w:rsid w:val="001D3143"/>
    <w:rsid w:val="001D31DA"/>
    <w:rsid w:val="001D338B"/>
    <w:rsid w:val="001D33CC"/>
    <w:rsid w:val="001D3A6B"/>
    <w:rsid w:val="001D3D1F"/>
    <w:rsid w:val="001D401D"/>
    <w:rsid w:val="001D4505"/>
    <w:rsid w:val="001D4737"/>
    <w:rsid w:val="001D4A94"/>
    <w:rsid w:val="001D4F6B"/>
    <w:rsid w:val="001D516F"/>
    <w:rsid w:val="001D6553"/>
    <w:rsid w:val="001D672A"/>
    <w:rsid w:val="001D6A76"/>
    <w:rsid w:val="001D6A84"/>
    <w:rsid w:val="001D6F7D"/>
    <w:rsid w:val="001D70B1"/>
    <w:rsid w:val="001D714B"/>
    <w:rsid w:val="001D7683"/>
    <w:rsid w:val="001D7B17"/>
    <w:rsid w:val="001E01BF"/>
    <w:rsid w:val="001E036F"/>
    <w:rsid w:val="001E100C"/>
    <w:rsid w:val="001E1BC3"/>
    <w:rsid w:val="001E1F46"/>
    <w:rsid w:val="001E20E1"/>
    <w:rsid w:val="001E2646"/>
    <w:rsid w:val="001E292B"/>
    <w:rsid w:val="001E3062"/>
    <w:rsid w:val="001E33DF"/>
    <w:rsid w:val="001E3857"/>
    <w:rsid w:val="001E3A83"/>
    <w:rsid w:val="001E3E75"/>
    <w:rsid w:val="001E420B"/>
    <w:rsid w:val="001E478D"/>
    <w:rsid w:val="001E54CA"/>
    <w:rsid w:val="001E5AAD"/>
    <w:rsid w:val="001E5D21"/>
    <w:rsid w:val="001E5EBA"/>
    <w:rsid w:val="001E6678"/>
    <w:rsid w:val="001E6A8C"/>
    <w:rsid w:val="001E70B1"/>
    <w:rsid w:val="001E72B4"/>
    <w:rsid w:val="001F0F5F"/>
    <w:rsid w:val="001F1094"/>
    <w:rsid w:val="001F12BA"/>
    <w:rsid w:val="001F16A9"/>
    <w:rsid w:val="001F1800"/>
    <w:rsid w:val="001F193F"/>
    <w:rsid w:val="001F1C8E"/>
    <w:rsid w:val="001F1D46"/>
    <w:rsid w:val="001F1D80"/>
    <w:rsid w:val="001F2007"/>
    <w:rsid w:val="001F2154"/>
    <w:rsid w:val="001F2319"/>
    <w:rsid w:val="001F258A"/>
    <w:rsid w:val="001F27A8"/>
    <w:rsid w:val="001F2A07"/>
    <w:rsid w:val="001F32A9"/>
    <w:rsid w:val="001F377C"/>
    <w:rsid w:val="001F3BE4"/>
    <w:rsid w:val="001F3DFE"/>
    <w:rsid w:val="001F4086"/>
    <w:rsid w:val="001F43B4"/>
    <w:rsid w:val="001F46DE"/>
    <w:rsid w:val="001F4805"/>
    <w:rsid w:val="001F4F3E"/>
    <w:rsid w:val="001F4FD7"/>
    <w:rsid w:val="001F50FE"/>
    <w:rsid w:val="001F55B6"/>
    <w:rsid w:val="001F5940"/>
    <w:rsid w:val="001F59F7"/>
    <w:rsid w:val="001F5A79"/>
    <w:rsid w:val="001F659D"/>
    <w:rsid w:val="001F6674"/>
    <w:rsid w:val="001F7668"/>
    <w:rsid w:val="001F7A34"/>
    <w:rsid w:val="001F7A8F"/>
    <w:rsid w:val="002000DB"/>
    <w:rsid w:val="00200427"/>
    <w:rsid w:val="00200515"/>
    <w:rsid w:val="002007A7"/>
    <w:rsid w:val="00200C3D"/>
    <w:rsid w:val="00200C76"/>
    <w:rsid w:val="002015A7"/>
    <w:rsid w:val="00201848"/>
    <w:rsid w:val="00201B4A"/>
    <w:rsid w:val="00201F50"/>
    <w:rsid w:val="00202720"/>
    <w:rsid w:val="0020285B"/>
    <w:rsid w:val="00202938"/>
    <w:rsid w:val="00202FFA"/>
    <w:rsid w:val="00203659"/>
    <w:rsid w:val="00203727"/>
    <w:rsid w:val="00204D24"/>
    <w:rsid w:val="00204D4B"/>
    <w:rsid w:val="00205190"/>
    <w:rsid w:val="00205673"/>
    <w:rsid w:val="002064DE"/>
    <w:rsid w:val="00206800"/>
    <w:rsid w:val="00206C07"/>
    <w:rsid w:val="0020757F"/>
    <w:rsid w:val="002078F6"/>
    <w:rsid w:val="00207F28"/>
    <w:rsid w:val="0021031B"/>
    <w:rsid w:val="002103B7"/>
    <w:rsid w:val="00210DA8"/>
    <w:rsid w:val="00211CC3"/>
    <w:rsid w:val="00212376"/>
    <w:rsid w:val="00212896"/>
    <w:rsid w:val="00212998"/>
    <w:rsid w:val="00212E74"/>
    <w:rsid w:val="0021318B"/>
    <w:rsid w:val="00213267"/>
    <w:rsid w:val="002136C6"/>
    <w:rsid w:val="002138AF"/>
    <w:rsid w:val="00213E66"/>
    <w:rsid w:val="0021446B"/>
    <w:rsid w:val="00214D86"/>
    <w:rsid w:val="00215234"/>
    <w:rsid w:val="00215624"/>
    <w:rsid w:val="0021572E"/>
    <w:rsid w:val="00215755"/>
    <w:rsid w:val="002157DD"/>
    <w:rsid w:val="00215BEA"/>
    <w:rsid w:val="00215C72"/>
    <w:rsid w:val="002165FD"/>
    <w:rsid w:val="002166E1"/>
    <w:rsid w:val="00216C08"/>
    <w:rsid w:val="00216C1F"/>
    <w:rsid w:val="00216DE1"/>
    <w:rsid w:val="002170BE"/>
    <w:rsid w:val="00217504"/>
    <w:rsid w:val="002176D4"/>
    <w:rsid w:val="002177CE"/>
    <w:rsid w:val="0021798F"/>
    <w:rsid w:val="00217A1D"/>
    <w:rsid w:val="002200CB"/>
    <w:rsid w:val="002200EB"/>
    <w:rsid w:val="0022033B"/>
    <w:rsid w:val="00220D98"/>
    <w:rsid w:val="0022110C"/>
    <w:rsid w:val="002212EF"/>
    <w:rsid w:val="0022134E"/>
    <w:rsid w:val="002214D0"/>
    <w:rsid w:val="00221944"/>
    <w:rsid w:val="00222C3F"/>
    <w:rsid w:val="00222E61"/>
    <w:rsid w:val="002235C1"/>
    <w:rsid w:val="002239DD"/>
    <w:rsid w:val="00223D7E"/>
    <w:rsid w:val="00223E0A"/>
    <w:rsid w:val="002248BD"/>
    <w:rsid w:val="0022497A"/>
    <w:rsid w:val="00224DDB"/>
    <w:rsid w:val="0022559C"/>
    <w:rsid w:val="00225DD3"/>
    <w:rsid w:val="00225EAE"/>
    <w:rsid w:val="00226145"/>
    <w:rsid w:val="002268B2"/>
    <w:rsid w:val="00227018"/>
    <w:rsid w:val="0022721E"/>
    <w:rsid w:val="0022722C"/>
    <w:rsid w:val="002272B8"/>
    <w:rsid w:val="002302F6"/>
    <w:rsid w:val="002303B5"/>
    <w:rsid w:val="0023070A"/>
    <w:rsid w:val="002307CF"/>
    <w:rsid w:val="002308A6"/>
    <w:rsid w:val="00230983"/>
    <w:rsid w:val="002309A3"/>
    <w:rsid w:val="002310E1"/>
    <w:rsid w:val="002319ED"/>
    <w:rsid w:val="002321FD"/>
    <w:rsid w:val="0023251D"/>
    <w:rsid w:val="00232822"/>
    <w:rsid w:val="00232B44"/>
    <w:rsid w:val="0023354B"/>
    <w:rsid w:val="002335E8"/>
    <w:rsid w:val="0023361B"/>
    <w:rsid w:val="00233625"/>
    <w:rsid w:val="00233B4E"/>
    <w:rsid w:val="00233CC5"/>
    <w:rsid w:val="00233E2D"/>
    <w:rsid w:val="00234665"/>
    <w:rsid w:val="002353A9"/>
    <w:rsid w:val="00235411"/>
    <w:rsid w:val="00235D3D"/>
    <w:rsid w:val="00236AD2"/>
    <w:rsid w:val="00236C75"/>
    <w:rsid w:val="00237248"/>
    <w:rsid w:val="0023746B"/>
    <w:rsid w:val="0023796F"/>
    <w:rsid w:val="00237FE5"/>
    <w:rsid w:val="00240284"/>
    <w:rsid w:val="00240419"/>
    <w:rsid w:val="0024069A"/>
    <w:rsid w:val="00240D6B"/>
    <w:rsid w:val="00241493"/>
    <w:rsid w:val="00241F3B"/>
    <w:rsid w:val="00242AE4"/>
    <w:rsid w:val="00242B40"/>
    <w:rsid w:val="00242C41"/>
    <w:rsid w:val="00242E81"/>
    <w:rsid w:val="0024346C"/>
    <w:rsid w:val="00243929"/>
    <w:rsid w:val="00243933"/>
    <w:rsid w:val="0024401D"/>
    <w:rsid w:val="00244650"/>
    <w:rsid w:val="00244933"/>
    <w:rsid w:val="00244971"/>
    <w:rsid w:val="00244C24"/>
    <w:rsid w:val="00244C96"/>
    <w:rsid w:val="00244F24"/>
    <w:rsid w:val="002451DC"/>
    <w:rsid w:val="00245208"/>
    <w:rsid w:val="002452B1"/>
    <w:rsid w:val="0024546C"/>
    <w:rsid w:val="0024563E"/>
    <w:rsid w:val="002458AA"/>
    <w:rsid w:val="00245B88"/>
    <w:rsid w:val="002462F0"/>
    <w:rsid w:val="00246ABA"/>
    <w:rsid w:val="00246E09"/>
    <w:rsid w:val="00247338"/>
    <w:rsid w:val="00247351"/>
    <w:rsid w:val="002476FE"/>
    <w:rsid w:val="002478B9"/>
    <w:rsid w:val="002479DC"/>
    <w:rsid w:val="00247DCF"/>
    <w:rsid w:val="002500D3"/>
    <w:rsid w:val="0025023D"/>
    <w:rsid w:val="002502D9"/>
    <w:rsid w:val="00250391"/>
    <w:rsid w:val="00250B49"/>
    <w:rsid w:val="00250B57"/>
    <w:rsid w:val="00250D04"/>
    <w:rsid w:val="00251022"/>
    <w:rsid w:val="002517FD"/>
    <w:rsid w:val="00251A28"/>
    <w:rsid w:val="0025223A"/>
    <w:rsid w:val="0025223F"/>
    <w:rsid w:val="0025225E"/>
    <w:rsid w:val="002522E9"/>
    <w:rsid w:val="00252683"/>
    <w:rsid w:val="0025297A"/>
    <w:rsid w:val="00252D3E"/>
    <w:rsid w:val="00252ED5"/>
    <w:rsid w:val="002532AA"/>
    <w:rsid w:val="002539E0"/>
    <w:rsid w:val="00253A30"/>
    <w:rsid w:val="00253A7A"/>
    <w:rsid w:val="00253BCC"/>
    <w:rsid w:val="00254067"/>
    <w:rsid w:val="0025437C"/>
    <w:rsid w:val="00254D1E"/>
    <w:rsid w:val="00254E18"/>
    <w:rsid w:val="00255248"/>
    <w:rsid w:val="002552E6"/>
    <w:rsid w:val="0025602E"/>
    <w:rsid w:val="0025618C"/>
    <w:rsid w:val="002562EF"/>
    <w:rsid w:val="00256991"/>
    <w:rsid w:val="00256DA3"/>
    <w:rsid w:val="00257046"/>
    <w:rsid w:val="00257084"/>
    <w:rsid w:val="0025730C"/>
    <w:rsid w:val="002574D2"/>
    <w:rsid w:val="00257877"/>
    <w:rsid w:val="002579F1"/>
    <w:rsid w:val="002601A7"/>
    <w:rsid w:val="00260281"/>
    <w:rsid w:val="00260633"/>
    <w:rsid w:val="00260990"/>
    <w:rsid w:val="00260A1A"/>
    <w:rsid w:val="00261603"/>
    <w:rsid w:val="0026184F"/>
    <w:rsid w:val="002618DB"/>
    <w:rsid w:val="00261ECC"/>
    <w:rsid w:val="00261FB2"/>
    <w:rsid w:val="002626D5"/>
    <w:rsid w:val="00262FA0"/>
    <w:rsid w:val="0026347D"/>
    <w:rsid w:val="002636E1"/>
    <w:rsid w:val="00263D18"/>
    <w:rsid w:val="00264B01"/>
    <w:rsid w:val="0026569C"/>
    <w:rsid w:val="002656E9"/>
    <w:rsid w:val="00265961"/>
    <w:rsid w:val="00265C84"/>
    <w:rsid w:val="00265D9F"/>
    <w:rsid w:val="00265EAF"/>
    <w:rsid w:val="00265EEB"/>
    <w:rsid w:val="00265F4C"/>
    <w:rsid w:val="00265FD8"/>
    <w:rsid w:val="0026618F"/>
    <w:rsid w:val="002664CD"/>
    <w:rsid w:val="0026685C"/>
    <w:rsid w:val="00266ED2"/>
    <w:rsid w:val="002671BC"/>
    <w:rsid w:val="0026788C"/>
    <w:rsid w:val="00267A04"/>
    <w:rsid w:val="00267AD4"/>
    <w:rsid w:val="00267BE5"/>
    <w:rsid w:val="00267D81"/>
    <w:rsid w:val="00267E2A"/>
    <w:rsid w:val="00267ECD"/>
    <w:rsid w:val="00267FFA"/>
    <w:rsid w:val="002701E7"/>
    <w:rsid w:val="0027021F"/>
    <w:rsid w:val="0027079A"/>
    <w:rsid w:val="00270BB5"/>
    <w:rsid w:val="00270BF5"/>
    <w:rsid w:val="00270FBE"/>
    <w:rsid w:val="0027119B"/>
    <w:rsid w:val="002712F4"/>
    <w:rsid w:val="00271CB3"/>
    <w:rsid w:val="002722E2"/>
    <w:rsid w:val="002724A8"/>
    <w:rsid w:val="00272617"/>
    <w:rsid w:val="00272768"/>
    <w:rsid w:val="00272985"/>
    <w:rsid w:val="00273187"/>
    <w:rsid w:val="00273853"/>
    <w:rsid w:val="00273E8F"/>
    <w:rsid w:val="002744BC"/>
    <w:rsid w:val="00274500"/>
    <w:rsid w:val="00274666"/>
    <w:rsid w:val="0027491F"/>
    <w:rsid w:val="00274B4E"/>
    <w:rsid w:val="00275161"/>
    <w:rsid w:val="002755DE"/>
    <w:rsid w:val="00275C95"/>
    <w:rsid w:val="00275E65"/>
    <w:rsid w:val="00276C1C"/>
    <w:rsid w:val="00276DC3"/>
    <w:rsid w:val="00276F6E"/>
    <w:rsid w:val="0027705B"/>
    <w:rsid w:val="0027760E"/>
    <w:rsid w:val="00277705"/>
    <w:rsid w:val="00277BCD"/>
    <w:rsid w:val="00277DCA"/>
    <w:rsid w:val="00277EFC"/>
    <w:rsid w:val="002803B8"/>
    <w:rsid w:val="0028050B"/>
    <w:rsid w:val="002809BF"/>
    <w:rsid w:val="00280A2A"/>
    <w:rsid w:val="002810E5"/>
    <w:rsid w:val="002811EB"/>
    <w:rsid w:val="00282BA6"/>
    <w:rsid w:val="002834B2"/>
    <w:rsid w:val="002834F2"/>
    <w:rsid w:val="00283ADA"/>
    <w:rsid w:val="00283B3C"/>
    <w:rsid w:val="00285109"/>
    <w:rsid w:val="00285784"/>
    <w:rsid w:val="00285B84"/>
    <w:rsid w:val="002867EB"/>
    <w:rsid w:val="00286C55"/>
    <w:rsid w:val="00286DF4"/>
    <w:rsid w:val="00286E2B"/>
    <w:rsid w:val="002879A0"/>
    <w:rsid w:val="00287C78"/>
    <w:rsid w:val="00287D22"/>
    <w:rsid w:val="00287DAE"/>
    <w:rsid w:val="002903F2"/>
    <w:rsid w:val="00290EE5"/>
    <w:rsid w:val="00291374"/>
    <w:rsid w:val="002913FA"/>
    <w:rsid w:val="00291693"/>
    <w:rsid w:val="002916CC"/>
    <w:rsid w:val="0029182E"/>
    <w:rsid w:val="00291CF6"/>
    <w:rsid w:val="00291D1F"/>
    <w:rsid w:val="00292398"/>
    <w:rsid w:val="002926D7"/>
    <w:rsid w:val="0029273F"/>
    <w:rsid w:val="002929D5"/>
    <w:rsid w:val="00292EA6"/>
    <w:rsid w:val="00293193"/>
    <w:rsid w:val="002936BF"/>
    <w:rsid w:val="00293F04"/>
    <w:rsid w:val="0029441F"/>
    <w:rsid w:val="00294B08"/>
    <w:rsid w:val="00294C71"/>
    <w:rsid w:val="00294C92"/>
    <w:rsid w:val="00294EC9"/>
    <w:rsid w:val="0029507D"/>
    <w:rsid w:val="00295F55"/>
    <w:rsid w:val="0029655A"/>
    <w:rsid w:val="002968C2"/>
    <w:rsid w:val="00296FD6"/>
    <w:rsid w:val="00297681"/>
    <w:rsid w:val="002977B2"/>
    <w:rsid w:val="00297901"/>
    <w:rsid w:val="0029794A"/>
    <w:rsid w:val="002A01BF"/>
    <w:rsid w:val="002A0466"/>
    <w:rsid w:val="002A0B36"/>
    <w:rsid w:val="002A0BB3"/>
    <w:rsid w:val="002A0ECB"/>
    <w:rsid w:val="002A123F"/>
    <w:rsid w:val="002A1B23"/>
    <w:rsid w:val="002A1DB0"/>
    <w:rsid w:val="002A2660"/>
    <w:rsid w:val="002A28BE"/>
    <w:rsid w:val="002A28C4"/>
    <w:rsid w:val="002A2922"/>
    <w:rsid w:val="002A3025"/>
    <w:rsid w:val="002A3668"/>
    <w:rsid w:val="002A3A39"/>
    <w:rsid w:val="002A3CF5"/>
    <w:rsid w:val="002A44CA"/>
    <w:rsid w:val="002A49E4"/>
    <w:rsid w:val="002A52B1"/>
    <w:rsid w:val="002A5780"/>
    <w:rsid w:val="002A5A47"/>
    <w:rsid w:val="002A5A54"/>
    <w:rsid w:val="002A5D08"/>
    <w:rsid w:val="002A5E30"/>
    <w:rsid w:val="002A626F"/>
    <w:rsid w:val="002A62A2"/>
    <w:rsid w:val="002A654D"/>
    <w:rsid w:val="002A6971"/>
    <w:rsid w:val="002A6D21"/>
    <w:rsid w:val="002A6D5B"/>
    <w:rsid w:val="002A6EDC"/>
    <w:rsid w:val="002A70B4"/>
    <w:rsid w:val="002A743A"/>
    <w:rsid w:val="002A76B3"/>
    <w:rsid w:val="002B00CA"/>
    <w:rsid w:val="002B07A5"/>
    <w:rsid w:val="002B07F9"/>
    <w:rsid w:val="002B081F"/>
    <w:rsid w:val="002B0D61"/>
    <w:rsid w:val="002B0D67"/>
    <w:rsid w:val="002B10DD"/>
    <w:rsid w:val="002B1125"/>
    <w:rsid w:val="002B14D9"/>
    <w:rsid w:val="002B1937"/>
    <w:rsid w:val="002B1989"/>
    <w:rsid w:val="002B1A6F"/>
    <w:rsid w:val="002B1ED2"/>
    <w:rsid w:val="002B27D8"/>
    <w:rsid w:val="002B28BF"/>
    <w:rsid w:val="002B2BAF"/>
    <w:rsid w:val="002B2C38"/>
    <w:rsid w:val="002B2C9D"/>
    <w:rsid w:val="002B314C"/>
    <w:rsid w:val="002B3168"/>
    <w:rsid w:val="002B3217"/>
    <w:rsid w:val="002B3524"/>
    <w:rsid w:val="002B36EC"/>
    <w:rsid w:val="002B3A27"/>
    <w:rsid w:val="002B3E94"/>
    <w:rsid w:val="002B4842"/>
    <w:rsid w:val="002B4BCE"/>
    <w:rsid w:val="002B52F9"/>
    <w:rsid w:val="002B53CB"/>
    <w:rsid w:val="002B54A3"/>
    <w:rsid w:val="002B5823"/>
    <w:rsid w:val="002B6891"/>
    <w:rsid w:val="002B6924"/>
    <w:rsid w:val="002B6F8A"/>
    <w:rsid w:val="002B73A3"/>
    <w:rsid w:val="002B75A9"/>
    <w:rsid w:val="002B767E"/>
    <w:rsid w:val="002B7688"/>
    <w:rsid w:val="002B77D1"/>
    <w:rsid w:val="002B7B76"/>
    <w:rsid w:val="002C008F"/>
    <w:rsid w:val="002C00EC"/>
    <w:rsid w:val="002C0264"/>
    <w:rsid w:val="002C06C5"/>
    <w:rsid w:val="002C0DBB"/>
    <w:rsid w:val="002C124D"/>
    <w:rsid w:val="002C12B4"/>
    <w:rsid w:val="002C16B2"/>
    <w:rsid w:val="002C1CD1"/>
    <w:rsid w:val="002C1E75"/>
    <w:rsid w:val="002C2518"/>
    <w:rsid w:val="002C2694"/>
    <w:rsid w:val="002C2702"/>
    <w:rsid w:val="002C29F3"/>
    <w:rsid w:val="002C2D71"/>
    <w:rsid w:val="002C33C4"/>
    <w:rsid w:val="002C341E"/>
    <w:rsid w:val="002C383A"/>
    <w:rsid w:val="002C3915"/>
    <w:rsid w:val="002C3A25"/>
    <w:rsid w:val="002C44EE"/>
    <w:rsid w:val="002C4BDF"/>
    <w:rsid w:val="002C4F69"/>
    <w:rsid w:val="002C4F83"/>
    <w:rsid w:val="002C50EF"/>
    <w:rsid w:val="002C5A9A"/>
    <w:rsid w:val="002C5CAD"/>
    <w:rsid w:val="002C5ECD"/>
    <w:rsid w:val="002C63B2"/>
    <w:rsid w:val="002C76BD"/>
    <w:rsid w:val="002C76E3"/>
    <w:rsid w:val="002C7AB7"/>
    <w:rsid w:val="002C7AC3"/>
    <w:rsid w:val="002D0703"/>
    <w:rsid w:val="002D09ED"/>
    <w:rsid w:val="002D1981"/>
    <w:rsid w:val="002D1A87"/>
    <w:rsid w:val="002D2655"/>
    <w:rsid w:val="002D2905"/>
    <w:rsid w:val="002D29AD"/>
    <w:rsid w:val="002D2A25"/>
    <w:rsid w:val="002D2A4E"/>
    <w:rsid w:val="002D2BDB"/>
    <w:rsid w:val="002D3264"/>
    <w:rsid w:val="002D344C"/>
    <w:rsid w:val="002D36F6"/>
    <w:rsid w:val="002D37C5"/>
    <w:rsid w:val="002D41ED"/>
    <w:rsid w:val="002D4B4F"/>
    <w:rsid w:val="002D5153"/>
    <w:rsid w:val="002D5429"/>
    <w:rsid w:val="002D5A77"/>
    <w:rsid w:val="002D5A88"/>
    <w:rsid w:val="002D5E2A"/>
    <w:rsid w:val="002D67F6"/>
    <w:rsid w:val="002D6AAE"/>
    <w:rsid w:val="002D6CBD"/>
    <w:rsid w:val="002D7AD7"/>
    <w:rsid w:val="002D7C25"/>
    <w:rsid w:val="002D7D08"/>
    <w:rsid w:val="002D7E46"/>
    <w:rsid w:val="002E02F4"/>
    <w:rsid w:val="002E068E"/>
    <w:rsid w:val="002E0DC7"/>
    <w:rsid w:val="002E1650"/>
    <w:rsid w:val="002E16C0"/>
    <w:rsid w:val="002E1776"/>
    <w:rsid w:val="002E1B63"/>
    <w:rsid w:val="002E1BF3"/>
    <w:rsid w:val="002E202C"/>
    <w:rsid w:val="002E211F"/>
    <w:rsid w:val="002E252A"/>
    <w:rsid w:val="002E2703"/>
    <w:rsid w:val="002E2993"/>
    <w:rsid w:val="002E3125"/>
    <w:rsid w:val="002E38D5"/>
    <w:rsid w:val="002E3C1E"/>
    <w:rsid w:val="002E46EB"/>
    <w:rsid w:val="002E4E9E"/>
    <w:rsid w:val="002E4F04"/>
    <w:rsid w:val="002E503B"/>
    <w:rsid w:val="002E5071"/>
    <w:rsid w:val="002E5A03"/>
    <w:rsid w:val="002E5A5F"/>
    <w:rsid w:val="002E5F71"/>
    <w:rsid w:val="002E6EBE"/>
    <w:rsid w:val="002E6F10"/>
    <w:rsid w:val="002E728E"/>
    <w:rsid w:val="002E7B19"/>
    <w:rsid w:val="002E7B2E"/>
    <w:rsid w:val="002F07DD"/>
    <w:rsid w:val="002F0BA9"/>
    <w:rsid w:val="002F1166"/>
    <w:rsid w:val="002F1438"/>
    <w:rsid w:val="002F1686"/>
    <w:rsid w:val="002F1C30"/>
    <w:rsid w:val="002F224E"/>
    <w:rsid w:val="002F261D"/>
    <w:rsid w:val="002F274C"/>
    <w:rsid w:val="002F2B1F"/>
    <w:rsid w:val="002F39E3"/>
    <w:rsid w:val="002F4105"/>
    <w:rsid w:val="002F4123"/>
    <w:rsid w:val="002F4589"/>
    <w:rsid w:val="002F4602"/>
    <w:rsid w:val="002F4CDF"/>
    <w:rsid w:val="002F519A"/>
    <w:rsid w:val="002F53F3"/>
    <w:rsid w:val="002F5FE0"/>
    <w:rsid w:val="002F64D2"/>
    <w:rsid w:val="002F6E33"/>
    <w:rsid w:val="002F7670"/>
    <w:rsid w:val="002F796E"/>
    <w:rsid w:val="002F7CA5"/>
    <w:rsid w:val="002F7EF1"/>
    <w:rsid w:val="003000E0"/>
    <w:rsid w:val="00300117"/>
    <w:rsid w:val="003004DB"/>
    <w:rsid w:val="00300785"/>
    <w:rsid w:val="00300CB5"/>
    <w:rsid w:val="0030176D"/>
    <w:rsid w:val="00301AFB"/>
    <w:rsid w:val="00301E4E"/>
    <w:rsid w:val="003022E1"/>
    <w:rsid w:val="00302A14"/>
    <w:rsid w:val="00302D6F"/>
    <w:rsid w:val="00303024"/>
    <w:rsid w:val="00303281"/>
    <w:rsid w:val="003036BC"/>
    <w:rsid w:val="003036FF"/>
    <w:rsid w:val="0030374A"/>
    <w:rsid w:val="003040BF"/>
    <w:rsid w:val="00304661"/>
    <w:rsid w:val="003048B3"/>
    <w:rsid w:val="00304E2A"/>
    <w:rsid w:val="00304EC8"/>
    <w:rsid w:val="00305513"/>
    <w:rsid w:val="00305C04"/>
    <w:rsid w:val="003063A8"/>
    <w:rsid w:val="0030647D"/>
    <w:rsid w:val="0030698B"/>
    <w:rsid w:val="00306AFF"/>
    <w:rsid w:val="00306D0A"/>
    <w:rsid w:val="00307084"/>
    <w:rsid w:val="00307505"/>
    <w:rsid w:val="00307598"/>
    <w:rsid w:val="0030759E"/>
    <w:rsid w:val="00307848"/>
    <w:rsid w:val="00307D1B"/>
    <w:rsid w:val="00307D6E"/>
    <w:rsid w:val="00307FC4"/>
    <w:rsid w:val="00310555"/>
    <w:rsid w:val="00310608"/>
    <w:rsid w:val="00310ABC"/>
    <w:rsid w:val="00310CDF"/>
    <w:rsid w:val="00311182"/>
    <w:rsid w:val="00311AF6"/>
    <w:rsid w:val="00311B10"/>
    <w:rsid w:val="00311E71"/>
    <w:rsid w:val="00311E9E"/>
    <w:rsid w:val="00311EF7"/>
    <w:rsid w:val="00311FB3"/>
    <w:rsid w:val="0031224F"/>
    <w:rsid w:val="0031235D"/>
    <w:rsid w:val="00312463"/>
    <w:rsid w:val="00312718"/>
    <w:rsid w:val="00312778"/>
    <w:rsid w:val="00312DC7"/>
    <w:rsid w:val="00312FA7"/>
    <w:rsid w:val="00312FFC"/>
    <w:rsid w:val="0031385F"/>
    <w:rsid w:val="00314214"/>
    <w:rsid w:val="0031472F"/>
    <w:rsid w:val="00314819"/>
    <w:rsid w:val="00314860"/>
    <w:rsid w:val="00314F49"/>
    <w:rsid w:val="00314FFB"/>
    <w:rsid w:val="003151F7"/>
    <w:rsid w:val="003161F0"/>
    <w:rsid w:val="003165EF"/>
    <w:rsid w:val="00316755"/>
    <w:rsid w:val="0031682C"/>
    <w:rsid w:val="00316D02"/>
    <w:rsid w:val="0031737F"/>
    <w:rsid w:val="00317D7D"/>
    <w:rsid w:val="00317D83"/>
    <w:rsid w:val="00317DAC"/>
    <w:rsid w:val="00317E35"/>
    <w:rsid w:val="00317F95"/>
    <w:rsid w:val="003204E0"/>
    <w:rsid w:val="003205F2"/>
    <w:rsid w:val="00320850"/>
    <w:rsid w:val="00320999"/>
    <w:rsid w:val="00320E0A"/>
    <w:rsid w:val="003215D3"/>
    <w:rsid w:val="0032167F"/>
    <w:rsid w:val="00321742"/>
    <w:rsid w:val="00322281"/>
    <w:rsid w:val="00322A70"/>
    <w:rsid w:val="00322ED7"/>
    <w:rsid w:val="003233C3"/>
    <w:rsid w:val="00323539"/>
    <w:rsid w:val="00323752"/>
    <w:rsid w:val="00323D36"/>
    <w:rsid w:val="003242BE"/>
    <w:rsid w:val="00324595"/>
    <w:rsid w:val="00324CF1"/>
    <w:rsid w:val="00324D9E"/>
    <w:rsid w:val="00324FDF"/>
    <w:rsid w:val="00325337"/>
    <w:rsid w:val="003255E5"/>
    <w:rsid w:val="00325617"/>
    <w:rsid w:val="0032581A"/>
    <w:rsid w:val="00326299"/>
    <w:rsid w:val="00326D6C"/>
    <w:rsid w:val="00327006"/>
    <w:rsid w:val="003273D4"/>
    <w:rsid w:val="0032743F"/>
    <w:rsid w:val="00327502"/>
    <w:rsid w:val="00327D7C"/>
    <w:rsid w:val="003302B3"/>
    <w:rsid w:val="00330889"/>
    <w:rsid w:val="00330BEF"/>
    <w:rsid w:val="00330F25"/>
    <w:rsid w:val="00330F9B"/>
    <w:rsid w:val="00331291"/>
    <w:rsid w:val="003315F0"/>
    <w:rsid w:val="0033170B"/>
    <w:rsid w:val="00331A88"/>
    <w:rsid w:val="00331CB9"/>
    <w:rsid w:val="00331E52"/>
    <w:rsid w:val="003321CB"/>
    <w:rsid w:val="00332333"/>
    <w:rsid w:val="003325C7"/>
    <w:rsid w:val="00332842"/>
    <w:rsid w:val="00332888"/>
    <w:rsid w:val="003336A1"/>
    <w:rsid w:val="00333BBF"/>
    <w:rsid w:val="003349FE"/>
    <w:rsid w:val="00335592"/>
    <w:rsid w:val="00335862"/>
    <w:rsid w:val="00335A3B"/>
    <w:rsid w:val="00335E63"/>
    <w:rsid w:val="00336B89"/>
    <w:rsid w:val="00337174"/>
    <w:rsid w:val="003373AE"/>
    <w:rsid w:val="0033751A"/>
    <w:rsid w:val="003377B4"/>
    <w:rsid w:val="00337901"/>
    <w:rsid w:val="0033794A"/>
    <w:rsid w:val="003379CE"/>
    <w:rsid w:val="00337C8B"/>
    <w:rsid w:val="00337FD5"/>
    <w:rsid w:val="0034020D"/>
    <w:rsid w:val="00340709"/>
    <w:rsid w:val="0034080B"/>
    <w:rsid w:val="003409DB"/>
    <w:rsid w:val="00340A32"/>
    <w:rsid w:val="00340AEC"/>
    <w:rsid w:val="00340DBD"/>
    <w:rsid w:val="00342464"/>
    <w:rsid w:val="003427BB"/>
    <w:rsid w:val="00342981"/>
    <w:rsid w:val="00342BA9"/>
    <w:rsid w:val="00342EEA"/>
    <w:rsid w:val="00343358"/>
    <w:rsid w:val="00344122"/>
    <w:rsid w:val="0034420B"/>
    <w:rsid w:val="00344441"/>
    <w:rsid w:val="003447B1"/>
    <w:rsid w:val="00344884"/>
    <w:rsid w:val="00344F85"/>
    <w:rsid w:val="00344F9D"/>
    <w:rsid w:val="003450BB"/>
    <w:rsid w:val="003459C5"/>
    <w:rsid w:val="0034653D"/>
    <w:rsid w:val="00346872"/>
    <w:rsid w:val="00346A6F"/>
    <w:rsid w:val="00346DDE"/>
    <w:rsid w:val="00347506"/>
    <w:rsid w:val="003475F2"/>
    <w:rsid w:val="00347D95"/>
    <w:rsid w:val="00347E5F"/>
    <w:rsid w:val="00350107"/>
    <w:rsid w:val="00350154"/>
    <w:rsid w:val="003502BC"/>
    <w:rsid w:val="003508DD"/>
    <w:rsid w:val="003512D9"/>
    <w:rsid w:val="00351A98"/>
    <w:rsid w:val="00351BD1"/>
    <w:rsid w:val="00351F2F"/>
    <w:rsid w:val="00351F3A"/>
    <w:rsid w:val="00351F43"/>
    <w:rsid w:val="003524F0"/>
    <w:rsid w:val="0035253F"/>
    <w:rsid w:val="00352C70"/>
    <w:rsid w:val="00352DFD"/>
    <w:rsid w:val="00352ECA"/>
    <w:rsid w:val="00353179"/>
    <w:rsid w:val="00353FB9"/>
    <w:rsid w:val="00354030"/>
    <w:rsid w:val="003540AD"/>
    <w:rsid w:val="00354551"/>
    <w:rsid w:val="003546F6"/>
    <w:rsid w:val="003550F3"/>
    <w:rsid w:val="0035539C"/>
    <w:rsid w:val="00355A0F"/>
    <w:rsid w:val="00355CE0"/>
    <w:rsid w:val="00355F8C"/>
    <w:rsid w:val="0035657A"/>
    <w:rsid w:val="00357541"/>
    <w:rsid w:val="003578FF"/>
    <w:rsid w:val="00357DA1"/>
    <w:rsid w:val="00357E74"/>
    <w:rsid w:val="00357FC2"/>
    <w:rsid w:val="003600E6"/>
    <w:rsid w:val="0036015E"/>
    <w:rsid w:val="00360573"/>
    <w:rsid w:val="003606A0"/>
    <w:rsid w:val="0036078E"/>
    <w:rsid w:val="0036096D"/>
    <w:rsid w:val="00360B6D"/>
    <w:rsid w:val="00361BFE"/>
    <w:rsid w:val="00361C9F"/>
    <w:rsid w:val="0036229F"/>
    <w:rsid w:val="0036233A"/>
    <w:rsid w:val="00362394"/>
    <w:rsid w:val="00362646"/>
    <w:rsid w:val="00362F9A"/>
    <w:rsid w:val="0036303D"/>
    <w:rsid w:val="00363BFB"/>
    <w:rsid w:val="00363D27"/>
    <w:rsid w:val="00364005"/>
    <w:rsid w:val="003653EC"/>
    <w:rsid w:val="0036584C"/>
    <w:rsid w:val="00365CE0"/>
    <w:rsid w:val="003660FF"/>
    <w:rsid w:val="00366D9E"/>
    <w:rsid w:val="00367772"/>
    <w:rsid w:val="00367B13"/>
    <w:rsid w:val="00367B36"/>
    <w:rsid w:val="00367E9B"/>
    <w:rsid w:val="00370AAD"/>
    <w:rsid w:val="00370AC0"/>
    <w:rsid w:val="00370F93"/>
    <w:rsid w:val="00371088"/>
    <w:rsid w:val="00371297"/>
    <w:rsid w:val="00371599"/>
    <w:rsid w:val="003720B8"/>
    <w:rsid w:val="003728C2"/>
    <w:rsid w:val="003728C5"/>
    <w:rsid w:val="00372E90"/>
    <w:rsid w:val="00372F44"/>
    <w:rsid w:val="0037304F"/>
    <w:rsid w:val="003734CC"/>
    <w:rsid w:val="00373AEE"/>
    <w:rsid w:val="00373E8C"/>
    <w:rsid w:val="00373E91"/>
    <w:rsid w:val="00374235"/>
    <w:rsid w:val="00374274"/>
    <w:rsid w:val="003747C0"/>
    <w:rsid w:val="00374F9D"/>
    <w:rsid w:val="00375380"/>
    <w:rsid w:val="003756EB"/>
    <w:rsid w:val="003764BF"/>
    <w:rsid w:val="003767F7"/>
    <w:rsid w:val="00376F01"/>
    <w:rsid w:val="00376FA5"/>
    <w:rsid w:val="00377872"/>
    <w:rsid w:val="00380761"/>
    <w:rsid w:val="003809FA"/>
    <w:rsid w:val="00380D43"/>
    <w:rsid w:val="00380EA0"/>
    <w:rsid w:val="003812EF"/>
    <w:rsid w:val="0038176E"/>
    <w:rsid w:val="00381FFC"/>
    <w:rsid w:val="0038200D"/>
    <w:rsid w:val="00382C40"/>
    <w:rsid w:val="00382DB5"/>
    <w:rsid w:val="00383836"/>
    <w:rsid w:val="0038392C"/>
    <w:rsid w:val="00383BBE"/>
    <w:rsid w:val="00383EA5"/>
    <w:rsid w:val="003845E5"/>
    <w:rsid w:val="003846BD"/>
    <w:rsid w:val="00385176"/>
    <w:rsid w:val="0038519B"/>
    <w:rsid w:val="00386B7C"/>
    <w:rsid w:val="00387122"/>
    <w:rsid w:val="00387950"/>
    <w:rsid w:val="00387B6A"/>
    <w:rsid w:val="00387FA1"/>
    <w:rsid w:val="00387FD2"/>
    <w:rsid w:val="003902B0"/>
    <w:rsid w:val="00390F79"/>
    <w:rsid w:val="00391038"/>
    <w:rsid w:val="003910DC"/>
    <w:rsid w:val="003910E8"/>
    <w:rsid w:val="00391485"/>
    <w:rsid w:val="00391DE0"/>
    <w:rsid w:val="00392122"/>
    <w:rsid w:val="003923B5"/>
    <w:rsid w:val="003923DB"/>
    <w:rsid w:val="00392551"/>
    <w:rsid w:val="00392955"/>
    <w:rsid w:val="00392B91"/>
    <w:rsid w:val="00392C78"/>
    <w:rsid w:val="0039352D"/>
    <w:rsid w:val="0039356B"/>
    <w:rsid w:val="003952D7"/>
    <w:rsid w:val="003955F7"/>
    <w:rsid w:val="00395946"/>
    <w:rsid w:val="00395DCD"/>
    <w:rsid w:val="0039610B"/>
    <w:rsid w:val="003965CE"/>
    <w:rsid w:val="00396695"/>
    <w:rsid w:val="00396CEC"/>
    <w:rsid w:val="0039702F"/>
    <w:rsid w:val="003970FB"/>
    <w:rsid w:val="003972CB"/>
    <w:rsid w:val="0039777F"/>
    <w:rsid w:val="00397A38"/>
    <w:rsid w:val="00397F0F"/>
    <w:rsid w:val="003A087B"/>
    <w:rsid w:val="003A0B97"/>
    <w:rsid w:val="003A0BEF"/>
    <w:rsid w:val="003A1485"/>
    <w:rsid w:val="003A15B7"/>
    <w:rsid w:val="003A1A4F"/>
    <w:rsid w:val="003A1D70"/>
    <w:rsid w:val="003A2A4D"/>
    <w:rsid w:val="003A3281"/>
    <w:rsid w:val="003A3336"/>
    <w:rsid w:val="003A3B65"/>
    <w:rsid w:val="003A40E7"/>
    <w:rsid w:val="003A4165"/>
    <w:rsid w:val="003A4276"/>
    <w:rsid w:val="003A4B15"/>
    <w:rsid w:val="003A4CA4"/>
    <w:rsid w:val="003A4CAB"/>
    <w:rsid w:val="003A4CC0"/>
    <w:rsid w:val="003A4F91"/>
    <w:rsid w:val="003A4FAB"/>
    <w:rsid w:val="003A5269"/>
    <w:rsid w:val="003A5876"/>
    <w:rsid w:val="003A5C1F"/>
    <w:rsid w:val="003A5DB2"/>
    <w:rsid w:val="003A5DCD"/>
    <w:rsid w:val="003A6174"/>
    <w:rsid w:val="003A61DE"/>
    <w:rsid w:val="003A6950"/>
    <w:rsid w:val="003A6C7E"/>
    <w:rsid w:val="003A6FEB"/>
    <w:rsid w:val="003A7023"/>
    <w:rsid w:val="003A7B8A"/>
    <w:rsid w:val="003A7BC7"/>
    <w:rsid w:val="003B06BC"/>
    <w:rsid w:val="003B07E3"/>
    <w:rsid w:val="003B09C0"/>
    <w:rsid w:val="003B0AD4"/>
    <w:rsid w:val="003B10FB"/>
    <w:rsid w:val="003B142C"/>
    <w:rsid w:val="003B14A4"/>
    <w:rsid w:val="003B17D9"/>
    <w:rsid w:val="003B26E4"/>
    <w:rsid w:val="003B32BF"/>
    <w:rsid w:val="003B3762"/>
    <w:rsid w:val="003B383F"/>
    <w:rsid w:val="003B3D35"/>
    <w:rsid w:val="003B3D84"/>
    <w:rsid w:val="003B4186"/>
    <w:rsid w:val="003B4441"/>
    <w:rsid w:val="003B486C"/>
    <w:rsid w:val="003B4B86"/>
    <w:rsid w:val="003B6046"/>
    <w:rsid w:val="003B60A8"/>
    <w:rsid w:val="003B62EE"/>
    <w:rsid w:val="003B63EB"/>
    <w:rsid w:val="003B64E1"/>
    <w:rsid w:val="003B762B"/>
    <w:rsid w:val="003B7CAA"/>
    <w:rsid w:val="003C0501"/>
    <w:rsid w:val="003C060B"/>
    <w:rsid w:val="003C07B2"/>
    <w:rsid w:val="003C112C"/>
    <w:rsid w:val="003C148F"/>
    <w:rsid w:val="003C17BD"/>
    <w:rsid w:val="003C19DD"/>
    <w:rsid w:val="003C1E37"/>
    <w:rsid w:val="003C2298"/>
    <w:rsid w:val="003C2D77"/>
    <w:rsid w:val="003C2E47"/>
    <w:rsid w:val="003C302E"/>
    <w:rsid w:val="003C304E"/>
    <w:rsid w:val="003C3A6D"/>
    <w:rsid w:val="003C3BCF"/>
    <w:rsid w:val="003C3C32"/>
    <w:rsid w:val="003C3C56"/>
    <w:rsid w:val="003C3E09"/>
    <w:rsid w:val="003C424B"/>
    <w:rsid w:val="003C4252"/>
    <w:rsid w:val="003C4452"/>
    <w:rsid w:val="003C44D7"/>
    <w:rsid w:val="003C4A27"/>
    <w:rsid w:val="003C5552"/>
    <w:rsid w:val="003C5996"/>
    <w:rsid w:val="003C6001"/>
    <w:rsid w:val="003C6332"/>
    <w:rsid w:val="003C6A0C"/>
    <w:rsid w:val="003C6A19"/>
    <w:rsid w:val="003C71B5"/>
    <w:rsid w:val="003C7332"/>
    <w:rsid w:val="003C7476"/>
    <w:rsid w:val="003C7608"/>
    <w:rsid w:val="003C78EC"/>
    <w:rsid w:val="003C7E58"/>
    <w:rsid w:val="003C7FC0"/>
    <w:rsid w:val="003D0362"/>
    <w:rsid w:val="003D0558"/>
    <w:rsid w:val="003D0B4D"/>
    <w:rsid w:val="003D0B7F"/>
    <w:rsid w:val="003D11FF"/>
    <w:rsid w:val="003D14D9"/>
    <w:rsid w:val="003D1742"/>
    <w:rsid w:val="003D18BB"/>
    <w:rsid w:val="003D20E5"/>
    <w:rsid w:val="003D25A1"/>
    <w:rsid w:val="003D281B"/>
    <w:rsid w:val="003D2E37"/>
    <w:rsid w:val="003D31DB"/>
    <w:rsid w:val="003D33A0"/>
    <w:rsid w:val="003D3C0B"/>
    <w:rsid w:val="003D3ECF"/>
    <w:rsid w:val="003D459C"/>
    <w:rsid w:val="003D46B0"/>
    <w:rsid w:val="003D46DC"/>
    <w:rsid w:val="003D4AA5"/>
    <w:rsid w:val="003D4BC2"/>
    <w:rsid w:val="003D61D1"/>
    <w:rsid w:val="003D6446"/>
    <w:rsid w:val="003D65F9"/>
    <w:rsid w:val="003D69C6"/>
    <w:rsid w:val="003D6DE5"/>
    <w:rsid w:val="003D747A"/>
    <w:rsid w:val="003D7A24"/>
    <w:rsid w:val="003D7D54"/>
    <w:rsid w:val="003D7E24"/>
    <w:rsid w:val="003E0292"/>
    <w:rsid w:val="003E02E6"/>
    <w:rsid w:val="003E07B3"/>
    <w:rsid w:val="003E0BC7"/>
    <w:rsid w:val="003E1012"/>
    <w:rsid w:val="003E13A1"/>
    <w:rsid w:val="003E18BB"/>
    <w:rsid w:val="003E1B6D"/>
    <w:rsid w:val="003E26A2"/>
    <w:rsid w:val="003E2911"/>
    <w:rsid w:val="003E29A7"/>
    <w:rsid w:val="003E2F7E"/>
    <w:rsid w:val="003E3121"/>
    <w:rsid w:val="003E40B3"/>
    <w:rsid w:val="003E46F7"/>
    <w:rsid w:val="003E4D19"/>
    <w:rsid w:val="003E4F42"/>
    <w:rsid w:val="003E533B"/>
    <w:rsid w:val="003E5708"/>
    <w:rsid w:val="003E5D9B"/>
    <w:rsid w:val="003E5DC7"/>
    <w:rsid w:val="003E5DFA"/>
    <w:rsid w:val="003E6221"/>
    <w:rsid w:val="003E6AF4"/>
    <w:rsid w:val="003E6C69"/>
    <w:rsid w:val="003E705B"/>
    <w:rsid w:val="003E7269"/>
    <w:rsid w:val="003E737F"/>
    <w:rsid w:val="003E7A4C"/>
    <w:rsid w:val="003E7ADC"/>
    <w:rsid w:val="003F0093"/>
    <w:rsid w:val="003F0378"/>
    <w:rsid w:val="003F182E"/>
    <w:rsid w:val="003F1914"/>
    <w:rsid w:val="003F1A61"/>
    <w:rsid w:val="003F2122"/>
    <w:rsid w:val="003F2251"/>
    <w:rsid w:val="003F272E"/>
    <w:rsid w:val="003F2767"/>
    <w:rsid w:val="003F2827"/>
    <w:rsid w:val="003F2859"/>
    <w:rsid w:val="003F2A94"/>
    <w:rsid w:val="003F2E97"/>
    <w:rsid w:val="003F2F86"/>
    <w:rsid w:val="003F3365"/>
    <w:rsid w:val="003F33FE"/>
    <w:rsid w:val="003F363E"/>
    <w:rsid w:val="003F3DF0"/>
    <w:rsid w:val="003F3E6A"/>
    <w:rsid w:val="003F42D3"/>
    <w:rsid w:val="003F4A23"/>
    <w:rsid w:val="003F4F9D"/>
    <w:rsid w:val="003F5071"/>
    <w:rsid w:val="003F5AC0"/>
    <w:rsid w:val="003F6013"/>
    <w:rsid w:val="003F6224"/>
    <w:rsid w:val="003F73D1"/>
    <w:rsid w:val="003F7490"/>
    <w:rsid w:val="003F78E6"/>
    <w:rsid w:val="003F7A4E"/>
    <w:rsid w:val="00400822"/>
    <w:rsid w:val="00400CF9"/>
    <w:rsid w:val="00401D0C"/>
    <w:rsid w:val="004020C8"/>
    <w:rsid w:val="004023F8"/>
    <w:rsid w:val="0040294B"/>
    <w:rsid w:val="00403110"/>
    <w:rsid w:val="0040382A"/>
    <w:rsid w:val="00403DEC"/>
    <w:rsid w:val="00404142"/>
    <w:rsid w:val="00404BD7"/>
    <w:rsid w:val="00404C01"/>
    <w:rsid w:val="00404C73"/>
    <w:rsid w:val="00404DFD"/>
    <w:rsid w:val="004053EF"/>
    <w:rsid w:val="00405B7F"/>
    <w:rsid w:val="00405BD3"/>
    <w:rsid w:val="00406324"/>
    <w:rsid w:val="004067FF"/>
    <w:rsid w:val="00406C2E"/>
    <w:rsid w:val="00406C64"/>
    <w:rsid w:val="00406D05"/>
    <w:rsid w:val="004075E4"/>
    <w:rsid w:val="00407D4A"/>
    <w:rsid w:val="00407FE7"/>
    <w:rsid w:val="00407FF1"/>
    <w:rsid w:val="00410243"/>
    <w:rsid w:val="004103CB"/>
    <w:rsid w:val="00411728"/>
    <w:rsid w:val="00411BBF"/>
    <w:rsid w:val="00411DDB"/>
    <w:rsid w:val="00412478"/>
    <w:rsid w:val="004126D0"/>
    <w:rsid w:val="00412B24"/>
    <w:rsid w:val="00412B6B"/>
    <w:rsid w:val="00412D5E"/>
    <w:rsid w:val="00412DE9"/>
    <w:rsid w:val="00413188"/>
    <w:rsid w:val="00413206"/>
    <w:rsid w:val="004134C3"/>
    <w:rsid w:val="004136EE"/>
    <w:rsid w:val="004137CC"/>
    <w:rsid w:val="00413CDF"/>
    <w:rsid w:val="00413E9A"/>
    <w:rsid w:val="004146AC"/>
    <w:rsid w:val="004146F8"/>
    <w:rsid w:val="004147D2"/>
    <w:rsid w:val="00414C64"/>
    <w:rsid w:val="0041504C"/>
    <w:rsid w:val="004150BA"/>
    <w:rsid w:val="00415150"/>
    <w:rsid w:val="004151E7"/>
    <w:rsid w:val="004154EC"/>
    <w:rsid w:val="00415F0A"/>
    <w:rsid w:val="00415F50"/>
    <w:rsid w:val="0041620A"/>
    <w:rsid w:val="00417E7B"/>
    <w:rsid w:val="004204D5"/>
    <w:rsid w:val="00420D8F"/>
    <w:rsid w:val="004212F9"/>
    <w:rsid w:val="00421D10"/>
    <w:rsid w:val="00421FA3"/>
    <w:rsid w:val="004226DB"/>
    <w:rsid w:val="004227C5"/>
    <w:rsid w:val="00422A0F"/>
    <w:rsid w:val="00422AED"/>
    <w:rsid w:val="00422D80"/>
    <w:rsid w:val="00422FC8"/>
    <w:rsid w:val="00422FCF"/>
    <w:rsid w:val="00423166"/>
    <w:rsid w:val="00423AF8"/>
    <w:rsid w:val="00423DF6"/>
    <w:rsid w:val="00424111"/>
    <w:rsid w:val="004245B1"/>
    <w:rsid w:val="0042479A"/>
    <w:rsid w:val="00424E59"/>
    <w:rsid w:val="0042530B"/>
    <w:rsid w:val="00425834"/>
    <w:rsid w:val="00425BD3"/>
    <w:rsid w:val="00426092"/>
    <w:rsid w:val="004263B8"/>
    <w:rsid w:val="0042663A"/>
    <w:rsid w:val="004266DB"/>
    <w:rsid w:val="00426BBE"/>
    <w:rsid w:val="00427336"/>
    <w:rsid w:val="004279F5"/>
    <w:rsid w:val="004307B2"/>
    <w:rsid w:val="00430AB6"/>
    <w:rsid w:val="00430BE5"/>
    <w:rsid w:val="00430C84"/>
    <w:rsid w:val="00430F9C"/>
    <w:rsid w:val="0043116C"/>
    <w:rsid w:val="004313A8"/>
    <w:rsid w:val="00431661"/>
    <w:rsid w:val="0043189D"/>
    <w:rsid w:val="00431DFF"/>
    <w:rsid w:val="0043205A"/>
    <w:rsid w:val="0043221A"/>
    <w:rsid w:val="00432308"/>
    <w:rsid w:val="0043288F"/>
    <w:rsid w:val="00432D48"/>
    <w:rsid w:val="004335D8"/>
    <w:rsid w:val="004339E4"/>
    <w:rsid w:val="00434405"/>
    <w:rsid w:val="00434ACF"/>
    <w:rsid w:val="004350B8"/>
    <w:rsid w:val="004351AB"/>
    <w:rsid w:val="004351C1"/>
    <w:rsid w:val="00435481"/>
    <w:rsid w:val="004355FE"/>
    <w:rsid w:val="004356C0"/>
    <w:rsid w:val="004359B9"/>
    <w:rsid w:val="004360FC"/>
    <w:rsid w:val="0043615A"/>
    <w:rsid w:val="004368A1"/>
    <w:rsid w:val="00436995"/>
    <w:rsid w:val="00436A2A"/>
    <w:rsid w:val="00436B94"/>
    <w:rsid w:val="004373E5"/>
    <w:rsid w:val="004375CB"/>
    <w:rsid w:val="004378FD"/>
    <w:rsid w:val="004401C2"/>
    <w:rsid w:val="0044041C"/>
    <w:rsid w:val="004404F8"/>
    <w:rsid w:val="00440540"/>
    <w:rsid w:val="004407AA"/>
    <w:rsid w:val="00440919"/>
    <w:rsid w:val="00440982"/>
    <w:rsid w:val="00440A06"/>
    <w:rsid w:val="00440B3E"/>
    <w:rsid w:val="00440F13"/>
    <w:rsid w:val="004413E4"/>
    <w:rsid w:val="00441DA7"/>
    <w:rsid w:val="00441EF8"/>
    <w:rsid w:val="00442101"/>
    <w:rsid w:val="004422EF"/>
    <w:rsid w:val="00442B32"/>
    <w:rsid w:val="00443370"/>
    <w:rsid w:val="00443687"/>
    <w:rsid w:val="004439EA"/>
    <w:rsid w:val="00443D2B"/>
    <w:rsid w:val="00443DCB"/>
    <w:rsid w:val="00443EE8"/>
    <w:rsid w:val="00444126"/>
    <w:rsid w:val="004445DC"/>
    <w:rsid w:val="00444DC1"/>
    <w:rsid w:val="00444E22"/>
    <w:rsid w:val="00445448"/>
    <w:rsid w:val="00445489"/>
    <w:rsid w:val="004454F6"/>
    <w:rsid w:val="0044554D"/>
    <w:rsid w:val="00445C2C"/>
    <w:rsid w:val="00445ED6"/>
    <w:rsid w:val="00445F3A"/>
    <w:rsid w:val="004469DF"/>
    <w:rsid w:val="00446D38"/>
    <w:rsid w:val="00446EAD"/>
    <w:rsid w:val="00446F74"/>
    <w:rsid w:val="004474DF"/>
    <w:rsid w:val="00447926"/>
    <w:rsid w:val="004506FA"/>
    <w:rsid w:val="00450EDD"/>
    <w:rsid w:val="00451032"/>
    <w:rsid w:val="004513DC"/>
    <w:rsid w:val="00452557"/>
    <w:rsid w:val="00452AD6"/>
    <w:rsid w:val="0045309F"/>
    <w:rsid w:val="00453A38"/>
    <w:rsid w:val="00453FF7"/>
    <w:rsid w:val="00454488"/>
    <w:rsid w:val="004548D8"/>
    <w:rsid w:val="00454E9D"/>
    <w:rsid w:val="00454EBC"/>
    <w:rsid w:val="00454EE7"/>
    <w:rsid w:val="00455613"/>
    <w:rsid w:val="0045591F"/>
    <w:rsid w:val="00455B38"/>
    <w:rsid w:val="00456061"/>
    <w:rsid w:val="004561C8"/>
    <w:rsid w:val="00456256"/>
    <w:rsid w:val="0045637E"/>
    <w:rsid w:val="004565BF"/>
    <w:rsid w:val="004569FD"/>
    <w:rsid w:val="00456B5C"/>
    <w:rsid w:val="00456D98"/>
    <w:rsid w:val="00456F61"/>
    <w:rsid w:val="004571C2"/>
    <w:rsid w:val="00457338"/>
    <w:rsid w:val="004577AB"/>
    <w:rsid w:val="00457A2D"/>
    <w:rsid w:val="00457AFA"/>
    <w:rsid w:val="004602FC"/>
    <w:rsid w:val="00460DE4"/>
    <w:rsid w:val="0046103D"/>
    <w:rsid w:val="00461AE4"/>
    <w:rsid w:val="00461BA9"/>
    <w:rsid w:val="00461BFF"/>
    <w:rsid w:val="00461E06"/>
    <w:rsid w:val="00462368"/>
    <w:rsid w:val="00462BE9"/>
    <w:rsid w:val="00462DF9"/>
    <w:rsid w:val="00462DFF"/>
    <w:rsid w:val="004630BC"/>
    <w:rsid w:val="004631D8"/>
    <w:rsid w:val="004632DD"/>
    <w:rsid w:val="00463B92"/>
    <w:rsid w:val="004640BE"/>
    <w:rsid w:val="00464560"/>
    <w:rsid w:val="004647C9"/>
    <w:rsid w:val="00464A53"/>
    <w:rsid w:val="00464BBF"/>
    <w:rsid w:val="00464E44"/>
    <w:rsid w:val="00464FE9"/>
    <w:rsid w:val="00465068"/>
    <w:rsid w:val="004657FE"/>
    <w:rsid w:val="004658A4"/>
    <w:rsid w:val="00465A21"/>
    <w:rsid w:val="00465CF3"/>
    <w:rsid w:val="00465E1F"/>
    <w:rsid w:val="00465EAB"/>
    <w:rsid w:val="0046641F"/>
    <w:rsid w:val="00466E15"/>
    <w:rsid w:val="00466EBF"/>
    <w:rsid w:val="0046734D"/>
    <w:rsid w:val="0046750B"/>
    <w:rsid w:val="00467547"/>
    <w:rsid w:val="004703D8"/>
    <w:rsid w:val="004705A3"/>
    <w:rsid w:val="00470678"/>
    <w:rsid w:val="00470772"/>
    <w:rsid w:val="00470837"/>
    <w:rsid w:val="004713A0"/>
    <w:rsid w:val="0047153F"/>
    <w:rsid w:val="00471671"/>
    <w:rsid w:val="00471B71"/>
    <w:rsid w:val="00471C4A"/>
    <w:rsid w:val="004725C8"/>
    <w:rsid w:val="004729F0"/>
    <w:rsid w:val="00472FAA"/>
    <w:rsid w:val="0047420E"/>
    <w:rsid w:val="004745F2"/>
    <w:rsid w:val="00474727"/>
    <w:rsid w:val="00474999"/>
    <w:rsid w:val="00474C91"/>
    <w:rsid w:val="00474E76"/>
    <w:rsid w:val="00474E8C"/>
    <w:rsid w:val="00474F7B"/>
    <w:rsid w:val="004750EC"/>
    <w:rsid w:val="00475266"/>
    <w:rsid w:val="004752A1"/>
    <w:rsid w:val="00475DB5"/>
    <w:rsid w:val="00476315"/>
    <w:rsid w:val="004769C9"/>
    <w:rsid w:val="00476A66"/>
    <w:rsid w:val="00476D72"/>
    <w:rsid w:val="00476E67"/>
    <w:rsid w:val="00477212"/>
    <w:rsid w:val="0047723A"/>
    <w:rsid w:val="00477264"/>
    <w:rsid w:val="004772F3"/>
    <w:rsid w:val="00477DC1"/>
    <w:rsid w:val="0048025D"/>
    <w:rsid w:val="004806FD"/>
    <w:rsid w:val="00480753"/>
    <w:rsid w:val="00480A52"/>
    <w:rsid w:val="00480A7A"/>
    <w:rsid w:val="00480B69"/>
    <w:rsid w:val="00480FF5"/>
    <w:rsid w:val="004810D7"/>
    <w:rsid w:val="00481143"/>
    <w:rsid w:val="00481E56"/>
    <w:rsid w:val="004820CA"/>
    <w:rsid w:val="00482AB9"/>
    <w:rsid w:val="00483782"/>
    <w:rsid w:val="00483843"/>
    <w:rsid w:val="0048436B"/>
    <w:rsid w:val="00484AF0"/>
    <w:rsid w:val="0048507A"/>
    <w:rsid w:val="004852D3"/>
    <w:rsid w:val="00485D6B"/>
    <w:rsid w:val="00486C10"/>
    <w:rsid w:val="00486CF1"/>
    <w:rsid w:val="00486DFA"/>
    <w:rsid w:val="004874E2"/>
    <w:rsid w:val="00487903"/>
    <w:rsid w:val="00487B62"/>
    <w:rsid w:val="00490189"/>
    <w:rsid w:val="0049088D"/>
    <w:rsid w:val="00490899"/>
    <w:rsid w:val="004912D2"/>
    <w:rsid w:val="0049184F"/>
    <w:rsid w:val="004918EE"/>
    <w:rsid w:val="00491C58"/>
    <w:rsid w:val="00491C98"/>
    <w:rsid w:val="0049216F"/>
    <w:rsid w:val="004923BF"/>
    <w:rsid w:val="00492E89"/>
    <w:rsid w:val="0049303E"/>
    <w:rsid w:val="00493140"/>
    <w:rsid w:val="00493165"/>
    <w:rsid w:val="0049325D"/>
    <w:rsid w:val="00493586"/>
    <w:rsid w:val="004937F0"/>
    <w:rsid w:val="004938BE"/>
    <w:rsid w:val="00493B9E"/>
    <w:rsid w:val="00493F4B"/>
    <w:rsid w:val="0049409C"/>
    <w:rsid w:val="00495373"/>
    <w:rsid w:val="00495783"/>
    <w:rsid w:val="0049590B"/>
    <w:rsid w:val="00495BC4"/>
    <w:rsid w:val="00495C00"/>
    <w:rsid w:val="00495D50"/>
    <w:rsid w:val="00496150"/>
    <w:rsid w:val="004961B6"/>
    <w:rsid w:val="004961C7"/>
    <w:rsid w:val="00496488"/>
    <w:rsid w:val="004964DD"/>
    <w:rsid w:val="0049722D"/>
    <w:rsid w:val="0049752B"/>
    <w:rsid w:val="0049793A"/>
    <w:rsid w:val="00497D52"/>
    <w:rsid w:val="00497F73"/>
    <w:rsid w:val="004A01FC"/>
    <w:rsid w:val="004A05BA"/>
    <w:rsid w:val="004A0BEE"/>
    <w:rsid w:val="004A0CB0"/>
    <w:rsid w:val="004A13D1"/>
    <w:rsid w:val="004A1A2C"/>
    <w:rsid w:val="004A1FAD"/>
    <w:rsid w:val="004A28D0"/>
    <w:rsid w:val="004A2AFA"/>
    <w:rsid w:val="004A2D32"/>
    <w:rsid w:val="004A2EA6"/>
    <w:rsid w:val="004A30A8"/>
    <w:rsid w:val="004A3189"/>
    <w:rsid w:val="004A3606"/>
    <w:rsid w:val="004A36FD"/>
    <w:rsid w:val="004A4284"/>
    <w:rsid w:val="004A45BE"/>
    <w:rsid w:val="004A491E"/>
    <w:rsid w:val="004A4CA2"/>
    <w:rsid w:val="004A4E61"/>
    <w:rsid w:val="004A517C"/>
    <w:rsid w:val="004A5332"/>
    <w:rsid w:val="004A53A2"/>
    <w:rsid w:val="004A542B"/>
    <w:rsid w:val="004A5564"/>
    <w:rsid w:val="004A560E"/>
    <w:rsid w:val="004A5765"/>
    <w:rsid w:val="004A5D5F"/>
    <w:rsid w:val="004A5DAC"/>
    <w:rsid w:val="004A5EC7"/>
    <w:rsid w:val="004A63BB"/>
    <w:rsid w:val="004A6579"/>
    <w:rsid w:val="004A6B78"/>
    <w:rsid w:val="004A6D38"/>
    <w:rsid w:val="004A6D48"/>
    <w:rsid w:val="004A6F66"/>
    <w:rsid w:val="004A782F"/>
    <w:rsid w:val="004B035D"/>
    <w:rsid w:val="004B0465"/>
    <w:rsid w:val="004B0D75"/>
    <w:rsid w:val="004B1406"/>
    <w:rsid w:val="004B140E"/>
    <w:rsid w:val="004B1657"/>
    <w:rsid w:val="004B1B84"/>
    <w:rsid w:val="004B1B88"/>
    <w:rsid w:val="004B1CF5"/>
    <w:rsid w:val="004B237E"/>
    <w:rsid w:val="004B27CE"/>
    <w:rsid w:val="004B282A"/>
    <w:rsid w:val="004B2885"/>
    <w:rsid w:val="004B2E3A"/>
    <w:rsid w:val="004B3A23"/>
    <w:rsid w:val="004B3BCD"/>
    <w:rsid w:val="004B3D28"/>
    <w:rsid w:val="004B3DCD"/>
    <w:rsid w:val="004B427D"/>
    <w:rsid w:val="004B433E"/>
    <w:rsid w:val="004B466C"/>
    <w:rsid w:val="004B5538"/>
    <w:rsid w:val="004B6321"/>
    <w:rsid w:val="004B6791"/>
    <w:rsid w:val="004B7007"/>
    <w:rsid w:val="004B774F"/>
    <w:rsid w:val="004B7B94"/>
    <w:rsid w:val="004B7C01"/>
    <w:rsid w:val="004C02CC"/>
    <w:rsid w:val="004C037C"/>
    <w:rsid w:val="004C0596"/>
    <w:rsid w:val="004C05FC"/>
    <w:rsid w:val="004C114E"/>
    <w:rsid w:val="004C1277"/>
    <w:rsid w:val="004C1953"/>
    <w:rsid w:val="004C1B87"/>
    <w:rsid w:val="004C1C25"/>
    <w:rsid w:val="004C1C61"/>
    <w:rsid w:val="004C1E79"/>
    <w:rsid w:val="004C21B2"/>
    <w:rsid w:val="004C2216"/>
    <w:rsid w:val="004C2474"/>
    <w:rsid w:val="004C26E9"/>
    <w:rsid w:val="004C29DA"/>
    <w:rsid w:val="004C2E3C"/>
    <w:rsid w:val="004C3022"/>
    <w:rsid w:val="004C3142"/>
    <w:rsid w:val="004C382A"/>
    <w:rsid w:val="004C3A22"/>
    <w:rsid w:val="004C3B89"/>
    <w:rsid w:val="004C42CC"/>
    <w:rsid w:val="004C44B9"/>
    <w:rsid w:val="004C48DC"/>
    <w:rsid w:val="004C4A57"/>
    <w:rsid w:val="004C5082"/>
    <w:rsid w:val="004C51A8"/>
    <w:rsid w:val="004C58F0"/>
    <w:rsid w:val="004C5AA7"/>
    <w:rsid w:val="004C653A"/>
    <w:rsid w:val="004C72D6"/>
    <w:rsid w:val="004C74EB"/>
    <w:rsid w:val="004C753F"/>
    <w:rsid w:val="004D02BF"/>
    <w:rsid w:val="004D0E07"/>
    <w:rsid w:val="004D0EA6"/>
    <w:rsid w:val="004D1CFE"/>
    <w:rsid w:val="004D221D"/>
    <w:rsid w:val="004D23A6"/>
    <w:rsid w:val="004D2B37"/>
    <w:rsid w:val="004D2C9B"/>
    <w:rsid w:val="004D30F1"/>
    <w:rsid w:val="004D3480"/>
    <w:rsid w:val="004D3726"/>
    <w:rsid w:val="004D3CC6"/>
    <w:rsid w:val="004D3ED1"/>
    <w:rsid w:val="004D3EE6"/>
    <w:rsid w:val="004D4185"/>
    <w:rsid w:val="004D4561"/>
    <w:rsid w:val="004D4914"/>
    <w:rsid w:val="004D5073"/>
    <w:rsid w:val="004D556E"/>
    <w:rsid w:val="004D6920"/>
    <w:rsid w:val="004D6A81"/>
    <w:rsid w:val="004D6D65"/>
    <w:rsid w:val="004D7098"/>
    <w:rsid w:val="004E0696"/>
    <w:rsid w:val="004E0829"/>
    <w:rsid w:val="004E0CBB"/>
    <w:rsid w:val="004E0DB5"/>
    <w:rsid w:val="004E1CEC"/>
    <w:rsid w:val="004E2BD4"/>
    <w:rsid w:val="004E2F37"/>
    <w:rsid w:val="004E366B"/>
    <w:rsid w:val="004E36FE"/>
    <w:rsid w:val="004E39CA"/>
    <w:rsid w:val="004E3CAB"/>
    <w:rsid w:val="004E4893"/>
    <w:rsid w:val="004E4C52"/>
    <w:rsid w:val="004E5FAB"/>
    <w:rsid w:val="004E62BA"/>
    <w:rsid w:val="004E64C7"/>
    <w:rsid w:val="004E68E5"/>
    <w:rsid w:val="004E6A03"/>
    <w:rsid w:val="004E71C9"/>
    <w:rsid w:val="004E7229"/>
    <w:rsid w:val="004E7299"/>
    <w:rsid w:val="004E76DA"/>
    <w:rsid w:val="004E7DAF"/>
    <w:rsid w:val="004F0CFF"/>
    <w:rsid w:val="004F0E3E"/>
    <w:rsid w:val="004F10D6"/>
    <w:rsid w:val="004F129D"/>
    <w:rsid w:val="004F17FC"/>
    <w:rsid w:val="004F39A5"/>
    <w:rsid w:val="004F3E17"/>
    <w:rsid w:val="004F4102"/>
    <w:rsid w:val="004F414B"/>
    <w:rsid w:val="004F4988"/>
    <w:rsid w:val="004F545B"/>
    <w:rsid w:val="004F5C7E"/>
    <w:rsid w:val="004F670D"/>
    <w:rsid w:val="004F6744"/>
    <w:rsid w:val="004F6784"/>
    <w:rsid w:val="004F6A48"/>
    <w:rsid w:val="004F6CC3"/>
    <w:rsid w:val="004F7198"/>
    <w:rsid w:val="00500250"/>
    <w:rsid w:val="00500586"/>
    <w:rsid w:val="0050167D"/>
    <w:rsid w:val="00501707"/>
    <w:rsid w:val="005019B8"/>
    <w:rsid w:val="00501C15"/>
    <w:rsid w:val="005024C6"/>
    <w:rsid w:val="00502681"/>
    <w:rsid w:val="0050296F"/>
    <w:rsid w:val="00502D0B"/>
    <w:rsid w:val="00502FE5"/>
    <w:rsid w:val="00503049"/>
    <w:rsid w:val="00503313"/>
    <w:rsid w:val="005037D5"/>
    <w:rsid w:val="0050395A"/>
    <w:rsid w:val="00503A8B"/>
    <w:rsid w:val="0050467D"/>
    <w:rsid w:val="00504FC8"/>
    <w:rsid w:val="0050553C"/>
    <w:rsid w:val="00505C23"/>
    <w:rsid w:val="00506CF4"/>
    <w:rsid w:val="00506F3C"/>
    <w:rsid w:val="0050700F"/>
    <w:rsid w:val="00507330"/>
    <w:rsid w:val="00507800"/>
    <w:rsid w:val="005078BD"/>
    <w:rsid w:val="00510998"/>
    <w:rsid w:val="00511090"/>
    <w:rsid w:val="005114CC"/>
    <w:rsid w:val="005114DE"/>
    <w:rsid w:val="00511677"/>
    <w:rsid w:val="0051170F"/>
    <w:rsid w:val="005118BC"/>
    <w:rsid w:val="00511CE3"/>
    <w:rsid w:val="00512285"/>
    <w:rsid w:val="0051297E"/>
    <w:rsid w:val="00512ED1"/>
    <w:rsid w:val="005139CF"/>
    <w:rsid w:val="005147C5"/>
    <w:rsid w:val="005148E8"/>
    <w:rsid w:val="005148E9"/>
    <w:rsid w:val="0051496B"/>
    <w:rsid w:val="005153BA"/>
    <w:rsid w:val="005162B9"/>
    <w:rsid w:val="005162DC"/>
    <w:rsid w:val="0051631A"/>
    <w:rsid w:val="0051675A"/>
    <w:rsid w:val="0051679B"/>
    <w:rsid w:val="00516965"/>
    <w:rsid w:val="00516D8D"/>
    <w:rsid w:val="00517700"/>
    <w:rsid w:val="005177C9"/>
    <w:rsid w:val="00517C0B"/>
    <w:rsid w:val="00520378"/>
    <w:rsid w:val="005211AC"/>
    <w:rsid w:val="005229A4"/>
    <w:rsid w:val="00522B05"/>
    <w:rsid w:val="0052327E"/>
    <w:rsid w:val="00523557"/>
    <w:rsid w:val="00523586"/>
    <w:rsid w:val="005236B8"/>
    <w:rsid w:val="00523A35"/>
    <w:rsid w:val="00523AB0"/>
    <w:rsid w:val="00523BCE"/>
    <w:rsid w:val="00523BF9"/>
    <w:rsid w:val="00523D2A"/>
    <w:rsid w:val="00523F14"/>
    <w:rsid w:val="00523F1C"/>
    <w:rsid w:val="0052445D"/>
    <w:rsid w:val="00524B4E"/>
    <w:rsid w:val="00524B9E"/>
    <w:rsid w:val="00524FB0"/>
    <w:rsid w:val="00525557"/>
    <w:rsid w:val="005259E9"/>
    <w:rsid w:val="00525AD0"/>
    <w:rsid w:val="00525D28"/>
    <w:rsid w:val="00525D8F"/>
    <w:rsid w:val="00525E42"/>
    <w:rsid w:val="00525FF9"/>
    <w:rsid w:val="005260DA"/>
    <w:rsid w:val="005263F8"/>
    <w:rsid w:val="00526B25"/>
    <w:rsid w:val="00526FA5"/>
    <w:rsid w:val="005274B0"/>
    <w:rsid w:val="00527750"/>
    <w:rsid w:val="005279E6"/>
    <w:rsid w:val="00527DBB"/>
    <w:rsid w:val="00527FCF"/>
    <w:rsid w:val="0053005B"/>
    <w:rsid w:val="0053037F"/>
    <w:rsid w:val="005310B4"/>
    <w:rsid w:val="0053152D"/>
    <w:rsid w:val="005322CC"/>
    <w:rsid w:val="0053238C"/>
    <w:rsid w:val="005325DB"/>
    <w:rsid w:val="00532CF1"/>
    <w:rsid w:val="00533544"/>
    <w:rsid w:val="00533671"/>
    <w:rsid w:val="00533AC6"/>
    <w:rsid w:val="00533E4E"/>
    <w:rsid w:val="00534318"/>
    <w:rsid w:val="0053433F"/>
    <w:rsid w:val="00535425"/>
    <w:rsid w:val="005356D3"/>
    <w:rsid w:val="00535855"/>
    <w:rsid w:val="00535975"/>
    <w:rsid w:val="00535D1B"/>
    <w:rsid w:val="00535ED4"/>
    <w:rsid w:val="00536256"/>
    <w:rsid w:val="00536734"/>
    <w:rsid w:val="0053695A"/>
    <w:rsid w:val="00536ACD"/>
    <w:rsid w:val="00536C49"/>
    <w:rsid w:val="005370DB"/>
    <w:rsid w:val="00537154"/>
    <w:rsid w:val="0053738D"/>
    <w:rsid w:val="00537D01"/>
    <w:rsid w:val="00537E17"/>
    <w:rsid w:val="00540243"/>
    <w:rsid w:val="0054030D"/>
    <w:rsid w:val="00540AB8"/>
    <w:rsid w:val="0054142F"/>
    <w:rsid w:val="0054149F"/>
    <w:rsid w:val="005416B7"/>
    <w:rsid w:val="00541C41"/>
    <w:rsid w:val="005421B1"/>
    <w:rsid w:val="00542952"/>
    <w:rsid w:val="00542ACB"/>
    <w:rsid w:val="00543DEC"/>
    <w:rsid w:val="00543F33"/>
    <w:rsid w:val="00544EED"/>
    <w:rsid w:val="005450E3"/>
    <w:rsid w:val="00545132"/>
    <w:rsid w:val="00545189"/>
    <w:rsid w:val="0054593B"/>
    <w:rsid w:val="005462D8"/>
    <w:rsid w:val="00546376"/>
    <w:rsid w:val="0054684A"/>
    <w:rsid w:val="00546865"/>
    <w:rsid w:val="00546AC8"/>
    <w:rsid w:val="0054798A"/>
    <w:rsid w:val="00547F25"/>
    <w:rsid w:val="00550029"/>
    <w:rsid w:val="00550F52"/>
    <w:rsid w:val="0055110B"/>
    <w:rsid w:val="005515E3"/>
    <w:rsid w:val="00551701"/>
    <w:rsid w:val="005519CB"/>
    <w:rsid w:val="00551D07"/>
    <w:rsid w:val="00551ED2"/>
    <w:rsid w:val="00551F42"/>
    <w:rsid w:val="00552855"/>
    <w:rsid w:val="00552EB5"/>
    <w:rsid w:val="0055329F"/>
    <w:rsid w:val="00553610"/>
    <w:rsid w:val="005536FF"/>
    <w:rsid w:val="00553903"/>
    <w:rsid w:val="00553A34"/>
    <w:rsid w:val="00553F99"/>
    <w:rsid w:val="005540AF"/>
    <w:rsid w:val="005547BB"/>
    <w:rsid w:val="00554CEB"/>
    <w:rsid w:val="00554FAB"/>
    <w:rsid w:val="00555141"/>
    <w:rsid w:val="005556DB"/>
    <w:rsid w:val="005557EB"/>
    <w:rsid w:val="005564D1"/>
    <w:rsid w:val="005566D6"/>
    <w:rsid w:val="00556E7C"/>
    <w:rsid w:val="00557400"/>
    <w:rsid w:val="0055751E"/>
    <w:rsid w:val="00557779"/>
    <w:rsid w:val="005578B4"/>
    <w:rsid w:val="00557B9E"/>
    <w:rsid w:val="00560A1F"/>
    <w:rsid w:val="00560B62"/>
    <w:rsid w:val="00561261"/>
    <w:rsid w:val="005614D2"/>
    <w:rsid w:val="005614E2"/>
    <w:rsid w:val="005617C2"/>
    <w:rsid w:val="00561B61"/>
    <w:rsid w:val="00561DFE"/>
    <w:rsid w:val="00561E45"/>
    <w:rsid w:val="0056290D"/>
    <w:rsid w:val="0056345C"/>
    <w:rsid w:val="00563B14"/>
    <w:rsid w:val="00563D32"/>
    <w:rsid w:val="00564425"/>
    <w:rsid w:val="00564590"/>
    <w:rsid w:val="0056492E"/>
    <w:rsid w:val="00564AC4"/>
    <w:rsid w:val="00565111"/>
    <w:rsid w:val="00565312"/>
    <w:rsid w:val="00565534"/>
    <w:rsid w:val="00565795"/>
    <w:rsid w:val="00565838"/>
    <w:rsid w:val="0056611D"/>
    <w:rsid w:val="00566226"/>
    <w:rsid w:val="00566E6B"/>
    <w:rsid w:val="00566ED3"/>
    <w:rsid w:val="00566F19"/>
    <w:rsid w:val="005670A3"/>
    <w:rsid w:val="00567182"/>
    <w:rsid w:val="005674C6"/>
    <w:rsid w:val="00567CF6"/>
    <w:rsid w:val="0057021C"/>
    <w:rsid w:val="005706DD"/>
    <w:rsid w:val="00570A2C"/>
    <w:rsid w:val="005716CC"/>
    <w:rsid w:val="00571D4D"/>
    <w:rsid w:val="005722B8"/>
    <w:rsid w:val="005722BF"/>
    <w:rsid w:val="005725DE"/>
    <w:rsid w:val="00572793"/>
    <w:rsid w:val="00572BB1"/>
    <w:rsid w:val="00572D0C"/>
    <w:rsid w:val="00572D58"/>
    <w:rsid w:val="005737CE"/>
    <w:rsid w:val="0057397C"/>
    <w:rsid w:val="00573A66"/>
    <w:rsid w:val="00573ACF"/>
    <w:rsid w:val="00573DAF"/>
    <w:rsid w:val="0057445A"/>
    <w:rsid w:val="0057469E"/>
    <w:rsid w:val="00574757"/>
    <w:rsid w:val="005748F9"/>
    <w:rsid w:val="0057490D"/>
    <w:rsid w:val="00574CD5"/>
    <w:rsid w:val="005751B4"/>
    <w:rsid w:val="00575737"/>
    <w:rsid w:val="00575C64"/>
    <w:rsid w:val="00576215"/>
    <w:rsid w:val="0057622F"/>
    <w:rsid w:val="00576404"/>
    <w:rsid w:val="00576487"/>
    <w:rsid w:val="00576DB6"/>
    <w:rsid w:val="00576E1D"/>
    <w:rsid w:val="00576F0E"/>
    <w:rsid w:val="00577334"/>
    <w:rsid w:val="005776A4"/>
    <w:rsid w:val="00577944"/>
    <w:rsid w:val="00577A26"/>
    <w:rsid w:val="00577A4B"/>
    <w:rsid w:val="00580845"/>
    <w:rsid w:val="005808E8"/>
    <w:rsid w:val="00580D9E"/>
    <w:rsid w:val="005814CA"/>
    <w:rsid w:val="00581C95"/>
    <w:rsid w:val="0058292C"/>
    <w:rsid w:val="00582BC7"/>
    <w:rsid w:val="00582E3F"/>
    <w:rsid w:val="00582EBD"/>
    <w:rsid w:val="00582F31"/>
    <w:rsid w:val="00583196"/>
    <w:rsid w:val="0058347C"/>
    <w:rsid w:val="0058349D"/>
    <w:rsid w:val="00583566"/>
    <w:rsid w:val="0058357F"/>
    <w:rsid w:val="00583CA5"/>
    <w:rsid w:val="005842DA"/>
    <w:rsid w:val="0058492E"/>
    <w:rsid w:val="005852A4"/>
    <w:rsid w:val="00585655"/>
    <w:rsid w:val="00585ACC"/>
    <w:rsid w:val="00585C32"/>
    <w:rsid w:val="005863D4"/>
    <w:rsid w:val="005866D0"/>
    <w:rsid w:val="0058671C"/>
    <w:rsid w:val="00587323"/>
    <w:rsid w:val="00587529"/>
    <w:rsid w:val="005877D8"/>
    <w:rsid w:val="005878E8"/>
    <w:rsid w:val="00587BEB"/>
    <w:rsid w:val="0059015F"/>
    <w:rsid w:val="00590A02"/>
    <w:rsid w:val="0059122C"/>
    <w:rsid w:val="00591CB0"/>
    <w:rsid w:val="00591E14"/>
    <w:rsid w:val="00592C61"/>
    <w:rsid w:val="00592D88"/>
    <w:rsid w:val="005930D3"/>
    <w:rsid w:val="00594615"/>
    <w:rsid w:val="005948D5"/>
    <w:rsid w:val="005954BB"/>
    <w:rsid w:val="005954C5"/>
    <w:rsid w:val="00595A92"/>
    <w:rsid w:val="00595B82"/>
    <w:rsid w:val="00595C4A"/>
    <w:rsid w:val="00595EFF"/>
    <w:rsid w:val="00596099"/>
    <w:rsid w:val="005965DA"/>
    <w:rsid w:val="00596696"/>
    <w:rsid w:val="00596789"/>
    <w:rsid w:val="00597099"/>
    <w:rsid w:val="005978E3"/>
    <w:rsid w:val="00597EC0"/>
    <w:rsid w:val="005A06FC"/>
    <w:rsid w:val="005A0E9A"/>
    <w:rsid w:val="005A11F0"/>
    <w:rsid w:val="005A1913"/>
    <w:rsid w:val="005A230C"/>
    <w:rsid w:val="005A2684"/>
    <w:rsid w:val="005A308C"/>
    <w:rsid w:val="005A3503"/>
    <w:rsid w:val="005A36FB"/>
    <w:rsid w:val="005A48DD"/>
    <w:rsid w:val="005A4DB0"/>
    <w:rsid w:val="005A5252"/>
    <w:rsid w:val="005A53B7"/>
    <w:rsid w:val="005A558D"/>
    <w:rsid w:val="005A59D8"/>
    <w:rsid w:val="005A5CEC"/>
    <w:rsid w:val="005A6138"/>
    <w:rsid w:val="005A6D5E"/>
    <w:rsid w:val="005A71E5"/>
    <w:rsid w:val="005A720C"/>
    <w:rsid w:val="005A728E"/>
    <w:rsid w:val="005A72A1"/>
    <w:rsid w:val="005A739F"/>
    <w:rsid w:val="005A7447"/>
    <w:rsid w:val="005A758A"/>
    <w:rsid w:val="005A7627"/>
    <w:rsid w:val="005A7B18"/>
    <w:rsid w:val="005A7B3F"/>
    <w:rsid w:val="005B0334"/>
    <w:rsid w:val="005B0717"/>
    <w:rsid w:val="005B09E0"/>
    <w:rsid w:val="005B1317"/>
    <w:rsid w:val="005B19CD"/>
    <w:rsid w:val="005B1FBC"/>
    <w:rsid w:val="005B25ED"/>
    <w:rsid w:val="005B2838"/>
    <w:rsid w:val="005B2AC8"/>
    <w:rsid w:val="005B2DE1"/>
    <w:rsid w:val="005B2E83"/>
    <w:rsid w:val="005B309F"/>
    <w:rsid w:val="005B311E"/>
    <w:rsid w:val="005B3E26"/>
    <w:rsid w:val="005B4022"/>
    <w:rsid w:val="005B47F0"/>
    <w:rsid w:val="005B4871"/>
    <w:rsid w:val="005B4A84"/>
    <w:rsid w:val="005B5103"/>
    <w:rsid w:val="005B6183"/>
    <w:rsid w:val="005B66C7"/>
    <w:rsid w:val="005B6D55"/>
    <w:rsid w:val="005B776C"/>
    <w:rsid w:val="005B7F0C"/>
    <w:rsid w:val="005C092C"/>
    <w:rsid w:val="005C0F45"/>
    <w:rsid w:val="005C0FED"/>
    <w:rsid w:val="005C0FEF"/>
    <w:rsid w:val="005C10FF"/>
    <w:rsid w:val="005C1B5A"/>
    <w:rsid w:val="005C1D0A"/>
    <w:rsid w:val="005C217B"/>
    <w:rsid w:val="005C2192"/>
    <w:rsid w:val="005C22DF"/>
    <w:rsid w:val="005C27AF"/>
    <w:rsid w:val="005C27BB"/>
    <w:rsid w:val="005C28E3"/>
    <w:rsid w:val="005C359E"/>
    <w:rsid w:val="005C368E"/>
    <w:rsid w:val="005C384A"/>
    <w:rsid w:val="005C39D9"/>
    <w:rsid w:val="005C4A4C"/>
    <w:rsid w:val="005C4B7E"/>
    <w:rsid w:val="005C560B"/>
    <w:rsid w:val="005C5958"/>
    <w:rsid w:val="005C5BD0"/>
    <w:rsid w:val="005C6587"/>
    <w:rsid w:val="005C6D1F"/>
    <w:rsid w:val="005C71F3"/>
    <w:rsid w:val="005C7C81"/>
    <w:rsid w:val="005C7E60"/>
    <w:rsid w:val="005D0545"/>
    <w:rsid w:val="005D0579"/>
    <w:rsid w:val="005D08B3"/>
    <w:rsid w:val="005D08CA"/>
    <w:rsid w:val="005D0ACE"/>
    <w:rsid w:val="005D0C5E"/>
    <w:rsid w:val="005D10DF"/>
    <w:rsid w:val="005D12A9"/>
    <w:rsid w:val="005D1438"/>
    <w:rsid w:val="005D17CE"/>
    <w:rsid w:val="005D1898"/>
    <w:rsid w:val="005D2090"/>
    <w:rsid w:val="005D29B9"/>
    <w:rsid w:val="005D2CC0"/>
    <w:rsid w:val="005D31D1"/>
    <w:rsid w:val="005D3222"/>
    <w:rsid w:val="005D385C"/>
    <w:rsid w:val="005D39BA"/>
    <w:rsid w:val="005D3D43"/>
    <w:rsid w:val="005D3DEB"/>
    <w:rsid w:val="005D405C"/>
    <w:rsid w:val="005D42BC"/>
    <w:rsid w:val="005D49D6"/>
    <w:rsid w:val="005D5069"/>
    <w:rsid w:val="005D53FB"/>
    <w:rsid w:val="005D5A4C"/>
    <w:rsid w:val="005D5A99"/>
    <w:rsid w:val="005D5BE9"/>
    <w:rsid w:val="005D5C47"/>
    <w:rsid w:val="005D5CE1"/>
    <w:rsid w:val="005D5E2D"/>
    <w:rsid w:val="005D6234"/>
    <w:rsid w:val="005D63D2"/>
    <w:rsid w:val="005D6958"/>
    <w:rsid w:val="005D799A"/>
    <w:rsid w:val="005D7FD3"/>
    <w:rsid w:val="005E0186"/>
    <w:rsid w:val="005E05C0"/>
    <w:rsid w:val="005E0619"/>
    <w:rsid w:val="005E088F"/>
    <w:rsid w:val="005E0907"/>
    <w:rsid w:val="005E0D6A"/>
    <w:rsid w:val="005E0F3C"/>
    <w:rsid w:val="005E136F"/>
    <w:rsid w:val="005E141B"/>
    <w:rsid w:val="005E146F"/>
    <w:rsid w:val="005E1658"/>
    <w:rsid w:val="005E20BF"/>
    <w:rsid w:val="005E27DF"/>
    <w:rsid w:val="005E2CFB"/>
    <w:rsid w:val="005E355C"/>
    <w:rsid w:val="005E3D58"/>
    <w:rsid w:val="005E3E15"/>
    <w:rsid w:val="005E3E22"/>
    <w:rsid w:val="005E3FB7"/>
    <w:rsid w:val="005E4002"/>
    <w:rsid w:val="005E4446"/>
    <w:rsid w:val="005E4F34"/>
    <w:rsid w:val="005E5194"/>
    <w:rsid w:val="005E5411"/>
    <w:rsid w:val="005E55B8"/>
    <w:rsid w:val="005E5C18"/>
    <w:rsid w:val="005E725E"/>
    <w:rsid w:val="005E7A2C"/>
    <w:rsid w:val="005E7E45"/>
    <w:rsid w:val="005E7FDD"/>
    <w:rsid w:val="005F02C6"/>
    <w:rsid w:val="005F0AF9"/>
    <w:rsid w:val="005F0B65"/>
    <w:rsid w:val="005F1121"/>
    <w:rsid w:val="005F130B"/>
    <w:rsid w:val="005F1B8D"/>
    <w:rsid w:val="005F1F7C"/>
    <w:rsid w:val="005F2370"/>
    <w:rsid w:val="005F24E5"/>
    <w:rsid w:val="005F26BF"/>
    <w:rsid w:val="005F2BC0"/>
    <w:rsid w:val="005F366E"/>
    <w:rsid w:val="005F37EC"/>
    <w:rsid w:val="005F3A7E"/>
    <w:rsid w:val="005F4341"/>
    <w:rsid w:val="005F4567"/>
    <w:rsid w:val="005F45D3"/>
    <w:rsid w:val="005F46F5"/>
    <w:rsid w:val="005F492F"/>
    <w:rsid w:val="005F51D3"/>
    <w:rsid w:val="005F51E9"/>
    <w:rsid w:val="005F5410"/>
    <w:rsid w:val="005F60EC"/>
    <w:rsid w:val="005F635A"/>
    <w:rsid w:val="005F676A"/>
    <w:rsid w:val="005F6894"/>
    <w:rsid w:val="005F6CBF"/>
    <w:rsid w:val="005F7577"/>
    <w:rsid w:val="005F7C86"/>
    <w:rsid w:val="005F7CDC"/>
    <w:rsid w:val="006008A4"/>
    <w:rsid w:val="006013A1"/>
    <w:rsid w:val="00601D8F"/>
    <w:rsid w:val="00601EAD"/>
    <w:rsid w:val="006024D9"/>
    <w:rsid w:val="006025D9"/>
    <w:rsid w:val="00602B06"/>
    <w:rsid w:val="006030FC"/>
    <w:rsid w:val="006031DC"/>
    <w:rsid w:val="00604960"/>
    <w:rsid w:val="00604EAE"/>
    <w:rsid w:val="00605195"/>
    <w:rsid w:val="006057CF"/>
    <w:rsid w:val="0060598F"/>
    <w:rsid w:val="006059AF"/>
    <w:rsid w:val="006059F0"/>
    <w:rsid w:val="006060A2"/>
    <w:rsid w:val="006060A8"/>
    <w:rsid w:val="00606660"/>
    <w:rsid w:val="00606AAC"/>
    <w:rsid w:val="00606C74"/>
    <w:rsid w:val="00606FD8"/>
    <w:rsid w:val="00606FF1"/>
    <w:rsid w:val="00607093"/>
    <w:rsid w:val="00607615"/>
    <w:rsid w:val="00607691"/>
    <w:rsid w:val="00607E05"/>
    <w:rsid w:val="0061023F"/>
    <w:rsid w:val="00610383"/>
    <w:rsid w:val="00610577"/>
    <w:rsid w:val="00610D85"/>
    <w:rsid w:val="006118A8"/>
    <w:rsid w:val="00611B7C"/>
    <w:rsid w:val="00611F61"/>
    <w:rsid w:val="00612148"/>
    <w:rsid w:val="00612433"/>
    <w:rsid w:val="0061268E"/>
    <w:rsid w:val="0061303C"/>
    <w:rsid w:val="00613581"/>
    <w:rsid w:val="0061383C"/>
    <w:rsid w:val="0061388B"/>
    <w:rsid w:val="00613923"/>
    <w:rsid w:val="00613A45"/>
    <w:rsid w:val="00613BF2"/>
    <w:rsid w:val="00613FDD"/>
    <w:rsid w:val="00613FFF"/>
    <w:rsid w:val="006142B5"/>
    <w:rsid w:val="00614630"/>
    <w:rsid w:val="00614760"/>
    <w:rsid w:val="00614B2C"/>
    <w:rsid w:val="00614BAB"/>
    <w:rsid w:val="00614CDB"/>
    <w:rsid w:val="00614DF4"/>
    <w:rsid w:val="0061571F"/>
    <w:rsid w:val="00615926"/>
    <w:rsid w:val="006159DB"/>
    <w:rsid w:val="00615D79"/>
    <w:rsid w:val="00615E4B"/>
    <w:rsid w:val="00616489"/>
    <w:rsid w:val="00616516"/>
    <w:rsid w:val="0061664D"/>
    <w:rsid w:val="00616654"/>
    <w:rsid w:val="00616A54"/>
    <w:rsid w:val="00616DE5"/>
    <w:rsid w:val="0061781A"/>
    <w:rsid w:val="0061789D"/>
    <w:rsid w:val="00617B0E"/>
    <w:rsid w:val="00617FDE"/>
    <w:rsid w:val="0062046E"/>
    <w:rsid w:val="00620503"/>
    <w:rsid w:val="00620893"/>
    <w:rsid w:val="00620B4A"/>
    <w:rsid w:val="00621442"/>
    <w:rsid w:val="00621802"/>
    <w:rsid w:val="00621B27"/>
    <w:rsid w:val="00621DAE"/>
    <w:rsid w:val="006220DF"/>
    <w:rsid w:val="006220FC"/>
    <w:rsid w:val="00622196"/>
    <w:rsid w:val="006221EF"/>
    <w:rsid w:val="00622201"/>
    <w:rsid w:val="006222DF"/>
    <w:rsid w:val="00622FA0"/>
    <w:rsid w:val="00623417"/>
    <w:rsid w:val="006237A1"/>
    <w:rsid w:val="006238E3"/>
    <w:rsid w:val="00623E3F"/>
    <w:rsid w:val="00624221"/>
    <w:rsid w:val="0062438C"/>
    <w:rsid w:val="00624D7C"/>
    <w:rsid w:val="006250E2"/>
    <w:rsid w:val="006252CE"/>
    <w:rsid w:val="00625DE6"/>
    <w:rsid w:val="006268D6"/>
    <w:rsid w:val="006269B5"/>
    <w:rsid w:val="0062713D"/>
    <w:rsid w:val="00627360"/>
    <w:rsid w:val="0062743C"/>
    <w:rsid w:val="006274EB"/>
    <w:rsid w:val="00627795"/>
    <w:rsid w:val="00627F86"/>
    <w:rsid w:val="00627FD4"/>
    <w:rsid w:val="0063000D"/>
    <w:rsid w:val="006309F5"/>
    <w:rsid w:val="00630A3B"/>
    <w:rsid w:val="00630D49"/>
    <w:rsid w:val="006310CB"/>
    <w:rsid w:val="00631283"/>
    <w:rsid w:val="0063135F"/>
    <w:rsid w:val="006313E4"/>
    <w:rsid w:val="00631759"/>
    <w:rsid w:val="00631C08"/>
    <w:rsid w:val="00631D55"/>
    <w:rsid w:val="00632069"/>
    <w:rsid w:val="006325A9"/>
    <w:rsid w:val="006325D2"/>
    <w:rsid w:val="00632783"/>
    <w:rsid w:val="00632A40"/>
    <w:rsid w:val="0063314A"/>
    <w:rsid w:val="00633DC1"/>
    <w:rsid w:val="00634064"/>
    <w:rsid w:val="00634108"/>
    <w:rsid w:val="00634BD0"/>
    <w:rsid w:val="00634BDB"/>
    <w:rsid w:val="00634E44"/>
    <w:rsid w:val="00634EC2"/>
    <w:rsid w:val="00634FFC"/>
    <w:rsid w:val="0063507E"/>
    <w:rsid w:val="0063583F"/>
    <w:rsid w:val="00635C58"/>
    <w:rsid w:val="00636A67"/>
    <w:rsid w:val="006378FE"/>
    <w:rsid w:val="0064016A"/>
    <w:rsid w:val="00640BCF"/>
    <w:rsid w:val="00641B91"/>
    <w:rsid w:val="00641F47"/>
    <w:rsid w:val="00642259"/>
    <w:rsid w:val="006425EC"/>
    <w:rsid w:val="00642957"/>
    <w:rsid w:val="00642DF5"/>
    <w:rsid w:val="00642F9A"/>
    <w:rsid w:val="00643655"/>
    <w:rsid w:val="006442EF"/>
    <w:rsid w:val="00644842"/>
    <w:rsid w:val="0064484E"/>
    <w:rsid w:val="00644B0C"/>
    <w:rsid w:val="00644D57"/>
    <w:rsid w:val="0064505E"/>
    <w:rsid w:val="006455A9"/>
    <w:rsid w:val="006459CC"/>
    <w:rsid w:val="006459E8"/>
    <w:rsid w:val="00645B83"/>
    <w:rsid w:val="00646513"/>
    <w:rsid w:val="0064653B"/>
    <w:rsid w:val="006465C6"/>
    <w:rsid w:val="0064661C"/>
    <w:rsid w:val="006467DB"/>
    <w:rsid w:val="00646D13"/>
    <w:rsid w:val="0064706C"/>
    <w:rsid w:val="00650B5A"/>
    <w:rsid w:val="00650C95"/>
    <w:rsid w:val="00650CEB"/>
    <w:rsid w:val="00650FAE"/>
    <w:rsid w:val="00651917"/>
    <w:rsid w:val="00651EF2"/>
    <w:rsid w:val="00651F0B"/>
    <w:rsid w:val="0065229F"/>
    <w:rsid w:val="0065291C"/>
    <w:rsid w:val="00652CE2"/>
    <w:rsid w:val="00652F52"/>
    <w:rsid w:val="006538E8"/>
    <w:rsid w:val="00653AB5"/>
    <w:rsid w:val="00653DEF"/>
    <w:rsid w:val="00653E88"/>
    <w:rsid w:val="00654191"/>
    <w:rsid w:val="0065436C"/>
    <w:rsid w:val="006545B3"/>
    <w:rsid w:val="006547D2"/>
    <w:rsid w:val="00654A9D"/>
    <w:rsid w:val="00654B41"/>
    <w:rsid w:val="00654CB8"/>
    <w:rsid w:val="00655166"/>
    <w:rsid w:val="00655ABF"/>
    <w:rsid w:val="00655ADC"/>
    <w:rsid w:val="00655EA1"/>
    <w:rsid w:val="00655F06"/>
    <w:rsid w:val="00655F6B"/>
    <w:rsid w:val="00656FC0"/>
    <w:rsid w:val="00657058"/>
    <w:rsid w:val="00657159"/>
    <w:rsid w:val="00657205"/>
    <w:rsid w:val="00657558"/>
    <w:rsid w:val="00657592"/>
    <w:rsid w:val="0065783A"/>
    <w:rsid w:val="0065783F"/>
    <w:rsid w:val="00657DFD"/>
    <w:rsid w:val="006603D8"/>
    <w:rsid w:val="00660443"/>
    <w:rsid w:val="00660801"/>
    <w:rsid w:val="00660869"/>
    <w:rsid w:val="00660A41"/>
    <w:rsid w:val="00660A79"/>
    <w:rsid w:val="00660DAF"/>
    <w:rsid w:val="0066101C"/>
    <w:rsid w:val="0066119C"/>
    <w:rsid w:val="006619F8"/>
    <w:rsid w:val="00661C5B"/>
    <w:rsid w:val="00661CA1"/>
    <w:rsid w:val="006626B4"/>
    <w:rsid w:val="00662DA4"/>
    <w:rsid w:val="0066355D"/>
    <w:rsid w:val="00663FB8"/>
    <w:rsid w:val="00664153"/>
    <w:rsid w:val="00664EF7"/>
    <w:rsid w:val="00664FA0"/>
    <w:rsid w:val="006653E0"/>
    <w:rsid w:val="00665728"/>
    <w:rsid w:val="006657F6"/>
    <w:rsid w:val="0066586F"/>
    <w:rsid w:val="00665DA9"/>
    <w:rsid w:val="00665FA2"/>
    <w:rsid w:val="0066646D"/>
    <w:rsid w:val="0066683D"/>
    <w:rsid w:val="00666DC4"/>
    <w:rsid w:val="0066730B"/>
    <w:rsid w:val="00667BC7"/>
    <w:rsid w:val="00667CEB"/>
    <w:rsid w:val="00670017"/>
    <w:rsid w:val="0067001E"/>
    <w:rsid w:val="00670145"/>
    <w:rsid w:val="0067052B"/>
    <w:rsid w:val="0067081C"/>
    <w:rsid w:val="00671523"/>
    <w:rsid w:val="00671A59"/>
    <w:rsid w:val="00671B5C"/>
    <w:rsid w:val="00671C40"/>
    <w:rsid w:val="00671EC9"/>
    <w:rsid w:val="00671FD8"/>
    <w:rsid w:val="006720C6"/>
    <w:rsid w:val="006722F9"/>
    <w:rsid w:val="006733C2"/>
    <w:rsid w:val="00673725"/>
    <w:rsid w:val="00674693"/>
    <w:rsid w:val="0067499B"/>
    <w:rsid w:val="00674B5A"/>
    <w:rsid w:val="00674FEC"/>
    <w:rsid w:val="006750AD"/>
    <w:rsid w:val="006755EB"/>
    <w:rsid w:val="00675BC6"/>
    <w:rsid w:val="00675C85"/>
    <w:rsid w:val="00675FF3"/>
    <w:rsid w:val="0067682C"/>
    <w:rsid w:val="00676BE0"/>
    <w:rsid w:val="00676C64"/>
    <w:rsid w:val="00676EA9"/>
    <w:rsid w:val="00677695"/>
    <w:rsid w:val="006776B8"/>
    <w:rsid w:val="006779DF"/>
    <w:rsid w:val="00677A44"/>
    <w:rsid w:val="0068009A"/>
    <w:rsid w:val="0068022D"/>
    <w:rsid w:val="00680B26"/>
    <w:rsid w:val="00680D6F"/>
    <w:rsid w:val="00680F70"/>
    <w:rsid w:val="00681817"/>
    <w:rsid w:val="00681835"/>
    <w:rsid w:val="00681F9A"/>
    <w:rsid w:val="00682456"/>
    <w:rsid w:val="006829C9"/>
    <w:rsid w:val="00682BEC"/>
    <w:rsid w:val="00683062"/>
    <w:rsid w:val="00683410"/>
    <w:rsid w:val="00683711"/>
    <w:rsid w:val="00683959"/>
    <w:rsid w:val="00683E2C"/>
    <w:rsid w:val="00683EBA"/>
    <w:rsid w:val="006841E0"/>
    <w:rsid w:val="00684319"/>
    <w:rsid w:val="006847FA"/>
    <w:rsid w:val="00684E3F"/>
    <w:rsid w:val="006852C5"/>
    <w:rsid w:val="00685414"/>
    <w:rsid w:val="0068567A"/>
    <w:rsid w:val="00685BDE"/>
    <w:rsid w:val="00686063"/>
    <w:rsid w:val="00686674"/>
    <w:rsid w:val="00686739"/>
    <w:rsid w:val="006868F0"/>
    <w:rsid w:val="00686B47"/>
    <w:rsid w:val="006872AF"/>
    <w:rsid w:val="006874A7"/>
    <w:rsid w:val="006877C5"/>
    <w:rsid w:val="00687A8C"/>
    <w:rsid w:val="0069007F"/>
    <w:rsid w:val="0069034E"/>
    <w:rsid w:val="00690A1E"/>
    <w:rsid w:val="00690D6B"/>
    <w:rsid w:val="00690EE4"/>
    <w:rsid w:val="00690F89"/>
    <w:rsid w:val="00691911"/>
    <w:rsid w:val="00691AA0"/>
    <w:rsid w:val="0069217F"/>
    <w:rsid w:val="006927AC"/>
    <w:rsid w:val="00692D69"/>
    <w:rsid w:val="0069377E"/>
    <w:rsid w:val="0069453C"/>
    <w:rsid w:val="00694805"/>
    <w:rsid w:val="006948C4"/>
    <w:rsid w:val="00694909"/>
    <w:rsid w:val="00695483"/>
    <w:rsid w:val="0069555D"/>
    <w:rsid w:val="006959A1"/>
    <w:rsid w:val="006963B3"/>
    <w:rsid w:val="00696798"/>
    <w:rsid w:val="00696BF5"/>
    <w:rsid w:val="00696CBC"/>
    <w:rsid w:val="00697AEE"/>
    <w:rsid w:val="00697B5D"/>
    <w:rsid w:val="00697E1E"/>
    <w:rsid w:val="006A0143"/>
    <w:rsid w:val="006A0259"/>
    <w:rsid w:val="006A035F"/>
    <w:rsid w:val="006A053D"/>
    <w:rsid w:val="006A0776"/>
    <w:rsid w:val="006A1764"/>
    <w:rsid w:val="006A1DE5"/>
    <w:rsid w:val="006A1E48"/>
    <w:rsid w:val="006A2DFA"/>
    <w:rsid w:val="006A3428"/>
    <w:rsid w:val="006A3692"/>
    <w:rsid w:val="006A3C27"/>
    <w:rsid w:val="006A3DA1"/>
    <w:rsid w:val="006A3DB1"/>
    <w:rsid w:val="006A3EAE"/>
    <w:rsid w:val="006A40B3"/>
    <w:rsid w:val="006A413E"/>
    <w:rsid w:val="006A472E"/>
    <w:rsid w:val="006A47C9"/>
    <w:rsid w:val="006A48EB"/>
    <w:rsid w:val="006A4ED0"/>
    <w:rsid w:val="006A4EFC"/>
    <w:rsid w:val="006A4F68"/>
    <w:rsid w:val="006A503E"/>
    <w:rsid w:val="006A55DE"/>
    <w:rsid w:val="006A59D6"/>
    <w:rsid w:val="006A6AB0"/>
    <w:rsid w:val="006A6D9A"/>
    <w:rsid w:val="006A6EF4"/>
    <w:rsid w:val="006A6F34"/>
    <w:rsid w:val="006A7175"/>
    <w:rsid w:val="006A74EF"/>
    <w:rsid w:val="006A79DE"/>
    <w:rsid w:val="006A7BF7"/>
    <w:rsid w:val="006B0201"/>
    <w:rsid w:val="006B0375"/>
    <w:rsid w:val="006B1051"/>
    <w:rsid w:val="006B10FA"/>
    <w:rsid w:val="006B1163"/>
    <w:rsid w:val="006B15BD"/>
    <w:rsid w:val="006B1702"/>
    <w:rsid w:val="006B1F9C"/>
    <w:rsid w:val="006B23AC"/>
    <w:rsid w:val="006B2F98"/>
    <w:rsid w:val="006B3462"/>
    <w:rsid w:val="006B357F"/>
    <w:rsid w:val="006B3B5C"/>
    <w:rsid w:val="006B3C8B"/>
    <w:rsid w:val="006B3D5C"/>
    <w:rsid w:val="006B3EC8"/>
    <w:rsid w:val="006B4BD2"/>
    <w:rsid w:val="006B50E8"/>
    <w:rsid w:val="006B5379"/>
    <w:rsid w:val="006B58B8"/>
    <w:rsid w:val="006B6423"/>
    <w:rsid w:val="006B6AAA"/>
    <w:rsid w:val="006B6E16"/>
    <w:rsid w:val="006B752D"/>
    <w:rsid w:val="006B7C76"/>
    <w:rsid w:val="006B7D27"/>
    <w:rsid w:val="006C004C"/>
    <w:rsid w:val="006C107A"/>
    <w:rsid w:val="006C128B"/>
    <w:rsid w:val="006C14A7"/>
    <w:rsid w:val="006C18F7"/>
    <w:rsid w:val="006C1AAC"/>
    <w:rsid w:val="006C1B64"/>
    <w:rsid w:val="006C1F42"/>
    <w:rsid w:val="006C200E"/>
    <w:rsid w:val="006C2916"/>
    <w:rsid w:val="006C29A2"/>
    <w:rsid w:val="006C2A13"/>
    <w:rsid w:val="006C2B30"/>
    <w:rsid w:val="006C2FAF"/>
    <w:rsid w:val="006C3C93"/>
    <w:rsid w:val="006C3D80"/>
    <w:rsid w:val="006C405D"/>
    <w:rsid w:val="006C4262"/>
    <w:rsid w:val="006C4542"/>
    <w:rsid w:val="006C47F7"/>
    <w:rsid w:val="006C52D4"/>
    <w:rsid w:val="006C5E4A"/>
    <w:rsid w:val="006C5F84"/>
    <w:rsid w:val="006C61FB"/>
    <w:rsid w:val="006C641E"/>
    <w:rsid w:val="006C6928"/>
    <w:rsid w:val="006C6AF0"/>
    <w:rsid w:val="006C7069"/>
    <w:rsid w:val="006C7599"/>
    <w:rsid w:val="006C7627"/>
    <w:rsid w:val="006D0114"/>
    <w:rsid w:val="006D0572"/>
    <w:rsid w:val="006D0BC0"/>
    <w:rsid w:val="006D0FB7"/>
    <w:rsid w:val="006D1042"/>
    <w:rsid w:val="006D121E"/>
    <w:rsid w:val="006D13A2"/>
    <w:rsid w:val="006D1643"/>
    <w:rsid w:val="006D1A5D"/>
    <w:rsid w:val="006D1BF9"/>
    <w:rsid w:val="006D1CFD"/>
    <w:rsid w:val="006D1F3B"/>
    <w:rsid w:val="006D2018"/>
    <w:rsid w:val="006D2845"/>
    <w:rsid w:val="006D2A36"/>
    <w:rsid w:val="006D2DC2"/>
    <w:rsid w:val="006D30D9"/>
    <w:rsid w:val="006D3A38"/>
    <w:rsid w:val="006D3BE0"/>
    <w:rsid w:val="006D4664"/>
    <w:rsid w:val="006D47AA"/>
    <w:rsid w:val="006D47DA"/>
    <w:rsid w:val="006D4851"/>
    <w:rsid w:val="006D4F5C"/>
    <w:rsid w:val="006D519B"/>
    <w:rsid w:val="006D51D9"/>
    <w:rsid w:val="006D5793"/>
    <w:rsid w:val="006D57E3"/>
    <w:rsid w:val="006D59D7"/>
    <w:rsid w:val="006D61A1"/>
    <w:rsid w:val="006D6298"/>
    <w:rsid w:val="006D662B"/>
    <w:rsid w:val="006D69F3"/>
    <w:rsid w:val="006D6F08"/>
    <w:rsid w:val="006D74C9"/>
    <w:rsid w:val="006D7DF3"/>
    <w:rsid w:val="006D7EB6"/>
    <w:rsid w:val="006D7F9A"/>
    <w:rsid w:val="006E043D"/>
    <w:rsid w:val="006E1015"/>
    <w:rsid w:val="006E1120"/>
    <w:rsid w:val="006E1563"/>
    <w:rsid w:val="006E1581"/>
    <w:rsid w:val="006E16F1"/>
    <w:rsid w:val="006E1826"/>
    <w:rsid w:val="006E1D28"/>
    <w:rsid w:val="006E1F81"/>
    <w:rsid w:val="006E3623"/>
    <w:rsid w:val="006E4180"/>
    <w:rsid w:val="006E42BF"/>
    <w:rsid w:val="006E482D"/>
    <w:rsid w:val="006E4A80"/>
    <w:rsid w:val="006E4BB6"/>
    <w:rsid w:val="006E4DF4"/>
    <w:rsid w:val="006E4DFF"/>
    <w:rsid w:val="006E54DB"/>
    <w:rsid w:val="006E56F8"/>
    <w:rsid w:val="006E5713"/>
    <w:rsid w:val="006E5958"/>
    <w:rsid w:val="006E646E"/>
    <w:rsid w:val="006E6763"/>
    <w:rsid w:val="006E689F"/>
    <w:rsid w:val="006E7F77"/>
    <w:rsid w:val="006F0253"/>
    <w:rsid w:val="006F074A"/>
    <w:rsid w:val="006F0DAB"/>
    <w:rsid w:val="006F0E4C"/>
    <w:rsid w:val="006F0F88"/>
    <w:rsid w:val="006F109D"/>
    <w:rsid w:val="006F13B7"/>
    <w:rsid w:val="006F19C7"/>
    <w:rsid w:val="006F2A87"/>
    <w:rsid w:val="006F31CC"/>
    <w:rsid w:val="006F322F"/>
    <w:rsid w:val="006F32D4"/>
    <w:rsid w:val="006F34CC"/>
    <w:rsid w:val="006F3A34"/>
    <w:rsid w:val="006F3E86"/>
    <w:rsid w:val="006F41AB"/>
    <w:rsid w:val="006F44DC"/>
    <w:rsid w:val="006F46BF"/>
    <w:rsid w:val="006F4B86"/>
    <w:rsid w:val="006F4C55"/>
    <w:rsid w:val="006F5B38"/>
    <w:rsid w:val="006F5D6F"/>
    <w:rsid w:val="006F6CBC"/>
    <w:rsid w:val="006F6D22"/>
    <w:rsid w:val="006F7263"/>
    <w:rsid w:val="006F75B3"/>
    <w:rsid w:val="006F7EA3"/>
    <w:rsid w:val="006F7EC3"/>
    <w:rsid w:val="007000A0"/>
    <w:rsid w:val="007003A7"/>
    <w:rsid w:val="00700667"/>
    <w:rsid w:val="007009B2"/>
    <w:rsid w:val="007020AF"/>
    <w:rsid w:val="00702677"/>
    <w:rsid w:val="0070296D"/>
    <w:rsid w:val="007029D9"/>
    <w:rsid w:val="00702AA6"/>
    <w:rsid w:val="00702D37"/>
    <w:rsid w:val="00702F49"/>
    <w:rsid w:val="00702FAD"/>
    <w:rsid w:val="00703261"/>
    <w:rsid w:val="007033EA"/>
    <w:rsid w:val="00703995"/>
    <w:rsid w:val="00703FAE"/>
    <w:rsid w:val="00704121"/>
    <w:rsid w:val="00704150"/>
    <w:rsid w:val="007043F5"/>
    <w:rsid w:val="00704C54"/>
    <w:rsid w:val="00704F71"/>
    <w:rsid w:val="007054DD"/>
    <w:rsid w:val="00705591"/>
    <w:rsid w:val="00705C52"/>
    <w:rsid w:val="007066D4"/>
    <w:rsid w:val="00706958"/>
    <w:rsid w:val="00706ABD"/>
    <w:rsid w:val="00706C7B"/>
    <w:rsid w:val="00706EBD"/>
    <w:rsid w:val="00707321"/>
    <w:rsid w:val="00707490"/>
    <w:rsid w:val="0070765C"/>
    <w:rsid w:val="007078BB"/>
    <w:rsid w:val="00707CA6"/>
    <w:rsid w:val="00711009"/>
    <w:rsid w:val="007110FE"/>
    <w:rsid w:val="007112A3"/>
    <w:rsid w:val="00711A82"/>
    <w:rsid w:val="00711FCA"/>
    <w:rsid w:val="0071235D"/>
    <w:rsid w:val="007128E7"/>
    <w:rsid w:val="00712DE6"/>
    <w:rsid w:val="00712E61"/>
    <w:rsid w:val="0071320E"/>
    <w:rsid w:val="00713263"/>
    <w:rsid w:val="007136C1"/>
    <w:rsid w:val="00714165"/>
    <w:rsid w:val="00714A3F"/>
    <w:rsid w:val="00714B94"/>
    <w:rsid w:val="00714D87"/>
    <w:rsid w:val="00715EE9"/>
    <w:rsid w:val="0071692E"/>
    <w:rsid w:val="00716AB4"/>
    <w:rsid w:val="00716BE0"/>
    <w:rsid w:val="00717156"/>
    <w:rsid w:val="00717294"/>
    <w:rsid w:val="0071767C"/>
    <w:rsid w:val="00717E7C"/>
    <w:rsid w:val="00720155"/>
    <w:rsid w:val="00720B8E"/>
    <w:rsid w:val="00720F25"/>
    <w:rsid w:val="007215FF"/>
    <w:rsid w:val="007216B2"/>
    <w:rsid w:val="007217E6"/>
    <w:rsid w:val="00721BC4"/>
    <w:rsid w:val="00722273"/>
    <w:rsid w:val="00722719"/>
    <w:rsid w:val="00722E2A"/>
    <w:rsid w:val="00723045"/>
    <w:rsid w:val="007230FF"/>
    <w:rsid w:val="007234CA"/>
    <w:rsid w:val="00723DC0"/>
    <w:rsid w:val="00724135"/>
    <w:rsid w:val="00724482"/>
    <w:rsid w:val="0072471D"/>
    <w:rsid w:val="00724A8B"/>
    <w:rsid w:val="00724B9B"/>
    <w:rsid w:val="007250D3"/>
    <w:rsid w:val="00725836"/>
    <w:rsid w:val="00725D95"/>
    <w:rsid w:val="00725FAA"/>
    <w:rsid w:val="00726D2D"/>
    <w:rsid w:val="00727570"/>
    <w:rsid w:val="00727830"/>
    <w:rsid w:val="00727F64"/>
    <w:rsid w:val="00727F9E"/>
    <w:rsid w:val="0073044F"/>
    <w:rsid w:val="00730AFC"/>
    <w:rsid w:val="007310E6"/>
    <w:rsid w:val="00731279"/>
    <w:rsid w:val="007315F4"/>
    <w:rsid w:val="007318F7"/>
    <w:rsid w:val="00731C6A"/>
    <w:rsid w:val="00731EC1"/>
    <w:rsid w:val="007320FC"/>
    <w:rsid w:val="0073212D"/>
    <w:rsid w:val="0073233D"/>
    <w:rsid w:val="00732606"/>
    <w:rsid w:val="00732FE7"/>
    <w:rsid w:val="007330A0"/>
    <w:rsid w:val="007331C5"/>
    <w:rsid w:val="00733E5F"/>
    <w:rsid w:val="007340ED"/>
    <w:rsid w:val="007341E3"/>
    <w:rsid w:val="007343C5"/>
    <w:rsid w:val="00734633"/>
    <w:rsid w:val="00734CA0"/>
    <w:rsid w:val="00734FA2"/>
    <w:rsid w:val="00735B29"/>
    <w:rsid w:val="00735ECB"/>
    <w:rsid w:val="0073611E"/>
    <w:rsid w:val="00736D2C"/>
    <w:rsid w:val="00736DD1"/>
    <w:rsid w:val="0073753B"/>
    <w:rsid w:val="00737883"/>
    <w:rsid w:val="00737B06"/>
    <w:rsid w:val="00737E1E"/>
    <w:rsid w:val="00737F41"/>
    <w:rsid w:val="00740784"/>
    <w:rsid w:val="00740857"/>
    <w:rsid w:val="00741047"/>
    <w:rsid w:val="0074124C"/>
    <w:rsid w:val="00741345"/>
    <w:rsid w:val="007415BF"/>
    <w:rsid w:val="007418BC"/>
    <w:rsid w:val="007419E8"/>
    <w:rsid w:val="007426D9"/>
    <w:rsid w:val="00742763"/>
    <w:rsid w:val="00743165"/>
    <w:rsid w:val="00743B94"/>
    <w:rsid w:val="00744366"/>
    <w:rsid w:val="00744984"/>
    <w:rsid w:val="007449A6"/>
    <w:rsid w:val="00745076"/>
    <w:rsid w:val="007455F1"/>
    <w:rsid w:val="00745F5B"/>
    <w:rsid w:val="00746298"/>
    <w:rsid w:val="007462DB"/>
    <w:rsid w:val="00746564"/>
    <w:rsid w:val="007475BB"/>
    <w:rsid w:val="00747A8F"/>
    <w:rsid w:val="007502BA"/>
    <w:rsid w:val="0075043A"/>
    <w:rsid w:val="007505A1"/>
    <w:rsid w:val="007505DA"/>
    <w:rsid w:val="00750720"/>
    <w:rsid w:val="00751016"/>
    <w:rsid w:val="007510F5"/>
    <w:rsid w:val="00751303"/>
    <w:rsid w:val="00751990"/>
    <w:rsid w:val="00751C09"/>
    <w:rsid w:val="00751D7D"/>
    <w:rsid w:val="00751DAB"/>
    <w:rsid w:val="00751E0C"/>
    <w:rsid w:val="0075257C"/>
    <w:rsid w:val="007529AC"/>
    <w:rsid w:val="00752E98"/>
    <w:rsid w:val="00752EA9"/>
    <w:rsid w:val="00752F9C"/>
    <w:rsid w:val="00753343"/>
    <w:rsid w:val="00753932"/>
    <w:rsid w:val="00753A4E"/>
    <w:rsid w:val="00753F3A"/>
    <w:rsid w:val="00754234"/>
    <w:rsid w:val="007543B7"/>
    <w:rsid w:val="00754C9B"/>
    <w:rsid w:val="00754D08"/>
    <w:rsid w:val="00755B93"/>
    <w:rsid w:val="007560B2"/>
    <w:rsid w:val="007562D6"/>
    <w:rsid w:val="00756565"/>
    <w:rsid w:val="00756968"/>
    <w:rsid w:val="00756CA3"/>
    <w:rsid w:val="00757028"/>
    <w:rsid w:val="0075754A"/>
    <w:rsid w:val="00757769"/>
    <w:rsid w:val="00757947"/>
    <w:rsid w:val="0075799B"/>
    <w:rsid w:val="007579CF"/>
    <w:rsid w:val="00757C0C"/>
    <w:rsid w:val="00757EB9"/>
    <w:rsid w:val="00757F3C"/>
    <w:rsid w:val="00757FBA"/>
    <w:rsid w:val="007603FE"/>
    <w:rsid w:val="007609D5"/>
    <w:rsid w:val="00760A2C"/>
    <w:rsid w:val="00760E7A"/>
    <w:rsid w:val="00761336"/>
    <w:rsid w:val="007617BA"/>
    <w:rsid w:val="00761B2C"/>
    <w:rsid w:val="00761E13"/>
    <w:rsid w:val="007622EC"/>
    <w:rsid w:val="007625A2"/>
    <w:rsid w:val="00762BCA"/>
    <w:rsid w:val="00762DB8"/>
    <w:rsid w:val="00762FCB"/>
    <w:rsid w:val="007632E6"/>
    <w:rsid w:val="0076352D"/>
    <w:rsid w:val="00763AC5"/>
    <w:rsid w:val="00763CE9"/>
    <w:rsid w:val="00763E29"/>
    <w:rsid w:val="007643F4"/>
    <w:rsid w:val="0076445A"/>
    <w:rsid w:val="007651CD"/>
    <w:rsid w:val="00765368"/>
    <w:rsid w:val="00765767"/>
    <w:rsid w:val="00765835"/>
    <w:rsid w:val="00765BA4"/>
    <w:rsid w:val="00765BE3"/>
    <w:rsid w:val="00765D52"/>
    <w:rsid w:val="00765DA8"/>
    <w:rsid w:val="00765F14"/>
    <w:rsid w:val="00765FEE"/>
    <w:rsid w:val="0076619E"/>
    <w:rsid w:val="00766EB2"/>
    <w:rsid w:val="00767531"/>
    <w:rsid w:val="00767649"/>
    <w:rsid w:val="00767665"/>
    <w:rsid w:val="00767F4E"/>
    <w:rsid w:val="00770914"/>
    <w:rsid w:val="00770C6E"/>
    <w:rsid w:val="00770D14"/>
    <w:rsid w:val="007714DC"/>
    <w:rsid w:val="007717E4"/>
    <w:rsid w:val="00771A23"/>
    <w:rsid w:val="0077283D"/>
    <w:rsid w:val="007728E2"/>
    <w:rsid w:val="007731FA"/>
    <w:rsid w:val="00773572"/>
    <w:rsid w:val="00773647"/>
    <w:rsid w:val="00774032"/>
    <w:rsid w:val="00774051"/>
    <w:rsid w:val="007742CC"/>
    <w:rsid w:val="00774986"/>
    <w:rsid w:val="00774CDF"/>
    <w:rsid w:val="0077519B"/>
    <w:rsid w:val="00775540"/>
    <w:rsid w:val="00775D5E"/>
    <w:rsid w:val="00775FF9"/>
    <w:rsid w:val="00776201"/>
    <w:rsid w:val="0077630B"/>
    <w:rsid w:val="007764C1"/>
    <w:rsid w:val="007765D4"/>
    <w:rsid w:val="007767D5"/>
    <w:rsid w:val="00776D48"/>
    <w:rsid w:val="00777496"/>
    <w:rsid w:val="007775E8"/>
    <w:rsid w:val="00777C0E"/>
    <w:rsid w:val="0078016F"/>
    <w:rsid w:val="007801D2"/>
    <w:rsid w:val="007806BB"/>
    <w:rsid w:val="00780DD5"/>
    <w:rsid w:val="00781025"/>
    <w:rsid w:val="007810F8"/>
    <w:rsid w:val="007811AF"/>
    <w:rsid w:val="007813CE"/>
    <w:rsid w:val="00781AAB"/>
    <w:rsid w:val="00781AC7"/>
    <w:rsid w:val="0078202A"/>
    <w:rsid w:val="00782B75"/>
    <w:rsid w:val="00782BDA"/>
    <w:rsid w:val="00782E1F"/>
    <w:rsid w:val="0078335C"/>
    <w:rsid w:val="00783862"/>
    <w:rsid w:val="00783A2E"/>
    <w:rsid w:val="00783DE8"/>
    <w:rsid w:val="0078419B"/>
    <w:rsid w:val="007848FD"/>
    <w:rsid w:val="00785DC9"/>
    <w:rsid w:val="00786105"/>
    <w:rsid w:val="00786326"/>
    <w:rsid w:val="00787254"/>
    <w:rsid w:val="007873BD"/>
    <w:rsid w:val="00787EA1"/>
    <w:rsid w:val="00790B65"/>
    <w:rsid w:val="00790F78"/>
    <w:rsid w:val="00790FE3"/>
    <w:rsid w:val="00791088"/>
    <w:rsid w:val="00791220"/>
    <w:rsid w:val="007918EB"/>
    <w:rsid w:val="00791CD0"/>
    <w:rsid w:val="00791D27"/>
    <w:rsid w:val="00792A24"/>
    <w:rsid w:val="00792C5D"/>
    <w:rsid w:val="00792C91"/>
    <w:rsid w:val="00792E0E"/>
    <w:rsid w:val="00792F97"/>
    <w:rsid w:val="0079311F"/>
    <w:rsid w:val="007938A7"/>
    <w:rsid w:val="00793DDB"/>
    <w:rsid w:val="007944B7"/>
    <w:rsid w:val="007944ED"/>
    <w:rsid w:val="007945DE"/>
    <w:rsid w:val="00794C10"/>
    <w:rsid w:val="007950AB"/>
    <w:rsid w:val="00795292"/>
    <w:rsid w:val="007952DF"/>
    <w:rsid w:val="007954E5"/>
    <w:rsid w:val="007955DF"/>
    <w:rsid w:val="00795A0E"/>
    <w:rsid w:val="00795D21"/>
    <w:rsid w:val="007963D6"/>
    <w:rsid w:val="00796643"/>
    <w:rsid w:val="00796F6F"/>
    <w:rsid w:val="00797BBA"/>
    <w:rsid w:val="00797FDF"/>
    <w:rsid w:val="007A07CD"/>
    <w:rsid w:val="007A0891"/>
    <w:rsid w:val="007A0EF5"/>
    <w:rsid w:val="007A145F"/>
    <w:rsid w:val="007A1534"/>
    <w:rsid w:val="007A1839"/>
    <w:rsid w:val="007A1842"/>
    <w:rsid w:val="007A1DD7"/>
    <w:rsid w:val="007A2404"/>
    <w:rsid w:val="007A2799"/>
    <w:rsid w:val="007A2829"/>
    <w:rsid w:val="007A30A1"/>
    <w:rsid w:val="007A310F"/>
    <w:rsid w:val="007A31E6"/>
    <w:rsid w:val="007A3E4F"/>
    <w:rsid w:val="007A3FC0"/>
    <w:rsid w:val="007A401F"/>
    <w:rsid w:val="007A4698"/>
    <w:rsid w:val="007A4811"/>
    <w:rsid w:val="007A4900"/>
    <w:rsid w:val="007A498D"/>
    <w:rsid w:val="007A49C7"/>
    <w:rsid w:val="007A4AA0"/>
    <w:rsid w:val="007A4AAD"/>
    <w:rsid w:val="007A4F3D"/>
    <w:rsid w:val="007A5399"/>
    <w:rsid w:val="007A58A1"/>
    <w:rsid w:val="007A5920"/>
    <w:rsid w:val="007A59DA"/>
    <w:rsid w:val="007A5FBB"/>
    <w:rsid w:val="007A6374"/>
    <w:rsid w:val="007A69A9"/>
    <w:rsid w:val="007A6C35"/>
    <w:rsid w:val="007A6D44"/>
    <w:rsid w:val="007A6D46"/>
    <w:rsid w:val="007A6EF8"/>
    <w:rsid w:val="007A7382"/>
    <w:rsid w:val="007A7999"/>
    <w:rsid w:val="007B0581"/>
    <w:rsid w:val="007B063C"/>
    <w:rsid w:val="007B0EFF"/>
    <w:rsid w:val="007B0F50"/>
    <w:rsid w:val="007B1816"/>
    <w:rsid w:val="007B1AD6"/>
    <w:rsid w:val="007B20F8"/>
    <w:rsid w:val="007B2359"/>
    <w:rsid w:val="007B24E3"/>
    <w:rsid w:val="007B38CD"/>
    <w:rsid w:val="007B4070"/>
    <w:rsid w:val="007B41B8"/>
    <w:rsid w:val="007B4489"/>
    <w:rsid w:val="007B4E35"/>
    <w:rsid w:val="007B5158"/>
    <w:rsid w:val="007B5715"/>
    <w:rsid w:val="007B6CA6"/>
    <w:rsid w:val="007B6F33"/>
    <w:rsid w:val="007B72FD"/>
    <w:rsid w:val="007B757E"/>
    <w:rsid w:val="007B78AF"/>
    <w:rsid w:val="007B7923"/>
    <w:rsid w:val="007B7A4D"/>
    <w:rsid w:val="007B7BF7"/>
    <w:rsid w:val="007C01BA"/>
    <w:rsid w:val="007C070D"/>
    <w:rsid w:val="007C0E5E"/>
    <w:rsid w:val="007C0F9B"/>
    <w:rsid w:val="007C1511"/>
    <w:rsid w:val="007C1E80"/>
    <w:rsid w:val="007C2346"/>
    <w:rsid w:val="007C2DBE"/>
    <w:rsid w:val="007C33EC"/>
    <w:rsid w:val="007C3F85"/>
    <w:rsid w:val="007C4171"/>
    <w:rsid w:val="007C4590"/>
    <w:rsid w:val="007C46D2"/>
    <w:rsid w:val="007C480B"/>
    <w:rsid w:val="007C4BC0"/>
    <w:rsid w:val="007C4EEC"/>
    <w:rsid w:val="007C4F04"/>
    <w:rsid w:val="007C514B"/>
    <w:rsid w:val="007C51CB"/>
    <w:rsid w:val="007C546C"/>
    <w:rsid w:val="007C5A11"/>
    <w:rsid w:val="007C616F"/>
    <w:rsid w:val="007C619D"/>
    <w:rsid w:val="007C65B5"/>
    <w:rsid w:val="007C6BFD"/>
    <w:rsid w:val="007C6C55"/>
    <w:rsid w:val="007C704C"/>
    <w:rsid w:val="007C7931"/>
    <w:rsid w:val="007C7A71"/>
    <w:rsid w:val="007C7FFC"/>
    <w:rsid w:val="007D01A1"/>
    <w:rsid w:val="007D0392"/>
    <w:rsid w:val="007D05AD"/>
    <w:rsid w:val="007D0A27"/>
    <w:rsid w:val="007D0FB2"/>
    <w:rsid w:val="007D1110"/>
    <w:rsid w:val="007D1486"/>
    <w:rsid w:val="007D14B2"/>
    <w:rsid w:val="007D1D3D"/>
    <w:rsid w:val="007D205E"/>
    <w:rsid w:val="007D2374"/>
    <w:rsid w:val="007D2392"/>
    <w:rsid w:val="007D248B"/>
    <w:rsid w:val="007D24F0"/>
    <w:rsid w:val="007D2D54"/>
    <w:rsid w:val="007D3C6F"/>
    <w:rsid w:val="007D3DEB"/>
    <w:rsid w:val="007D3E66"/>
    <w:rsid w:val="007D3F9C"/>
    <w:rsid w:val="007D5069"/>
    <w:rsid w:val="007D5F97"/>
    <w:rsid w:val="007D6205"/>
    <w:rsid w:val="007D63DC"/>
    <w:rsid w:val="007D68E1"/>
    <w:rsid w:val="007D6928"/>
    <w:rsid w:val="007D6AF3"/>
    <w:rsid w:val="007D7061"/>
    <w:rsid w:val="007D7084"/>
    <w:rsid w:val="007D70DA"/>
    <w:rsid w:val="007D7339"/>
    <w:rsid w:val="007D76EA"/>
    <w:rsid w:val="007D783F"/>
    <w:rsid w:val="007D7F31"/>
    <w:rsid w:val="007E0194"/>
    <w:rsid w:val="007E02C3"/>
    <w:rsid w:val="007E03F2"/>
    <w:rsid w:val="007E0B51"/>
    <w:rsid w:val="007E0B93"/>
    <w:rsid w:val="007E0BCE"/>
    <w:rsid w:val="007E0BDD"/>
    <w:rsid w:val="007E114F"/>
    <w:rsid w:val="007E13BF"/>
    <w:rsid w:val="007E14C3"/>
    <w:rsid w:val="007E15A0"/>
    <w:rsid w:val="007E1AB8"/>
    <w:rsid w:val="007E1C4C"/>
    <w:rsid w:val="007E1C97"/>
    <w:rsid w:val="007E268A"/>
    <w:rsid w:val="007E3131"/>
    <w:rsid w:val="007E3289"/>
    <w:rsid w:val="007E35C1"/>
    <w:rsid w:val="007E3925"/>
    <w:rsid w:val="007E3CF3"/>
    <w:rsid w:val="007E3D7A"/>
    <w:rsid w:val="007E3DEC"/>
    <w:rsid w:val="007E3ED5"/>
    <w:rsid w:val="007E4990"/>
    <w:rsid w:val="007E4ACD"/>
    <w:rsid w:val="007E506F"/>
    <w:rsid w:val="007E50CD"/>
    <w:rsid w:val="007E5169"/>
    <w:rsid w:val="007E54E3"/>
    <w:rsid w:val="007E588D"/>
    <w:rsid w:val="007E5914"/>
    <w:rsid w:val="007E5B66"/>
    <w:rsid w:val="007E5C22"/>
    <w:rsid w:val="007E613E"/>
    <w:rsid w:val="007E61CF"/>
    <w:rsid w:val="007E6A6F"/>
    <w:rsid w:val="007E6DE0"/>
    <w:rsid w:val="007E72EC"/>
    <w:rsid w:val="007E76F1"/>
    <w:rsid w:val="007E7A06"/>
    <w:rsid w:val="007E7CCE"/>
    <w:rsid w:val="007F00AE"/>
    <w:rsid w:val="007F0198"/>
    <w:rsid w:val="007F0668"/>
    <w:rsid w:val="007F0900"/>
    <w:rsid w:val="007F0BD3"/>
    <w:rsid w:val="007F14C0"/>
    <w:rsid w:val="007F16E4"/>
    <w:rsid w:val="007F17A6"/>
    <w:rsid w:val="007F184F"/>
    <w:rsid w:val="007F18DA"/>
    <w:rsid w:val="007F19FC"/>
    <w:rsid w:val="007F1A5B"/>
    <w:rsid w:val="007F1AF9"/>
    <w:rsid w:val="007F1CE4"/>
    <w:rsid w:val="007F1D1A"/>
    <w:rsid w:val="007F27C7"/>
    <w:rsid w:val="007F27FC"/>
    <w:rsid w:val="007F298C"/>
    <w:rsid w:val="007F2DF3"/>
    <w:rsid w:val="007F33C6"/>
    <w:rsid w:val="007F3B1F"/>
    <w:rsid w:val="007F3C65"/>
    <w:rsid w:val="007F3F6A"/>
    <w:rsid w:val="007F40C1"/>
    <w:rsid w:val="007F40EB"/>
    <w:rsid w:val="007F41AE"/>
    <w:rsid w:val="007F492E"/>
    <w:rsid w:val="007F4EF8"/>
    <w:rsid w:val="007F557D"/>
    <w:rsid w:val="007F5B1A"/>
    <w:rsid w:val="007F5C2A"/>
    <w:rsid w:val="007F5D09"/>
    <w:rsid w:val="007F6114"/>
    <w:rsid w:val="007F6222"/>
    <w:rsid w:val="007F627F"/>
    <w:rsid w:val="007F6705"/>
    <w:rsid w:val="007F79DD"/>
    <w:rsid w:val="00800120"/>
    <w:rsid w:val="00800337"/>
    <w:rsid w:val="008009FE"/>
    <w:rsid w:val="00800A09"/>
    <w:rsid w:val="00800D84"/>
    <w:rsid w:val="00801534"/>
    <w:rsid w:val="0080156C"/>
    <w:rsid w:val="00802043"/>
    <w:rsid w:val="008022C4"/>
    <w:rsid w:val="008029DB"/>
    <w:rsid w:val="00802ADA"/>
    <w:rsid w:val="00803318"/>
    <w:rsid w:val="008037DF"/>
    <w:rsid w:val="00803ACE"/>
    <w:rsid w:val="00803BC6"/>
    <w:rsid w:val="00803F2E"/>
    <w:rsid w:val="008043DF"/>
    <w:rsid w:val="00804419"/>
    <w:rsid w:val="00804421"/>
    <w:rsid w:val="008048D7"/>
    <w:rsid w:val="00804912"/>
    <w:rsid w:val="00804C01"/>
    <w:rsid w:val="00804FA6"/>
    <w:rsid w:val="008053D5"/>
    <w:rsid w:val="00805482"/>
    <w:rsid w:val="008058A3"/>
    <w:rsid w:val="00805A68"/>
    <w:rsid w:val="00806099"/>
    <w:rsid w:val="008060EA"/>
    <w:rsid w:val="0080628F"/>
    <w:rsid w:val="008064D2"/>
    <w:rsid w:val="00806DF3"/>
    <w:rsid w:val="00807087"/>
    <w:rsid w:val="008074BB"/>
    <w:rsid w:val="00807B04"/>
    <w:rsid w:val="00807D3F"/>
    <w:rsid w:val="00811267"/>
    <w:rsid w:val="0081178D"/>
    <w:rsid w:val="00811B31"/>
    <w:rsid w:val="00811BC7"/>
    <w:rsid w:val="00811DD0"/>
    <w:rsid w:val="00811F98"/>
    <w:rsid w:val="00812125"/>
    <w:rsid w:val="0081241F"/>
    <w:rsid w:val="00812660"/>
    <w:rsid w:val="008131D7"/>
    <w:rsid w:val="00813906"/>
    <w:rsid w:val="00813DD6"/>
    <w:rsid w:val="008141B2"/>
    <w:rsid w:val="00814225"/>
    <w:rsid w:val="008142C0"/>
    <w:rsid w:val="00814394"/>
    <w:rsid w:val="008146BD"/>
    <w:rsid w:val="00814993"/>
    <w:rsid w:val="00814BB9"/>
    <w:rsid w:val="00815046"/>
    <w:rsid w:val="0081511D"/>
    <w:rsid w:val="00815273"/>
    <w:rsid w:val="00815A9A"/>
    <w:rsid w:val="00815C3C"/>
    <w:rsid w:val="00816286"/>
    <w:rsid w:val="008162AD"/>
    <w:rsid w:val="00816CD8"/>
    <w:rsid w:val="008173DF"/>
    <w:rsid w:val="00817609"/>
    <w:rsid w:val="00817E1D"/>
    <w:rsid w:val="008201DC"/>
    <w:rsid w:val="0082074C"/>
    <w:rsid w:val="0082074D"/>
    <w:rsid w:val="00820DA2"/>
    <w:rsid w:val="0082103E"/>
    <w:rsid w:val="00821280"/>
    <w:rsid w:val="008216B8"/>
    <w:rsid w:val="00821E2D"/>
    <w:rsid w:val="00822410"/>
    <w:rsid w:val="00822814"/>
    <w:rsid w:val="00822C4E"/>
    <w:rsid w:val="0082320B"/>
    <w:rsid w:val="00823348"/>
    <w:rsid w:val="00823B1C"/>
    <w:rsid w:val="00823B23"/>
    <w:rsid w:val="0082408D"/>
    <w:rsid w:val="0082410F"/>
    <w:rsid w:val="00824479"/>
    <w:rsid w:val="00824965"/>
    <w:rsid w:val="00824B88"/>
    <w:rsid w:val="0082535A"/>
    <w:rsid w:val="0082557B"/>
    <w:rsid w:val="00825618"/>
    <w:rsid w:val="0082598A"/>
    <w:rsid w:val="00825AC3"/>
    <w:rsid w:val="00825CB4"/>
    <w:rsid w:val="00825D5F"/>
    <w:rsid w:val="00825EE2"/>
    <w:rsid w:val="00825F97"/>
    <w:rsid w:val="008261F8"/>
    <w:rsid w:val="00826442"/>
    <w:rsid w:val="00826BD3"/>
    <w:rsid w:val="008275D8"/>
    <w:rsid w:val="00827C10"/>
    <w:rsid w:val="0083027C"/>
    <w:rsid w:val="008303C1"/>
    <w:rsid w:val="008309CD"/>
    <w:rsid w:val="00830DBA"/>
    <w:rsid w:val="00830F54"/>
    <w:rsid w:val="008312C2"/>
    <w:rsid w:val="00831411"/>
    <w:rsid w:val="00831F3C"/>
    <w:rsid w:val="00832126"/>
    <w:rsid w:val="00832539"/>
    <w:rsid w:val="00832632"/>
    <w:rsid w:val="00832894"/>
    <w:rsid w:val="00833790"/>
    <w:rsid w:val="0083462C"/>
    <w:rsid w:val="0083488C"/>
    <w:rsid w:val="00834D15"/>
    <w:rsid w:val="00834F15"/>
    <w:rsid w:val="0083545D"/>
    <w:rsid w:val="0083561B"/>
    <w:rsid w:val="00835919"/>
    <w:rsid w:val="00835AC8"/>
    <w:rsid w:val="00835C68"/>
    <w:rsid w:val="00835D39"/>
    <w:rsid w:val="00835DB5"/>
    <w:rsid w:val="00836225"/>
    <w:rsid w:val="008368CA"/>
    <w:rsid w:val="00836D58"/>
    <w:rsid w:val="00836DA7"/>
    <w:rsid w:val="00836EA0"/>
    <w:rsid w:val="00836EDA"/>
    <w:rsid w:val="00837829"/>
    <w:rsid w:val="00837F6D"/>
    <w:rsid w:val="00840067"/>
    <w:rsid w:val="00840737"/>
    <w:rsid w:val="00840E49"/>
    <w:rsid w:val="00840F79"/>
    <w:rsid w:val="0084144E"/>
    <w:rsid w:val="008415DF"/>
    <w:rsid w:val="0084165C"/>
    <w:rsid w:val="00841DD4"/>
    <w:rsid w:val="00842008"/>
    <w:rsid w:val="008421C6"/>
    <w:rsid w:val="00842214"/>
    <w:rsid w:val="0084267F"/>
    <w:rsid w:val="008428E9"/>
    <w:rsid w:val="008429D2"/>
    <w:rsid w:val="00842A24"/>
    <w:rsid w:val="00842CA8"/>
    <w:rsid w:val="00842E45"/>
    <w:rsid w:val="0084305A"/>
    <w:rsid w:val="00843268"/>
    <w:rsid w:val="008434AC"/>
    <w:rsid w:val="00843705"/>
    <w:rsid w:val="00843849"/>
    <w:rsid w:val="00843D22"/>
    <w:rsid w:val="0084400F"/>
    <w:rsid w:val="0084445E"/>
    <w:rsid w:val="00844650"/>
    <w:rsid w:val="00844A2C"/>
    <w:rsid w:val="00844DD5"/>
    <w:rsid w:val="00844E8F"/>
    <w:rsid w:val="0084557B"/>
    <w:rsid w:val="008460E2"/>
    <w:rsid w:val="0084612D"/>
    <w:rsid w:val="008470F6"/>
    <w:rsid w:val="00847849"/>
    <w:rsid w:val="00847CA8"/>
    <w:rsid w:val="00847D56"/>
    <w:rsid w:val="00850285"/>
    <w:rsid w:val="0085028F"/>
    <w:rsid w:val="008505C4"/>
    <w:rsid w:val="00850A14"/>
    <w:rsid w:val="00850B2B"/>
    <w:rsid w:val="00850BAC"/>
    <w:rsid w:val="00851094"/>
    <w:rsid w:val="0085119F"/>
    <w:rsid w:val="008515A5"/>
    <w:rsid w:val="0085160E"/>
    <w:rsid w:val="008516B6"/>
    <w:rsid w:val="0085170A"/>
    <w:rsid w:val="00851895"/>
    <w:rsid w:val="00852C09"/>
    <w:rsid w:val="00852D17"/>
    <w:rsid w:val="00852E0E"/>
    <w:rsid w:val="00852F32"/>
    <w:rsid w:val="00853878"/>
    <w:rsid w:val="0085421D"/>
    <w:rsid w:val="008542B7"/>
    <w:rsid w:val="008547B6"/>
    <w:rsid w:val="00854A4B"/>
    <w:rsid w:val="0085526C"/>
    <w:rsid w:val="00855535"/>
    <w:rsid w:val="00855580"/>
    <w:rsid w:val="00855895"/>
    <w:rsid w:val="00855ECD"/>
    <w:rsid w:val="008565F4"/>
    <w:rsid w:val="00856E4B"/>
    <w:rsid w:val="00856F2D"/>
    <w:rsid w:val="00857B10"/>
    <w:rsid w:val="00857DD4"/>
    <w:rsid w:val="008606F7"/>
    <w:rsid w:val="00860B10"/>
    <w:rsid w:val="00860E52"/>
    <w:rsid w:val="008611D5"/>
    <w:rsid w:val="008615B8"/>
    <w:rsid w:val="0086172A"/>
    <w:rsid w:val="00861C2B"/>
    <w:rsid w:val="00861CEB"/>
    <w:rsid w:val="00862297"/>
    <w:rsid w:val="00862DAF"/>
    <w:rsid w:val="00862ED4"/>
    <w:rsid w:val="00862F50"/>
    <w:rsid w:val="00863019"/>
    <w:rsid w:val="00863051"/>
    <w:rsid w:val="0086312E"/>
    <w:rsid w:val="00863438"/>
    <w:rsid w:val="0086350C"/>
    <w:rsid w:val="008635CD"/>
    <w:rsid w:val="00863726"/>
    <w:rsid w:val="008637B1"/>
    <w:rsid w:val="0086385E"/>
    <w:rsid w:val="008638CE"/>
    <w:rsid w:val="00863AFD"/>
    <w:rsid w:val="00863C0A"/>
    <w:rsid w:val="00863E7A"/>
    <w:rsid w:val="00864133"/>
    <w:rsid w:val="00864DFA"/>
    <w:rsid w:val="00864F8F"/>
    <w:rsid w:val="00864FBD"/>
    <w:rsid w:val="00865344"/>
    <w:rsid w:val="008657DF"/>
    <w:rsid w:val="00865A19"/>
    <w:rsid w:val="00866054"/>
    <w:rsid w:val="008668E1"/>
    <w:rsid w:val="00866B4B"/>
    <w:rsid w:val="008675EA"/>
    <w:rsid w:val="0086764F"/>
    <w:rsid w:val="00867C10"/>
    <w:rsid w:val="0087009F"/>
    <w:rsid w:val="008700EC"/>
    <w:rsid w:val="00870941"/>
    <w:rsid w:val="00870E1E"/>
    <w:rsid w:val="00870F7C"/>
    <w:rsid w:val="00871005"/>
    <w:rsid w:val="00871314"/>
    <w:rsid w:val="008713DA"/>
    <w:rsid w:val="0087169A"/>
    <w:rsid w:val="008717C3"/>
    <w:rsid w:val="008718C7"/>
    <w:rsid w:val="00871C18"/>
    <w:rsid w:val="00872159"/>
    <w:rsid w:val="00872694"/>
    <w:rsid w:val="008726F4"/>
    <w:rsid w:val="00872B3F"/>
    <w:rsid w:val="00873213"/>
    <w:rsid w:val="00873536"/>
    <w:rsid w:val="00873724"/>
    <w:rsid w:val="00873B1F"/>
    <w:rsid w:val="00873C2E"/>
    <w:rsid w:val="00873D35"/>
    <w:rsid w:val="00873FA5"/>
    <w:rsid w:val="008748A7"/>
    <w:rsid w:val="00874EB2"/>
    <w:rsid w:val="00875372"/>
    <w:rsid w:val="00875821"/>
    <w:rsid w:val="00875EED"/>
    <w:rsid w:val="008766C7"/>
    <w:rsid w:val="008778D8"/>
    <w:rsid w:val="00877920"/>
    <w:rsid w:val="00877E8E"/>
    <w:rsid w:val="00880A8A"/>
    <w:rsid w:val="00880BB8"/>
    <w:rsid w:val="00880E18"/>
    <w:rsid w:val="008811EE"/>
    <w:rsid w:val="00881377"/>
    <w:rsid w:val="0088165E"/>
    <w:rsid w:val="00881879"/>
    <w:rsid w:val="00881AFF"/>
    <w:rsid w:val="00881E6F"/>
    <w:rsid w:val="008821FE"/>
    <w:rsid w:val="008826E1"/>
    <w:rsid w:val="00882CE7"/>
    <w:rsid w:val="00882DAE"/>
    <w:rsid w:val="00882DD5"/>
    <w:rsid w:val="0088333C"/>
    <w:rsid w:val="008833E9"/>
    <w:rsid w:val="008837C0"/>
    <w:rsid w:val="00883B7C"/>
    <w:rsid w:val="00883D8C"/>
    <w:rsid w:val="00883EA5"/>
    <w:rsid w:val="008845E1"/>
    <w:rsid w:val="008849A7"/>
    <w:rsid w:val="00885259"/>
    <w:rsid w:val="00885869"/>
    <w:rsid w:val="0088589C"/>
    <w:rsid w:val="0088594C"/>
    <w:rsid w:val="00885D83"/>
    <w:rsid w:val="00885FFD"/>
    <w:rsid w:val="00886159"/>
    <w:rsid w:val="00886199"/>
    <w:rsid w:val="008869BB"/>
    <w:rsid w:val="00886D3F"/>
    <w:rsid w:val="00886E99"/>
    <w:rsid w:val="00886F20"/>
    <w:rsid w:val="008873E1"/>
    <w:rsid w:val="0088744F"/>
    <w:rsid w:val="00887539"/>
    <w:rsid w:val="00887DA3"/>
    <w:rsid w:val="00887DED"/>
    <w:rsid w:val="00890042"/>
    <w:rsid w:val="0089098C"/>
    <w:rsid w:val="00890CAF"/>
    <w:rsid w:val="008910B3"/>
    <w:rsid w:val="00891287"/>
    <w:rsid w:val="00891361"/>
    <w:rsid w:val="0089170F"/>
    <w:rsid w:val="0089195E"/>
    <w:rsid w:val="00891E93"/>
    <w:rsid w:val="00892454"/>
    <w:rsid w:val="008927F5"/>
    <w:rsid w:val="00892AF0"/>
    <w:rsid w:val="00892F0C"/>
    <w:rsid w:val="008931F8"/>
    <w:rsid w:val="00894173"/>
    <w:rsid w:val="00894A00"/>
    <w:rsid w:val="00894A87"/>
    <w:rsid w:val="00894AD1"/>
    <w:rsid w:val="00894B09"/>
    <w:rsid w:val="00894B2A"/>
    <w:rsid w:val="00894F4C"/>
    <w:rsid w:val="008952F4"/>
    <w:rsid w:val="00895309"/>
    <w:rsid w:val="0089593D"/>
    <w:rsid w:val="00895EEB"/>
    <w:rsid w:val="00896908"/>
    <w:rsid w:val="00896C0F"/>
    <w:rsid w:val="00896FEA"/>
    <w:rsid w:val="00897439"/>
    <w:rsid w:val="008977D0"/>
    <w:rsid w:val="0089782C"/>
    <w:rsid w:val="008A0285"/>
    <w:rsid w:val="008A02F5"/>
    <w:rsid w:val="008A0431"/>
    <w:rsid w:val="008A0637"/>
    <w:rsid w:val="008A0908"/>
    <w:rsid w:val="008A11FD"/>
    <w:rsid w:val="008A14C0"/>
    <w:rsid w:val="008A14E5"/>
    <w:rsid w:val="008A1A20"/>
    <w:rsid w:val="008A1B4A"/>
    <w:rsid w:val="008A2161"/>
    <w:rsid w:val="008A2384"/>
    <w:rsid w:val="008A23A1"/>
    <w:rsid w:val="008A2729"/>
    <w:rsid w:val="008A278B"/>
    <w:rsid w:val="008A2867"/>
    <w:rsid w:val="008A2B03"/>
    <w:rsid w:val="008A2EE4"/>
    <w:rsid w:val="008A3237"/>
    <w:rsid w:val="008A38C1"/>
    <w:rsid w:val="008A392A"/>
    <w:rsid w:val="008A428D"/>
    <w:rsid w:val="008A4594"/>
    <w:rsid w:val="008A4868"/>
    <w:rsid w:val="008A4FBB"/>
    <w:rsid w:val="008A50BE"/>
    <w:rsid w:val="008A50D9"/>
    <w:rsid w:val="008A5A22"/>
    <w:rsid w:val="008A675C"/>
    <w:rsid w:val="008A6AA7"/>
    <w:rsid w:val="008A6D91"/>
    <w:rsid w:val="008A6F6B"/>
    <w:rsid w:val="008A71D7"/>
    <w:rsid w:val="008A772A"/>
    <w:rsid w:val="008A7A90"/>
    <w:rsid w:val="008B015D"/>
    <w:rsid w:val="008B01B5"/>
    <w:rsid w:val="008B03DA"/>
    <w:rsid w:val="008B0470"/>
    <w:rsid w:val="008B0530"/>
    <w:rsid w:val="008B0D7B"/>
    <w:rsid w:val="008B1897"/>
    <w:rsid w:val="008B1961"/>
    <w:rsid w:val="008B1FC4"/>
    <w:rsid w:val="008B295F"/>
    <w:rsid w:val="008B2CC5"/>
    <w:rsid w:val="008B2F5B"/>
    <w:rsid w:val="008B33E8"/>
    <w:rsid w:val="008B3575"/>
    <w:rsid w:val="008B379C"/>
    <w:rsid w:val="008B3D88"/>
    <w:rsid w:val="008B3E07"/>
    <w:rsid w:val="008B427B"/>
    <w:rsid w:val="008B4435"/>
    <w:rsid w:val="008B4DF1"/>
    <w:rsid w:val="008B4F13"/>
    <w:rsid w:val="008B4F4C"/>
    <w:rsid w:val="008B549E"/>
    <w:rsid w:val="008B580C"/>
    <w:rsid w:val="008B58D9"/>
    <w:rsid w:val="008B5CB2"/>
    <w:rsid w:val="008B5DC3"/>
    <w:rsid w:val="008B642B"/>
    <w:rsid w:val="008B6629"/>
    <w:rsid w:val="008B6731"/>
    <w:rsid w:val="008B67AA"/>
    <w:rsid w:val="008B6C70"/>
    <w:rsid w:val="008B6C94"/>
    <w:rsid w:val="008B7052"/>
    <w:rsid w:val="008B7C3E"/>
    <w:rsid w:val="008B7E3E"/>
    <w:rsid w:val="008C04BC"/>
    <w:rsid w:val="008C0AAE"/>
    <w:rsid w:val="008C105E"/>
    <w:rsid w:val="008C124E"/>
    <w:rsid w:val="008C14C6"/>
    <w:rsid w:val="008C16AF"/>
    <w:rsid w:val="008C1FFE"/>
    <w:rsid w:val="008C2C67"/>
    <w:rsid w:val="008C3431"/>
    <w:rsid w:val="008C3D7C"/>
    <w:rsid w:val="008C3E79"/>
    <w:rsid w:val="008C41A5"/>
    <w:rsid w:val="008C42C6"/>
    <w:rsid w:val="008C4328"/>
    <w:rsid w:val="008C4381"/>
    <w:rsid w:val="008C48AF"/>
    <w:rsid w:val="008C4D53"/>
    <w:rsid w:val="008C543D"/>
    <w:rsid w:val="008C5C88"/>
    <w:rsid w:val="008C5CE5"/>
    <w:rsid w:val="008C5D50"/>
    <w:rsid w:val="008C5EAB"/>
    <w:rsid w:val="008C7009"/>
    <w:rsid w:val="008C7A67"/>
    <w:rsid w:val="008C7A9A"/>
    <w:rsid w:val="008C7BC8"/>
    <w:rsid w:val="008C7E9D"/>
    <w:rsid w:val="008C7F8C"/>
    <w:rsid w:val="008D016E"/>
    <w:rsid w:val="008D0231"/>
    <w:rsid w:val="008D079D"/>
    <w:rsid w:val="008D1144"/>
    <w:rsid w:val="008D148B"/>
    <w:rsid w:val="008D150C"/>
    <w:rsid w:val="008D176F"/>
    <w:rsid w:val="008D1B5E"/>
    <w:rsid w:val="008D1C34"/>
    <w:rsid w:val="008D1E54"/>
    <w:rsid w:val="008D1F32"/>
    <w:rsid w:val="008D27DC"/>
    <w:rsid w:val="008D2BF5"/>
    <w:rsid w:val="008D3039"/>
    <w:rsid w:val="008D3199"/>
    <w:rsid w:val="008D3C50"/>
    <w:rsid w:val="008D3FA4"/>
    <w:rsid w:val="008D4582"/>
    <w:rsid w:val="008D46F4"/>
    <w:rsid w:val="008D4C20"/>
    <w:rsid w:val="008D5390"/>
    <w:rsid w:val="008D58B0"/>
    <w:rsid w:val="008D5C05"/>
    <w:rsid w:val="008D5D27"/>
    <w:rsid w:val="008D5F4B"/>
    <w:rsid w:val="008D744F"/>
    <w:rsid w:val="008D7851"/>
    <w:rsid w:val="008D7BF8"/>
    <w:rsid w:val="008D7EF4"/>
    <w:rsid w:val="008D7FA3"/>
    <w:rsid w:val="008E06BC"/>
    <w:rsid w:val="008E09C3"/>
    <w:rsid w:val="008E0DDE"/>
    <w:rsid w:val="008E0FF6"/>
    <w:rsid w:val="008E12E8"/>
    <w:rsid w:val="008E152D"/>
    <w:rsid w:val="008E22EA"/>
    <w:rsid w:val="008E281C"/>
    <w:rsid w:val="008E28F3"/>
    <w:rsid w:val="008E29CB"/>
    <w:rsid w:val="008E2CE3"/>
    <w:rsid w:val="008E2D7F"/>
    <w:rsid w:val="008E3062"/>
    <w:rsid w:val="008E3269"/>
    <w:rsid w:val="008E32BB"/>
    <w:rsid w:val="008E3636"/>
    <w:rsid w:val="008E39BC"/>
    <w:rsid w:val="008E3CFC"/>
    <w:rsid w:val="008E415E"/>
    <w:rsid w:val="008E4460"/>
    <w:rsid w:val="008E4C0C"/>
    <w:rsid w:val="008E4DBE"/>
    <w:rsid w:val="008E52B3"/>
    <w:rsid w:val="008E6A4A"/>
    <w:rsid w:val="008E6B71"/>
    <w:rsid w:val="008E6CF2"/>
    <w:rsid w:val="008E6F3D"/>
    <w:rsid w:val="008E75E8"/>
    <w:rsid w:val="008E77C4"/>
    <w:rsid w:val="008E791F"/>
    <w:rsid w:val="008E7BE2"/>
    <w:rsid w:val="008F0348"/>
    <w:rsid w:val="008F0350"/>
    <w:rsid w:val="008F04C1"/>
    <w:rsid w:val="008F07A3"/>
    <w:rsid w:val="008F10BC"/>
    <w:rsid w:val="008F1ADC"/>
    <w:rsid w:val="008F1F2E"/>
    <w:rsid w:val="008F2572"/>
    <w:rsid w:val="008F2958"/>
    <w:rsid w:val="008F4339"/>
    <w:rsid w:val="008F4712"/>
    <w:rsid w:val="008F4B82"/>
    <w:rsid w:val="008F538C"/>
    <w:rsid w:val="008F563E"/>
    <w:rsid w:val="008F5C71"/>
    <w:rsid w:val="008F5FB1"/>
    <w:rsid w:val="008F67BF"/>
    <w:rsid w:val="008F6DF4"/>
    <w:rsid w:val="008F71F3"/>
    <w:rsid w:val="008F72D9"/>
    <w:rsid w:val="008F75CA"/>
    <w:rsid w:val="008F75E4"/>
    <w:rsid w:val="008F7676"/>
    <w:rsid w:val="008F786B"/>
    <w:rsid w:val="008F7CFA"/>
    <w:rsid w:val="008F7DF3"/>
    <w:rsid w:val="008F7FCC"/>
    <w:rsid w:val="00900101"/>
    <w:rsid w:val="009001BE"/>
    <w:rsid w:val="009001EB"/>
    <w:rsid w:val="00900795"/>
    <w:rsid w:val="00900A26"/>
    <w:rsid w:val="00900B75"/>
    <w:rsid w:val="00900D9B"/>
    <w:rsid w:val="00901276"/>
    <w:rsid w:val="009017F8"/>
    <w:rsid w:val="009018A4"/>
    <w:rsid w:val="00901902"/>
    <w:rsid w:val="0090192E"/>
    <w:rsid w:val="00901EC9"/>
    <w:rsid w:val="00902628"/>
    <w:rsid w:val="0090269F"/>
    <w:rsid w:val="009029D0"/>
    <w:rsid w:val="00902A07"/>
    <w:rsid w:val="00902A47"/>
    <w:rsid w:val="00902D36"/>
    <w:rsid w:val="00902DF5"/>
    <w:rsid w:val="00902ED9"/>
    <w:rsid w:val="00903B41"/>
    <w:rsid w:val="00903D8B"/>
    <w:rsid w:val="00903E44"/>
    <w:rsid w:val="009044A8"/>
    <w:rsid w:val="009045B0"/>
    <w:rsid w:val="00904651"/>
    <w:rsid w:val="009046E6"/>
    <w:rsid w:val="00904A92"/>
    <w:rsid w:val="00904D58"/>
    <w:rsid w:val="00904FA5"/>
    <w:rsid w:val="00905062"/>
    <w:rsid w:val="00905527"/>
    <w:rsid w:val="00905868"/>
    <w:rsid w:val="00905F4F"/>
    <w:rsid w:val="009065B3"/>
    <w:rsid w:val="009069C0"/>
    <w:rsid w:val="00906BEE"/>
    <w:rsid w:val="00906CA4"/>
    <w:rsid w:val="00906E7B"/>
    <w:rsid w:val="00907124"/>
    <w:rsid w:val="0090755A"/>
    <w:rsid w:val="00907A3B"/>
    <w:rsid w:val="00907CF9"/>
    <w:rsid w:val="00907D77"/>
    <w:rsid w:val="009101C5"/>
    <w:rsid w:val="00910395"/>
    <w:rsid w:val="00910FAE"/>
    <w:rsid w:val="00911504"/>
    <w:rsid w:val="0091191B"/>
    <w:rsid w:val="00911F81"/>
    <w:rsid w:val="0091256B"/>
    <w:rsid w:val="00912775"/>
    <w:rsid w:val="00912CAB"/>
    <w:rsid w:val="00913772"/>
    <w:rsid w:val="00913810"/>
    <w:rsid w:val="0091394C"/>
    <w:rsid w:val="009148C6"/>
    <w:rsid w:val="009148E5"/>
    <w:rsid w:val="00914B3E"/>
    <w:rsid w:val="00914E67"/>
    <w:rsid w:val="00914F4E"/>
    <w:rsid w:val="009152E2"/>
    <w:rsid w:val="00915496"/>
    <w:rsid w:val="0091565F"/>
    <w:rsid w:val="00915A41"/>
    <w:rsid w:val="00915E92"/>
    <w:rsid w:val="00916181"/>
    <w:rsid w:val="00916216"/>
    <w:rsid w:val="00916622"/>
    <w:rsid w:val="00916E02"/>
    <w:rsid w:val="0091760B"/>
    <w:rsid w:val="00917635"/>
    <w:rsid w:val="00917856"/>
    <w:rsid w:val="00920080"/>
    <w:rsid w:val="009205DD"/>
    <w:rsid w:val="009207E1"/>
    <w:rsid w:val="00920D03"/>
    <w:rsid w:val="00920EA5"/>
    <w:rsid w:val="00921917"/>
    <w:rsid w:val="00922F75"/>
    <w:rsid w:val="00922FCE"/>
    <w:rsid w:val="00923235"/>
    <w:rsid w:val="009234A8"/>
    <w:rsid w:val="00923793"/>
    <w:rsid w:val="0092416C"/>
    <w:rsid w:val="009241AA"/>
    <w:rsid w:val="009242D0"/>
    <w:rsid w:val="009244F0"/>
    <w:rsid w:val="009245F6"/>
    <w:rsid w:val="00924994"/>
    <w:rsid w:val="00925006"/>
    <w:rsid w:val="0092538D"/>
    <w:rsid w:val="00925481"/>
    <w:rsid w:val="009254BC"/>
    <w:rsid w:val="0092572F"/>
    <w:rsid w:val="009257D5"/>
    <w:rsid w:val="00925F35"/>
    <w:rsid w:val="00926190"/>
    <w:rsid w:val="00926270"/>
    <w:rsid w:val="009267BE"/>
    <w:rsid w:val="009268A8"/>
    <w:rsid w:val="0092691B"/>
    <w:rsid w:val="00926C9F"/>
    <w:rsid w:val="00926CBF"/>
    <w:rsid w:val="00926D41"/>
    <w:rsid w:val="00926FBD"/>
    <w:rsid w:val="00927F36"/>
    <w:rsid w:val="0093034B"/>
    <w:rsid w:val="00930501"/>
    <w:rsid w:val="00930542"/>
    <w:rsid w:val="0093086D"/>
    <w:rsid w:val="009308B7"/>
    <w:rsid w:val="00930A67"/>
    <w:rsid w:val="00930F39"/>
    <w:rsid w:val="00931089"/>
    <w:rsid w:val="009319F8"/>
    <w:rsid w:val="00931B8E"/>
    <w:rsid w:val="00931D77"/>
    <w:rsid w:val="00931FA6"/>
    <w:rsid w:val="00932064"/>
    <w:rsid w:val="00932324"/>
    <w:rsid w:val="009323A2"/>
    <w:rsid w:val="0093271D"/>
    <w:rsid w:val="00932761"/>
    <w:rsid w:val="00932C22"/>
    <w:rsid w:val="00932C34"/>
    <w:rsid w:val="00932C85"/>
    <w:rsid w:val="00932DF0"/>
    <w:rsid w:val="0093309B"/>
    <w:rsid w:val="009339E3"/>
    <w:rsid w:val="00934111"/>
    <w:rsid w:val="00934618"/>
    <w:rsid w:val="00934722"/>
    <w:rsid w:val="00934739"/>
    <w:rsid w:val="00934DB9"/>
    <w:rsid w:val="00935001"/>
    <w:rsid w:val="00935A9C"/>
    <w:rsid w:val="00936035"/>
    <w:rsid w:val="00936184"/>
    <w:rsid w:val="00936210"/>
    <w:rsid w:val="00936A38"/>
    <w:rsid w:val="00936DB4"/>
    <w:rsid w:val="009370B0"/>
    <w:rsid w:val="0093723F"/>
    <w:rsid w:val="0093761E"/>
    <w:rsid w:val="00937644"/>
    <w:rsid w:val="00937812"/>
    <w:rsid w:val="0094033B"/>
    <w:rsid w:val="00940425"/>
    <w:rsid w:val="00940448"/>
    <w:rsid w:val="00940741"/>
    <w:rsid w:val="00940FBB"/>
    <w:rsid w:val="00941147"/>
    <w:rsid w:val="00941926"/>
    <w:rsid w:val="00941AD8"/>
    <w:rsid w:val="00941DB0"/>
    <w:rsid w:val="00941F2B"/>
    <w:rsid w:val="009424D5"/>
    <w:rsid w:val="0094283C"/>
    <w:rsid w:val="00943126"/>
    <w:rsid w:val="009437F1"/>
    <w:rsid w:val="00943B08"/>
    <w:rsid w:val="00943D10"/>
    <w:rsid w:val="00943E41"/>
    <w:rsid w:val="00944888"/>
    <w:rsid w:val="00944CC2"/>
    <w:rsid w:val="00944DCC"/>
    <w:rsid w:val="009450C9"/>
    <w:rsid w:val="0094583C"/>
    <w:rsid w:val="009463D1"/>
    <w:rsid w:val="0094647A"/>
    <w:rsid w:val="00946C00"/>
    <w:rsid w:val="00946C5C"/>
    <w:rsid w:val="00947202"/>
    <w:rsid w:val="00947342"/>
    <w:rsid w:val="00947DE3"/>
    <w:rsid w:val="00947E2D"/>
    <w:rsid w:val="00950029"/>
    <w:rsid w:val="00950211"/>
    <w:rsid w:val="0095043C"/>
    <w:rsid w:val="009507D7"/>
    <w:rsid w:val="009517FE"/>
    <w:rsid w:val="00952278"/>
    <w:rsid w:val="009528A6"/>
    <w:rsid w:val="00952DA2"/>
    <w:rsid w:val="00952F51"/>
    <w:rsid w:val="00953500"/>
    <w:rsid w:val="00953729"/>
    <w:rsid w:val="009537ED"/>
    <w:rsid w:val="00954197"/>
    <w:rsid w:val="00954B54"/>
    <w:rsid w:val="00954D9A"/>
    <w:rsid w:val="009554DD"/>
    <w:rsid w:val="00955609"/>
    <w:rsid w:val="0095570E"/>
    <w:rsid w:val="0095596F"/>
    <w:rsid w:val="00955FC2"/>
    <w:rsid w:val="009563F2"/>
    <w:rsid w:val="00956802"/>
    <w:rsid w:val="00956CC7"/>
    <w:rsid w:val="00957D12"/>
    <w:rsid w:val="0096071B"/>
    <w:rsid w:val="00960A15"/>
    <w:rsid w:val="009615AB"/>
    <w:rsid w:val="00961AB1"/>
    <w:rsid w:val="00961B81"/>
    <w:rsid w:val="00961D98"/>
    <w:rsid w:val="00961E38"/>
    <w:rsid w:val="009623D1"/>
    <w:rsid w:val="009624BF"/>
    <w:rsid w:val="009625BF"/>
    <w:rsid w:val="00962AD6"/>
    <w:rsid w:val="009641B2"/>
    <w:rsid w:val="009646F0"/>
    <w:rsid w:val="00964A92"/>
    <w:rsid w:val="00964A94"/>
    <w:rsid w:val="00964A9A"/>
    <w:rsid w:val="00964E64"/>
    <w:rsid w:val="009653D3"/>
    <w:rsid w:val="00965437"/>
    <w:rsid w:val="009658F5"/>
    <w:rsid w:val="00965B89"/>
    <w:rsid w:val="00965D6B"/>
    <w:rsid w:val="00965DDF"/>
    <w:rsid w:val="0096618F"/>
    <w:rsid w:val="00966503"/>
    <w:rsid w:val="0096704B"/>
    <w:rsid w:val="0096729A"/>
    <w:rsid w:val="009672E3"/>
    <w:rsid w:val="0096736C"/>
    <w:rsid w:val="00967452"/>
    <w:rsid w:val="009676C5"/>
    <w:rsid w:val="009678EF"/>
    <w:rsid w:val="00970188"/>
    <w:rsid w:val="0097021D"/>
    <w:rsid w:val="0097050A"/>
    <w:rsid w:val="00970558"/>
    <w:rsid w:val="00970730"/>
    <w:rsid w:val="00970A1F"/>
    <w:rsid w:val="00970F16"/>
    <w:rsid w:val="00971328"/>
    <w:rsid w:val="009716F0"/>
    <w:rsid w:val="00971730"/>
    <w:rsid w:val="0097179A"/>
    <w:rsid w:val="00971986"/>
    <w:rsid w:val="009719C1"/>
    <w:rsid w:val="00971D2A"/>
    <w:rsid w:val="00971E38"/>
    <w:rsid w:val="00972269"/>
    <w:rsid w:val="00972AB1"/>
    <w:rsid w:val="00973376"/>
    <w:rsid w:val="0097389E"/>
    <w:rsid w:val="009747AC"/>
    <w:rsid w:val="009747F6"/>
    <w:rsid w:val="00974BE5"/>
    <w:rsid w:val="00974C76"/>
    <w:rsid w:val="00974CAB"/>
    <w:rsid w:val="00974CEC"/>
    <w:rsid w:val="00974D42"/>
    <w:rsid w:val="0097533D"/>
    <w:rsid w:val="00975752"/>
    <w:rsid w:val="00975C04"/>
    <w:rsid w:val="00975FC6"/>
    <w:rsid w:val="00976307"/>
    <w:rsid w:val="0097660B"/>
    <w:rsid w:val="00976A95"/>
    <w:rsid w:val="00977595"/>
    <w:rsid w:val="00977C7F"/>
    <w:rsid w:val="00977F62"/>
    <w:rsid w:val="00980171"/>
    <w:rsid w:val="009805D7"/>
    <w:rsid w:val="00980646"/>
    <w:rsid w:val="009809DA"/>
    <w:rsid w:val="00980DFF"/>
    <w:rsid w:val="00981469"/>
    <w:rsid w:val="00981B2B"/>
    <w:rsid w:val="00981CA4"/>
    <w:rsid w:val="00981DF5"/>
    <w:rsid w:val="00981F91"/>
    <w:rsid w:val="0098226A"/>
    <w:rsid w:val="009824D7"/>
    <w:rsid w:val="009828B2"/>
    <w:rsid w:val="00982A52"/>
    <w:rsid w:val="00983396"/>
    <w:rsid w:val="0098383F"/>
    <w:rsid w:val="009839C0"/>
    <w:rsid w:val="009839C1"/>
    <w:rsid w:val="00983B88"/>
    <w:rsid w:val="00983DB1"/>
    <w:rsid w:val="009841C6"/>
    <w:rsid w:val="0098463D"/>
    <w:rsid w:val="00984A2A"/>
    <w:rsid w:val="00984DFD"/>
    <w:rsid w:val="0098591E"/>
    <w:rsid w:val="009859E4"/>
    <w:rsid w:val="0098752D"/>
    <w:rsid w:val="00987677"/>
    <w:rsid w:val="00987A1E"/>
    <w:rsid w:val="00987E05"/>
    <w:rsid w:val="00990213"/>
    <w:rsid w:val="00990269"/>
    <w:rsid w:val="0099030F"/>
    <w:rsid w:val="00990621"/>
    <w:rsid w:val="0099064C"/>
    <w:rsid w:val="009907C5"/>
    <w:rsid w:val="0099084D"/>
    <w:rsid w:val="00990A63"/>
    <w:rsid w:val="00990BF2"/>
    <w:rsid w:val="009915D7"/>
    <w:rsid w:val="00991C55"/>
    <w:rsid w:val="00991E67"/>
    <w:rsid w:val="00991ECC"/>
    <w:rsid w:val="00992175"/>
    <w:rsid w:val="009922F8"/>
    <w:rsid w:val="00992932"/>
    <w:rsid w:val="00992B91"/>
    <w:rsid w:val="00992CB7"/>
    <w:rsid w:val="00993721"/>
    <w:rsid w:val="00993847"/>
    <w:rsid w:val="00993EFD"/>
    <w:rsid w:val="00993F7F"/>
    <w:rsid w:val="009940DA"/>
    <w:rsid w:val="0099564E"/>
    <w:rsid w:val="0099570D"/>
    <w:rsid w:val="00996041"/>
    <w:rsid w:val="00996112"/>
    <w:rsid w:val="00996148"/>
    <w:rsid w:val="009964D5"/>
    <w:rsid w:val="00996607"/>
    <w:rsid w:val="009967BA"/>
    <w:rsid w:val="00996B69"/>
    <w:rsid w:val="009971F7"/>
    <w:rsid w:val="0099773E"/>
    <w:rsid w:val="00997B08"/>
    <w:rsid w:val="00997B38"/>
    <w:rsid w:val="00997D78"/>
    <w:rsid w:val="009A04B1"/>
    <w:rsid w:val="009A0B63"/>
    <w:rsid w:val="009A0E9C"/>
    <w:rsid w:val="009A1147"/>
    <w:rsid w:val="009A1316"/>
    <w:rsid w:val="009A1757"/>
    <w:rsid w:val="009A184E"/>
    <w:rsid w:val="009A1C0A"/>
    <w:rsid w:val="009A1EC7"/>
    <w:rsid w:val="009A1F9F"/>
    <w:rsid w:val="009A28CF"/>
    <w:rsid w:val="009A2A09"/>
    <w:rsid w:val="009A3226"/>
    <w:rsid w:val="009A343D"/>
    <w:rsid w:val="009A357E"/>
    <w:rsid w:val="009A36B4"/>
    <w:rsid w:val="009A3CA7"/>
    <w:rsid w:val="009A426B"/>
    <w:rsid w:val="009A503A"/>
    <w:rsid w:val="009A5175"/>
    <w:rsid w:val="009A5359"/>
    <w:rsid w:val="009A556E"/>
    <w:rsid w:val="009A57DF"/>
    <w:rsid w:val="009A63B2"/>
    <w:rsid w:val="009A67E7"/>
    <w:rsid w:val="009A7123"/>
    <w:rsid w:val="009A7358"/>
    <w:rsid w:val="009A774E"/>
    <w:rsid w:val="009A79A7"/>
    <w:rsid w:val="009A7A66"/>
    <w:rsid w:val="009A7EA5"/>
    <w:rsid w:val="009B063A"/>
    <w:rsid w:val="009B0910"/>
    <w:rsid w:val="009B0D94"/>
    <w:rsid w:val="009B1023"/>
    <w:rsid w:val="009B1C80"/>
    <w:rsid w:val="009B1C83"/>
    <w:rsid w:val="009B3B15"/>
    <w:rsid w:val="009B3D9C"/>
    <w:rsid w:val="009B3F3E"/>
    <w:rsid w:val="009B3FFB"/>
    <w:rsid w:val="009B43A3"/>
    <w:rsid w:val="009B4B92"/>
    <w:rsid w:val="009B4E3C"/>
    <w:rsid w:val="009B4EA0"/>
    <w:rsid w:val="009B4F65"/>
    <w:rsid w:val="009B51AB"/>
    <w:rsid w:val="009B56B5"/>
    <w:rsid w:val="009B57CD"/>
    <w:rsid w:val="009B6AB4"/>
    <w:rsid w:val="009B6F9F"/>
    <w:rsid w:val="009B74C4"/>
    <w:rsid w:val="009B79B1"/>
    <w:rsid w:val="009B79BF"/>
    <w:rsid w:val="009B7B20"/>
    <w:rsid w:val="009C00E2"/>
    <w:rsid w:val="009C0251"/>
    <w:rsid w:val="009C0544"/>
    <w:rsid w:val="009C0637"/>
    <w:rsid w:val="009C083A"/>
    <w:rsid w:val="009C0A56"/>
    <w:rsid w:val="009C0B01"/>
    <w:rsid w:val="009C0E91"/>
    <w:rsid w:val="009C124D"/>
    <w:rsid w:val="009C1332"/>
    <w:rsid w:val="009C1954"/>
    <w:rsid w:val="009C1ADC"/>
    <w:rsid w:val="009C2252"/>
    <w:rsid w:val="009C2314"/>
    <w:rsid w:val="009C29CD"/>
    <w:rsid w:val="009C29F6"/>
    <w:rsid w:val="009C2D1A"/>
    <w:rsid w:val="009C3660"/>
    <w:rsid w:val="009C429E"/>
    <w:rsid w:val="009C444D"/>
    <w:rsid w:val="009C51F8"/>
    <w:rsid w:val="009C53BB"/>
    <w:rsid w:val="009C55B2"/>
    <w:rsid w:val="009C5B0D"/>
    <w:rsid w:val="009C5C86"/>
    <w:rsid w:val="009C6B7B"/>
    <w:rsid w:val="009C6C50"/>
    <w:rsid w:val="009C7648"/>
    <w:rsid w:val="009C7686"/>
    <w:rsid w:val="009C76C9"/>
    <w:rsid w:val="009C7733"/>
    <w:rsid w:val="009C774F"/>
    <w:rsid w:val="009C7780"/>
    <w:rsid w:val="009C789F"/>
    <w:rsid w:val="009D00F9"/>
    <w:rsid w:val="009D0250"/>
    <w:rsid w:val="009D034F"/>
    <w:rsid w:val="009D04A6"/>
    <w:rsid w:val="009D05EC"/>
    <w:rsid w:val="009D07EB"/>
    <w:rsid w:val="009D15B1"/>
    <w:rsid w:val="009D17D0"/>
    <w:rsid w:val="009D251A"/>
    <w:rsid w:val="009D262B"/>
    <w:rsid w:val="009D28F1"/>
    <w:rsid w:val="009D28F3"/>
    <w:rsid w:val="009D3B48"/>
    <w:rsid w:val="009D3C12"/>
    <w:rsid w:val="009D53BD"/>
    <w:rsid w:val="009D56B7"/>
    <w:rsid w:val="009D5770"/>
    <w:rsid w:val="009D58C9"/>
    <w:rsid w:val="009D6058"/>
    <w:rsid w:val="009D6099"/>
    <w:rsid w:val="009D61DE"/>
    <w:rsid w:val="009D6259"/>
    <w:rsid w:val="009D650E"/>
    <w:rsid w:val="009D67F0"/>
    <w:rsid w:val="009D6876"/>
    <w:rsid w:val="009D6AC6"/>
    <w:rsid w:val="009D7188"/>
    <w:rsid w:val="009D76B3"/>
    <w:rsid w:val="009E0218"/>
    <w:rsid w:val="009E03A6"/>
    <w:rsid w:val="009E0CE6"/>
    <w:rsid w:val="009E0D14"/>
    <w:rsid w:val="009E0D30"/>
    <w:rsid w:val="009E0DAF"/>
    <w:rsid w:val="009E0F34"/>
    <w:rsid w:val="009E130B"/>
    <w:rsid w:val="009E16A0"/>
    <w:rsid w:val="009E1965"/>
    <w:rsid w:val="009E24F8"/>
    <w:rsid w:val="009E2928"/>
    <w:rsid w:val="009E3052"/>
    <w:rsid w:val="009E32B4"/>
    <w:rsid w:val="009E3956"/>
    <w:rsid w:val="009E3A8F"/>
    <w:rsid w:val="009E3BEB"/>
    <w:rsid w:val="009E3E1A"/>
    <w:rsid w:val="009E4E8E"/>
    <w:rsid w:val="009E51E9"/>
    <w:rsid w:val="009E59BF"/>
    <w:rsid w:val="009E67CD"/>
    <w:rsid w:val="009E7429"/>
    <w:rsid w:val="009E74B0"/>
    <w:rsid w:val="009E75B5"/>
    <w:rsid w:val="009E76C0"/>
    <w:rsid w:val="009E78AF"/>
    <w:rsid w:val="009E79C7"/>
    <w:rsid w:val="009E7C26"/>
    <w:rsid w:val="009F02B0"/>
    <w:rsid w:val="009F06B2"/>
    <w:rsid w:val="009F07E4"/>
    <w:rsid w:val="009F0BAC"/>
    <w:rsid w:val="009F1219"/>
    <w:rsid w:val="009F18E4"/>
    <w:rsid w:val="009F19C3"/>
    <w:rsid w:val="009F1A84"/>
    <w:rsid w:val="009F1EB1"/>
    <w:rsid w:val="009F2AD1"/>
    <w:rsid w:val="009F2BDD"/>
    <w:rsid w:val="009F3036"/>
    <w:rsid w:val="009F3414"/>
    <w:rsid w:val="009F4040"/>
    <w:rsid w:val="009F460A"/>
    <w:rsid w:val="009F4741"/>
    <w:rsid w:val="009F48A4"/>
    <w:rsid w:val="009F4DDA"/>
    <w:rsid w:val="009F5473"/>
    <w:rsid w:val="009F57AC"/>
    <w:rsid w:val="009F5B67"/>
    <w:rsid w:val="009F5CC1"/>
    <w:rsid w:val="009F5D40"/>
    <w:rsid w:val="009F5F8A"/>
    <w:rsid w:val="009F6198"/>
    <w:rsid w:val="009F62EF"/>
    <w:rsid w:val="009F6406"/>
    <w:rsid w:val="009F64BB"/>
    <w:rsid w:val="009F65DC"/>
    <w:rsid w:val="009F6D6F"/>
    <w:rsid w:val="009F6FBD"/>
    <w:rsid w:val="009F71BF"/>
    <w:rsid w:val="009F7319"/>
    <w:rsid w:val="009F7649"/>
    <w:rsid w:val="009F7998"/>
    <w:rsid w:val="009F7ABE"/>
    <w:rsid w:val="00A00125"/>
    <w:rsid w:val="00A018BB"/>
    <w:rsid w:val="00A021FF"/>
    <w:rsid w:val="00A025B5"/>
    <w:rsid w:val="00A02857"/>
    <w:rsid w:val="00A0320E"/>
    <w:rsid w:val="00A03CF5"/>
    <w:rsid w:val="00A03CFA"/>
    <w:rsid w:val="00A03FBD"/>
    <w:rsid w:val="00A04718"/>
    <w:rsid w:val="00A04A38"/>
    <w:rsid w:val="00A05F86"/>
    <w:rsid w:val="00A06C9C"/>
    <w:rsid w:val="00A071A9"/>
    <w:rsid w:val="00A07B7D"/>
    <w:rsid w:val="00A07BBE"/>
    <w:rsid w:val="00A07DCA"/>
    <w:rsid w:val="00A07F02"/>
    <w:rsid w:val="00A10120"/>
    <w:rsid w:val="00A10254"/>
    <w:rsid w:val="00A10856"/>
    <w:rsid w:val="00A10ECC"/>
    <w:rsid w:val="00A10F68"/>
    <w:rsid w:val="00A110BB"/>
    <w:rsid w:val="00A111CB"/>
    <w:rsid w:val="00A11313"/>
    <w:rsid w:val="00A11341"/>
    <w:rsid w:val="00A114B1"/>
    <w:rsid w:val="00A117EE"/>
    <w:rsid w:val="00A1199A"/>
    <w:rsid w:val="00A11B37"/>
    <w:rsid w:val="00A11BC7"/>
    <w:rsid w:val="00A1210E"/>
    <w:rsid w:val="00A12A61"/>
    <w:rsid w:val="00A1346A"/>
    <w:rsid w:val="00A1424F"/>
    <w:rsid w:val="00A153F4"/>
    <w:rsid w:val="00A157A8"/>
    <w:rsid w:val="00A15896"/>
    <w:rsid w:val="00A15D99"/>
    <w:rsid w:val="00A1656B"/>
    <w:rsid w:val="00A1676F"/>
    <w:rsid w:val="00A16BA1"/>
    <w:rsid w:val="00A17581"/>
    <w:rsid w:val="00A1763A"/>
    <w:rsid w:val="00A178C8"/>
    <w:rsid w:val="00A17DB0"/>
    <w:rsid w:val="00A17E41"/>
    <w:rsid w:val="00A2037D"/>
    <w:rsid w:val="00A203BA"/>
    <w:rsid w:val="00A2040F"/>
    <w:rsid w:val="00A20753"/>
    <w:rsid w:val="00A21033"/>
    <w:rsid w:val="00A211F9"/>
    <w:rsid w:val="00A21530"/>
    <w:rsid w:val="00A2193F"/>
    <w:rsid w:val="00A21D20"/>
    <w:rsid w:val="00A21ED5"/>
    <w:rsid w:val="00A21F21"/>
    <w:rsid w:val="00A22199"/>
    <w:rsid w:val="00A2220C"/>
    <w:rsid w:val="00A22F46"/>
    <w:rsid w:val="00A22FCD"/>
    <w:rsid w:val="00A231D3"/>
    <w:rsid w:val="00A23699"/>
    <w:rsid w:val="00A2385D"/>
    <w:rsid w:val="00A239CB"/>
    <w:rsid w:val="00A23CC7"/>
    <w:rsid w:val="00A23E19"/>
    <w:rsid w:val="00A23E6A"/>
    <w:rsid w:val="00A248FD"/>
    <w:rsid w:val="00A24935"/>
    <w:rsid w:val="00A24AC3"/>
    <w:rsid w:val="00A250AC"/>
    <w:rsid w:val="00A2541C"/>
    <w:rsid w:val="00A25618"/>
    <w:rsid w:val="00A259F9"/>
    <w:rsid w:val="00A25F97"/>
    <w:rsid w:val="00A2617E"/>
    <w:rsid w:val="00A26792"/>
    <w:rsid w:val="00A267D8"/>
    <w:rsid w:val="00A2708F"/>
    <w:rsid w:val="00A271D6"/>
    <w:rsid w:val="00A27530"/>
    <w:rsid w:val="00A27EF3"/>
    <w:rsid w:val="00A27F05"/>
    <w:rsid w:val="00A27FD8"/>
    <w:rsid w:val="00A3052F"/>
    <w:rsid w:val="00A30642"/>
    <w:rsid w:val="00A3083D"/>
    <w:rsid w:val="00A310D4"/>
    <w:rsid w:val="00A31338"/>
    <w:rsid w:val="00A31DEF"/>
    <w:rsid w:val="00A326B2"/>
    <w:rsid w:val="00A32A0C"/>
    <w:rsid w:val="00A32E8B"/>
    <w:rsid w:val="00A3305B"/>
    <w:rsid w:val="00A330F5"/>
    <w:rsid w:val="00A33372"/>
    <w:rsid w:val="00A3352A"/>
    <w:rsid w:val="00A3382D"/>
    <w:rsid w:val="00A33C2E"/>
    <w:rsid w:val="00A33FD7"/>
    <w:rsid w:val="00A34A06"/>
    <w:rsid w:val="00A34FA7"/>
    <w:rsid w:val="00A350C1"/>
    <w:rsid w:val="00A35891"/>
    <w:rsid w:val="00A35A39"/>
    <w:rsid w:val="00A35C9C"/>
    <w:rsid w:val="00A36786"/>
    <w:rsid w:val="00A367CE"/>
    <w:rsid w:val="00A373C6"/>
    <w:rsid w:val="00A374A5"/>
    <w:rsid w:val="00A4001F"/>
    <w:rsid w:val="00A40305"/>
    <w:rsid w:val="00A40FED"/>
    <w:rsid w:val="00A417F8"/>
    <w:rsid w:val="00A41A7E"/>
    <w:rsid w:val="00A41C5B"/>
    <w:rsid w:val="00A41E9A"/>
    <w:rsid w:val="00A42383"/>
    <w:rsid w:val="00A42659"/>
    <w:rsid w:val="00A42885"/>
    <w:rsid w:val="00A4296E"/>
    <w:rsid w:val="00A4339E"/>
    <w:rsid w:val="00A43571"/>
    <w:rsid w:val="00A43E11"/>
    <w:rsid w:val="00A44956"/>
    <w:rsid w:val="00A4496C"/>
    <w:rsid w:val="00A44C74"/>
    <w:rsid w:val="00A45887"/>
    <w:rsid w:val="00A45BAD"/>
    <w:rsid w:val="00A45FC6"/>
    <w:rsid w:val="00A46147"/>
    <w:rsid w:val="00A46178"/>
    <w:rsid w:val="00A479FB"/>
    <w:rsid w:val="00A47C0A"/>
    <w:rsid w:val="00A47D43"/>
    <w:rsid w:val="00A47FBA"/>
    <w:rsid w:val="00A5018D"/>
    <w:rsid w:val="00A50775"/>
    <w:rsid w:val="00A508CC"/>
    <w:rsid w:val="00A517A8"/>
    <w:rsid w:val="00A51819"/>
    <w:rsid w:val="00A51D8F"/>
    <w:rsid w:val="00A52324"/>
    <w:rsid w:val="00A529CD"/>
    <w:rsid w:val="00A52BF9"/>
    <w:rsid w:val="00A52D5A"/>
    <w:rsid w:val="00A52FBE"/>
    <w:rsid w:val="00A5335B"/>
    <w:rsid w:val="00A535CD"/>
    <w:rsid w:val="00A53978"/>
    <w:rsid w:val="00A53B90"/>
    <w:rsid w:val="00A53E9D"/>
    <w:rsid w:val="00A544FA"/>
    <w:rsid w:val="00A54664"/>
    <w:rsid w:val="00A547A4"/>
    <w:rsid w:val="00A54B36"/>
    <w:rsid w:val="00A54EA3"/>
    <w:rsid w:val="00A551D2"/>
    <w:rsid w:val="00A553C6"/>
    <w:rsid w:val="00A5577A"/>
    <w:rsid w:val="00A557A1"/>
    <w:rsid w:val="00A55951"/>
    <w:rsid w:val="00A55DC6"/>
    <w:rsid w:val="00A56334"/>
    <w:rsid w:val="00A563C8"/>
    <w:rsid w:val="00A563F5"/>
    <w:rsid w:val="00A567F3"/>
    <w:rsid w:val="00A56F09"/>
    <w:rsid w:val="00A570A2"/>
    <w:rsid w:val="00A57419"/>
    <w:rsid w:val="00A607D0"/>
    <w:rsid w:val="00A60FA0"/>
    <w:rsid w:val="00A6111C"/>
    <w:rsid w:val="00A61632"/>
    <w:rsid w:val="00A61661"/>
    <w:rsid w:val="00A61AD9"/>
    <w:rsid w:val="00A626FE"/>
    <w:rsid w:val="00A62729"/>
    <w:rsid w:val="00A629E5"/>
    <w:rsid w:val="00A62C81"/>
    <w:rsid w:val="00A62DE2"/>
    <w:rsid w:val="00A62EAA"/>
    <w:rsid w:val="00A62EC0"/>
    <w:rsid w:val="00A630D2"/>
    <w:rsid w:val="00A633FC"/>
    <w:rsid w:val="00A637B2"/>
    <w:rsid w:val="00A63857"/>
    <w:rsid w:val="00A64395"/>
    <w:rsid w:val="00A64477"/>
    <w:rsid w:val="00A64689"/>
    <w:rsid w:val="00A64958"/>
    <w:rsid w:val="00A656A1"/>
    <w:rsid w:val="00A6592F"/>
    <w:rsid w:val="00A65BD4"/>
    <w:rsid w:val="00A65BDD"/>
    <w:rsid w:val="00A65BED"/>
    <w:rsid w:val="00A65CEC"/>
    <w:rsid w:val="00A65D1F"/>
    <w:rsid w:val="00A65E04"/>
    <w:rsid w:val="00A65FAA"/>
    <w:rsid w:val="00A664DB"/>
    <w:rsid w:val="00A667C5"/>
    <w:rsid w:val="00A66FD4"/>
    <w:rsid w:val="00A67129"/>
    <w:rsid w:val="00A671C4"/>
    <w:rsid w:val="00A67436"/>
    <w:rsid w:val="00A67A38"/>
    <w:rsid w:val="00A67A5D"/>
    <w:rsid w:val="00A67AA0"/>
    <w:rsid w:val="00A7059F"/>
    <w:rsid w:val="00A70B33"/>
    <w:rsid w:val="00A71414"/>
    <w:rsid w:val="00A71834"/>
    <w:rsid w:val="00A71DB5"/>
    <w:rsid w:val="00A72584"/>
    <w:rsid w:val="00A725C3"/>
    <w:rsid w:val="00A73227"/>
    <w:rsid w:val="00A73362"/>
    <w:rsid w:val="00A7337A"/>
    <w:rsid w:val="00A7366E"/>
    <w:rsid w:val="00A73DBC"/>
    <w:rsid w:val="00A73E89"/>
    <w:rsid w:val="00A7462A"/>
    <w:rsid w:val="00A74635"/>
    <w:rsid w:val="00A748C0"/>
    <w:rsid w:val="00A74FE0"/>
    <w:rsid w:val="00A75117"/>
    <w:rsid w:val="00A75F2F"/>
    <w:rsid w:val="00A760E7"/>
    <w:rsid w:val="00A7618C"/>
    <w:rsid w:val="00A76214"/>
    <w:rsid w:val="00A76D29"/>
    <w:rsid w:val="00A76DB7"/>
    <w:rsid w:val="00A76F60"/>
    <w:rsid w:val="00A77067"/>
    <w:rsid w:val="00A77142"/>
    <w:rsid w:val="00A7730F"/>
    <w:rsid w:val="00A77472"/>
    <w:rsid w:val="00A779C2"/>
    <w:rsid w:val="00A80070"/>
    <w:rsid w:val="00A80548"/>
    <w:rsid w:val="00A808FA"/>
    <w:rsid w:val="00A80B5A"/>
    <w:rsid w:val="00A80D62"/>
    <w:rsid w:val="00A8110A"/>
    <w:rsid w:val="00A816FB"/>
    <w:rsid w:val="00A817CF"/>
    <w:rsid w:val="00A822A1"/>
    <w:rsid w:val="00A82390"/>
    <w:rsid w:val="00A826CE"/>
    <w:rsid w:val="00A8273B"/>
    <w:rsid w:val="00A82779"/>
    <w:rsid w:val="00A82816"/>
    <w:rsid w:val="00A829E3"/>
    <w:rsid w:val="00A82AB4"/>
    <w:rsid w:val="00A82CBE"/>
    <w:rsid w:val="00A82D1A"/>
    <w:rsid w:val="00A833BA"/>
    <w:rsid w:val="00A83ABF"/>
    <w:rsid w:val="00A83C4B"/>
    <w:rsid w:val="00A849C0"/>
    <w:rsid w:val="00A84BE1"/>
    <w:rsid w:val="00A8623F"/>
    <w:rsid w:val="00A86D3B"/>
    <w:rsid w:val="00A86E53"/>
    <w:rsid w:val="00A86FAC"/>
    <w:rsid w:val="00A86FFF"/>
    <w:rsid w:val="00A870E0"/>
    <w:rsid w:val="00A87A42"/>
    <w:rsid w:val="00A87E69"/>
    <w:rsid w:val="00A9024A"/>
    <w:rsid w:val="00A90ABD"/>
    <w:rsid w:val="00A90D4F"/>
    <w:rsid w:val="00A90F98"/>
    <w:rsid w:val="00A90FBE"/>
    <w:rsid w:val="00A9109B"/>
    <w:rsid w:val="00A911C0"/>
    <w:rsid w:val="00A9156C"/>
    <w:rsid w:val="00A915D7"/>
    <w:rsid w:val="00A919E7"/>
    <w:rsid w:val="00A91AF8"/>
    <w:rsid w:val="00A91E15"/>
    <w:rsid w:val="00A92022"/>
    <w:rsid w:val="00A921F8"/>
    <w:rsid w:val="00A92238"/>
    <w:rsid w:val="00A927F5"/>
    <w:rsid w:val="00A92A30"/>
    <w:rsid w:val="00A92C2B"/>
    <w:rsid w:val="00A93475"/>
    <w:rsid w:val="00A93543"/>
    <w:rsid w:val="00A935D2"/>
    <w:rsid w:val="00A93D02"/>
    <w:rsid w:val="00A94125"/>
    <w:rsid w:val="00A94B54"/>
    <w:rsid w:val="00A9501B"/>
    <w:rsid w:val="00A952C1"/>
    <w:rsid w:val="00A95C0A"/>
    <w:rsid w:val="00A961ED"/>
    <w:rsid w:val="00A96866"/>
    <w:rsid w:val="00A970F2"/>
    <w:rsid w:val="00A977D9"/>
    <w:rsid w:val="00AA08B9"/>
    <w:rsid w:val="00AA0BF8"/>
    <w:rsid w:val="00AA0E12"/>
    <w:rsid w:val="00AA0E74"/>
    <w:rsid w:val="00AA17B4"/>
    <w:rsid w:val="00AA261C"/>
    <w:rsid w:val="00AA2709"/>
    <w:rsid w:val="00AA275D"/>
    <w:rsid w:val="00AA2904"/>
    <w:rsid w:val="00AA2C64"/>
    <w:rsid w:val="00AA3096"/>
    <w:rsid w:val="00AA399F"/>
    <w:rsid w:val="00AA3D07"/>
    <w:rsid w:val="00AA43B0"/>
    <w:rsid w:val="00AA4912"/>
    <w:rsid w:val="00AA494E"/>
    <w:rsid w:val="00AA4AD7"/>
    <w:rsid w:val="00AA504A"/>
    <w:rsid w:val="00AA5361"/>
    <w:rsid w:val="00AA5488"/>
    <w:rsid w:val="00AA55E3"/>
    <w:rsid w:val="00AA568B"/>
    <w:rsid w:val="00AA5CD9"/>
    <w:rsid w:val="00AA5DFF"/>
    <w:rsid w:val="00AA624F"/>
    <w:rsid w:val="00AA63DC"/>
    <w:rsid w:val="00AA6617"/>
    <w:rsid w:val="00AA691A"/>
    <w:rsid w:val="00AA6B09"/>
    <w:rsid w:val="00AA6B71"/>
    <w:rsid w:val="00AA6C47"/>
    <w:rsid w:val="00AA6D17"/>
    <w:rsid w:val="00AA72CE"/>
    <w:rsid w:val="00AA79B7"/>
    <w:rsid w:val="00AA7A8D"/>
    <w:rsid w:val="00AA7EEE"/>
    <w:rsid w:val="00AB0170"/>
    <w:rsid w:val="00AB031B"/>
    <w:rsid w:val="00AB032B"/>
    <w:rsid w:val="00AB0370"/>
    <w:rsid w:val="00AB060F"/>
    <w:rsid w:val="00AB0953"/>
    <w:rsid w:val="00AB09CC"/>
    <w:rsid w:val="00AB13B5"/>
    <w:rsid w:val="00AB18CD"/>
    <w:rsid w:val="00AB2D52"/>
    <w:rsid w:val="00AB436F"/>
    <w:rsid w:val="00AB4580"/>
    <w:rsid w:val="00AB464B"/>
    <w:rsid w:val="00AB52A6"/>
    <w:rsid w:val="00AB5470"/>
    <w:rsid w:val="00AB554C"/>
    <w:rsid w:val="00AB59D4"/>
    <w:rsid w:val="00AB5B4B"/>
    <w:rsid w:val="00AB653F"/>
    <w:rsid w:val="00AB6835"/>
    <w:rsid w:val="00AB6C5B"/>
    <w:rsid w:val="00AB6C9F"/>
    <w:rsid w:val="00AB6DA1"/>
    <w:rsid w:val="00AB75D5"/>
    <w:rsid w:val="00AB7841"/>
    <w:rsid w:val="00AB7AD0"/>
    <w:rsid w:val="00AB7F79"/>
    <w:rsid w:val="00AC0351"/>
    <w:rsid w:val="00AC0B3F"/>
    <w:rsid w:val="00AC1654"/>
    <w:rsid w:val="00AC1AE6"/>
    <w:rsid w:val="00AC1CAB"/>
    <w:rsid w:val="00AC2898"/>
    <w:rsid w:val="00AC29D4"/>
    <w:rsid w:val="00AC2C33"/>
    <w:rsid w:val="00AC341C"/>
    <w:rsid w:val="00AC365C"/>
    <w:rsid w:val="00AC38F8"/>
    <w:rsid w:val="00AC3F0D"/>
    <w:rsid w:val="00AC43CC"/>
    <w:rsid w:val="00AC4410"/>
    <w:rsid w:val="00AC461F"/>
    <w:rsid w:val="00AC463F"/>
    <w:rsid w:val="00AC4697"/>
    <w:rsid w:val="00AC49D8"/>
    <w:rsid w:val="00AC4CFD"/>
    <w:rsid w:val="00AC5504"/>
    <w:rsid w:val="00AC577C"/>
    <w:rsid w:val="00AC5965"/>
    <w:rsid w:val="00AC5D87"/>
    <w:rsid w:val="00AC64F3"/>
    <w:rsid w:val="00AC6591"/>
    <w:rsid w:val="00AC6CF7"/>
    <w:rsid w:val="00AC6EFF"/>
    <w:rsid w:val="00AC6FC0"/>
    <w:rsid w:val="00AC7547"/>
    <w:rsid w:val="00AC7586"/>
    <w:rsid w:val="00AC79DD"/>
    <w:rsid w:val="00AC7C5B"/>
    <w:rsid w:val="00AC7D88"/>
    <w:rsid w:val="00AC7DDC"/>
    <w:rsid w:val="00AD00F6"/>
    <w:rsid w:val="00AD0AFB"/>
    <w:rsid w:val="00AD1316"/>
    <w:rsid w:val="00AD1655"/>
    <w:rsid w:val="00AD1666"/>
    <w:rsid w:val="00AD170D"/>
    <w:rsid w:val="00AD1E48"/>
    <w:rsid w:val="00AD2649"/>
    <w:rsid w:val="00AD2697"/>
    <w:rsid w:val="00AD273B"/>
    <w:rsid w:val="00AD2989"/>
    <w:rsid w:val="00AD2A7E"/>
    <w:rsid w:val="00AD2C82"/>
    <w:rsid w:val="00AD32E0"/>
    <w:rsid w:val="00AD3549"/>
    <w:rsid w:val="00AD3DD2"/>
    <w:rsid w:val="00AD45B4"/>
    <w:rsid w:val="00AD48E4"/>
    <w:rsid w:val="00AD4A9F"/>
    <w:rsid w:val="00AD5966"/>
    <w:rsid w:val="00AD5BD0"/>
    <w:rsid w:val="00AD5C2F"/>
    <w:rsid w:val="00AD61AE"/>
    <w:rsid w:val="00AD61F3"/>
    <w:rsid w:val="00AD62FE"/>
    <w:rsid w:val="00AD664A"/>
    <w:rsid w:val="00AD71EC"/>
    <w:rsid w:val="00AD74AA"/>
    <w:rsid w:val="00AD7FAD"/>
    <w:rsid w:val="00AE02EF"/>
    <w:rsid w:val="00AE0A10"/>
    <w:rsid w:val="00AE0BA9"/>
    <w:rsid w:val="00AE123A"/>
    <w:rsid w:val="00AE144F"/>
    <w:rsid w:val="00AE160E"/>
    <w:rsid w:val="00AE18C2"/>
    <w:rsid w:val="00AE1915"/>
    <w:rsid w:val="00AE1B37"/>
    <w:rsid w:val="00AE1C82"/>
    <w:rsid w:val="00AE1DD7"/>
    <w:rsid w:val="00AE208E"/>
    <w:rsid w:val="00AE29BF"/>
    <w:rsid w:val="00AE2C57"/>
    <w:rsid w:val="00AE304B"/>
    <w:rsid w:val="00AE3346"/>
    <w:rsid w:val="00AE37FF"/>
    <w:rsid w:val="00AE3FF6"/>
    <w:rsid w:val="00AE41E9"/>
    <w:rsid w:val="00AE43A0"/>
    <w:rsid w:val="00AE4B23"/>
    <w:rsid w:val="00AE4E3B"/>
    <w:rsid w:val="00AE5092"/>
    <w:rsid w:val="00AE5726"/>
    <w:rsid w:val="00AE5FCF"/>
    <w:rsid w:val="00AE622E"/>
    <w:rsid w:val="00AE675C"/>
    <w:rsid w:val="00AE694F"/>
    <w:rsid w:val="00AE6CE7"/>
    <w:rsid w:val="00AE7324"/>
    <w:rsid w:val="00AE78DD"/>
    <w:rsid w:val="00AE7A42"/>
    <w:rsid w:val="00AE7AEB"/>
    <w:rsid w:val="00AF0017"/>
    <w:rsid w:val="00AF033C"/>
    <w:rsid w:val="00AF09B4"/>
    <w:rsid w:val="00AF0A9A"/>
    <w:rsid w:val="00AF0B3E"/>
    <w:rsid w:val="00AF11D3"/>
    <w:rsid w:val="00AF13EA"/>
    <w:rsid w:val="00AF1516"/>
    <w:rsid w:val="00AF19D8"/>
    <w:rsid w:val="00AF1A63"/>
    <w:rsid w:val="00AF1CC6"/>
    <w:rsid w:val="00AF1E22"/>
    <w:rsid w:val="00AF21D0"/>
    <w:rsid w:val="00AF2787"/>
    <w:rsid w:val="00AF27E2"/>
    <w:rsid w:val="00AF2891"/>
    <w:rsid w:val="00AF29DC"/>
    <w:rsid w:val="00AF2B2D"/>
    <w:rsid w:val="00AF3651"/>
    <w:rsid w:val="00AF3733"/>
    <w:rsid w:val="00AF3BD2"/>
    <w:rsid w:val="00AF3F5B"/>
    <w:rsid w:val="00AF3FA4"/>
    <w:rsid w:val="00AF41DC"/>
    <w:rsid w:val="00AF4491"/>
    <w:rsid w:val="00AF471A"/>
    <w:rsid w:val="00AF4D9E"/>
    <w:rsid w:val="00AF5360"/>
    <w:rsid w:val="00AF561D"/>
    <w:rsid w:val="00AF5691"/>
    <w:rsid w:val="00AF56B7"/>
    <w:rsid w:val="00AF576E"/>
    <w:rsid w:val="00AF58D1"/>
    <w:rsid w:val="00AF596B"/>
    <w:rsid w:val="00AF5DB8"/>
    <w:rsid w:val="00AF5EA4"/>
    <w:rsid w:val="00AF5F9A"/>
    <w:rsid w:val="00AF5FEA"/>
    <w:rsid w:val="00AF6486"/>
    <w:rsid w:val="00AF6C75"/>
    <w:rsid w:val="00AF6D65"/>
    <w:rsid w:val="00AF70FA"/>
    <w:rsid w:val="00AF72B2"/>
    <w:rsid w:val="00AF7707"/>
    <w:rsid w:val="00AF775A"/>
    <w:rsid w:val="00AF7DE6"/>
    <w:rsid w:val="00AF7E1B"/>
    <w:rsid w:val="00B001D4"/>
    <w:rsid w:val="00B002A3"/>
    <w:rsid w:val="00B0121C"/>
    <w:rsid w:val="00B01539"/>
    <w:rsid w:val="00B01A6A"/>
    <w:rsid w:val="00B01E86"/>
    <w:rsid w:val="00B0254A"/>
    <w:rsid w:val="00B02A2C"/>
    <w:rsid w:val="00B02D2B"/>
    <w:rsid w:val="00B02D6A"/>
    <w:rsid w:val="00B02FA0"/>
    <w:rsid w:val="00B032EA"/>
    <w:rsid w:val="00B034EE"/>
    <w:rsid w:val="00B03705"/>
    <w:rsid w:val="00B03F82"/>
    <w:rsid w:val="00B042D6"/>
    <w:rsid w:val="00B04361"/>
    <w:rsid w:val="00B04494"/>
    <w:rsid w:val="00B04726"/>
    <w:rsid w:val="00B04835"/>
    <w:rsid w:val="00B04B6B"/>
    <w:rsid w:val="00B04D7A"/>
    <w:rsid w:val="00B04FFE"/>
    <w:rsid w:val="00B05145"/>
    <w:rsid w:val="00B0574F"/>
    <w:rsid w:val="00B05A8A"/>
    <w:rsid w:val="00B061D6"/>
    <w:rsid w:val="00B0625B"/>
    <w:rsid w:val="00B069D6"/>
    <w:rsid w:val="00B06B16"/>
    <w:rsid w:val="00B076D5"/>
    <w:rsid w:val="00B10094"/>
    <w:rsid w:val="00B10100"/>
    <w:rsid w:val="00B1050A"/>
    <w:rsid w:val="00B10E55"/>
    <w:rsid w:val="00B10EFE"/>
    <w:rsid w:val="00B111A9"/>
    <w:rsid w:val="00B112FC"/>
    <w:rsid w:val="00B118E0"/>
    <w:rsid w:val="00B12010"/>
    <w:rsid w:val="00B122B4"/>
    <w:rsid w:val="00B12332"/>
    <w:rsid w:val="00B123C7"/>
    <w:rsid w:val="00B1260E"/>
    <w:rsid w:val="00B12C93"/>
    <w:rsid w:val="00B12D81"/>
    <w:rsid w:val="00B12FD1"/>
    <w:rsid w:val="00B13CE6"/>
    <w:rsid w:val="00B13D46"/>
    <w:rsid w:val="00B1447F"/>
    <w:rsid w:val="00B14832"/>
    <w:rsid w:val="00B14AE3"/>
    <w:rsid w:val="00B159F4"/>
    <w:rsid w:val="00B15C29"/>
    <w:rsid w:val="00B16F31"/>
    <w:rsid w:val="00B176D6"/>
    <w:rsid w:val="00B179FF"/>
    <w:rsid w:val="00B17B6E"/>
    <w:rsid w:val="00B17E23"/>
    <w:rsid w:val="00B20007"/>
    <w:rsid w:val="00B20102"/>
    <w:rsid w:val="00B20291"/>
    <w:rsid w:val="00B20638"/>
    <w:rsid w:val="00B20996"/>
    <w:rsid w:val="00B20C58"/>
    <w:rsid w:val="00B211CF"/>
    <w:rsid w:val="00B211FF"/>
    <w:rsid w:val="00B214A0"/>
    <w:rsid w:val="00B215A4"/>
    <w:rsid w:val="00B21A3D"/>
    <w:rsid w:val="00B21CBC"/>
    <w:rsid w:val="00B21F3C"/>
    <w:rsid w:val="00B2256A"/>
    <w:rsid w:val="00B22664"/>
    <w:rsid w:val="00B2273F"/>
    <w:rsid w:val="00B22AD0"/>
    <w:rsid w:val="00B23400"/>
    <w:rsid w:val="00B2409E"/>
    <w:rsid w:val="00B24436"/>
    <w:rsid w:val="00B2447C"/>
    <w:rsid w:val="00B2459D"/>
    <w:rsid w:val="00B245FA"/>
    <w:rsid w:val="00B2472F"/>
    <w:rsid w:val="00B249EE"/>
    <w:rsid w:val="00B24D7D"/>
    <w:rsid w:val="00B24FC9"/>
    <w:rsid w:val="00B2528D"/>
    <w:rsid w:val="00B253AD"/>
    <w:rsid w:val="00B25C12"/>
    <w:rsid w:val="00B25E01"/>
    <w:rsid w:val="00B25E63"/>
    <w:rsid w:val="00B264F8"/>
    <w:rsid w:val="00B26A01"/>
    <w:rsid w:val="00B27691"/>
    <w:rsid w:val="00B27843"/>
    <w:rsid w:val="00B300A6"/>
    <w:rsid w:val="00B30221"/>
    <w:rsid w:val="00B303A3"/>
    <w:rsid w:val="00B30749"/>
    <w:rsid w:val="00B307B3"/>
    <w:rsid w:val="00B30CF4"/>
    <w:rsid w:val="00B30D1F"/>
    <w:rsid w:val="00B316FE"/>
    <w:rsid w:val="00B31A20"/>
    <w:rsid w:val="00B31F01"/>
    <w:rsid w:val="00B31F04"/>
    <w:rsid w:val="00B32239"/>
    <w:rsid w:val="00B323E1"/>
    <w:rsid w:val="00B328EC"/>
    <w:rsid w:val="00B32F22"/>
    <w:rsid w:val="00B33113"/>
    <w:rsid w:val="00B3359A"/>
    <w:rsid w:val="00B33AF7"/>
    <w:rsid w:val="00B33CDD"/>
    <w:rsid w:val="00B345B4"/>
    <w:rsid w:val="00B34659"/>
    <w:rsid w:val="00B34830"/>
    <w:rsid w:val="00B34B30"/>
    <w:rsid w:val="00B34DEC"/>
    <w:rsid w:val="00B35048"/>
    <w:rsid w:val="00B352D0"/>
    <w:rsid w:val="00B35625"/>
    <w:rsid w:val="00B35B79"/>
    <w:rsid w:val="00B35D37"/>
    <w:rsid w:val="00B36018"/>
    <w:rsid w:val="00B365C8"/>
    <w:rsid w:val="00B37EA3"/>
    <w:rsid w:val="00B40642"/>
    <w:rsid w:val="00B40C18"/>
    <w:rsid w:val="00B40D8C"/>
    <w:rsid w:val="00B410C2"/>
    <w:rsid w:val="00B416B7"/>
    <w:rsid w:val="00B41972"/>
    <w:rsid w:val="00B41BA6"/>
    <w:rsid w:val="00B4298D"/>
    <w:rsid w:val="00B42A1A"/>
    <w:rsid w:val="00B42AB3"/>
    <w:rsid w:val="00B42EB9"/>
    <w:rsid w:val="00B42ECE"/>
    <w:rsid w:val="00B42ED3"/>
    <w:rsid w:val="00B4332D"/>
    <w:rsid w:val="00B436DD"/>
    <w:rsid w:val="00B4382C"/>
    <w:rsid w:val="00B43D6F"/>
    <w:rsid w:val="00B43F0B"/>
    <w:rsid w:val="00B4436E"/>
    <w:rsid w:val="00B44472"/>
    <w:rsid w:val="00B44D25"/>
    <w:rsid w:val="00B44FB4"/>
    <w:rsid w:val="00B45261"/>
    <w:rsid w:val="00B4542E"/>
    <w:rsid w:val="00B45BAE"/>
    <w:rsid w:val="00B46015"/>
    <w:rsid w:val="00B463C0"/>
    <w:rsid w:val="00B4647B"/>
    <w:rsid w:val="00B469CF"/>
    <w:rsid w:val="00B46A7F"/>
    <w:rsid w:val="00B46C70"/>
    <w:rsid w:val="00B474C5"/>
    <w:rsid w:val="00B47585"/>
    <w:rsid w:val="00B475D0"/>
    <w:rsid w:val="00B50360"/>
    <w:rsid w:val="00B504BE"/>
    <w:rsid w:val="00B51CCB"/>
    <w:rsid w:val="00B51DC9"/>
    <w:rsid w:val="00B52031"/>
    <w:rsid w:val="00B52146"/>
    <w:rsid w:val="00B52354"/>
    <w:rsid w:val="00B5275C"/>
    <w:rsid w:val="00B52851"/>
    <w:rsid w:val="00B528A4"/>
    <w:rsid w:val="00B52E6B"/>
    <w:rsid w:val="00B530CC"/>
    <w:rsid w:val="00B54208"/>
    <w:rsid w:val="00B5424E"/>
    <w:rsid w:val="00B542FC"/>
    <w:rsid w:val="00B54B37"/>
    <w:rsid w:val="00B54CC2"/>
    <w:rsid w:val="00B54F7F"/>
    <w:rsid w:val="00B54FE7"/>
    <w:rsid w:val="00B555C6"/>
    <w:rsid w:val="00B5571D"/>
    <w:rsid w:val="00B56272"/>
    <w:rsid w:val="00B562F3"/>
    <w:rsid w:val="00B56744"/>
    <w:rsid w:val="00B56942"/>
    <w:rsid w:val="00B56E56"/>
    <w:rsid w:val="00B56F0C"/>
    <w:rsid w:val="00B572B0"/>
    <w:rsid w:val="00B57368"/>
    <w:rsid w:val="00B5777C"/>
    <w:rsid w:val="00B57971"/>
    <w:rsid w:val="00B57C53"/>
    <w:rsid w:val="00B57EF6"/>
    <w:rsid w:val="00B600FA"/>
    <w:rsid w:val="00B60161"/>
    <w:rsid w:val="00B6091C"/>
    <w:rsid w:val="00B60FB8"/>
    <w:rsid w:val="00B618E6"/>
    <w:rsid w:val="00B61BA5"/>
    <w:rsid w:val="00B61D1E"/>
    <w:rsid w:val="00B620E3"/>
    <w:rsid w:val="00B6210D"/>
    <w:rsid w:val="00B6288E"/>
    <w:rsid w:val="00B62D1C"/>
    <w:rsid w:val="00B62D28"/>
    <w:rsid w:val="00B63989"/>
    <w:rsid w:val="00B63E29"/>
    <w:rsid w:val="00B63E51"/>
    <w:rsid w:val="00B6400F"/>
    <w:rsid w:val="00B64157"/>
    <w:rsid w:val="00B64CF9"/>
    <w:rsid w:val="00B64F26"/>
    <w:rsid w:val="00B65528"/>
    <w:rsid w:val="00B65CDE"/>
    <w:rsid w:val="00B65F13"/>
    <w:rsid w:val="00B65F9A"/>
    <w:rsid w:val="00B66039"/>
    <w:rsid w:val="00B66089"/>
    <w:rsid w:val="00B6652B"/>
    <w:rsid w:val="00B66A89"/>
    <w:rsid w:val="00B66FEB"/>
    <w:rsid w:val="00B671EC"/>
    <w:rsid w:val="00B673DB"/>
    <w:rsid w:val="00B67457"/>
    <w:rsid w:val="00B679D7"/>
    <w:rsid w:val="00B67AE0"/>
    <w:rsid w:val="00B67D5A"/>
    <w:rsid w:val="00B704BB"/>
    <w:rsid w:val="00B705B4"/>
    <w:rsid w:val="00B705B9"/>
    <w:rsid w:val="00B70C3E"/>
    <w:rsid w:val="00B70E56"/>
    <w:rsid w:val="00B71057"/>
    <w:rsid w:val="00B71084"/>
    <w:rsid w:val="00B710ED"/>
    <w:rsid w:val="00B71984"/>
    <w:rsid w:val="00B71B4C"/>
    <w:rsid w:val="00B71EA7"/>
    <w:rsid w:val="00B71F83"/>
    <w:rsid w:val="00B729A5"/>
    <w:rsid w:val="00B72BFB"/>
    <w:rsid w:val="00B73052"/>
    <w:rsid w:val="00B732F0"/>
    <w:rsid w:val="00B73370"/>
    <w:rsid w:val="00B7344E"/>
    <w:rsid w:val="00B73AAC"/>
    <w:rsid w:val="00B73AD2"/>
    <w:rsid w:val="00B73B0C"/>
    <w:rsid w:val="00B73BA4"/>
    <w:rsid w:val="00B74114"/>
    <w:rsid w:val="00B7425F"/>
    <w:rsid w:val="00B742B1"/>
    <w:rsid w:val="00B742F2"/>
    <w:rsid w:val="00B74764"/>
    <w:rsid w:val="00B74A4E"/>
    <w:rsid w:val="00B74B38"/>
    <w:rsid w:val="00B74C15"/>
    <w:rsid w:val="00B74C5E"/>
    <w:rsid w:val="00B7514C"/>
    <w:rsid w:val="00B7526A"/>
    <w:rsid w:val="00B753EF"/>
    <w:rsid w:val="00B7549C"/>
    <w:rsid w:val="00B754BD"/>
    <w:rsid w:val="00B76096"/>
    <w:rsid w:val="00B76227"/>
    <w:rsid w:val="00B763E0"/>
    <w:rsid w:val="00B7659C"/>
    <w:rsid w:val="00B770F5"/>
    <w:rsid w:val="00B773C7"/>
    <w:rsid w:val="00B77788"/>
    <w:rsid w:val="00B77A45"/>
    <w:rsid w:val="00B77AC0"/>
    <w:rsid w:val="00B801E0"/>
    <w:rsid w:val="00B80A41"/>
    <w:rsid w:val="00B80BC8"/>
    <w:rsid w:val="00B80E0E"/>
    <w:rsid w:val="00B810A5"/>
    <w:rsid w:val="00B81131"/>
    <w:rsid w:val="00B81134"/>
    <w:rsid w:val="00B81620"/>
    <w:rsid w:val="00B81DAA"/>
    <w:rsid w:val="00B82A60"/>
    <w:rsid w:val="00B82EBD"/>
    <w:rsid w:val="00B83A23"/>
    <w:rsid w:val="00B83C70"/>
    <w:rsid w:val="00B840B2"/>
    <w:rsid w:val="00B842B0"/>
    <w:rsid w:val="00B84953"/>
    <w:rsid w:val="00B84963"/>
    <w:rsid w:val="00B84B4B"/>
    <w:rsid w:val="00B84E42"/>
    <w:rsid w:val="00B85149"/>
    <w:rsid w:val="00B8591F"/>
    <w:rsid w:val="00B85AE3"/>
    <w:rsid w:val="00B85E66"/>
    <w:rsid w:val="00B90081"/>
    <w:rsid w:val="00B903BC"/>
    <w:rsid w:val="00B910EC"/>
    <w:rsid w:val="00B91A04"/>
    <w:rsid w:val="00B924CC"/>
    <w:rsid w:val="00B92962"/>
    <w:rsid w:val="00B92F82"/>
    <w:rsid w:val="00B9337C"/>
    <w:rsid w:val="00B93CE8"/>
    <w:rsid w:val="00B940C3"/>
    <w:rsid w:val="00B94724"/>
    <w:rsid w:val="00B94A7C"/>
    <w:rsid w:val="00B94B9D"/>
    <w:rsid w:val="00B94BF9"/>
    <w:rsid w:val="00B94C41"/>
    <w:rsid w:val="00B94CD2"/>
    <w:rsid w:val="00B94FC0"/>
    <w:rsid w:val="00B950BA"/>
    <w:rsid w:val="00B95467"/>
    <w:rsid w:val="00B955CB"/>
    <w:rsid w:val="00B95C3F"/>
    <w:rsid w:val="00B95C88"/>
    <w:rsid w:val="00B95E1C"/>
    <w:rsid w:val="00B95F27"/>
    <w:rsid w:val="00B96370"/>
    <w:rsid w:val="00B96979"/>
    <w:rsid w:val="00B96CB3"/>
    <w:rsid w:val="00B96E46"/>
    <w:rsid w:val="00B96EA1"/>
    <w:rsid w:val="00B9702E"/>
    <w:rsid w:val="00B977ED"/>
    <w:rsid w:val="00B979DC"/>
    <w:rsid w:val="00B97DE8"/>
    <w:rsid w:val="00BA0683"/>
    <w:rsid w:val="00BA0B0C"/>
    <w:rsid w:val="00BA0D87"/>
    <w:rsid w:val="00BA1644"/>
    <w:rsid w:val="00BA17BC"/>
    <w:rsid w:val="00BA1807"/>
    <w:rsid w:val="00BA1ADB"/>
    <w:rsid w:val="00BA29BD"/>
    <w:rsid w:val="00BA2DA2"/>
    <w:rsid w:val="00BA2E1F"/>
    <w:rsid w:val="00BA30F2"/>
    <w:rsid w:val="00BA32ED"/>
    <w:rsid w:val="00BA349F"/>
    <w:rsid w:val="00BA3636"/>
    <w:rsid w:val="00BA3750"/>
    <w:rsid w:val="00BA39CD"/>
    <w:rsid w:val="00BA4298"/>
    <w:rsid w:val="00BA4B41"/>
    <w:rsid w:val="00BA5704"/>
    <w:rsid w:val="00BA59CE"/>
    <w:rsid w:val="00BA5A6E"/>
    <w:rsid w:val="00BA5C30"/>
    <w:rsid w:val="00BA5DA9"/>
    <w:rsid w:val="00BA665A"/>
    <w:rsid w:val="00BA6E44"/>
    <w:rsid w:val="00BA7AD5"/>
    <w:rsid w:val="00BA7C04"/>
    <w:rsid w:val="00BA7F41"/>
    <w:rsid w:val="00BA7FD7"/>
    <w:rsid w:val="00BB004D"/>
    <w:rsid w:val="00BB0085"/>
    <w:rsid w:val="00BB03E4"/>
    <w:rsid w:val="00BB1325"/>
    <w:rsid w:val="00BB16F8"/>
    <w:rsid w:val="00BB1717"/>
    <w:rsid w:val="00BB1874"/>
    <w:rsid w:val="00BB193D"/>
    <w:rsid w:val="00BB1B00"/>
    <w:rsid w:val="00BB1C36"/>
    <w:rsid w:val="00BB202A"/>
    <w:rsid w:val="00BB23F9"/>
    <w:rsid w:val="00BB2481"/>
    <w:rsid w:val="00BB25A0"/>
    <w:rsid w:val="00BB26D7"/>
    <w:rsid w:val="00BB299C"/>
    <w:rsid w:val="00BB29B7"/>
    <w:rsid w:val="00BB2E73"/>
    <w:rsid w:val="00BB3179"/>
    <w:rsid w:val="00BB318D"/>
    <w:rsid w:val="00BB3AB8"/>
    <w:rsid w:val="00BB4120"/>
    <w:rsid w:val="00BB418E"/>
    <w:rsid w:val="00BB428B"/>
    <w:rsid w:val="00BB42D9"/>
    <w:rsid w:val="00BB49AE"/>
    <w:rsid w:val="00BB49B5"/>
    <w:rsid w:val="00BB4BA9"/>
    <w:rsid w:val="00BB4F11"/>
    <w:rsid w:val="00BB52C5"/>
    <w:rsid w:val="00BB5A2E"/>
    <w:rsid w:val="00BB64C1"/>
    <w:rsid w:val="00BB6885"/>
    <w:rsid w:val="00BB6898"/>
    <w:rsid w:val="00BB6E5F"/>
    <w:rsid w:val="00BB762B"/>
    <w:rsid w:val="00BB7B62"/>
    <w:rsid w:val="00BC013B"/>
    <w:rsid w:val="00BC0E34"/>
    <w:rsid w:val="00BC10A1"/>
    <w:rsid w:val="00BC1572"/>
    <w:rsid w:val="00BC1854"/>
    <w:rsid w:val="00BC20AE"/>
    <w:rsid w:val="00BC2546"/>
    <w:rsid w:val="00BC291B"/>
    <w:rsid w:val="00BC2DB8"/>
    <w:rsid w:val="00BC324F"/>
    <w:rsid w:val="00BC3397"/>
    <w:rsid w:val="00BC33FB"/>
    <w:rsid w:val="00BC3524"/>
    <w:rsid w:val="00BC372C"/>
    <w:rsid w:val="00BC383B"/>
    <w:rsid w:val="00BC3863"/>
    <w:rsid w:val="00BC40F7"/>
    <w:rsid w:val="00BC4D7E"/>
    <w:rsid w:val="00BC4EF3"/>
    <w:rsid w:val="00BC576B"/>
    <w:rsid w:val="00BC5D7A"/>
    <w:rsid w:val="00BC5FB0"/>
    <w:rsid w:val="00BC6216"/>
    <w:rsid w:val="00BC6673"/>
    <w:rsid w:val="00BC681D"/>
    <w:rsid w:val="00BC6AEF"/>
    <w:rsid w:val="00BC72BF"/>
    <w:rsid w:val="00BC744D"/>
    <w:rsid w:val="00BD0106"/>
    <w:rsid w:val="00BD04D6"/>
    <w:rsid w:val="00BD08AB"/>
    <w:rsid w:val="00BD0A0B"/>
    <w:rsid w:val="00BD0CD9"/>
    <w:rsid w:val="00BD0D70"/>
    <w:rsid w:val="00BD0DAD"/>
    <w:rsid w:val="00BD13EE"/>
    <w:rsid w:val="00BD1B39"/>
    <w:rsid w:val="00BD1BA9"/>
    <w:rsid w:val="00BD25CC"/>
    <w:rsid w:val="00BD28A2"/>
    <w:rsid w:val="00BD3137"/>
    <w:rsid w:val="00BD314E"/>
    <w:rsid w:val="00BD4075"/>
    <w:rsid w:val="00BD4100"/>
    <w:rsid w:val="00BD4332"/>
    <w:rsid w:val="00BD4BD6"/>
    <w:rsid w:val="00BD610B"/>
    <w:rsid w:val="00BD62FA"/>
    <w:rsid w:val="00BD650A"/>
    <w:rsid w:val="00BD66C2"/>
    <w:rsid w:val="00BD6C3F"/>
    <w:rsid w:val="00BD7828"/>
    <w:rsid w:val="00BD7956"/>
    <w:rsid w:val="00BE0E75"/>
    <w:rsid w:val="00BE1272"/>
    <w:rsid w:val="00BE1346"/>
    <w:rsid w:val="00BE18BE"/>
    <w:rsid w:val="00BE1C5B"/>
    <w:rsid w:val="00BE1E59"/>
    <w:rsid w:val="00BE2004"/>
    <w:rsid w:val="00BE2098"/>
    <w:rsid w:val="00BE2175"/>
    <w:rsid w:val="00BE2280"/>
    <w:rsid w:val="00BE3036"/>
    <w:rsid w:val="00BE352C"/>
    <w:rsid w:val="00BE370A"/>
    <w:rsid w:val="00BE3FF3"/>
    <w:rsid w:val="00BE4258"/>
    <w:rsid w:val="00BE49E5"/>
    <w:rsid w:val="00BE532D"/>
    <w:rsid w:val="00BE5689"/>
    <w:rsid w:val="00BE5775"/>
    <w:rsid w:val="00BE5D9E"/>
    <w:rsid w:val="00BE5F0A"/>
    <w:rsid w:val="00BE6028"/>
    <w:rsid w:val="00BE60FB"/>
    <w:rsid w:val="00BE6465"/>
    <w:rsid w:val="00BE6680"/>
    <w:rsid w:val="00BE66AE"/>
    <w:rsid w:val="00BE6926"/>
    <w:rsid w:val="00BE7038"/>
    <w:rsid w:val="00BE733D"/>
    <w:rsid w:val="00BE7485"/>
    <w:rsid w:val="00BE7797"/>
    <w:rsid w:val="00BE7877"/>
    <w:rsid w:val="00BE78EF"/>
    <w:rsid w:val="00BE7A80"/>
    <w:rsid w:val="00BE7B5B"/>
    <w:rsid w:val="00BE7C18"/>
    <w:rsid w:val="00BE7EB5"/>
    <w:rsid w:val="00BE7F02"/>
    <w:rsid w:val="00BF0381"/>
    <w:rsid w:val="00BF047C"/>
    <w:rsid w:val="00BF08A3"/>
    <w:rsid w:val="00BF0C07"/>
    <w:rsid w:val="00BF1002"/>
    <w:rsid w:val="00BF1324"/>
    <w:rsid w:val="00BF2154"/>
    <w:rsid w:val="00BF2BD9"/>
    <w:rsid w:val="00BF31BF"/>
    <w:rsid w:val="00BF33ED"/>
    <w:rsid w:val="00BF35BD"/>
    <w:rsid w:val="00BF374B"/>
    <w:rsid w:val="00BF404E"/>
    <w:rsid w:val="00BF4084"/>
    <w:rsid w:val="00BF4CBB"/>
    <w:rsid w:val="00BF51AB"/>
    <w:rsid w:val="00BF51BE"/>
    <w:rsid w:val="00BF5806"/>
    <w:rsid w:val="00BF581A"/>
    <w:rsid w:val="00BF58D8"/>
    <w:rsid w:val="00BF5A6B"/>
    <w:rsid w:val="00BF5EF6"/>
    <w:rsid w:val="00BF6988"/>
    <w:rsid w:val="00BF6A1D"/>
    <w:rsid w:val="00BF6B41"/>
    <w:rsid w:val="00BF6B42"/>
    <w:rsid w:val="00BF6DC9"/>
    <w:rsid w:val="00BF7796"/>
    <w:rsid w:val="00BF7BA2"/>
    <w:rsid w:val="00BF7C0A"/>
    <w:rsid w:val="00BF7E7A"/>
    <w:rsid w:val="00C0008B"/>
    <w:rsid w:val="00C00227"/>
    <w:rsid w:val="00C008B9"/>
    <w:rsid w:val="00C00CE1"/>
    <w:rsid w:val="00C0140B"/>
    <w:rsid w:val="00C01B91"/>
    <w:rsid w:val="00C01BBD"/>
    <w:rsid w:val="00C0236A"/>
    <w:rsid w:val="00C028FA"/>
    <w:rsid w:val="00C02E42"/>
    <w:rsid w:val="00C03333"/>
    <w:rsid w:val="00C03532"/>
    <w:rsid w:val="00C0395B"/>
    <w:rsid w:val="00C03D64"/>
    <w:rsid w:val="00C040E8"/>
    <w:rsid w:val="00C0411B"/>
    <w:rsid w:val="00C04756"/>
    <w:rsid w:val="00C048D8"/>
    <w:rsid w:val="00C04EC3"/>
    <w:rsid w:val="00C053C6"/>
    <w:rsid w:val="00C057B4"/>
    <w:rsid w:val="00C05AE1"/>
    <w:rsid w:val="00C05C74"/>
    <w:rsid w:val="00C06672"/>
    <w:rsid w:val="00C06F4C"/>
    <w:rsid w:val="00C07092"/>
    <w:rsid w:val="00C073C5"/>
    <w:rsid w:val="00C100BC"/>
    <w:rsid w:val="00C107CB"/>
    <w:rsid w:val="00C10D2C"/>
    <w:rsid w:val="00C10F53"/>
    <w:rsid w:val="00C11056"/>
    <w:rsid w:val="00C11697"/>
    <w:rsid w:val="00C117B3"/>
    <w:rsid w:val="00C11E4B"/>
    <w:rsid w:val="00C12067"/>
    <w:rsid w:val="00C12209"/>
    <w:rsid w:val="00C12EE1"/>
    <w:rsid w:val="00C13241"/>
    <w:rsid w:val="00C134FC"/>
    <w:rsid w:val="00C13AF2"/>
    <w:rsid w:val="00C13C73"/>
    <w:rsid w:val="00C13E1C"/>
    <w:rsid w:val="00C140AB"/>
    <w:rsid w:val="00C14187"/>
    <w:rsid w:val="00C14299"/>
    <w:rsid w:val="00C14460"/>
    <w:rsid w:val="00C147F9"/>
    <w:rsid w:val="00C14A1A"/>
    <w:rsid w:val="00C15BBB"/>
    <w:rsid w:val="00C15D1B"/>
    <w:rsid w:val="00C15DBF"/>
    <w:rsid w:val="00C15E8F"/>
    <w:rsid w:val="00C15F81"/>
    <w:rsid w:val="00C1645C"/>
    <w:rsid w:val="00C16972"/>
    <w:rsid w:val="00C17936"/>
    <w:rsid w:val="00C17C21"/>
    <w:rsid w:val="00C17D85"/>
    <w:rsid w:val="00C20530"/>
    <w:rsid w:val="00C207FC"/>
    <w:rsid w:val="00C20880"/>
    <w:rsid w:val="00C209D1"/>
    <w:rsid w:val="00C21533"/>
    <w:rsid w:val="00C216AC"/>
    <w:rsid w:val="00C21B12"/>
    <w:rsid w:val="00C21BB7"/>
    <w:rsid w:val="00C21D4A"/>
    <w:rsid w:val="00C21D69"/>
    <w:rsid w:val="00C22104"/>
    <w:rsid w:val="00C222E4"/>
    <w:rsid w:val="00C22304"/>
    <w:rsid w:val="00C2240B"/>
    <w:rsid w:val="00C22CD4"/>
    <w:rsid w:val="00C23582"/>
    <w:rsid w:val="00C23584"/>
    <w:rsid w:val="00C23FEA"/>
    <w:rsid w:val="00C244EC"/>
    <w:rsid w:val="00C247E1"/>
    <w:rsid w:val="00C24D00"/>
    <w:rsid w:val="00C251E2"/>
    <w:rsid w:val="00C257C5"/>
    <w:rsid w:val="00C25954"/>
    <w:rsid w:val="00C2672E"/>
    <w:rsid w:val="00C26A7D"/>
    <w:rsid w:val="00C26D64"/>
    <w:rsid w:val="00C26EFA"/>
    <w:rsid w:val="00C27C4D"/>
    <w:rsid w:val="00C30461"/>
    <w:rsid w:val="00C3075D"/>
    <w:rsid w:val="00C3080A"/>
    <w:rsid w:val="00C30B18"/>
    <w:rsid w:val="00C311FF"/>
    <w:rsid w:val="00C31435"/>
    <w:rsid w:val="00C31B8D"/>
    <w:rsid w:val="00C3234A"/>
    <w:rsid w:val="00C327C6"/>
    <w:rsid w:val="00C32825"/>
    <w:rsid w:val="00C32B7C"/>
    <w:rsid w:val="00C32D0A"/>
    <w:rsid w:val="00C33384"/>
    <w:rsid w:val="00C333AC"/>
    <w:rsid w:val="00C336D8"/>
    <w:rsid w:val="00C338BC"/>
    <w:rsid w:val="00C33984"/>
    <w:rsid w:val="00C339EA"/>
    <w:rsid w:val="00C342CC"/>
    <w:rsid w:val="00C3464A"/>
    <w:rsid w:val="00C34864"/>
    <w:rsid w:val="00C34B2E"/>
    <w:rsid w:val="00C34D96"/>
    <w:rsid w:val="00C3534C"/>
    <w:rsid w:val="00C354A1"/>
    <w:rsid w:val="00C35E4C"/>
    <w:rsid w:val="00C36196"/>
    <w:rsid w:val="00C364AA"/>
    <w:rsid w:val="00C369FA"/>
    <w:rsid w:val="00C37551"/>
    <w:rsid w:val="00C37956"/>
    <w:rsid w:val="00C37BE3"/>
    <w:rsid w:val="00C37F4A"/>
    <w:rsid w:val="00C403F0"/>
    <w:rsid w:val="00C40522"/>
    <w:rsid w:val="00C408A1"/>
    <w:rsid w:val="00C4093E"/>
    <w:rsid w:val="00C409DE"/>
    <w:rsid w:val="00C40A8B"/>
    <w:rsid w:val="00C40B9F"/>
    <w:rsid w:val="00C40CF7"/>
    <w:rsid w:val="00C41268"/>
    <w:rsid w:val="00C413E8"/>
    <w:rsid w:val="00C413FA"/>
    <w:rsid w:val="00C41636"/>
    <w:rsid w:val="00C41998"/>
    <w:rsid w:val="00C41A3A"/>
    <w:rsid w:val="00C41BB2"/>
    <w:rsid w:val="00C4200D"/>
    <w:rsid w:val="00C4272B"/>
    <w:rsid w:val="00C42813"/>
    <w:rsid w:val="00C42820"/>
    <w:rsid w:val="00C428C1"/>
    <w:rsid w:val="00C43059"/>
    <w:rsid w:val="00C4355E"/>
    <w:rsid w:val="00C4360B"/>
    <w:rsid w:val="00C438A3"/>
    <w:rsid w:val="00C43BEF"/>
    <w:rsid w:val="00C4423C"/>
    <w:rsid w:val="00C44376"/>
    <w:rsid w:val="00C44758"/>
    <w:rsid w:val="00C4566A"/>
    <w:rsid w:val="00C462B5"/>
    <w:rsid w:val="00C463B4"/>
    <w:rsid w:val="00C464E1"/>
    <w:rsid w:val="00C46727"/>
    <w:rsid w:val="00C46A75"/>
    <w:rsid w:val="00C46F30"/>
    <w:rsid w:val="00C4723D"/>
    <w:rsid w:val="00C47377"/>
    <w:rsid w:val="00C47884"/>
    <w:rsid w:val="00C47926"/>
    <w:rsid w:val="00C479E2"/>
    <w:rsid w:val="00C47B4B"/>
    <w:rsid w:val="00C47CC2"/>
    <w:rsid w:val="00C5002C"/>
    <w:rsid w:val="00C500BC"/>
    <w:rsid w:val="00C5064B"/>
    <w:rsid w:val="00C50B36"/>
    <w:rsid w:val="00C50E21"/>
    <w:rsid w:val="00C5131C"/>
    <w:rsid w:val="00C519A1"/>
    <w:rsid w:val="00C51CB5"/>
    <w:rsid w:val="00C52083"/>
    <w:rsid w:val="00C52540"/>
    <w:rsid w:val="00C525D2"/>
    <w:rsid w:val="00C529B0"/>
    <w:rsid w:val="00C52D2F"/>
    <w:rsid w:val="00C536A9"/>
    <w:rsid w:val="00C53CE6"/>
    <w:rsid w:val="00C54152"/>
    <w:rsid w:val="00C541C9"/>
    <w:rsid w:val="00C547DE"/>
    <w:rsid w:val="00C54AC3"/>
    <w:rsid w:val="00C55B7E"/>
    <w:rsid w:val="00C55D24"/>
    <w:rsid w:val="00C56054"/>
    <w:rsid w:val="00C566F8"/>
    <w:rsid w:val="00C5684D"/>
    <w:rsid w:val="00C56D41"/>
    <w:rsid w:val="00C57742"/>
    <w:rsid w:val="00C5792A"/>
    <w:rsid w:val="00C57C7D"/>
    <w:rsid w:val="00C57C88"/>
    <w:rsid w:val="00C60545"/>
    <w:rsid w:val="00C60A2C"/>
    <w:rsid w:val="00C612D6"/>
    <w:rsid w:val="00C615F2"/>
    <w:rsid w:val="00C619A5"/>
    <w:rsid w:val="00C61C54"/>
    <w:rsid w:val="00C61DBA"/>
    <w:rsid w:val="00C6203C"/>
    <w:rsid w:val="00C620F8"/>
    <w:rsid w:val="00C62175"/>
    <w:rsid w:val="00C623C3"/>
    <w:rsid w:val="00C62BD1"/>
    <w:rsid w:val="00C62D44"/>
    <w:rsid w:val="00C63419"/>
    <w:rsid w:val="00C63671"/>
    <w:rsid w:val="00C63B6F"/>
    <w:rsid w:val="00C63D68"/>
    <w:rsid w:val="00C6436F"/>
    <w:rsid w:val="00C6483F"/>
    <w:rsid w:val="00C648D4"/>
    <w:rsid w:val="00C64C5F"/>
    <w:rsid w:val="00C651B4"/>
    <w:rsid w:val="00C6534D"/>
    <w:rsid w:val="00C65467"/>
    <w:rsid w:val="00C654D1"/>
    <w:rsid w:val="00C6610E"/>
    <w:rsid w:val="00C66D49"/>
    <w:rsid w:val="00C675C7"/>
    <w:rsid w:val="00C67668"/>
    <w:rsid w:val="00C6795C"/>
    <w:rsid w:val="00C67A76"/>
    <w:rsid w:val="00C67F66"/>
    <w:rsid w:val="00C67FB6"/>
    <w:rsid w:val="00C7013C"/>
    <w:rsid w:val="00C70503"/>
    <w:rsid w:val="00C70B12"/>
    <w:rsid w:val="00C70BBD"/>
    <w:rsid w:val="00C70D0E"/>
    <w:rsid w:val="00C70F45"/>
    <w:rsid w:val="00C71105"/>
    <w:rsid w:val="00C71661"/>
    <w:rsid w:val="00C71829"/>
    <w:rsid w:val="00C71A45"/>
    <w:rsid w:val="00C720FA"/>
    <w:rsid w:val="00C7219C"/>
    <w:rsid w:val="00C72336"/>
    <w:rsid w:val="00C72CF2"/>
    <w:rsid w:val="00C72D67"/>
    <w:rsid w:val="00C73570"/>
    <w:rsid w:val="00C7396A"/>
    <w:rsid w:val="00C73AB4"/>
    <w:rsid w:val="00C73E67"/>
    <w:rsid w:val="00C7450D"/>
    <w:rsid w:val="00C7457D"/>
    <w:rsid w:val="00C747C8"/>
    <w:rsid w:val="00C74885"/>
    <w:rsid w:val="00C74927"/>
    <w:rsid w:val="00C74C1A"/>
    <w:rsid w:val="00C754E8"/>
    <w:rsid w:val="00C757FE"/>
    <w:rsid w:val="00C75CA0"/>
    <w:rsid w:val="00C76119"/>
    <w:rsid w:val="00C76A99"/>
    <w:rsid w:val="00C76B4F"/>
    <w:rsid w:val="00C76E45"/>
    <w:rsid w:val="00C773C5"/>
    <w:rsid w:val="00C773D8"/>
    <w:rsid w:val="00C7775E"/>
    <w:rsid w:val="00C77E9B"/>
    <w:rsid w:val="00C800FC"/>
    <w:rsid w:val="00C803CB"/>
    <w:rsid w:val="00C80F2E"/>
    <w:rsid w:val="00C81194"/>
    <w:rsid w:val="00C81274"/>
    <w:rsid w:val="00C81294"/>
    <w:rsid w:val="00C812D2"/>
    <w:rsid w:val="00C81627"/>
    <w:rsid w:val="00C8204F"/>
    <w:rsid w:val="00C8250D"/>
    <w:rsid w:val="00C82513"/>
    <w:rsid w:val="00C82731"/>
    <w:rsid w:val="00C828FF"/>
    <w:rsid w:val="00C82A85"/>
    <w:rsid w:val="00C82F5F"/>
    <w:rsid w:val="00C83271"/>
    <w:rsid w:val="00C83DDB"/>
    <w:rsid w:val="00C84334"/>
    <w:rsid w:val="00C844C2"/>
    <w:rsid w:val="00C8488C"/>
    <w:rsid w:val="00C848AC"/>
    <w:rsid w:val="00C85023"/>
    <w:rsid w:val="00C8551D"/>
    <w:rsid w:val="00C855DD"/>
    <w:rsid w:val="00C8585C"/>
    <w:rsid w:val="00C85D9C"/>
    <w:rsid w:val="00C86401"/>
    <w:rsid w:val="00C86F26"/>
    <w:rsid w:val="00C8708C"/>
    <w:rsid w:val="00C87AD8"/>
    <w:rsid w:val="00C87DB0"/>
    <w:rsid w:val="00C902A5"/>
    <w:rsid w:val="00C902E6"/>
    <w:rsid w:val="00C909E3"/>
    <w:rsid w:val="00C90EBC"/>
    <w:rsid w:val="00C915EB"/>
    <w:rsid w:val="00C91811"/>
    <w:rsid w:val="00C918EF"/>
    <w:rsid w:val="00C919D3"/>
    <w:rsid w:val="00C91C6B"/>
    <w:rsid w:val="00C92412"/>
    <w:rsid w:val="00C9248E"/>
    <w:rsid w:val="00C9254E"/>
    <w:rsid w:val="00C92B66"/>
    <w:rsid w:val="00C92C49"/>
    <w:rsid w:val="00C92E06"/>
    <w:rsid w:val="00C931F9"/>
    <w:rsid w:val="00C93831"/>
    <w:rsid w:val="00C93EE9"/>
    <w:rsid w:val="00C94378"/>
    <w:rsid w:val="00C947A3"/>
    <w:rsid w:val="00C9521A"/>
    <w:rsid w:val="00C95D4A"/>
    <w:rsid w:val="00C95DBD"/>
    <w:rsid w:val="00C9654B"/>
    <w:rsid w:val="00C966D3"/>
    <w:rsid w:val="00C96878"/>
    <w:rsid w:val="00C96C40"/>
    <w:rsid w:val="00C96D5A"/>
    <w:rsid w:val="00C97237"/>
    <w:rsid w:val="00C97AE6"/>
    <w:rsid w:val="00C97D01"/>
    <w:rsid w:val="00C97D4F"/>
    <w:rsid w:val="00CA040E"/>
    <w:rsid w:val="00CA1D6F"/>
    <w:rsid w:val="00CA1F46"/>
    <w:rsid w:val="00CA21A0"/>
    <w:rsid w:val="00CA2268"/>
    <w:rsid w:val="00CA2498"/>
    <w:rsid w:val="00CA25FB"/>
    <w:rsid w:val="00CA27DD"/>
    <w:rsid w:val="00CA3227"/>
    <w:rsid w:val="00CA32DE"/>
    <w:rsid w:val="00CA3491"/>
    <w:rsid w:val="00CA3CE4"/>
    <w:rsid w:val="00CA434C"/>
    <w:rsid w:val="00CA4495"/>
    <w:rsid w:val="00CA4774"/>
    <w:rsid w:val="00CA4C72"/>
    <w:rsid w:val="00CA4CBF"/>
    <w:rsid w:val="00CA4EF5"/>
    <w:rsid w:val="00CA503E"/>
    <w:rsid w:val="00CA5298"/>
    <w:rsid w:val="00CA552D"/>
    <w:rsid w:val="00CA615C"/>
    <w:rsid w:val="00CA6858"/>
    <w:rsid w:val="00CA6AC5"/>
    <w:rsid w:val="00CA7012"/>
    <w:rsid w:val="00CA7876"/>
    <w:rsid w:val="00CA7B30"/>
    <w:rsid w:val="00CA7BE0"/>
    <w:rsid w:val="00CA7E0C"/>
    <w:rsid w:val="00CA7E93"/>
    <w:rsid w:val="00CA7ECC"/>
    <w:rsid w:val="00CA7FAD"/>
    <w:rsid w:val="00CB0931"/>
    <w:rsid w:val="00CB1341"/>
    <w:rsid w:val="00CB1644"/>
    <w:rsid w:val="00CB24AD"/>
    <w:rsid w:val="00CB2AE8"/>
    <w:rsid w:val="00CB2B88"/>
    <w:rsid w:val="00CB2DE6"/>
    <w:rsid w:val="00CB37BF"/>
    <w:rsid w:val="00CB3822"/>
    <w:rsid w:val="00CB38F4"/>
    <w:rsid w:val="00CB3D7C"/>
    <w:rsid w:val="00CB438F"/>
    <w:rsid w:val="00CB4C07"/>
    <w:rsid w:val="00CB5115"/>
    <w:rsid w:val="00CB51D0"/>
    <w:rsid w:val="00CB55B6"/>
    <w:rsid w:val="00CB5CC9"/>
    <w:rsid w:val="00CB61E6"/>
    <w:rsid w:val="00CB67D9"/>
    <w:rsid w:val="00CB78B3"/>
    <w:rsid w:val="00CB7955"/>
    <w:rsid w:val="00CB7A29"/>
    <w:rsid w:val="00CB7B2B"/>
    <w:rsid w:val="00CB7E51"/>
    <w:rsid w:val="00CC0547"/>
    <w:rsid w:val="00CC1315"/>
    <w:rsid w:val="00CC13AC"/>
    <w:rsid w:val="00CC231B"/>
    <w:rsid w:val="00CC2543"/>
    <w:rsid w:val="00CC276D"/>
    <w:rsid w:val="00CC28C2"/>
    <w:rsid w:val="00CC29BD"/>
    <w:rsid w:val="00CC2A7A"/>
    <w:rsid w:val="00CC2B74"/>
    <w:rsid w:val="00CC2D04"/>
    <w:rsid w:val="00CC2F22"/>
    <w:rsid w:val="00CC3786"/>
    <w:rsid w:val="00CC3B6A"/>
    <w:rsid w:val="00CC3D6B"/>
    <w:rsid w:val="00CC40C9"/>
    <w:rsid w:val="00CC4545"/>
    <w:rsid w:val="00CC458C"/>
    <w:rsid w:val="00CC488B"/>
    <w:rsid w:val="00CC4BBF"/>
    <w:rsid w:val="00CC4DAE"/>
    <w:rsid w:val="00CC518B"/>
    <w:rsid w:val="00CC5710"/>
    <w:rsid w:val="00CC5913"/>
    <w:rsid w:val="00CC5A2A"/>
    <w:rsid w:val="00CC5B01"/>
    <w:rsid w:val="00CC686F"/>
    <w:rsid w:val="00CC6D5E"/>
    <w:rsid w:val="00CC6FDA"/>
    <w:rsid w:val="00CC7496"/>
    <w:rsid w:val="00CC78D6"/>
    <w:rsid w:val="00CD0404"/>
    <w:rsid w:val="00CD0522"/>
    <w:rsid w:val="00CD0541"/>
    <w:rsid w:val="00CD05D8"/>
    <w:rsid w:val="00CD1072"/>
    <w:rsid w:val="00CD1245"/>
    <w:rsid w:val="00CD1414"/>
    <w:rsid w:val="00CD1434"/>
    <w:rsid w:val="00CD14D4"/>
    <w:rsid w:val="00CD1714"/>
    <w:rsid w:val="00CD1BD1"/>
    <w:rsid w:val="00CD1ED9"/>
    <w:rsid w:val="00CD21B2"/>
    <w:rsid w:val="00CD265B"/>
    <w:rsid w:val="00CD312F"/>
    <w:rsid w:val="00CD42F3"/>
    <w:rsid w:val="00CD4508"/>
    <w:rsid w:val="00CD4DA6"/>
    <w:rsid w:val="00CD58A1"/>
    <w:rsid w:val="00CD5983"/>
    <w:rsid w:val="00CD6376"/>
    <w:rsid w:val="00CD64B2"/>
    <w:rsid w:val="00CD6CC6"/>
    <w:rsid w:val="00CD70EC"/>
    <w:rsid w:val="00CD70EF"/>
    <w:rsid w:val="00CD71D6"/>
    <w:rsid w:val="00CD71F0"/>
    <w:rsid w:val="00CD76FD"/>
    <w:rsid w:val="00CD7A2A"/>
    <w:rsid w:val="00CD7A35"/>
    <w:rsid w:val="00CD7B16"/>
    <w:rsid w:val="00CD7E7E"/>
    <w:rsid w:val="00CE013C"/>
    <w:rsid w:val="00CE0304"/>
    <w:rsid w:val="00CE050B"/>
    <w:rsid w:val="00CE05BE"/>
    <w:rsid w:val="00CE0ECB"/>
    <w:rsid w:val="00CE12FF"/>
    <w:rsid w:val="00CE18C8"/>
    <w:rsid w:val="00CE1930"/>
    <w:rsid w:val="00CE1AA4"/>
    <w:rsid w:val="00CE1C3D"/>
    <w:rsid w:val="00CE1D02"/>
    <w:rsid w:val="00CE1DB1"/>
    <w:rsid w:val="00CE1F9C"/>
    <w:rsid w:val="00CE20C7"/>
    <w:rsid w:val="00CE22EE"/>
    <w:rsid w:val="00CE26C7"/>
    <w:rsid w:val="00CE270D"/>
    <w:rsid w:val="00CE279D"/>
    <w:rsid w:val="00CE2BE4"/>
    <w:rsid w:val="00CE2C26"/>
    <w:rsid w:val="00CE3EE1"/>
    <w:rsid w:val="00CE410E"/>
    <w:rsid w:val="00CE41D4"/>
    <w:rsid w:val="00CE443A"/>
    <w:rsid w:val="00CE44E1"/>
    <w:rsid w:val="00CE456C"/>
    <w:rsid w:val="00CE4F4B"/>
    <w:rsid w:val="00CE5482"/>
    <w:rsid w:val="00CE55E3"/>
    <w:rsid w:val="00CE5796"/>
    <w:rsid w:val="00CE628A"/>
    <w:rsid w:val="00CE65E5"/>
    <w:rsid w:val="00CE6E65"/>
    <w:rsid w:val="00CE7A35"/>
    <w:rsid w:val="00CE7CAE"/>
    <w:rsid w:val="00CE7FFE"/>
    <w:rsid w:val="00CF0781"/>
    <w:rsid w:val="00CF08DE"/>
    <w:rsid w:val="00CF111B"/>
    <w:rsid w:val="00CF143B"/>
    <w:rsid w:val="00CF17BE"/>
    <w:rsid w:val="00CF1849"/>
    <w:rsid w:val="00CF1DF2"/>
    <w:rsid w:val="00CF1E8F"/>
    <w:rsid w:val="00CF292E"/>
    <w:rsid w:val="00CF2B11"/>
    <w:rsid w:val="00CF380C"/>
    <w:rsid w:val="00CF3AA7"/>
    <w:rsid w:val="00CF3B47"/>
    <w:rsid w:val="00CF4333"/>
    <w:rsid w:val="00CF43D0"/>
    <w:rsid w:val="00CF4400"/>
    <w:rsid w:val="00CF47BE"/>
    <w:rsid w:val="00CF48DB"/>
    <w:rsid w:val="00CF4936"/>
    <w:rsid w:val="00CF4AF6"/>
    <w:rsid w:val="00CF4E5D"/>
    <w:rsid w:val="00CF530E"/>
    <w:rsid w:val="00CF5829"/>
    <w:rsid w:val="00CF5D0F"/>
    <w:rsid w:val="00CF5F0C"/>
    <w:rsid w:val="00CF5F1B"/>
    <w:rsid w:val="00CF6216"/>
    <w:rsid w:val="00CF67AA"/>
    <w:rsid w:val="00CF6B01"/>
    <w:rsid w:val="00CF6EC2"/>
    <w:rsid w:val="00CF6ED9"/>
    <w:rsid w:val="00CF705C"/>
    <w:rsid w:val="00CF756B"/>
    <w:rsid w:val="00CF7587"/>
    <w:rsid w:val="00CF75E1"/>
    <w:rsid w:val="00CF76BA"/>
    <w:rsid w:val="00D000D5"/>
    <w:rsid w:val="00D0029F"/>
    <w:rsid w:val="00D002FC"/>
    <w:rsid w:val="00D0037E"/>
    <w:rsid w:val="00D003AD"/>
    <w:rsid w:val="00D004DF"/>
    <w:rsid w:val="00D00B75"/>
    <w:rsid w:val="00D01103"/>
    <w:rsid w:val="00D01913"/>
    <w:rsid w:val="00D01914"/>
    <w:rsid w:val="00D020CF"/>
    <w:rsid w:val="00D022E8"/>
    <w:rsid w:val="00D0309B"/>
    <w:rsid w:val="00D03147"/>
    <w:rsid w:val="00D0339C"/>
    <w:rsid w:val="00D036A6"/>
    <w:rsid w:val="00D039AE"/>
    <w:rsid w:val="00D039E5"/>
    <w:rsid w:val="00D03B24"/>
    <w:rsid w:val="00D03BE6"/>
    <w:rsid w:val="00D04205"/>
    <w:rsid w:val="00D04C5D"/>
    <w:rsid w:val="00D05576"/>
    <w:rsid w:val="00D056E4"/>
    <w:rsid w:val="00D05B75"/>
    <w:rsid w:val="00D05EFA"/>
    <w:rsid w:val="00D06162"/>
    <w:rsid w:val="00D06484"/>
    <w:rsid w:val="00D06A0C"/>
    <w:rsid w:val="00D06B5A"/>
    <w:rsid w:val="00D06DA7"/>
    <w:rsid w:val="00D07247"/>
    <w:rsid w:val="00D07415"/>
    <w:rsid w:val="00D07793"/>
    <w:rsid w:val="00D077FF"/>
    <w:rsid w:val="00D078CF"/>
    <w:rsid w:val="00D10408"/>
    <w:rsid w:val="00D10594"/>
    <w:rsid w:val="00D107D5"/>
    <w:rsid w:val="00D11463"/>
    <w:rsid w:val="00D12ACB"/>
    <w:rsid w:val="00D1338D"/>
    <w:rsid w:val="00D1393E"/>
    <w:rsid w:val="00D13FAF"/>
    <w:rsid w:val="00D14454"/>
    <w:rsid w:val="00D144A3"/>
    <w:rsid w:val="00D148EA"/>
    <w:rsid w:val="00D14948"/>
    <w:rsid w:val="00D15562"/>
    <w:rsid w:val="00D1565A"/>
    <w:rsid w:val="00D1577C"/>
    <w:rsid w:val="00D16137"/>
    <w:rsid w:val="00D163A4"/>
    <w:rsid w:val="00D1740A"/>
    <w:rsid w:val="00D177C1"/>
    <w:rsid w:val="00D1783C"/>
    <w:rsid w:val="00D1792A"/>
    <w:rsid w:val="00D201BA"/>
    <w:rsid w:val="00D202F9"/>
    <w:rsid w:val="00D20491"/>
    <w:rsid w:val="00D20832"/>
    <w:rsid w:val="00D20925"/>
    <w:rsid w:val="00D21424"/>
    <w:rsid w:val="00D2154E"/>
    <w:rsid w:val="00D21B4E"/>
    <w:rsid w:val="00D21F9B"/>
    <w:rsid w:val="00D220D5"/>
    <w:rsid w:val="00D22161"/>
    <w:rsid w:val="00D22789"/>
    <w:rsid w:val="00D2283B"/>
    <w:rsid w:val="00D23306"/>
    <w:rsid w:val="00D238B1"/>
    <w:rsid w:val="00D24060"/>
    <w:rsid w:val="00D248DB"/>
    <w:rsid w:val="00D248E3"/>
    <w:rsid w:val="00D248EF"/>
    <w:rsid w:val="00D252BA"/>
    <w:rsid w:val="00D262A8"/>
    <w:rsid w:val="00D26341"/>
    <w:rsid w:val="00D26E5D"/>
    <w:rsid w:val="00D26E91"/>
    <w:rsid w:val="00D2715E"/>
    <w:rsid w:val="00D27879"/>
    <w:rsid w:val="00D27927"/>
    <w:rsid w:val="00D27F9E"/>
    <w:rsid w:val="00D30140"/>
    <w:rsid w:val="00D302E7"/>
    <w:rsid w:val="00D30564"/>
    <w:rsid w:val="00D30C6B"/>
    <w:rsid w:val="00D30EA3"/>
    <w:rsid w:val="00D30EDC"/>
    <w:rsid w:val="00D31271"/>
    <w:rsid w:val="00D31318"/>
    <w:rsid w:val="00D317D2"/>
    <w:rsid w:val="00D31E90"/>
    <w:rsid w:val="00D31F8F"/>
    <w:rsid w:val="00D31F95"/>
    <w:rsid w:val="00D32178"/>
    <w:rsid w:val="00D32742"/>
    <w:rsid w:val="00D3294D"/>
    <w:rsid w:val="00D32A39"/>
    <w:rsid w:val="00D32F48"/>
    <w:rsid w:val="00D333F0"/>
    <w:rsid w:val="00D339A7"/>
    <w:rsid w:val="00D33B53"/>
    <w:rsid w:val="00D33BD7"/>
    <w:rsid w:val="00D33DA3"/>
    <w:rsid w:val="00D34132"/>
    <w:rsid w:val="00D3417B"/>
    <w:rsid w:val="00D34756"/>
    <w:rsid w:val="00D34766"/>
    <w:rsid w:val="00D34909"/>
    <w:rsid w:val="00D34ABA"/>
    <w:rsid w:val="00D3509E"/>
    <w:rsid w:val="00D351A0"/>
    <w:rsid w:val="00D357A9"/>
    <w:rsid w:val="00D358A8"/>
    <w:rsid w:val="00D35929"/>
    <w:rsid w:val="00D35BC9"/>
    <w:rsid w:val="00D35EF7"/>
    <w:rsid w:val="00D35F04"/>
    <w:rsid w:val="00D363C7"/>
    <w:rsid w:val="00D36BBC"/>
    <w:rsid w:val="00D36CA0"/>
    <w:rsid w:val="00D37DAC"/>
    <w:rsid w:val="00D37F8F"/>
    <w:rsid w:val="00D37FCE"/>
    <w:rsid w:val="00D401D8"/>
    <w:rsid w:val="00D401FE"/>
    <w:rsid w:val="00D4041E"/>
    <w:rsid w:val="00D407B3"/>
    <w:rsid w:val="00D408D8"/>
    <w:rsid w:val="00D40B1B"/>
    <w:rsid w:val="00D410AF"/>
    <w:rsid w:val="00D41232"/>
    <w:rsid w:val="00D4130D"/>
    <w:rsid w:val="00D414A2"/>
    <w:rsid w:val="00D417DE"/>
    <w:rsid w:val="00D4181A"/>
    <w:rsid w:val="00D429AB"/>
    <w:rsid w:val="00D42EF5"/>
    <w:rsid w:val="00D43357"/>
    <w:rsid w:val="00D43ABB"/>
    <w:rsid w:val="00D43EB6"/>
    <w:rsid w:val="00D44107"/>
    <w:rsid w:val="00D45682"/>
    <w:rsid w:val="00D456FB"/>
    <w:rsid w:val="00D45925"/>
    <w:rsid w:val="00D45CD1"/>
    <w:rsid w:val="00D45ED9"/>
    <w:rsid w:val="00D4620C"/>
    <w:rsid w:val="00D4623B"/>
    <w:rsid w:val="00D4630B"/>
    <w:rsid w:val="00D46513"/>
    <w:rsid w:val="00D46545"/>
    <w:rsid w:val="00D46604"/>
    <w:rsid w:val="00D46D21"/>
    <w:rsid w:val="00D474C8"/>
    <w:rsid w:val="00D479EE"/>
    <w:rsid w:val="00D47AE0"/>
    <w:rsid w:val="00D47CD6"/>
    <w:rsid w:val="00D5038B"/>
    <w:rsid w:val="00D508AE"/>
    <w:rsid w:val="00D50984"/>
    <w:rsid w:val="00D519C5"/>
    <w:rsid w:val="00D519E4"/>
    <w:rsid w:val="00D523B3"/>
    <w:rsid w:val="00D525CB"/>
    <w:rsid w:val="00D526C9"/>
    <w:rsid w:val="00D52906"/>
    <w:rsid w:val="00D529FF"/>
    <w:rsid w:val="00D52B38"/>
    <w:rsid w:val="00D52B5E"/>
    <w:rsid w:val="00D54231"/>
    <w:rsid w:val="00D549E0"/>
    <w:rsid w:val="00D54A6A"/>
    <w:rsid w:val="00D54A8F"/>
    <w:rsid w:val="00D54ADA"/>
    <w:rsid w:val="00D54C05"/>
    <w:rsid w:val="00D54DAB"/>
    <w:rsid w:val="00D54F3D"/>
    <w:rsid w:val="00D54FDD"/>
    <w:rsid w:val="00D54FE9"/>
    <w:rsid w:val="00D556CB"/>
    <w:rsid w:val="00D556F9"/>
    <w:rsid w:val="00D55D8D"/>
    <w:rsid w:val="00D55F4D"/>
    <w:rsid w:val="00D56201"/>
    <w:rsid w:val="00D56D51"/>
    <w:rsid w:val="00D572AD"/>
    <w:rsid w:val="00D57713"/>
    <w:rsid w:val="00D57AD0"/>
    <w:rsid w:val="00D60BAC"/>
    <w:rsid w:val="00D61676"/>
    <w:rsid w:val="00D61CDA"/>
    <w:rsid w:val="00D62623"/>
    <w:rsid w:val="00D62740"/>
    <w:rsid w:val="00D62B8B"/>
    <w:rsid w:val="00D63341"/>
    <w:rsid w:val="00D633E6"/>
    <w:rsid w:val="00D638D0"/>
    <w:rsid w:val="00D63C7B"/>
    <w:rsid w:val="00D6451F"/>
    <w:rsid w:val="00D647EF"/>
    <w:rsid w:val="00D64AC4"/>
    <w:rsid w:val="00D65094"/>
    <w:rsid w:val="00D650B0"/>
    <w:rsid w:val="00D65431"/>
    <w:rsid w:val="00D659A6"/>
    <w:rsid w:val="00D66194"/>
    <w:rsid w:val="00D66254"/>
    <w:rsid w:val="00D66689"/>
    <w:rsid w:val="00D66703"/>
    <w:rsid w:val="00D66B1E"/>
    <w:rsid w:val="00D66E97"/>
    <w:rsid w:val="00D67A29"/>
    <w:rsid w:val="00D67A39"/>
    <w:rsid w:val="00D70151"/>
    <w:rsid w:val="00D7022F"/>
    <w:rsid w:val="00D70697"/>
    <w:rsid w:val="00D709C3"/>
    <w:rsid w:val="00D70B58"/>
    <w:rsid w:val="00D713A0"/>
    <w:rsid w:val="00D71AA8"/>
    <w:rsid w:val="00D71BEB"/>
    <w:rsid w:val="00D71E46"/>
    <w:rsid w:val="00D71FA7"/>
    <w:rsid w:val="00D72106"/>
    <w:rsid w:val="00D72185"/>
    <w:rsid w:val="00D725F1"/>
    <w:rsid w:val="00D72AA2"/>
    <w:rsid w:val="00D72CED"/>
    <w:rsid w:val="00D734F5"/>
    <w:rsid w:val="00D73500"/>
    <w:rsid w:val="00D7360D"/>
    <w:rsid w:val="00D738DB"/>
    <w:rsid w:val="00D73B30"/>
    <w:rsid w:val="00D73B82"/>
    <w:rsid w:val="00D7400C"/>
    <w:rsid w:val="00D74331"/>
    <w:rsid w:val="00D7434A"/>
    <w:rsid w:val="00D749DD"/>
    <w:rsid w:val="00D74AC5"/>
    <w:rsid w:val="00D74C3D"/>
    <w:rsid w:val="00D75D16"/>
    <w:rsid w:val="00D75F25"/>
    <w:rsid w:val="00D75F31"/>
    <w:rsid w:val="00D76205"/>
    <w:rsid w:val="00D76F61"/>
    <w:rsid w:val="00D7742C"/>
    <w:rsid w:val="00D77A3D"/>
    <w:rsid w:val="00D77D2C"/>
    <w:rsid w:val="00D77FBA"/>
    <w:rsid w:val="00D8006F"/>
    <w:rsid w:val="00D80184"/>
    <w:rsid w:val="00D806B7"/>
    <w:rsid w:val="00D809E0"/>
    <w:rsid w:val="00D80B3E"/>
    <w:rsid w:val="00D8139B"/>
    <w:rsid w:val="00D8194E"/>
    <w:rsid w:val="00D8196E"/>
    <w:rsid w:val="00D81C1A"/>
    <w:rsid w:val="00D81DB5"/>
    <w:rsid w:val="00D82380"/>
    <w:rsid w:val="00D82665"/>
    <w:rsid w:val="00D826A3"/>
    <w:rsid w:val="00D82771"/>
    <w:rsid w:val="00D82F08"/>
    <w:rsid w:val="00D839B6"/>
    <w:rsid w:val="00D8431C"/>
    <w:rsid w:val="00D84A03"/>
    <w:rsid w:val="00D84C1C"/>
    <w:rsid w:val="00D850A9"/>
    <w:rsid w:val="00D85555"/>
    <w:rsid w:val="00D858B2"/>
    <w:rsid w:val="00D85BE9"/>
    <w:rsid w:val="00D861E0"/>
    <w:rsid w:val="00D8638C"/>
    <w:rsid w:val="00D86FBC"/>
    <w:rsid w:val="00D871DC"/>
    <w:rsid w:val="00D87DDF"/>
    <w:rsid w:val="00D90147"/>
    <w:rsid w:val="00D90158"/>
    <w:rsid w:val="00D90709"/>
    <w:rsid w:val="00D908BC"/>
    <w:rsid w:val="00D91429"/>
    <w:rsid w:val="00D920FC"/>
    <w:rsid w:val="00D9265F"/>
    <w:rsid w:val="00D9277B"/>
    <w:rsid w:val="00D927DD"/>
    <w:rsid w:val="00D93158"/>
    <w:rsid w:val="00D93372"/>
    <w:rsid w:val="00D93697"/>
    <w:rsid w:val="00D93BC7"/>
    <w:rsid w:val="00D93E3A"/>
    <w:rsid w:val="00D94698"/>
    <w:rsid w:val="00D94B44"/>
    <w:rsid w:val="00D94F78"/>
    <w:rsid w:val="00D9511C"/>
    <w:rsid w:val="00D958BD"/>
    <w:rsid w:val="00D9600B"/>
    <w:rsid w:val="00D960D0"/>
    <w:rsid w:val="00D969A4"/>
    <w:rsid w:val="00D96D0A"/>
    <w:rsid w:val="00D96EE0"/>
    <w:rsid w:val="00D96F36"/>
    <w:rsid w:val="00D97061"/>
    <w:rsid w:val="00D9726E"/>
    <w:rsid w:val="00D97614"/>
    <w:rsid w:val="00D977A8"/>
    <w:rsid w:val="00DA0281"/>
    <w:rsid w:val="00DA056D"/>
    <w:rsid w:val="00DA05FC"/>
    <w:rsid w:val="00DA06AD"/>
    <w:rsid w:val="00DA0921"/>
    <w:rsid w:val="00DA0B65"/>
    <w:rsid w:val="00DA0C78"/>
    <w:rsid w:val="00DA1083"/>
    <w:rsid w:val="00DA1765"/>
    <w:rsid w:val="00DA1E38"/>
    <w:rsid w:val="00DA1FCE"/>
    <w:rsid w:val="00DA2AAC"/>
    <w:rsid w:val="00DA31EE"/>
    <w:rsid w:val="00DA3595"/>
    <w:rsid w:val="00DA3883"/>
    <w:rsid w:val="00DA3ED5"/>
    <w:rsid w:val="00DA4588"/>
    <w:rsid w:val="00DA4937"/>
    <w:rsid w:val="00DA4E34"/>
    <w:rsid w:val="00DA5B55"/>
    <w:rsid w:val="00DA5E56"/>
    <w:rsid w:val="00DA66B5"/>
    <w:rsid w:val="00DA68F1"/>
    <w:rsid w:val="00DA6903"/>
    <w:rsid w:val="00DB014B"/>
    <w:rsid w:val="00DB072F"/>
    <w:rsid w:val="00DB0FA5"/>
    <w:rsid w:val="00DB1212"/>
    <w:rsid w:val="00DB12CC"/>
    <w:rsid w:val="00DB1850"/>
    <w:rsid w:val="00DB1ABB"/>
    <w:rsid w:val="00DB21D5"/>
    <w:rsid w:val="00DB228E"/>
    <w:rsid w:val="00DB2A92"/>
    <w:rsid w:val="00DB2EA6"/>
    <w:rsid w:val="00DB37D5"/>
    <w:rsid w:val="00DB3FE1"/>
    <w:rsid w:val="00DB40E0"/>
    <w:rsid w:val="00DB429A"/>
    <w:rsid w:val="00DB45A1"/>
    <w:rsid w:val="00DB45A6"/>
    <w:rsid w:val="00DB471A"/>
    <w:rsid w:val="00DB48C4"/>
    <w:rsid w:val="00DB49D1"/>
    <w:rsid w:val="00DB649B"/>
    <w:rsid w:val="00DB67DF"/>
    <w:rsid w:val="00DB76F5"/>
    <w:rsid w:val="00DC0105"/>
    <w:rsid w:val="00DC029F"/>
    <w:rsid w:val="00DC0464"/>
    <w:rsid w:val="00DC0933"/>
    <w:rsid w:val="00DC0CA5"/>
    <w:rsid w:val="00DC0DDF"/>
    <w:rsid w:val="00DC146B"/>
    <w:rsid w:val="00DC1608"/>
    <w:rsid w:val="00DC1B86"/>
    <w:rsid w:val="00DC1D81"/>
    <w:rsid w:val="00DC22F2"/>
    <w:rsid w:val="00DC2F99"/>
    <w:rsid w:val="00DC32C0"/>
    <w:rsid w:val="00DC37C6"/>
    <w:rsid w:val="00DC3E84"/>
    <w:rsid w:val="00DC3F50"/>
    <w:rsid w:val="00DC4396"/>
    <w:rsid w:val="00DC4F1C"/>
    <w:rsid w:val="00DC5B49"/>
    <w:rsid w:val="00DC5CBC"/>
    <w:rsid w:val="00DC6054"/>
    <w:rsid w:val="00DC7477"/>
    <w:rsid w:val="00DC762D"/>
    <w:rsid w:val="00DC7743"/>
    <w:rsid w:val="00DC7753"/>
    <w:rsid w:val="00DC7A41"/>
    <w:rsid w:val="00DC7CC6"/>
    <w:rsid w:val="00DC7E7D"/>
    <w:rsid w:val="00DD1142"/>
    <w:rsid w:val="00DD1330"/>
    <w:rsid w:val="00DD18F5"/>
    <w:rsid w:val="00DD25C0"/>
    <w:rsid w:val="00DD269B"/>
    <w:rsid w:val="00DD2F7D"/>
    <w:rsid w:val="00DD3070"/>
    <w:rsid w:val="00DD3B82"/>
    <w:rsid w:val="00DD3BB9"/>
    <w:rsid w:val="00DD41C8"/>
    <w:rsid w:val="00DD4303"/>
    <w:rsid w:val="00DD44BF"/>
    <w:rsid w:val="00DD549D"/>
    <w:rsid w:val="00DD5D10"/>
    <w:rsid w:val="00DD6289"/>
    <w:rsid w:val="00DD6DBA"/>
    <w:rsid w:val="00DD752C"/>
    <w:rsid w:val="00DE019C"/>
    <w:rsid w:val="00DE029F"/>
    <w:rsid w:val="00DE0827"/>
    <w:rsid w:val="00DE0C3F"/>
    <w:rsid w:val="00DE1495"/>
    <w:rsid w:val="00DE14BA"/>
    <w:rsid w:val="00DE19AC"/>
    <w:rsid w:val="00DE1C36"/>
    <w:rsid w:val="00DE1C3B"/>
    <w:rsid w:val="00DE2A3F"/>
    <w:rsid w:val="00DE2AE3"/>
    <w:rsid w:val="00DE2D44"/>
    <w:rsid w:val="00DE2E68"/>
    <w:rsid w:val="00DE34B3"/>
    <w:rsid w:val="00DE3801"/>
    <w:rsid w:val="00DE396F"/>
    <w:rsid w:val="00DE39F2"/>
    <w:rsid w:val="00DE41F3"/>
    <w:rsid w:val="00DE4DA3"/>
    <w:rsid w:val="00DE4ECA"/>
    <w:rsid w:val="00DE508B"/>
    <w:rsid w:val="00DE57B6"/>
    <w:rsid w:val="00DE595A"/>
    <w:rsid w:val="00DE5C17"/>
    <w:rsid w:val="00DE5DAF"/>
    <w:rsid w:val="00DE5E98"/>
    <w:rsid w:val="00DE615B"/>
    <w:rsid w:val="00DE675F"/>
    <w:rsid w:val="00DE67EF"/>
    <w:rsid w:val="00DE6827"/>
    <w:rsid w:val="00DE6970"/>
    <w:rsid w:val="00DE6A25"/>
    <w:rsid w:val="00DE6A93"/>
    <w:rsid w:val="00DE6CDA"/>
    <w:rsid w:val="00DE6D88"/>
    <w:rsid w:val="00DE7031"/>
    <w:rsid w:val="00DE7BA0"/>
    <w:rsid w:val="00DF0240"/>
    <w:rsid w:val="00DF0930"/>
    <w:rsid w:val="00DF0D34"/>
    <w:rsid w:val="00DF14B1"/>
    <w:rsid w:val="00DF1702"/>
    <w:rsid w:val="00DF1782"/>
    <w:rsid w:val="00DF21F9"/>
    <w:rsid w:val="00DF2C65"/>
    <w:rsid w:val="00DF2C8B"/>
    <w:rsid w:val="00DF2E83"/>
    <w:rsid w:val="00DF319F"/>
    <w:rsid w:val="00DF3B1C"/>
    <w:rsid w:val="00DF3E5F"/>
    <w:rsid w:val="00DF3ECD"/>
    <w:rsid w:val="00DF41AF"/>
    <w:rsid w:val="00DF4456"/>
    <w:rsid w:val="00DF4802"/>
    <w:rsid w:val="00DF49E7"/>
    <w:rsid w:val="00DF4C59"/>
    <w:rsid w:val="00DF4FAC"/>
    <w:rsid w:val="00DF572E"/>
    <w:rsid w:val="00DF5F54"/>
    <w:rsid w:val="00DF603C"/>
    <w:rsid w:val="00DF6107"/>
    <w:rsid w:val="00DF653D"/>
    <w:rsid w:val="00DF6A29"/>
    <w:rsid w:val="00DF6BDF"/>
    <w:rsid w:val="00DF6D3A"/>
    <w:rsid w:val="00DF73D6"/>
    <w:rsid w:val="00DF76C6"/>
    <w:rsid w:val="00DF7B6B"/>
    <w:rsid w:val="00DF7FD0"/>
    <w:rsid w:val="00DF7FF5"/>
    <w:rsid w:val="00E00024"/>
    <w:rsid w:val="00E001EE"/>
    <w:rsid w:val="00E003E5"/>
    <w:rsid w:val="00E0069F"/>
    <w:rsid w:val="00E01C8C"/>
    <w:rsid w:val="00E01F37"/>
    <w:rsid w:val="00E021B5"/>
    <w:rsid w:val="00E03010"/>
    <w:rsid w:val="00E0326D"/>
    <w:rsid w:val="00E033EC"/>
    <w:rsid w:val="00E036A8"/>
    <w:rsid w:val="00E03B26"/>
    <w:rsid w:val="00E03BA7"/>
    <w:rsid w:val="00E03BEF"/>
    <w:rsid w:val="00E04591"/>
    <w:rsid w:val="00E046DF"/>
    <w:rsid w:val="00E046F7"/>
    <w:rsid w:val="00E05060"/>
    <w:rsid w:val="00E05124"/>
    <w:rsid w:val="00E05720"/>
    <w:rsid w:val="00E05807"/>
    <w:rsid w:val="00E05F5A"/>
    <w:rsid w:val="00E0649F"/>
    <w:rsid w:val="00E069E4"/>
    <w:rsid w:val="00E069F7"/>
    <w:rsid w:val="00E06A7E"/>
    <w:rsid w:val="00E072D0"/>
    <w:rsid w:val="00E0767E"/>
    <w:rsid w:val="00E076F4"/>
    <w:rsid w:val="00E07750"/>
    <w:rsid w:val="00E07D13"/>
    <w:rsid w:val="00E1047A"/>
    <w:rsid w:val="00E106C6"/>
    <w:rsid w:val="00E10F0F"/>
    <w:rsid w:val="00E10F4E"/>
    <w:rsid w:val="00E11386"/>
    <w:rsid w:val="00E11AC6"/>
    <w:rsid w:val="00E1214C"/>
    <w:rsid w:val="00E123D6"/>
    <w:rsid w:val="00E129D9"/>
    <w:rsid w:val="00E129DB"/>
    <w:rsid w:val="00E12D29"/>
    <w:rsid w:val="00E12D8F"/>
    <w:rsid w:val="00E12E7C"/>
    <w:rsid w:val="00E12F66"/>
    <w:rsid w:val="00E1334A"/>
    <w:rsid w:val="00E1347D"/>
    <w:rsid w:val="00E1431F"/>
    <w:rsid w:val="00E1448D"/>
    <w:rsid w:val="00E14638"/>
    <w:rsid w:val="00E14964"/>
    <w:rsid w:val="00E155C7"/>
    <w:rsid w:val="00E1589F"/>
    <w:rsid w:val="00E15BB7"/>
    <w:rsid w:val="00E1608A"/>
    <w:rsid w:val="00E161CD"/>
    <w:rsid w:val="00E1631A"/>
    <w:rsid w:val="00E1634A"/>
    <w:rsid w:val="00E16B84"/>
    <w:rsid w:val="00E16E4A"/>
    <w:rsid w:val="00E17437"/>
    <w:rsid w:val="00E17BDA"/>
    <w:rsid w:val="00E205F2"/>
    <w:rsid w:val="00E20DCB"/>
    <w:rsid w:val="00E20F24"/>
    <w:rsid w:val="00E216A6"/>
    <w:rsid w:val="00E21944"/>
    <w:rsid w:val="00E21A31"/>
    <w:rsid w:val="00E21E70"/>
    <w:rsid w:val="00E21E80"/>
    <w:rsid w:val="00E2212F"/>
    <w:rsid w:val="00E221E7"/>
    <w:rsid w:val="00E228C9"/>
    <w:rsid w:val="00E230C2"/>
    <w:rsid w:val="00E23777"/>
    <w:rsid w:val="00E23996"/>
    <w:rsid w:val="00E23C4C"/>
    <w:rsid w:val="00E246E5"/>
    <w:rsid w:val="00E2476E"/>
    <w:rsid w:val="00E249B6"/>
    <w:rsid w:val="00E24CB9"/>
    <w:rsid w:val="00E24D88"/>
    <w:rsid w:val="00E24D92"/>
    <w:rsid w:val="00E25428"/>
    <w:rsid w:val="00E25B10"/>
    <w:rsid w:val="00E25C4D"/>
    <w:rsid w:val="00E25D2E"/>
    <w:rsid w:val="00E2798D"/>
    <w:rsid w:val="00E27B7E"/>
    <w:rsid w:val="00E3001E"/>
    <w:rsid w:val="00E30443"/>
    <w:rsid w:val="00E30650"/>
    <w:rsid w:val="00E307FD"/>
    <w:rsid w:val="00E30D03"/>
    <w:rsid w:val="00E30F29"/>
    <w:rsid w:val="00E316A4"/>
    <w:rsid w:val="00E31E2F"/>
    <w:rsid w:val="00E31E7C"/>
    <w:rsid w:val="00E31F9F"/>
    <w:rsid w:val="00E32211"/>
    <w:rsid w:val="00E32357"/>
    <w:rsid w:val="00E325F3"/>
    <w:rsid w:val="00E32C92"/>
    <w:rsid w:val="00E332C7"/>
    <w:rsid w:val="00E339A0"/>
    <w:rsid w:val="00E33DF9"/>
    <w:rsid w:val="00E34103"/>
    <w:rsid w:val="00E34DD8"/>
    <w:rsid w:val="00E350A0"/>
    <w:rsid w:val="00E3529C"/>
    <w:rsid w:val="00E35453"/>
    <w:rsid w:val="00E3565E"/>
    <w:rsid w:val="00E366EC"/>
    <w:rsid w:val="00E3673A"/>
    <w:rsid w:val="00E36772"/>
    <w:rsid w:val="00E369A0"/>
    <w:rsid w:val="00E36AEE"/>
    <w:rsid w:val="00E36DEB"/>
    <w:rsid w:val="00E37A47"/>
    <w:rsid w:val="00E402F9"/>
    <w:rsid w:val="00E40789"/>
    <w:rsid w:val="00E4139E"/>
    <w:rsid w:val="00E414A7"/>
    <w:rsid w:val="00E41673"/>
    <w:rsid w:val="00E41B0F"/>
    <w:rsid w:val="00E424C7"/>
    <w:rsid w:val="00E43A1C"/>
    <w:rsid w:val="00E43B89"/>
    <w:rsid w:val="00E44ED9"/>
    <w:rsid w:val="00E45155"/>
    <w:rsid w:val="00E457AD"/>
    <w:rsid w:val="00E45D07"/>
    <w:rsid w:val="00E45E28"/>
    <w:rsid w:val="00E4635E"/>
    <w:rsid w:val="00E46881"/>
    <w:rsid w:val="00E46BDC"/>
    <w:rsid w:val="00E46C33"/>
    <w:rsid w:val="00E46CDE"/>
    <w:rsid w:val="00E47316"/>
    <w:rsid w:val="00E47570"/>
    <w:rsid w:val="00E4758F"/>
    <w:rsid w:val="00E501EB"/>
    <w:rsid w:val="00E50CAC"/>
    <w:rsid w:val="00E50E57"/>
    <w:rsid w:val="00E51165"/>
    <w:rsid w:val="00E5140A"/>
    <w:rsid w:val="00E515C6"/>
    <w:rsid w:val="00E515E8"/>
    <w:rsid w:val="00E516F3"/>
    <w:rsid w:val="00E51FD5"/>
    <w:rsid w:val="00E524C8"/>
    <w:rsid w:val="00E525DB"/>
    <w:rsid w:val="00E52874"/>
    <w:rsid w:val="00E52F4A"/>
    <w:rsid w:val="00E539D7"/>
    <w:rsid w:val="00E53DC2"/>
    <w:rsid w:val="00E53DE7"/>
    <w:rsid w:val="00E53E0D"/>
    <w:rsid w:val="00E53F5D"/>
    <w:rsid w:val="00E540DE"/>
    <w:rsid w:val="00E5491F"/>
    <w:rsid w:val="00E54A5C"/>
    <w:rsid w:val="00E55325"/>
    <w:rsid w:val="00E5536E"/>
    <w:rsid w:val="00E553D1"/>
    <w:rsid w:val="00E554BE"/>
    <w:rsid w:val="00E556A6"/>
    <w:rsid w:val="00E55B6D"/>
    <w:rsid w:val="00E55DB8"/>
    <w:rsid w:val="00E567DA"/>
    <w:rsid w:val="00E56C26"/>
    <w:rsid w:val="00E573AB"/>
    <w:rsid w:val="00E57630"/>
    <w:rsid w:val="00E57E35"/>
    <w:rsid w:val="00E60D25"/>
    <w:rsid w:val="00E61657"/>
    <w:rsid w:val="00E618E5"/>
    <w:rsid w:val="00E61B00"/>
    <w:rsid w:val="00E61D85"/>
    <w:rsid w:val="00E62184"/>
    <w:rsid w:val="00E6220D"/>
    <w:rsid w:val="00E62227"/>
    <w:rsid w:val="00E6252C"/>
    <w:rsid w:val="00E629D2"/>
    <w:rsid w:val="00E62A93"/>
    <w:rsid w:val="00E62C31"/>
    <w:rsid w:val="00E62E80"/>
    <w:rsid w:val="00E63444"/>
    <w:rsid w:val="00E63458"/>
    <w:rsid w:val="00E6371D"/>
    <w:rsid w:val="00E637B2"/>
    <w:rsid w:val="00E63898"/>
    <w:rsid w:val="00E63981"/>
    <w:rsid w:val="00E6462F"/>
    <w:rsid w:val="00E64F67"/>
    <w:rsid w:val="00E65140"/>
    <w:rsid w:val="00E6565B"/>
    <w:rsid w:val="00E658AF"/>
    <w:rsid w:val="00E65D4B"/>
    <w:rsid w:val="00E65ED2"/>
    <w:rsid w:val="00E66430"/>
    <w:rsid w:val="00E66503"/>
    <w:rsid w:val="00E66509"/>
    <w:rsid w:val="00E665F7"/>
    <w:rsid w:val="00E66609"/>
    <w:rsid w:val="00E66FF1"/>
    <w:rsid w:val="00E67033"/>
    <w:rsid w:val="00E6713A"/>
    <w:rsid w:val="00E674A9"/>
    <w:rsid w:val="00E67CF0"/>
    <w:rsid w:val="00E7020A"/>
    <w:rsid w:val="00E709F1"/>
    <w:rsid w:val="00E70B9F"/>
    <w:rsid w:val="00E70D60"/>
    <w:rsid w:val="00E70F47"/>
    <w:rsid w:val="00E715AB"/>
    <w:rsid w:val="00E715F3"/>
    <w:rsid w:val="00E716CE"/>
    <w:rsid w:val="00E71BB7"/>
    <w:rsid w:val="00E71CCB"/>
    <w:rsid w:val="00E72ECD"/>
    <w:rsid w:val="00E73446"/>
    <w:rsid w:val="00E739E9"/>
    <w:rsid w:val="00E73A00"/>
    <w:rsid w:val="00E73C00"/>
    <w:rsid w:val="00E743D2"/>
    <w:rsid w:val="00E74481"/>
    <w:rsid w:val="00E74937"/>
    <w:rsid w:val="00E74A29"/>
    <w:rsid w:val="00E754AE"/>
    <w:rsid w:val="00E75AFD"/>
    <w:rsid w:val="00E76FE2"/>
    <w:rsid w:val="00E7762A"/>
    <w:rsid w:val="00E777B3"/>
    <w:rsid w:val="00E778B4"/>
    <w:rsid w:val="00E77BB2"/>
    <w:rsid w:val="00E800E2"/>
    <w:rsid w:val="00E8022B"/>
    <w:rsid w:val="00E805A6"/>
    <w:rsid w:val="00E8068A"/>
    <w:rsid w:val="00E806AF"/>
    <w:rsid w:val="00E80ABA"/>
    <w:rsid w:val="00E81065"/>
    <w:rsid w:val="00E81283"/>
    <w:rsid w:val="00E8148D"/>
    <w:rsid w:val="00E81494"/>
    <w:rsid w:val="00E8162D"/>
    <w:rsid w:val="00E81F02"/>
    <w:rsid w:val="00E82CC1"/>
    <w:rsid w:val="00E82E18"/>
    <w:rsid w:val="00E831A7"/>
    <w:rsid w:val="00E832FC"/>
    <w:rsid w:val="00E83687"/>
    <w:rsid w:val="00E837CC"/>
    <w:rsid w:val="00E83A44"/>
    <w:rsid w:val="00E83B50"/>
    <w:rsid w:val="00E83DCE"/>
    <w:rsid w:val="00E845E3"/>
    <w:rsid w:val="00E84DE0"/>
    <w:rsid w:val="00E85199"/>
    <w:rsid w:val="00E85D54"/>
    <w:rsid w:val="00E85FAE"/>
    <w:rsid w:val="00E866A0"/>
    <w:rsid w:val="00E86C2B"/>
    <w:rsid w:val="00E86D7D"/>
    <w:rsid w:val="00E86EF4"/>
    <w:rsid w:val="00E8717A"/>
    <w:rsid w:val="00E8748A"/>
    <w:rsid w:val="00E87B9C"/>
    <w:rsid w:val="00E87EA4"/>
    <w:rsid w:val="00E87F8F"/>
    <w:rsid w:val="00E9045D"/>
    <w:rsid w:val="00E91126"/>
    <w:rsid w:val="00E91FCB"/>
    <w:rsid w:val="00E92027"/>
    <w:rsid w:val="00E9202A"/>
    <w:rsid w:val="00E920E9"/>
    <w:rsid w:val="00E92269"/>
    <w:rsid w:val="00E922FD"/>
    <w:rsid w:val="00E9239F"/>
    <w:rsid w:val="00E92600"/>
    <w:rsid w:val="00E9272E"/>
    <w:rsid w:val="00E929BA"/>
    <w:rsid w:val="00E9365F"/>
    <w:rsid w:val="00E93A00"/>
    <w:rsid w:val="00E93C10"/>
    <w:rsid w:val="00E9415E"/>
    <w:rsid w:val="00E94292"/>
    <w:rsid w:val="00E94587"/>
    <w:rsid w:val="00E9465A"/>
    <w:rsid w:val="00E94788"/>
    <w:rsid w:val="00E94A46"/>
    <w:rsid w:val="00E94E5D"/>
    <w:rsid w:val="00E951C9"/>
    <w:rsid w:val="00E95765"/>
    <w:rsid w:val="00E95C09"/>
    <w:rsid w:val="00E961C1"/>
    <w:rsid w:val="00E965C9"/>
    <w:rsid w:val="00E96C31"/>
    <w:rsid w:val="00E96DA9"/>
    <w:rsid w:val="00E97695"/>
    <w:rsid w:val="00E97A1B"/>
    <w:rsid w:val="00E97DB2"/>
    <w:rsid w:val="00EA0773"/>
    <w:rsid w:val="00EA0934"/>
    <w:rsid w:val="00EA0F6C"/>
    <w:rsid w:val="00EA0FD6"/>
    <w:rsid w:val="00EA11E9"/>
    <w:rsid w:val="00EA13C6"/>
    <w:rsid w:val="00EA159A"/>
    <w:rsid w:val="00EA1C82"/>
    <w:rsid w:val="00EA1DBD"/>
    <w:rsid w:val="00EA1E3F"/>
    <w:rsid w:val="00EA26EF"/>
    <w:rsid w:val="00EA27CF"/>
    <w:rsid w:val="00EA2852"/>
    <w:rsid w:val="00EA2A93"/>
    <w:rsid w:val="00EA33D2"/>
    <w:rsid w:val="00EA39DD"/>
    <w:rsid w:val="00EA3F15"/>
    <w:rsid w:val="00EA4A7F"/>
    <w:rsid w:val="00EA4ECA"/>
    <w:rsid w:val="00EA52AD"/>
    <w:rsid w:val="00EA5581"/>
    <w:rsid w:val="00EA5633"/>
    <w:rsid w:val="00EA588C"/>
    <w:rsid w:val="00EA58FB"/>
    <w:rsid w:val="00EA5A3F"/>
    <w:rsid w:val="00EA5FB4"/>
    <w:rsid w:val="00EA61B2"/>
    <w:rsid w:val="00EA641A"/>
    <w:rsid w:val="00EA680C"/>
    <w:rsid w:val="00EA6A2B"/>
    <w:rsid w:val="00EA7515"/>
    <w:rsid w:val="00EB01E3"/>
    <w:rsid w:val="00EB048F"/>
    <w:rsid w:val="00EB06EC"/>
    <w:rsid w:val="00EB09E4"/>
    <w:rsid w:val="00EB0C88"/>
    <w:rsid w:val="00EB1800"/>
    <w:rsid w:val="00EB1B8D"/>
    <w:rsid w:val="00EB240D"/>
    <w:rsid w:val="00EB2A72"/>
    <w:rsid w:val="00EB3011"/>
    <w:rsid w:val="00EB3761"/>
    <w:rsid w:val="00EB37F8"/>
    <w:rsid w:val="00EB3898"/>
    <w:rsid w:val="00EB3E35"/>
    <w:rsid w:val="00EB3E91"/>
    <w:rsid w:val="00EB3ECE"/>
    <w:rsid w:val="00EB3FED"/>
    <w:rsid w:val="00EB4003"/>
    <w:rsid w:val="00EB4374"/>
    <w:rsid w:val="00EB468D"/>
    <w:rsid w:val="00EB4F7B"/>
    <w:rsid w:val="00EB4F9A"/>
    <w:rsid w:val="00EB590C"/>
    <w:rsid w:val="00EB630B"/>
    <w:rsid w:val="00EB67A0"/>
    <w:rsid w:val="00EB6A46"/>
    <w:rsid w:val="00EB6DEC"/>
    <w:rsid w:val="00EB7293"/>
    <w:rsid w:val="00EB7700"/>
    <w:rsid w:val="00EB780F"/>
    <w:rsid w:val="00EB7ABB"/>
    <w:rsid w:val="00EB7B80"/>
    <w:rsid w:val="00EB7C09"/>
    <w:rsid w:val="00EB7F33"/>
    <w:rsid w:val="00EC0205"/>
    <w:rsid w:val="00EC0DF2"/>
    <w:rsid w:val="00EC1004"/>
    <w:rsid w:val="00EC1265"/>
    <w:rsid w:val="00EC1425"/>
    <w:rsid w:val="00EC1D9B"/>
    <w:rsid w:val="00EC25A0"/>
    <w:rsid w:val="00EC2E2E"/>
    <w:rsid w:val="00EC32C9"/>
    <w:rsid w:val="00EC3718"/>
    <w:rsid w:val="00EC414C"/>
    <w:rsid w:val="00EC4324"/>
    <w:rsid w:val="00EC4474"/>
    <w:rsid w:val="00EC450B"/>
    <w:rsid w:val="00EC47A4"/>
    <w:rsid w:val="00EC4E63"/>
    <w:rsid w:val="00EC53ED"/>
    <w:rsid w:val="00EC58E4"/>
    <w:rsid w:val="00EC5972"/>
    <w:rsid w:val="00EC65D0"/>
    <w:rsid w:val="00EC679D"/>
    <w:rsid w:val="00EC6B73"/>
    <w:rsid w:val="00EC6EAC"/>
    <w:rsid w:val="00EC6F74"/>
    <w:rsid w:val="00EC7338"/>
    <w:rsid w:val="00EC7431"/>
    <w:rsid w:val="00EC746E"/>
    <w:rsid w:val="00EC74ED"/>
    <w:rsid w:val="00EC7983"/>
    <w:rsid w:val="00ED00A6"/>
    <w:rsid w:val="00ED0707"/>
    <w:rsid w:val="00ED0711"/>
    <w:rsid w:val="00ED0D3E"/>
    <w:rsid w:val="00ED0DF0"/>
    <w:rsid w:val="00ED1922"/>
    <w:rsid w:val="00ED1C9F"/>
    <w:rsid w:val="00ED1D8C"/>
    <w:rsid w:val="00ED2306"/>
    <w:rsid w:val="00ED27F9"/>
    <w:rsid w:val="00ED28C8"/>
    <w:rsid w:val="00ED2A68"/>
    <w:rsid w:val="00ED314B"/>
    <w:rsid w:val="00ED4079"/>
    <w:rsid w:val="00ED4090"/>
    <w:rsid w:val="00ED49A2"/>
    <w:rsid w:val="00ED49C0"/>
    <w:rsid w:val="00ED4A8B"/>
    <w:rsid w:val="00ED4D99"/>
    <w:rsid w:val="00ED4F89"/>
    <w:rsid w:val="00ED554E"/>
    <w:rsid w:val="00ED558F"/>
    <w:rsid w:val="00ED565B"/>
    <w:rsid w:val="00ED596B"/>
    <w:rsid w:val="00ED5A21"/>
    <w:rsid w:val="00ED60CE"/>
    <w:rsid w:val="00ED6D28"/>
    <w:rsid w:val="00ED70FD"/>
    <w:rsid w:val="00ED74CB"/>
    <w:rsid w:val="00ED7585"/>
    <w:rsid w:val="00ED768E"/>
    <w:rsid w:val="00ED7856"/>
    <w:rsid w:val="00EE04B6"/>
    <w:rsid w:val="00EE0CDF"/>
    <w:rsid w:val="00EE125F"/>
    <w:rsid w:val="00EE1351"/>
    <w:rsid w:val="00EE1873"/>
    <w:rsid w:val="00EE1F73"/>
    <w:rsid w:val="00EE2C3C"/>
    <w:rsid w:val="00EE3390"/>
    <w:rsid w:val="00EE33C8"/>
    <w:rsid w:val="00EE3613"/>
    <w:rsid w:val="00EE4270"/>
    <w:rsid w:val="00EE42B1"/>
    <w:rsid w:val="00EE497A"/>
    <w:rsid w:val="00EE5014"/>
    <w:rsid w:val="00EE505D"/>
    <w:rsid w:val="00EE542A"/>
    <w:rsid w:val="00EE5841"/>
    <w:rsid w:val="00EE5A37"/>
    <w:rsid w:val="00EE5BB2"/>
    <w:rsid w:val="00EE601A"/>
    <w:rsid w:val="00EE6A53"/>
    <w:rsid w:val="00EE6E3E"/>
    <w:rsid w:val="00EE6FB3"/>
    <w:rsid w:val="00EE738E"/>
    <w:rsid w:val="00EE7A59"/>
    <w:rsid w:val="00EF0034"/>
    <w:rsid w:val="00EF0233"/>
    <w:rsid w:val="00EF0788"/>
    <w:rsid w:val="00EF0DC3"/>
    <w:rsid w:val="00EF197D"/>
    <w:rsid w:val="00EF1C8E"/>
    <w:rsid w:val="00EF26AA"/>
    <w:rsid w:val="00EF28E3"/>
    <w:rsid w:val="00EF2BBE"/>
    <w:rsid w:val="00EF2F3F"/>
    <w:rsid w:val="00EF3B3D"/>
    <w:rsid w:val="00EF4119"/>
    <w:rsid w:val="00EF431A"/>
    <w:rsid w:val="00EF4AE6"/>
    <w:rsid w:val="00EF516B"/>
    <w:rsid w:val="00EF552F"/>
    <w:rsid w:val="00EF5EC4"/>
    <w:rsid w:val="00EF633C"/>
    <w:rsid w:val="00EF6B93"/>
    <w:rsid w:val="00EF6CAB"/>
    <w:rsid w:val="00EF6E6E"/>
    <w:rsid w:val="00EF7558"/>
    <w:rsid w:val="00EF7582"/>
    <w:rsid w:val="00EF7833"/>
    <w:rsid w:val="00EF7CC4"/>
    <w:rsid w:val="00EF7F35"/>
    <w:rsid w:val="00EF7F69"/>
    <w:rsid w:val="00F00242"/>
    <w:rsid w:val="00F00255"/>
    <w:rsid w:val="00F00B7F"/>
    <w:rsid w:val="00F013C2"/>
    <w:rsid w:val="00F0148F"/>
    <w:rsid w:val="00F015F9"/>
    <w:rsid w:val="00F01CC4"/>
    <w:rsid w:val="00F02146"/>
    <w:rsid w:val="00F023B6"/>
    <w:rsid w:val="00F026E4"/>
    <w:rsid w:val="00F027C7"/>
    <w:rsid w:val="00F0355E"/>
    <w:rsid w:val="00F03A29"/>
    <w:rsid w:val="00F03EF1"/>
    <w:rsid w:val="00F044FE"/>
    <w:rsid w:val="00F05573"/>
    <w:rsid w:val="00F05591"/>
    <w:rsid w:val="00F0567F"/>
    <w:rsid w:val="00F05C06"/>
    <w:rsid w:val="00F06541"/>
    <w:rsid w:val="00F065ED"/>
    <w:rsid w:val="00F073A8"/>
    <w:rsid w:val="00F07878"/>
    <w:rsid w:val="00F078CA"/>
    <w:rsid w:val="00F07D4A"/>
    <w:rsid w:val="00F100D5"/>
    <w:rsid w:val="00F101E4"/>
    <w:rsid w:val="00F10C86"/>
    <w:rsid w:val="00F114CC"/>
    <w:rsid w:val="00F11645"/>
    <w:rsid w:val="00F11691"/>
    <w:rsid w:val="00F11739"/>
    <w:rsid w:val="00F1188D"/>
    <w:rsid w:val="00F1208B"/>
    <w:rsid w:val="00F12207"/>
    <w:rsid w:val="00F125F0"/>
    <w:rsid w:val="00F12721"/>
    <w:rsid w:val="00F128F0"/>
    <w:rsid w:val="00F12ABA"/>
    <w:rsid w:val="00F12CD9"/>
    <w:rsid w:val="00F136CD"/>
    <w:rsid w:val="00F13CA1"/>
    <w:rsid w:val="00F13CF1"/>
    <w:rsid w:val="00F14078"/>
    <w:rsid w:val="00F140B5"/>
    <w:rsid w:val="00F1423C"/>
    <w:rsid w:val="00F144E0"/>
    <w:rsid w:val="00F1536C"/>
    <w:rsid w:val="00F15562"/>
    <w:rsid w:val="00F1568F"/>
    <w:rsid w:val="00F1581D"/>
    <w:rsid w:val="00F15A04"/>
    <w:rsid w:val="00F16785"/>
    <w:rsid w:val="00F169E5"/>
    <w:rsid w:val="00F17518"/>
    <w:rsid w:val="00F178BC"/>
    <w:rsid w:val="00F179AE"/>
    <w:rsid w:val="00F17D40"/>
    <w:rsid w:val="00F17EAB"/>
    <w:rsid w:val="00F204CF"/>
    <w:rsid w:val="00F20A6B"/>
    <w:rsid w:val="00F20DDF"/>
    <w:rsid w:val="00F20E4E"/>
    <w:rsid w:val="00F21903"/>
    <w:rsid w:val="00F22549"/>
    <w:rsid w:val="00F2258D"/>
    <w:rsid w:val="00F227BB"/>
    <w:rsid w:val="00F227D6"/>
    <w:rsid w:val="00F22834"/>
    <w:rsid w:val="00F22F9A"/>
    <w:rsid w:val="00F23446"/>
    <w:rsid w:val="00F234A0"/>
    <w:rsid w:val="00F235F3"/>
    <w:rsid w:val="00F2392D"/>
    <w:rsid w:val="00F23E43"/>
    <w:rsid w:val="00F23FCF"/>
    <w:rsid w:val="00F24452"/>
    <w:rsid w:val="00F249D7"/>
    <w:rsid w:val="00F24B3F"/>
    <w:rsid w:val="00F254C1"/>
    <w:rsid w:val="00F25A01"/>
    <w:rsid w:val="00F25B59"/>
    <w:rsid w:val="00F25C13"/>
    <w:rsid w:val="00F261FA"/>
    <w:rsid w:val="00F267FE"/>
    <w:rsid w:val="00F26BE7"/>
    <w:rsid w:val="00F26DFB"/>
    <w:rsid w:val="00F26EF4"/>
    <w:rsid w:val="00F273D4"/>
    <w:rsid w:val="00F27690"/>
    <w:rsid w:val="00F276D5"/>
    <w:rsid w:val="00F277F1"/>
    <w:rsid w:val="00F279B3"/>
    <w:rsid w:val="00F3027C"/>
    <w:rsid w:val="00F3057E"/>
    <w:rsid w:val="00F30628"/>
    <w:rsid w:val="00F30B0E"/>
    <w:rsid w:val="00F310DC"/>
    <w:rsid w:val="00F31697"/>
    <w:rsid w:val="00F3177D"/>
    <w:rsid w:val="00F31805"/>
    <w:rsid w:val="00F31B1D"/>
    <w:rsid w:val="00F32103"/>
    <w:rsid w:val="00F3230B"/>
    <w:rsid w:val="00F3248F"/>
    <w:rsid w:val="00F32549"/>
    <w:rsid w:val="00F32A10"/>
    <w:rsid w:val="00F32A6C"/>
    <w:rsid w:val="00F32AE1"/>
    <w:rsid w:val="00F32B0B"/>
    <w:rsid w:val="00F32CFB"/>
    <w:rsid w:val="00F32D09"/>
    <w:rsid w:val="00F32D97"/>
    <w:rsid w:val="00F33099"/>
    <w:rsid w:val="00F335C9"/>
    <w:rsid w:val="00F336D7"/>
    <w:rsid w:val="00F33D9F"/>
    <w:rsid w:val="00F33E34"/>
    <w:rsid w:val="00F34A5A"/>
    <w:rsid w:val="00F35515"/>
    <w:rsid w:val="00F35559"/>
    <w:rsid w:val="00F36165"/>
    <w:rsid w:val="00F36446"/>
    <w:rsid w:val="00F364A2"/>
    <w:rsid w:val="00F365FA"/>
    <w:rsid w:val="00F36972"/>
    <w:rsid w:val="00F36A1E"/>
    <w:rsid w:val="00F36BC9"/>
    <w:rsid w:val="00F37445"/>
    <w:rsid w:val="00F37510"/>
    <w:rsid w:val="00F376CD"/>
    <w:rsid w:val="00F37994"/>
    <w:rsid w:val="00F37F66"/>
    <w:rsid w:val="00F37FC0"/>
    <w:rsid w:val="00F400DF"/>
    <w:rsid w:val="00F40390"/>
    <w:rsid w:val="00F40F55"/>
    <w:rsid w:val="00F4137F"/>
    <w:rsid w:val="00F418C8"/>
    <w:rsid w:val="00F419FA"/>
    <w:rsid w:val="00F41B1B"/>
    <w:rsid w:val="00F426D9"/>
    <w:rsid w:val="00F42D36"/>
    <w:rsid w:val="00F42DFA"/>
    <w:rsid w:val="00F432E9"/>
    <w:rsid w:val="00F43943"/>
    <w:rsid w:val="00F43B32"/>
    <w:rsid w:val="00F43C57"/>
    <w:rsid w:val="00F441F7"/>
    <w:rsid w:val="00F442AC"/>
    <w:rsid w:val="00F4466E"/>
    <w:rsid w:val="00F44848"/>
    <w:rsid w:val="00F44893"/>
    <w:rsid w:val="00F44C50"/>
    <w:rsid w:val="00F44EBD"/>
    <w:rsid w:val="00F456F4"/>
    <w:rsid w:val="00F4604C"/>
    <w:rsid w:val="00F46226"/>
    <w:rsid w:val="00F46374"/>
    <w:rsid w:val="00F464B2"/>
    <w:rsid w:val="00F47101"/>
    <w:rsid w:val="00F47630"/>
    <w:rsid w:val="00F477CB"/>
    <w:rsid w:val="00F4783F"/>
    <w:rsid w:val="00F478A4"/>
    <w:rsid w:val="00F47B5F"/>
    <w:rsid w:val="00F509CA"/>
    <w:rsid w:val="00F50AAA"/>
    <w:rsid w:val="00F5134F"/>
    <w:rsid w:val="00F52386"/>
    <w:rsid w:val="00F528A2"/>
    <w:rsid w:val="00F5372D"/>
    <w:rsid w:val="00F53D86"/>
    <w:rsid w:val="00F542C6"/>
    <w:rsid w:val="00F55593"/>
    <w:rsid w:val="00F56026"/>
    <w:rsid w:val="00F5621B"/>
    <w:rsid w:val="00F56BD4"/>
    <w:rsid w:val="00F56ECA"/>
    <w:rsid w:val="00F573CD"/>
    <w:rsid w:val="00F577B5"/>
    <w:rsid w:val="00F57B0D"/>
    <w:rsid w:val="00F60174"/>
    <w:rsid w:val="00F60374"/>
    <w:rsid w:val="00F6041C"/>
    <w:rsid w:val="00F60DD1"/>
    <w:rsid w:val="00F60E68"/>
    <w:rsid w:val="00F60FD0"/>
    <w:rsid w:val="00F612ED"/>
    <w:rsid w:val="00F61531"/>
    <w:rsid w:val="00F616BE"/>
    <w:rsid w:val="00F61707"/>
    <w:rsid w:val="00F624C1"/>
    <w:rsid w:val="00F62844"/>
    <w:rsid w:val="00F62BD9"/>
    <w:rsid w:val="00F62FA6"/>
    <w:rsid w:val="00F62FB0"/>
    <w:rsid w:val="00F63427"/>
    <w:rsid w:val="00F63D47"/>
    <w:rsid w:val="00F63F9E"/>
    <w:rsid w:val="00F646BC"/>
    <w:rsid w:val="00F64C36"/>
    <w:rsid w:val="00F64DE3"/>
    <w:rsid w:val="00F6506F"/>
    <w:rsid w:val="00F65684"/>
    <w:rsid w:val="00F65994"/>
    <w:rsid w:val="00F660BD"/>
    <w:rsid w:val="00F6610C"/>
    <w:rsid w:val="00F66F7A"/>
    <w:rsid w:val="00F66FEF"/>
    <w:rsid w:val="00F670DB"/>
    <w:rsid w:val="00F674CF"/>
    <w:rsid w:val="00F674F3"/>
    <w:rsid w:val="00F67612"/>
    <w:rsid w:val="00F67690"/>
    <w:rsid w:val="00F67832"/>
    <w:rsid w:val="00F678C0"/>
    <w:rsid w:val="00F678F1"/>
    <w:rsid w:val="00F67A0E"/>
    <w:rsid w:val="00F67BEC"/>
    <w:rsid w:val="00F704F5"/>
    <w:rsid w:val="00F7071F"/>
    <w:rsid w:val="00F70C82"/>
    <w:rsid w:val="00F70CAB"/>
    <w:rsid w:val="00F70D69"/>
    <w:rsid w:val="00F7107E"/>
    <w:rsid w:val="00F711C8"/>
    <w:rsid w:val="00F71524"/>
    <w:rsid w:val="00F71616"/>
    <w:rsid w:val="00F71932"/>
    <w:rsid w:val="00F72A0B"/>
    <w:rsid w:val="00F73187"/>
    <w:rsid w:val="00F7361E"/>
    <w:rsid w:val="00F73819"/>
    <w:rsid w:val="00F74A47"/>
    <w:rsid w:val="00F74AFD"/>
    <w:rsid w:val="00F74B62"/>
    <w:rsid w:val="00F74EEE"/>
    <w:rsid w:val="00F75543"/>
    <w:rsid w:val="00F75FD3"/>
    <w:rsid w:val="00F768A5"/>
    <w:rsid w:val="00F7793C"/>
    <w:rsid w:val="00F77BB1"/>
    <w:rsid w:val="00F77E19"/>
    <w:rsid w:val="00F8019F"/>
    <w:rsid w:val="00F801CD"/>
    <w:rsid w:val="00F8041D"/>
    <w:rsid w:val="00F804AC"/>
    <w:rsid w:val="00F80CB8"/>
    <w:rsid w:val="00F80D12"/>
    <w:rsid w:val="00F813F7"/>
    <w:rsid w:val="00F819EE"/>
    <w:rsid w:val="00F81A54"/>
    <w:rsid w:val="00F81EBF"/>
    <w:rsid w:val="00F825C9"/>
    <w:rsid w:val="00F82BAB"/>
    <w:rsid w:val="00F82C91"/>
    <w:rsid w:val="00F82F54"/>
    <w:rsid w:val="00F83100"/>
    <w:rsid w:val="00F83DEA"/>
    <w:rsid w:val="00F83E21"/>
    <w:rsid w:val="00F83EF5"/>
    <w:rsid w:val="00F84BE1"/>
    <w:rsid w:val="00F8514C"/>
    <w:rsid w:val="00F852C0"/>
    <w:rsid w:val="00F85423"/>
    <w:rsid w:val="00F858CD"/>
    <w:rsid w:val="00F858E4"/>
    <w:rsid w:val="00F86005"/>
    <w:rsid w:val="00F8600D"/>
    <w:rsid w:val="00F86028"/>
    <w:rsid w:val="00F861BD"/>
    <w:rsid w:val="00F865D5"/>
    <w:rsid w:val="00F86C16"/>
    <w:rsid w:val="00F87004"/>
    <w:rsid w:val="00F87B16"/>
    <w:rsid w:val="00F9052C"/>
    <w:rsid w:val="00F90AFE"/>
    <w:rsid w:val="00F90B6C"/>
    <w:rsid w:val="00F90CD1"/>
    <w:rsid w:val="00F90D1F"/>
    <w:rsid w:val="00F9174B"/>
    <w:rsid w:val="00F91762"/>
    <w:rsid w:val="00F91BE1"/>
    <w:rsid w:val="00F91C29"/>
    <w:rsid w:val="00F91CB2"/>
    <w:rsid w:val="00F921A6"/>
    <w:rsid w:val="00F92520"/>
    <w:rsid w:val="00F92848"/>
    <w:rsid w:val="00F92959"/>
    <w:rsid w:val="00F92C9C"/>
    <w:rsid w:val="00F934DB"/>
    <w:rsid w:val="00F93641"/>
    <w:rsid w:val="00F9412A"/>
    <w:rsid w:val="00F941B7"/>
    <w:rsid w:val="00F9436D"/>
    <w:rsid w:val="00F94669"/>
    <w:rsid w:val="00F948CC"/>
    <w:rsid w:val="00F950F0"/>
    <w:rsid w:val="00F95BBA"/>
    <w:rsid w:val="00F95C67"/>
    <w:rsid w:val="00F95E8A"/>
    <w:rsid w:val="00F96054"/>
    <w:rsid w:val="00F96529"/>
    <w:rsid w:val="00F9691A"/>
    <w:rsid w:val="00F969BF"/>
    <w:rsid w:val="00F96D10"/>
    <w:rsid w:val="00F96DFC"/>
    <w:rsid w:val="00F97996"/>
    <w:rsid w:val="00FA04DF"/>
    <w:rsid w:val="00FA05BF"/>
    <w:rsid w:val="00FA0845"/>
    <w:rsid w:val="00FA0B13"/>
    <w:rsid w:val="00FA0FE5"/>
    <w:rsid w:val="00FA1516"/>
    <w:rsid w:val="00FA15FB"/>
    <w:rsid w:val="00FA1FDC"/>
    <w:rsid w:val="00FA28F3"/>
    <w:rsid w:val="00FA2BB2"/>
    <w:rsid w:val="00FA2E2B"/>
    <w:rsid w:val="00FA2F10"/>
    <w:rsid w:val="00FA3096"/>
    <w:rsid w:val="00FA327E"/>
    <w:rsid w:val="00FA3C12"/>
    <w:rsid w:val="00FA3D17"/>
    <w:rsid w:val="00FA4036"/>
    <w:rsid w:val="00FA4280"/>
    <w:rsid w:val="00FA4590"/>
    <w:rsid w:val="00FA494C"/>
    <w:rsid w:val="00FA4BC1"/>
    <w:rsid w:val="00FA4F63"/>
    <w:rsid w:val="00FA50D5"/>
    <w:rsid w:val="00FA57C8"/>
    <w:rsid w:val="00FA5EA7"/>
    <w:rsid w:val="00FA5FF0"/>
    <w:rsid w:val="00FA6346"/>
    <w:rsid w:val="00FA6389"/>
    <w:rsid w:val="00FA6519"/>
    <w:rsid w:val="00FA6964"/>
    <w:rsid w:val="00FA72CA"/>
    <w:rsid w:val="00FA741C"/>
    <w:rsid w:val="00FA7745"/>
    <w:rsid w:val="00FB062C"/>
    <w:rsid w:val="00FB0916"/>
    <w:rsid w:val="00FB0AA6"/>
    <w:rsid w:val="00FB107E"/>
    <w:rsid w:val="00FB2777"/>
    <w:rsid w:val="00FB2A87"/>
    <w:rsid w:val="00FB2F75"/>
    <w:rsid w:val="00FB2FB1"/>
    <w:rsid w:val="00FB3196"/>
    <w:rsid w:val="00FB357E"/>
    <w:rsid w:val="00FB3656"/>
    <w:rsid w:val="00FB37BC"/>
    <w:rsid w:val="00FB40DC"/>
    <w:rsid w:val="00FB459A"/>
    <w:rsid w:val="00FB4DD9"/>
    <w:rsid w:val="00FB4F82"/>
    <w:rsid w:val="00FB5170"/>
    <w:rsid w:val="00FB52DE"/>
    <w:rsid w:val="00FB545D"/>
    <w:rsid w:val="00FB5807"/>
    <w:rsid w:val="00FB5B0B"/>
    <w:rsid w:val="00FB6728"/>
    <w:rsid w:val="00FB7126"/>
    <w:rsid w:val="00FB726C"/>
    <w:rsid w:val="00FB77D4"/>
    <w:rsid w:val="00FB7DB3"/>
    <w:rsid w:val="00FC03A3"/>
    <w:rsid w:val="00FC06A3"/>
    <w:rsid w:val="00FC1802"/>
    <w:rsid w:val="00FC1BAD"/>
    <w:rsid w:val="00FC1C09"/>
    <w:rsid w:val="00FC1C6F"/>
    <w:rsid w:val="00FC1D3D"/>
    <w:rsid w:val="00FC1FFB"/>
    <w:rsid w:val="00FC20E2"/>
    <w:rsid w:val="00FC2247"/>
    <w:rsid w:val="00FC2A59"/>
    <w:rsid w:val="00FC2FAC"/>
    <w:rsid w:val="00FC3D89"/>
    <w:rsid w:val="00FC477E"/>
    <w:rsid w:val="00FC4DA0"/>
    <w:rsid w:val="00FC517C"/>
    <w:rsid w:val="00FC5295"/>
    <w:rsid w:val="00FC5523"/>
    <w:rsid w:val="00FC5560"/>
    <w:rsid w:val="00FC5566"/>
    <w:rsid w:val="00FC5848"/>
    <w:rsid w:val="00FC5A99"/>
    <w:rsid w:val="00FC6108"/>
    <w:rsid w:val="00FC6181"/>
    <w:rsid w:val="00FC654D"/>
    <w:rsid w:val="00FC6724"/>
    <w:rsid w:val="00FC67B4"/>
    <w:rsid w:val="00FC70DA"/>
    <w:rsid w:val="00FC71D8"/>
    <w:rsid w:val="00FD00E7"/>
    <w:rsid w:val="00FD01F6"/>
    <w:rsid w:val="00FD02D3"/>
    <w:rsid w:val="00FD0511"/>
    <w:rsid w:val="00FD0A5E"/>
    <w:rsid w:val="00FD0F2B"/>
    <w:rsid w:val="00FD1360"/>
    <w:rsid w:val="00FD1EBF"/>
    <w:rsid w:val="00FD1FCB"/>
    <w:rsid w:val="00FD2121"/>
    <w:rsid w:val="00FD2210"/>
    <w:rsid w:val="00FD2E90"/>
    <w:rsid w:val="00FD2F04"/>
    <w:rsid w:val="00FD3349"/>
    <w:rsid w:val="00FD37B8"/>
    <w:rsid w:val="00FD3ABE"/>
    <w:rsid w:val="00FD3E8E"/>
    <w:rsid w:val="00FD467C"/>
    <w:rsid w:val="00FD50A2"/>
    <w:rsid w:val="00FD50FA"/>
    <w:rsid w:val="00FD51A7"/>
    <w:rsid w:val="00FD5723"/>
    <w:rsid w:val="00FD59EE"/>
    <w:rsid w:val="00FD5D17"/>
    <w:rsid w:val="00FD6A1B"/>
    <w:rsid w:val="00FD6C49"/>
    <w:rsid w:val="00FD6EE2"/>
    <w:rsid w:val="00FD6FF6"/>
    <w:rsid w:val="00FD71A9"/>
    <w:rsid w:val="00FD7CD5"/>
    <w:rsid w:val="00FE0902"/>
    <w:rsid w:val="00FE0975"/>
    <w:rsid w:val="00FE0A4C"/>
    <w:rsid w:val="00FE0CF0"/>
    <w:rsid w:val="00FE0F8E"/>
    <w:rsid w:val="00FE1635"/>
    <w:rsid w:val="00FE1672"/>
    <w:rsid w:val="00FE1694"/>
    <w:rsid w:val="00FE1771"/>
    <w:rsid w:val="00FE18D2"/>
    <w:rsid w:val="00FE1B88"/>
    <w:rsid w:val="00FE1BE9"/>
    <w:rsid w:val="00FE2140"/>
    <w:rsid w:val="00FE27AB"/>
    <w:rsid w:val="00FE2B7B"/>
    <w:rsid w:val="00FE4470"/>
    <w:rsid w:val="00FE4C9A"/>
    <w:rsid w:val="00FE54FC"/>
    <w:rsid w:val="00FE5A96"/>
    <w:rsid w:val="00FE627C"/>
    <w:rsid w:val="00FE6626"/>
    <w:rsid w:val="00FE6FC3"/>
    <w:rsid w:val="00FE724D"/>
    <w:rsid w:val="00FE7350"/>
    <w:rsid w:val="00FE75D4"/>
    <w:rsid w:val="00FE7708"/>
    <w:rsid w:val="00FE79D5"/>
    <w:rsid w:val="00FF00E6"/>
    <w:rsid w:val="00FF0CDD"/>
    <w:rsid w:val="00FF0F7C"/>
    <w:rsid w:val="00FF13B9"/>
    <w:rsid w:val="00FF146E"/>
    <w:rsid w:val="00FF172B"/>
    <w:rsid w:val="00FF1784"/>
    <w:rsid w:val="00FF1FC0"/>
    <w:rsid w:val="00FF208C"/>
    <w:rsid w:val="00FF230C"/>
    <w:rsid w:val="00FF27B1"/>
    <w:rsid w:val="00FF29C6"/>
    <w:rsid w:val="00FF303B"/>
    <w:rsid w:val="00FF32D3"/>
    <w:rsid w:val="00FF34C2"/>
    <w:rsid w:val="00FF35F5"/>
    <w:rsid w:val="00FF3CB8"/>
    <w:rsid w:val="00FF4043"/>
    <w:rsid w:val="00FF408B"/>
    <w:rsid w:val="00FF470E"/>
    <w:rsid w:val="00FF4808"/>
    <w:rsid w:val="00FF4A83"/>
    <w:rsid w:val="00FF4A98"/>
    <w:rsid w:val="00FF5DA1"/>
    <w:rsid w:val="00FF5E95"/>
    <w:rsid w:val="00FF5F7A"/>
    <w:rsid w:val="00FF6239"/>
    <w:rsid w:val="00FF6767"/>
    <w:rsid w:val="00FF6DD8"/>
    <w:rsid w:val="00FF703D"/>
    <w:rsid w:val="00FF7250"/>
    <w:rsid w:val="00FF78E9"/>
    <w:rsid w:val="00FF791E"/>
    <w:rsid w:val="00FF7995"/>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ED3F7F-0FC3-45D1-B027-BA4A15FC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C84"/>
    <w:rPr>
      <w:rFonts w:ascii="Tahoma" w:hAnsi="Tahoma" w:cs="Tahoma"/>
      <w:sz w:val="16"/>
      <w:szCs w:val="16"/>
    </w:rPr>
  </w:style>
  <w:style w:type="character" w:customStyle="1" w:styleId="BalloonTextChar">
    <w:name w:val="Balloon Text Char"/>
    <w:basedOn w:val="DefaultParagraphFont"/>
    <w:link w:val="BalloonText"/>
    <w:uiPriority w:val="99"/>
    <w:semiHidden/>
    <w:rsid w:val="00430C84"/>
    <w:rPr>
      <w:rFonts w:ascii="Tahoma" w:hAnsi="Tahoma" w:cs="Tahoma"/>
      <w:sz w:val="16"/>
      <w:szCs w:val="16"/>
    </w:rPr>
  </w:style>
  <w:style w:type="paragraph" w:styleId="Header">
    <w:name w:val="header"/>
    <w:basedOn w:val="Normal"/>
    <w:link w:val="HeaderChar"/>
    <w:uiPriority w:val="99"/>
    <w:unhideWhenUsed/>
    <w:rsid w:val="00A23CC7"/>
    <w:pPr>
      <w:tabs>
        <w:tab w:val="center" w:pos="4680"/>
        <w:tab w:val="right" w:pos="9360"/>
      </w:tabs>
    </w:pPr>
  </w:style>
  <w:style w:type="character" w:customStyle="1" w:styleId="HeaderChar">
    <w:name w:val="Header Char"/>
    <w:basedOn w:val="DefaultParagraphFont"/>
    <w:link w:val="Header"/>
    <w:uiPriority w:val="99"/>
    <w:rsid w:val="00A23CC7"/>
  </w:style>
  <w:style w:type="paragraph" w:styleId="Footer">
    <w:name w:val="footer"/>
    <w:basedOn w:val="Normal"/>
    <w:link w:val="FooterChar"/>
    <w:uiPriority w:val="99"/>
    <w:unhideWhenUsed/>
    <w:rsid w:val="00A23CC7"/>
    <w:pPr>
      <w:tabs>
        <w:tab w:val="center" w:pos="4680"/>
        <w:tab w:val="right" w:pos="9360"/>
      </w:tabs>
    </w:pPr>
  </w:style>
  <w:style w:type="character" w:customStyle="1" w:styleId="FooterChar">
    <w:name w:val="Footer Char"/>
    <w:basedOn w:val="DefaultParagraphFont"/>
    <w:link w:val="Footer"/>
    <w:uiPriority w:val="99"/>
    <w:rsid w:val="00A23CC7"/>
  </w:style>
  <w:style w:type="table" w:styleId="TableGrid">
    <w:name w:val="Table Grid"/>
    <w:basedOn w:val="TableNormal"/>
    <w:uiPriority w:val="59"/>
    <w:rsid w:val="009F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52146"/>
    <w:rPr>
      <w:rFonts w:ascii="Calibri" w:eastAsia="Calibri" w:hAnsi="Calibri" w:cs="Times New Roman"/>
      <w:sz w:val="20"/>
      <w:szCs w:val="20"/>
    </w:rPr>
  </w:style>
  <w:style w:type="character" w:customStyle="1" w:styleId="FootnoteTextChar">
    <w:name w:val="Footnote Text Char"/>
    <w:basedOn w:val="DefaultParagraphFont"/>
    <w:link w:val="FootnoteText"/>
    <w:rsid w:val="00B52146"/>
    <w:rPr>
      <w:rFonts w:ascii="Calibri" w:eastAsia="Calibri" w:hAnsi="Calibri" w:cs="Times New Roman"/>
      <w:sz w:val="20"/>
      <w:szCs w:val="20"/>
    </w:rPr>
  </w:style>
  <w:style w:type="character" w:styleId="FootnoteReference">
    <w:name w:val="footnote reference"/>
    <w:semiHidden/>
    <w:unhideWhenUsed/>
    <w:rsid w:val="00B52146"/>
    <w:rPr>
      <w:vertAlign w:val="superscript"/>
    </w:rPr>
  </w:style>
  <w:style w:type="character" w:styleId="Hyperlink">
    <w:name w:val="Hyperlink"/>
    <w:basedOn w:val="DefaultParagraphFont"/>
    <w:uiPriority w:val="99"/>
    <w:unhideWhenUsed/>
    <w:rsid w:val="00CB1341"/>
    <w:rPr>
      <w:color w:val="0000FF" w:themeColor="hyperlink"/>
      <w:u w:val="single"/>
    </w:rPr>
  </w:style>
  <w:style w:type="paragraph" w:styleId="ListParagraph">
    <w:name w:val="List Paragraph"/>
    <w:basedOn w:val="Normal"/>
    <w:uiPriority w:val="34"/>
    <w:qFormat/>
    <w:rsid w:val="00184492"/>
    <w:pPr>
      <w:ind w:left="720"/>
      <w:contextualSpacing/>
    </w:pPr>
  </w:style>
  <w:style w:type="character" w:styleId="Strong">
    <w:name w:val="Strong"/>
    <w:basedOn w:val="DefaultParagraphFont"/>
    <w:uiPriority w:val="22"/>
    <w:qFormat/>
    <w:rsid w:val="009E3052"/>
    <w:rPr>
      <w:b/>
      <w:bCs/>
    </w:rPr>
  </w:style>
  <w:style w:type="character" w:styleId="PageNumber">
    <w:name w:val="page number"/>
    <w:basedOn w:val="DefaultParagraphFont"/>
    <w:rsid w:val="003325C7"/>
  </w:style>
  <w:style w:type="paragraph" w:customStyle="1" w:styleId="Default">
    <w:name w:val="Default"/>
    <w:rsid w:val="003325C7"/>
    <w:pPr>
      <w:widowControl w:val="0"/>
      <w:autoSpaceDE w:val="0"/>
      <w:autoSpaceDN w:val="0"/>
      <w:adjustRightInd w:val="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5B2E83"/>
    <w:rPr>
      <w:sz w:val="20"/>
      <w:szCs w:val="20"/>
    </w:rPr>
  </w:style>
  <w:style w:type="character" w:customStyle="1" w:styleId="EndnoteTextChar">
    <w:name w:val="Endnote Text Char"/>
    <w:basedOn w:val="DefaultParagraphFont"/>
    <w:link w:val="EndnoteText"/>
    <w:uiPriority w:val="99"/>
    <w:semiHidden/>
    <w:rsid w:val="005B2E83"/>
    <w:rPr>
      <w:sz w:val="20"/>
      <w:szCs w:val="20"/>
    </w:rPr>
  </w:style>
  <w:style w:type="character" w:styleId="EndnoteReference">
    <w:name w:val="endnote reference"/>
    <w:basedOn w:val="DefaultParagraphFont"/>
    <w:uiPriority w:val="99"/>
    <w:semiHidden/>
    <w:unhideWhenUsed/>
    <w:rsid w:val="005B2E83"/>
    <w:rPr>
      <w:vertAlign w:val="superscript"/>
    </w:rPr>
  </w:style>
  <w:style w:type="character" w:styleId="PlaceholderText">
    <w:name w:val="Placeholder Text"/>
    <w:basedOn w:val="DefaultParagraphFont"/>
    <w:uiPriority w:val="99"/>
    <w:semiHidden/>
    <w:rsid w:val="0008555D"/>
    <w:rPr>
      <w:color w:val="808080"/>
    </w:rPr>
  </w:style>
  <w:style w:type="character" w:styleId="FollowedHyperlink">
    <w:name w:val="FollowedHyperlink"/>
    <w:basedOn w:val="DefaultParagraphFont"/>
    <w:uiPriority w:val="99"/>
    <w:semiHidden/>
    <w:unhideWhenUsed/>
    <w:rsid w:val="00DE595A"/>
    <w:rPr>
      <w:color w:val="800080" w:themeColor="followedHyperlink"/>
      <w:u w:val="single"/>
    </w:rPr>
  </w:style>
  <w:style w:type="numbering" w:customStyle="1" w:styleId="NoList1">
    <w:name w:val="No List1"/>
    <w:next w:val="NoList"/>
    <w:uiPriority w:val="99"/>
    <w:semiHidden/>
    <w:unhideWhenUsed/>
    <w:rsid w:val="00F2258D"/>
  </w:style>
  <w:style w:type="table" w:customStyle="1" w:styleId="TableGrid1">
    <w:name w:val="Table Grid1"/>
    <w:basedOn w:val="TableNormal"/>
    <w:next w:val="TableGrid"/>
    <w:uiPriority w:val="59"/>
    <w:rsid w:val="00F2258D"/>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5D39"/>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6E3623"/>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3">
    <w:name w:val="Table Grid3"/>
    <w:basedOn w:val="TableNormal"/>
    <w:next w:val="TableGrid"/>
    <w:uiPriority w:val="59"/>
    <w:rsid w:val="006D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0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133"/>
    <w:rPr>
      <w:sz w:val="16"/>
      <w:szCs w:val="16"/>
    </w:rPr>
  </w:style>
  <w:style w:type="paragraph" w:styleId="CommentText">
    <w:name w:val="annotation text"/>
    <w:basedOn w:val="Normal"/>
    <w:link w:val="CommentTextChar"/>
    <w:uiPriority w:val="99"/>
    <w:semiHidden/>
    <w:unhideWhenUsed/>
    <w:rsid w:val="00864133"/>
    <w:rPr>
      <w:sz w:val="20"/>
      <w:szCs w:val="20"/>
    </w:rPr>
  </w:style>
  <w:style w:type="character" w:customStyle="1" w:styleId="CommentTextChar">
    <w:name w:val="Comment Text Char"/>
    <w:basedOn w:val="DefaultParagraphFont"/>
    <w:link w:val="CommentText"/>
    <w:uiPriority w:val="99"/>
    <w:semiHidden/>
    <w:rsid w:val="00864133"/>
    <w:rPr>
      <w:sz w:val="20"/>
      <w:szCs w:val="20"/>
    </w:rPr>
  </w:style>
  <w:style w:type="paragraph" w:styleId="CommentSubject">
    <w:name w:val="annotation subject"/>
    <w:basedOn w:val="CommentText"/>
    <w:next w:val="CommentText"/>
    <w:link w:val="CommentSubjectChar"/>
    <w:uiPriority w:val="99"/>
    <w:semiHidden/>
    <w:unhideWhenUsed/>
    <w:rsid w:val="00864133"/>
    <w:rPr>
      <w:b/>
      <w:bCs/>
    </w:rPr>
  </w:style>
  <w:style w:type="character" w:customStyle="1" w:styleId="CommentSubjectChar">
    <w:name w:val="Comment Subject Char"/>
    <w:basedOn w:val="CommentTextChar"/>
    <w:link w:val="CommentSubject"/>
    <w:uiPriority w:val="99"/>
    <w:semiHidden/>
    <w:rsid w:val="00864133"/>
    <w:rPr>
      <w:b/>
      <w:bCs/>
      <w:sz w:val="20"/>
      <w:szCs w:val="20"/>
    </w:rPr>
  </w:style>
  <w:style w:type="paragraph" w:styleId="NoSpacing">
    <w:name w:val="No Spacing"/>
    <w:uiPriority w:val="1"/>
    <w:qFormat/>
    <w:rsid w:val="00CD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479">
      <w:bodyDiv w:val="1"/>
      <w:marLeft w:val="0"/>
      <w:marRight w:val="0"/>
      <w:marTop w:val="0"/>
      <w:marBottom w:val="0"/>
      <w:divBdr>
        <w:top w:val="none" w:sz="0" w:space="0" w:color="auto"/>
        <w:left w:val="none" w:sz="0" w:space="0" w:color="auto"/>
        <w:bottom w:val="none" w:sz="0" w:space="0" w:color="auto"/>
        <w:right w:val="none" w:sz="0" w:space="0" w:color="auto"/>
      </w:divBdr>
      <w:divsChild>
        <w:div w:id="225452478">
          <w:marLeft w:val="0"/>
          <w:marRight w:val="0"/>
          <w:marTop w:val="0"/>
          <w:marBottom w:val="0"/>
          <w:divBdr>
            <w:top w:val="single" w:sz="2" w:space="0" w:color="2E2E2E"/>
            <w:left w:val="single" w:sz="2" w:space="0" w:color="2E2E2E"/>
            <w:bottom w:val="single" w:sz="2" w:space="0" w:color="2E2E2E"/>
            <w:right w:val="single" w:sz="2" w:space="0" w:color="2E2E2E"/>
          </w:divBdr>
          <w:divsChild>
            <w:div w:id="1392848186">
              <w:marLeft w:val="0"/>
              <w:marRight w:val="0"/>
              <w:marTop w:val="0"/>
              <w:marBottom w:val="0"/>
              <w:divBdr>
                <w:top w:val="single" w:sz="6" w:space="0" w:color="C9C9C9"/>
                <w:left w:val="none" w:sz="0" w:space="0" w:color="auto"/>
                <w:bottom w:val="none" w:sz="0" w:space="0" w:color="auto"/>
                <w:right w:val="none" w:sz="0" w:space="0" w:color="auto"/>
              </w:divBdr>
              <w:divsChild>
                <w:div w:id="963998150">
                  <w:marLeft w:val="0"/>
                  <w:marRight w:val="0"/>
                  <w:marTop w:val="0"/>
                  <w:marBottom w:val="0"/>
                  <w:divBdr>
                    <w:top w:val="none" w:sz="0" w:space="0" w:color="auto"/>
                    <w:left w:val="none" w:sz="0" w:space="0" w:color="auto"/>
                    <w:bottom w:val="none" w:sz="0" w:space="0" w:color="auto"/>
                    <w:right w:val="none" w:sz="0" w:space="0" w:color="auto"/>
                  </w:divBdr>
                  <w:divsChild>
                    <w:div w:id="874540908">
                      <w:marLeft w:val="0"/>
                      <w:marRight w:val="0"/>
                      <w:marTop w:val="0"/>
                      <w:marBottom w:val="0"/>
                      <w:divBdr>
                        <w:top w:val="none" w:sz="0" w:space="0" w:color="auto"/>
                        <w:left w:val="none" w:sz="0" w:space="0" w:color="auto"/>
                        <w:bottom w:val="none" w:sz="0" w:space="0" w:color="auto"/>
                        <w:right w:val="none" w:sz="0" w:space="0" w:color="auto"/>
                      </w:divBdr>
                      <w:divsChild>
                        <w:div w:id="14108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422035">
      <w:bodyDiv w:val="1"/>
      <w:marLeft w:val="0"/>
      <w:marRight w:val="0"/>
      <w:marTop w:val="0"/>
      <w:marBottom w:val="0"/>
      <w:divBdr>
        <w:top w:val="none" w:sz="0" w:space="0" w:color="auto"/>
        <w:left w:val="none" w:sz="0" w:space="0" w:color="auto"/>
        <w:bottom w:val="none" w:sz="0" w:space="0" w:color="auto"/>
        <w:right w:val="none" w:sz="0" w:space="0" w:color="auto"/>
      </w:divBdr>
      <w:divsChild>
        <w:div w:id="1182551735">
          <w:marLeft w:val="0"/>
          <w:marRight w:val="75"/>
          <w:marTop w:val="0"/>
          <w:marBottom w:val="0"/>
          <w:divBdr>
            <w:top w:val="none" w:sz="0" w:space="0" w:color="auto"/>
            <w:left w:val="single" w:sz="6" w:space="2" w:color="DDDDDD"/>
            <w:bottom w:val="single" w:sz="6" w:space="2" w:color="DDDDDD"/>
            <w:right w:val="none" w:sz="0" w:space="0" w:color="auto"/>
          </w:divBdr>
          <w:divsChild>
            <w:div w:id="1780639720">
              <w:marLeft w:val="0"/>
              <w:marRight w:val="0"/>
              <w:marTop w:val="0"/>
              <w:marBottom w:val="0"/>
              <w:divBdr>
                <w:top w:val="single" w:sz="6" w:space="8" w:color="A6B5C7"/>
                <w:left w:val="single" w:sz="6" w:space="8" w:color="A6B5C7"/>
                <w:bottom w:val="single" w:sz="6" w:space="8" w:color="A6B5C7"/>
                <w:right w:val="single" w:sz="6" w:space="8" w:color="A6B5C7"/>
              </w:divBdr>
              <w:divsChild>
                <w:div w:id="427426832">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721176042">
      <w:bodyDiv w:val="1"/>
      <w:marLeft w:val="0"/>
      <w:marRight w:val="0"/>
      <w:marTop w:val="0"/>
      <w:marBottom w:val="0"/>
      <w:divBdr>
        <w:top w:val="none" w:sz="0" w:space="0" w:color="auto"/>
        <w:left w:val="none" w:sz="0" w:space="0" w:color="auto"/>
        <w:bottom w:val="none" w:sz="0" w:space="0" w:color="auto"/>
        <w:right w:val="none" w:sz="0" w:space="0" w:color="auto"/>
      </w:divBdr>
    </w:div>
    <w:div w:id="1048183364">
      <w:bodyDiv w:val="1"/>
      <w:marLeft w:val="0"/>
      <w:marRight w:val="0"/>
      <w:marTop w:val="0"/>
      <w:marBottom w:val="0"/>
      <w:divBdr>
        <w:top w:val="none" w:sz="0" w:space="0" w:color="auto"/>
        <w:left w:val="none" w:sz="0" w:space="0" w:color="auto"/>
        <w:bottom w:val="none" w:sz="0" w:space="0" w:color="auto"/>
        <w:right w:val="none" w:sz="0" w:space="0" w:color="auto"/>
      </w:divBdr>
      <w:divsChild>
        <w:div w:id="1982417134">
          <w:marLeft w:val="0"/>
          <w:marRight w:val="75"/>
          <w:marTop w:val="0"/>
          <w:marBottom w:val="0"/>
          <w:divBdr>
            <w:top w:val="none" w:sz="0" w:space="0" w:color="auto"/>
            <w:left w:val="single" w:sz="6" w:space="2" w:color="DDDDDD"/>
            <w:bottom w:val="single" w:sz="6" w:space="2" w:color="DDDDDD"/>
            <w:right w:val="none" w:sz="0" w:space="0" w:color="auto"/>
          </w:divBdr>
          <w:divsChild>
            <w:div w:id="1699617800">
              <w:marLeft w:val="0"/>
              <w:marRight w:val="0"/>
              <w:marTop w:val="0"/>
              <w:marBottom w:val="0"/>
              <w:divBdr>
                <w:top w:val="single" w:sz="6" w:space="8" w:color="A6B5C7"/>
                <w:left w:val="single" w:sz="6" w:space="8" w:color="A6B5C7"/>
                <w:bottom w:val="single" w:sz="6" w:space="8" w:color="A6B5C7"/>
                <w:right w:val="single" w:sz="6" w:space="8" w:color="A6B5C7"/>
              </w:divBdr>
              <w:divsChild>
                <w:div w:id="1231965272">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iencedirect.com/science/article/pii/S0927539897000078" TargetMode="External"/><Relationship Id="rId18" Type="http://schemas.openxmlformats.org/officeDocument/2006/relationships/hyperlink" Target="http://www.sciencedirect.com/science/article/pii/S0927539897000078"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sciencedirect.com/science/article/pii/S0927539897000078" TargetMode="External"/><Relationship Id="rId7" Type="http://schemas.openxmlformats.org/officeDocument/2006/relationships/endnotes" Target="endnotes.xml"/><Relationship Id="rId12" Type="http://schemas.openxmlformats.org/officeDocument/2006/relationships/hyperlink" Target="http://www.sciencedirect.com/science/article/pii/S0927539897000078" TargetMode="External"/><Relationship Id="rId17" Type="http://schemas.openxmlformats.org/officeDocument/2006/relationships/hyperlink" Target="http://www.sciencedirect.com/science/article/pii/S0927539897000078"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sciencedirect.com/science/article/pii/S0927539897000078" TargetMode="External"/><Relationship Id="rId20" Type="http://schemas.openxmlformats.org/officeDocument/2006/relationships/hyperlink" Target="http://www.sciencedirect.com/science/article/pii/S0927539897000078"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science/article/pii/S0927539897000078" TargetMode="External"/><Relationship Id="rId23" Type="http://schemas.openxmlformats.org/officeDocument/2006/relationships/image" Target="media/image1.emf"/><Relationship Id="rId28" Type="http://schemas.openxmlformats.org/officeDocument/2006/relationships/oleObject" Target="embeddings/oleObject3.bin"/><Relationship Id="rId10" Type="http://schemas.openxmlformats.org/officeDocument/2006/relationships/footer" Target="footer3.xml"/><Relationship Id="rId19" Type="http://schemas.openxmlformats.org/officeDocument/2006/relationships/hyperlink" Target="http://www.sciencedirect.com/science/article/pii/S092753989700007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ciencedirect.com/science/article/pii/S0927539897000078" TargetMode="External"/><Relationship Id="rId22" Type="http://schemas.openxmlformats.org/officeDocument/2006/relationships/footer" Target="footer5.xml"/><Relationship Id="rId27" Type="http://schemas.openxmlformats.org/officeDocument/2006/relationships/image" Target="media/image3.emf"/><Relationship Id="rId30"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D14D-0634-40B2-91E0-207A6340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11421</Words>
  <Characters>65104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sahmedk</dc:creator>
  <cp:keywords/>
  <dc:description/>
  <cp:lastModifiedBy>SHAMIM</cp:lastModifiedBy>
  <cp:revision>4</cp:revision>
  <cp:lastPrinted>2015-03-06T04:43:00Z</cp:lastPrinted>
  <dcterms:created xsi:type="dcterms:W3CDTF">2016-08-14T20:45:00Z</dcterms:created>
  <dcterms:modified xsi:type="dcterms:W3CDTF">2016-08-14T20:49:00Z</dcterms:modified>
</cp:coreProperties>
</file>