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7AA88" w14:textId="77777777" w:rsidR="008B07A5" w:rsidRPr="00825D85" w:rsidRDefault="008B07A5" w:rsidP="008B07A5">
      <w:pPr>
        <w:spacing w:line="276" w:lineRule="auto"/>
        <w:rPr>
          <w:b/>
          <w:sz w:val="24"/>
        </w:rPr>
      </w:pPr>
      <w:bookmarkStart w:id="0" w:name="_GoBack"/>
      <w:bookmarkEnd w:id="0"/>
      <w:r w:rsidRPr="00825D85">
        <w:rPr>
          <w:b/>
          <w:sz w:val="24"/>
        </w:rPr>
        <w:t>Title</w:t>
      </w:r>
    </w:p>
    <w:p w14:paraId="5945E797" w14:textId="77777777" w:rsidR="008B07A5" w:rsidRPr="00825D85" w:rsidRDefault="008B07A5" w:rsidP="008B07A5">
      <w:pPr>
        <w:spacing w:line="276" w:lineRule="auto"/>
        <w:rPr>
          <w:sz w:val="24"/>
        </w:rPr>
      </w:pPr>
      <w:r w:rsidRPr="00825D85">
        <w:rPr>
          <w:bCs/>
          <w:iCs/>
          <w:sz w:val="24"/>
        </w:rPr>
        <w:t xml:space="preserve">A genome-wide investigation of the worldwide invader </w:t>
      </w:r>
      <w:r w:rsidRPr="00825D85">
        <w:rPr>
          <w:bCs/>
          <w:i/>
          <w:iCs/>
          <w:sz w:val="24"/>
        </w:rPr>
        <w:t>Sargassum muticum</w:t>
      </w:r>
      <w:r w:rsidRPr="00825D85">
        <w:rPr>
          <w:bCs/>
          <w:iCs/>
          <w:sz w:val="24"/>
        </w:rPr>
        <w:t xml:space="preserve"> shows high success albeit (almost) no genetic diversity</w:t>
      </w:r>
    </w:p>
    <w:p w14:paraId="69D270EE" w14:textId="77777777" w:rsidR="008B07A5" w:rsidRDefault="008B07A5" w:rsidP="008B07A5">
      <w:pPr>
        <w:spacing w:line="276" w:lineRule="auto"/>
        <w:rPr>
          <w:b/>
        </w:rPr>
      </w:pPr>
    </w:p>
    <w:p w14:paraId="49435BF0" w14:textId="77777777" w:rsidR="008B07A5" w:rsidRPr="00825D85" w:rsidRDefault="008B07A5" w:rsidP="008B07A5">
      <w:pPr>
        <w:spacing w:line="276" w:lineRule="auto"/>
        <w:rPr>
          <w:b/>
        </w:rPr>
      </w:pPr>
      <w:r w:rsidRPr="00825D85">
        <w:rPr>
          <w:b/>
        </w:rPr>
        <w:t>Running head</w:t>
      </w:r>
    </w:p>
    <w:p w14:paraId="382ADB3B" w14:textId="77777777" w:rsidR="008B07A5" w:rsidRPr="00825D85" w:rsidRDefault="008B07A5" w:rsidP="008B07A5">
      <w:pPr>
        <w:spacing w:line="276" w:lineRule="auto"/>
        <w:rPr>
          <w:i/>
        </w:rPr>
      </w:pPr>
      <w:r w:rsidRPr="00825D85">
        <w:t>Invasive success with (almost) no genetic diversity</w:t>
      </w:r>
    </w:p>
    <w:p w14:paraId="5F29467D" w14:textId="77777777" w:rsidR="008B07A5" w:rsidRPr="00825D85" w:rsidRDefault="008B07A5" w:rsidP="008B07A5">
      <w:pPr>
        <w:spacing w:line="276" w:lineRule="auto"/>
        <w:rPr>
          <w:b/>
        </w:rPr>
      </w:pPr>
    </w:p>
    <w:p w14:paraId="4D82245E" w14:textId="77777777" w:rsidR="008B07A5" w:rsidRPr="00825D85" w:rsidRDefault="008B07A5" w:rsidP="008B07A5">
      <w:pPr>
        <w:spacing w:line="276" w:lineRule="auto"/>
        <w:rPr>
          <w:b/>
        </w:rPr>
      </w:pPr>
      <w:r w:rsidRPr="00825D85">
        <w:rPr>
          <w:b/>
        </w:rPr>
        <w:t>Authors (names, affiliation, e-mail addresses)</w:t>
      </w:r>
    </w:p>
    <w:p w14:paraId="14BA06C3" w14:textId="77777777" w:rsidR="008B07A5" w:rsidRPr="00825D85" w:rsidRDefault="008B07A5" w:rsidP="008B07A5">
      <w:pPr>
        <w:spacing w:line="276" w:lineRule="auto"/>
        <w:rPr>
          <w:lang w:val="pt-PT"/>
        </w:rPr>
      </w:pPr>
      <w:r w:rsidRPr="00825D85">
        <w:rPr>
          <w:lang w:val="pt-PT"/>
        </w:rPr>
        <w:t xml:space="preserve">Sabrina Le Cam </w:t>
      </w:r>
      <w:r w:rsidRPr="00825D85">
        <w:rPr>
          <w:vertAlign w:val="superscript"/>
          <w:lang w:val="pt-PT"/>
        </w:rPr>
        <w:t>(1)</w:t>
      </w:r>
      <w:r w:rsidRPr="00825D85">
        <w:rPr>
          <w:lang w:val="pt-PT"/>
        </w:rPr>
        <w:t xml:space="preserve">, </w:t>
      </w:r>
      <w:r w:rsidRPr="00825D85">
        <w:rPr>
          <w:rFonts w:eastAsia="Droid Sans Fallback"/>
          <w:lang w:val="pt-PT"/>
        </w:rPr>
        <w:t>sablecam15@gmail.com</w:t>
      </w:r>
    </w:p>
    <w:p w14:paraId="3FA22DCC" w14:textId="77777777" w:rsidR="008B07A5" w:rsidRPr="00825D85" w:rsidRDefault="008B07A5" w:rsidP="008B07A5">
      <w:pPr>
        <w:spacing w:line="276" w:lineRule="auto"/>
      </w:pPr>
      <w:r w:rsidRPr="00825D85">
        <w:t xml:space="preserve">Claire Daguin-Thiébaut </w:t>
      </w:r>
      <w:r w:rsidRPr="00825D85">
        <w:rPr>
          <w:vertAlign w:val="superscript"/>
        </w:rPr>
        <w:t>(1)</w:t>
      </w:r>
      <w:r w:rsidRPr="00825D85">
        <w:t>, claire.daguin@sb-roscoff.fr</w:t>
      </w:r>
    </w:p>
    <w:p w14:paraId="4BC3C579" w14:textId="77777777" w:rsidR="008B07A5" w:rsidRPr="00385916" w:rsidRDefault="008B07A5" w:rsidP="008B07A5">
      <w:pPr>
        <w:spacing w:line="276" w:lineRule="auto"/>
        <w:rPr>
          <w:vertAlign w:val="superscript"/>
        </w:rPr>
      </w:pPr>
      <w:r w:rsidRPr="00385916">
        <w:t xml:space="preserve">Sarah Bouchemousse </w:t>
      </w:r>
      <w:r w:rsidRPr="00385916">
        <w:rPr>
          <w:vertAlign w:val="superscript"/>
        </w:rPr>
        <w:t>(1)</w:t>
      </w:r>
      <w:r w:rsidRPr="00385916">
        <w:t>, sarah.bouchemousse@gmail.com</w:t>
      </w:r>
    </w:p>
    <w:p w14:paraId="307B8F0C" w14:textId="77777777" w:rsidR="008B07A5" w:rsidRPr="00825D85" w:rsidRDefault="008B07A5" w:rsidP="008B07A5">
      <w:pPr>
        <w:spacing w:line="276" w:lineRule="auto"/>
        <w:rPr>
          <w:vertAlign w:val="superscript"/>
        </w:rPr>
      </w:pPr>
      <w:r w:rsidRPr="00825D85">
        <w:t xml:space="preserve">Aschwin H. Engelen </w:t>
      </w:r>
      <w:r w:rsidRPr="00825D85">
        <w:rPr>
          <w:vertAlign w:val="superscript"/>
        </w:rPr>
        <w:t>(2)</w:t>
      </w:r>
      <w:r w:rsidRPr="00825D85">
        <w:t>, aengelen@ualg.pt</w:t>
      </w:r>
    </w:p>
    <w:p w14:paraId="0F2B7BE8" w14:textId="77777777" w:rsidR="008B07A5" w:rsidRPr="008B07A5" w:rsidRDefault="008B07A5" w:rsidP="008B07A5">
      <w:pPr>
        <w:spacing w:line="276" w:lineRule="auto"/>
        <w:rPr>
          <w:lang w:val="fr-FR"/>
        </w:rPr>
      </w:pPr>
      <w:r w:rsidRPr="008B07A5">
        <w:rPr>
          <w:lang w:val="fr-FR"/>
        </w:rPr>
        <w:t>Nova Mieszkowska</w:t>
      </w:r>
      <w:r w:rsidRPr="008B07A5">
        <w:rPr>
          <w:vertAlign w:val="superscript"/>
          <w:lang w:val="fr-FR"/>
        </w:rPr>
        <w:t>(3,4)</w:t>
      </w:r>
      <w:r w:rsidRPr="008B07A5">
        <w:rPr>
          <w:lang w:val="fr-FR"/>
        </w:rPr>
        <w:t>, nova@MBA.ac.uk</w:t>
      </w:r>
    </w:p>
    <w:p w14:paraId="123D1DC5" w14:textId="77777777" w:rsidR="008B07A5" w:rsidRPr="008B07A5" w:rsidRDefault="008B07A5" w:rsidP="008B07A5">
      <w:pPr>
        <w:spacing w:line="276" w:lineRule="auto"/>
        <w:rPr>
          <w:lang w:val="fr-FR"/>
        </w:rPr>
      </w:pPr>
      <w:r w:rsidRPr="008B07A5">
        <w:rPr>
          <w:lang w:val="fr-FR"/>
        </w:rPr>
        <w:t xml:space="preserve">Frédérique Viard </w:t>
      </w:r>
      <w:r w:rsidRPr="008B07A5">
        <w:rPr>
          <w:vertAlign w:val="superscript"/>
          <w:lang w:val="fr-FR"/>
        </w:rPr>
        <w:t>(1)</w:t>
      </w:r>
      <w:r w:rsidRPr="008B07A5">
        <w:rPr>
          <w:lang w:val="fr-FR"/>
        </w:rPr>
        <w:t>, viard@sb-roscoff.fr, author for correspondence</w:t>
      </w:r>
    </w:p>
    <w:p w14:paraId="4DABC1AB" w14:textId="77777777" w:rsidR="008B07A5" w:rsidRPr="008B07A5" w:rsidRDefault="008B07A5" w:rsidP="008B07A5">
      <w:pPr>
        <w:spacing w:line="276" w:lineRule="auto"/>
        <w:rPr>
          <w:lang w:val="fr-FR"/>
        </w:rPr>
      </w:pPr>
    </w:p>
    <w:p w14:paraId="51319250" w14:textId="77777777" w:rsidR="008B07A5" w:rsidRPr="008B07A5" w:rsidRDefault="008B07A5" w:rsidP="008B07A5">
      <w:pPr>
        <w:spacing w:line="276" w:lineRule="auto"/>
        <w:rPr>
          <w:lang w:val="fr-FR"/>
        </w:rPr>
      </w:pPr>
      <w:r w:rsidRPr="008B07A5">
        <w:rPr>
          <w:lang w:val="fr-FR"/>
        </w:rPr>
        <w:t>(1) Sorbonne Université, CNRS, Lab. Adaptation &amp; Diversity in Marine Environments (UMR 7144 CNRS SU), Station Biologique de Roscoff, Place G. Teissier, 29680 Roscoff</w:t>
      </w:r>
    </w:p>
    <w:p w14:paraId="75C6F50E" w14:textId="77777777" w:rsidR="008B07A5" w:rsidRPr="00825D85" w:rsidRDefault="008B07A5" w:rsidP="008B07A5">
      <w:pPr>
        <w:spacing w:line="276" w:lineRule="auto"/>
      </w:pPr>
      <w:r w:rsidRPr="00825D85">
        <w:t xml:space="preserve">(2) Center for Marine Sciences (CCMAR), University of Algarve, Campus de Gambelas, Faro, 8005-139, Portugal </w:t>
      </w:r>
    </w:p>
    <w:p w14:paraId="6CB40CCC" w14:textId="77777777" w:rsidR="008B07A5" w:rsidRDefault="008B07A5" w:rsidP="008B07A5">
      <w:pPr>
        <w:spacing w:line="276" w:lineRule="auto"/>
      </w:pPr>
      <w:r w:rsidRPr="00825D85">
        <w:t>(3) Marine Biological Association of the U.K. (MBA), Citadel Hill, Plymouth PL12PB, UK</w:t>
      </w:r>
    </w:p>
    <w:p w14:paraId="525BF1E8" w14:textId="77777777" w:rsidR="008B07A5" w:rsidRPr="00825D85" w:rsidRDefault="008B07A5" w:rsidP="008B07A5">
      <w:pPr>
        <w:spacing w:line="276" w:lineRule="auto"/>
      </w:pPr>
      <w:r>
        <w:t>(4) School of Environmental Sciences, University of Liverpool, Liverpool, L69 3GP, UK</w:t>
      </w:r>
    </w:p>
    <w:p w14:paraId="2C5C3E9A" w14:textId="77777777" w:rsidR="008B07A5" w:rsidRPr="00825D85" w:rsidRDefault="008B07A5" w:rsidP="008B07A5">
      <w:pPr>
        <w:spacing w:line="276" w:lineRule="auto"/>
        <w:rPr>
          <w:b/>
        </w:rPr>
      </w:pPr>
    </w:p>
    <w:p w14:paraId="03A7B7F3" w14:textId="77777777" w:rsidR="008B07A5" w:rsidRPr="00825D85" w:rsidRDefault="008B07A5" w:rsidP="008B07A5">
      <w:pPr>
        <w:spacing w:line="276" w:lineRule="auto"/>
        <w:rPr>
          <w:b/>
          <w:bCs/>
        </w:rPr>
      </w:pPr>
      <w:r w:rsidRPr="00825D85">
        <w:rPr>
          <w:b/>
        </w:rPr>
        <w:t>Author</w:t>
      </w:r>
      <w:r w:rsidRPr="00825D85">
        <w:rPr>
          <w:b/>
          <w:spacing w:val="-19"/>
        </w:rPr>
        <w:t xml:space="preserve"> </w:t>
      </w:r>
      <w:r w:rsidRPr="00825D85">
        <w:rPr>
          <w:b/>
          <w:spacing w:val="-1"/>
        </w:rPr>
        <w:t>contributions</w:t>
      </w:r>
      <w:r w:rsidRPr="00825D85">
        <w:rPr>
          <w:b/>
          <w:spacing w:val="-18"/>
        </w:rPr>
        <w:t xml:space="preserve"> </w:t>
      </w:r>
      <w:r w:rsidRPr="00825D85">
        <w:rPr>
          <w:b/>
        </w:rPr>
        <w:t>statement</w:t>
      </w:r>
    </w:p>
    <w:p w14:paraId="54489861" w14:textId="77777777" w:rsidR="008B07A5" w:rsidRPr="00825D85" w:rsidRDefault="008B07A5" w:rsidP="008B07A5">
      <w:pPr>
        <w:pStyle w:val="BodyText"/>
        <w:spacing w:before="101" w:line="276" w:lineRule="auto"/>
        <w:ind w:left="0"/>
        <w:rPr>
          <w:rFonts w:asciiTheme="minorHAnsi" w:hAnsiTheme="minorHAnsi" w:cs="Arial"/>
          <w:sz w:val="22"/>
          <w:szCs w:val="22"/>
        </w:rPr>
      </w:pPr>
      <w:r w:rsidRPr="00825D85">
        <w:rPr>
          <w:rFonts w:asciiTheme="minorHAnsi" w:hAnsiTheme="minorHAnsi" w:cs="Arial"/>
          <w:sz w:val="22"/>
          <w:szCs w:val="22"/>
        </w:rPr>
        <w:t>F.V.</w:t>
      </w:r>
      <w:r w:rsidRPr="00825D85">
        <w:rPr>
          <w:rFonts w:asciiTheme="minorHAnsi" w:hAnsiTheme="minorHAnsi" w:cs="Arial"/>
          <w:spacing w:val="-1"/>
          <w:sz w:val="22"/>
          <w:szCs w:val="22"/>
        </w:rPr>
        <w:t xml:space="preserve"> conceived </w:t>
      </w:r>
      <w:r w:rsidRPr="00825D85">
        <w:rPr>
          <w:rFonts w:asciiTheme="minorHAnsi" w:hAnsiTheme="minorHAnsi" w:cs="Arial"/>
          <w:sz w:val="22"/>
          <w:szCs w:val="22"/>
        </w:rPr>
        <w:t>the</w:t>
      </w:r>
      <w:r w:rsidRPr="00825D85">
        <w:rPr>
          <w:rFonts w:asciiTheme="minorHAnsi" w:hAnsiTheme="minorHAnsi" w:cs="Arial"/>
          <w:spacing w:val="-2"/>
          <w:sz w:val="22"/>
          <w:szCs w:val="22"/>
        </w:rPr>
        <w:t xml:space="preserve"> </w:t>
      </w:r>
      <w:r w:rsidRPr="00825D85">
        <w:rPr>
          <w:rFonts w:asciiTheme="minorHAnsi" w:hAnsiTheme="minorHAnsi" w:cs="Arial"/>
          <w:spacing w:val="-1"/>
          <w:sz w:val="22"/>
          <w:szCs w:val="22"/>
        </w:rPr>
        <w:t>study and analyzed the data, S</w:t>
      </w:r>
      <w:r>
        <w:rPr>
          <w:rFonts w:asciiTheme="minorHAnsi" w:hAnsiTheme="minorHAnsi" w:cs="Arial"/>
          <w:spacing w:val="-1"/>
          <w:sz w:val="22"/>
          <w:szCs w:val="22"/>
        </w:rPr>
        <w:t>.</w:t>
      </w:r>
      <w:r w:rsidRPr="00825D85">
        <w:rPr>
          <w:rFonts w:asciiTheme="minorHAnsi" w:hAnsiTheme="minorHAnsi" w:cs="Arial"/>
          <w:spacing w:val="-1"/>
          <w:sz w:val="22"/>
          <w:szCs w:val="22"/>
        </w:rPr>
        <w:t>L</w:t>
      </w:r>
      <w:r>
        <w:rPr>
          <w:rFonts w:asciiTheme="minorHAnsi" w:hAnsiTheme="minorHAnsi" w:cs="Arial"/>
          <w:spacing w:val="-1"/>
          <w:sz w:val="22"/>
          <w:szCs w:val="22"/>
        </w:rPr>
        <w:t>.</w:t>
      </w:r>
      <w:r w:rsidRPr="00825D85">
        <w:rPr>
          <w:rFonts w:asciiTheme="minorHAnsi" w:hAnsiTheme="minorHAnsi" w:cs="Arial"/>
          <w:spacing w:val="-1"/>
          <w:sz w:val="22"/>
          <w:szCs w:val="22"/>
        </w:rPr>
        <w:t>C</w:t>
      </w:r>
      <w:r>
        <w:rPr>
          <w:rFonts w:asciiTheme="minorHAnsi" w:hAnsiTheme="minorHAnsi" w:cs="Arial"/>
          <w:spacing w:val="-1"/>
          <w:sz w:val="22"/>
          <w:szCs w:val="22"/>
        </w:rPr>
        <w:t>.</w:t>
      </w:r>
      <w:r w:rsidRPr="00825D85">
        <w:rPr>
          <w:rFonts w:asciiTheme="minorHAnsi" w:hAnsiTheme="minorHAnsi" w:cs="Arial"/>
          <w:spacing w:val="-1"/>
          <w:sz w:val="22"/>
          <w:szCs w:val="22"/>
        </w:rPr>
        <w:t xml:space="preserve">, S.B. and C. D-T </w:t>
      </w:r>
      <w:r w:rsidRPr="00825D85">
        <w:rPr>
          <w:rFonts w:asciiTheme="minorHAnsi" w:hAnsiTheme="minorHAnsi" w:cs="Arial"/>
          <w:sz w:val="22"/>
          <w:szCs w:val="22"/>
        </w:rPr>
        <w:t>conducted</w:t>
      </w:r>
      <w:r w:rsidRPr="00825D85">
        <w:rPr>
          <w:rFonts w:asciiTheme="minorHAnsi" w:hAnsiTheme="minorHAnsi" w:cs="Arial"/>
          <w:spacing w:val="-1"/>
          <w:sz w:val="22"/>
          <w:szCs w:val="22"/>
        </w:rPr>
        <w:t xml:space="preserve"> </w:t>
      </w:r>
      <w:r w:rsidRPr="00825D85">
        <w:rPr>
          <w:rFonts w:asciiTheme="minorHAnsi" w:hAnsiTheme="minorHAnsi" w:cs="Arial"/>
          <w:sz w:val="22"/>
          <w:szCs w:val="22"/>
        </w:rPr>
        <w:t>the</w:t>
      </w:r>
      <w:r w:rsidRPr="00825D85">
        <w:rPr>
          <w:rFonts w:asciiTheme="minorHAnsi" w:hAnsiTheme="minorHAnsi" w:cs="Arial"/>
          <w:spacing w:val="35"/>
          <w:sz w:val="22"/>
          <w:szCs w:val="22"/>
        </w:rPr>
        <w:t xml:space="preserve"> molecular </w:t>
      </w:r>
      <w:r w:rsidRPr="00825D85">
        <w:rPr>
          <w:rFonts w:asciiTheme="minorHAnsi" w:hAnsiTheme="minorHAnsi" w:cs="Arial"/>
          <w:spacing w:val="-1"/>
          <w:sz w:val="22"/>
          <w:szCs w:val="22"/>
        </w:rPr>
        <w:t>experiments and analyzed the data,</w:t>
      </w:r>
      <w:r w:rsidRPr="00825D85">
        <w:rPr>
          <w:rFonts w:asciiTheme="minorHAnsi" w:hAnsiTheme="minorHAnsi" w:cs="Arial"/>
          <w:spacing w:val="-7"/>
          <w:sz w:val="22"/>
          <w:szCs w:val="22"/>
        </w:rPr>
        <w:t xml:space="preserve"> A.E. and N.M. contributed to the sampling design and to the sampling</w:t>
      </w:r>
      <w:r w:rsidRPr="00825D85">
        <w:rPr>
          <w:rFonts w:asciiTheme="minorHAnsi" w:hAnsiTheme="minorHAnsi" w:cs="Arial"/>
          <w:sz w:val="22"/>
          <w:szCs w:val="22"/>
        </w:rPr>
        <w:t>.</w:t>
      </w:r>
      <w:r w:rsidRPr="00825D85">
        <w:rPr>
          <w:rFonts w:asciiTheme="minorHAnsi" w:hAnsiTheme="minorHAnsi" w:cs="Arial"/>
          <w:spacing w:val="4"/>
          <w:sz w:val="22"/>
          <w:szCs w:val="22"/>
        </w:rPr>
        <w:t xml:space="preserve"> F.V.,</w:t>
      </w:r>
      <w:r>
        <w:rPr>
          <w:rFonts w:asciiTheme="minorHAnsi" w:hAnsiTheme="minorHAnsi" w:cs="Arial"/>
          <w:spacing w:val="4"/>
          <w:sz w:val="22"/>
          <w:szCs w:val="22"/>
        </w:rPr>
        <w:t xml:space="preserve"> </w:t>
      </w:r>
      <w:r w:rsidRPr="00825D85">
        <w:rPr>
          <w:rFonts w:asciiTheme="minorHAnsi" w:hAnsiTheme="minorHAnsi" w:cs="Arial"/>
          <w:spacing w:val="4"/>
          <w:sz w:val="22"/>
          <w:szCs w:val="22"/>
        </w:rPr>
        <w:t>S.L. C. and C.D.-T wrote the first draft of this paper. All authors</w:t>
      </w:r>
      <w:r w:rsidRPr="00825D85">
        <w:rPr>
          <w:rFonts w:asciiTheme="minorHAnsi" w:hAnsiTheme="minorHAnsi" w:cs="Arial"/>
          <w:spacing w:val="-7"/>
          <w:sz w:val="22"/>
          <w:szCs w:val="22"/>
        </w:rPr>
        <w:t xml:space="preserve"> </w:t>
      </w:r>
      <w:r w:rsidRPr="00825D85">
        <w:rPr>
          <w:rFonts w:asciiTheme="minorHAnsi" w:hAnsiTheme="minorHAnsi" w:cs="Arial"/>
          <w:spacing w:val="-2"/>
          <w:sz w:val="22"/>
          <w:szCs w:val="22"/>
        </w:rPr>
        <w:t>reviewed</w:t>
      </w:r>
      <w:r w:rsidRPr="00825D85">
        <w:rPr>
          <w:rFonts w:asciiTheme="minorHAnsi" w:hAnsiTheme="minorHAnsi" w:cs="Arial"/>
          <w:spacing w:val="-7"/>
          <w:sz w:val="22"/>
          <w:szCs w:val="22"/>
        </w:rPr>
        <w:t xml:space="preserve"> </w:t>
      </w:r>
      <w:r w:rsidRPr="00825D85">
        <w:rPr>
          <w:rFonts w:asciiTheme="minorHAnsi" w:hAnsiTheme="minorHAnsi" w:cs="Arial"/>
          <w:sz w:val="22"/>
          <w:szCs w:val="22"/>
        </w:rPr>
        <w:t>the</w:t>
      </w:r>
      <w:r w:rsidRPr="00825D85">
        <w:rPr>
          <w:rFonts w:asciiTheme="minorHAnsi" w:hAnsiTheme="minorHAnsi" w:cs="Arial"/>
          <w:spacing w:val="-6"/>
          <w:sz w:val="22"/>
          <w:szCs w:val="22"/>
        </w:rPr>
        <w:t xml:space="preserve"> </w:t>
      </w:r>
      <w:r w:rsidRPr="00825D85">
        <w:rPr>
          <w:rFonts w:asciiTheme="minorHAnsi" w:hAnsiTheme="minorHAnsi" w:cs="Arial"/>
          <w:sz w:val="22"/>
          <w:szCs w:val="22"/>
        </w:rPr>
        <w:t>manuscript.</w:t>
      </w:r>
    </w:p>
    <w:p w14:paraId="000A9670" w14:textId="77777777" w:rsidR="008B07A5" w:rsidRPr="00825D85" w:rsidRDefault="008B07A5" w:rsidP="008B07A5">
      <w:pPr>
        <w:spacing w:line="276" w:lineRule="auto"/>
        <w:rPr>
          <w:b/>
        </w:rPr>
      </w:pPr>
    </w:p>
    <w:p w14:paraId="3139E7F5" w14:textId="77777777" w:rsidR="008B07A5" w:rsidRPr="00825D85" w:rsidRDefault="008B07A5" w:rsidP="008B07A5">
      <w:pPr>
        <w:spacing w:line="276" w:lineRule="auto"/>
        <w:rPr>
          <w:b/>
        </w:rPr>
      </w:pPr>
      <w:r w:rsidRPr="00825D85">
        <w:rPr>
          <w:b/>
        </w:rPr>
        <w:t>Article type</w:t>
      </w:r>
    </w:p>
    <w:p w14:paraId="15846E5C" w14:textId="77777777" w:rsidR="008B07A5" w:rsidRPr="00825D85" w:rsidRDefault="008B07A5" w:rsidP="008B07A5">
      <w:pPr>
        <w:spacing w:line="276" w:lineRule="auto"/>
        <w:rPr>
          <w:lang w:val="en-GB"/>
        </w:rPr>
      </w:pPr>
      <w:r w:rsidRPr="00825D85">
        <w:rPr>
          <w:lang w:val="en-GB"/>
        </w:rPr>
        <w:t>Original Research Article</w:t>
      </w:r>
    </w:p>
    <w:p w14:paraId="4EFEACAD" w14:textId="6EEFF21B" w:rsidR="008B07A5" w:rsidRDefault="008B07A5" w:rsidP="008B07A5">
      <w:pPr>
        <w:spacing w:line="276" w:lineRule="auto"/>
        <w:rPr>
          <w:lang w:val="en-GB"/>
        </w:rPr>
      </w:pPr>
      <w:r w:rsidRPr="00825D85">
        <w:rPr>
          <w:lang w:val="en-GB"/>
        </w:rPr>
        <w:t xml:space="preserve">Special issue – </w:t>
      </w:r>
      <w:r w:rsidRPr="007B34A7">
        <w:rPr>
          <w:lang w:val="en-GB"/>
        </w:rPr>
        <w:t>Evolutionary Biology of Marine Invasions</w:t>
      </w:r>
    </w:p>
    <w:p w14:paraId="0627F4AB" w14:textId="77777777" w:rsidR="008B07A5" w:rsidRDefault="008B07A5">
      <w:pPr>
        <w:widowControl/>
        <w:spacing w:after="160" w:line="259" w:lineRule="auto"/>
        <w:rPr>
          <w:lang w:val="en-GB"/>
        </w:rPr>
      </w:pPr>
      <w:r>
        <w:rPr>
          <w:lang w:val="en-GB"/>
        </w:rPr>
        <w:br w:type="page"/>
      </w:r>
    </w:p>
    <w:p w14:paraId="66C74C94" w14:textId="57B828B6" w:rsidR="00FD140A" w:rsidRPr="00A26053" w:rsidRDefault="00FD140A" w:rsidP="00EE38CE">
      <w:pPr>
        <w:spacing w:line="360" w:lineRule="auto"/>
        <w:rPr>
          <w:b/>
        </w:rPr>
      </w:pPr>
      <w:r w:rsidRPr="00A26053">
        <w:rPr>
          <w:b/>
        </w:rPr>
        <w:lastRenderedPageBreak/>
        <w:t>Abstract</w:t>
      </w:r>
    </w:p>
    <w:p w14:paraId="06D1B332" w14:textId="7706A41E" w:rsidR="00FD140A" w:rsidRPr="0082286D" w:rsidRDefault="00FD140A" w:rsidP="00EE38CE">
      <w:pPr>
        <w:spacing w:line="360" w:lineRule="auto"/>
        <w:ind w:right="156"/>
        <w:jc w:val="both"/>
      </w:pPr>
      <w:r w:rsidRPr="0082286D">
        <w:t>Twenty-years of genetic studies of marine invaders have shown that successful invaders are often characterized by native and introduced populations displaying similar level</w:t>
      </w:r>
      <w:r>
        <w:t>s</w:t>
      </w:r>
      <w:r w:rsidRPr="0082286D">
        <w:t xml:space="preserve"> of genetic diversity. This pattern </w:t>
      </w:r>
      <w:r>
        <w:t>is</w:t>
      </w:r>
      <w:r w:rsidRPr="0082286D">
        <w:t xml:space="preserve"> presumably due to </w:t>
      </w:r>
      <w:r>
        <w:t>high</w:t>
      </w:r>
      <w:r w:rsidRPr="0082286D">
        <w:t xml:space="preserve"> propagule pressure and repeated introductions. The opposite pattern is </w:t>
      </w:r>
      <w:r>
        <w:t>reported in this study of</w:t>
      </w:r>
      <w:r w:rsidRPr="0082286D">
        <w:t xml:space="preserve"> the brown </w:t>
      </w:r>
      <w:r>
        <w:t>seaweed</w:t>
      </w:r>
      <w:r w:rsidRPr="0082286D">
        <w:t xml:space="preserve">, </w:t>
      </w:r>
      <w:r w:rsidRPr="0082286D">
        <w:rPr>
          <w:i/>
        </w:rPr>
        <w:t>Sargassum muticum</w:t>
      </w:r>
      <w:r w:rsidRPr="0082286D">
        <w:t xml:space="preserve">, an emblematic species </w:t>
      </w:r>
      <w:r>
        <w:t>for</w:t>
      </w:r>
      <w:r w:rsidRPr="0082286D">
        <w:t xml:space="preserve"> circumglobal invasions. </w:t>
      </w:r>
      <w:r>
        <w:t xml:space="preserve">Albeit demonstrating polymorphism </w:t>
      </w:r>
      <w:r w:rsidRPr="0082286D">
        <w:t>in the native</w:t>
      </w:r>
      <w:r>
        <w:t xml:space="preserve"> range</w:t>
      </w:r>
      <w:r w:rsidRPr="0082286D">
        <w:t xml:space="preserve">, microsatellites </w:t>
      </w:r>
      <w:r w:rsidRPr="00076F69">
        <w:t>failed to detect any genetic variation over 12</w:t>
      </w:r>
      <w:r w:rsidR="00EC7516">
        <w:t>69 individuals sampled from 46</w:t>
      </w:r>
      <w:r w:rsidRPr="00076F69">
        <w:t xml:space="preserve"> locations over the</w:t>
      </w:r>
      <w:r w:rsidRPr="0082286D">
        <w:t xml:space="preserve"> </w:t>
      </w:r>
      <w:r>
        <w:t>Pacific-Atlantic</w:t>
      </w:r>
      <w:r w:rsidRPr="0082286D">
        <w:t xml:space="preserve"> introduction range. Single-Nucleotide Polymorphisms (SNPs) obtained from dd</w:t>
      </w:r>
      <w:r>
        <w:t>RAD</w:t>
      </w:r>
      <w:r w:rsidRPr="0082286D">
        <w:t>-</w:t>
      </w:r>
      <w:r>
        <w:t>s</w:t>
      </w:r>
      <w:r w:rsidRPr="0082286D">
        <w:t>equencing</w:t>
      </w:r>
      <w:r>
        <w:t xml:space="preserve"> revealed some </w:t>
      </w:r>
      <w:r w:rsidRPr="0082286D">
        <w:t>genetic variation</w:t>
      </w:r>
      <w:r>
        <w:t>,</w:t>
      </w:r>
      <w:r w:rsidRPr="0082286D">
        <w:t xml:space="preserve"> </w:t>
      </w:r>
      <w:r>
        <w:t>but</w:t>
      </w:r>
      <w:r w:rsidRPr="0082286D">
        <w:t xml:space="preserve"> confirmed </w:t>
      </w:r>
      <w:r>
        <w:t>severe</w:t>
      </w:r>
      <w:r w:rsidRPr="0082286D">
        <w:t xml:space="preserve"> founder events in both the Pacific and Atlantic introduction ranges. Our study </w:t>
      </w:r>
      <w:r>
        <w:t xml:space="preserve">thus </w:t>
      </w:r>
      <w:r w:rsidRPr="0082286D">
        <w:t xml:space="preserve">exemplifies the need </w:t>
      </w:r>
      <w:r>
        <w:t>for</w:t>
      </w:r>
      <w:r w:rsidRPr="0082286D">
        <w:t xml:space="preserve"> extreme cautio</w:t>
      </w:r>
      <w:r>
        <w:t>n</w:t>
      </w:r>
      <w:r w:rsidRPr="0082286D">
        <w:t xml:space="preserve"> in interpreting neutral genet</w:t>
      </w:r>
      <w:r>
        <w:t xml:space="preserve">ic diversity as a proxy for </w:t>
      </w:r>
      <w:r w:rsidRPr="0082286D">
        <w:t xml:space="preserve">invasive potential. </w:t>
      </w:r>
      <w:r>
        <w:t>Our results confirm a previously hypothesized</w:t>
      </w:r>
      <w:r w:rsidRPr="00AA1D42">
        <w:t xml:space="preserve"> trans-oceanic secondary introduction</w:t>
      </w:r>
      <w:r>
        <w:t xml:space="preserve"> from NE Pacific to Europe</w:t>
      </w:r>
      <w:r w:rsidRPr="00790E2D">
        <w:t xml:space="preserve">. </w:t>
      </w:r>
      <w:r w:rsidR="007650C5" w:rsidRPr="00790E2D">
        <w:t xml:space="preserve">However, the SNPs panel unexpectedly revealed two additional distinct genetic origins of introductions. Also, conversely to scenarios based on historical records, southern rather than northern NE Pacific populations could have seeded most of the European populations. </w:t>
      </w:r>
      <w:r w:rsidRPr="0082286D">
        <w:t>Finally,</w:t>
      </w:r>
      <w:r>
        <w:t xml:space="preserve"> </w:t>
      </w:r>
      <w:r w:rsidRPr="0082286D">
        <w:t>the most recently introduced populations</w:t>
      </w:r>
      <w:r>
        <w:t xml:space="preserve"> showed </w:t>
      </w:r>
      <w:r w:rsidRPr="0082286D">
        <w:t xml:space="preserve">the lowest selfing rates, suggesting higher levels of recombination might be beneficial at the early stage of the introduction process </w:t>
      </w:r>
      <w:r>
        <w:t xml:space="preserve">(i.e., facilitating evolutionary novelties), </w:t>
      </w:r>
      <w:r w:rsidRPr="0082286D">
        <w:t xml:space="preserve">whereas </w:t>
      </w:r>
      <w:r>
        <w:t>uniparental reproduction</w:t>
      </w:r>
      <w:r w:rsidRPr="0082286D">
        <w:t xml:space="preserve"> might be favored </w:t>
      </w:r>
      <w:r>
        <w:t xml:space="preserve">later </w:t>
      </w:r>
      <w:r w:rsidRPr="0082286D">
        <w:t>in sustainably established populations</w:t>
      </w:r>
      <w:r>
        <w:t xml:space="preserve"> (i.e., sustaining local adaptation)</w:t>
      </w:r>
      <w:r w:rsidRPr="0082286D">
        <w:t xml:space="preserve">. </w:t>
      </w:r>
    </w:p>
    <w:p w14:paraId="35D42815" w14:textId="77777777" w:rsidR="00FD140A" w:rsidRPr="0082286D" w:rsidRDefault="00FD140A" w:rsidP="00EE38CE">
      <w:pPr>
        <w:spacing w:line="360" w:lineRule="auto"/>
        <w:ind w:right="156" w:firstLine="709"/>
        <w:jc w:val="both"/>
        <w:rPr>
          <w:highlight w:val="lightGray"/>
        </w:rPr>
      </w:pPr>
    </w:p>
    <w:p w14:paraId="271279D5" w14:textId="77777777" w:rsidR="00FD140A" w:rsidRPr="0082286D" w:rsidRDefault="00FD140A" w:rsidP="00EE38CE">
      <w:pPr>
        <w:spacing w:line="360" w:lineRule="auto"/>
        <w:ind w:right="156"/>
        <w:jc w:val="both"/>
      </w:pPr>
      <w:r w:rsidRPr="0082286D">
        <w:rPr>
          <w:b/>
        </w:rPr>
        <w:t>Keywords</w:t>
      </w:r>
      <w:r w:rsidRPr="0082286D">
        <w:t>: non-native species, biological invasion, seaweed, p</w:t>
      </w:r>
      <w:r>
        <w:t>opulation genomics, selfing, RAD</w:t>
      </w:r>
      <w:r w:rsidRPr="0082286D">
        <w:t>-sequencing</w:t>
      </w:r>
    </w:p>
    <w:p w14:paraId="0AD8AFCE" w14:textId="77777777" w:rsidR="00FD140A" w:rsidRPr="0082286D" w:rsidRDefault="00FD140A" w:rsidP="00EE38CE">
      <w:pPr>
        <w:spacing w:line="360" w:lineRule="auto"/>
        <w:ind w:right="156" w:firstLine="709"/>
        <w:jc w:val="both"/>
        <w:rPr>
          <w:rFonts w:eastAsia="Arial"/>
          <w:b/>
          <w:bCs/>
          <w:spacing w:val="-1"/>
        </w:rPr>
      </w:pPr>
      <w:r w:rsidRPr="00EB7E73">
        <w:rPr>
          <w:spacing w:val="-1"/>
        </w:rPr>
        <w:br w:type="page"/>
      </w:r>
    </w:p>
    <w:p w14:paraId="35DD39FE" w14:textId="77777777" w:rsidR="00FD140A" w:rsidRPr="0082286D" w:rsidRDefault="00FD140A" w:rsidP="00EE38CE">
      <w:pPr>
        <w:pStyle w:val="Heading1"/>
        <w:spacing w:line="360" w:lineRule="auto"/>
        <w:jc w:val="both"/>
        <w:rPr>
          <w:rFonts w:asciiTheme="minorHAnsi" w:hAnsiTheme="minorHAnsi"/>
          <w:b w:val="0"/>
          <w:bCs w:val="0"/>
          <w:sz w:val="22"/>
          <w:szCs w:val="22"/>
          <w:lang w:val="en-US"/>
        </w:rPr>
      </w:pPr>
      <w:r w:rsidRPr="0082286D">
        <w:rPr>
          <w:rFonts w:asciiTheme="minorHAnsi" w:hAnsiTheme="minorHAnsi"/>
          <w:spacing w:val="-1"/>
          <w:sz w:val="22"/>
          <w:szCs w:val="22"/>
          <w:lang w:val="en-US"/>
        </w:rPr>
        <w:lastRenderedPageBreak/>
        <w:t>Introduction</w:t>
      </w:r>
    </w:p>
    <w:p w14:paraId="03069C0B" w14:textId="77777777" w:rsidR="00FD140A" w:rsidRDefault="00FD140A" w:rsidP="00EE38CE">
      <w:pPr>
        <w:spacing w:line="360" w:lineRule="auto"/>
        <w:ind w:right="156"/>
        <w:jc w:val="both"/>
        <w:rPr>
          <w:rFonts w:cs="Arial"/>
        </w:rPr>
      </w:pPr>
      <w:r w:rsidRPr="0082286D">
        <w:rPr>
          <w:rFonts w:cs="Arial"/>
        </w:rPr>
        <w:t>Biological</w:t>
      </w:r>
      <w:r w:rsidRPr="00EE7140">
        <w:rPr>
          <w:rFonts w:cs="Arial"/>
        </w:rPr>
        <w:t xml:space="preserve"> </w:t>
      </w:r>
      <w:r>
        <w:rPr>
          <w:rFonts w:cs="Arial"/>
        </w:rPr>
        <w:t>introductions</w:t>
      </w:r>
      <w:r w:rsidRPr="00EE7140">
        <w:rPr>
          <w:rFonts w:cs="Arial"/>
        </w:rPr>
        <w:t xml:space="preserve"> have been reported at expanding scales and increasing rates since the 20th century in all ecosystems</w:t>
      </w:r>
      <w:r>
        <w:rPr>
          <w:rFonts w:cs="Arial"/>
        </w:rPr>
        <w:t xml:space="preserve">. </w:t>
      </w:r>
      <w:r w:rsidRPr="00EE7140">
        <w:rPr>
          <w:rFonts w:cs="Arial"/>
        </w:rPr>
        <w:t>Despite a long-standing scientific interest</w:t>
      </w:r>
      <w:r>
        <w:rPr>
          <w:rFonts w:cs="Arial"/>
        </w:rPr>
        <w:t xml:space="preserve"> in the</w:t>
      </w:r>
      <w:r w:rsidRPr="00EE7140">
        <w:rPr>
          <w:rFonts w:cs="Arial"/>
        </w:rPr>
        <w:t xml:space="preserve"> understanding</w:t>
      </w:r>
      <w:r>
        <w:rPr>
          <w:rFonts w:cs="Arial"/>
        </w:rPr>
        <w:t xml:space="preserve"> of</w:t>
      </w:r>
      <w:r w:rsidRPr="00EE7140">
        <w:rPr>
          <w:rFonts w:cs="Arial"/>
        </w:rPr>
        <w:t xml:space="preserve"> what makes a species successful </w:t>
      </w:r>
      <w:r>
        <w:rPr>
          <w:rFonts w:cs="Arial"/>
        </w:rPr>
        <w:t>once</w:t>
      </w:r>
      <w:r w:rsidRPr="00EE7140">
        <w:rPr>
          <w:rFonts w:cs="Arial"/>
        </w:rPr>
        <w:t xml:space="preserve"> introduc</w:t>
      </w:r>
      <w:r>
        <w:rPr>
          <w:rFonts w:cs="Arial"/>
        </w:rPr>
        <w:t>ed</w:t>
      </w:r>
      <w:r w:rsidRPr="00EE7140">
        <w:rPr>
          <w:rFonts w:cs="Arial"/>
        </w:rPr>
        <w:t xml:space="preserve"> in a new range, this is still a</w:t>
      </w:r>
      <w:r>
        <w:rPr>
          <w:rFonts w:cs="Arial"/>
        </w:rPr>
        <w:t>n unresolved and</w:t>
      </w:r>
      <w:r w:rsidRPr="0082286D">
        <w:rPr>
          <w:rFonts w:cs="Arial"/>
        </w:rPr>
        <w:t xml:space="preserve"> pressing issue</w:t>
      </w:r>
      <w:r w:rsidRPr="004E29B0">
        <w:rPr>
          <w:rFonts w:cs="Arial"/>
        </w:rPr>
        <w:t xml:space="preserve"> </w:t>
      </w:r>
      <w:r>
        <w:rPr>
          <w:rFonts w:cs="Arial"/>
          <w:noProof/>
        </w:rPr>
        <w:t>(</w:t>
      </w:r>
      <w:r w:rsidRPr="004E29B0">
        <w:rPr>
          <w:rFonts w:cs="Arial"/>
          <w:i/>
          <w:noProof/>
        </w:rPr>
        <w:t>e.g.</w:t>
      </w:r>
      <w:r>
        <w:rPr>
          <w:rFonts w:cs="Arial"/>
          <w:i/>
          <w:noProof/>
        </w:rPr>
        <w:t>,</w:t>
      </w:r>
      <w:r>
        <w:rPr>
          <w:rFonts w:cs="Arial"/>
          <w:noProof/>
        </w:rPr>
        <w:t xml:space="preserve"> Briski et al., 2018</w:t>
      </w:r>
      <w:r w:rsidRPr="00053003">
        <w:rPr>
          <w:rFonts w:cs="Arial"/>
          <w:noProof/>
        </w:rPr>
        <w:t>; Pearson, Ortega, Eren, &amp; Hierro, 2018;</w:t>
      </w:r>
      <w:r>
        <w:rPr>
          <w:rFonts w:cs="Arial"/>
          <w:noProof/>
        </w:rPr>
        <w:t xml:space="preserve"> Seebens et al., 2017)</w:t>
      </w:r>
      <w:r w:rsidRPr="0082286D">
        <w:rPr>
          <w:rFonts w:cs="Arial"/>
        </w:rPr>
        <w:t xml:space="preserve">. </w:t>
      </w:r>
      <w:r>
        <w:rPr>
          <w:rFonts w:cs="Arial"/>
        </w:rPr>
        <w:t>A</w:t>
      </w:r>
      <w:r w:rsidRPr="0082286D">
        <w:rPr>
          <w:rFonts w:cs="Arial"/>
        </w:rPr>
        <w:t xml:space="preserve"> </w:t>
      </w:r>
      <w:r>
        <w:rPr>
          <w:rFonts w:cs="Arial"/>
        </w:rPr>
        <w:t>positive</w:t>
      </w:r>
      <w:r w:rsidRPr="0082286D">
        <w:rPr>
          <w:rFonts w:cs="Arial"/>
        </w:rPr>
        <w:t xml:space="preserve"> link between genetic diversity and invasion success has been hypothesized </w:t>
      </w:r>
      <w:r>
        <w:rPr>
          <w:rFonts w:cs="Arial"/>
          <w:noProof/>
        </w:rPr>
        <w:t xml:space="preserve">(Bock et al., 2015) </w:t>
      </w:r>
      <w:r>
        <w:rPr>
          <w:rFonts w:cs="Arial"/>
        </w:rPr>
        <w:t xml:space="preserve">as, </w:t>
      </w:r>
      <w:r w:rsidRPr="0082286D">
        <w:rPr>
          <w:rFonts w:cs="Arial"/>
        </w:rPr>
        <w:t>consistent</w:t>
      </w:r>
      <w:r>
        <w:rPr>
          <w:rFonts w:cs="Arial"/>
        </w:rPr>
        <w:t xml:space="preserve">ly </w:t>
      </w:r>
      <w:r w:rsidRPr="0082286D">
        <w:rPr>
          <w:rFonts w:cs="Arial"/>
        </w:rPr>
        <w:t>across taxa and environments</w:t>
      </w:r>
      <w:r>
        <w:rPr>
          <w:rFonts w:cs="Arial"/>
        </w:rPr>
        <w:t>,</w:t>
      </w:r>
      <w:r w:rsidRPr="0082286D">
        <w:rPr>
          <w:rFonts w:cs="Arial"/>
        </w:rPr>
        <w:t xml:space="preserve"> many </w:t>
      </w:r>
      <w:r>
        <w:rPr>
          <w:rFonts w:cs="Arial"/>
        </w:rPr>
        <w:t>successfully introduced species</w:t>
      </w:r>
      <w:r w:rsidRPr="0082286D">
        <w:rPr>
          <w:rFonts w:cs="Arial"/>
        </w:rPr>
        <w:t xml:space="preserve"> are not genetically depauperate </w:t>
      </w:r>
      <w:r>
        <w:rPr>
          <w:rFonts w:cs="Arial"/>
          <w:noProof/>
        </w:rPr>
        <w:t>(Bock et al., 2015; Roman &amp; Darling, 2007; Viard, David, &amp; Darling, 2016)</w:t>
      </w:r>
      <w:r w:rsidRPr="0082286D">
        <w:rPr>
          <w:rFonts w:cs="Arial"/>
        </w:rPr>
        <w:t xml:space="preserve">. This </w:t>
      </w:r>
      <w:r>
        <w:rPr>
          <w:rFonts w:cs="Arial"/>
        </w:rPr>
        <w:t xml:space="preserve">link </w:t>
      </w:r>
      <w:r w:rsidRPr="0082286D">
        <w:rPr>
          <w:rFonts w:cs="Arial"/>
        </w:rPr>
        <w:t xml:space="preserve">is well-illustrated in marine </w:t>
      </w:r>
      <w:r>
        <w:rPr>
          <w:rFonts w:cs="Arial"/>
        </w:rPr>
        <w:t>species</w:t>
      </w:r>
      <w:r w:rsidRPr="0082286D">
        <w:rPr>
          <w:rFonts w:cs="Arial"/>
        </w:rPr>
        <w:t xml:space="preserve"> </w:t>
      </w:r>
      <w:r>
        <w:rPr>
          <w:rFonts w:cs="Arial"/>
        </w:rPr>
        <w:t xml:space="preserve">introduced </w:t>
      </w:r>
      <w:r w:rsidRPr="0082286D">
        <w:rPr>
          <w:rFonts w:cs="Arial"/>
        </w:rPr>
        <w:t xml:space="preserve">in European seas </w:t>
      </w:r>
      <w:r>
        <w:rPr>
          <w:rFonts w:cs="Arial"/>
          <w:noProof/>
        </w:rPr>
        <w:t>(Rius, Turon, Bernard, Volckaert, &amp; Viard, 2015)</w:t>
      </w:r>
      <w:r w:rsidRPr="0082286D">
        <w:rPr>
          <w:rFonts w:cs="Arial"/>
        </w:rPr>
        <w:t>: 74% of the studied European non-indigenous species (NIS) display similar</w:t>
      </w:r>
      <w:r>
        <w:rPr>
          <w:rFonts w:cs="Arial"/>
        </w:rPr>
        <w:t>,</w:t>
      </w:r>
      <w:r w:rsidRPr="0082286D">
        <w:rPr>
          <w:rFonts w:cs="Arial"/>
        </w:rPr>
        <w:t xml:space="preserve"> or even higher levels of genetic diversity in introduced </w:t>
      </w:r>
      <w:r>
        <w:rPr>
          <w:rFonts w:cs="Arial"/>
        </w:rPr>
        <w:t>compared to</w:t>
      </w:r>
      <w:r w:rsidRPr="0082286D">
        <w:rPr>
          <w:rFonts w:cs="Arial"/>
        </w:rPr>
        <w:t xml:space="preserve"> native populations. </w:t>
      </w:r>
      <w:r>
        <w:rPr>
          <w:rFonts w:cs="Arial"/>
        </w:rPr>
        <w:t>The increased genetic diversity</w:t>
      </w:r>
      <w:r w:rsidRPr="0082286D">
        <w:rPr>
          <w:rFonts w:cs="Arial"/>
        </w:rPr>
        <w:t xml:space="preserve"> </w:t>
      </w:r>
      <w:r>
        <w:rPr>
          <w:rFonts w:cs="Arial"/>
        </w:rPr>
        <w:t>was</w:t>
      </w:r>
      <w:r w:rsidRPr="0082286D">
        <w:rPr>
          <w:rFonts w:cs="Arial"/>
        </w:rPr>
        <w:t xml:space="preserve"> </w:t>
      </w:r>
      <w:r w:rsidRPr="00C83F69">
        <w:rPr>
          <w:rFonts w:cs="Arial"/>
        </w:rPr>
        <w:t xml:space="preserve">often </w:t>
      </w:r>
      <w:r w:rsidRPr="0082286D">
        <w:rPr>
          <w:rFonts w:cs="Arial"/>
        </w:rPr>
        <w:t>found associated with multiple introductions from different origins.</w:t>
      </w:r>
    </w:p>
    <w:p w14:paraId="2F9D1283" w14:textId="77777777" w:rsidR="00FD140A" w:rsidRPr="0082286D" w:rsidRDefault="00FD140A" w:rsidP="00EE38CE">
      <w:pPr>
        <w:pStyle w:val="BodyText"/>
        <w:spacing w:before="124" w:line="360" w:lineRule="auto"/>
        <w:ind w:left="0" w:firstLine="709"/>
        <w:jc w:val="both"/>
        <w:rPr>
          <w:rFonts w:asciiTheme="minorHAnsi" w:hAnsiTheme="minorHAnsi"/>
          <w:sz w:val="22"/>
          <w:szCs w:val="22"/>
        </w:rPr>
      </w:pPr>
      <w:r w:rsidRPr="0082286D">
        <w:rPr>
          <w:rFonts w:asciiTheme="minorHAnsi" w:hAnsiTheme="minorHAnsi"/>
          <w:sz w:val="22"/>
          <w:szCs w:val="22"/>
        </w:rPr>
        <w:t xml:space="preserve">In the </w:t>
      </w:r>
      <w:r>
        <w:rPr>
          <w:rFonts w:asciiTheme="minorHAnsi" w:hAnsiTheme="minorHAnsi"/>
          <w:sz w:val="22"/>
          <w:szCs w:val="22"/>
        </w:rPr>
        <w:t xml:space="preserve">coastal </w:t>
      </w:r>
      <w:r w:rsidRPr="0082286D">
        <w:rPr>
          <w:rFonts w:asciiTheme="minorHAnsi" w:hAnsiTheme="minorHAnsi"/>
          <w:sz w:val="22"/>
          <w:szCs w:val="22"/>
        </w:rPr>
        <w:t>marine environment, the number of introduction</w:t>
      </w:r>
      <w:r>
        <w:rPr>
          <w:rFonts w:asciiTheme="minorHAnsi" w:hAnsiTheme="minorHAnsi"/>
          <w:sz w:val="22"/>
          <w:szCs w:val="22"/>
        </w:rPr>
        <w:t>s</w:t>
      </w:r>
      <w:r w:rsidRPr="0082286D">
        <w:rPr>
          <w:rFonts w:asciiTheme="minorHAnsi" w:hAnsiTheme="minorHAnsi"/>
          <w:sz w:val="22"/>
          <w:szCs w:val="22"/>
        </w:rPr>
        <w:t xml:space="preserve"> has dramatically increased over the past century with the generalization of transoceanic shipping, intra-coastal boating</w:t>
      </w:r>
      <w:r>
        <w:rPr>
          <w:rFonts w:asciiTheme="minorHAnsi" w:hAnsiTheme="minorHAnsi"/>
          <w:sz w:val="22"/>
          <w:szCs w:val="22"/>
        </w:rPr>
        <w:t>,</w:t>
      </w:r>
      <w:r w:rsidRPr="0082286D">
        <w:rPr>
          <w:rFonts w:asciiTheme="minorHAnsi" w:hAnsiTheme="minorHAnsi"/>
          <w:sz w:val="22"/>
          <w:szCs w:val="22"/>
        </w:rPr>
        <w:t xml:space="preserve"> and aquaculture </w:t>
      </w:r>
      <w:r>
        <w:rPr>
          <w:rFonts w:asciiTheme="minorHAnsi" w:hAnsiTheme="minorHAnsi"/>
          <w:noProof/>
          <w:sz w:val="22"/>
          <w:szCs w:val="22"/>
        </w:rPr>
        <w:t>(Molnar, Gamboa, Revenga, &amp; Spalding, 2008; Nunes, Katsanevakis, Zenetos, &amp; Cardoso, 2014)</w:t>
      </w:r>
      <w:r w:rsidRPr="0082286D">
        <w:rPr>
          <w:rFonts w:asciiTheme="minorHAnsi" w:hAnsiTheme="minorHAnsi"/>
          <w:sz w:val="22"/>
          <w:szCs w:val="22"/>
        </w:rPr>
        <w:t>. In this context, marine introduction</w:t>
      </w:r>
      <w:r>
        <w:rPr>
          <w:rFonts w:asciiTheme="minorHAnsi" w:hAnsiTheme="minorHAnsi"/>
          <w:sz w:val="22"/>
          <w:szCs w:val="22"/>
        </w:rPr>
        <w:t>s</w:t>
      </w:r>
      <w:r w:rsidRPr="0082286D">
        <w:rPr>
          <w:rFonts w:asciiTheme="minorHAnsi" w:hAnsiTheme="minorHAnsi"/>
          <w:sz w:val="22"/>
          <w:szCs w:val="22"/>
        </w:rPr>
        <w:t xml:space="preserve"> are often characterized by p</w:t>
      </w:r>
      <w:r w:rsidRPr="0082286D">
        <w:rPr>
          <w:rFonts w:asciiTheme="minorHAnsi" w:hAnsiTheme="minorHAnsi" w:cs="Arial"/>
          <w:sz w:val="22"/>
          <w:szCs w:val="22"/>
        </w:rPr>
        <w:t xml:space="preserve">olyvectism (each pathway can act as a consecutive relay), repeated introductions and overall </w:t>
      </w:r>
      <w:r>
        <w:rPr>
          <w:rFonts w:asciiTheme="minorHAnsi" w:hAnsiTheme="minorHAnsi" w:cs="Arial"/>
          <w:sz w:val="22"/>
          <w:szCs w:val="22"/>
        </w:rPr>
        <w:t>high</w:t>
      </w:r>
      <w:r w:rsidRPr="0082286D">
        <w:rPr>
          <w:rFonts w:asciiTheme="minorHAnsi" w:hAnsiTheme="minorHAnsi" w:cs="Arial"/>
          <w:sz w:val="22"/>
          <w:szCs w:val="22"/>
        </w:rPr>
        <w:t xml:space="preserve"> propagule pressure. The subsequent overall increase in the genetic variance of introduced populations, as compared to populations of the native range</w:t>
      </w:r>
      <w:r>
        <w:rPr>
          <w:rFonts w:asciiTheme="minorHAnsi" w:hAnsiTheme="minorHAnsi" w:cs="Arial"/>
          <w:sz w:val="22"/>
          <w:szCs w:val="22"/>
        </w:rPr>
        <w:t>,</w:t>
      </w:r>
      <w:r w:rsidRPr="0082286D">
        <w:rPr>
          <w:rFonts w:asciiTheme="minorHAnsi" w:hAnsiTheme="minorHAnsi" w:cs="Arial"/>
          <w:sz w:val="22"/>
          <w:szCs w:val="22"/>
        </w:rPr>
        <w:t xml:space="preserve"> </w:t>
      </w:r>
      <w:r>
        <w:rPr>
          <w:rFonts w:asciiTheme="minorHAnsi" w:hAnsiTheme="minorHAnsi" w:cs="Arial"/>
          <w:sz w:val="22"/>
          <w:szCs w:val="22"/>
        </w:rPr>
        <w:t>might thus result</w:t>
      </w:r>
      <w:r w:rsidRPr="0082286D">
        <w:rPr>
          <w:rFonts w:asciiTheme="minorHAnsi" w:hAnsiTheme="minorHAnsi" w:cs="Arial"/>
          <w:sz w:val="22"/>
          <w:szCs w:val="22"/>
        </w:rPr>
        <w:t xml:space="preserve"> in an increased </w:t>
      </w:r>
      <w:r w:rsidRPr="0082286D">
        <w:rPr>
          <w:rFonts w:asciiTheme="minorHAnsi" w:hAnsiTheme="minorHAnsi"/>
          <w:sz w:val="22"/>
          <w:szCs w:val="22"/>
        </w:rPr>
        <w:t xml:space="preserve">standing genetic variation on which selection might operate </w:t>
      </w:r>
      <w:r w:rsidRPr="0082286D">
        <w:rPr>
          <w:rFonts w:asciiTheme="minorHAnsi" w:hAnsiTheme="minorHAnsi" w:cs="Arial"/>
          <w:sz w:val="22"/>
          <w:szCs w:val="22"/>
        </w:rPr>
        <w:t>or admixture between distinct genetic lineages creating evolutionary novelties</w:t>
      </w:r>
      <w:r>
        <w:rPr>
          <w:rFonts w:asciiTheme="minorHAnsi" w:hAnsiTheme="minorHAnsi" w:cs="Arial"/>
          <w:sz w:val="22"/>
          <w:szCs w:val="22"/>
        </w:rPr>
        <w:t>.</w:t>
      </w:r>
      <w:r w:rsidRPr="0082286D">
        <w:rPr>
          <w:rFonts w:asciiTheme="minorHAnsi" w:hAnsiTheme="minorHAnsi" w:cs="Arial"/>
          <w:sz w:val="22"/>
          <w:szCs w:val="22"/>
        </w:rPr>
        <w:t xml:space="preserve"> </w:t>
      </w:r>
      <w:r>
        <w:rPr>
          <w:rFonts w:asciiTheme="minorHAnsi" w:hAnsiTheme="minorHAnsi" w:cs="Arial"/>
          <w:sz w:val="22"/>
          <w:szCs w:val="22"/>
        </w:rPr>
        <w:t>B</w:t>
      </w:r>
      <w:r w:rsidRPr="0082286D">
        <w:rPr>
          <w:rFonts w:asciiTheme="minorHAnsi" w:hAnsiTheme="minorHAnsi" w:cs="Arial"/>
          <w:sz w:val="22"/>
          <w:szCs w:val="22"/>
        </w:rPr>
        <w:t xml:space="preserve">oth </w:t>
      </w:r>
      <w:r>
        <w:rPr>
          <w:rFonts w:asciiTheme="minorHAnsi" w:hAnsiTheme="minorHAnsi" w:cs="Arial"/>
          <w:sz w:val="22"/>
          <w:szCs w:val="22"/>
        </w:rPr>
        <w:t xml:space="preserve">these </w:t>
      </w:r>
      <w:r w:rsidRPr="0082286D">
        <w:rPr>
          <w:rFonts w:asciiTheme="minorHAnsi" w:hAnsiTheme="minorHAnsi" w:cs="Arial"/>
          <w:sz w:val="22"/>
          <w:szCs w:val="22"/>
        </w:rPr>
        <w:t>processes presumably enhanc</w:t>
      </w:r>
      <w:r>
        <w:rPr>
          <w:rFonts w:asciiTheme="minorHAnsi" w:hAnsiTheme="minorHAnsi" w:cs="Arial"/>
          <w:sz w:val="22"/>
          <w:szCs w:val="22"/>
        </w:rPr>
        <w:t>e</w:t>
      </w:r>
      <w:r w:rsidRPr="0082286D">
        <w:rPr>
          <w:rFonts w:asciiTheme="minorHAnsi" w:hAnsiTheme="minorHAnsi" w:cs="Arial"/>
          <w:sz w:val="22"/>
          <w:szCs w:val="22"/>
        </w:rPr>
        <w:t xml:space="preserve"> the </w:t>
      </w:r>
      <w:r w:rsidRPr="00D13BA9">
        <w:rPr>
          <w:rFonts w:asciiTheme="minorHAnsi" w:hAnsiTheme="minorHAnsi" w:cs="Arial"/>
          <w:sz w:val="22"/>
          <w:szCs w:val="22"/>
        </w:rPr>
        <w:t xml:space="preserve">introduction success in marine environments </w:t>
      </w:r>
      <w:r>
        <w:rPr>
          <w:rFonts w:asciiTheme="minorHAnsi" w:hAnsiTheme="minorHAnsi" w:cs="Arial"/>
          <w:noProof/>
          <w:sz w:val="22"/>
          <w:szCs w:val="22"/>
        </w:rPr>
        <w:t>(Rius &amp; Darling, 2014; Rius et al., 2015; Viard et al., 2016).</w:t>
      </w:r>
    </w:p>
    <w:p w14:paraId="37DBEE21" w14:textId="2FFB99FF" w:rsidR="00FD140A" w:rsidRDefault="00FD140A" w:rsidP="00EE38CE">
      <w:pPr>
        <w:pStyle w:val="BodyText"/>
        <w:spacing w:before="124" w:line="360" w:lineRule="auto"/>
        <w:ind w:left="0" w:firstLine="709"/>
        <w:jc w:val="both"/>
        <w:rPr>
          <w:rFonts w:asciiTheme="minorHAnsi" w:hAnsiTheme="minorHAnsi" w:cs="Arial"/>
          <w:sz w:val="22"/>
          <w:szCs w:val="22"/>
        </w:rPr>
      </w:pPr>
      <w:r w:rsidRPr="0082286D">
        <w:rPr>
          <w:rFonts w:asciiTheme="minorHAnsi" w:hAnsiTheme="minorHAnsi" w:cs="Arial"/>
          <w:sz w:val="22"/>
          <w:szCs w:val="22"/>
        </w:rPr>
        <w:t>In this study, we examin</w:t>
      </w:r>
      <w:r>
        <w:rPr>
          <w:rFonts w:asciiTheme="minorHAnsi" w:hAnsiTheme="minorHAnsi" w:cs="Arial"/>
          <w:sz w:val="22"/>
          <w:szCs w:val="22"/>
        </w:rPr>
        <w:t>ed</w:t>
      </w:r>
      <w:r w:rsidRPr="0082286D">
        <w:rPr>
          <w:rFonts w:asciiTheme="minorHAnsi" w:hAnsiTheme="minorHAnsi" w:cs="Arial"/>
          <w:sz w:val="22"/>
          <w:szCs w:val="22"/>
        </w:rPr>
        <w:t xml:space="preserve"> if </w:t>
      </w:r>
      <w:r>
        <w:rPr>
          <w:rFonts w:asciiTheme="minorHAnsi" w:hAnsiTheme="minorHAnsi" w:cs="Arial"/>
          <w:sz w:val="22"/>
          <w:szCs w:val="22"/>
        </w:rPr>
        <w:t xml:space="preserve">one of </w:t>
      </w:r>
      <w:r w:rsidRPr="0082286D">
        <w:rPr>
          <w:rFonts w:asciiTheme="minorHAnsi" w:hAnsiTheme="minorHAnsi" w:cs="Arial"/>
          <w:sz w:val="22"/>
          <w:szCs w:val="22"/>
        </w:rPr>
        <w:t xml:space="preserve">the </w:t>
      </w:r>
      <w:r>
        <w:rPr>
          <w:rFonts w:asciiTheme="minorHAnsi" w:hAnsiTheme="minorHAnsi" w:cs="Arial"/>
          <w:sz w:val="22"/>
          <w:szCs w:val="22"/>
        </w:rPr>
        <w:t xml:space="preserve">most successful invasive seaweeds, </w:t>
      </w:r>
      <w:r w:rsidRPr="0082286D">
        <w:rPr>
          <w:rFonts w:asciiTheme="minorHAnsi" w:hAnsiTheme="minorHAnsi" w:cs="Arial"/>
          <w:i/>
          <w:sz w:val="22"/>
          <w:szCs w:val="22"/>
        </w:rPr>
        <w:t>Sargassum muticum</w:t>
      </w:r>
      <w:r>
        <w:rPr>
          <w:rFonts w:asciiTheme="minorHAnsi" w:hAnsiTheme="minorHAnsi" w:cs="Arial"/>
          <w:i/>
          <w:sz w:val="22"/>
          <w:szCs w:val="22"/>
        </w:rPr>
        <w:t xml:space="preserve"> </w:t>
      </w:r>
      <w:r w:rsidRPr="00DC506B">
        <w:rPr>
          <w:rFonts w:asciiTheme="minorHAnsi" w:hAnsiTheme="minorHAnsi" w:cs="Arial"/>
          <w:sz w:val="22"/>
          <w:szCs w:val="22"/>
        </w:rPr>
        <w:t>(Yendo) Fensholt, 1955</w:t>
      </w:r>
      <w:r>
        <w:rPr>
          <w:rFonts w:asciiTheme="minorHAnsi" w:hAnsiTheme="minorHAnsi" w:cs="Arial"/>
          <w:i/>
          <w:sz w:val="22"/>
          <w:szCs w:val="22"/>
        </w:rPr>
        <w:t>,</w:t>
      </w:r>
      <w:r w:rsidRPr="0082286D">
        <w:rPr>
          <w:rFonts w:asciiTheme="minorHAnsi" w:hAnsiTheme="minorHAnsi" w:cs="Arial"/>
          <w:i/>
          <w:sz w:val="22"/>
          <w:szCs w:val="22"/>
        </w:rPr>
        <w:t xml:space="preserve"> </w:t>
      </w:r>
      <w:r w:rsidRPr="0082286D">
        <w:rPr>
          <w:rFonts w:asciiTheme="minorHAnsi" w:hAnsiTheme="minorHAnsi" w:cs="Arial"/>
          <w:sz w:val="22"/>
          <w:szCs w:val="22"/>
        </w:rPr>
        <w:t>also display</w:t>
      </w:r>
      <w:r>
        <w:rPr>
          <w:rFonts w:asciiTheme="minorHAnsi" w:hAnsiTheme="minorHAnsi" w:cs="Arial"/>
          <w:sz w:val="22"/>
          <w:szCs w:val="22"/>
        </w:rPr>
        <w:t>s</w:t>
      </w:r>
      <w:r w:rsidRPr="0082286D">
        <w:rPr>
          <w:rFonts w:asciiTheme="minorHAnsi" w:hAnsiTheme="minorHAnsi" w:cs="Arial"/>
          <w:sz w:val="22"/>
          <w:szCs w:val="22"/>
        </w:rPr>
        <w:t xml:space="preserve"> the typical high genetic diversity </w:t>
      </w:r>
      <w:r w:rsidR="00694A9F">
        <w:rPr>
          <w:rFonts w:asciiTheme="minorHAnsi" w:hAnsiTheme="minorHAnsi" w:cs="Arial"/>
          <w:sz w:val="22"/>
          <w:szCs w:val="22"/>
        </w:rPr>
        <w:t>reported</w:t>
      </w:r>
      <w:r w:rsidRPr="0082286D">
        <w:rPr>
          <w:rFonts w:asciiTheme="minorHAnsi" w:hAnsiTheme="minorHAnsi" w:cs="Arial"/>
          <w:sz w:val="22"/>
          <w:szCs w:val="22"/>
        </w:rPr>
        <w:t xml:space="preserve"> in other </w:t>
      </w:r>
      <w:r w:rsidR="00694A9F">
        <w:rPr>
          <w:rFonts w:asciiTheme="minorHAnsi" w:hAnsiTheme="minorHAnsi" w:cs="Arial"/>
          <w:sz w:val="22"/>
          <w:szCs w:val="22"/>
        </w:rPr>
        <w:t xml:space="preserve">successfully introduced </w:t>
      </w:r>
      <w:r w:rsidRPr="0082286D">
        <w:rPr>
          <w:rFonts w:asciiTheme="minorHAnsi" w:hAnsiTheme="minorHAnsi" w:cs="Arial"/>
          <w:sz w:val="22"/>
          <w:szCs w:val="22"/>
        </w:rPr>
        <w:t>marine taxa</w:t>
      </w:r>
      <w:r>
        <w:rPr>
          <w:rFonts w:asciiTheme="minorHAnsi" w:hAnsiTheme="minorHAnsi" w:cs="Arial"/>
          <w:sz w:val="22"/>
          <w:szCs w:val="22"/>
        </w:rPr>
        <w:t>.</w:t>
      </w:r>
      <w:r w:rsidRPr="0082286D">
        <w:rPr>
          <w:rFonts w:asciiTheme="minorHAnsi" w:hAnsiTheme="minorHAnsi" w:cs="Arial"/>
          <w:sz w:val="22"/>
          <w:szCs w:val="22"/>
        </w:rPr>
        <w:t xml:space="preserve"> </w:t>
      </w:r>
      <w:r>
        <w:rPr>
          <w:rFonts w:asciiTheme="minorHAnsi" w:hAnsiTheme="minorHAnsi" w:cs="Arial"/>
          <w:sz w:val="22"/>
          <w:szCs w:val="22"/>
        </w:rPr>
        <w:t>So far, most marine species studied are</w:t>
      </w:r>
      <w:r w:rsidRPr="0082286D">
        <w:rPr>
          <w:rFonts w:asciiTheme="minorHAnsi" w:hAnsiTheme="minorHAnsi" w:cs="Arial"/>
          <w:sz w:val="22"/>
          <w:szCs w:val="22"/>
        </w:rPr>
        <w:t xml:space="preserve"> animals</w:t>
      </w:r>
      <w:r>
        <w:rPr>
          <w:rFonts w:asciiTheme="minorHAnsi" w:hAnsiTheme="minorHAnsi" w:cs="Arial"/>
          <w:sz w:val="22"/>
          <w:szCs w:val="22"/>
        </w:rPr>
        <w:t xml:space="preserve"> (e.g., 86% of the studies examined in Rius et al. </w:t>
      </w:r>
      <w:r>
        <w:rPr>
          <w:rFonts w:asciiTheme="minorHAnsi" w:hAnsiTheme="minorHAnsi" w:cs="Arial"/>
          <w:noProof/>
          <w:sz w:val="22"/>
          <w:szCs w:val="22"/>
        </w:rPr>
        <w:t>(2015)</w:t>
      </w:r>
      <w:r>
        <w:rPr>
          <w:rFonts w:asciiTheme="minorHAnsi" w:hAnsiTheme="minorHAnsi" w:cs="Arial"/>
          <w:sz w:val="22"/>
          <w:szCs w:val="22"/>
        </w:rPr>
        <w:t xml:space="preserve">), and yet hundreds of introduced seaweeds have been reported (346 </w:t>
      </w:r>
      <w:r w:rsidRPr="00386547">
        <w:rPr>
          <w:rFonts w:asciiTheme="minorHAnsi" w:hAnsiTheme="minorHAnsi" w:cs="Arial"/>
          <w:sz w:val="22"/>
          <w:szCs w:val="22"/>
        </w:rPr>
        <w:t>species</w:t>
      </w:r>
      <w:r>
        <w:rPr>
          <w:rFonts w:asciiTheme="minorHAnsi" w:hAnsiTheme="minorHAnsi" w:cs="Arial"/>
          <w:sz w:val="22"/>
          <w:szCs w:val="22"/>
        </w:rPr>
        <w:t xml:space="preserve"> reported as invasive</w:t>
      </w:r>
      <w:r w:rsidR="00EE38CE">
        <w:rPr>
          <w:rFonts w:asciiTheme="minorHAnsi" w:hAnsiTheme="minorHAnsi" w:cs="Arial"/>
          <w:sz w:val="22"/>
          <w:szCs w:val="22"/>
        </w:rPr>
        <w:t>;</w:t>
      </w:r>
      <w:r>
        <w:rPr>
          <w:rFonts w:asciiTheme="minorHAnsi" w:hAnsiTheme="minorHAnsi" w:cs="Arial"/>
          <w:sz w:val="22"/>
          <w:szCs w:val="22"/>
        </w:rPr>
        <w:t xml:space="preserve"> </w:t>
      </w:r>
      <w:r>
        <w:rPr>
          <w:rFonts w:asciiTheme="minorHAnsi" w:hAnsiTheme="minorHAnsi" w:cs="Arial"/>
          <w:noProof/>
          <w:sz w:val="22"/>
          <w:szCs w:val="22"/>
        </w:rPr>
        <w:t>Thomsen, Wernberg, South, &amp; Schiel</w:t>
      </w:r>
      <w:r w:rsidR="00EE38CE">
        <w:rPr>
          <w:rFonts w:asciiTheme="minorHAnsi" w:hAnsiTheme="minorHAnsi" w:cs="Arial"/>
          <w:noProof/>
          <w:sz w:val="22"/>
          <w:szCs w:val="22"/>
        </w:rPr>
        <w:t>,</w:t>
      </w:r>
      <w:r>
        <w:rPr>
          <w:rFonts w:asciiTheme="minorHAnsi" w:hAnsiTheme="minorHAnsi" w:cs="Arial"/>
          <w:noProof/>
          <w:sz w:val="22"/>
          <w:szCs w:val="22"/>
        </w:rPr>
        <w:t xml:space="preserve"> 2016</w:t>
      </w:r>
      <w:r w:rsidRPr="00386547">
        <w:rPr>
          <w:rFonts w:asciiTheme="minorHAnsi" w:hAnsiTheme="minorHAnsi" w:cs="Arial"/>
          <w:sz w:val="22"/>
          <w:szCs w:val="22"/>
        </w:rPr>
        <w:t>).</w:t>
      </w:r>
      <w:r>
        <w:rPr>
          <w:rFonts w:asciiTheme="minorHAnsi" w:hAnsiTheme="minorHAnsi" w:cs="Arial"/>
          <w:sz w:val="22"/>
          <w:szCs w:val="22"/>
        </w:rPr>
        <w:t xml:space="preserve"> Among them, </w:t>
      </w:r>
      <w:r w:rsidRPr="0082286D">
        <w:rPr>
          <w:rFonts w:asciiTheme="minorHAnsi" w:hAnsiTheme="minorHAnsi" w:cs="Arial"/>
          <w:i/>
          <w:sz w:val="22"/>
          <w:szCs w:val="22"/>
        </w:rPr>
        <w:t>S. muticum</w:t>
      </w:r>
      <w:r>
        <w:rPr>
          <w:rFonts w:asciiTheme="minorHAnsi" w:hAnsiTheme="minorHAnsi" w:cs="Arial"/>
          <w:sz w:val="22"/>
          <w:szCs w:val="22"/>
        </w:rPr>
        <w:t xml:space="preserve"> is </w:t>
      </w:r>
      <w:r w:rsidRPr="008541D5">
        <w:rPr>
          <w:rFonts w:asciiTheme="minorHAnsi" w:hAnsiTheme="minorHAnsi" w:cs="Arial"/>
          <w:sz w:val="22"/>
          <w:szCs w:val="22"/>
        </w:rPr>
        <w:t>an emblematic species for circumglobal invasions</w:t>
      </w:r>
      <w:r>
        <w:rPr>
          <w:rFonts w:asciiTheme="minorHAnsi" w:hAnsiTheme="minorHAnsi" w:cs="Arial"/>
          <w:sz w:val="22"/>
          <w:szCs w:val="22"/>
        </w:rPr>
        <w:t xml:space="preserve"> and its native distribution and history of introduction are well documented (reviewed in </w:t>
      </w:r>
      <w:r>
        <w:rPr>
          <w:rFonts w:asciiTheme="minorHAnsi" w:hAnsiTheme="minorHAnsi" w:cs="Arial"/>
          <w:noProof/>
          <w:sz w:val="22"/>
          <w:szCs w:val="22"/>
        </w:rPr>
        <w:t>Engelen et al.</w:t>
      </w:r>
      <w:r w:rsidR="00EE38CE">
        <w:rPr>
          <w:rFonts w:asciiTheme="minorHAnsi" w:hAnsiTheme="minorHAnsi" w:cs="Arial"/>
          <w:noProof/>
          <w:sz w:val="22"/>
          <w:szCs w:val="22"/>
        </w:rPr>
        <w:t>,</w:t>
      </w:r>
      <w:r>
        <w:rPr>
          <w:rFonts w:asciiTheme="minorHAnsi" w:hAnsiTheme="minorHAnsi" w:cs="Arial"/>
          <w:noProof/>
          <w:sz w:val="22"/>
          <w:szCs w:val="22"/>
        </w:rPr>
        <w:t xml:space="preserve"> 2015)</w:t>
      </w:r>
      <w:r>
        <w:rPr>
          <w:rFonts w:asciiTheme="minorHAnsi" w:hAnsiTheme="minorHAnsi" w:cs="Arial"/>
          <w:sz w:val="22"/>
          <w:szCs w:val="22"/>
        </w:rPr>
        <w:t xml:space="preserve">. </w:t>
      </w:r>
      <w:r w:rsidRPr="0082286D">
        <w:rPr>
          <w:rFonts w:asciiTheme="minorHAnsi" w:hAnsiTheme="minorHAnsi" w:cs="Arial"/>
          <w:sz w:val="22"/>
          <w:szCs w:val="22"/>
        </w:rPr>
        <w:t>This seaweed</w:t>
      </w:r>
      <w:r>
        <w:rPr>
          <w:rFonts w:asciiTheme="minorHAnsi" w:hAnsiTheme="minorHAnsi" w:cs="Arial"/>
          <w:sz w:val="22"/>
          <w:szCs w:val="22"/>
        </w:rPr>
        <w:t>,</w:t>
      </w:r>
      <w:r w:rsidRPr="0082286D">
        <w:rPr>
          <w:rFonts w:asciiTheme="minorHAnsi" w:hAnsiTheme="minorHAnsi" w:cs="Arial"/>
          <w:sz w:val="22"/>
          <w:szCs w:val="22"/>
        </w:rPr>
        <w:t xml:space="preserve"> native to Asia</w:t>
      </w:r>
      <w:r>
        <w:rPr>
          <w:rFonts w:asciiTheme="minorHAnsi" w:hAnsiTheme="minorHAnsi" w:cs="Arial"/>
          <w:sz w:val="22"/>
          <w:szCs w:val="22"/>
        </w:rPr>
        <w:t>,</w:t>
      </w:r>
      <w:r w:rsidRPr="0082286D">
        <w:rPr>
          <w:rFonts w:asciiTheme="minorHAnsi" w:hAnsiTheme="minorHAnsi" w:cs="Arial"/>
          <w:sz w:val="22"/>
          <w:szCs w:val="22"/>
        </w:rPr>
        <w:t xml:space="preserve"> </w:t>
      </w:r>
      <w:r>
        <w:rPr>
          <w:rFonts w:asciiTheme="minorHAnsi" w:hAnsiTheme="minorHAnsi" w:cs="Arial"/>
          <w:sz w:val="22"/>
          <w:szCs w:val="22"/>
        </w:rPr>
        <w:t>was</w:t>
      </w:r>
      <w:r w:rsidRPr="0082286D">
        <w:rPr>
          <w:rFonts w:asciiTheme="minorHAnsi" w:hAnsiTheme="minorHAnsi" w:cs="Arial"/>
          <w:sz w:val="22"/>
          <w:szCs w:val="22"/>
        </w:rPr>
        <w:t xml:space="preserve"> first reported outside its native range in the 1940s </w:t>
      </w:r>
      <w:r>
        <w:rPr>
          <w:rFonts w:asciiTheme="minorHAnsi" w:hAnsiTheme="minorHAnsi" w:cs="Arial"/>
          <w:sz w:val="22"/>
          <w:szCs w:val="22"/>
        </w:rPr>
        <w:t xml:space="preserve">in the </w:t>
      </w:r>
      <w:r w:rsidRPr="00D31643">
        <w:rPr>
          <w:rFonts w:asciiTheme="minorHAnsi" w:hAnsiTheme="minorHAnsi" w:cs="Arial"/>
          <w:sz w:val="22"/>
          <w:szCs w:val="22"/>
        </w:rPr>
        <w:t xml:space="preserve">North </w:t>
      </w:r>
      <w:r>
        <w:rPr>
          <w:rFonts w:asciiTheme="minorHAnsi" w:hAnsiTheme="minorHAnsi" w:cs="Arial"/>
          <w:sz w:val="22"/>
          <w:szCs w:val="22"/>
        </w:rPr>
        <w:t xml:space="preserve">East Pacific </w:t>
      </w:r>
      <w:r w:rsidRPr="0082286D">
        <w:rPr>
          <w:rFonts w:asciiTheme="minorHAnsi" w:hAnsiTheme="minorHAnsi" w:cs="Arial"/>
          <w:sz w:val="22"/>
          <w:szCs w:val="22"/>
        </w:rPr>
        <w:t xml:space="preserve">in </w:t>
      </w:r>
      <w:r>
        <w:rPr>
          <w:rFonts w:asciiTheme="minorHAnsi" w:hAnsiTheme="minorHAnsi" w:cs="Arial"/>
          <w:sz w:val="22"/>
          <w:szCs w:val="22"/>
        </w:rPr>
        <w:t>the Strait of Georgia, British Columbia</w:t>
      </w:r>
      <w:r w:rsidRPr="0082286D">
        <w:rPr>
          <w:rFonts w:asciiTheme="minorHAnsi" w:hAnsiTheme="minorHAnsi" w:cs="Arial"/>
          <w:sz w:val="22"/>
          <w:szCs w:val="22"/>
        </w:rPr>
        <w:t xml:space="preserve">. A second wave of introduction started in the 1970s in </w:t>
      </w:r>
      <w:r>
        <w:rPr>
          <w:rFonts w:asciiTheme="minorHAnsi" w:hAnsiTheme="minorHAnsi" w:cs="Arial"/>
          <w:sz w:val="22"/>
          <w:szCs w:val="22"/>
        </w:rPr>
        <w:t>the North East Atlantic, with a first report on the Isle of Wight, United Kingdom</w:t>
      </w:r>
      <w:r w:rsidRPr="0082286D">
        <w:rPr>
          <w:rFonts w:asciiTheme="minorHAnsi" w:hAnsiTheme="minorHAnsi" w:cs="Arial"/>
          <w:sz w:val="22"/>
          <w:szCs w:val="22"/>
        </w:rPr>
        <w:t xml:space="preserve">. </w:t>
      </w:r>
      <w:r w:rsidRPr="00C8434A">
        <w:rPr>
          <w:rFonts w:asciiTheme="minorHAnsi" w:hAnsiTheme="minorHAnsi" w:cs="Arial"/>
          <w:i/>
          <w:sz w:val="22"/>
          <w:szCs w:val="22"/>
        </w:rPr>
        <w:t>S. muticum</w:t>
      </w:r>
      <w:r w:rsidRPr="00C8434A">
        <w:rPr>
          <w:rFonts w:asciiTheme="minorHAnsi" w:hAnsiTheme="minorHAnsi" w:cs="Arial"/>
          <w:sz w:val="22"/>
          <w:szCs w:val="22"/>
        </w:rPr>
        <w:t xml:space="preserve"> </w:t>
      </w:r>
      <w:r>
        <w:rPr>
          <w:rFonts w:asciiTheme="minorHAnsi" w:hAnsiTheme="minorHAnsi" w:cs="Arial"/>
          <w:sz w:val="22"/>
          <w:szCs w:val="22"/>
        </w:rPr>
        <w:t>subsequently</w:t>
      </w:r>
      <w:r w:rsidRPr="00C8434A">
        <w:rPr>
          <w:rFonts w:asciiTheme="minorHAnsi" w:hAnsiTheme="minorHAnsi" w:cs="Arial"/>
          <w:sz w:val="22"/>
          <w:szCs w:val="22"/>
        </w:rPr>
        <w:t xml:space="preserve"> spread </w:t>
      </w:r>
      <w:r>
        <w:rPr>
          <w:rFonts w:asciiTheme="minorHAnsi" w:hAnsiTheme="minorHAnsi" w:cs="Arial"/>
          <w:sz w:val="22"/>
          <w:szCs w:val="22"/>
        </w:rPr>
        <w:t xml:space="preserve">rapidly </w:t>
      </w:r>
      <w:r w:rsidRPr="00C8434A">
        <w:rPr>
          <w:rFonts w:asciiTheme="minorHAnsi" w:hAnsiTheme="minorHAnsi" w:cs="Arial"/>
          <w:sz w:val="22"/>
          <w:szCs w:val="22"/>
        </w:rPr>
        <w:t xml:space="preserve">along the </w:t>
      </w:r>
      <w:r>
        <w:rPr>
          <w:rFonts w:asciiTheme="minorHAnsi" w:hAnsiTheme="minorHAnsi" w:cs="Arial"/>
          <w:sz w:val="22"/>
          <w:szCs w:val="22"/>
        </w:rPr>
        <w:t>NE</w:t>
      </w:r>
      <w:r w:rsidRPr="00C8434A">
        <w:rPr>
          <w:rFonts w:asciiTheme="minorHAnsi" w:hAnsiTheme="minorHAnsi" w:cs="Arial"/>
          <w:sz w:val="22"/>
          <w:szCs w:val="22"/>
        </w:rPr>
        <w:t xml:space="preserve"> Pacific and </w:t>
      </w:r>
      <w:r>
        <w:rPr>
          <w:rFonts w:asciiTheme="minorHAnsi" w:hAnsiTheme="minorHAnsi" w:cs="Arial"/>
          <w:sz w:val="22"/>
          <w:szCs w:val="22"/>
        </w:rPr>
        <w:t>NE</w:t>
      </w:r>
      <w:r w:rsidRPr="00C8434A">
        <w:rPr>
          <w:rFonts w:asciiTheme="minorHAnsi" w:hAnsiTheme="minorHAnsi" w:cs="Arial"/>
          <w:sz w:val="22"/>
          <w:szCs w:val="22"/>
        </w:rPr>
        <w:t xml:space="preserve"> Atlantic coasts</w:t>
      </w:r>
      <w:r>
        <w:rPr>
          <w:rFonts w:asciiTheme="minorHAnsi" w:hAnsiTheme="minorHAnsi" w:cs="Arial"/>
          <w:sz w:val="22"/>
          <w:szCs w:val="22"/>
        </w:rPr>
        <w:t>, in both southward and northward directions</w:t>
      </w:r>
      <w:r w:rsidRPr="00C8434A">
        <w:rPr>
          <w:rFonts w:asciiTheme="minorHAnsi" w:hAnsiTheme="minorHAnsi" w:cs="Arial"/>
          <w:sz w:val="22"/>
          <w:szCs w:val="22"/>
        </w:rPr>
        <w:t xml:space="preserve">. Its present-day </w:t>
      </w:r>
      <w:r w:rsidRPr="00C8434A">
        <w:rPr>
          <w:rFonts w:asciiTheme="minorHAnsi" w:hAnsiTheme="minorHAnsi" w:cs="Arial"/>
          <w:sz w:val="22"/>
          <w:szCs w:val="22"/>
        </w:rPr>
        <w:lastRenderedPageBreak/>
        <w:t xml:space="preserve">introduced range spans </w:t>
      </w:r>
      <w:r>
        <w:rPr>
          <w:rFonts w:asciiTheme="minorHAnsi" w:hAnsiTheme="minorHAnsi" w:cs="Arial"/>
          <w:sz w:val="22"/>
          <w:szCs w:val="22"/>
        </w:rPr>
        <w:t xml:space="preserve">an </w:t>
      </w:r>
      <w:r w:rsidRPr="00C8434A">
        <w:rPr>
          <w:rFonts w:asciiTheme="minorHAnsi" w:hAnsiTheme="minorHAnsi" w:cs="Arial"/>
          <w:sz w:val="22"/>
          <w:szCs w:val="22"/>
        </w:rPr>
        <w:t xml:space="preserve">extremely large latitudinal gradient: from Alaska to Mexico in </w:t>
      </w:r>
      <w:r>
        <w:rPr>
          <w:rFonts w:asciiTheme="minorHAnsi" w:hAnsiTheme="minorHAnsi" w:cs="Arial"/>
          <w:sz w:val="22"/>
          <w:szCs w:val="22"/>
        </w:rPr>
        <w:t xml:space="preserve">the </w:t>
      </w:r>
      <w:r w:rsidRPr="00C8434A">
        <w:rPr>
          <w:rFonts w:asciiTheme="minorHAnsi" w:hAnsiTheme="minorHAnsi" w:cs="Arial"/>
          <w:sz w:val="22"/>
          <w:szCs w:val="22"/>
        </w:rPr>
        <w:t xml:space="preserve">NE Pacific and from Norway to Morocco in </w:t>
      </w:r>
      <w:r>
        <w:rPr>
          <w:rFonts w:asciiTheme="minorHAnsi" w:hAnsiTheme="minorHAnsi" w:cs="Arial"/>
          <w:sz w:val="22"/>
          <w:szCs w:val="22"/>
        </w:rPr>
        <w:t xml:space="preserve">the </w:t>
      </w:r>
      <w:r w:rsidRPr="00C8434A">
        <w:rPr>
          <w:rFonts w:asciiTheme="minorHAnsi" w:hAnsiTheme="minorHAnsi" w:cs="Arial"/>
          <w:sz w:val="22"/>
          <w:szCs w:val="22"/>
        </w:rPr>
        <w:t xml:space="preserve">NE Atlantic (Fig. 1). In </w:t>
      </w:r>
      <w:r>
        <w:rPr>
          <w:rFonts w:asciiTheme="minorHAnsi" w:hAnsiTheme="minorHAnsi" w:cs="Arial"/>
          <w:sz w:val="22"/>
          <w:szCs w:val="22"/>
        </w:rPr>
        <w:t>the NE Atlantic</w:t>
      </w:r>
      <w:r w:rsidRPr="00C8434A">
        <w:rPr>
          <w:rFonts w:asciiTheme="minorHAnsi" w:hAnsiTheme="minorHAnsi" w:cs="Arial"/>
          <w:sz w:val="22"/>
          <w:szCs w:val="22"/>
        </w:rPr>
        <w:t xml:space="preserve">, the species is particularly well-established, forming abundant populations and the expansion is still in progress with new populations established </w:t>
      </w:r>
      <w:r>
        <w:rPr>
          <w:rFonts w:asciiTheme="minorHAnsi" w:hAnsiTheme="minorHAnsi" w:cs="Arial"/>
          <w:sz w:val="22"/>
          <w:szCs w:val="22"/>
        </w:rPr>
        <w:t xml:space="preserve">in 2012 </w:t>
      </w:r>
      <w:r w:rsidRPr="00C8434A">
        <w:rPr>
          <w:rFonts w:asciiTheme="minorHAnsi" w:hAnsiTheme="minorHAnsi" w:cs="Arial"/>
          <w:sz w:val="22"/>
          <w:szCs w:val="22"/>
        </w:rPr>
        <w:t xml:space="preserve">in Morocco </w:t>
      </w:r>
      <w:r>
        <w:rPr>
          <w:rFonts w:asciiTheme="minorHAnsi" w:hAnsiTheme="minorHAnsi" w:cs="Arial"/>
          <w:noProof/>
          <w:sz w:val="22"/>
          <w:szCs w:val="22"/>
        </w:rPr>
        <w:t>(Sabour, Reani, El Magouri, &amp; Haroun, 2013)</w:t>
      </w:r>
      <w:r w:rsidRPr="00C8434A">
        <w:rPr>
          <w:rFonts w:asciiTheme="minorHAnsi" w:hAnsiTheme="minorHAnsi" w:cs="Arial"/>
          <w:sz w:val="22"/>
          <w:szCs w:val="22"/>
        </w:rPr>
        <w:t>.</w:t>
      </w:r>
      <w:r>
        <w:rPr>
          <w:rFonts w:asciiTheme="minorHAnsi" w:hAnsiTheme="minorHAnsi" w:cs="Arial"/>
          <w:sz w:val="22"/>
          <w:szCs w:val="22"/>
        </w:rPr>
        <w:t xml:space="preserve"> </w:t>
      </w:r>
    </w:p>
    <w:p w14:paraId="0B4B3DDC" w14:textId="77777777" w:rsidR="00FD140A" w:rsidRDefault="00FD140A" w:rsidP="00EE38CE">
      <w:pPr>
        <w:pStyle w:val="BodyText"/>
        <w:spacing w:before="124" w:line="360" w:lineRule="auto"/>
        <w:ind w:left="0" w:firstLine="709"/>
        <w:jc w:val="both"/>
        <w:rPr>
          <w:rFonts w:asciiTheme="minorHAnsi" w:hAnsiTheme="minorHAnsi" w:cs="Arial"/>
          <w:sz w:val="22"/>
          <w:szCs w:val="22"/>
        </w:rPr>
      </w:pPr>
      <w:r>
        <w:rPr>
          <w:rFonts w:asciiTheme="minorHAnsi" w:hAnsiTheme="minorHAnsi" w:cs="Arial"/>
          <w:sz w:val="22"/>
          <w:szCs w:val="22"/>
        </w:rPr>
        <w:t xml:space="preserve">The worldwide expansion of </w:t>
      </w:r>
      <w:r w:rsidRPr="0075436C">
        <w:rPr>
          <w:rFonts w:asciiTheme="minorHAnsi" w:hAnsiTheme="minorHAnsi" w:cs="Arial"/>
          <w:i/>
          <w:sz w:val="22"/>
          <w:szCs w:val="22"/>
        </w:rPr>
        <w:t>S. muticum</w:t>
      </w:r>
      <w:r>
        <w:rPr>
          <w:rFonts w:asciiTheme="minorHAnsi" w:hAnsiTheme="minorHAnsi" w:cs="Arial"/>
          <w:sz w:val="22"/>
          <w:szCs w:val="22"/>
        </w:rPr>
        <w:t xml:space="preserve"> has mostly been explained by accidental introductions through deliberate imports of oysters on which the species grows </w:t>
      </w:r>
      <w:r>
        <w:rPr>
          <w:rFonts w:asciiTheme="minorHAnsi" w:hAnsiTheme="minorHAnsi" w:cs="Arial"/>
          <w:noProof/>
          <w:sz w:val="22"/>
          <w:szCs w:val="22"/>
        </w:rPr>
        <w:t>(Engelen et al., 2015)</w:t>
      </w:r>
      <w:r w:rsidRPr="00C8434A">
        <w:rPr>
          <w:rFonts w:asciiTheme="minorHAnsi" w:hAnsiTheme="minorHAnsi" w:cs="Arial"/>
          <w:sz w:val="22"/>
          <w:szCs w:val="22"/>
        </w:rPr>
        <w:t xml:space="preserve">. Oyster culture has been recognized as one </w:t>
      </w:r>
      <w:r>
        <w:rPr>
          <w:rFonts w:asciiTheme="minorHAnsi" w:hAnsiTheme="minorHAnsi" w:cs="Arial"/>
          <w:sz w:val="22"/>
          <w:szCs w:val="22"/>
        </w:rPr>
        <w:t xml:space="preserve">of the </w:t>
      </w:r>
      <w:r w:rsidRPr="00C8434A">
        <w:rPr>
          <w:rFonts w:asciiTheme="minorHAnsi" w:hAnsiTheme="minorHAnsi" w:cs="Arial"/>
          <w:sz w:val="22"/>
          <w:szCs w:val="22"/>
        </w:rPr>
        <w:t>major vector</w:t>
      </w:r>
      <w:r>
        <w:rPr>
          <w:rFonts w:asciiTheme="minorHAnsi" w:hAnsiTheme="minorHAnsi" w:cs="Arial"/>
          <w:sz w:val="22"/>
          <w:szCs w:val="22"/>
        </w:rPr>
        <w:t>s</w:t>
      </w:r>
      <w:r w:rsidRPr="00C8434A">
        <w:rPr>
          <w:rFonts w:asciiTheme="minorHAnsi" w:hAnsiTheme="minorHAnsi" w:cs="Arial"/>
          <w:sz w:val="22"/>
          <w:szCs w:val="22"/>
        </w:rPr>
        <w:t xml:space="preserve"> of introductions worldwide </w:t>
      </w:r>
      <w:r>
        <w:rPr>
          <w:rFonts w:asciiTheme="minorHAnsi" w:hAnsiTheme="minorHAnsi" w:cs="Arial"/>
          <w:noProof/>
          <w:sz w:val="22"/>
          <w:szCs w:val="22"/>
        </w:rPr>
        <w:t>(Haupt, Griffiths, &amp; Robinson, 2012; Wolff &amp; Reise, 2002)</w:t>
      </w:r>
      <w:r w:rsidRPr="00C8434A">
        <w:rPr>
          <w:rFonts w:asciiTheme="minorHAnsi" w:hAnsiTheme="minorHAnsi" w:cs="Arial"/>
          <w:sz w:val="22"/>
          <w:szCs w:val="22"/>
        </w:rPr>
        <w:t xml:space="preserve">, because of repeated intra- and inter-continental translocations of several </w:t>
      </w:r>
      <w:r>
        <w:rPr>
          <w:rFonts w:asciiTheme="minorHAnsi" w:hAnsiTheme="minorHAnsi" w:cs="Arial"/>
          <w:sz w:val="22"/>
          <w:szCs w:val="22"/>
        </w:rPr>
        <w:t xml:space="preserve">oyster </w:t>
      </w:r>
      <w:r w:rsidRPr="00C8434A">
        <w:rPr>
          <w:rFonts w:asciiTheme="minorHAnsi" w:hAnsiTheme="minorHAnsi" w:cs="Arial"/>
          <w:sz w:val="22"/>
          <w:szCs w:val="22"/>
        </w:rPr>
        <w:t>species outside of their native range</w:t>
      </w:r>
      <w:r>
        <w:rPr>
          <w:rFonts w:asciiTheme="minorHAnsi" w:hAnsiTheme="minorHAnsi" w:cs="Arial"/>
          <w:sz w:val="22"/>
          <w:szCs w:val="22"/>
        </w:rPr>
        <w:t>.</w:t>
      </w:r>
      <w:r w:rsidRPr="00C8434A">
        <w:rPr>
          <w:rFonts w:asciiTheme="minorHAnsi" w:hAnsiTheme="minorHAnsi" w:cs="Arial"/>
          <w:sz w:val="22"/>
          <w:szCs w:val="22"/>
        </w:rPr>
        <w:t xml:space="preserve"> </w:t>
      </w:r>
      <w:r>
        <w:rPr>
          <w:rFonts w:asciiTheme="minorHAnsi" w:hAnsiTheme="minorHAnsi" w:cs="Arial"/>
          <w:sz w:val="22"/>
          <w:szCs w:val="22"/>
        </w:rPr>
        <w:t xml:space="preserve">These movements are illustrated with the imports of </w:t>
      </w:r>
      <w:r w:rsidRPr="00DC6854">
        <w:rPr>
          <w:rFonts w:asciiTheme="minorHAnsi" w:hAnsiTheme="minorHAnsi" w:cs="Arial"/>
          <w:i/>
          <w:sz w:val="22"/>
          <w:szCs w:val="22"/>
        </w:rPr>
        <w:t>C</w:t>
      </w:r>
      <w:r>
        <w:rPr>
          <w:rFonts w:asciiTheme="minorHAnsi" w:hAnsiTheme="minorHAnsi" w:cs="Arial"/>
          <w:i/>
          <w:sz w:val="22"/>
          <w:szCs w:val="22"/>
        </w:rPr>
        <w:t>r</w:t>
      </w:r>
      <w:r w:rsidRPr="00DC6854">
        <w:rPr>
          <w:rFonts w:asciiTheme="minorHAnsi" w:hAnsiTheme="minorHAnsi" w:cs="Arial"/>
          <w:i/>
          <w:sz w:val="22"/>
          <w:szCs w:val="22"/>
        </w:rPr>
        <w:t>assostrea virginica</w:t>
      </w:r>
      <w:r>
        <w:rPr>
          <w:rFonts w:asciiTheme="minorHAnsi" w:hAnsiTheme="minorHAnsi" w:cs="Arial"/>
          <w:i/>
          <w:sz w:val="22"/>
          <w:szCs w:val="22"/>
        </w:rPr>
        <w:t>,</w:t>
      </w:r>
      <w:r>
        <w:rPr>
          <w:rFonts w:asciiTheme="minorHAnsi" w:hAnsiTheme="minorHAnsi" w:cs="Arial"/>
          <w:sz w:val="22"/>
          <w:szCs w:val="22"/>
        </w:rPr>
        <w:t xml:space="preserve"> from the NW to the NE Atlantic in the 1800s, and of the Pacific oyster </w:t>
      </w:r>
      <w:r w:rsidRPr="00DC6854">
        <w:rPr>
          <w:rFonts w:asciiTheme="minorHAnsi" w:hAnsiTheme="minorHAnsi" w:cs="Arial"/>
          <w:i/>
          <w:sz w:val="22"/>
          <w:szCs w:val="22"/>
        </w:rPr>
        <w:t>Crassostrea (Magallana) gigas</w:t>
      </w:r>
      <w:r>
        <w:rPr>
          <w:rFonts w:asciiTheme="minorHAnsi" w:hAnsiTheme="minorHAnsi" w:cs="Arial"/>
          <w:sz w:val="22"/>
          <w:szCs w:val="22"/>
        </w:rPr>
        <w:t xml:space="preserve"> from Asia to North America and Europe which started in the 1940s. They can be responsible for both primary introductions (i.e., from the native range to a new area) and secondary introductions (i.e., from an introduced range to a new one, as exemplified by the introduction of the gastropod </w:t>
      </w:r>
      <w:r>
        <w:rPr>
          <w:rFonts w:asciiTheme="minorHAnsi" w:hAnsiTheme="minorHAnsi" w:cs="Arial"/>
          <w:i/>
          <w:sz w:val="22"/>
          <w:szCs w:val="22"/>
        </w:rPr>
        <w:t xml:space="preserve">Ocinebrellus inornatus </w:t>
      </w:r>
      <w:r>
        <w:rPr>
          <w:rFonts w:asciiTheme="minorHAnsi" w:hAnsiTheme="minorHAnsi" w:cs="Arial"/>
          <w:sz w:val="22"/>
          <w:szCs w:val="22"/>
        </w:rPr>
        <w:t xml:space="preserve">in France, </w:t>
      </w:r>
      <w:r>
        <w:rPr>
          <w:rFonts w:asciiTheme="minorHAnsi" w:hAnsiTheme="minorHAnsi" w:cs="Arial"/>
          <w:noProof/>
          <w:sz w:val="22"/>
          <w:szCs w:val="22"/>
        </w:rPr>
        <w:t>(Martel, Viard, Bourguet, &amp; Garcia-Meunier, 2004)</w:t>
      </w:r>
      <w:r>
        <w:rPr>
          <w:rFonts w:asciiTheme="minorHAnsi" w:hAnsiTheme="minorHAnsi" w:cs="Arial"/>
          <w:sz w:val="22"/>
          <w:szCs w:val="22"/>
        </w:rPr>
        <w:t xml:space="preserve">). </w:t>
      </w:r>
      <w:r w:rsidRPr="00C8434A">
        <w:rPr>
          <w:rFonts w:asciiTheme="minorHAnsi" w:hAnsiTheme="minorHAnsi" w:cs="Arial"/>
          <w:sz w:val="22"/>
          <w:szCs w:val="22"/>
        </w:rPr>
        <w:t xml:space="preserve">For species accidentally introduced with oysters, such as </w:t>
      </w:r>
      <w:r>
        <w:rPr>
          <w:rFonts w:asciiTheme="minorHAnsi" w:hAnsiTheme="minorHAnsi" w:cs="Arial"/>
          <w:i/>
          <w:sz w:val="22"/>
          <w:szCs w:val="22"/>
        </w:rPr>
        <w:t>Crepidula fornicata</w:t>
      </w:r>
      <w:r>
        <w:rPr>
          <w:rFonts w:asciiTheme="minorHAnsi" w:hAnsiTheme="minorHAnsi" w:cs="Arial"/>
          <w:sz w:val="22"/>
          <w:szCs w:val="22"/>
        </w:rPr>
        <w:t xml:space="preserve"> </w:t>
      </w:r>
      <w:r>
        <w:rPr>
          <w:rFonts w:asciiTheme="minorHAnsi" w:hAnsiTheme="minorHAnsi" w:cs="Arial"/>
          <w:noProof/>
          <w:sz w:val="22"/>
          <w:szCs w:val="22"/>
        </w:rPr>
        <w:t>(Riquet, Daguin-Thiébaut, Ballenghien, Bierne, &amp; Viard, 2013)</w:t>
      </w:r>
      <w:r>
        <w:rPr>
          <w:rFonts w:asciiTheme="minorHAnsi" w:hAnsiTheme="minorHAnsi" w:cs="Arial"/>
          <w:sz w:val="22"/>
          <w:szCs w:val="22"/>
        </w:rPr>
        <w:t xml:space="preserve">, </w:t>
      </w:r>
      <w:r>
        <w:rPr>
          <w:rFonts w:asciiTheme="minorHAnsi" w:hAnsiTheme="minorHAnsi" w:cs="Arial"/>
          <w:i/>
          <w:sz w:val="22"/>
          <w:szCs w:val="22"/>
        </w:rPr>
        <w:t xml:space="preserve">Ocinebrellus inornatus </w:t>
      </w:r>
      <w:r>
        <w:rPr>
          <w:rFonts w:asciiTheme="minorHAnsi" w:hAnsiTheme="minorHAnsi" w:cs="Arial"/>
          <w:noProof/>
          <w:sz w:val="22"/>
          <w:szCs w:val="22"/>
        </w:rPr>
        <w:t>(Pante et al., 2015</w:t>
      </w:r>
      <w:r w:rsidR="00EE38CE">
        <w:rPr>
          <w:rFonts w:asciiTheme="minorHAnsi" w:hAnsiTheme="minorHAnsi" w:cs="Arial"/>
          <w:noProof/>
          <w:sz w:val="22"/>
          <w:szCs w:val="22"/>
        </w:rPr>
        <w:t>;</w:t>
      </w:r>
      <w:r>
        <w:rPr>
          <w:rFonts w:asciiTheme="minorHAnsi" w:hAnsiTheme="minorHAnsi" w:cs="Arial"/>
          <w:noProof/>
          <w:sz w:val="22"/>
          <w:szCs w:val="22"/>
        </w:rPr>
        <w:t xml:space="preserve"> named as </w:t>
      </w:r>
      <w:r w:rsidRPr="008F3700">
        <w:rPr>
          <w:rFonts w:asciiTheme="minorHAnsi" w:hAnsiTheme="minorHAnsi" w:cs="Arial"/>
          <w:i/>
          <w:noProof/>
          <w:sz w:val="22"/>
          <w:szCs w:val="22"/>
        </w:rPr>
        <w:t>O</w:t>
      </w:r>
      <w:r>
        <w:rPr>
          <w:rFonts w:asciiTheme="minorHAnsi" w:hAnsiTheme="minorHAnsi" w:cs="Arial"/>
          <w:i/>
          <w:noProof/>
          <w:sz w:val="22"/>
          <w:szCs w:val="22"/>
        </w:rPr>
        <w:t>cenebra</w:t>
      </w:r>
      <w:r w:rsidRPr="008F3700">
        <w:rPr>
          <w:rFonts w:asciiTheme="minorHAnsi" w:hAnsiTheme="minorHAnsi" w:cs="Arial"/>
          <w:i/>
          <w:noProof/>
          <w:sz w:val="22"/>
          <w:szCs w:val="22"/>
        </w:rPr>
        <w:t xml:space="preserve"> inornata</w:t>
      </w:r>
      <w:r>
        <w:rPr>
          <w:rFonts w:asciiTheme="minorHAnsi" w:hAnsiTheme="minorHAnsi" w:cs="Arial"/>
          <w:noProof/>
          <w:sz w:val="22"/>
          <w:szCs w:val="22"/>
        </w:rPr>
        <w:t xml:space="preserve"> in this paper)</w:t>
      </w:r>
      <w:r>
        <w:rPr>
          <w:rFonts w:asciiTheme="minorHAnsi" w:hAnsiTheme="minorHAnsi" w:cs="Arial"/>
          <w:i/>
          <w:sz w:val="22"/>
          <w:szCs w:val="22"/>
        </w:rPr>
        <w:t xml:space="preserve"> </w:t>
      </w:r>
      <w:r>
        <w:rPr>
          <w:rFonts w:asciiTheme="minorHAnsi" w:hAnsiTheme="minorHAnsi" w:cs="Arial"/>
          <w:sz w:val="22"/>
          <w:szCs w:val="22"/>
        </w:rPr>
        <w:t xml:space="preserve">or </w:t>
      </w:r>
      <w:r w:rsidRPr="008F213E">
        <w:rPr>
          <w:rFonts w:asciiTheme="minorHAnsi" w:hAnsiTheme="minorHAnsi" w:cs="Arial"/>
          <w:i/>
          <w:sz w:val="22"/>
          <w:szCs w:val="22"/>
        </w:rPr>
        <w:t>Polysiphonia morrowii</w:t>
      </w:r>
      <w:r>
        <w:rPr>
          <w:rFonts w:asciiTheme="minorHAnsi" w:hAnsiTheme="minorHAnsi" w:cs="Arial"/>
          <w:sz w:val="22"/>
          <w:szCs w:val="22"/>
        </w:rPr>
        <w:t xml:space="preserve"> </w:t>
      </w:r>
      <w:r>
        <w:rPr>
          <w:rFonts w:asciiTheme="minorHAnsi" w:hAnsiTheme="minorHAnsi" w:cs="Arial"/>
          <w:noProof/>
          <w:sz w:val="22"/>
          <w:szCs w:val="22"/>
        </w:rPr>
        <w:t>(Geoffroy et al., 2016)</w:t>
      </w:r>
      <w:r w:rsidRPr="00C8434A">
        <w:rPr>
          <w:rFonts w:asciiTheme="minorHAnsi" w:hAnsiTheme="minorHAnsi" w:cs="Arial"/>
          <w:sz w:val="22"/>
          <w:szCs w:val="22"/>
        </w:rPr>
        <w:t xml:space="preserve">, important genetic diversity </w:t>
      </w:r>
      <w:r>
        <w:rPr>
          <w:rFonts w:asciiTheme="minorHAnsi" w:hAnsiTheme="minorHAnsi" w:cs="Arial"/>
          <w:sz w:val="22"/>
          <w:szCs w:val="22"/>
        </w:rPr>
        <w:t>has</w:t>
      </w:r>
      <w:r w:rsidRPr="00C8434A">
        <w:rPr>
          <w:rFonts w:asciiTheme="minorHAnsi" w:hAnsiTheme="minorHAnsi" w:cs="Arial"/>
          <w:sz w:val="22"/>
          <w:szCs w:val="22"/>
        </w:rPr>
        <w:t xml:space="preserve"> been documented in introduced populations. As such</w:t>
      </w:r>
      <w:r>
        <w:rPr>
          <w:rFonts w:asciiTheme="minorHAnsi" w:hAnsiTheme="minorHAnsi" w:cs="Arial"/>
          <w:sz w:val="22"/>
          <w:szCs w:val="22"/>
        </w:rPr>
        <w:t>,</w:t>
      </w:r>
      <w:r w:rsidRPr="00C8434A">
        <w:rPr>
          <w:rFonts w:asciiTheme="minorHAnsi" w:hAnsiTheme="minorHAnsi" w:cs="Arial"/>
          <w:sz w:val="22"/>
          <w:szCs w:val="22"/>
        </w:rPr>
        <w:t xml:space="preserve"> we hypothesized that the genetic diversity of </w:t>
      </w:r>
      <w:r w:rsidRPr="00C8434A">
        <w:rPr>
          <w:rFonts w:asciiTheme="minorHAnsi" w:hAnsiTheme="minorHAnsi" w:cs="Arial"/>
          <w:i/>
          <w:sz w:val="22"/>
          <w:szCs w:val="22"/>
        </w:rPr>
        <w:t xml:space="preserve">S. muticum </w:t>
      </w:r>
      <w:r w:rsidRPr="00C8434A">
        <w:rPr>
          <w:rFonts w:asciiTheme="minorHAnsi" w:hAnsiTheme="minorHAnsi" w:cs="Arial"/>
          <w:sz w:val="22"/>
          <w:szCs w:val="22"/>
        </w:rPr>
        <w:t xml:space="preserve">in its </w:t>
      </w:r>
      <w:r>
        <w:rPr>
          <w:rFonts w:asciiTheme="minorHAnsi" w:hAnsiTheme="minorHAnsi" w:cs="Arial"/>
          <w:sz w:val="22"/>
          <w:szCs w:val="22"/>
        </w:rPr>
        <w:t xml:space="preserve">American and European </w:t>
      </w:r>
      <w:r w:rsidRPr="00C8434A">
        <w:rPr>
          <w:rFonts w:asciiTheme="minorHAnsi" w:hAnsiTheme="minorHAnsi" w:cs="Arial"/>
          <w:sz w:val="22"/>
          <w:szCs w:val="22"/>
        </w:rPr>
        <w:t xml:space="preserve">introduced ranges should be high (i.e. close to what is observed in its native range). </w:t>
      </w:r>
      <w:r w:rsidRPr="00E0403F">
        <w:rPr>
          <w:rFonts w:asciiTheme="minorHAnsi" w:hAnsiTheme="minorHAnsi" w:cs="Arial"/>
          <w:sz w:val="22"/>
          <w:szCs w:val="22"/>
        </w:rPr>
        <w:t xml:space="preserve">A previous study based on mitochondrial sequencing </w:t>
      </w:r>
      <w:r w:rsidRPr="00694A9F">
        <w:rPr>
          <w:rFonts w:asciiTheme="minorHAnsi" w:hAnsiTheme="minorHAnsi" w:cs="Arial"/>
          <w:noProof/>
          <w:sz w:val="22"/>
          <w:szCs w:val="22"/>
        </w:rPr>
        <w:t>(Cheang et al., 2010)</w:t>
      </w:r>
      <w:r w:rsidRPr="00694A9F">
        <w:rPr>
          <w:rFonts w:asciiTheme="minorHAnsi" w:hAnsiTheme="minorHAnsi" w:cs="Arial"/>
          <w:sz w:val="22"/>
          <w:szCs w:val="22"/>
        </w:rPr>
        <w:t xml:space="preserve"> failed</w:t>
      </w:r>
      <w:r>
        <w:rPr>
          <w:rFonts w:asciiTheme="minorHAnsi" w:hAnsiTheme="minorHAnsi" w:cs="Arial"/>
          <w:sz w:val="22"/>
          <w:szCs w:val="22"/>
        </w:rPr>
        <w:t xml:space="preserve"> to </w:t>
      </w:r>
      <w:r w:rsidRPr="00E0403F">
        <w:rPr>
          <w:rFonts w:asciiTheme="minorHAnsi" w:hAnsiTheme="minorHAnsi" w:cs="Arial"/>
          <w:sz w:val="22"/>
          <w:szCs w:val="22"/>
        </w:rPr>
        <w:t>elucidate the introduction history</w:t>
      </w:r>
      <w:r w:rsidRPr="005862FB">
        <w:rPr>
          <w:rFonts w:asciiTheme="minorHAnsi" w:hAnsiTheme="minorHAnsi" w:cs="Arial"/>
          <w:sz w:val="22"/>
          <w:szCs w:val="22"/>
        </w:rPr>
        <w:t xml:space="preserve"> </w:t>
      </w:r>
      <w:r>
        <w:rPr>
          <w:rFonts w:asciiTheme="minorHAnsi" w:hAnsiTheme="minorHAnsi" w:cs="Arial"/>
          <w:sz w:val="22"/>
          <w:szCs w:val="22"/>
        </w:rPr>
        <w:t>or evaluate the extent of founder events due to very low marker resolution.</w:t>
      </w:r>
      <w:r w:rsidRPr="00E0403F">
        <w:rPr>
          <w:rFonts w:asciiTheme="minorHAnsi" w:hAnsiTheme="minorHAnsi" w:cs="Arial"/>
          <w:sz w:val="22"/>
          <w:szCs w:val="22"/>
        </w:rPr>
        <w:t xml:space="preserve"> </w:t>
      </w:r>
      <w:r>
        <w:rPr>
          <w:rFonts w:asciiTheme="minorHAnsi" w:hAnsiTheme="minorHAnsi" w:cs="Arial"/>
          <w:sz w:val="22"/>
          <w:szCs w:val="22"/>
        </w:rPr>
        <w:t>In this study w</w:t>
      </w:r>
      <w:r w:rsidRPr="00C8434A">
        <w:rPr>
          <w:rFonts w:asciiTheme="minorHAnsi" w:hAnsiTheme="minorHAnsi" w:cs="Arial"/>
          <w:sz w:val="22"/>
          <w:szCs w:val="22"/>
        </w:rPr>
        <w:t xml:space="preserve">e </w:t>
      </w:r>
      <w:r>
        <w:rPr>
          <w:rFonts w:asciiTheme="minorHAnsi" w:hAnsiTheme="minorHAnsi" w:cs="Arial"/>
          <w:sz w:val="22"/>
          <w:szCs w:val="22"/>
        </w:rPr>
        <w:t xml:space="preserve">developed nuclear polymorphic markers and </w:t>
      </w:r>
      <w:r w:rsidRPr="00C8434A">
        <w:rPr>
          <w:rFonts w:asciiTheme="minorHAnsi" w:hAnsiTheme="minorHAnsi" w:cs="Arial"/>
          <w:sz w:val="22"/>
          <w:szCs w:val="22"/>
        </w:rPr>
        <w:t>carried out extensive sampling of 1500 individuals from American, European and native</w:t>
      </w:r>
      <w:r>
        <w:rPr>
          <w:rFonts w:asciiTheme="minorHAnsi" w:hAnsiTheme="minorHAnsi" w:cs="Arial"/>
          <w:sz w:val="22"/>
          <w:szCs w:val="22"/>
        </w:rPr>
        <w:t xml:space="preserve"> Asian</w:t>
      </w:r>
      <w:r w:rsidRPr="00C8434A">
        <w:rPr>
          <w:rFonts w:asciiTheme="minorHAnsi" w:hAnsiTheme="minorHAnsi" w:cs="Arial"/>
          <w:sz w:val="22"/>
          <w:szCs w:val="22"/>
        </w:rPr>
        <w:t xml:space="preserve"> populations to examine the introduction history, and more specifically </w:t>
      </w:r>
      <w:r>
        <w:rPr>
          <w:rFonts w:asciiTheme="minorHAnsi" w:hAnsiTheme="minorHAnsi" w:cs="Arial"/>
          <w:sz w:val="22"/>
          <w:szCs w:val="22"/>
        </w:rPr>
        <w:t xml:space="preserve">the changes in </w:t>
      </w:r>
      <w:r w:rsidRPr="00C8434A">
        <w:rPr>
          <w:rFonts w:asciiTheme="minorHAnsi" w:hAnsiTheme="minorHAnsi" w:cs="Arial"/>
          <w:sz w:val="22"/>
          <w:szCs w:val="22"/>
        </w:rPr>
        <w:t>genetic diversity accompan</w:t>
      </w:r>
      <w:r>
        <w:rPr>
          <w:rFonts w:asciiTheme="minorHAnsi" w:hAnsiTheme="minorHAnsi" w:cs="Arial"/>
          <w:sz w:val="22"/>
          <w:szCs w:val="22"/>
        </w:rPr>
        <w:t>ying</w:t>
      </w:r>
      <w:r w:rsidRPr="00C8434A">
        <w:rPr>
          <w:rFonts w:asciiTheme="minorHAnsi" w:hAnsiTheme="minorHAnsi" w:cs="Arial"/>
          <w:sz w:val="22"/>
          <w:szCs w:val="22"/>
        </w:rPr>
        <w:t xml:space="preserve"> the introduction process at a global scale. </w:t>
      </w:r>
    </w:p>
    <w:p w14:paraId="6090DA8A" w14:textId="77777777" w:rsidR="00FD140A" w:rsidRPr="00386547" w:rsidRDefault="00FD140A" w:rsidP="00EE38CE">
      <w:pPr>
        <w:pStyle w:val="BodyText"/>
        <w:spacing w:before="124" w:line="360" w:lineRule="auto"/>
        <w:ind w:left="0" w:firstLine="709"/>
        <w:jc w:val="both"/>
        <w:rPr>
          <w:rFonts w:asciiTheme="minorHAnsi" w:hAnsiTheme="minorHAnsi" w:cs="Arial"/>
          <w:i/>
          <w:sz w:val="22"/>
          <w:szCs w:val="22"/>
        </w:rPr>
      </w:pPr>
      <w:r>
        <w:rPr>
          <w:rFonts w:asciiTheme="minorHAnsi" w:hAnsiTheme="minorHAnsi" w:cs="Arial"/>
          <w:sz w:val="22"/>
          <w:szCs w:val="22"/>
        </w:rPr>
        <w:t>Besides multiple origins and propagule pressure, o</w:t>
      </w:r>
      <w:r>
        <w:rPr>
          <w:rFonts w:asciiTheme="minorHAnsi" w:hAnsiTheme="minorHAnsi"/>
          <w:sz w:val="22"/>
          <w:szCs w:val="22"/>
        </w:rPr>
        <w:t>ther</w:t>
      </w:r>
      <w:r w:rsidRPr="00C8434A">
        <w:rPr>
          <w:rFonts w:asciiTheme="minorHAnsi" w:hAnsiTheme="minorHAnsi"/>
          <w:sz w:val="22"/>
          <w:szCs w:val="22"/>
        </w:rPr>
        <w:t xml:space="preserve"> key factor</w:t>
      </w:r>
      <w:r>
        <w:rPr>
          <w:rFonts w:asciiTheme="minorHAnsi" w:hAnsiTheme="minorHAnsi"/>
          <w:sz w:val="22"/>
          <w:szCs w:val="22"/>
        </w:rPr>
        <w:t>s</w:t>
      </w:r>
      <w:r w:rsidRPr="00C8434A">
        <w:rPr>
          <w:rFonts w:asciiTheme="minorHAnsi" w:hAnsiTheme="minorHAnsi"/>
          <w:sz w:val="22"/>
          <w:szCs w:val="22"/>
        </w:rPr>
        <w:t xml:space="preserve"> in especially large scale </w:t>
      </w:r>
      <w:r>
        <w:rPr>
          <w:rFonts w:asciiTheme="minorHAnsi" w:hAnsiTheme="minorHAnsi"/>
          <w:sz w:val="22"/>
          <w:szCs w:val="22"/>
        </w:rPr>
        <w:t>and fast spreading</w:t>
      </w:r>
      <w:r w:rsidRPr="00C8434A">
        <w:rPr>
          <w:rFonts w:asciiTheme="minorHAnsi" w:hAnsiTheme="minorHAnsi"/>
          <w:sz w:val="22"/>
          <w:szCs w:val="22"/>
        </w:rPr>
        <w:t xml:space="preserve"> successful </w:t>
      </w:r>
      <w:r>
        <w:rPr>
          <w:rFonts w:asciiTheme="minorHAnsi" w:hAnsiTheme="minorHAnsi"/>
          <w:sz w:val="22"/>
          <w:szCs w:val="22"/>
        </w:rPr>
        <w:t>introductions</w:t>
      </w:r>
      <w:r w:rsidRPr="00C8434A">
        <w:rPr>
          <w:rFonts w:asciiTheme="minorHAnsi" w:hAnsiTheme="minorHAnsi"/>
          <w:sz w:val="22"/>
          <w:szCs w:val="22"/>
        </w:rPr>
        <w:t xml:space="preserve"> </w:t>
      </w:r>
      <w:r>
        <w:rPr>
          <w:rFonts w:asciiTheme="minorHAnsi" w:hAnsiTheme="minorHAnsi"/>
          <w:sz w:val="22"/>
          <w:szCs w:val="22"/>
        </w:rPr>
        <w:t>are</w:t>
      </w:r>
      <w:r w:rsidRPr="00C8434A">
        <w:rPr>
          <w:rFonts w:asciiTheme="minorHAnsi" w:hAnsiTheme="minorHAnsi"/>
          <w:sz w:val="22"/>
          <w:szCs w:val="22"/>
        </w:rPr>
        <w:t xml:space="preserve"> facilitating life history traits</w:t>
      </w:r>
      <w:r>
        <w:rPr>
          <w:rFonts w:asciiTheme="minorHAnsi" w:hAnsiTheme="minorHAnsi"/>
          <w:sz w:val="22"/>
          <w:szCs w:val="22"/>
        </w:rPr>
        <w:t>, such as</w:t>
      </w:r>
      <w:r w:rsidRPr="00C8434A">
        <w:rPr>
          <w:rFonts w:asciiTheme="minorHAnsi" w:hAnsiTheme="minorHAnsi" w:cs="Arial"/>
          <w:sz w:val="22"/>
          <w:szCs w:val="22"/>
        </w:rPr>
        <w:t xml:space="preserve"> microscopic, dispersive and/or dormant stages, high fecundity, and </w:t>
      </w:r>
      <w:r>
        <w:rPr>
          <w:rFonts w:asciiTheme="minorHAnsi" w:hAnsiTheme="minorHAnsi" w:cs="Arial"/>
          <w:sz w:val="22"/>
          <w:szCs w:val="22"/>
        </w:rPr>
        <w:t xml:space="preserve">uniparental reproduction. These traits are all </w:t>
      </w:r>
      <w:r w:rsidRPr="00C8434A">
        <w:rPr>
          <w:rFonts w:asciiTheme="minorHAnsi" w:hAnsiTheme="minorHAnsi"/>
          <w:sz w:val="22"/>
          <w:szCs w:val="22"/>
        </w:rPr>
        <w:t xml:space="preserve">likely to decrease the effect of demographic stochasticity in the early stage of introduction and/or at the </w:t>
      </w:r>
      <w:r>
        <w:rPr>
          <w:rFonts w:asciiTheme="minorHAnsi" w:hAnsiTheme="minorHAnsi"/>
          <w:sz w:val="22"/>
          <w:szCs w:val="22"/>
        </w:rPr>
        <w:t>front</w:t>
      </w:r>
      <w:r w:rsidRPr="00C8434A">
        <w:rPr>
          <w:rFonts w:asciiTheme="minorHAnsi" w:hAnsiTheme="minorHAnsi"/>
          <w:sz w:val="22"/>
          <w:szCs w:val="22"/>
        </w:rPr>
        <w:t xml:space="preserve"> of the expansion </w:t>
      </w:r>
      <w:r>
        <w:rPr>
          <w:rFonts w:asciiTheme="minorHAnsi" w:hAnsiTheme="minorHAnsi"/>
          <w:sz w:val="22"/>
          <w:szCs w:val="22"/>
        </w:rPr>
        <w:t>wave</w:t>
      </w:r>
      <w:r w:rsidRPr="00C8434A">
        <w:rPr>
          <w:rFonts w:asciiTheme="minorHAnsi" w:hAnsiTheme="minorHAnsi"/>
          <w:sz w:val="22"/>
          <w:szCs w:val="22"/>
        </w:rPr>
        <w:t xml:space="preserve">. </w:t>
      </w:r>
      <w:r>
        <w:rPr>
          <w:rFonts w:asciiTheme="minorHAnsi" w:hAnsiTheme="minorHAnsi"/>
          <w:sz w:val="22"/>
          <w:szCs w:val="22"/>
        </w:rPr>
        <w:t>Like in terrestrial plants, seaweeds often display uniparental reproduction, either through clonal reproduction or selfing. In light of Baker’s law, such reproductive traits are expected to facilitate the colonization of new habitats (</w:t>
      </w:r>
      <w:r>
        <w:rPr>
          <w:rFonts w:asciiTheme="minorHAnsi" w:hAnsiTheme="minorHAnsi"/>
          <w:noProof/>
          <w:sz w:val="22"/>
          <w:szCs w:val="22"/>
        </w:rPr>
        <w:t>Pannell et al., 2015)</w:t>
      </w:r>
      <w:r>
        <w:rPr>
          <w:rFonts w:asciiTheme="minorHAnsi" w:hAnsiTheme="minorHAnsi"/>
          <w:sz w:val="22"/>
          <w:szCs w:val="22"/>
        </w:rPr>
        <w:t xml:space="preserve">. </w:t>
      </w:r>
      <w:r w:rsidRPr="00694A9F">
        <w:rPr>
          <w:rFonts w:asciiTheme="minorHAnsi" w:hAnsiTheme="minorHAnsi"/>
          <w:sz w:val="22"/>
          <w:szCs w:val="22"/>
        </w:rPr>
        <w:t xml:space="preserve">In the red seaweed </w:t>
      </w:r>
      <w:r w:rsidRPr="00694A9F">
        <w:rPr>
          <w:rFonts w:asciiTheme="minorHAnsi" w:hAnsiTheme="minorHAnsi"/>
          <w:i/>
          <w:sz w:val="22"/>
          <w:szCs w:val="22"/>
        </w:rPr>
        <w:t xml:space="preserve">Gracilaria vermiculophylla, </w:t>
      </w:r>
      <w:r w:rsidRPr="00694A9F">
        <w:rPr>
          <w:rFonts w:asciiTheme="minorHAnsi" w:hAnsiTheme="minorHAnsi"/>
          <w:noProof/>
          <w:sz w:val="22"/>
          <w:szCs w:val="22"/>
        </w:rPr>
        <w:t>(Krueger‐Hadfield et al., 2016)</w:t>
      </w:r>
      <w:r w:rsidRPr="00694A9F">
        <w:rPr>
          <w:rFonts w:asciiTheme="minorHAnsi" w:hAnsiTheme="minorHAnsi" w:cs="Arial"/>
          <w:sz w:val="22"/>
          <w:szCs w:val="22"/>
        </w:rPr>
        <w:t xml:space="preserve"> highlighted a shift from sexual to asexual reproduction in introduced populations and, in the kelp </w:t>
      </w:r>
      <w:r w:rsidRPr="00694A9F">
        <w:rPr>
          <w:rFonts w:asciiTheme="minorHAnsi" w:hAnsiTheme="minorHAnsi" w:cs="Arial"/>
          <w:i/>
          <w:sz w:val="22"/>
          <w:szCs w:val="22"/>
        </w:rPr>
        <w:t>Undaria pinnatifida,</w:t>
      </w:r>
      <w:r w:rsidRPr="00694A9F">
        <w:rPr>
          <w:rFonts w:asciiTheme="minorHAnsi" w:hAnsiTheme="minorHAnsi" w:cs="Arial"/>
          <w:sz w:val="22"/>
          <w:szCs w:val="22"/>
        </w:rPr>
        <w:t xml:space="preserve"> </w:t>
      </w:r>
      <w:r w:rsidRPr="00694A9F">
        <w:rPr>
          <w:rFonts w:asciiTheme="minorHAnsi" w:hAnsiTheme="minorHAnsi" w:cs="Arial"/>
          <w:noProof/>
          <w:sz w:val="22"/>
          <w:szCs w:val="22"/>
        </w:rPr>
        <w:t xml:space="preserve">(Guzinski, Ballenghien, </w:t>
      </w:r>
      <w:r w:rsidRPr="00694A9F">
        <w:rPr>
          <w:rFonts w:asciiTheme="minorHAnsi" w:hAnsiTheme="minorHAnsi" w:cs="Arial"/>
          <w:noProof/>
          <w:sz w:val="22"/>
          <w:szCs w:val="22"/>
        </w:rPr>
        <w:lastRenderedPageBreak/>
        <w:t>Daguin‐Thiébaut, Lévêque, &amp; Viard, 2018)</w:t>
      </w:r>
      <w:r>
        <w:rPr>
          <w:rFonts w:asciiTheme="minorHAnsi" w:hAnsiTheme="minorHAnsi" w:cs="Arial"/>
          <w:sz w:val="22"/>
          <w:szCs w:val="22"/>
        </w:rPr>
        <w:t xml:space="preserve"> observed particularly high selfing rates in populations colonizing marinas, known to be disturbed habitats.</w:t>
      </w:r>
      <w:r>
        <w:rPr>
          <w:rFonts w:asciiTheme="minorHAnsi" w:hAnsiTheme="minorHAnsi" w:cs="Arial"/>
          <w:i/>
          <w:sz w:val="22"/>
          <w:szCs w:val="22"/>
        </w:rPr>
        <w:t xml:space="preserve"> </w:t>
      </w:r>
      <w:r w:rsidRPr="00C8434A">
        <w:rPr>
          <w:rFonts w:asciiTheme="minorHAnsi" w:hAnsiTheme="minorHAnsi" w:cs="Arial"/>
          <w:sz w:val="22"/>
          <w:szCs w:val="22"/>
        </w:rPr>
        <w:t xml:space="preserve">Partial selfing is </w:t>
      </w:r>
      <w:r>
        <w:rPr>
          <w:rFonts w:asciiTheme="minorHAnsi" w:hAnsiTheme="minorHAnsi" w:cs="Arial"/>
          <w:sz w:val="22"/>
          <w:szCs w:val="22"/>
        </w:rPr>
        <w:t>undoubtedly</w:t>
      </w:r>
      <w:r w:rsidRPr="00C8434A">
        <w:rPr>
          <w:rFonts w:asciiTheme="minorHAnsi" w:hAnsiTheme="minorHAnsi" w:cs="Arial"/>
          <w:sz w:val="22"/>
          <w:szCs w:val="22"/>
        </w:rPr>
        <w:t xml:space="preserve"> one of the life-history traits of </w:t>
      </w:r>
      <w:r w:rsidRPr="00C8434A">
        <w:rPr>
          <w:rFonts w:asciiTheme="minorHAnsi" w:hAnsiTheme="minorHAnsi" w:cs="Arial"/>
          <w:i/>
          <w:sz w:val="22"/>
          <w:szCs w:val="22"/>
        </w:rPr>
        <w:t>Sargassum muticum</w:t>
      </w:r>
      <w:r w:rsidRPr="00C8434A">
        <w:rPr>
          <w:rFonts w:asciiTheme="minorHAnsi" w:hAnsiTheme="minorHAnsi" w:cs="Arial"/>
          <w:sz w:val="22"/>
          <w:szCs w:val="22"/>
        </w:rPr>
        <w:t xml:space="preserve"> likely to explain </w:t>
      </w:r>
      <w:r>
        <w:rPr>
          <w:rFonts w:asciiTheme="minorHAnsi" w:hAnsiTheme="minorHAnsi" w:cs="Arial"/>
          <w:sz w:val="22"/>
          <w:szCs w:val="22"/>
        </w:rPr>
        <w:t>its</w:t>
      </w:r>
      <w:r w:rsidRPr="00C8434A">
        <w:rPr>
          <w:rFonts w:asciiTheme="minorHAnsi" w:hAnsiTheme="minorHAnsi" w:cs="Arial"/>
          <w:sz w:val="22"/>
          <w:szCs w:val="22"/>
        </w:rPr>
        <w:t xml:space="preserve"> rapid spread and </w:t>
      </w:r>
      <w:r>
        <w:rPr>
          <w:rFonts w:asciiTheme="minorHAnsi" w:hAnsiTheme="minorHAnsi" w:cs="Arial"/>
          <w:sz w:val="22"/>
          <w:szCs w:val="22"/>
        </w:rPr>
        <w:t xml:space="preserve">fast </w:t>
      </w:r>
      <w:r w:rsidRPr="00C8434A">
        <w:rPr>
          <w:rFonts w:asciiTheme="minorHAnsi" w:hAnsiTheme="minorHAnsi" w:cs="Arial"/>
          <w:sz w:val="22"/>
          <w:szCs w:val="22"/>
        </w:rPr>
        <w:t>local expansion in a novel environment</w:t>
      </w:r>
      <w:r>
        <w:rPr>
          <w:rFonts w:asciiTheme="minorHAnsi" w:hAnsiTheme="minorHAnsi" w:cs="Arial"/>
          <w:sz w:val="22"/>
          <w:szCs w:val="22"/>
        </w:rPr>
        <w:t xml:space="preserve"> </w:t>
      </w:r>
      <w:r>
        <w:rPr>
          <w:rFonts w:asciiTheme="minorHAnsi" w:hAnsiTheme="minorHAnsi" w:cs="Arial"/>
          <w:noProof/>
          <w:sz w:val="22"/>
          <w:szCs w:val="22"/>
        </w:rPr>
        <w:t>(Engelen et al., 2015)</w:t>
      </w:r>
      <w:r w:rsidRPr="00C8434A">
        <w:rPr>
          <w:rFonts w:asciiTheme="minorHAnsi" w:hAnsiTheme="minorHAnsi" w:cs="Arial"/>
          <w:sz w:val="22"/>
          <w:szCs w:val="22"/>
        </w:rPr>
        <w:t xml:space="preserve">. </w:t>
      </w:r>
      <w:r>
        <w:rPr>
          <w:rFonts w:asciiTheme="minorHAnsi" w:hAnsiTheme="minorHAnsi" w:cs="Arial"/>
          <w:sz w:val="22"/>
          <w:szCs w:val="22"/>
        </w:rPr>
        <w:t xml:space="preserve">Consequently, </w:t>
      </w:r>
      <w:r w:rsidRPr="00C8434A">
        <w:rPr>
          <w:rFonts w:asciiTheme="minorHAnsi" w:hAnsiTheme="minorHAnsi" w:cs="Arial"/>
          <w:sz w:val="22"/>
          <w:szCs w:val="22"/>
        </w:rPr>
        <w:t xml:space="preserve">compared to other marine introduced species, </w:t>
      </w:r>
      <w:r w:rsidRPr="00C8434A">
        <w:rPr>
          <w:rFonts w:asciiTheme="minorHAnsi" w:hAnsiTheme="minorHAnsi" w:cs="Arial"/>
          <w:i/>
          <w:sz w:val="22"/>
          <w:szCs w:val="22"/>
        </w:rPr>
        <w:t>S. muticum</w:t>
      </w:r>
      <w:r w:rsidRPr="00C8434A">
        <w:rPr>
          <w:rFonts w:asciiTheme="minorHAnsi" w:hAnsiTheme="minorHAnsi" w:cs="Arial"/>
          <w:sz w:val="22"/>
          <w:szCs w:val="22"/>
        </w:rPr>
        <w:t xml:space="preserve"> could display more reduction in genetic diversity </w:t>
      </w:r>
      <w:r>
        <w:rPr>
          <w:rFonts w:asciiTheme="minorHAnsi" w:hAnsiTheme="minorHAnsi" w:cs="Arial"/>
          <w:sz w:val="22"/>
          <w:szCs w:val="22"/>
        </w:rPr>
        <w:t xml:space="preserve">in its introduction range </w:t>
      </w:r>
      <w:r w:rsidRPr="00C8434A">
        <w:rPr>
          <w:rFonts w:asciiTheme="minorHAnsi" w:hAnsiTheme="minorHAnsi" w:cs="Arial"/>
          <w:sz w:val="22"/>
          <w:szCs w:val="22"/>
        </w:rPr>
        <w:t xml:space="preserve">due to </w:t>
      </w:r>
      <w:r>
        <w:rPr>
          <w:rFonts w:asciiTheme="minorHAnsi" w:hAnsiTheme="minorHAnsi" w:cs="Arial"/>
          <w:sz w:val="22"/>
          <w:szCs w:val="22"/>
        </w:rPr>
        <w:t>this</w:t>
      </w:r>
      <w:r w:rsidRPr="00C8434A">
        <w:rPr>
          <w:rFonts w:asciiTheme="minorHAnsi" w:hAnsiTheme="minorHAnsi" w:cs="Arial"/>
          <w:sz w:val="22"/>
          <w:szCs w:val="22"/>
        </w:rPr>
        <w:t xml:space="preserve"> </w:t>
      </w:r>
      <w:r>
        <w:rPr>
          <w:rFonts w:asciiTheme="minorHAnsi" w:hAnsiTheme="minorHAnsi" w:cs="Arial"/>
          <w:sz w:val="22"/>
          <w:szCs w:val="22"/>
        </w:rPr>
        <w:t xml:space="preserve">reproductive </w:t>
      </w:r>
      <w:r w:rsidRPr="00C8434A">
        <w:rPr>
          <w:rFonts w:asciiTheme="minorHAnsi" w:hAnsiTheme="minorHAnsi" w:cs="Arial"/>
          <w:sz w:val="22"/>
          <w:szCs w:val="22"/>
        </w:rPr>
        <w:t xml:space="preserve">property. We thus also </w:t>
      </w:r>
      <w:r>
        <w:rPr>
          <w:rFonts w:asciiTheme="minorHAnsi" w:hAnsiTheme="minorHAnsi" w:cs="Arial"/>
          <w:sz w:val="22"/>
          <w:szCs w:val="22"/>
        </w:rPr>
        <w:t>compared</w:t>
      </w:r>
      <w:r w:rsidRPr="00C8434A">
        <w:rPr>
          <w:rFonts w:asciiTheme="minorHAnsi" w:hAnsiTheme="minorHAnsi" w:cs="Arial"/>
          <w:sz w:val="22"/>
          <w:szCs w:val="22"/>
        </w:rPr>
        <w:t xml:space="preserve"> se</w:t>
      </w:r>
      <w:r>
        <w:rPr>
          <w:rFonts w:asciiTheme="minorHAnsi" w:hAnsiTheme="minorHAnsi" w:cs="Arial"/>
          <w:sz w:val="22"/>
          <w:szCs w:val="22"/>
        </w:rPr>
        <w:t>l</w:t>
      </w:r>
      <w:r w:rsidRPr="00C8434A">
        <w:rPr>
          <w:rFonts w:asciiTheme="minorHAnsi" w:hAnsiTheme="minorHAnsi" w:cs="Arial"/>
          <w:sz w:val="22"/>
          <w:szCs w:val="22"/>
        </w:rPr>
        <w:t xml:space="preserve">fing rates </w:t>
      </w:r>
      <w:r>
        <w:rPr>
          <w:rFonts w:asciiTheme="minorHAnsi" w:hAnsiTheme="minorHAnsi" w:cs="Arial"/>
          <w:sz w:val="22"/>
          <w:szCs w:val="22"/>
        </w:rPr>
        <w:t>in native and introduced populations</w:t>
      </w:r>
      <w:r w:rsidRPr="00C8434A">
        <w:rPr>
          <w:rFonts w:asciiTheme="minorHAnsi" w:hAnsiTheme="minorHAnsi" w:cs="Arial"/>
          <w:sz w:val="22"/>
          <w:szCs w:val="22"/>
        </w:rPr>
        <w:t xml:space="preserve">. </w:t>
      </w:r>
    </w:p>
    <w:p w14:paraId="301CD420" w14:textId="77777777" w:rsidR="00FD140A" w:rsidRPr="00C8434A" w:rsidRDefault="00FD140A" w:rsidP="00EE38CE">
      <w:pPr>
        <w:pStyle w:val="BodyText"/>
        <w:spacing w:before="124" w:line="360" w:lineRule="auto"/>
        <w:ind w:left="0" w:firstLine="709"/>
        <w:jc w:val="both"/>
        <w:rPr>
          <w:rFonts w:asciiTheme="minorHAnsi" w:hAnsiTheme="minorHAnsi" w:cs="Arial"/>
          <w:sz w:val="22"/>
          <w:szCs w:val="22"/>
        </w:rPr>
      </w:pPr>
      <w:r w:rsidRPr="00692038">
        <w:rPr>
          <w:rFonts w:asciiTheme="minorHAnsi" w:hAnsiTheme="minorHAnsi" w:cs="Arial"/>
          <w:sz w:val="22"/>
          <w:szCs w:val="22"/>
        </w:rPr>
        <w:t xml:space="preserve">Based on previous studies of marine invaders, in particular species </w:t>
      </w:r>
      <w:r w:rsidRPr="009B3FCF">
        <w:rPr>
          <w:rFonts w:asciiTheme="minorHAnsi" w:hAnsiTheme="minorHAnsi" w:cs="Arial"/>
          <w:sz w:val="22"/>
          <w:szCs w:val="22"/>
        </w:rPr>
        <w:t xml:space="preserve">found both in N America and Europe and previous studies on </w:t>
      </w:r>
      <w:r w:rsidRPr="00692038">
        <w:rPr>
          <w:rFonts w:asciiTheme="minorHAnsi" w:hAnsiTheme="minorHAnsi" w:cs="Arial"/>
          <w:i/>
          <w:sz w:val="22"/>
          <w:szCs w:val="22"/>
        </w:rPr>
        <w:t>S. muticum</w:t>
      </w:r>
      <w:r w:rsidRPr="00692038">
        <w:rPr>
          <w:rFonts w:asciiTheme="minorHAnsi" w:hAnsiTheme="minorHAnsi" w:cs="Arial"/>
          <w:sz w:val="22"/>
          <w:szCs w:val="22"/>
        </w:rPr>
        <w:t xml:space="preserve"> </w:t>
      </w:r>
      <w:r>
        <w:rPr>
          <w:rFonts w:asciiTheme="minorHAnsi" w:hAnsiTheme="minorHAnsi" w:cs="Arial"/>
          <w:noProof/>
          <w:sz w:val="22"/>
          <w:szCs w:val="22"/>
        </w:rPr>
        <w:t>(Cheang et al., 2010; Engelen et al., 2015)</w:t>
      </w:r>
      <w:r w:rsidRPr="00692038">
        <w:rPr>
          <w:rFonts w:asciiTheme="minorHAnsi" w:hAnsiTheme="minorHAnsi" w:cs="Arial"/>
          <w:sz w:val="22"/>
          <w:szCs w:val="22"/>
        </w:rPr>
        <w:t>, our expectations were 1) the absence of founder events in the primary introduction range (i.e., in NE Pacific), due to high propagule pressure and repeated accidental introductions with oyster imports since the 1940s, 2) a secondary introduction from the NE Pacific to Europe, through reported imports of oysters between the NE Pacific (more specifically the Puget Sound) and Europe (notably France) in the mid-20</w:t>
      </w:r>
      <w:r w:rsidRPr="00692038">
        <w:rPr>
          <w:rFonts w:asciiTheme="minorHAnsi" w:hAnsiTheme="minorHAnsi" w:cs="Arial"/>
          <w:sz w:val="22"/>
          <w:szCs w:val="22"/>
          <w:vertAlign w:val="superscript"/>
        </w:rPr>
        <w:t>th</w:t>
      </w:r>
      <w:r w:rsidRPr="00692038">
        <w:rPr>
          <w:rFonts w:asciiTheme="minorHAnsi" w:hAnsiTheme="minorHAnsi" w:cs="Arial"/>
          <w:sz w:val="22"/>
          <w:szCs w:val="22"/>
        </w:rPr>
        <w:t xml:space="preserve"> century, as reported in other NIS and 3) increased selfing rates in introduced as compared to native populations, as a facilitating trait for the establishment of new populations in the new range. To ascertain these hypotheses, we first developed microsatellite markers </w:t>
      </w:r>
      <w:r>
        <w:rPr>
          <w:rFonts w:asciiTheme="minorHAnsi" w:hAnsiTheme="minorHAnsi" w:cs="Arial"/>
          <w:sz w:val="22"/>
          <w:szCs w:val="22"/>
        </w:rPr>
        <w:t xml:space="preserve">as </w:t>
      </w:r>
      <w:r w:rsidRPr="00692038">
        <w:rPr>
          <w:rFonts w:asciiTheme="minorHAnsi" w:hAnsiTheme="minorHAnsi" w:cs="Arial"/>
          <w:sz w:val="22"/>
          <w:szCs w:val="22"/>
        </w:rPr>
        <w:t xml:space="preserve">none were available for the study species. Microsatellites are easy to use for genotyping </w:t>
      </w:r>
      <w:r>
        <w:rPr>
          <w:rFonts w:asciiTheme="minorHAnsi" w:hAnsiTheme="minorHAnsi" w:cs="Arial"/>
          <w:sz w:val="22"/>
          <w:szCs w:val="22"/>
        </w:rPr>
        <w:t>vast</w:t>
      </w:r>
      <w:r w:rsidRPr="00692038">
        <w:rPr>
          <w:rFonts w:asciiTheme="minorHAnsi" w:hAnsiTheme="minorHAnsi" w:cs="Arial"/>
          <w:sz w:val="22"/>
          <w:szCs w:val="22"/>
        </w:rPr>
        <w:t xml:space="preserve"> numbers of individuals (here we targeted ca. 1500 individuals) and have been shown to be useful in analyzing introduction patterns and processes in marine organisms, including seaweeds. However, for detailed investigation, we had to develop a second marker panel, with SNPs obtained from ddR</w:t>
      </w:r>
      <w:r>
        <w:rPr>
          <w:rFonts w:asciiTheme="minorHAnsi" w:hAnsiTheme="minorHAnsi" w:cs="Arial"/>
          <w:sz w:val="22"/>
          <w:szCs w:val="22"/>
        </w:rPr>
        <w:t>AD</w:t>
      </w:r>
      <w:r w:rsidRPr="00692038">
        <w:rPr>
          <w:rFonts w:asciiTheme="minorHAnsi" w:hAnsiTheme="minorHAnsi" w:cs="Arial"/>
          <w:sz w:val="22"/>
          <w:szCs w:val="22"/>
        </w:rPr>
        <w:t xml:space="preserve">-sequencing, a technique </w:t>
      </w:r>
      <w:r>
        <w:rPr>
          <w:rFonts w:asciiTheme="minorHAnsi" w:hAnsiTheme="minorHAnsi" w:cs="Arial"/>
          <w:sz w:val="22"/>
          <w:szCs w:val="22"/>
        </w:rPr>
        <w:t>providing</w:t>
      </w:r>
      <w:r w:rsidRPr="00692038">
        <w:rPr>
          <w:rFonts w:asciiTheme="minorHAnsi" w:hAnsiTheme="minorHAnsi" w:cs="Arial"/>
          <w:sz w:val="22"/>
          <w:szCs w:val="22"/>
        </w:rPr>
        <w:t xml:space="preserve"> a reduced representation of the genome.</w:t>
      </w:r>
    </w:p>
    <w:p w14:paraId="5D0289FE" w14:textId="77777777" w:rsidR="00FD140A" w:rsidRPr="00471F83" w:rsidRDefault="00471F83" w:rsidP="00EE38CE">
      <w:pPr>
        <w:pStyle w:val="Heading1"/>
        <w:spacing w:line="360" w:lineRule="auto"/>
        <w:jc w:val="both"/>
        <w:rPr>
          <w:rFonts w:asciiTheme="minorHAnsi" w:hAnsiTheme="minorHAnsi"/>
          <w:b w:val="0"/>
          <w:bCs w:val="0"/>
          <w:sz w:val="22"/>
          <w:szCs w:val="22"/>
          <w:lang w:val="en-US"/>
        </w:rPr>
      </w:pPr>
      <w:r>
        <w:rPr>
          <w:rFonts w:asciiTheme="minorHAnsi" w:hAnsiTheme="minorHAnsi"/>
          <w:sz w:val="22"/>
          <w:szCs w:val="22"/>
          <w:lang w:val="en-US"/>
        </w:rPr>
        <w:t xml:space="preserve">MATERIAL &amp; </w:t>
      </w:r>
      <w:r w:rsidRPr="00471F83">
        <w:rPr>
          <w:rFonts w:asciiTheme="minorHAnsi" w:hAnsiTheme="minorHAnsi"/>
          <w:sz w:val="22"/>
          <w:szCs w:val="22"/>
          <w:lang w:val="en-US"/>
        </w:rPr>
        <w:t>METHODS</w:t>
      </w:r>
    </w:p>
    <w:p w14:paraId="4574C238" w14:textId="77777777" w:rsidR="00FD140A" w:rsidRPr="00C8434A" w:rsidRDefault="00FD140A" w:rsidP="00EE38CE">
      <w:pPr>
        <w:pStyle w:val="BodyText"/>
        <w:spacing w:before="101" w:line="360" w:lineRule="auto"/>
        <w:ind w:left="0"/>
        <w:rPr>
          <w:rFonts w:asciiTheme="minorHAnsi" w:hAnsiTheme="minorHAnsi"/>
          <w:b/>
          <w:sz w:val="22"/>
          <w:szCs w:val="22"/>
        </w:rPr>
      </w:pPr>
      <w:r w:rsidRPr="00C8434A">
        <w:rPr>
          <w:rFonts w:asciiTheme="minorHAnsi" w:hAnsiTheme="minorHAnsi"/>
          <w:b/>
          <w:sz w:val="22"/>
          <w:szCs w:val="22"/>
        </w:rPr>
        <w:t>Sampling</w:t>
      </w:r>
    </w:p>
    <w:p w14:paraId="2B4BBC3B" w14:textId="2A344B34" w:rsidR="00FD140A" w:rsidRPr="00C8434A" w:rsidRDefault="00FD140A" w:rsidP="00EE38CE">
      <w:pPr>
        <w:pStyle w:val="BodyText"/>
        <w:spacing w:before="101" w:line="360" w:lineRule="auto"/>
        <w:ind w:left="0"/>
        <w:jc w:val="both"/>
        <w:rPr>
          <w:rFonts w:asciiTheme="minorHAnsi" w:hAnsiTheme="minorHAnsi" w:cs="Arial"/>
          <w:sz w:val="22"/>
          <w:szCs w:val="22"/>
          <w:highlight w:val="lightGray"/>
        </w:rPr>
      </w:pPr>
      <w:r w:rsidRPr="00C8434A">
        <w:rPr>
          <w:rFonts w:asciiTheme="minorHAnsi" w:hAnsiTheme="minorHAnsi" w:cs="Arial"/>
          <w:sz w:val="22"/>
          <w:szCs w:val="22"/>
        </w:rPr>
        <w:t xml:space="preserve">A total </w:t>
      </w:r>
      <w:r w:rsidRPr="00692038">
        <w:rPr>
          <w:rFonts w:asciiTheme="minorHAnsi" w:hAnsiTheme="minorHAnsi" w:cs="Arial"/>
          <w:sz w:val="22"/>
          <w:szCs w:val="22"/>
        </w:rPr>
        <w:t xml:space="preserve">of </w:t>
      </w:r>
      <w:r w:rsidRPr="00426A16">
        <w:rPr>
          <w:rFonts w:asciiTheme="minorHAnsi" w:hAnsiTheme="minorHAnsi" w:cs="Arial"/>
          <w:sz w:val="22"/>
          <w:szCs w:val="22"/>
        </w:rPr>
        <w:t xml:space="preserve">1500 specimens from 55 </w:t>
      </w:r>
      <w:r>
        <w:rPr>
          <w:rFonts w:asciiTheme="minorHAnsi" w:hAnsiTheme="minorHAnsi" w:cs="Arial"/>
          <w:sz w:val="22"/>
          <w:szCs w:val="22"/>
        </w:rPr>
        <w:t>locations</w:t>
      </w:r>
      <w:r w:rsidRPr="00692038">
        <w:rPr>
          <w:rFonts w:asciiTheme="minorHAnsi" w:hAnsiTheme="minorHAnsi" w:cs="Arial"/>
          <w:sz w:val="22"/>
          <w:szCs w:val="22"/>
        </w:rPr>
        <w:t xml:space="preserve"> (Fig</w:t>
      </w:r>
      <w:r w:rsidRPr="00CC04E2">
        <w:rPr>
          <w:rFonts w:asciiTheme="minorHAnsi" w:hAnsiTheme="minorHAnsi" w:cs="Arial"/>
          <w:sz w:val="22"/>
          <w:szCs w:val="22"/>
        </w:rPr>
        <w:t>. 1, Table S1</w:t>
      </w:r>
      <w:r w:rsidRPr="00C8434A">
        <w:rPr>
          <w:rFonts w:asciiTheme="minorHAnsi" w:hAnsiTheme="minorHAnsi" w:cs="Arial"/>
          <w:sz w:val="22"/>
          <w:szCs w:val="22"/>
        </w:rPr>
        <w:t xml:space="preserve">) were studied, with a focus in the </w:t>
      </w:r>
      <w:r>
        <w:rPr>
          <w:rFonts w:asciiTheme="minorHAnsi" w:hAnsiTheme="minorHAnsi" w:cs="Arial"/>
          <w:sz w:val="22"/>
          <w:szCs w:val="22"/>
        </w:rPr>
        <w:t>N</w:t>
      </w:r>
      <w:r w:rsidRPr="00C8434A">
        <w:rPr>
          <w:rFonts w:asciiTheme="minorHAnsi" w:hAnsiTheme="minorHAnsi" w:cs="Arial"/>
          <w:sz w:val="22"/>
          <w:szCs w:val="22"/>
        </w:rPr>
        <w:t xml:space="preserve">E </w:t>
      </w:r>
      <w:r w:rsidRPr="00692038">
        <w:rPr>
          <w:rFonts w:asciiTheme="minorHAnsi" w:hAnsiTheme="minorHAnsi" w:cs="Arial"/>
          <w:sz w:val="22"/>
          <w:szCs w:val="22"/>
        </w:rPr>
        <w:t>Atlantic (</w:t>
      </w:r>
      <w:r w:rsidRPr="00426A16">
        <w:rPr>
          <w:rFonts w:asciiTheme="minorHAnsi" w:hAnsiTheme="minorHAnsi" w:cs="Arial"/>
          <w:sz w:val="22"/>
          <w:szCs w:val="22"/>
        </w:rPr>
        <w:t xml:space="preserve">1083 individuals, 37 </w:t>
      </w:r>
      <w:r>
        <w:rPr>
          <w:rFonts w:asciiTheme="minorHAnsi" w:hAnsiTheme="minorHAnsi" w:cs="Arial"/>
          <w:sz w:val="22"/>
          <w:szCs w:val="22"/>
        </w:rPr>
        <w:t>locations</w:t>
      </w:r>
      <w:r w:rsidRPr="00692038">
        <w:rPr>
          <w:rFonts w:asciiTheme="minorHAnsi" w:hAnsiTheme="minorHAnsi" w:cs="Arial"/>
          <w:sz w:val="22"/>
          <w:szCs w:val="22"/>
        </w:rPr>
        <w:t>) wher</w:t>
      </w:r>
      <w:r w:rsidRPr="00C8434A">
        <w:rPr>
          <w:rFonts w:asciiTheme="minorHAnsi" w:hAnsiTheme="minorHAnsi" w:cs="Arial"/>
          <w:sz w:val="22"/>
          <w:szCs w:val="22"/>
        </w:rPr>
        <w:t>e the species is still spreading (e.g.</w:t>
      </w:r>
      <w:r>
        <w:rPr>
          <w:rFonts w:asciiTheme="minorHAnsi" w:hAnsiTheme="minorHAnsi" w:cs="Arial"/>
          <w:sz w:val="22"/>
          <w:szCs w:val="22"/>
        </w:rPr>
        <w:t>,</w:t>
      </w:r>
      <w:r w:rsidRPr="00C8434A">
        <w:rPr>
          <w:rFonts w:asciiTheme="minorHAnsi" w:hAnsiTheme="minorHAnsi" w:cs="Arial"/>
          <w:sz w:val="22"/>
          <w:szCs w:val="22"/>
        </w:rPr>
        <w:t xml:space="preserve"> first </w:t>
      </w:r>
      <w:r>
        <w:rPr>
          <w:rFonts w:asciiTheme="minorHAnsi" w:hAnsiTheme="minorHAnsi" w:cs="Arial"/>
          <w:sz w:val="22"/>
          <w:szCs w:val="22"/>
        </w:rPr>
        <w:t xml:space="preserve">observation </w:t>
      </w:r>
      <w:r w:rsidRPr="00C8434A">
        <w:rPr>
          <w:rFonts w:asciiTheme="minorHAnsi" w:hAnsiTheme="minorHAnsi" w:cs="Arial"/>
          <w:sz w:val="22"/>
          <w:szCs w:val="22"/>
        </w:rPr>
        <w:t>in Morocco in 201</w:t>
      </w:r>
      <w:r>
        <w:rPr>
          <w:rFonts w:asciiTheme="minorHAnsi" w:hAnsiTheme="minorHAnsi" w:cs="Arial"/>
          <w:sz w:val="22"/>
          <w:szCs w:val="22"/>
        </w:rPr>
        <w:t>2</w:t>
      </w:r>
      <w:r w:rsidRPr="00C8434A">
        <w:rPr>
          <w:rFonts w:asciiTheme="minorHAnsi" w:hAnsiTheme="minorHAnsi" w:cs="Arial"/>
          <w:sz w:val="22"/>
          <w:szCs w:val="22"/>
        </w:rPr>
        <w:t xml:space="preserve">). For comparisons, </w:t>
      </w:r>
      <w:r>
        <w:rPr>
          <w:rFonts w:asciiTheme="minorHAnsi" w:hAnsiTheme="minorHAnsi" w:cs="Arial"/>
          <w:sz w:val="22"/>
          <w:szCs w:val="22"/>
        </w:rPr>
        <w:t>eight</w:t>
      </w:r>
      <w:r w:rsidRPr="00C8434A">
        <w:rPr>
          <w:rFonts w:asciiTheme="minorHAnsi" w:hAnsiTheme="minorHAnsi" w:cs="Arial"/>
          <w:sz w:val="22"/>
          <w:szCs w:val="22"/>
        </w:rPr>
        <w:t xml:space="preserve"> populations from the native range (231 individuals)</w:t>
      </w:r>
      <w:r>
        <w:rPr>
          <w:rFonts w:asciiTheme="minorHAnsi" w:hAnsiTheme="minorHAnsi" w:cs="Arial"/>
          <w:sz w:val="22"/>
          <w:szCs w:val="22"/>
        </w:rPr>
        <w:t xml:space="preserve"> with most populations from Japan from where the introduced individuals in the NE Pacific have been presumed to come from </w:t>
      </w:r>
      <w:r>
        <w:rPr>
          <w:rFonts w:asciiTheme="minorHAnsi" w:hAnsiTheme="minorHAnsi" w:cs="Arial"/>
          <w:noProof/>
          <w:sz w:val="22"/>
          <w:szCs w:val="22"/>
        </w:rPr>
        <w:t>(Cheang et al., 2010; Engelen et al., 2015)</w:t>
      </w:r>
      <w:r>
        <w:rPr>
          <w:rFonts w:asciiTheme="minorHAnsi" w:hAnsiTheme="minorHAnsi" w:cs="Arial"/>
          <w:sz w:val="22"/>
          <w:szCs w:val="22"/>
        </w:rPr>
        <w:t>,</w:t>
      </w:r>
      <w:r w:rsidRPr="00C8434A">
        <w:rPr>
          <w:rFonts w:asciiTheme="minorHAnsi" w:hAnsiTheme="minorHAnsi" w:cs="Arial"/>
          <w:sz w:val="22"/>
          <w:szCs w:val="22"/>
        </w:rPr>
        <w:t xml:space="preserve"> and </w:t>
      </w:r>
      <w:r w:rsidRPr="00426A16">
        <w:rPr>
          <w:rFonts w:asciiTheme="minorHAnsi" w:hAnsiTheme="minorHAnsi" w:cs="Arial"/>
          <w:sz w:val="22"/>
          <w:szCs w:val="22"/>
        </w:rPr>
        <w:t>ten from the American introduction range (188 individuals</w:t>
      </w:r>
      <w:r w:rsidRPr="008568D2">
        <w:rPr>
          <w:rFonts w:asciiTheme="minorHAnsi" w:hAnsiTheme="minorHAnsi" w:cs="Arial"/>
          <w:sz w:val="22"/>
          <w:szCs w:val="22"/>
        </w:rPr>
        <w:t>)</w:t>
      </w:r>
      <w:r w:rsidRPr="00C8434A">
        <w:rPr>
          <w:rFonts w:asciiTheme="minorHAnsi" w:hAnsiTheme="minorHAnsi" w:cs="Arial"/>
          <w:sz w:val="22"/>
          <w:szCs w:val="22"/>
        </w:rPr>
        <w:t xml:space="preserve"> were analyzed. </w:t>
      </w:r>
      <w:r>
        <w:rPr>
          <w:rFonts w:asciiTheme="minorHAnsi" w:hAnsiTheme="minorHAnsi" w:cs="Arial"/>
          <w:sz w:val="22"/>
          <w:szCs w:val="22"/>
        </w:rPr>
        <w:t xml:space="preserve">For the NE Atlantic and NE Pacific, particular care was paid to obtaining samples representative of the full latitudinal range colonized by the species, thus across contrasting environments. </w:t>
      </w:r>
      <w:r w:rsidRPr="00C8434A">
        <w:rPr>
          <w:rFonts w:asciiTheme="minorHAnsi" w:hAnsiTheme="minorHAnsi" w:cs="Arial"/>
          <w:sz w:val="22"/>
          <w:szCs w:val="22"/>
        </w:rPr>
        <w:t xml:space="preserve">In the field, for each specimen, a fragment of the thallus was cut and preserved in silica gel for subsequent genetic analyses. Individuals from </w:t>
      </w:r>
      <w:r w:rsidRPr="008568D2">
        <w:rPr>
          <w:rFonts w:asciiTheme="minorHAnsi" w:hAnsiTheme="minorHAnsi" w:cs="Arial"/>
          <w:sz w:val="22"/>
          <w:szCs w:val="22"/>
        </w:rPr>
        <w:t>21 sites</w:t>
      </w:r>
      <w:r w:rsidRPr="00692038">
        <w:rPr>
          <w:rFonts w:asciiTheme="minorHAnsi" w:hAnsiTheme="minorHAnsi" w:cs="Arial"/>
          <w:sz w:val="22"/>
          <w:szCs w:val="22"/>
        </w:rPr>
        <w:t xml:space="preserve"> were</w:t>
      </w:r>
      <w:r w:rsidRPr="00C8434A">
        <w:rPr>
          <w:rFonts w:asciiTheme="minorHAnsi" w:hAnsiTheme="minorHAnsi" w:cs="Arial"/>
          <w:sz w:val="22"/>
          <w:szCs w:val="22"/>
        </w:rPr>
        <w:t xml:space="preserve"> subsampled to </w:t>
      </w:r>
      <w:r>
        <w:rPr>
          <w:rFonts w:asciiTheme="minorHAnsi" w:hAnsiTheme="minorHAnsi" w:cs="Arial"/>
          <w:sz w:val="22"/>
          <w:szCs w:val="22"/>
        </w:rPr>
        <w:t>perform</w:t>
      </w:r>
      <w:r w:rsidRPr="00C8434A">
        <w:rPr>
          <w:rFonts w:asciiTheme="minorHAnsi" w:hAnsiTheme="minorHAnsi" w:cs="Arial"/>
          <w:sz w:val="22"/>
          <w:szCs w:val="22"/>
        </w:rPr>
        <w:t xml:space="preserve"> ddRAD</w:t>
      </w:r>
      <w:r>
        <w:rPr>
          <w:rFonts w:asciiTheme="minorHAnsi" w:hAnsiTheme="minorHAnsi" w:cs="Arial"/>
          <w:sz w:val="22"/>
          <w:szCs w:val="22"/>
        </w:rPr>
        <w:t>-s</w:t>
      </w:r>
      <w:r w:rsidRPr="00C8434A">
        <w:rPr>
          <w:rFonts w:asciiTheme="minorHAnsi" w:hAnsiTheme="minorHAnsi" w:cs="Arial"/>
          <w:sz w:val="22"/>
          <w:szCs w:val="22"/>
        </w:rPr>
        <w:t>eq</w:t>
      </w:r>
      <w:r>
        <w:rPr>
          <w:rFonts w:asciiTheme="minorHAnsi" w:hAnsiTheme="minorHAnsi" w:cs="Arial"/>
          <w:sz w:val="22"/>
          <w:szCs w:val="22"/>
        </w:rPr>
        <w:t>uencing (see below)</w:t>
      </w:r>
      <w:r w:rsidRPr="00C8434A">
        <w:rPr>
          <w:rFonts w:asciiTheme="minorHAnsi" w:hAnsiTheme="minorHAnsi" w:cs="Arial"/>
          <w:sz w:val="22"/>
          <w:szCs w:val="22"/>
        </w:rPr>
        <w:t xml:space="preserve">, from both the native and introduced ranges: </w:t>
      </w:r>
      <w:r w:rsidR="001D6838">
        <w:rPr>
          <w:rFonts w:asciiTheme="minorHAnsi" w:hAnsiTheme="minorHAnsi" w:cs="Arial"/>
          <w:sz w:val="22"/>
          <w:szCs w:val="22"/>
        </w:rPr>
        <w:t>five</w:t>
      </w:r>
      <w:r w:rsidRPr="00C8434A">
        <w:rPr>
          <w:rFonts w:asciiTheme="minorHAnsi" w:hAnsiTheme="minorHAnsi" w:cs="Arial"/>
          <w:sz w:val="22"/>
          <w:szCs w:val="22"/>
        </w:rPr>
        <w:t xml:space="preserve"> sites (N=78) across Japan and </w:t>
      </w:r>
      <w:r>
        <w:rPr>
          <w:rFonts w:asciiTheme="minorHAnsi" w:hAnsiTheme="minorHAnsi" w:cs="Arial"/>
          <w:sz w:val="22"/>
          <w:szCs w:val="22"/>
        </w:rPr>
        <w:t xml:space="preserve">16 sites across the </w:t>
      </w:r>
      <w:r w:rsidRPr="00C8434A">
        <w:rPr>
          <w:rFonts w:asciiTheme="minorHAnsi" w:hAnsiTheme="minorHAnsi" w:cs="Arial"/>
          <w:sz w:val="22"/>
          <w:szCs w:val="22"/>
        </w:rPr>
        <w:t>two areas of introduction</w:t>
      </w:r>
      <w:r>
        <w:rPr>
          <w:rFonts w:asciiTheme="minorHAnsi" w:hAnsiTheme="minorHAnsi" w:cs="Arial"/>
          <w:sz w:val="22"/>
          <w:szCs w:val="22"/>
        </w:rPr>
        <w:t>,</w:t>
      </w:r>
      <w:r w:rsidRPr="00C8434A">
        <w:rPr>
          <w:rFonts w:asciiTheme="minorHAnsi" w:hAnsiTheme="minorHAnsi" w:cs="Arial"/>
          <w:sz w:val="22"/>
          <w:szCs w:val="22"/>
        </w:rPr>
        <w:t xml:space="preserve"> </w:t>
      </w:r>
      <w:r>
        <w:rPr>
          <w:rFonts w:asciiTheme="minorHAnsi" w:hAnsiTheme="minorHAnsi" w:cs="Arial"/>
          <w:sz w:val="22"/>
          <w:szCs w:val="22"/>
        </w:rPr>
        <w:t>with</w:t>
      </w:r>
      <w:r w:rsidRPr="00C8434A">
        <w:rPr>
          <w:rFonts w:asciiTheme="minorHAnsi" w:hAnsiTheme="minorHAnsi" w:cs="Arial"/>
          <w:sz w:val="22"/>
          <w:szCs w:val="22"/>
        </w:rPr>
        <w:t xml:space="preserve"> </w:t>
      </w:r>
      <w:r w:rsidR="001D6838">
        <w:rPr>
          <w:rFonts w:asciiTheme="minorHAnsi" w:hAnsiTheme="minorHAnsi" w:cs="Arial"/>
          <w:sz w:val="22"/>
          <w:szCs w:val="22"/>
        </w:rPr>
        <w:t>nine</w:t>
      </w:r>
      <w:r w:rsidRPr="00C8434A">
        <w:rPr>
          <w:rFonts w:asciiTheme="minorHAnsi" w:hAnsiTheme="minorHAnsi" w:cs="Arial"/>
          <w:sz w:val="22"/>
          <w:szCs w:val="22"/>
        </w:rPr>
        <w:t xml:space="preserve"> sites in </w:t>
      </w:r>
      <w:r>
        <w:rPr>
          <w:rFonts w:asciiTheme="minorHAnsi" w:hAnsiTheme="minorHAnsi" w:cs="Arial"/>
          <w:sz w:val="22"/>
          <w:szCs w:val="22"/>
        </w:rPr>
        <w:t>the NE Atlantic</w:t>
      </w:r>
      <w:r w:rsidRPr="00C8434A">
        <w:rPr>
          <w:rFonts w:asciiTheme="minorHAnsi" w:hAnsiTheme="minorHAnsi" w:cs="Arial"/>
          <w:sz w:val="22"/>
          <w:szCs w:val="22"/>
        </w:rPr>
        <w:t xml:space="preserve"> (N=138) </w:t>
      </w:r>
      <w:r w:rsidRPr="00CC0F6D">
        <w:rPr>
          <w:rFonts w:asciiTheme="minorHAnsi" w:hAnsiTheme="minorHAnsi" w:cs="Arial"/>
          <w:sz w:val="22"/>
          <w:szCs w:val="22"/>
        </w:rPr>
        <w:lastRenderedPageBreak/>
        <w:t xml:space="preserve">and </w:t>
      </w:r>
      <w:r w:rsidR="001D6838">
        <w:rPr>
          <w:rFonts w:asciiTheme="minorHAnsi" w:hAnsiTheme="minorHAnsi" w:cs="Arial"/>
          <w:sz w:val="22"/>
          <w:szCs w:val="22"/>
        </w:rPr>
        <w:t>seven</w:t>
      </w:r>
      <w:r w:rsidRPr="00CC0F6D">
        <w:rPr>
          <w:rFonts w:asciiTheme="minorHAnsi" w:hAnsiTheme="minorHAnsi" w:cs="Arial"/>
          <w:sz w:val="22"/>
          <w:szCs w:val="22"/>
        </w:rPr>
        <w:t xml:space="preserve"> sites (N=87) in the</w:t>
      </w:r>
      <w:r>
        <w:rPr>
          <w:rFonts w:asciiTheme="minorHAnsi" w:hAnsiTheme="minorHAnsi" w:cs="Arial"/>
          <w:sz w:val="22"/>
          <w:szCs w:val="22"/>
        </w:rPr>
        <w:t xml:space="preserve"> NE Pacific (Fig. 1, Table S1). For ddRAD-sequencing, we selected populations encompassing the whole latitudinal range in the two areas, except Alaska for the NE Pacific for which no individuals gave satisfactory results.</w:t>
      </w:r>
    </w:p>
    <w:p w14:paraId="1380EDC4" w14:textId="77777777" w:rsidR="00FD140A" w:rsidRPr="00C8434A" w:rsidRDefault="00FD140A" w:rsidP="00EE38CE">
      <w:pPr>
        <w:pStyle w:val="BodyText"/>
        <w:spacing w:before="101" w:line="360" w:lineRule="auto"/>
        <w:ind w:left="0"/>
        <w:rPr>
          <w:rFonts w:asciiTheme="minorHAnsi" w:hAnsiTheme="minorHAnsi"/>
          <w:b/>
          <w:sz w:val="22"/>
          <w:szCs w:val="22"/>
        </w:rPr>
      </w:pPr>
      <w:r w:rsidRPr="00C8434A">
        <w:rPr>
          <w:rFonts w:asciiTheme="minorHAnsi" w:hAnsiTheme="minorHAnsi"/>
          <w:b/>
          <w:sz w:val="22"/>
          <w:szCs w:val="22"/>
        </w:rPr>
        <w:t>Microsatellite isolation and genotyping</w:t>
      </w:r>
    </w:p>
    <w:p w14:paraId="542E32DF" w14:textId="2B0425DD" w:rsidR="00FD140A" w:rsidRPr="00C8434A" w:rsidRDefault="00FD140A" w:rsidP="00EE38CE">
      <w:pPr>
        <w:pStyle w:val="BodyText"/>
        <w:spacing w:before="101" w:line="360" w:lineRule="auto"/>
        <w:ind w:left="0"/>
        <w:jc w:val="both"/>
        <w:rPr>
          <w:rFonts w:asciiTheme="minorHAnsi" w:hAnsiTheme="minorHAnsi" w:cs="Arial"/>
          <w:sz w:val="22"/>
          <w:szCs w:val="22"/>
        </w:rPr>
      </w:pPr>
      <w:r>
        <w:rPr>
          <w:rFonts w:asciiTheme="minorHAnsi" w:hAnsiTheme="minorHAnsi" w:cs="Arial"/>
          <w:sz w:val="22"/>
          <w:szCs w:val="22"/>
        </w:rPr>
        <w:t>M</w:t>
      </w:r>
      <w:r w:rsidRPr="00C8434A">
        <w:rPr>
          <w:rFonts w:asciiTheme="minorHAnsi" w:hAnsiTheme="minorHAnsi" w:cs="Arial"/>
          <w:sz w:val="22"/>
          <w:szCs w:val="22"/>
        </w:rPr>
        <w:t xml:space="preserve">icrosatellite loci were isolated from </w:t>
      </w:r>
      <w:r w:rsidR="001D6838">
        <w:rPr>
          <w:rFonts w:asciiTheme="minorHAnsi" w:hAnsiTheme="minorHAnsi" w:cs="Arial"/>
          <w:sz w:val="22"/>
          <w:szCs w:val="22"/>
        </w:rPr>
        <w:t>one</w:t>
      </w:r>
      <w:r w:rsidRPr="00C8434A">
        <w:rPr>
          <w:rFonts w:asciiTheme="minorHAnsi" w:hAnsiTheme="minorHAnsi" w:cs="Arial"/>
          <w:sz w:val="22"/>
          <w:szCs w:val="22"/>
        </w:rPr>
        <w:t xml:space="preserve"> µg of </w:t>
      </w:r>
      <w:r w:rsidRPr="00C8434A">
        <w:rPr>
          <w:rFonts w:asciiTheme="minorHAnsi" w:hAnsiTheme="minorHAnsi" w:cs="Arial"/>
          <w:i/>
          <w:sz w:val="22"/>
          <w:szCs w:val="22"/>
        </w:rPr>
        <w:t>S. muticum</w:t>
      </w:r>
      <w:r w:rsidRPr="00C8434A">
        <w:rPr>
          <w:rFonts w:asciiTheme="minorHAnsi" w:hAnsiTheme="minorHAnsi" w:cs="Arial"/>
          <w:sz w:val="22"/>
          <w:szCs w:val="22"/>
        </w:rPr>
        <w:t xml:space="preserve"> </w:t>
      </w:r>
      <w:r w:rsidRPr="0088695E">
        <w:rPr>
          <w:rFonts w:asciiTheme="minorHAnsi" w:hAnsiTheme="minorHAnsi" w:cs="Arial"/>
          <w:sz w:val="22"/>
          <w:szCs w:val="22"/>
        </w:rPr>
        <w:t xml:space="preserve">genomic DNA, obtained from </w:t>
      </w:r>
      <w:r w:rsidR="001D6838">
        <w:rPr>
          <w:rFonts w:asciiTheme="minorHAnsi" w:hAnsiTheme="minorHAnsi" w:cs="Arial"/>
          <w:sz w:val="22"/>
          <w:szCs w:val="22"/>
        </w:rPr>
        <w:t>six</w:t>
      </w:r>
      <w:r w:rsidRPr="0088695E">
        <w:rPr>
          <w:rFonts w:asciiTheme="minorHAnsi" w:hAnsiTheme="minorHAnsi" w:cs="Arial"/>
          <w:sz w:val="22"/>
          <w:szCs w:val="22"/>
        </w:rPr>
        <w:t xml:space="preserve"> individuals sampled in the NE Atlantic (i.e., introduced range), by the Genoscreen</w:t>
      </w:r>
      <w:r w:rsidRPr="00C8434A">
        <w:rPr>
          <w:rFonts w:asciiTheme="minorHAnsi" w:hAnsiTheme="minorHAnsi" w:cs="Arial"/>
          <w:sz w:val="22"/>
          <w:szCs w:val="22"/>
        </w:rPr>
        <w:t xml:space="preserve"> </w:t>
      </w:r>
      <w:r>
        <w:rPr>
          <w:rFonts w:asciiTheme="minorHAnsi" w:hAnsiTheme="minorHAnsi" w:cs="Arial"/>
          <w:sz w:val="22"/>
          <w:szCs w:val="22"/>
        </w:rPr>
        <w:t xml:space="preserve">Company </w:t>
      </w:r>
      <w:r w:rsidRPr="00C8434A">
        <w:rPr>
          <w:rFonts w:asciiTheme="minorHAnsi" w:hAnsiTheme="minorHAnsi" w:cs="Arial"/>
          <w:sz w:val="22"/>
          <w:szCs w:val="22"/>
        </w:rPr>
        <w:t>(Lille, France, www.genoscreen.fr) according to a procedure coupling microsatellite enrichment and pyrosequencing with 454 GS-FLX titanium technology</w:t>
      </w:r>
      <w:r>
        <w:rPr>
          <w:rFonts w:asciiTheme="minorHAnsi" w:hAnsiTheme="minorHAnsi" w:cs="Arial"/>
          <w:sz w:val="22"/>
          <w:szCs w:val="22"/>
        </w:rPr>
        <w:t xml:space="preserve"> </w:t>
      </w:r>
      <w:r>
        <w:rPr>
          <w:rFonts w:asciiTheme="minorHAnsi" w:hAnsiTheme="minorHAnsi" w:cs="Arial"/>
          <w:noProof/>
          <w:sz w:val="22"/>
          <w:szCs w:val="22"/>
        </w:rPr>
        <w:t>(Malausa et al., 2011)</w:t>
      </w:r>
      <w:r w:rsidRPr="00C8434A">
        <w:rPr>
          <w:rFonts w:asciiTheme="minorHAnsi" w:hAnsiTheme="minorHAnsi" w:cs="Arial"/>
          <w:sz w:val="22"/>
          <w:szCs w:val="22"/>
        </w:rPr>
        <w:t xml:space="preserve">. </w:t>
      </w:r>
      <w:r w:rsidR="00000CA3">
        <w:rPr>
          <w:rFonts w:asciiTheme="minorHAnsi" w:hAnsiTheme="minorHAnsi" w:cs="Arial"/>
          <w:sz w:val="22"/>
          <w:szCs w:val="22"/>
        </w:rPr>
        <w:t xml:space="preserve">The development of the microsatellite markers </w:t>
      </w:r>
      <w:r w:rsidR="00842FC3">
        <w:rPr>
          <w:rFonts w:asciiTheme="minorHAnsi" w:hAnsiTheme="minorHAnsi" w:cs="Arial"/>
          <w:sz w:val="22"/>
          <w:szCs w:val="22"/>
        </w:rPr>
        <w:t xml:space="preserve">(including polymorphism screening) </w:t>
      </w:r>
      <w:r w:rsidR="00000CA3">
        <w:rPr>
          <w:rFonts w:asciiTheme="minorHAnsi" w:hAnsiTheme="minorHAnsi" w:cs="Arial"/>
          <w:sz w:val="22"/>
          <w:szCs w:val="22"/>
        </w:rPr>
        <w:t xml:space="preserve">were then pursued using 14 individuals sampled both in the native (Japan and Korea) and introduced (Spain, UK, France) ranges, to avoid ascertainment biases, in particular the risks to select markers polymorphic only in the native populations. </w:t>
      </w:r>
      <w:r w:rsidRPr="00C8434A">
        <w:rPr>
          <w:rFonts w:asciiTheme="minorHAnsi" w:hAnsiTheme="minorHAnsi" w:cs="Arial"/>
          <w:sz w:val="22"/>
          <w:szCs w:val="22"/>
        </w:rPr>
        <w:t xml:space="preserve">Among the 138 primer pairs primarily tested for amplification </w:t>
      </w:r>
      <w:r>
        <w:rPr>
          <w:rFonts w:asciiTheme="minorHAnsi" w:hAnsiTheme="minorHAnsi" w:cs="Arial"/>
          <w:sz w:val="22"/>
          <w:szCs w:val="22"/>
        </w:rPr>
        <w:t>using</w:t>
      </w:r>
      <w:r w:rsidRPr="00C8434A">
        <w:rPr>
          <w:rFonts w:asciiTheme="minorHAnsi" w:hAnsiTheme="minorHAnsi" w:cs="Arial"/>
          <w:sz w:val="22"/>
          <w:szCs w:val="22"/>
        </w:rPr>
        <w:t xml:space="preserve"> a subset of 14 Asian and European individuals, 32 loci did not amplify, 19 loci did not yield reliable amplification patterns, </w:t>
      </w:r>
      <w:r>
        <w:rPr>
          <w:rFonts w:asciiTheme="minorHAnsi" w:hAnsiTheme="minorHAnsi" w:cs="Arial"/>
          <w:sz w:val="22"/>
          <w:szCs w:val="22"/>
        </w:rPr>
        <w:t xml:space="preserve">and </w:t>
      </w:r>
      <w:r w:rsidRPr="00C8434A">
        <w:rPr>
          <w:rFonts w:asciiTheme="minorHAnsi" w:hAnsiTheme="minorHAnsi" w:cs="Arial"/>
          <w:sz w:val="22"/>
          <w:szCs w:val="22"/>
        </w:rPr>
        <w:t xml:space="preserve">29 were monomorphic, resulting in 14 loci (Table S2) selected for routine genotyping. </w:t>
      </w:r>
    </w:p>
    <w:p w14:paraId="0B627779" w14:textId="77777777" w:rsidR="00FD140A" w:rsidRPr="00C8434A" w:rsidRDefault="00FD140A" w:rsidP="00EE38CE">
      <w:pPr>
        <w:pStyle w:val="BodyText"/>
        <w:spacing w:before="101" w:line="360" w:lineRule="auto"/>
        <w:ind w:left="0" w:firstLine="709"/>
        <w:jc w:val="both"/>
        <w:rPr>
          <w:rFonts w:asciiTheme="minorHAnsi" w:hAnsiTheme="minorHAnsi" w:cs="Arial"/>
          <w:sz w:val="22"/>
          <w:szCs w:val="22"/>
        </w:rPr>
      </w:pPr>
      <w:r w:rsidRPr="00C8434A">
        <w:rPr>
          <w:rFonts w:asciiTheme="minorHAnsi" w:hAnsiTheme="minorHAnsi" w:cs="Arial"/>
          <w:sz w:val="22"/>
          <w:szCs w:val="22"/>
        </w:rPr>
        <w:t>For routine genotyping, DNA of each individual was extracted from 5-10 mg of dried tissue and eluted in 120µl of elution buffer using the Nucleospin 96 Plant kit (Macherey-Nagel, Duren, Germany) according to the manufacturer’s instructions. For multiplex PCR amplifications</w:t>
      </w:r>
      <w:r>
        <w:rPr>
          <w:rFonts w:asciiTheme="minorHAnsi" w:hAnsiTheme="minorHAnsi" w:cs="Arial"/>
          <w:sz w:val="22"/>
          <w:szCs w:val="22"/>
        </w:rPr>
        <w:t xml:space="preserve"> (Table S2)</w:t>
      </w:r>
      <w:r w:rsidRPr="00C8434A">
        <w:rPr>
          <w:rFonts w:asciiTheme="minorHAnsi" w:hAnsiTheme="minorHAnsi" w:cs="Arial"/>
          <w:sz w:val="22"/>
          <w:szCs w:val="22"/>
        </w:rPr>
        <w:t>, 2 µl of 1:50 diluted DNA template was used in a 10 µl final volume containing 0.25 mM of each dNTP, 2.25 mM of magnesium chloride, 0.1 mg/ml of bovin</w:t>
      </w:r>
      <w:r>
        <w:rPr>
          <w:rFonts w:asciiTheme="minorHAnsi" w:hAnsiTheme="minorHAnsi" w:cs="Arial"/>
          <w:sz w:val="22"/>
          <w:szCs w:val="22"/>
        </w:rPr>
        <w:t>e</w:t>
      </w:r>
      <w:r w:rsidRPr="00C8434A">
        <w:rPr>
          <w:rFonts w:asciiTheme="minorHAnsi" w:hAnsiTheme="minorHAnsi" w:cs="Arial"/>
          <w:sz w:val="22"/>
          <w:szCs w:val="22"/>
        </w:rPr>
        <w:t xml:space="preserve"> serum albumin and 0.3 U of Thermoprime plus DNA polymerase (Thermo ABgene). Final primer concentrations varied from 33 nM (for some dye-labeled forward primers) to 234 nM (for all reverse primers) according to loci. A unique touchdown PCR program was used: 5 min at 95°C followed by 10 cycles with 30 s at 95°C, 30 s at 62°C and then decreasing by 1°C per cycle to 52°C, 50 s at 72°C, and then 25 cycles at 95°C for 30 s, 52°C for 30 s, 72°C for 50 s, with a final extension step of 15 min at 72°C. Two µl of PCR products were added to 10 µl of Hi-Di formamide (Applied Biosystems) containing a size marker </w:t>
      </w:r>
      <w:r>
        <w:rPr>
          <w:rFonts w:asciiTheme="minorHAnsi" w:hAnsiTheme="minorHAnsi" w:cs="Arial"/>
          <w:noProof/>
          <w:sz w:val="22"/>
          <w:szCs w:val="22"/>
        </w:rPr>
        <w:t>(Mauger, Couceiro, &amp; Valero, 2012)</w:t>
      </w:r>
      <w:r w:rsidRPr="00C8434A">
        <w:rPr>
          <w:rFonts w:asciiTheme="minorHAnsi" w:hAnsiTheme="minorHAnsi" w:cs="Arial"/>
          <w:sz w:val="22"/>
          <w:szCs w:val="22"/>
        </w:rPr>
        <w:t xml:space="preserve"> and electrophoresed in a 3130XL genetic analyser (Applied Biosystems). Allele sizing was performed using the Genemapper v4.0 software (Applied Biosystems). </w:t>
      </w:r>
    </w:p>
    <w:p w14:paraId="5B8E03FE" w14:textId="77777777" w:rsidR="00FD140A" w:rsidRPr="00C8434A" w:rsidRDefault="00FD140A" w:rsidP="00EE38CE">
      <w:pPr>
        <w:pStyle w:val="BodyText"/>
        <w:spacing w:before="101" w:line="360" w:lineRule="auto"/>
        <w:ind w:left="0"/>
        <w:rPr>
          <w:rFonts w:asciiTheme="minorHAnsi" w:hAnsiTheme="minorHAnsi"/>
          <w:b/>
          <w:sz w:val="22"/>
          <w:szCs w:val="22"/>
        </w:rPr>
      </w:pPr>
      <w:r>
        <w:rPr>
          <w:rFonts w:asciiTheme="minorHAnsi" w:hAnsiTheme="minorHAnsi"/>
          <w:b/>
          <w:sz w:val="22"/>
          <w:szCs w:val="22"/>
        </w:rPr>
        <w:t>RAD-seq</w:t>
      </w:r>
      <w:r w:rsidRPr="00C8434A">
        <w:rPr>
          <w:rFonts w:asciiTheme="minorHAnsi" w:hAnsiTheme="minorHAnsi"/>
          <w:b/>
          <w:sz w:val="22"/>
          <w:szCs w:val="22"/>
        </w:rPr>
        <w:t xml:space="preserve"> library construction</w:t>
      </w:r>
      <w:r>
        <w:rPr>
          <w:rFonts w:asciiTheme="minorHAnsi" w:hAnsiTheme="minorHAnsi"/>
          <w:b/>
          <w:sz w:val="22"/>
          <w:szCs w:val="22"/>
        </w:rPr>
        <w:t xml:space="preserve"> and SNP calling</w:t>
      </w:r>
    </w:p>
    <w:p w14:paraId="723C1976" w14:textId="3CEA9086" w:rsidR="00FD140A" w:rsidRPr="00C8434A" w:rsidRDefault="00FD140A" w:rsidP="00EE38CE">
      <w:pPr>
        <w:pStyle w:val="BodyText"/>
        <w:spacing w:before="101" w:line="360" w:lineRule="auto"/>
        <w:ind w:left="0"/>
        <w:jc w:val="both"/>
        <w:rPr>
          <w:rFonts w:asciiTheme="minorHAnsi" w:hAnsiTheme="minorHAnsi" w:cs="Arial"/>
          <w:sz w:val="22"/>
          <w:szCs w:val="22"/>
        </w:rPr>
      </w:pPr>
      <w:r w:rsidRPr="00C8434A">
        <w:rPr>
          <w:rFonts w:asciiTheme="minorHAnsi" w:hAnsiTheme="minorHAnsi" w:cs="Arial"/>
          <w:sz w:val="22"/>
          <w:szCs w:val="22"/>
        </w:rPr>
        <w:t>Double</w:t>
      </w:r>
      <w:r>
        <w:rPr>
          <w:rFonts w:asciiTheme="minorHAnsi" w:hAnsiTheme="minorHAnsi" w:cs="Arial"/>
          <w:sz w:val="22"/>
          <w:szCs w:val="22"/>
        </w:rPr>
        <w:t>-</w:t>
      </w:r>
      <w:r w:rsidRPr="00C8434A">
        <w:rPr>
          <w:rFonts w:asciiTheme="minorHAnsi" w:hAnsiTheme="minorHAnsi" w:cs="Arial"/>
          <w:sz w:val="22"/>
          <w:szCs w:val="22"/>
        </w:rPr>
        <w:t>digest RAD</w:t>
      </w:r>
      <w:r>
        <w:rPr>
          <w:rFonts w:asciiTheme="minorHAnsi" w:hAnsiTheme="minorHAnsi" w:cs="Arial"/>
          <w:sz w:val="22"/>
          <w:szCs w:val="22"/>
        </w:rPr>
        <w:t>-seq individual</w:t>
      </w:r>
      <w:r w:rsidRPr="00C8434A">
        <w:rPr>
          <w:rFonts w:asciiTheme="minorHAnsi" w:hAnsiTheme="minorHAnsi" w:cs="Arial"/>
          <w:sz w:val="22"/>
          <w:szCs w:val="22"/>
        </w:rPr>
        <w:t xml:space="preserve"> libraries were produced following</w:t>
      </w:r>
      <w:r>
        <w:rPr>
          <w:rFonts w:asciiTheme="minorHAnsi" w:hAnsiTheme="minorHAnsi" w:cs="Arial"/>
          <w:sz w:val="22"/>
          <w:szCs w:val="22"/>
        </w:rPr>
        <w:t xml:space="preserve"> </w:t>
      </w:r>
      <w:r>
        <w:rPr>
          <w:rFonts w:asciiTheme="minorHAnsi" w:hAnsiTheme="minorHAnsi" w:cs="Arial"/>
          <w:noProof/>
          <w:sz w:val="22"/>
          <w:szCs w:val="22"/>
        </w:rPr>
        <w:t>Brelsford</w:t>
      </w:r>
      <w:r w:rsidR="00EE38CE">
        <w:rPr>
          <w:rFonts w:asciiTheme="minorHAnsi" w:hAnsiTheme="minorHAnsi" w:cs="Arial"/>
          <w:noProof/>
          <w:sz w:val="22"/>
          <w:szCs w:val="22"/>
        </w:rPr>
        <w:t xml:space="preserve"> et al.</w:t>
      </w:r>
      <w:r>
        <w:rPr>
          <w:rFonts w:asciiTheme="minorHAnsi" w:hAnsiTheme="minorHAnsi" w:cs="Arial"/>
          <w:noProof/>
          <w:sz w:val="22"/>
          <w:szCs w:val="22"/>
        </w:rPr>
        <w:t xml:space="preserve"> </w:t>
      </w:r>
      <w:r w:rsidR="00EE38CE">
        <w:rPr>
          <w:rFonts w:asciiTheme="minorHAnsi" w:hAnsiTheme="minorHAnsi" w:cs="Arial"/>
          <w:noProof/>
          <w:sz w:val="22"/>
          <w:szCs w:val="22"/>
        </w:rPr>
        <w:t>(</w:t>
      </w:r>
      <w:r>
        <w:rPr>
          <w:rFonts w:asciiTheme="minorHAnsi" w:hAnsiTheme="minorHAnsi" w:cs="Arial"/>
          <w:noProof/>
          <w:sz w:val="22"/>
          <w:szCs w:val="22"/>
        </w:rPr>
        <w:t>2016)</w:t>
      </w:r>
      <w:r w:rsidRPr="00C8434A">
        <w:rPr>
          <w:rFonts w:asciiTheme="minorHAnsi" w:hAnsiTheme="minorHAnsi" w:cs="Arial"/>
          <w:sz w:val="22"/>
          <w:szCs w:val="22"/>
        </w:rPr>
        <w:t xml:space="preserve">. Briefly, </w:t>
      </w:r>
      <w:r>
        <w:rPr>
          <w:rFonts w:asciiTheme="minorHAnsi" w:hAnsiTheme="minorHAnsi" w:cs="Arial"/>
          <w:sz w:val="22"/>
          <w:szCs w:val="22"/>
        </w:rPr>
        <w:t>g</w:t>
      </w:r>
      <w:r w:rsidRPr="0023712F">
        <w:rPr>
          <w:rFonts w:asciiTheme="minorHAnsi" w:hAnsiTheme="minorHAnsi" w:cs="Arial"/>
          <w:sz w:val="22"/>
          <w:szCs w:val="22"/>
        </w:rPr>
        <w:t>enomic DNA</w:t>
      </w:r>
      <w:r>
        <w:rPr>
          <w:rFonts w:asciiTheme="minorHAnsi" w:hAnsiTheme="minorHAnsi" w:cs="Arial"/>
          <w:sz w:val="22"/>
          <w:szCs w:val="22"/>
        </w:rPr>
        <w:t xml:space="preserve"> extracts (see above)</w:t>
      </w:r>
      <w:r w:rsidRPr="0023712F">
        <w:rPr>
          <w:rFonts w:asciiTheme="minorHAnsi" w:hAnsiTheme="minorHAnsi" w:cs="Arial"/>
          <w:sz w:val="22"/>
          <w:szCs w:val="22"/>
        </w:rPr>
        <w:t xml:space="preserve"> </w:t>
      </w:r>
      <w:r>
        <w:rPr>
          <w:rFonts w:asciiTheme="minorHAnsi" w:hAnsiTheme="minorHAnsi" w:cs="Arial"/>
          <w:sz w:val="22"/>
          <w:szCs w:val="22"/>
        </w:rPr>
        <w:t>were</w:t>
      </w:r>
      <w:r w:rsidRPr="0023712F">
        <w:rPr>
          <w:rFonts w:asciiTheme="minorHAnsi" w:hAnsiTheme="minorHAnsi" w:cs="Arial"/>
          <w:sz w:val="22"/>
          <w:szCs w:val="22"/>
        </w:rPr>
        <w:t xml:space="preserve"> quantified using Quantit Picogreen dsDNA assay kits (</w:t>
      </w:r>
      <w:r>
        <w:rPr>
          <w:rFonts w:asciiTheme="minorHAnsi" w:hAnsiTheme="minorHAnsi" w:cs="Arial"/>
          <w:sz w:val="22"/>
          <w:szCs w:val="22"/>
        </w:rPr>
        <w:t>Life Technologies</w:t>
      </w:r>
      <w:r w:rsidRPr="0023712F">
        <w:rPr>
          <w:rFonts w:asciiTheme="minorHAnsi" w:hAnsiTheme="minorHAnsi" w:cs="Arial"/>
          <w:sz w:val="22"/>
          <w:szCs w:val="22"/>
        </w:rPr>
        <w:t xml:space="preserve">). </w:t>
      </w:r>
      <w:r>
        <w:rPr>
          <w:rFonts w:asciiTheme="minorHAnsi" w:hAnsiTheme="minorHAnsi" w:cs="Arial"/>
          <w:sz w:val="22"/>
          <w:szCs w:val="22"/>
        </w:rPr>
        <w:t xml:space="preserve">For each individual, </w:t>
      </w:r>
      <w:r w:rsidRPr="00C8434A">
        <w:rPr>
          <w:rFonts w:asciiTheme="minorHAnsi" w:hAnsiTheme="minorHAnsi" w:cs="Arial"/>
          <w:sz w:val="22"/>
          <w:szCs w:val="22"/>
        </w:rPr>
        <w:t xml:space="preserve">100ng of genomic DNA </w:t>
      </w:r>
      <w:r>
        <w:rPr>
          <w:rFonts w:asciiTheme="minorHAnsi" w:hAnsiTheme="minorHAnsi" w:cs="Arial"/>
          <w:sz w:val="22"/>
          <w:szCs w:val="22"/>
        </w:rPr>
        <w:t>was</w:t>
      </w:r>
      <w:r w:rsidRPr="00C8434A">
        <w:rPr>
          <w:rFonts w:asciiTheme="minorHAnsi" w:hAnsiTheme="minorHAnsi" w:cs="Arial"/>
          <w:sz w:val="22"/>
          <w:szCs w:val="22"/>
        </w:rPr>
        <w:t xml:space="preserve"> digested with PstI and MseI restriction enzymes</w:t>
      </w:r>
      <w:r>
        <w:rPr>
          <w:rFonts w:asciiTheme="minorHAnsi" w:hAnsiTheme="minorHAnsi" w:cs="Arial"/>
          <w:sz w:val="22"/>
          <w:szCs w:val="22"/>
        </w:rPr>
        <w:t xml:space="preserve"> (New England Biolabs)</w:t>
      </w:r>
      <w:r w:rsidRPr="00C8434A">
        <w:rPr>
          <w:rFonts w:asciiTheme="minorHAnsi" w:hAnsiTheme="minorHAnsi" w:cs="Arial"/>
          <w:sz w:val="22"/>
          <w:szCs w:val="22"/>
        </w:rPr>
        <w:t xml:space="preserve">. Barcoded adaptors were ligated </w:t>
      </w:r>
      <w:r>
        <w:rPr>
          <w:rFonts w:asciiTheme="minorHAnsi" w:hAnsiTheme="minorHAnsi" w:cs="Arial"/>
          <w:sz w:val="22"/>
          <w:szCs w:val="22"/>
        </w:rPr>
        <w:t xml:space="preserve">to the </w:t>
      </w:r>
      <w:r w:rsidRPr="00C8434A">
        <w:rPr>
          <w:rFonts w:asciiTheme="minorHAnsi" w:hAnsiTheme="minorHAnsi" w:cs="Arial"/>
          <w:sz w:val="22"/>
          <w:szCs w:val="22"/>
        </w:rPr>
        <w:t xml:space="preserve">digested DNA fragments and </w:t>
      </w:r>
      <w:r>
        <w:rPr>
          <w:rFonts w:asciiTheme="minorHAnsi" w:hAnsiTheme="minorHAnsi" w:cs="Arial"/>
          <w:sz w:val="22"/>
          <w:szCs w:val="22"/>
        </w:rPr>
        <w:t>purified</w:t>
      </w:r>
      <w:r w:rsidRPr="00C8434A">
        <w:rPr>
          <w:rFonts w:asciiTheme="minorHAnsi" w:hAnsiTheme="minorHAnsi" w:cs="Arial"/>
          <w:sz w:val="22"/>
          <w:szCs w:val="22"/>
        </w:rPr>
        <w:t xml:space="preserve"> using AMPure</w:t>
      </w:r>
      <w:r>
        <w:rPr>
          <w:rFonts w:asciiTheme="minorHAnsi" w:hAnsiTheme="minorHAnsi" w:cs="Arial"/>
          <w:sz w:val="22"/>
          <w:szCs w:val="22"/>
        </w:rPr>
        <w:t xml:space="preserve"> XP</w:t>
      </w:r>
      <w:r w:rsidRPr="00C8434A">
        <w:rPr>
          <w:rFonts w:asciiTheme="minorHAnsi" w:hAnsiTheme="minorHAnsi" w:cs="Arial"/>
          <w:sz w:val="22"/>
          <w:szCs w:val="22"/>
        </w:rPr>
        <w:t xml:space="preserve"> Beads (</w:t>
      </w:r>
      <w:r>
        <w:rPr>
          <w:rFonts w:asciiTheme="minorHAnsi" w:hAnsiTheme="minorHAnsi" w:cs="Arial"/>
          <w:sz w:val="22"/>
          <w:szCs w:val="22"/>
        </w:rPr>
        <w:t>Beckman Coulter</w:t>
      </w:r>
      <w:r w:rsidRPr="00C8434A">
        <w:rPr>
          <w:rFonts w:asciiTheme="minorHAnsi" w:hAnsiTheme="minorHAnsi" w:cs="Arial"/>
          <w:sz w:val="22"/>
          <w:szCs w:val="22"/>
        </w:rPr>
        <w:t xml:space="preserve">). </w:t>
      </w:r>
      <w:r>
        <w:rPr>
          <w:rFonts w:asciiTheme="minorHAnsi" w:hAnsiTheme="minorHAnsi" w:cs="Arial"/>
          <w:sz w:val="22"/>
          <w:szCs w:val="22"/>
        </w:rPr>
        <w:t>Two microliters</w:t>
      </w:r>
      <w:r w:rsidRPr="00C8434A">
        <w:rPr>
          <w:rFonts w:asciiTheme="minorHAnsi" w:hAnsiTheme="minorHAnsi" w:cs="Arial"/>
          <w:sz w:val="22"/>
          <w:szCs w:val="22"/>
        </w:rPr>
        <w:t xml:space="preserve"> of </w:t>
      </w:r>
      <w:r>
        <w:rPr>
          <w:rFonts w:asciiTheme="minorHAnsi" w:hAnsiTheme="minorHAnsi" w:cs="Arial"/>
          <w:sz w:val="22"/>
          <w:szCs w:val="22"/>
        </w:rPr>
        <w:t xml:space="preserve">the purified </w:t>
      </w:r>
      <w:r w:rsidRPr="00C8434A">
        <w:rPr>
          <w:rFonts w:asciiTheme="minorHAnsi" w:hAnsiTheme="minorHAnsi" w:cs="Arial"/>
          <w:sz w:val="22"/>
          <w:szCs w:val="22"/>
        </w:rPr>
        <w:t xml:space="preserve">template was used </w:t>
      </w:r>
      <w:r w:rsidRPr="00C8434A">
        <w:rPr>
          <w:rFonts w:asciiTheme="minorHAnsi" w:hAnsiTheme="minorHAnsi" w:cs="Arial"/>
          <w:sz w:val="22"/>
          <w:szCs w:val="22"/>
        </w:rPr>
        <w:lastRenderedPageBreak/>
        <w:t xml:space="preserve">for enrichment </w:t>
      </w:r>
      <w:r>
        <w:rPr>
          <w:rFonts w:asciiTheme="minorHAnsi" w:hAnsiTheme="minorHAnsi" w:cs="Arial"/>
          <w:sz w:val="22"/>
          <w:szCs w:val="22"/>
        </w:rPr>
        <w:t xml:space="preserve">and Illumina indexing </w:t>
      </w:r>
      <w:r w:rsidRPr="00C8434A">
        <w:rPr>
          <w:rFonts w:asciiTheme="minorHAnsi" w:hAnsiTheme="minorHAnsi" w:cs="Arial"/>
          <w:sz w:val="22"/>
          <w:szCs w:val="22"/>
        </w:rPr>
        <w:t xml:space="preserve">by PCR </w:t>
      </w:r>
      <w:r>
        <w:rPr>
          <w:rFonts w:asciiTheme="minorHAnsi" w:hAnsiTheme="minorHAnsi" w:cs="Arial"/>
          <w:sz w:val="22"/>
          <w:szCs w:val="22"/>
        </w:rPr>
        <w:t xml:space="preserve">using Q5 hot start DNA polymerase (New England Biolabs), with 12 cycles and </w:t>
      </w:r>
      <w:r w:rsidR="001D6838">
        <w:rPr>
          <w:rFonts w:asciiTheme="minorHAnsi" w:hAnsiTheme="minorHAnsi" w:cs="Arial"/>
          <w:sz w:val="22"/>
          <w:szCs w:val="22"/>
        </w:rPr>
        <w:t>four</w:t>
      </w:r>
      <w:r w:rsidRPr="00C8434A">
        <w:rPr>
          <w:rFonts w:asciiTheme="minorHAnsi" w:hAnsiTheme="minorHAnsi" w:cs="Arial"/>
          <w:sz w:val="22"/>
          <w:szCs w:val="22"/>
        </w:rPr>
        <w:t xml:space="preserve"> replicates per samples. </w:t>
      </w:r>
      <w:r>
        <w:rPr>
          <w:rFonts w:asciiTheme="minorHAnsi" w:hAnsiTheme="minorHAnsi" w:cs="Arial"/>
          <w:sz w:val="22"/>
          <w:szCs w:val="22"/>
        </w:rPr>
        <w:t>The</w:t>
      </w:r>
      <w:r w:rsidRPr="00C8434A">
        <w:rPr>
          <w:rFonts w:asciiTheme="minorHAnsi" w:hAnsiTheme="minorHAnsi" w:cs="Arial"/>
          <w:sz w:val="22"/>
          <w:szCs w:val="22"/>
        </w:rPr>
        <w:t xml:space="preserve"> </w:t>
      </w:r>
      <w:r w:rsidRPr="00386547">
        <w:rPr>
          <w:rFonts w:asciiTheme="minorHAnsi" w:hAnsiTheme="minorHAnsi" w:cs="Arial"/>
          <w:sz w:val="22"/>
          <w:szCs w:val="22"/>
        </w:rPr>
        <w:t>30</w:t>
      </w:r>
      <w:r>
        <w:rPr>
          <w:rFonts w:asciiTheme="minorHAnsi" w:hAnsiTheme="minorHAnsi" w:cs="Arial"/>
          <w:sz w:val="22"/>
          <w:szCs w:val="22"/>
        </w:rPr>
        <w:t>3</w:t>
      </w:r>
      <w:r w:rsidRPr="00C8434A">
        <w:rPr>
          <w:rFonts w:asciiTheme="minorHAnsi" w:hAnsiTheme="minorHAnsi" w:cs="Arial"/>
          <w:sz w:val="22"/>
          <w:szCs w:val="22"/>
        </w:rPr>
        <w:t xml:space="preserve"> samples </w:t>
      </w:r>
      <w:r>
        <w:rPr>
          <w:rFonts w:asciiTheme="minorHAnsi" w:hAnsiTheme="minorHAnsi" w:cs="Arial"/>
          <w:sz w:val="22"/>
          <w:szCs w:val="22"/>
        </w:rPr>
        <w:t xml:space="preserve">from </w:t>
      </w:r>
      <w:r w:rsidRPr="00386547">
        <w:rPr>
          <w:rFonts w:asciiTheme="minorHAnsi" w:hAnsiTheme="minorHAnsi" w:cs="Arial"/>
          <w:sz w:val="22"/>
          <w:szCs w:val="22"/>
        </w:rPr>
        <w:t>2</w:t>
      </w:r>
      <w:r>
        <w:rPr>
          <w:rFonts w:asciiTheme="minorHAnsi" w:hAnsiTheme="minorHAnsi" w:cs="Arial"/>
          <w:sz w:val="22"/>
          <w:szCs w:val="22"/>
        </w:rPr>
        <w:t>1</w:t>
      </w:r>
      <w:r w:rsidRPr="00386547">
        <w:rPr>
          <w:rFonts w:asciiTheme="minorHAnsi" w:hAnsiTheme="minorHAnsi" w:cs="Arial"/>
          <w:sz w:val="22"/>
          <w:szCs w:val="22"/>
        </w:rPr>
        <w:t xml:space="preserve"> </w:t>
      </w:r>
      <w:r>
        <w:rPr>
          <w:rFonts w:asciiTheme="minorHAnsi" w:hAnsiTheme="minorHAnsi" w:cs="Arial"/>
          <w:sz w:val="22"/>
          <w:szCs w:val="22"/>
        </w:rPr>
        <w:t xml:space="preserve">sampling sites </w:t>
      </w:r>
      <w:r w:rsidRPr="00C8434A">
        <w:rPr>
          <w:rFonts w:asciiTheme="minorHAnsi" w:hAnsiTheme="minorHAnsi" w:cs="Arial"/>
          <w:sz w:val="22"/>
          <w:szCs w:val="22"/>
        </w:rPr>
        <w:t xml:space="preserve">were </w:t>
      </w:r>
      <w:r>
        <w:rPr>
          <w:rFonts w:asciiTheme="minorHAnsi" w:hAnsiTheme="minorHAnsi" w:cs="Arial"/>
          <w:sz w:val="22"/>
          <w:szCs w:val="22"/>
        </w:rPr>
        <w:t xml:space="preserve">then pooled in equal proportions in </w:t>
      </w:r>
      <w:r w:rsidR="001D6838">
        <w:rPr>
          <w:rFonts w:asciiTheme="minorHAnsi" w:hAnsiTheme="minorHAnsi" w:cs="Arial"/>
          <w:sz w:val="22"/>
          <w:szCs w:val="22"/>
        </w:rPr>
        <w:t>three</w:t>
      </w:r>
      <w:r>
        <w:rPr>
          <w:rFonts w:asciiTheme="minorHAnsi" w:hAnsiTheme="minorHAnsi" w:cs="Arial"/>
          <w:sz w:val="22"/>
          <w:szCs w:val="22"/>
        </w:rPr>
        <w:t xml:space="preserve"> separate libraries.</w:t>
      </w:r>
      <w:r w:rsidR="00F3083D">
        <w:rPr>
          <w:rFonts w:asciiTheme="minorHAnsi" w:hAnsiTheme="minorHAnsi" w:cs="Arial"/>
          <w:sz w:val="22"/>
          <w:szCs w:val="22"/>
        </w:rPr>
        <w:t xml:space="preserve"> Individuals from each of the three studied areas </w:t>
      </w:r>
      <w:r w:rsidR="0031352F">
        <w:rPr>
          <w:rFonts w:asciiTheme="minorHAnsi" w:hAnsiTheme="minorHAnsi" w:cs="Arial"/>
          <w:sz w:val="22"/>
          <w:szCs w:val="22"/>
        </w:rPr>
        <w:t xml:space="preserve">(i.e., Asia, NE Pacific, NE Atlantic) </w:t>
      </w:r>
      <w:r w:rsidR="00F3083D">
        <w:rPr>
          <w:rFonts w:asciiTheme="minorHAnsi" w:hAnsiTheme="minorHAnsi" w:cs="Arial"/>
          <w:sz w:val="22"/>
          <w:szCs w:val="22"/>
        </w:rPr>
        <w:t xml:space="preserve">were distributed in each library to reduce potential </w:t>
      </w:r>
      <w:r w:rsidR="0031352F">
        <w:rPr>
          <w:rFonts w:asciiTheme="minorHAnsi" w:hAnsiTheme="minorHAnsi" w:cs="Arial"/>
          <w:sz w:val="22"/>
          <w:szCs w:val="22"/>
        </w:rPr>
        <w:t xml:space="preserve">biases due to the wet lab procedure during the </w:t>
      </w:r>
      <w:r w:rsidR="00F3083D">
        <w:rPr>
          <w:rFonts w:asciiTheme="minorHAnsi" w:hAnsiTheme="minorHAnsi" w:cs="Arial"/>
          <w:sz w:val="22"/>
          <w:szCs w:val="22"/>
        </w:rPr>
        <w:t xml:space="preserve">library </w:t>
      </w:r>
      <w:r w:rsidR="0031352F">
        <w:rPr>
          <w:rFonts w:asciiTheme="minorHAnsi" w:hAnsiTheme="minorHAnsi" w:cs="Arial"/>
          <w:sz w:val="22"/>
          <w:szCs w:val="22"/>
        </w:rPr>
        <w:t xml:space="preserve">development </w:t>
      </w:r>
      <w:r w:rsidR="00F3083D">
        <w:rPr>
          <w:rFonts w:asciiTheme="minorHAnsi" w:hAnsiTheme="minorHAnsi" w:cs="Arial"/>
          <w:sz w:val="22"/>
          <w:szCs w:val="22"/>
        </w:rPr>
        <w:t>on subsequent analyses (O’Leary et al. 2018).</w:t>
      </w:r>
      <w:r>
        <w:rPr>
          <w:rFonts w:asciiTheme="minorHAnsi" w:hAnsiTheme="minorHAnsi" w:cs="Arial"/>
          <w:sz w:val="22"/>
          <w:szCs w:val="22"/>
        </w:rPr>
        <w:t xml:space="preserve"> A 250-550 base pairs size selection of fragments was performed using a 1.5% agarose cassette in a pippin prep equipment (Sage Science)</w:t>
      </w:r>
      <w:r w:rsidRPr="00C8434A">
        <w:rPr>
          <w:rFonts w:asciiTheme="minorHAnsi" w:hAnsiTheme="minorHAnsi" w:cs="Arial"/>
          <w:sz w:val="22"/>
          <w:szCs w:val="22"/>
        </w:rPr>
        <w:t xml:space="preserve">. </w:t>
      </w:r>
      <w:r>
        <w:rPr>
          <w:rFonts w:asciiTheme="minorHAnsi" w:hAnsiTheme="minorHAnsi" w:cs="Arial"/>
          <w:sz w:val="22"/>
          <w:szCs w:val="22"/>
        </w:rPr>
        <w:t>A pool of 12 replicates (wet lab replicates and sequencing replicates)</w:t>
      </w:r>
      <w:r w:rsidRPr="00C8434A">
        <w:rPr>
          <w:rFonts w:asciiTheme="minorHAnsi" w:hAnsiTheme="minorHAnsi" w:cs="Arial"/>
          <w:sz w:val="22"/>
          <w:szCs w:val="22"/>
        </w:rPr>
        <w:t xml:space="preserve"> </w:t>
      </w:r>
      <w:r>
        <w:rPr>
          <w:rFonts w:asciiTheme="minorHAnsi" w:hAnsiTheme="minorHAnsi" w:cs="Arial"/>
          <w:sz w:val="22"/>
          <w:szCs w:val="22"/>
        </w:rPr>
        <w:t xml:space="preserve">were </w:t>
      </w:r>
      <w:r w:rsidRPr="00C8434A">
        <w:rPr>
          <w:rFonts w:asciiTheme="minorHAnsi" w:hAnsiTheme="minorHAnsi" w:cs="Arial"/>
          <w:sz w:val="22"/>
          <w:szCs w:val="22"/>
        </w:rPr>
        <w:t>added to each library</w:t>
      </w:r>
      <w:r>
        <w:rPr>
          <w:rFonts w:asciiTheme="minorHAnsi" w:hAnsiTheme="minorHAnsi" w:cs="Arial"/>
          <w:sz w:val="22"/>
          <w:szCs w:val="22"/>
        </w:rPr>
        <w:t xml:space="preserve">, </w:t>
      </w:r>
      <w:r w:rsidRPr="00386547">
        <w:rPr>
          <w:rFonts w:asciiTheme="minorHAnsi" w:hAnsiTheme="minorHAnsi" w:cs="Arial"/>
          <w:sz w:val="22"/>
          <w:szCs w:val="22"/>
        </w:rPr>
        <w:t xml:space="preserve">so </w:t>
      </w:r>
      <w:r>
        <w:rPr>
          <w:rFonts w:asciiTheme="minorHAnsi" w:hAnsiTheme="minorHAnsi" w:cs="Arial"/>
          <w:sz w:val="22"/>
          <w:szCs w:val="22"/>
        </w:rPr>
        <w:t>in</w:t>
      </w:r>
      <w:r w:rsidRPr="00386547">
        <w:rPr>
          <w:rFonts w:asciiTheme="minorHAnsi" w:hAnsiTheme="minorHAnsi" w:cs="Arial"/>
          <w:sz w:val="22"/>
          <w:szCs w:val="22"/>
        </w:rPr>
        <w:t xml:space="preserve"> total 3</w:t>
      </w:r>
      <w:r>
        <w:rPr>
          <w:rFonts w:asciiTheme="minorHAnsi" w:hAnsiTheme="minorHAnsi" w:cs="Arial"/>
          <w:sz w:val="22"/>
          <w:szCs w:val="22"/>
        </w:rPr>
        <w:t>39</w:t>
      </w:r>
      <w:r w:rsidRPr="00386547">
        <w:rPr>
          <w:rFonts w:asciiTheme="minorHAnsi" w:hAnsiTheme="minorHAnsi" w:cs="Arial"/>
          <w:sz w:val="22"/>
          <w:szCs w:val="22"/>
        </w:rPr>
        <w:t xml:space="preserve"> individually tagged DNAs</w:t>
      </w:r>
      <w:r>
        <w:rPr>
          <w:rFonts w:asciiTheme="minorHAnsi" w:hAnsiTheme="minorHAnsi" w:cs="Arial"/>
          <w:sz w:val="22"/>
          <w:szCs w:val="22"/>
        </w:rPr>
        <w:t xml:space="preserve"> </w:t>
      </w:r>
      <w:r w:rsidRPr="00386547">
        <w:rPr>
          <w:rFonts w:asciiTheme="minorHAnsi" w:hAnsiTheme="minorHAnsi" w:cs="Arial"/>
          <w:sz w:val="22"/>
          <w:szCs w:val="22"/>
        </w:rPr>
        <w:t>were sequenced</w:t>
      </w:r>
      <w:r w:rsidRPr="00C8434A">
        <w:rPr>
          <w:rFonts w:asciiTheme="minorHAnsi" w:hAnsiTheme="minorHAnsi" w:cs="Arial"/>
          <w:sz w:val="22"/>
          <w:szCs w:val="22"/>
        </w:rPr>
        <w:t xml:space="preserve">. </w:t>
      </w:r>
      <w:r w:rsidR="0031352F">
        <w:rPr>
          <w:rFonts w:asciiTheme="minorHAnsi" w:hAnsiTheme="minorHAnsi" w:cs="Arial"/>
          <w:sz w:val="22"/>
          <w:szCs w:val="22"/>
        </w:rPr>
        <w:t>To increase genotyping confidence by high sequencing coverage,</w:t>
      </w:r>
      <w:r w:rsidR="0031352F" w:rsidRPr="00C8434A">
        <w:rPr>
          <w:rFonts w:asciiTheme="minorHAnsi" w:hAnsiTheme="minorHAnsi" w:cs="Arial"/>
          <w:sz w:val="22"/>
          <w:szCs w:val="22"/>
        </w:rPr>
        <w:t xml:space="preserve"> </w:t>
      </w:r>
      <w:r w:rsidR="0031352F">
        <w:rPr>
          <w:rFonts w:asciiTheme="minorHAnsi" w:hAnsiTheme="minorHAnsi" w:cs="Arial"/>
          <w:sz w:val="22"/>
          <w:szCs w:val="22"/>
        </w:rPr>
        <w:t>e</w:t>
      </w:r>
      <w:r w:rsidRPr="00C8434A">
        <w:rPr>
          <w:rFonts w:asciiTheme="minorHAnsi" w:hAnsiTheme="minorHAnsi" w:cs="Arial"/>
          <w:sz w:val="22"/>
          <w:szCs w:val="22"/>
        </w:rPr>
        <w:t xml:space="preserve">ach library was sequenced </w:t>
      </w:r>
      <w:r w:rsidR="0031352F">
        <w:rPr>
          <w:rFonts w:asciiTheme="minorHAnsi" w:hAnsiTheme="minorHAnsi" w:cs="Arial"/>
          <w:sz w:val="22"/>
          <w:szCs w:val="22"/>
        </w:rPr>
        <w:t xml:space="preserve">twice, </w:t>
      </w:r>
      <w:r w:rsidRPr="00C8434A">
        <w:rPr>
          <w:rFonts w:asciiTheme="minorHAnsi" w:hAnsiTheme="minorHAnsi" w:cs="Arial"/>
          <w:sz w:val="22"/>
          <w:szCs w:val="22"/>
        </w:rPr>
        <w:t xml:space="preserve">on two lanes of </w:t>
      </w:r>
      <w:r>
        <w:rPr>
          <w:rFonts w:asciiTheme="minorHAnsi" w:hAnsiTheme="minorHAnsi" w:cs="Arial"/>
          <w:sz w:val="22"/>
          <w:szCs w:val="22"/>
        </w:rPr>
        <w:t xml:space="preserve">an Illumina </w:t>
      </w:r>
      <w:r w:rsidRPr="00C8434A">
        <w:rPr>
          <w:rFonts w:asciiTheme="minorHAnsi" w:hAnsiTheme="minorHAnsi" w:cs="Arial"/>
          <w:sz w:val="22"/>
          <w:szCs w:val="22"/>
        </w:rPr>
        <w:t xml:space="preserve">Hiseq 2500 </w:t>
      </w:r>
      <w:r>
        <w:rPr>
          <w:rFonts w:asciiTheme="minorHAnsi" w:hAnsiTheme="minorHAnsi" w:cs="Arial"/>
          <w:sz w:val="22"/>
          <w:szCs w:val="22"/>
        </w:rPr>
        <w:t>generating</w:t>
      </w:r>
      <w:r w:rsidRPr="00C8434A">
        <w:rPr>
          <w:rFonts w:asciiTheme="minorHAnsi" w:hAnsiTheme="minorHAnsi" w:cs="Arial"/>
          <w:sz w:val="22"/>
          <w:szCs w:val="22"/>
        </w:rPr>
        <w:t xml:space="preserve"> 125bp</w:t>
      </w:r>
      <w:r>
        <w:rPr>
          <w:rFonts w:asciiTheme="minorHAnsi" w:hAnsiTheme="minorHAnsi" w:cs="Arial"/>
          <w:sz w:val="22"/>
          <w:szCs w:val="22"/>
        </w:rPr>
        <w:t xml:space="preserve"> single-end reads at Eurofins (Ebersberg, Germany)</w:t>
      </w:r>
      <w:r w:rsidRPr="00C8434A">
        <w:rPr>
          <w:rFonts w:asciiTheme="minorHAnsi" w:hAnsiTheme="minorHAnsi" w:cs="Arial"/>
          <w:sz w:val="22"/>
          <w:szCs w:val="22"/>
        </w:rPr>
        <w:t>.</w:t>
      </w:r>
    </w:p>
    <w:p w14:paraId="06A9BD2E" w14:textId="488223CA" w:rsidR="00FD140A" w:rsidRPr="003D2BD4" w:rsidRDefault="00FD140A" w:rsidP="0040175C">
      <w:pPr>
        <w:pStyle w:val="BodyText"/>
        <w:spacing w:before="101" w:line="360" w:lineRule="auto"/>
        <w:ind w:left="0" w:firstLine="709"/>
        <w:jc w:val="both"/>
        <w:rPr>
          <w:rFonts w:asciiTheme="minorHAnsi" w:hAnsiTheme="minorHAnsi" w:cs="Arial"/>
          <w:sz w:val="22"/>
          <w:szCs w:val="22"/>
        </w:rPr>
      </w:pPr>
      <w:r w:rsidRPr="00A87BE6">
        <w:rPr>
          <w:rFonts w:asciiTheme="minorHAnsi" w:hAnsiTheme="minorHAnsi"/>
          <w:sz w:val="22"/>
          <w:szCs w:val="22"/>
        </w:rPr>
        <w:t>A total of 1,16 billion reads was obtained</w:t>
      </w:r>
      <w:r>
        <w:rPr>
          <w:rFonts w:asciiTheme="minorHAnsi" w:hAnsiTheme="minorHAnsi"/>
          <w:sz w:val="22"/>
          <w:szCs w:val="22"/>
        </w:rPr>
        <w:t xml:space="preserve"> across the three libraries. </w:t>
      </w:r>
      <w:r w:rsidRPr="00C8434A">
        <w:rPr>
          <w:rFonts w:asciiTheme="minorHAnsi" w:hAnsiTheme="minorHAnsi" w:cs="Arial"/>
          <w:sz w:val="22"/>
          <w:szCs w:val="22"/>
        </w:rPr>
        <w:t xml:space="preserve">Raw sequences were quality checked and demultiplexed using the </w:t>
      </w:r>
      <w:r w:rsidRPr="00C8434A">
        <w:rPr>
          <w:rFonts w:asciiTheme="minorHAnsi" w:hAnsiTheme="minorHAnsi" w:cs="Arial"/>
          <w:i/>
          <w:sz w:val="22"/>
          <w:szCs w:val="22"/>
        </w:rPr>
        <w:t>process_radtags</w:t>
      </w:r>
      <w:r w:rsidRPr="00C8434A">
        <w:rPr>
          <w:rFonts w:asciiTheme="minorHAnsi" w:hAnsiTheme="minorHAnsi" w:cs="Arial"/>
          <w:sz w:val="22"/>
          <w:szCs w:val="22"/>
        </w:rPr>
        <w:t xml:space="preserve"> module </w:t>
      </w:r>
      <w:r>
        <w:rPr>
          <w:rFonts w:asciiTheme="minorHAnsi" w:hAnsiTheme="minorHAnsi" w:cs="Arial"/>
          <w:sz w:val="22"/>
          <w:szCs w:val="22"/>
        </w:rPr>
        <w:t>of</w:t>
      </w:r>
      <w:r w:rsidRPr="00C8434A">
        <w:rPr>
          <w:rFonts w:asciiTheme="minorHAnsi" w:hAnsiTheme="minorHAnsi" w:cs="Arial"/>
          <w:sz w:val="22"/>
          <w:szCs w:val="22"/>
        </w:rPr>
        <w:t xml:space="preserve"> Stacks v1</w:t>
      </w:r>
      <w:r>
        <w:rPr>
          <w:rFonts w:asciiTheme="minorHAnsi" w:hAnsiTheme="minorHAnsi" w:cs="Arial"/>
          <w:sz w:val="22"/>
          <w:szCs w:val="22"/>
        </w:rPr>
        <w:t>.</w:t>
      </w:r>
      <w:r w:rsidRPr="00C8434A">
        <w:rPr>
          <w:rFonts w:asciiTheme="minorHAnsi" w:hAnsiTheme="minorHAnsi" w:cs="Arial"/>
          <w:sz w:val="22"/>
          <w:szCs w:val="22"/>
        </w:rPr>
        <w:t xml:space="preserve">32 </w:t>
      </w:r>
      <w:r>
        <w:rPr>
          <w:rFonts w:asciiTheme="minorHAnsi" w:hAnsiTheme="minorHAnsi" w:cs="Arial"/>
          <w:noProof/>
          <w:sz w:val="22"/>
          <w:szCs w:val="22"/>
        </w:rPr>
        <w:t>(Catchen, Hohenlohe, Bassham, Amores, &amp; Cresko, 2013)</w:t>
      </w:r>
      <w:r w:rsidRPr="00C8434A">
        <w:rPr>
          <w:rFonts w:asciiTheme="minorHAnsi" w:hAnsiTheme="minorHAnsi" w:cs="Arial"/>
          <w:sz w:val="22"/>
          <w:szCs w:val="22"/>
        </w:rPr>
        <w:t>. We used the Stacks denovo_map.pl</w:t>
      </w:r>
      <w:r w:rsidRPr="003D2BD4">
        <w:rPr>
          <w:rFonts w:asciiTheme="minorHAnsi" w:hAnsiTheme="minorHAnsi" w:cs="Arial"/>
          <w:sz w:val="22"/>
          <w:szCs w:val="22"/>
        </w:rPr>
        <w:t xml:space="preserve"> </w:t>
      </w:r>
      <w:r>
        <w:rPr>
          <w:rFonts w:asciiTheme="minorHAnsi" w:hAnsiTheme="minorHAnsi" w:cs="Arial"/>
          <w:sz w:val="22"/>
          <w:szCs w:val="22"/>
        </w:rPr>
        <w:t>pipeline</w:t>
      </w:r>
      <w:r w:rsidRPr="00C8434A">
        <w:rPr>
          <w:rFonts w:asciiTheme="minorHAnsi" w:hAnsiTheme="minorHAnsi" w:cs="Arial"/>
          <w:sz w:val="22"/>
          <w:szCs w:val="22"/>
        </w:rPr>
        <w:t xml:space="preserve"> for locus assembly and SNP calling.</w:t>
      </w:r>
      <w:r>
        <w:t xml:space="preserve"> </w:t>
      </w:r>
      <w:r>
        <w:rPr>
          <w:rFonts w:asciiTheme="minorHAnsi" w:hAnsiTheme="minorHAnsi" w:cs="Arial"/>
          <w:sz w:val="22"/>
          <w:szCs w:val="22"/>
        </w:rPr>
        <w:t>R</w:t>
      </w:r>
      <w:r w:rsidRPr="003D2BD4">
        <w:rPr>
          <w:rFonts w:asciiTheme="minorHAnsi" w:hAnsiTheme="minorHAnsi" w:cs="Arial"/>
          <w:sz w:val="22"/>
          <w:szCs w:val="22"/>
        </w:rPr>
        <w:t xml:space="preserve">eplicates were </w:t>
      </w:r>
      <w:r>
        <w:rPr>
          <w:rFonts w:asciiTheme="minorHAnsi" w:hAnsiTheme="minorHAnsi" w:cs="Arial"/>
          <w:sz w:val="22"/>
          <w:szCs w:val="22"/>
        </w:rPr>
        <w:t xml:space="preserve">first </w:t>
      </w:r>
      <w:r w:rsidRPr="00EB7E73">
        <w:rPr>
          <w:rFonts w:asciiTheme="minorHAnsi" w:hAnsiTheme="minorHAnsi" w:cs="Arial"/>
          <w:sz w:val="22"/>
          <w:szCs w:val="22"/>
        </w:rPr>
        <w:t>analyzed</w:t>
      </w:r>
      <w:r w:rsidRPr="003D2BD4">
        <w:rPr>
          <w:rFonts w:asciiTheme="minorHAnsi" w:hAnsiTheme="minorHAnsi" w:cs="Arial"/>
          <w:sz w:val="22"/>
          <w:szCs w:val="22"/>
        </w:rPr>
        <w:t xml:space="preserve"> independently to determine the optimal </w:t>
      </w:r>
      <w:r w:rsidRPr="003D2BD4">
        <w:rPr>
          <w:rFonts w:asciiTheme="minorHAnsi" w:hAnsiTheme="minorHAnsi" w:cs="Arial"/>
          <w:i/>
          <w:sz w:val="22"/>
          <w:szCs w:val="22"/>
        </w:rPr>
        <w:t>denovo</w:t>
      </w:r>
      <w:r w:rsidRPr="003D2BD4">
        <w:rPr>
          <w:rFonts w:asciiTheme="minorHAnsi" w:hAnsiTheme="minorHAnsi" w:cs="Arial"/>
          <w:sz w:val="22"/>
          <w:szCs w:val="22"/>
        </w:rPr>
        <w:t xml:space="preserve"> parameters. </w:t>
      </w:r>
      <w:r w:rsidR="00F3083D">
        <w:rPr>
          <w:rFonts w:asciiTheme="minorHAnsi" w:hAnsiTheme="minorHAnsi" w:cs="Arial"/>
          <w:sz w:val="22"/>
          <w:szCs w:val="22"/>
        </w:rPr>
        <w:t xml:space="preserve">As recommended in Paris et al. (2017) multiple stacks parameter were tested to determine the optimal </w:t>
      </w:r>
      <w:r w:rsidR="00F3083D">
        <w:rPr>
          <w:rFonts w:asciiTheme="minorHAnsi" w:hAnsiTheme="minorHAnsi" w:cs="Arial"/>
          <w:i/>
          <w:sz w:val="22"/>
          <w:szCs w:val="22"/>
        </w:rPr>
        <w:t xml:space="preserve">de novo </w:t>
      </w:r>
      <w:r w:rsidR="00F3083D">
        <w:rPr>
          <w:rFonts w:asciiTheme="minorHAnsi" w:hAnsiTheme="minorHAnsi" w:cs="Arial"/>
          <w:sz w:val="22"/>
          <w:szCs w:val="22"/>
        </w:rPr>
        <w:t xml:space="preserve">parameters. A set of five replicates were analyzed using </w:t>
      </w:r>
      <w:r w:rsidR="00842FC3">
        <w:rPr>
          <w:rFonts w:asciiTheme="minorHAnsi" w:hAnsiTheme="minorHAnsi" w:cs="Arial"/>
          <w:sz w:val="22"/>
          <w:szCs w:val="22"/>
        </w:rPr>
        <w:t xml:space="preserve">the </w:t>
      </w:r>
      <w:r w:rsidR="00842FC3" w:rsidRPr="003D2BD4">
        <w:rPr>
          <w:rFonts w:asciiTheme="minorHAnsi" w:hAnsiTheme="minorHAnsi" w:cs="Arial"/>
          <w:sz w:val="22"/>
          <w:szCs w:val="22"/>
        </w:rPr>
        <w:t xml:space="preserve">methodology </w:t>
      </w:r>
      <w:r w:rsidR="00842FC3">
        <w:rPr>
          <w:rFonts w:asciiTheme="minorHAnsi" w:hAnsiTheme="minorHAnsi" w:cs="Arial"/>
          <w:sz w:val="22"/>
          <w:szCs w:val="22"/>
        </w:rPr>
        <w:t xml:space="preserve">of </w:t>
      </w:r>
      <w:r>
        <w:rPr>
          <w:rFonts w:asciiTheme="minorHAnsi" w:hAnsiTheme="minorHAnsi" w:cs="Arial"/>
          <w:noProof/>
          <w:sz w:val="22"/>
          <w:szCs w:val="22"/>
        </w:rPr>
        <w:t xml:space="preserve">Mastretta‐Yanes et al. </w:t>
      </w:r>
      <w:r w:rsidR="00EE38CE">
        <w:rPr>
          <w:rFonts w:asciiTheme="minorHAnsi" w:hAnsiTheme="minorHAnsi" w:cs="Arial"/>
          <w:noProof/>
          <w:sz w:val="22"/>
          <w:szCs w:val="22"/>
        </w:rPr>
        <w:t>(</w:t>
      </w:r>
      <w:r>
        <w:rPr>
          <w:rFonts w:asciiTheme="minorHAnsi" w:hAnsiTheme="minorHAnsi" w:cs="Arial"/>
          <w:noProof/>
          <w:sz w:val="22"/>
          <w:szCs w:val="22"/>
        </w:rPr>
        <w:t>2015)</w:t>
      </w:r>
      <w:r w:rsidRPr="003D2BD4">
        <w:rPr>
          <w:rFonts w:asciiTheme="minorHAnsi" w:hAnsiTheme="minorHAnsi" w:cs="Arial"/>
          <w:sz w:val="22"/>
          <w:szCs w:val="22"/>
        </w:rPr>
        <w:t xml:space="preserve"> to minimize the genotyping errors.</w:t>
      </w:r>
      <w:r>
        <w:rPr>
          <w:rFonts w:asciiTheme="minorHAnsi" w:hAnsiTheme="minorHAnsi" w:cs="Arial"/>
          <w:sz w:val="22"/>
          <w:szCs w:val="22"/>
        </w:rPr>
        <w:t xml:space="preserve"> </w:t>
      </w:r>
      <w:r w:rsidRPr="003D2BD4">
        <w:rPr>
          <w:rFonts w:asciiTheme="minorHAnsi" w:hAnsiTheme="minorHAnsi" w:cs="Arial"/>
          <w:sz w:val="22"/>
          <w:szCs w:val="22"/>
        </w:rPr>
        <w:t xml:space="preserve">A </w:t>
      </w:r>
      <w:r w:rsidRPr="003D2BD4">
        <w:rPr>
          <w:rFonts w:asciiTheme="minorHAnsi" w:hAnsiTheme="minorHAnsi" w:cs="Arial"/>
          <w:i/>
          <w:sz w:val="22"/>
          <w:szCs w:val="22"/>
        </w:rPr>
        <w:t>de novo</w:t>
      </w:r>
      <w:r w:rsidRPr="003D2BD4">
        <w:rPr>
          <w:rFonts w:asciiTheme="minorHAnsi" w:hAnsiTheme="minorHAnsi" w:cs="Arial"/>
          <w:sz w:val="22"/>
          <w:szCs w:val="22"/>
        </w:rPr>
        <w:t xml:space="preserve"> analysis was then performed </w:t>
      </w:r>
      <w:r w:rsidRPr="00426A16">
        <w:rPr>
          <w:rFonts w:asciiTheme="minorHAnsi" w:hAnsiTheme="minorHAnsi" w:cs="Arial"/>
          <w:sz w:val="22"/>
          <w:szCs w:val="22"/>
        </w:rPr>
        <w:t>on 303</w:t>
      </w:r>
      <w:r w:rsidRPr="003D2BD4">
        <w:rPr>
          <w:rFonts w:asciiTheme="minorHAnsi" w:hAnsiTheme="minorHAnsi" w:cs="Arial"/>
          <w:sz w:val="22"/>
          <w:szCs w:val="22"/>
        </w:rPr>
        <w:t xml:space="preserve"> samples with the following parameters</w:t>
      </w:r>
      <w:r>
        <w:rPr>
          <w:rFonts w:asciiTheme="minorHAnsi" w:hAnsiTheme="minorHAnsi" w:cs="Arial"/>
          <w:sz w:val="22"/>
          <w:szCs w:val="22"/>
        </w:rPr>
        <w:t>: -</w:t>
      </w:r>
      <w:r w:rsidRPr="003D2BD4">
        <w:rPr>
          <w:rFonts w:asciiTheme="minorHAnsi" w:hAnsiTheme="minorHAnsi" w:cs="Arial"/>
          <w:sz w:val="22"/>
          <w:szCs w:val="22"/>
        </w:rPr>
        <w:t xml:space="preserve">m (minimum stack </w:t>
      </w:r>
      <w:r>
        <w:rPr>
          <w:rFonts w:asciiTheme="minorHAnsi" w:hAnsiTheme="minorHAnsi" w:cs="Arial"/>
          <w:sz w:val="22"/>
          <w:szCs w:val="22"/>
        </w:rPr>
        <w:t>depth</w:t>
      </w:r>
      <w:r w:rsidRPr="003D2BD4">
        <w:rPr>
          <w:rFonts w:asciiTheme="minorHAnsi" w:hAnsiTheme="minorHAnsi" w:cs="Arial"/>
          <w:sz w:val="22"/>
          <w:szCs w:val="22"/>
        </w:rPr>
        <w:t xml:space="preserve">) 10, </w:t>
      </w:r>
      <w:r>
        <w:rPr>
          <w:rFonts w:asciiTheme="minorHAnsi" w:hAnsiTheme="minorHAnsi" w:cs="Arial"/>
          <w:sz w:val="22"/>
          <w:szCs w:val="22"/>
        </w:rPr>
        <w:t>-</w:t>
      </w:r>
      <w:r w:rsidRPr="003D2BD4">
        <w:rPr>
          <w:rFonts w:asciiTheme="minorHAnsi" w:hAnsiTheme="minorHAnsi" w:cs="Arial"/>
          <w:sz w:val="22"/>
          <w:szCs w:val="22"/>
        </w:rPr>
        <w:t xml:space="preserve">M (maximum number of mismatches between alleles at a locus within an individual) 2, </w:t>
      </w:r>
      <w:r>
        <w:rPr>
          <w:rFonts w:asciiTheme="minorHAnsi" w:hAnsiTheme="minorHAnsi" w:cs="Arial"/>
          <w:sz w:val="22"/>
          <w:szCs w:val="22"/>
        </w:rPr>
        <w:t>-n</w:t>
      </w:r>
      <w:r w:rsidRPr="003D2BD4">
        <w:rPr>
          <w:rFonts w:asciiTheme="minorHAnsi" w:hAnsiTheme="minorHAnsi" w:cs="Arial"/>
          <w:sz w:val="22"/>
          <w:szCs w:val="22"/>
        </w:rPr>
        <w:t xml:space="preserve"> (maximum number of mismatches between alleles at a locus across all individuals) 2, </w:t>
      </w:r>
      <w:r>
        <w:rPr>
          <w:rFonts w:asciiTheme="minorHAnsi" w:hAnsiTheme="minorHAnsi" w:cs="Arial"/>
          <w:sz w:val="22"/>
          <w:szCs w:val="22"/>
        </w:rPr>
        <w:t xml:space="preserve">a </w:t>
      </w:r>
      <w:r w:rsidRPr="003D2BD4">
        <w:rPr>
          <w:rFonts w:asciiTheme="minorHAnsi" w:hAnsiTheme="minorHAnsi" w:cs="Arial"/>
          <w:sz w:val="22"/>
          <w:szCs w:val="22"/>
        </w:rPr>
        <w:t xml:space="preserve">maximum </w:t>
      </w:r>
      <w:r>
        <w:rPr>
          <w:rFonts w:asciiTheme="minorHAnsi" w:hAnsiTheme="minorHAnsi" w:cs="Arial"/>
          <w:sz w:val="22"/>
          <w:szCs w:val="22"/>
        </w:rPr>
        <w:t xml:space="preserve">of </w:t>
      </w:r>
      <w:r w:rsidRPr="003D2BD4">
        <w:rPr>
          <w:rFonts w:asciiTheme="minorHAnsi" w:hAnsiTheme="minorHAnsi" w:cs="Arial"/>
          <w:sz w:val="22"/>
          <w:szCs w:val="22"/>
        </w:rPr>
        <w:t xml:space="preserve">2 stacks per locus, and SNP calling bounded model type (high bound 0.01). Catalog loci were filtered according to mean log likelihood scores &gt; -30 using the </w:t>
      </w:r>
      <w:r w:rsidRPr="003D2BD4">
        <w:rPr>
          <w:rFonts w:asciiTheme="minorHAnsi" w:hAnsiTheme="minorHAnsi" w:cs="Arial"/>
          <w:i/>
          <w:sz w:val="22"/>
          <w:szCs w:val="22"/>
        </w:rPr>
        <w:t>rxstacks</w:t>
      </w:r>
      <w:r w:rsidRPr="003D2BD4">
        <w:rPr>
          <w:rFonts w:asciiTheme="minorHAnsi" w:hAnsiTheme="minorHAnsi" w:cs="Arial"/>
          <w:sz w:val="22"/>
          <w:szCs w:val="22"/>
        </w:rPr>
        <w:t xml:space="preserve"> module and according to their missing rate (genotyped in minimum 80% of the populations and 50% of individuals per population). Haplotype-based genotypes (RAD_loci) were exported from </w:t>
      </w:r>
      <w:r>
        <w:rPr>
          <w:rFonts w:asciiTheme="minorHAnsi" w:hAnsiTheme="minorHAnsi" w:cs="Arial"/>
          <w:sz w:val="22"/>
          <w:szCs w:val="22"/>
        </w:rPr>
        <w:t>S</w:t>
      </w:r>
      <w:r w:rsidRPr="003D2BD4">
        <w:rPr>
          <w:rFonts w:asciiTheme="minorHAnsi" w:hAnsiTheme="minorHAnsi" w:cs="Arial"/>
          <w:sz w:val="22"/>
          <w:szCs w:val="22"/>
        </w:rPr>
        <w:t xml:space="preserve">tacks. Repetitive sequences can be confounded with alleles in </w:t>
      </w:r>
      <w:r w:rsidRPr="00F04E39">
        <w:rPr>
          <w:rFonts w:asciiTheme="minorHAnsi" w:hAnsiTheme="minorHAnsi" w:cs="Arial"/>
          <w:i/>
          <w:sz w:val="22"/>
          <w:szCs w:val="22"/>
        </w:rPr>
        <w:t>denovo</w:t>
      </w:r>
      <w:r w:rsidRPr="003D2BD4">
        <w:rPr>
          <w:rFonts w:asciiTheme="minorHAnsi" w:hAnsiTheme="minorHAnsi" w:cs="Arial"/>
          <w:sz w:val="22"/>
          <w:szCs w:val="22"/>
        </w:rPr>
        <w:t xml:space="preserve"> analyses of RAD</w:t>
      </w:r>
      <w:r>
        <w:rPr>
          <w:rFonts w:asciiTheme="minorHAnsi" w:hAnsiTheme="minorHAnsi" w:cs="Arial"/>
          <w:sz w:val="22"/>
          <w:szCs w:val="22"/>
        </w:rPr>
        <w:t>-</w:t>
      </w:r>
      <w:r w:rsidRPr="003D2BD4">
        <w:rPr>
          <w:rFonts w:asciiTheme="minorHAnsi" w:hAnsiTheme="minorHAnsi" w:cs="Arial"/>
          <w:sz w:val="22"/>
          <w:szCs w:val="22"/>
        </w:rPr>
        <w:t>seq data</w:t>
      </w:r>
      <w:r>
        <w:rPr>
          <w:rFonts w:asciiTheme="minorHAnsi" w:hAnsiTheme="minorHAnsi" w:cs="Arial"/>
          <w:sz w:val="22"/>
          <w:szCs w:val="22"/>
        </w:rPr>
        <w:t>,</w:t>
      </w:r>
      <w:r w:rsidRPr="003D2BD4">
        <w:rPr>
          <w:rFonts w:asciiTheme="minorHAnsi" w:hAnsiTheme="minorHAnsi" w:cs="Arial"/>
          <w:sz w:val="22"/>
          <w:szCs w:val="22"/>
        </w:rPr>
        <w:t xml:space="preserve"> leading to an uneven coverage </w:t>
      </w:r>
      <w:r>
        <w:rPr>
          <w:rFonts w:asciiTheme="minorHAnsi" w:hAnsiTheme="minorHAnsi" w:cs="Arial"/>
          <w:sz w:val="22"/>
          <w:szCs w:val="22"/>
        </w:rPr>
        <w:t>among</w:t>
      </w:r>
      <w:r w:rsidRPr="003D2BD4">
        <w:rPr>
          <w:rFonts w:asciiTheme="minorHAnsi" w:hAnsiTheme="minorHAnsi" w:cs="Arial"/>
          <w:sz w:val="22"/>
          <w:szCs w:val="22"/>
        </w:rPr>
        <w:t xml:space="preserve"> alleles in a given loc</w:t>
      </w:r>
      <w:r>
        <w:rPr>
          <w:rFonts w:asciiTheme="minorHAnsi" w:hAnsiTheme="minorHAnsi" w:cs="Arial"/>
          <w:sz w:val="22"/>
          <w:szCs w:val="22"/>
        </w:rPr>
        <w:t>us</w:t>
      </w:r>
      <w:r w:rsidRPr="003D2BD4">
        <w:rPr>
          <w:rFonts w:asciiTheme="minorHAnsi" w:hAnsiTheme="minorHAnsi" w:cs="Arial"/>
          <w:sz w:val="22"/>
          <w:szCs w:val="22"/>
        </w:rPr>
        <w:t>. The mean allelic coverage ratio was calculated for all heterozygote RAD</w:t>
      </w:r>
      <w:r>
        <w:rPr>
          <w:rFonts w:asciiTheme="minorHAnsi" w:hAnsiTheme="minorHAnsi" w:cs="Arial"/>
          <w:sz w:val="22"/>
          <w:szCs w:val="22"/>
        </w:rPr>
        <w:t>-seq</w:t>
      </w:r>
      <w:r w:rsidRPr="003D2BD4">
        <w:rPr>
          <w:rFonts w:asciiTheme="minorHAnsi" w:hAnsiTheme="minorHAnsi" w:cs="Arial"/>
          <w:sz w:val="22"/>
          <w:szCs w:val="22"/>
        </w:rPr>
        <w:t xml:space="preserve"> loci and tested against the expected coverage ratio using a Student’s t</w:t>
      </w:r>
      <w:r>
        <w:rPr>
          <w:rFonts w:asciiTheme="minorHAnsi" w:hAnsiTheme="minorHAnsi" w:cs="Arial"/>
          <w:sz w:val="22"/>
          <w:szCs w:val="22"/>
        </w:rPr>
        <w:t>-</w:t>
      </w:r>
      <w:r w:rsidRPr="003D2BD4">
        <w:rPr>
          <w:rFonts w:asciiTheme="minorHAnsi" w:hAnsiTheme="minorHAnsi" w:cs="Arial"/>
          <w:sz w:val="22"/>
          <w:szCs w:val="22"/>
        </w:rPr>
        <w:t>test.</w:t>
      </w:r>
      <w:r>
        <w:rPr>
          <w:rFonts w:asciiTheme="minorHAnsi" w:hAnsiTheme="minorHAnsi" w:cs="Arial"/>
          <w:sz w:val="22"/>
          <w:szCs w:val="22"/>
        </w:rPr>
        <w:t xml:space="preserve"> </w:t>
      </w:r>
      <w:r w:rsidRPr="003D2BD4">
        <w:rPr>
          <w:rFonts w:asciiTheme="minorHAnsi" w:hAnsiTheme="minorHAnsi" w:cs="Arial"/>
          <w:sz w:val="22"/>
          <w:szCs w:val="22"/>
        </w:rPr>
        <w:t>The distribution of p</w:t>
      </w:r>
      <w:r>
        <w:rPr>
          <w:rFonts w:asciiTheme="minorHAnsi" w:hAnsiTheme="minorHAnsi" w:cs="Arial"/>
          <w:sz w:val="22"/>
          <w:szCs w:val="22"/>
        </w:rPr>
        <w:t>-</w:t>
      </w:r>
      <w:r w:rsidRPr="003D2BD4">
        <w:rPr>
          <w:rFonts w:asciiTheme="minorHAnsi" w:hAnsiTheme="minorHAnsi" w:cs="Arial"/>
          <w:sz w:val="22"/>
          <w:szCs w:val="22"/>
        </w:rPr>
        <w:t>values was used to set a threshold for excluding RAD</w:t>
      </w:r>
      <w:r>
        <w:rPr>
          <w:rFonts w:asciiTheme="minorHAnsi" w:hAnsiTheme="minorHAnsi" w:cs="Arial"/>
          <w:sz w:val="22"/>
          <w:szCs w:val="22"/>
        </w:rPr>
        <w:t>-seq</w:t>
      </w:r>
      <w:r w:rsidRPr="003D2BD4">
        <w:rPr>
          <w:rFonts w:asciiTheme="minorHAnsi" w:hAnsiTheme="minorHAnsi" w:cs="Arial"/>
          <w:sz w:val="22"/>
          <w:szCs w:val="22"/>
        </w:rPr>
        <w:t xml:space="preserve"> loci with imbalanced allelic coverage. Finally</w:t>
      </w:r>
      <w:r>
        <w:rPr>
          <w:rFonts w:asciiTheme="minorHAnsi" w:hAnsiTheme="minorHAnsi" w:cs="Arial"/>
          <w:sz w:val="22"/>
          <w:szCs w:val="22"/>
        </w:rPr>
        <w:t>,</w:t>
      </w:r>
      <w:r w:rsidRPr="003D2BD4">
        <w:rPr>
          <w:rFonts w:asciiTheme="minorHAnsi" w:hAnsiTheme="minorHAnsi" w:cs="Arial"/>
          <w:sz w:val="22"/>
          <w:szCs w:val="22"/>
        </w:rPr>
        <w:t xml:space="preserve"> loci with a minor allele frequency </w:t>
      </w:r>
      <w:r>
        <w:rPr>
          <w:rFonts w:asciiTheme="minorHAnsi" w:hAnsiTheme="minorHAnsi" w:cs="Arial"/>
          <w:sz w:val="22"/>
          <w:szCs w:val="22"/>
        </w:rPr>
        <w:t xml:space="preserve">(MAF) </w:t>
      </w:r>
      <w:r w:rsidRPr="003D2BD4">
        <w:rPr>
          <w:rFonts w:asciiTheme="minorHAnsi" w:hAnsiTheme="minorHAnsi" w:cs="Arial"/>
          <w:sz w:val="22"/>
          <w:szCs w:val="22"/>
        </w:rPr>
        <w:t>lower than 0.01 and observed heterozygosity</w:t>
      </w:r>
      <w:r>
        <w:rPr>
          <w:rFonts w:asciiTheme="minorHAnsi" w:hAnsiTheme="minorHAnsi" w:cs="Arial"/>
          <w:sz w:val="22"/>
          <w:szCs w:val="22"/>
        </w:rPr>
        <w:t xml:space="preserve"> higher than</w:t>
      </w:r>
      <w:r w:rsidRPr="003D2BD4">
        <w:rPr>
          <w:rFonts w:asciiTheme="minorHAnsi" w:hAnsiTheme="minorHAnsi" w:cs="Arial"/>
          <w:sz w:val="22"/>
          <w:szCs w:val="22"/>
        </w:rPr>
        <w:t xml:space="preserve"> 0.5 were filtered out. </w:t>
      </w:r>
      <w:r w:rsidRPr="00386547">
        <w:rPr>
          <w:rFonts w:asciiTheme="minorHAnsi" w:hAnsiTheme="minorHAnsi" w:cs="Arial"/>
          <w:sz w:val="22"/>
          <w:szCs w:val="22"/>
        </w:rPr>
        <w:t xml:space="preserve">The final dataset was made of 8788 polymorphic loci in a sample </w:t>
      </w:r>
      <w:r>
        <w:rPr>
          <w:rFonts w:asciiTheme="minorHAnsi" w:hAnsiTheme="minorHAnsi" w:cs="Arial"/>
          <w:sz w:val="22"/>
          <w:szCs w:val="22"/>
        </w:rPr>
        <w:t xml:space="preserve">set </w:t>
      </w:r>
      <w:r w:rsidRPr="00386547">
        <w:rPr>
          <w:rFonts w:asciiTheme="minorHAnsi" w:hAnsiTheme="minorHAnsi" w:cs="Arial"/>
          <w:sz w:val="22"/>
          <w:szCs w:val="22"/>
        </w:rPr>
        <w:t>of 300 individuals from 21 sampling sites, with 20% missing data across the whole dataset</w:t>
      </w:r>
      <w:r w:rsidRPr="00426A16">
        <w:rPr>
          <w:rFonts w:asciiTheme="minorHAnsi" w:hAnsiTheme="minorHAnsi" w:cs="Arial"/>
          <w:sz w:val="22"/>
          <w:szCs w:val="22"/>
        </w:rPr>
        <w:t>.</w:t>
      </w:r>
      <w:r w:rsidRPr="00426A16">
        <w:rPr>
          <w:rFonts w:asciiTheme="minorHAnsi" w:hAnsiTheme="minorHAnsi" w:cs="Arial"/>
          <w:i/>
          <w:sz w:val="22"/>
          <w:szCs w:val="22"/>
        </w:rPr>
        <w:t xml:space="preserve"> </w:t>
      </w:r>
      <w:r w:rsidRPr="00426A16">
        <w:rPr>
          <w:rFonts w:asciiTheme="minorHAnsi" w:hAnsiTheme="minorHAnsi" w:cs="Arial"/>
          <w:sz w:val="22"/>
          <w:szCs w:val="22"/>
        </w:rPr>
        <w:t>In addition, for selfing rates, Multi-</w:t>
      </w:r>
      <w:r w:rsidR="00D033BE">
        <w:rPr>
          <w:rFonts w:asciiTheme="minorHAnsi" w:hAnsiTheme="minorHAnsi" w:cs="Arial"/>
          <w:sz w:val="22"/>
          <w:szCs w:val="22"/>
        </w:rPr>
        <w:t>L</w:t>
      </w:r>
      <w:r w:rsidRPr="00426A16">
        <w:rPr>
          <w:rFonts w:asciiTheme="minorHAnsi" w:hAnsiTheme="minorHAnsi" w:cs="Arial"/>
          <w:sz w:val="22"/>
          <w:szCs w:val="22"/>
        </w:rPr>
        <w:t xml:space="preserve">ocus </w:t>
      </w:r>
      <w:r w:rsidR="00D033BE">
        <w:rPr>
          <w:rFonts w:asciiTheme="minorHAnsi" w:hAnsiTheme="minorHAnsi" w:cs="Arial"/>
          <w:sz w:val="22"/>
          <w:szCs w:val="22"/>
        </w:rPr>
        <w:t>G</w:t>
      </w:r>
      <w:r w:rsidRPr="00426A16">
        <w:rPr>
          <w:rFonts w:asciiTheme="minorHAnsi" w:hAnsiTheme="minorHAnsi" w:cs="Arial"/>
          <w:sz w:val="22"/>
          <w:szCs w:val="22"/>
        </w:rPr>
        <w:t>enotypes (MLGs) and genetic structure analyses (see below), we used an even more conservative dataset made of 256 individuals</w:t>
      </w:r>
      <w:r>
        <w:rPr>
          <w:rFonts w:asciiTheme="minorHAnsi" w:hAnsiTheme="minorHAnsi" w:cs="Arial"/>
          <w:sz w:val="22"/>
          <w:szCs w:val="22"/>
        </w:rPr>
        <w:t>,</w:t>
      </w:r>
      <w:r w:rsidRPr="00426A16">
        <w:rPr>
          <w:rFonts w:asciiTheme="minorHAnsi" w:hAnsiTheme="minorHAnsi" w:cs="Arial"/>
          <w:sz w:val="22"/>
          <w:szCs w:val="22"/>
        </w:rPr>
        <w:t xml:space="preserve"> </w:t>
      </w:r>
      <w:r>
        <w:rPr>
          <w:rFonts w:asciiTheme="minorHAnsi" w:hAnsiTheme="minorHAnsi" w:cs="Arial"/>
          <w:sz w:val="22"/>
          <w:szCs w:val="22"/>
        </w:rPr>
        <w:t>with</w:t>
      </w:r>
      <w:r w:rsidRPr="00426A16">
        <w:rPr>
          <w:rFonts w:asciiTheme="minorHAnsi" w:hAnsiTheme="minorHAnsi" w:cs="Arial"/>
          <w:sz w:val="22"/>
          <w:szCs w:val="22"/>
        </w:rPr>
        <w:t xml:space="preserve"> less than 10% of missing data. </w:t>
      </w:r>
      <w:r w:rsidR="00C178BC">
        <w:rPr>
          <w:rFonts w:asciiTheme="minorHAnsi" w:hAnsiTheme="minorHAnsi" w:cs="Arial"/>
          <w:sz w:val="22"/>
          <w:szCs w:val="22"/>
        </w:rPr>
        <w:t xml:space="preserve">In this conservative </w:t>
      </w:r>
      <w:r w:rsidR="00C178BC">
        <w:rPr>
          <w:rFonts w:asciiTheme="minorHAnsi" w:hAnsiTheme="minorHAnsi" w:cs="Arial"/>
          <w:sz w:val="22"/>
          <w:szCs w:val="22"/>
        </w:rPr>
        <w:lastRenderedPageBreak/>
        <w:t xml:space="preserve">dataset, </w:t>
      </w:r>
      <w:r w:rsidR="00EF1BFF">
        <w:rPr>
          <w:rFonts w:asciiTheme="minorHAnsi" w:hAnsiTheme="minorHAnsi" w:cs="Arial"/>
          <w:sz w:val="22"/>
          <w:szCs w:val="22"/>
        </w:rPr>
        <w:t xml:space="preserve">only </w:t>
      </w:r>
      <w:r w:rsidR="00C178BC">
        <w:rPr>
          <w:rFonts w:asciiTheme="minorHAnsi" w:hAnsiTheme="minorHAnsi" w:cs="Arial"/>
          <w:sz w:val="22"/>
          <w:szCs w:val="22"/>
        </w:rPr>
        <w:t xml:space="preserve">one individual from </w:t>
      </w:r>
      <w:r w:rsidR="00C178BC">
        <w:rPr>
          <w:rFonts w:asciiTheme="minorHAnsi" w:eastAsiaTheme="minorHAnsi" w:hAnsiTheme="minorHAnsi" w:cs="Arial"/>
          <w:sz w:val="22"/>
          <w:szCs w:val="22"/>
        </w:rPr>
        <w:t>the</w:t>
      </w:r>
      <w:r w:rsidR="00124724">
        <w:rPr>
          <w:rFonts w:asciiTheme="minorHAnsi" w:eastAsiaTheme="minorHAnsi" w:hAnsiTheme="minorHAnsi" w:cs="Arial"/>
          <w:sz w:val="22"/>
          <w:szCs w:val="22"/>
        </w:rPr>
        <w:t xml:space="preserve"> San Francisco – Pier 39 </w:t>
      </w:r>
      <w:r w:rsidR="00C178BC">
        <w:rPr>
          <w:rFonts w:asciiTheme="minorHAnsi" w:eastAsiaTheme="minorHAnsi" w:hAnsiTheme="minorHAnsi" w:cs="Arial"/>
          <w:sz w:val="22"/>
          <w:szCs w:val="22"/>
        </w:rPr>
        <w:t xml:space="preserve">(no. 13) </w:t>
      </w:r>
      <w:r w:rsidR="00124724">
        <w:rPr>
          <w:rFonts w:asciiTheme="minorHAnsi" w:eastAsiaTheme="minorHAnsi" w:hAnsiTheme="minorHAnsi" w:cs="Arial"/>
          <w:sz w:val="22"/>
          <w:szCs w:val="22"/>
        </w:rPr>
        <w:t xml:space="preserve">locality </w:t>
      </w:r>
      <w:r w:rsidR="00C178BC">
        <w:rPr>
          <w:rFonts w:asciiTheme="minorHAnsi" w:eastAsiaTheme="minorHAnsi" w:hAnsiTheme="minorHAnsi" w:cs="Arial"/>
          <w:sz w:val="22"/>
          <w:szCs w:val="22"/>
        </w:rPr>
        <w:t>was retained</w:t>
      </w:r>
      <w:r w:rsidR="00EF1BFF">
        <w:rPr>
          <w:rFonts w:asciiTheme="minorHAnsi" w:eastAsiaTheme="minorHAnsi" w:hAnsiTheme="minorHAnsi" w:cs="Arial"/>
          <w:sz w:val="22"/>
          <w:szCs w:val="22"/>
        </w:rPr>
        <w:t xml:space="preserve"> and</w:t>
      </w:r>
      <w:r w:rsidR="00124724">
        <w:rPr>
          <w:rFonts w:asciiTheme="minorHAnsi" w:eastAsiaTheme="minorHAnsi" w:hAnsiTheme="minorHAnsi" w:cs="Arial"/>
          <w:sz w:val="22"/>
          <w:szCs w:val="22"/>
        </w:rPr>
        <w:t xml:space="preserve"> used in individual-based analyses (i.e., MLG inferences, Bayesian clustering and Principal Component Analyses, see below).</w:t>
      </w:r>
    </w:p>
    <w:p w14:paraId="38CB442F" w14:textId="77777777" w:rsidR="00FD140A" w:rsidRPr="003D2BD4" w:rsidRDefault="00FD140A" w:rsidP="00EE38CE">
      <w:pPr>
        <w:pStyle w:val="BodyText"/>
        <w:spacing w:before="101" w:line="360" w:lineRule="auto"/>
        <w:ind w:left="0"/>
        <w:rPr>
          <w:rFonts w:asciiTheme="minorHAnsi" w:hAnsiTheme="minorHAnsi"/>
          <w:b/>
          <w:sz w:val="22"/>
          <w:szCs w:val="22"/>
        </w:rPr>
      </w:pPr>
      <w:r>
        <w:rPr>
          <w:rFonts w:asciiTheme="minorHAnsi" w:hAnsiTheme="minorHAnsi"/>
          <w:b/>
          <w:sz w:val="22"/>
          <w:szCs w:val="22"/>
        </w:rPr>
        <w:t>Genetic diversity and selfing rate estimation</w:t>
      </w:r>
    </w:p>
    <w:p w14:paraId="69039AEF" w14:textId="77777777" w:rsidR="00FD140A" w:rsidRDefault="00FD140A" w:rsidP="00EE38CE">
      <w:pPr>
        <w:pStyle w:val="BodyText"/>
        <w:spacing w:before="101" w:line="360" w:lineRule="auto"/>
        <w:ind w:left="0"/>
        <w:jc w:val="both"/>
        <w:rPr>
          <w:rFonts w:asciiTheme="minorHAnsi" w:hAnsiTheme="minorHAnsi" w:cs="Arial"/>
          <w:sz w:val="22"/>
          <w:szCs w:val="22"/>
        </w:rPr>
      </w:pPr>
      <w:r w:rsidRPr="00EE38CE">
        <w:rPr>
          <w:rFonts w:asciiTheme="minorHAnsi" w:hAnsiTheme="minorHAnsi"/>
          <w:sz w:val="22"/>
          <w:szCs w:val="22"/>
        </w:rPr>
        <w:t>Estimates</w:t>
      </w:r>
      <w:r w:rsidRPr="003D2BD4">
        <w:rPr>
          <w:rFonts w:asciiTheme="minorHAnsi" w:hAnsiTheme="minorHAnsi" w:cs="Arial"/>
          <w:sz w:val="22"/>
          <w:szCs w:val="22"/>
        </w:rPr>
        <w:t xml:space="preserve"> of gene diversity, observed heterozygosity and mean number of alleles per locus were calculated using GeneClass v2.0 </w:t>
      </w:r>
      <w:r>
        <w:rPr>
          <w:rFonts w:asciiTheme="minorHAnsi" w:hAnsiTheme="minorHAnsi" w:cs="Arial"/>
          <w:noProof/>
          <w:sz w:val="22"/>
          <w:szCs w:val="22"/>
        </w:rPr>
        <w:t>(Piry et al., 2004)</w:t>
      </w:r>
      <w:r w:rsidRPr="003D2BD4">
        <w:rPr>
          <w:rFonts w:asciiTheme="minorHAnsi" w:hAnsiTheme="minorHAnsi" w:cs="Arial"/>
          <w:sz w:val="22"/>
          <w:szCs w:val="22"/>
        </w:rPr>
        <w:t xml:space="preserve">. </w:t>
      </w:r>
      <w:r>
        <w:rPr>
          <w:rFonts w:asciiTheme="minorHAnsi" w:hAnsiTheme="minorHAnsi" w:cs="Arial"/>
          <w:noProof/>
          <w:sz w:val="22"/>
          <w:szCs w:val="22"/>
        </w:rPr>
        <w:t xml:space="preserve">Weir &amp; Cockerham </w:t>
      </w:r>
      <w:r w:rsidR="00033DFA">
        <w:rPr>
          <w:rFonts w:asciiTheme="minorHAnsi" w:hAnsiTheme="minorHAnsi" w:cs="Arial"/>
          <w:noProof/>
          <w:sz w:val="22"/>
          <w:szCs w:val="22"/>
        </w:rPr>
        <w:t>(</w:t>
      </w:r>
      <w:r>
        <w:rPr>
          <w:rFonts w:asciiTheme="minorHAnsi" w:hAnsiTheme="minorHAnsi" w:cs="Arial"/>
          <w:noProof/>
          <w:sz w:val="22"/>
          <w:szCs w:val="22"/>
        </w:rPr>
        <w:t>1984)</w:t>
      </w:r>
      <w:r w:rsidRPr="003D2BD4">
        <w:rPr>
          <w:rFonts w:asciiTheme="minorHAnsi" w:hAnsiTheme="minorHAnsi" w:cs="Arial"/>
          <w:sz w:val="22"/>
          <w:szCs w:val="22"/>
        </w:rPr>
        <w:t xml:space="preserve"> </w:t>
      </w:r>
      <w:r w:rsidRPr="003D2BD4">
        <w:rPr>
          <w:rFonts w:asciiTheme="minorHAnsi" w:hAnsiTheme="minorHAnsi" w:cs="Arial"/>
          <w:i/>
          <w:sz w:val="22"/>
          <w:szCs w:val="22"/>
        </w:rPr>
        <w:t>f</w:t>
      </w:r>
      <w:r w:rsidRPr="003D2BD4">
        <w:rPr>
          <w:rFonts w:asciiTheme="minorHAnsi" w:hAnsiTheme="minorHAnsi" w:cs="Arial"/>
          <w:sz w:val="22"/>
          <w:szCs w:val="22"/>
        </w:rPr>
        <w:t xml:space="preserve"> and </w:t>
      </w:r>
      <w:r w:rsidRPr="003D2BD4">
        <w:rPr>
          <w:rFonts w:asciiTheme="minorHAnsi" w:hAnsiTheme="minorHAnsi" w:cs="Arial"/>
          <w:i/>
          <w:sz w:val="22"/>
          <w:szCs w:val="22"/>
        </w:rPr>
        <w:t>theta</w:t>
      </w:r>
      <w:r w:rsidRPr="003D2BD4">
        <w:rPr>
          <w:rFonts w:asciiTheme="minorHAnsi" w:hAnsiTheme="minorHAnsi" w:cs="Arial"/>
          <w:sz w:val="22"/>
          <w:szCs w:val="22"/>
        </w:rPr>
        <w:t xml:space="preserve"> estimates of </w:t>
      </w:r>
      <w:r w:rsidRPr="003D2BD4">
        <w:rPr>
          <w:rFonts w:asciiTheme="minorHAnsi" w:hAnsiTheme="minorHAnsi" w:cs="Arial"/>
          <w:i/>
          <w:sz w:val="22"/>
          <w:szCs w:val="22"/>
        </w:rPr>
        <w:t>F</w:t>
      </w:r>
      <w:r w:rsidRPr="003D2BD4">
        <w:rPr>
          <w:rFonts w:asciiTheme="minorHAnsi" w:hAnsiTheme="minorHAnsi" w:cs="Arial"/>
          <w:i/>
          <w:sz w:val="22"/>
          <w:szCs w:val="22"/>
          <w:vertAlign w:val="subscript"/>
        </w:rPr>
        <w:t>is</w:t>
      </w:r>
      <w:r w:rsidRPr="003D2BD4">
        <w:rPr>
          <w:rFonts w:asciiTheme="minorHAnsi" w:hAnsiTheme="minorHAnsi" w:cs="Arial"/>
          <w:sz w:val="22"/>
          <w:szCs w:val="22"/>
        </w:rPr>
        <w:t xml:space="preserve"> and </w:t>
      </w:r>
      <w:r w:rsidRPr="003D2BD4">
        <w:rPr>
          <w:rFonts w:asciiTheme="minorHAnsi" w:hAnsiTheme="minorHAnsi" w:cs="Arial"/>
          <w:i/>
          <w:sz w:val="22"/>
          <w:szCs w:val="22"/>
        </w:rPr>
        <w:t>F</w:t>
      </w:r>
      <w:r w:rsidRPr="003D2BD4">
        <w:rPr>
          <w:rFonts w:asciiTheme="minorHAnsi" w:hAnsiTheme="minorHAnsi" w:cs="Arial"/>
          <w:i/>
          <w:sz w:val="22"/>
          <w:szCs w:val="22"/>
          <w:vertAlign w:val="subscript"/>
        </w:rPr>
        <w:t>st</w:t>
      </w:r>
      <w:r w:rsidRPr="003D2BD4">
        <w:rPr>
          <w:rFonts w:asciiTheme="minorHAnsi" w:hAnsiTheme="minorHAnsi" w:cs="Arial"/>
          <w:sz w:val="22"/>
          <w:szCs w:val="22"/>
        </w:rPr>
        <w:t xml:space="preserve"> indices were estimated with Genepop v4</w:t>
      </w:r>
      <w:r>
        <w:rPr>
          <w:rFonts w:asciiTheme="minorHAnsi" w:hAnsiTheme="minorHAnsi" w:cs="Arial"/>
          <w:sz w:val="22"/>
          <w:szCs w:val="22"/>
        </w:rPr>
        <w:t>.2.2</w:t>
      </w:r>
      <w:r w:rsidRPr="003D2BD4">
        <w:rPr>
          <w:rFonts w:asciiTheme="minorHAnsi" w:hAnsiTheme="minorHAnsi" w:cs="Arial"/>
          <w:sz w:val="22"/>
          <w:szCs w:val="22"/>
        </w:rPr>
        <w:t xml:space="preserve"> </w:t>
      </w:r>
      <w:r>
        <w:rPr>
          <w:rFonts w:asciiTheme="minorHAnsi" w:hAnsiTheme="minorHAnsi" w:cs="Arial"/>
          <w:noProof/>
          <w:sz w:val="22"/>
          <w:szCs w:val="22"/>
        </w:rPr>
        <w:t>(Rousset, 2008)</w:t>
      </w:r>
      <w:r w:rsidRPr="003D2BD4">
        <w:rPr>
          <w:rFonts w:asciiTheme="minorHAnsi" w:hAnsiTheme="minorHAnsi"/>
          <w:sz w:val="22"/>
          <w:szCs w:val="22"/>
        </w:rPr>
        <w:t xml:space="preserve"> </w:t>
      </w:r>
      <w:r w:rsidRPr="003D2BD4">
        <w:rPr>
          <w:rFonts w:asciiTheme="minorHAnsi" w:hAnsiTheme="minorHAnsi" w:cs="Arial"/>
          <w:sz w:val="22"/>
          <w:szCs w:val="22"/>
        </w:rPr>
        <w:t>and tested using G</w:t>
      </w:r>
      <w:r>
        <w:rPr>
          <w:rFonts w:asciiTheme="minorHAnsi" w:hAnsiTheme="minorHAnsi" w:cs="Arial"/>
          <w:sz w:val="22"/>
          <w:szCs w:val="22"/>
        </w:rPr>
        <w:t>-</w:t>
      </w:r>
      <w:r w:rsidRPr="003D2BD4">
        <w:rPr>
          <w:rFonts w:asciiTheme="minorHAnsi" w:hAnsiTheme="minorHAnsi" w:cs="Arial"/>
          <w:sz w:val="22"/>
          <w:szCs w:val="22"/>
        </w:rPr>
        <w:t xml:space="preserve">exact tests (MCMC parameters: 10 000 dememorisation, 100 batches, 5000 iterations). Pairs of loci in linkage disequilibrium were determined for each pair of microsatellite loci and for each population, and the null hypothesis of independence of genotypes was tested with a G-test implemented in Genepop. </w:t>
      </w:r>
    </w:p>
    <w:p w14:paraId="4A5BB730" w14:textId="77777777" w:rsidR="00FD140A" w:rsidRDefault="00FD140A" w:rsidP="00EE38CE">
      <w:pPr>
        <w:pStyle w:val="BodyText"/>
        <w:spacing w:before="101" w:line="360" w:lineRule="auto"/>
        <w:ind w:left="0" w:firstLine="709"/>
        <w:jc w:val="both"/>
        <w:rPr>
          <w:rFonts w:asciiTheme="minorHAnsi" w:hAnsiTheme="minorHAnsi" w:cs="Arial"/>
          <w:sz w:val="22"/>
          <w:szCs w:val="22"/>
        </w:rPr>
      </w:pPr>
      <w:r w:rsidRPr="00EF1BFF">
        <w:rPr>
          <w:rFonts w:asciiTheme="minorHAnsi" w:hAnsiTheme="minorHAnsi" w:cs="Arial"/>
          <w:sz w:val="22"/>
          <w:szCs w:val="22"/>
        </w:rPr>
        <w:t>The population selfing rate (</w:t>
      </w:r>
      <w:r w:rsidRPr="00EF1BFF">
        <w:rPr>
          <w:rFonts w:asciiTheme="minorHAnsi" w:hAnsiTheme="minorHAnsi" w:cs="Arial"/>
          <w:i/>
          <w:sz w:val="22"/>
          <w:szCs w:val="22"/>
        </w:rPr>
        <w:t>s</w:t>
      </w:r>
      <w:r w:rsidRPr="00EF1BFF">
        <w:rPr>
          <w:rFonts w:asciiTheme="minorHAnsi" w:hAnsiTheme="minorHAnsi" w:cs="Arial"/>
          <w:sz w:val="22"/>
          <w:szCs w:val="22"/>
        </w:rPr>
        <w:t xml:space="preserve">) was estimated from the distributions of multilocus heterozygosity in each population </w:t>
      </w:r>
      <w:r w:rsidRPr="00EF1BFF">
        <w:rPr>
          <w:rFonts w:asciiTheme="minorHAnsi" w:hAnsiTheme="minorHAnsi" w:cs="Arial"/>
          <w:noProof/>
          <w:sz w:val="22"/>
          <w:szCs w:val="22"/>
        </w:rPr>
        <w:t>(David, Pujol, Viard, Castella, &amp; Goudet, 2007)</w:t>
      </w:r>
      <w:r w:rsidRPr="00EF1BFF">
        <w:rPr>
          <w:rFonts w:asciiTheme="minorHAnsi" w:hAnsiTheme="minorHAnsi" w:cs="Arial"/>
          <w:sz w:val="22"/>
          <w:szCs w:val="22"/>
        </w:rPr>
        <w:t xml:space="preserve"> with </w:t>
      </w:r>
      <w:r w:rsidRPr="00EF1BFF">
        <w:rPr>
          <w:rFonts w:asciiTheme="minorHAnsi" w:hAnsiTheme="minorHAnsi" w:cs="Arial"/>
          <w:i/>
          <w:sz w:val="22"/>
          <w:szCs w:val="22"/>
        </w:rPr>
        <w:t>g2</w:t>
      </w:r>
      <w:r w:rsidRPr="00EF1BFF">
        <w:rPr>
          <w:rFonts w:asciiTheme="minorHAnsi" w:hAnsiTheme="minorHAnsi" w:cs="Arial"/>
          <w:sz w:val="22"/>
          <w:szCs w:val="22"/>
        </w:rPr>
        <w:t xml:space="preserve">, an estimator of the correlation of heterozygosity across loci, computed using RMES (David </w:t>
      </w:r>
      <w:r w:rsidRPr="00EF1BFF">
        <w:rPr>
          <w:rFonts w:asciiTheme="minorHAnsi" w:hAnsiTheme="minorHAnsi" w:cs="Arial"/>
          <w:i/>
          <w:sz w:val="22"/>
          <w:szCs w:val="22"/>
        </w:rPr>
        <w:t>et al</w:t>
      </w:r>
      <w:r w:rsidRPr="00EF1BFF">
        <w:rPr>
          <w:rFonts w:asciiTheme="minorHAnsi" w:hAnsiTheme="minorHAnsi" w:cs="Arial"/>
          <w:sz w:val="22"/>
          <w:szCs w:val="22"/>
        </w:rPr>
        <w:t xml:space="preserve">. 2007) for microsatellite loci and inbreedR </w:t>
      </w:r>
      <w:r w:rsidRPr="00EF1BFF">
        <w:rPr>
          <w:rFonts w:asciiTheme="minorHAnsi" w:hAnsiTheme="minorHAnsi" w:cs="Arial"/>
          <w:noProof/>
          <w:sz w:val="22"/>
          <w:szCs w:val="22"/>
        </w:rPr>
        <w:t>(Stoffel et al., 2016)</w:t>
      </w:r>
      <w:r w:rsidRPr="00EF1BFF">
        <w:rPr>
          <w:rFonts w:asciiTheme="minorHAnsi" w:hAnsiTheme="minorHAnsi" w:cs="Arial"/>
          <w:sz w:val="22"/>
          <w:szCs w:val="22"/>
        </w:rPr>
        <w:t xml:space="preserve"> for RAD-seq loci. For both markers, the selfing rate (s</w:t>
      </w:r>
      <w:r w:rsidRPr="00EF1BFF">
        <w:rPr>
          <w:rFonts w:asciiTheme="minorHAnsi" w:hAnsiTheme="minorHAnsi" w:cs="Arial"/>
          <w:sz w:val="22"/>
          <w:szCs w:val="22"/>
          <w:vertAlign w:val="subscript"/>
        </w:rPr>
        <w:t>g2</w:t>
      </w:r>
      <w:r w:rsidRPr="00EF1BFF">
        <w:rPr>
          <w:rFonts w:asciiTheme="minorHAnsi" w:hAnsiTheme="minorHAnsi" w:cs="Arial"/>
          <w:sz w:val="22"/>
          <w:szCs w:val="22"/>
        </w:rPr>
        <w:t xml:space="preserve">) was computed following the equation 9 in </w:t>
      </w:r>
      <w:r w:rsidRPr="00EF1BFF">
        <w:rPr>
          <w:rFonts w:asciiTheme="minorHAnsi" w:hAnsiTheme="minorHAnsi" w:cs="Arial"/>
          <w:noProof/>
          <w:sz w:val="22"/>
          <w:szCs w:val="22"/>
        </w:rPr>
        <w:t>(David et al., 2007)</w:t>
      </w:r>
      <w:r w:rsidRPr="00EF1BFF">
        <w:rPr>
          <w:rFonts w:asciiTheme="minorHAnsi" w:hAnsiTheme="minorHAnsi" w:cs="Arial"/>
          <w:sz w:val="22"/>
          <w:szCs w:val="22"/>
        </w:rPr>
        <w:t>.</w:t>
      </w:r>
    </w:p>
    <w:p w14:paraId="3B8F89A6" w14:textId="77777777" w:rsidR="00FD140A" w:rsidRPr="008568D2" w:rsidRDefault="00FD140A" w:rsidP="00EE38CE">
      <w:pPr>
        <w:pStyle w:val="BodyText"/>
        <w:spacing w:before="101" w:line="360" w:lineRule="auto"/>
        <w:ind w:left="0" w:firstLine="709"/>
        <w:jc w:val="both"/>
        <w:rPr>
          <w:rFonts w:asciiTheme="minorHAnsi" w:hAnsiTheme="minorHAnsi" w:cs="Arial"/>
          <w:sz w:val="22"/>
          <w:szCs w:val="22"/>
        </w:rPr>
      </w:pPr>
      <w:r>
        <w:rPr>
          <w:rFonts w:asciiTheme="minorHAnsi" w:hAnsiTheme="minorHAnsi" w:cs="Arial"/>
          <w:sz w:val="22"/>
          <w:szCs w:val="22"/>
        </w:rPr>
        <w:t>Effective recombination rates are expected to be low in the study species</w:t>
      </w:r>
      <w:r w:rsidRPr="00303108">
        <w:rPr>
          <w:rFonts w:asciiTheme="minorHAnsi" w:hAnsiTheme="minorHAnsi" w:cs="Arial"/>
          <w:sz w:val="22"/>
          <w:szCs w:val="22"/>
        </w:rPr>
        <w:t xml:space="preserve"> </w:t>
      </w:r>
      <w:r>
        <w:rPr>
          <w:rFonts w:asciiTheme="minorHAnsi" w:hAnsiTheme="minorHAnsi" w:cs="Arial"/>
          <w:sz w:val="22"/>
          <w:szCs w:val="22"/>
        </w:rPr>
        <w:t>considering the extremely high estimated selfing rates in the study populations. We thus examined the diversity and distribution of the m</w:t>
      </w:r>
      <w:r w:rsidRPr="003D2BD4">
        <w:rPr>
          <w:rFonts w:asciiTheme="minorHAnsi" w:hAnsiTheme="minorHAnsi" w:cs="Arial"/>
          <w:sz w:val="22"/>
          <w:szCs w:val="22"/>
        </w:rPr>
        <w:t>ultilocus genotype</w:t>
      </w:r>
      <w:r>
        <w:rPr>
          <w:rFonts w:asciiTheme="minorHAnsi" w:hAnsiTheme="minorHAnsi" w:cs="Arial"/>
          <w:sz w:val="22"/>
          <w:szCs w:val="22"/>
        </w:rPr>
        <w:t>s</w:t>
      </w:r>
      <w:r w:rsidRPr="003D2BD4">
        <w:rPr>
          <w:rFonts w:asciiTheme="minorHAnsi" w:hAnsiTheme="minorHAnsi" w:cs="Arial"/>
          <w:sz w:val="22"/>
          <w:szCs w:val="22"/>
        </w:rPr>
        <w:t xml:space="preserve"> (MLG) at </w:t>
      </w:r>
      <w:r>
        <w:rPr>
          <w:rFonts w:asciiTheme="minorHAnsi" w:hAnsiTheme="minorHAnsi" w:cs="Arial"/>
          <w:sz w:val="22"/>
          <w:szCs w:val="22"/>
        </w:rPr>
        <w:t xml:space="preserve">microsatellites and RAD-seq </w:t>
      </w:r>
      <w:r w:rsidRPr="003D2BD4">
        <w:rPr>
          <w:rFonts w:asciiTheme="minorHAnsi" w:hAnsiTheme="minorHAnsi" w:cs="Arial"/>
          <w:sz w:val="22"/>
          <w:szCs w:val="22"/>
        </w:rPr>
        <w:t>loci</w:t>
      </w:r>
      <w:r>
        <w:rPr>
          <w:rFonts w:asciiTheme="minorHAnsi" w:hAnsiTheme="minorHAnsi" w:cs="Arial"/>
          <w:sz w:val="22"/>
          <w:szCs w:val="22"/>
        </w:rPr>
        <w:t>. For the 14 microsatellite</w:t>
      </w:r>
      <w:r w:rsidR="00033DFA">
        <w:rPr>
          <w:rFonts w:asciiTheme="minorHAnsi" w:hAnsiTheme="minorHAnsi" w:cs="Arial"/>
          <w:sz w:val="22"/>
          <w:szCs w:val="22"/>
        </w:rPr>
        <w:t>s</w:t>
      </w:r>
      <w:r>
        <w:rPr>
          <w:rFonts w:asciiTheme="minorHAnsi" w:hAnsiTheme="minorHAnsi" w:cs="Arial"/>
          <w:sz w:val="22"/>
          <w:szCs w:val="22"/>
        </w:rPr>
        <w:t>, the analysis was straightforward and MLGs</w:t>
      </w:r>
      <w:r w:rsidRPr="003D2BD4">
        <w:rPr>
          <w:rFonts w:asciiTheme="minorHAnsi" w:hAnsiTheme="minorHAnsi" w:cs="Arial"/>
          <w:sz w:val="22"/>
          <w:szCs w:val="22"/>
        </w:rPr>
        <w:t xml:space="preserve"> were </w:t>
      </w:r>
      <w:r>
        <w:rPr>
          <w:rFonts w:asciiTheme="minorHAnsi" w:hAnsiTheme="minorHAnsi" w:cs="Arial"/>
          <w:sz w:val="22"/>
          <w:szCs w:val="22"/>
        </w:rPr>
        <w:t xml:space="preserve">directly </w:t>
      </w:r>
      <w:r w:rsidRPr="003D2BD4">
        <w:rPr>
          <w:rFonts w:asciiTheme="minorHAnsi" w:hAnsiTheme="minorHAnsi" w:cs="Arial"/>
          <w:sz w:val="22"/>
          <w:szCs w:val="22"/>
        </w:rPr>
        <w:t>compiled through the dataset and the number of private MLG per population counted. Genotypic diversity was computed by N/(N-1) (1-∑p</w:t>
      </w:r>
      <w:r w:rsidRPr="003D2BD4">
        <w:rPr>
          <w:rFonts w:asciiTheme="minorHAnsi" w:hAnsiTheme="minorHAnsi" w:cs="Arial"/>
          <w:sz w:val="22"/>
          <w:szCs w:val="22"/>
          <w:vertAlign w:val="subscript"/>
        </w:rPr>
        <w:t>i</w:t>
      </w:r>
      <w:r w:rsidRPr="003D2BD4">
        <w:rPr>
          <w:rFonts w:asciiTheme="minorHAnsi" w:hAnsiTheme="minorHAnsi" w:cs="Arial"/>
          <w:sz w:val="22"/>
          <w:szCs w:val="22"/>
          <w:vertAlign w:val="superscript"/>
        </w:rPr>
        <w:t>2</w:t>
      </w:r>
      <w:r w:rsidRPr="003D2BD4">
        <w:rPr>
          <w:rFonts w:asciiTheme="minorHAnsi" w:hAnsiTheme="minorHAnsi" w:cs="Arial"/>
          <w:sz w:val="22"/>
          <w:szCs w:val="22"/>
        </w:rPr>
        <w:t>) where p</w:t>
      </w:r>
      <w:r w:rsidRPr="003D2BD4">
        <w:rPr>
          <w:rFonts w:asciiTheme="minorHAnsi" w:hAnsiTheme="minorHAnsi" w:cs="Arial"/>
          <w:sz w:val="22"/>
          <w:szCs w:val="22"/>
          <w:vertAlign w:val="subscript"/>
        </w:rPr>
        <w:t>i</w:t>
      </w:r>
      <w:r w:rsidRPr="003D2BD4">
        <w:rPr>
          <w:rFonts w:asciiTheme="minorHAnsi" w:hAnsiTheme="minorHAnsi" w:cs="Arial"/>
          <w:sz w:val="22"/>
          <w:szCs w:val="22"/>
        </w:rPr>
        <w:t xml:space="preserve"> is the genotypic frequency of the i</w:t>
      </w:r>
      <w:r w:rsidRPr="00033DFA">
        <w:rPr>
          <w:rFonts w:asciiTheme="minorHAnsi" w:hAnsiTheme="minorHAnsi" w:cs="Arial"/>
          <w:sz w:val="22"/>
          <w:szCs w:val="22"/>
          <w:vertAlign w:val="superscript"/>
        </w:rPr>
        <w:t>th</w:t>
      </w:r>
      <w:r w:rsidRPr="003D2BD4">
        <w:rPr>
          <w:rFonts w:asciiTheme="minorHAnsi" w:hAnsiTheme="minorHAnsi" w:cs="Arial"/>
          <w:sz w:val="22"/>
          <w:szCs w:val="22"/>
        </w:rPr>
        <w:t xml:space="preserve"> genotype.</w:t>
      </w:r>
      <w:r>
        <w:rPr>
          <w:rFonts w:asciiTheme="minorHAnsi" w:hAnsiTheme="minorHAnsi" w:cs="Arial"/>
          <w:sz w:val="22"/>
          <w:szCs w:val="22"/>
        </w:rPr>
        <w:t xml:space="preserve"> For</w:t>
      </w:r>
      <w:r w:rsidRPr="00DE3F9C">
        <w:rPr>
          <w:rFonts w:asciiTheme="minorHAnsi" w:hAnsiTheme="minorHAnsi" w:cs="Arial"/>
          <w:sz w:val="22"/>
          <w:szCs w:val="22"/>
        </w:rPr>
        <w:t xml:space="preserve"> RAD</w:t>
      </w:r>
      <w:r>
        <w:rPr>
          <w:rFonts w:asciiTheme="minorHAnsi" w:hAnsiTheme="minorHAnsi" w:cs="Arial"/>
          <w:sz w:val="22"/>
          <w:szCs w:val="22"/>
        </w:rPr>
        <w:t xml:space="preserve">-seq </w:t>
      </w:r>
      <w:r w:rsidRPr="00DE3F9C">
        <w:rPr>
          <w:rFonts w:asciiTheme="minorHAnsi" w:hAnsiTheme="minorHAnsi" w:cs="Arial"/>
          <w:sz w:val="22"/>
          <w:szCs w:val="22"/>
        </w:rPr>
        <w:t>loci</w:t>
      </w:r>
      <w:r>
        <w:rPr>
          <w:rFonts w:asciiTheme="minorHAnsi" w:hAnsiTheme="minorHAnsi" w:cs="Arial"/>
          <w:sz w:val="22"/>
          <w:szCs w:val="22"/>
        </w:rPr>
        <w:t xml:space="preserve">, MLGs were clustered </w:t>
      </w:r>
      <w:r w:rsidRPr="00DE3F9C">
        <w:rPr>
          <w:rFonts w:asciiTheme="minorHAnsi" w:hAnsiTheme="minorHAnsi" w:cs="Arial"/>
          <w:sz w:val="22"/>
          <w:szCs w:val="22"/>
        </w:rPr>
        <w:t>into multilocus lineages based on the distribution of pairwise genetic distance</w:t>
      </w:r>
      <w:r w:rsidRPr="005626B9">
        <w:rPr>
          <w:rFonts w:asciiTheme="minorHAnsi" w:hAnsiTheme="minorHAnsi" w:cs="Arial"/>
          <w:sz w:val="22"/>
          <w:szCs w:val="22"/>
        </w:rPr>
        <w:t xml:space="preserve"> </w:t>
      </w:r>
      <w:r w:rsidRPr="00DE3F9C">
        <w:rPr>
          <w:rFonts w:asciiTheme="minorHAnsi" w:hAnsiTheme="minorHAnsi" w:cs="Arial"/>
          <w:sz w:val="22"/>
          <w:szCs w:val="22"/>
        </w:rPr>
        <w:t xml:space="preserve">using the R package poppr </w:t>
      </w:r>
      <w:r>
        <w:rPr>
          <w:rFonts w:asciiTheme="minorHAnsi" w:hAnsiTheme="minorHAnsi" w:cs="Arial"/>
          <w:noProof/>
          <w:sz w:val="22"/>
          <w:szCs w:val="22"/>
        </w:rPr>
        <w:t>(Kamvar, Tabima, &amp; Grünwald, 2014)</w:t>
      </w:r>
      <w:r w:rsidRPr="00DE3F9C">
        <w:rPr>
          <w:rFonts w:asciiTheme="minorHAnsi" w:hAnsiTheme="minorHAnsi" w:cs="Arial"/>
          <w:sz w:val="22"/>
          <w:szCs w:val="22"/>
        </w:rPr>
        <w:t>.</w:t>
      </w:r>
      <w:r>
        <w:rPr>
          <w:rFonts w:asciiTheme="minorHAnsi" w:hAnsiTheme="minorHAnsi" w:cs="Arial"/>
          <w:sz w:val="22"/>
          <w:szCs w:val="22"/>
        </w:rPr>
        <w:t xml:space="preserve"> A </w:t>
      </w:r>
      <w:r w:rsidRPr="00DE3F9C">
        <w:rPr>
          <w:rFonts w:asciiTheme="minorHAnsi" w:hAnsiTheme="minorHAnsi" w:cs="Arial"/>
          <w:sz w:val="22"/>
          <w:szCs w:val="22"/>
        </w:rPr>
        <w:t>cutoff threshold</w:t>
      </w:r>
      <w:r>
        <w:rPr>
          <w:rFonts w:asciiTheme="minorHAnsi" w:hAnsiTheme="minorHAnsi" w:cs="Arial"/>
          <w:sz w:val="22"/>
          <w:szCs w:val="22"/>
        </w:rPr>
        <w:t xml:space="preserve"> was defined based on the ‘</w:t>
      </w:r>
      <w:r w:rsidRPr="00B514DE">
        <w:rPr>
          <w:rFonts w:asciiTheme="minorHAnsi" w:hAnsiTheme="minorHAnsi" w:cs="Arial"/>
          <w:sz w:val="22"/>
          <w:szCs w:val="22"/>
        </w:rPr>
        <w:t>farthest neighbour</w:t>
      </w:r>
      <w:r>
        <w:rPr>
          <w:rFonts w:asciiTheme="minorHAnsi" w:hAnsiTheme="minorHAnsi" w:cs="Arial"/>
          <w:sz w:val="22"/>
          <w:szCs w:val="22"/>
        </w:rPr>
        <w:t>’</w:t>
      </w:r>
      <w:r w:rsidRPr="00B514DE">
        <w:rPr>
          <w:rFonts w:asciiTheme="minorHAnsi" w:hAnsiTheme="minorHAnsi" w:cs="Arial"/>
          <w:sz w:val="22"/>
          <w:szCs w:val="22"/>
        </w:rPr>
        <w:t xml:space="preserve"> algorithm</w:t>
      </w:r>
      <w:r>
        <w:rPr>
          <w:rFonts w:asciiTheme="minorHAnsi" w:hAnsiTheme="minorHAnsi" w:cs="Arial"/>
          <w:sz w:val="22"/>
          <w:szCs w:val="22"/>
        </w:rPr>
        <w:t xml:space="preserve"> to collapse</w:t>
      </w:r>
      <w:r w:rsidRPr="005626B9">
        <w:rPr>
          <w:rFonts w:asciiTheme="minorHAnsi" w:hAnsiTheme="minorHAnsi" w:cs="Arial"/>
          <w:sz w:val="22"/>
          <w:szCs w:val="22"/>
        </w:rPr>
        <w:t xml:space="preserve"> genotypes into the same multi-locus lineage</w:t>
      </w:r>
      <w:r w:rsidRPr="00DE3F9C">
        <w:rPr>
          <w:rFonts w:asciiTheme="minorHAnsi" w:hAnsiTheme="minorHAnsi" w:cs="Arial"/>
          <w:sz w:val="22"/>
          <w:szCs w:val="22"/>
        </w:rPr>
        <w:t>.</w:t>
      </w:r>
    </w:p>
    <w:p w14:paraId="0CA07DA6" w14:textId="77777777" w:rsidR="00FD140A" w:rsidRPr="003D2BD4" w:rsidRDefault="00FD140A" w:rsidP="00EE38CE">
      <w:pPr>
        <w:pStyle w:val="BodyText"/>
        <w:spacing w:before="101" w:line="360" w:lineRule="auto"/>
        <w:ind w:left="0"/>
        <w:rPr>
          <w:rFonts w:asciiTheme="minorHAnsi" w:hAnsiTheme="minorHAnsi" w:cs="Arial"/>
          <w:b/>
          <w:sz w:val="22"/>
          <w:szCs w:val="22"/>
        </w:rPr>
      </w:pPr>
      <w:r w:rsidRPr="00EE38CE">
        <w:rPr>
          <w:rFonts w:asciiTheme="minorHAnsi" w:hAnsiTheme="minorHAnsi"/>
          <w:b/>
          <w:sz w:val="22"/>
          <w:szCs w:val="22"/>
        </w:rPr>
        <w:t>Spatial</w:t>
      </w:r>
      <w:r w:rsidRPr="003D2BD4">
        <w:rPr>
          <w:rFonts w:asciiTheme="minorHAnsi" w:hAnsiTheme="minorHAnsi" w:cs="Arial"/>
          <w:b/>
          <w:sz w:val="22"/>
          <w:szCs w:val="22"/>
        </w:rPr>
        <w:t xml:space="preserve"> genetic structure analyses</w:t>
      </w:r>
    </w:p>
    <w:p w14:paraId="040102B4" w14:textId="069D8827" w:rsidR="00FD140A" w:rsidRPr="003D2BD4" w:rsidRDefault="00FD140A" w:rsidP="00EE38CE">
      <w:pPr>
        <w:pStyle w:val="BodyText"/>
        <w:spacing w:before="101" w:line="360" w:lineRule="auto"/>
        <w:ind w:left="0"/>
        <w:jc w:val="both"/>
        <w:rPr>
          <w:rFonts w:asciiTheme="minorHAnsi" w:hAnsiTheme="minorHAnsi" w:cs="Arial"/>
          <w:sz w:val="22"/>
          <w:szCs w:val="22"/>
        </w:rPr>
      </w:pPr>
      <w:r w:rsidRPr="003D2BD4">
        <w:rPr>
          <w:rFonts w:asciiTheme="minorHAnsi" w:hAnsiTheme="minorHAnsi" w:cs="Arial"/>
          <w:sz w:val="22"/>
          <w:szCs w:val="22"/>
        </w:rPr>
        <w:t xml:space="preserve">Genetic structure was estimated with </w:t>
      </w:r>
      <w:r>
        <w:rPr>
          <w:rFonts w:asciiTheme="minorHAnsi" w:hAnsiTheme="minorHAnsi" w:cs="Arial"/>
          <w:sz w:val="22"/>
          <w:szCs w:val="22"/>
        </w:rPr>
        <w:t>two</w:t>
      </w:r>
      <w:r w:rsidRPr="003D2BD4">
        <w:rPr>
          <w:rFonts w:asciiTheme="minorHAnsi" w:hAnsiTheme="minorHAnsi" w:cs="Arial"/>
          <w:sz w:val="22"/>
          <w:szCs w:val="22"/>
        </w:rPr>
        <w:t xml:space="preserve"> approaches: a </w:t>
      </w:r>
      <w:r>
        <w:rPr>
          <w:rFonts w:asciiTheme="minorHAnsi" w:hAnsiTheme="minorHAnsi" w:cs="Arial"/>
          <w:sz w:val="22"/>
          <w:szCs w:val="22"/>
        </w:rPr>
        <w:t xml:space="preserve">non-model based approach using a </w:t>
      </w:r>
      <w:r w:rsidRPr="003D2BD4">
        <w:rPr>
          <w:rFonts w:asciiTheme="minorHAnsi" w:hAnsiTheme="minorHAnsi" w:cs="Arial"/>
          <w:sz w:val="22"/>
          <w:szCs w:val="22"/>
        </w:rPr>
        <w:t xml:space="preserve">Principal Component Analysis (PCA), a multivariate method implemented in the package adegenet 1.4-2 </w:t>
      </w:r>
      <w:r>
        <w:rPr>
          <w:rFonts w:asciiTheme="minorHAnsi" w:hAnsiTheme="minorHAnsi" w:cs="Arial"/>
          <w:noProof/>
          <w:sz w:val="22"/>
          <w:szCs w:val="22"/>
        </w:rPr>
        <w:t>(Jombart &amp; Ahmed, 2011)</w:t>
      </w:r>
      <w:r w:rsidRPr="003D2BD4">
        <w:rPr>
          <w:rFonts w:asciiTheme="minorHAnsi" w:hAnsiTheme="minorHAnsi" w:cs="Arial"/>
          <w:sz w:val="22"/>
          <w:szCs w:val="22"/>
        </w:rPr>
        <w:t xml:space="preserve"> and a model-based clustering algorithm implemented in the InStruct software </w:t>
      </w:r>
      <w:r>
        <w:rPr>
          <w:rFonts w:asciiTheme="minorHAnsi" w:hAnsiTheme="minorHAnsi" w:cs="Arial"/>
          <w:noProof/>
          <w:sz w:val="22"/>
          <w:szCs w:val="22"/>
        </w:rPr>
        <w:t>(Gao, Williamson, &amp; Bustamante, 2007)</w:t>
      </w:r>
      <w:r w:rsidRPr="003D2BD4">
        <w:rPr>
          <w:rFonts w:asciiTheme="minorHAnsi" w:hAnsiTheme="minorHAnsi" w:cs="Arial"/>
          <w:sz w:val="22"/>
          <w:szCs w:val="22"/>
        </w:rPr>
        <w:t xml:space="preserve"> to test individual admixture proportions and the correspondence of genetic clusters with the sampled populations. InStruct is extending the model implemented in STRUCTURE </w:t>
      </w:r>
      <w:r>
        <w:rPr>
          <w:rFonts w:asciiTheme="minorHAnsi" w:hAnsiTheme="minorHAnsi" w:cs="Arial"/>
          <w:noProof/>
          <w:sz w:val="22"/>
          <w:szCs w:val="22"/>
        </w:rPr>
        <w:t>(Pritchard, Stephens, &amp; Donnelly, 2000)</w:t>
      </w:r>
      <w:r w:rsidRPr="003D2BD4">
        <w:rPr>
          <w:rFonts w:asciiTheme="minorHAnsi" w:hAnsiTheme="minorHAnsi" w:cs="Arial"/>
          <w:sz w:val="22"/>
          <w:szCs w:val="22"/>
        </w:rPr>
        <w:t xml:space="preserve"> by releasing the assumption of Hardy-Weinberg equilibrium within cluster</w:t>
      </w:r>
      <w:r>
        <w:rPr>
          <w:rFonts w:asciiTheme="minorHAnsi" w:hAnsiTheme="minorHAnsi" w:cs="Arial"/>
          <w:sz w:val="22"/>
          <w:szCs w:val="22"/>
        </w:rPr>
        <w:t>s</w:t>
      </w:r>
      <w:r w:rsidRPr="003D2BD4">
        <w:rPr>
          <w:rFonts w:asciiTheme="minorHAnsi" w:hAnsiTheme="minorHAnsi" w:cs="Arial"/>
          <w:sz w:val="22"/>
          <w:szCs w:val="22"/>
        </w:rPr>
        <w:t xml:space="preserve">, mandatory here considering the variable and sometimes high selfing-rates observed in the study populations. InStruct simultaneously estimates selfing rates </w:t>
      </w:r>
      <w:r w:rsidRPr="003D2BD4">
        <w:rPr>
          <w:rFonts w:asciiTheme="minorHAnsi" w:hAnsiTheme="minorHAnsi" w:cs="Arial"/>
          <w:sz w:val="22"/>
          <w:szCs w:val="22"/>
        </w:rPr>
        <w:lastRenderedPageBreak/>
        <w:t xml:space="preserve">and assigns individuals to one of K genetic clusters without </w:t>
      </w:r>
      <w:r w:rsidRPr="003D2BD4">
        <w:rPr>
          <w:rFonts w:asciiTheme="minorHAnsi" w:hAnsiTheme="minorHAnsi" w:cs="Arial"/>
          <w:i/>
          <w:sz w:val="22"/>
          <w:szCs w:val="22"/>
        </w:rPr>
        <w:t>a priori</w:t>
      </w:r>
      <w:r w:rsidRPr="003D2BD4">
        <w:rPr>
          <w:rFonts w:asciiTheme="minorHAnsi" w:hAnsiTheme="minorHAnsi" w:cs="Arial"/>
          <w:sz w:val="22"/>
          <w:szCs w:val="22"/>
        </w:rPr>
        <w:t xml:space="preserve"> </w:t>
      </w:r>
      <w:r>
        <w:rPr>
          <w:rFonts w:asciiTheme="minorHAnsi" w:hAnsiTheme="minorHAnsi" w:cs="Arial"/>
          <w:sz w:val="22"/>
          <w:szCs w:val="22"/>
        </w:rPr>
        <w:t xml:space="preserve">grouping of the individuals in </w:t>
      </w:r>
      <w:r w:rsidRPr="003D2BD4">
        <w:rPr>
          <w:rFonts w:asciiTheme="minorHAnsi" w:hAnsiTheme="minorHAnsi" w:cs="Arial"/>
          <w:sz w:val="22"/>
          <w:szCs w:val="22"/>
        </w:rPr>
        <w:t>populations (</w:t>
      </w:r>
      <w:r w:rsidR="00713B8B">
        <w:rPr>
          <w:rFonts w:asciiTheme="minorHAnsi" w:hAnsiTheme="minorHAnsi" w:cs="Arial"/>
          <w:sz w:val="22"/>
          <w:szCs w:val="22"/>
        </w:rPr>
        <w:t>five</w:t>
      </w:r>
      <w:r w:rsidRPr="003D2BD4">
        <w:rPr>
          <w:rFonts w:asciiTheme="minorHAnsi" w:hAnsiTheme="minorHAnsi" w:cs="Arial"/>
          <w:sz w:val="22"/>
          <w:szCs w:val="22"/>
        </w:rPr>
        <w:t xml:space="preserve"> independent runs for each K, 50 000 burn-in steps,</w:t>
      </w:r>
      <w:r>
        <w:rPr>
          <w:rFonts w:asciiTheme="minorHAnsi" w:hAnsiTheme="minorHAnsi" w:cs="Arial"/>
          <w:sz w:val="22"/>
          <w:szCs w:val="22"/>
        </w:rPr>
        <w:t xml:space="preserve"> </w:t>
      </w:r>
      <w:r w:rsidRPr="003D2BD4">
        <w:rPr>
          <w:rFonts w:asciiTheme="minorHAnsi" w:hAnsiTheme="minorHAnsi" w:cs="Arial"/>
          <w:sz w:val="22"/>
          <w:szCs w:val="22"/>
        </w:rPr>
        <w:t xml:space="preserve">100 000 MCMC steps). The best value for the number of cluster K was determined by the Deviance Information Criteria (DIC). Graphical output </w:t>
      </w:r>
      <w:r>
        <w:rPr>
          <w:rFonts w:asciiTheme="minorHAnsi" w:hAnsiTheme="minorHAnsi" w:cs="Arial"/>
          <w:sz w:val="22"/>
          <w:szCs w:val="22"/>
        </w:rPr>
        <w:t>was</w:t>
      </w:r>
      <w:r w:rsidRPr="003D2BD4">
        <w:rPr>
          <w:rFonts w:asciiTheme="minorHAnsi" w:hAnsiTheme="minorHAnsi" w:cs="Arial"/>
          <w:sz w:val="22"/>
          <w:szCs w:val="22"/>
        </w:rPr>
        <w:t xml:space="preserve"> obtained using CLUMPAK.</w:t>
      </w:r>
    </w:p>
    <w:p w14:paraId="35D16C1D" w14:textId="77777777" w:rsidR="00FD140A" w:rsidRPr="003D2BD4" w:rsidRDefault="00471F83" w:rsidP="00EE38CE">
      <w:pPr>
        <w:pStyle w:val="Heading1"/>
        <w:keepNext/>
        <w:spacing w:line="360" w:lineRule="auto"/>
        <w:jc w:val="both"/>
        <w:rPr>
          <w:rFonts w:asciiTheme="minorHAnsi" w:hAnsiTheme="minorHAnsi"/>
          <w:sz w:val="22"/>
          <w:szCs w:val="22"/>
          <w:lang w:val="en-US"/>
        </w:rPr>
      </w:pPr>
      <w:r w:rsidRPr="003D2BD4">
        <w:rPr>
          <w:rFonts w:asciiTheme="minorHAnsi" w:hAnsiTheme="minorHAnsi"/>
          <w:sz w:val="22"/>
          <w:szCs w:val="22"/>
          <w:lang w:val="en-US"/>
        </w:rPr>
        <w:t>RESULT</w:t>
      </w:r>
      <w:r>
        <w:rPr>
          <w:rFonts w:asciiTheme="minorHAnsi" w:hAnsiTheme="minorHAnsi"/>
          <w:sz w:val="22"/>
          <w:szCs w:val="22"/>
          <w:lang w:val="en-US"/>
        </w:rPr>
        <w:t>S</w:t>
      </w:r>
    </w:p>
    <w:p w14:paraId="3E2D5B45" w14:textId="77777777" w:rsidR="00FD140A" w:rsidRPr="003D2BD4" w:rsidRDefault="00FD140A" w:rsidP="00EE38CE">
      <w:pPr>
        <w:keepNext/>
        <w:spacing w:line="360" w:lineRule="auto"/>
        <w:jc w:val="both"/>
        <w:rPr>
          <w:b/>
        </w:rPr>
      </w:pPr>
      <w:r w:rsidRPr="003D2BD4">
        <w:rPr>
          <w:b/>
        </w:rPr>
        <w:t>Microsatellite diversity</w:t>
      </w:r>
    </w:p>
    <w:p w14:paraId="6D132B86" w14:textId="77777777" w:rsidR="00FD140A" w:rsidRPr="003D2BD4" w:rsidRDefault="00FD140A" w:rsidP="00EE38CE">
      <w:pPr>
        <w:pStyle w:val="BodyText"/>
        <w:spacing w:before="101" w:line="360" w:lineRule="auto"/>
        <w:ind w:left="0"/>
        <w:jc w:val="both"/>
        <w:rPr>
          <w:rFonts w:asciiTheme="minorHAnsi" w:hAnsiTheme="minorHAnsi" w:cs="Arial"/>
          <w:sz w:val="22"/>
          <w:szCs w:val="22"/>
        </w:rPr>
      </w:pPr>
      <w:r w:rsidRPr="003D2BD4">
        <w:rPr>
          <w:rFonts w:asciiTheme="minorHAnsi" w:hAnsiTheme="minorHAnsi" w:cs="Arial"/>
          <w:sz w:val="22"/>
          <w:szCs w:val="22"/>
        </w:rPr>
        <w:t xml:space="preserve">In the native range, </w:t>
      </w:r>
      <w:r>
        <w:rPr>
          <w:rFonts w:asciiTheme="minorHAnsi" w:hAnsiTheme="minorHAnsi" w:cs="Arial"/>
          <w:sz w:val="22"/>
          <w:szCs w:val="22"/>
        </w:rPr>
        <w:t>the 14 microsatellite loci displayed two to three alleles each, and m</w:t>
      </w:r>
      <w:r w:rsidRPr="003D2BD4">
        <w:rPr>
          <w:rFonts w:asciiTheme="minorHAnsi" w:hAnsiTheme="minorHAnsi" w:cs="Arial"/>
          <w:sz w:val="22"/>
          <w:szCs w:val="22"/>
        </w:rPr>
        <w:t>oderate genetic diversity within population</w:t>
      </w:r>
      <w:r>
        <w:rPr>
          <w:rFonts w:asciiTheme="minorHAnsi" w:hAnsiTheme="minorHAnsi" w:cs="Arial"/>
          <w:sz w:val="22"/>
          <w:szCs w:val="22"/>
        </w:rPr>
        <w:t>s</w:t>
      </w:r>
      <w:r w:rsidRPr="003D2BD4">
        <w:rPr>
          <w:rFonts w:asciiTheme="minorHAnsi" w:hAnsiTheme="minorHAnsi" w:cs="Arial"/>
          <w:sz w:val="22"/>
          <w:szCs w:val="22"/>
        </w:rPr>
        <w:t xml:space="preserve"> (e.g.</w:t>
      </w:r>
      <w:r>
        <w:rPr>
          <w:rFonts w:asciiTheme="minorHAnsi" w:hAnsiTheme="minorHAnsi" w:cs="Arial"/>
          <w:sz w:val="22"/>
          <w:szCs w:val="22"/>
        </w:rPr>
        <w:t>,</w:t>
      </w:r>
      <w:r w:rsidRPr="003D2BD4">
        <w:rPr>
          <w:rFonts w:asciiTheme="minorHAnsi" w:hAnsiTheme="minorHAnsi" w:cs="Arial"/>
          <w:sz w:val="22"/>
          <w:szCs w:val="22"/>
        </w:rPr>
        <w:t xml:space="preserve"> He&lt;0.3; Table S</w:t>
      </w:r>
      <w:r>
        <w:rPr>
          <w:rFonts w:asciiTheme="minorHAnsi" w:hAnsiTheme="minorHAnsi" w:cs="Arial"/>
          <w:sz w:val="22"/>
          <w:szCs w:val="22"/>
        </w:rPr>
        <w:t>3) together with</w:t>
      </w:r>
      <w:r w:rsidRPr="003D2BD4">
        <w:rPr>
          <w:rFonts w:asciiTheme="minorHAnsi" w:hAnsiTheme="minorHAnsi" w:cs="Arial"/>
          <w:sz w:val="22"/>
          <w:szCs w:val="22"/>
        </w:rPr>
        <w:t xml:space="preserve"> high genetic structure among populations </w:t>
      </w:r>
      <w:r>
        <w:rPr>
          <w:rFonts w:asciiTheme="minorHAnsi" w:hAnsiTheme="minorHAnsi" w:cs="Arial"/>
          <w:sz w:val="22"/>
          <w:szCs w:val="22"/>
        </w:rPr>
        <w:t xml:space="preserve">(e.g., </w:t>
      </w:r>
      <w:r w:rsidRPr="003D2BD4">
        <w:rPr>
          <w:rFonts w:asciiTheme="minorHAnsi" w:hAnsiTheme="minorHAnsi" w:cs="Arial"/>
          <w:sz w:val="22"/>
          <w:szCs w:val="22"/>
        </w:rPr>
        <w:t>global Fst=0.72, P</w:t>
      </w:r>
      <w:r w:rsidRPr="00CC04E2">
        <w:rPr>
          <w:rFonts w:asciiTheme="minorHAnsi" w:hAnsiTheme="minorHAnsi" w:cs="Arial"/>
          <w:sz w:val="22"/>
          <w:szCs w:val="22"/>
          <w:vertAlign w:val="subscript"/>
        </w:rPr>
        <w:t>exact test</w:t>
      </w:r>
      <w:r w:rsidRPr="003D2BD4">
        <w:rPr>
          <w:rFonts w:asciiTheme="minorHAnsi" w:hAnsiTheme="minorHAnsi" w:cs="Arial"/>
          <w:sz w:val="22"/>
          <w:szCs w:val="22"/>
        </w:rPr>
        <w:t>&lt;10</w:t>
      </w:r>
      <w:r w:rsidRPr="00CC04E2">
        <w:rPr>
          <w:rFonts w:asciiTheme="minorHAnsi" w:hAnsiTheme="minorHAnsi" w:cs="Arial"/>
          <w:sz w:val="22"/>
          <w:szCs w:val="22"/>
          <w:vertAlign w:val="superscript"/>
        </w:rPr>
        <w:t>-5</w:t>
      </w:r>
      <w:r w:rsidRPr="003D2BD4">
        <w:rPr>
          <w:rFonts w:asciiTheme="minorHAnsi" w:hAnsiTheme="minorHAnsi" w:cs="Arial"/>
          <w:sz w:val="22"/>
          <w:szCs w:val="22"/>
        </w:rPr>
        <w:t xml:space="preserve">; Table S4 for population pairwise values). Sixty multi-locus genotypes (MLGs) were detected among the 220 individuals screened in the native range (Fig. </w:t>
      </w:r>
      <w:r>
        <w:rPr>
          <w:rFonts w:asciiTheme="minorHAnsi" w:hAnsiTheme="minorHAnsi" w:cs="Arial"/>
          <w:sz w:val="22"/>
          <w:szCs w:val="22"/>
        </w:rPr>
        <w:t>1</w:t>
      </w:r>
      <w:r w:rsidRPr="00713B8B">
        <w:rPr>
          <w:rFonts w:asciiTheme="minorHAnsi" w:hAnsiTheme="minorHAnsi" w:cs="Arial"/>
          <w:sz w:val="22"/>
          <w:szCs w:val="22"/>
        </w:rPr>
        <w:t>), most of them private to one population</w:t>
      </w:r>
      <w:r w:rsidRPr="003D2BD4">
        <w:rPr>
          <w:rFonts w:asciiTheme="minorHAnsi" w:hAnsiTheme="minorHAnsi" w:cs="Arial"/>
          <w:sz w:val="22"/>
          <w:szCs w:val="22"/>
        </w:rPr>
        <w:t xml:space="preserve"> (Table </w:t>
      </w:r>
      <w:r>
        <w:rPr>
          <w:rFonts w:asciiTheme="minorHAnsi" w:hAnsiTheme="minorHAnsi" w:cs="Arial"/>
          <w:sz w:val="22"/>
          <w:szCs w:val="22"/>
        </w:rPr>
        <w:t>S3</w:t>
      </w:r>
      <w:r w:rsidRPr="003D2BD4">
        <w:rPr>
          <w:rFonts w:asciiTheme="minorHAnsi" w:hAnsiTheme="minorHAnsi" w:cs="Arial"/>
          <w:sz w:val="22"/>
          <w:szCs w:val="22"/>
        </w:rPr>
        <w:t>). Estimated selfing rates were</w:t>
      </w:r>
      <w:r>
        <w:rPr>
          <w:rFonts w:asciiTheme="minorHAnsi" w:hAnsiTheme="minorHAnsi" w:cs="Arial"/>
          <w:sz w:val="22"/>
          <w:szCs w:val="22"/>
        </w:rPr>
        <w:t xml:space="preserve"> very</w:t>
      </w:r>
      <w:r w:rsidRPr="003D2BD4">
        <w:rPr>
          <w:rFonts w:asciiTheme="minorHAnsi" w:hAnsiTheme="minorHAnsi" w:cs="Arial"/>
          <w:sz w:val="22"/>
          <w:szCs w:val="22"/>
        </w:rPr>
        <w:t xml:space="preserve"> high </w:t>
      </w:r>
      <w:r>
        <w:rPr>
          <w:rFonts w:asciiTheme="minorHAnsi" w:hAnsiTheme="minorHAnsi" w:cs="Arial"/>
          <w:sz w:val="22"/>
          <w:szCs w:val="22"/>
        </w:rPr>
        <w:t xml:space="preserve">(above 0.76 in four native populations, Table S2). The selfing rate was, however, not different from zero in three populations, namely Oshima, </w:t>
      </w:r>
      <w:r w:rsidRPr="00CC04E2">
        <w:rPr>
          <w:rFonts w:asciiTheme="minorHAnsi" w:hAnsiTheme="minorHAnsi" w:cs="Arial"/>
          <w:sz w:val="22"/>
          <w:szCs w:val="22"/>
        </w:rPr>
        <w:t xml:space="preserve">Kashikojima </w:t>
      </w:r>
      <w:r>
        <w:rPr>
          <w:rFonts w:asciiTheme="minorHAnsi" w:hAnsiTheme="minorHAnsi" w:cs="Arial"/>
          <w:sz w:val="22"/>
          <w:szCs w:val="22"/>
        </w:rPr>
        <w:t xml:space="preserve">and </w:t>
      </w:r>
      <w:r w:rsidRPr="00CC04E2">
        <w:rPr>
          <w:rFonts w:asciiTheme="minorHAnsi" w:hAnsiTheme="minorHAnsi" w:cs="Arial"/>
          <w:sz w:val="22"/>
          <w:szCs w:val="22"/>
        </w:rPr>
        <w:t>Inhoshima</w:t>
      </w:r>
      <w:r w:rsidRPr="003D2BD4">
        <w:rPr>
          <w:rFonts w:asciiTheme="minorHAnsi" w:hAnsiTheme="minorHAnsi" w:cs="Arial"/>
          <w:sz w:val="22"/>
          <w:szCs w:val="22"/>
        </w:rPr>
        <w:t xml:space="preserve"> </w:t>
      </w:r>
      <w:r>
        <w:rPr>
          <w:rFonts w:asciiTheme="minorHAnsi" w:hAnsiTheme="minorHAnsi" w:cs="Arial"/>
          <w:sz w:val="22"/>
          <w:szCs w:val="22"/>
        </w:rPr>
        <w:t xml:space="preserve">(no. 2, 3 and 4 in Fig. 1, respectively) </w:t>
      </w:r>
      <w:r w:rsidRPr="003D2BD4">
        <w:rPr>
          <w:rFonts w:asciiTheme="minorHAnsi" w:hAnsiTheme="minorHAnsi" w:cs="Arial"/>
          <w:sz w:val="22"/>
          <w:szCs w:val="22"/>
        </w:rPr>
        <w:t>(Table S</w:t>
      </w:r>
      <w:r>
        <w:rPr>
          <w:rFonts w:asciiTheme="minorHAnsi" w:hAnsiTheme="minorHAnsi" w:cs="Arial"/>
          <w:sz w:val="22"/>
          <w:szCs w:val="22"/>
        </w:rPr>
        <w:t>3</w:t>
      </w:r>
      <w:r w:rsidRPr="003D2BD4">
        <w:rPr>
          <w:rFonts w:asciiTheme="minorHAnsi" w:hAnsiTheme="minorHAnsi" w:cs="Arial"/>
          <w:sz w:val="22"/>
          <w:szCs w:val="22"/>
        </w:rPr>
        <w:t>).</w:t>
      </w:r>
    </w:p>
    <w:p w14:paraId="13799C22" w14:textId="3ABFEFCF" w:rsidR="00FD140A" w:rsidRPr="003D2BD4" w:rsidRDefault="00FD140A" w:rsidP="00EE38CE">
      <w:pPr>
        <w:pStyle w:val="BodyText"/>
        <w:spacing w:before="101" w:line="360" w:lineRule="auto"/>
        <w:ind w:left="0" w:firstLine="709"/>
        <w:jc w:val="both"/>
        <w:rPr>
          <w:rFonts w:asciiTheme="minorHAnsi" w:hAnsiTheme="minorHAnsi" w:cs="Arial"/>
          <w:sz w:val="22"/>
          <w:szCs w:val="22"/>
        </w:rPr>
      </w:pPr>
      <w:r w:rsidRPr="003D2BD4">
        <w:rPr>
          <w:rFonts w:asciiTheme="minorHAnsi" w:hAnsiTheme="minorHAnsi" w:cs="Arial"/>
          <w:sz w:val="22"/>
          <w:szCs w:val="22"/>
        </w:rPr>
        <w:t xml:space="preserve">In </w:t>
      </w:r>
      <w:r>
        <w:rPr>
          <w:rFonts w:asciiTheme="minorHAnsi" w:hAnsiTheme="minorHAnsi" w:cs="Arial"/>
          <w:sz w:val="22"/>
          <w:szCs w:val="22"/>
        </w:rPr>
        <w:t>sharp</w:t>
      </w:r>
      <w:r w:rsidRPr="003D2BD4">
        <w:rPr>
          <w:rFonts w:asciiTheme="minorHAnsi" w:hAnsiTheme="minorHAnsi" w:cs="Arial"/>
          <w:sz w:val="22"/>
          <w:szCs w:val="22"/>
        </w:rPr>
        <w:t xml:space="preserve"> contrast with the native range, </w:t>
      </w:r>
      <w:r>
        <w:rPr>
          <w:rFonts w:asciiTheme="minorHAnsi" w:hAnsiTheme="minorHAnsi" w:cs="Arial"/>
          <w:sz w:val="22"/>
          <w:szCs w:val="22"/>
        </w:rPr>
        <w:t xml:space="preserve">no genetic diversity was observed across the entire introduced range: </w:t>
      </w:r>
      <w:r w:rsidRPr="003D2BD4">
        <w:rPr>
          <w:rFonts w:asciiTheme="minorHAnsi" w:hAnsiTheme="minorHAnsi" w:cs="Arial"/>
          <w:sz w:val="22"/>
          <w:szCs w:val="22"/>
        </w:rPr>
        <w:t xml:space="preserve">all of </w:t>
      </w:r>
      <w:r w:rsidRPr="00A36B38">
        <w:rPr>
          <w:rFonts w:asciiTheme="minorHAnsi" w:hAnsiTheme="minorHAnsi" w:cs="Arial"/>
          <w:sz w:val="22"/>
          <w:szCs w:val="22"/>
        </w:rPr>
        <w:t>the 1269 individuals shared the same MLG (G01 in Fig. 1, Table S3). This</w:t>
      </w:r>
      <w:r w:rsidRPr="003D2BD4">
        <w:rPr>
          <w:rFonts w:asciiTheme="minorHAnsi" w:hAnsiTheme="minorHAnsi" w:cs="Arial"/>
          <w:sz w:val="22"/>
          <w:szCs w:val="22"/>
        </w:rPr>
        <w:t xml:space="preserve"> unique MLG was detected in only one population in the native range (</w:t>
      </w:r>
      <w:r>
        <w:rPr>
          <w:rFonts w:asciiTheme="minorHAnsi" w:hAnsiTheme="minorHAnsi" w:cs="Arial"/>
          <w:sz w:val="22"/>
          <w:szCs w:val="22"/>
        </w:rPr>
        <w:t>no. 6 (Anan) in Fig. 1, Table S3</w:t>
      </w:r>
      <w:r w:rsidRPr="003D2BD4">
        <w:rPr>
          <w:rFonts w:asciiTheme="minorHAnsi" w:hAnsiTheme="minorHAnsi" w:cs="Arial"/>
          <w:sz w:val="22"/>
          <w:szCs w:val="22"/>
        </w:rPr>
        <w:t xml:space="preserve">) in </w:t>
      </w:r>
      <w:r>
        <w:rPr>
          <w:rFonts w:asciiTheme="minorHAnsi" w:hAnsiTheme="minorHAnsi" w:cs="Arial"/>
          <w:sz w:val="22"/>
          <w:szCs w:val="22"/>
        </w:rPr>
        <w:t xml:space="preserve">a </w:t>
      </w:r>
      <w:r w:rsidRPr="003D2BD4">
        <w:rPr>
          <w:rFonts w:asciiTheme="minorHAnsi" w:hAnsiTheme="minorHAnsi" w:cs="Arial"/>
          <w:sz w:val="22"/>
          <w:szCs w:val="22"/>
        </w:rPr>
        <w:t xml:space="preserve">large proportion (42%). The lack of polymorphism at the microsatellite loci in the </w:t>
      </w:r>
      <w:r>
        <w:rPr>
          <w:rFonts w:asciiTheme="minorHAnsi" w:hAnsiTheme="minorHAnsi" w:cs="Arial"/>
          <w:sz w:val="22"/>
          <w:szCs w:val="22"/>
        </w:rPr>
        <w:t>NE Pacific</w:t>
      </w:r>
      <w:r w:rsidRPr="003D2BD4">
        <w:rPr>
          <w:rFonts w:asciiTheme="minorHAnsi" w:hAnsiTheme="minorHAnsi" w:cs="Arial"/>
          <w:sz w:val="22"/>
          <w:szCs w:val="22"/>
        </w:rPr>
        <w:t xml:space="preserve"> and </w:t>
      </w:r>
      <w:r>
        <w:rPr>
          <w:rFonts w:asciiTheme="minorHAnsi" w:hAnsiTheme="minorHAnsi" w:cs="Arial"/>
          <w:sz w:val="22"/>
          <w:szCs w:val="22"/>
        </w:rPr>
        <w:t>NE Atlantic</w:t>
      </w:r>
      <w:r w:rsidRPr="003D2BD4">
        <w:rPr>
          <w:rFonts w:asciiTheme="minorHAnsi" w:hAnsiTheme="minorHAnsi" w:cs="Arial"/>
          <w:sz w:val="22"/>
          <w:szCs w:val="22"/>
        </w:rPr>
        <w:t xml:space="preserve"> invasive ranges prevented further analyses, in particular of selfing rates and genetic structure among introduced populations.</w:t>
      </w:r>
    </w:p>
    <w:p w14:paraId="3B677FEC" w14:textId="77777777" w:rsidR="00FD140A" w:rsidRDefault="00FD140A" w:rsidP="00EE38CE">
      <w:pPr>
        <w:spacing w:line="360" w:lineRule="auto"/>
        <w:ind w:firstLine="709"/>
        <w:rPr>
          <w:b/>
          <w:iCs/>
        </w:rPr>
      </w:pPr>
    </w:p>
    <w:p w14:paraId="0CA343B9" w14:textId="77777777" w:rsidR="00FD140A" w:rsidRPr="00EB7E73" w:rsidRDefault="00FD140A" w:rsidP="00EE38CE">
      <w:pPr>
        <w:spacing w:line="360" w:lineRule="auto"/>
        <w:rPr>
          <w:b/>
          <w:iCs/>
        </w:rPr>
      </w:pPr>
      <w:r w:rsidRPr="00EB7E73">
        <w:rPr>
          <w:b/>
          <w:iCs/>
        </w:rPr>
        <w:t>Genome-wide diversity</w:t>
      </w:r>
      <w:r>
        <w:rPr>
          <w:b/>
          <w:iCs/>
        </w:rPr>
        <w:t xml:space="preserve"> in native vs. introduced ranges</w:t>
      </w:r>
    </w:p>
    <w:p w14:paraId="6E69D284" w14:textId="77777777" w:rsidR="00FD140A" w:rsidRPr="00424474" w:rsidRDefault="00FD140A" w:rsidP="00EE38CE">
      <w:pPr>
        <w:pStyle w:val="BodyText"/>
        <w:spacing w:before="101" w:line="360" w:lineRule="auto"/>
        <w:ind w:left="0"/>
        <w:jc w:val="both"/>
        <w:rPr>
          <w:rFonts w:asciiTheme="minorHAnsi" w:hAnsiTheme="minorHAnsi" w:cs="Arial"/>
          <w:sz w:val="22"/>
          <w:szCs w:val="22"/>
        </w:rPr>
      </w:pPr>
      <w:r w:rsidRPr="003D2BD4">
        <w:rPr>
          <w:rFonts w:asciiTheme="minorHAnsi" w:hAnsiTheme="minorHAnsi" w:cs="Arial"/>
          <w:sz w:val="22"/>
          <w:szCs w:val="22"/>
        </w:rPr>
        <w:t xml:space="preserve">Stringent filtering steps were applied to avoid false polymorphism detection and resulted in 8788 </w:t>
      </w:r>
      <w:r>
        <w:rPr>
          <w:rFonts w:asciiTheme="minorHAnsi" w:hAnsiTheme="minorHAnsi" w:cs="Arial"/>
          <w:sz w:val="22"/>
          <w:szCs w:val="22"/>
        </w:rPr>
        <w:t xml:space="preserve">polymorphic </w:t>
      </w:r>
      <w:r w:rsidRPr="003D2BD4">
        <w:rPr>
          <w:rFonts w:asciiTheme="minorHAnsi" w:hAnsiTheme="minorHAnsi" w:cs="Arial"/>
          <w:sz w:val="22"/>
          <w:szCs w:val="22"/>
        </w:rPr>
        <w:t>RAD</w:t>
      </w:r>
      <w:r>
        <w:rPr>
          <w:rFonts w:asciiTheme="minorHAnsi" w:hAnsiTheme="minorHAnsi" w:cs="Arial"/>
          <w:sz w:val="22"/>
          <w:szCs w:val="22"/>
        </w:rPr>
        <w:t>-seq</w:t>
      </w:r>
      <w:r w:rsidRPr="003D2BD4">
        <w:rPr>
          <w:rFonts w:asciiTheme="minorHAnsi" w:hAnsiTheme="minorHAnsi" w:cs="Arial"/>
          <w:sz w:val="22"/>
          <w:szCs w:val="22"/>
        </w:rPr>
        <w:t xml:space="preserve"> loci genotyped in 30</w:t>
      </w:r>
      <w:r>
        <w:rPr>
          <w:rFonts w:asciiTheme="minorHAnsi" w:hAnsiTheme="minorHAnsi" w:cs="Arial"/>
          <w:sz w:val="22"/>
          <w:szCs w:val="22"/>
        </w:rPr>
        <w:t>0</w:t>
      </w:r>
      <w:r w:rsidRPr="003D2BD4">
        <w:rPr>
          <w:rFonts w:asciiTheme="minorHAnsi" w:hAnsiTheme="minorHAnsi" w:cs="Arial"/>
          <w:sz w:val="22"/>
          <w:szCs w:val="22"/>
        </w:rPr>
        <w:t xml:space="preserve"> individuals. Polymorphism was successfully detected </w:t>
      </w:r>
      <w:r>
        <w:rPr>
          <w:rFonts w:asciiTheme="minorHAnsi" w:hAnsiTheme="minorHAnsi" w:cs="Arial"/>
          <w:sz w:val="22"/>
          <w:szCs w:val="22"/>
        </w:rPr>
        <w:t>with this marker panel for both native and introduced populations.</w:t>
      </w:r>
      <w:r w:rsidRPr="00E7529E">
        <w:rPr>
          <w:rFonts w:asciiTheme="minorHAnsi" w:hAnsiTheme="minorHAnsi" w:cs="Arial"/>
          <w:sz w:val="22"/>
          <w:szCs w:val="22"/>
        </w:rPr>
        <w:t xml:space="preserve"> </w:t>
      </w:r>
      <w:r>
        <w:rPr>
          <w:rFonts w:asciiTheme="minorHAnsi" w:hAnsiTheme="minorHAnsi" w:cs="Arial"/>
          <w:sz w:val="22"/>
          <w:szCs w:val="22"/>
        </w:rPr>
        <w:t xml:space="preserve">The genetic diversity was however much </w:t>
      </w:r>
      <w:r w:rsidRPr="00E7529E">
        <w:rPr>
          <w:rFonts w:asciiTheme="minorHAnsi" w:hAnsiTheme="minorHAnsi" w:cs="Arial"/>
          <w:sz w:val="22"/>
          <w:szCs w:val="22"/>
        </w:rPr>
        <w:t>higher</w:t>
      </w:r>
      <w:r>
        <w:rPr>
          <w:rFonts w:asciiTheme="minorHAnsi" w:hAnsiTheme="minorHAnsi" w:cs="Arial"/>
          <w:sz w:val="22"/>
          <w:szCs w:val="22"/>
        </w:rPr>
        <w:t xml:space="preserve"> </w:t>
      </w:r>
      <w:r w:rsidRPr="00E7529E">
        <w:rPr>
          <w:rFonts w:asciiTheme="minorHAnsi" w:hAnsiTheme="minorHAnsi" w:cs="Arial"/>
          <w:sz w:val="22"/>
          <w:szCs w:val="22"/>
        </w:rPr>
        <w:t>in the native range than in the introduced range</w:t>
      </w:r>
      <w:r>
        <w:rPr>
          <w:rFonts w:asciiTheme="minorHAnsi" w:hAnsiTheme="minorHAnsi" w:cs="Arial"/>
          <w:sz w:val="22"/>
          <w:szCs w:val="22"/>
        </w:rPr>
        <w:t>s, with</w:t>
      </w:r>
      <w:r w:rsidRPr="00E7529E">
        <w:rPr>
          <w:rFonts w:asciiTheme="minorHAnsi" w:hAnsiTheme="minorHAnsi" w:cs="Arial"/>
          <w:sz w:val="22"/>
          <w:szCs w:val="22"/>
        </w:rPr>
        <w:t xml:space="preserve"> 8580 and 1988 polymorphic loci</w:t>
      </w:r>
      <w:r>
        <w:rPr>
          <w:rFonts w:asciiTheme="minorHAnsi" w:hAnsiTheme="minorHAnsi" w:cs="Arial"/>
          <w:sz w:val="22"/>
          <w:szCs w:val="22"/>
        </w:rPr>
        <w:t>,</w:t>
      </w:r>
      <w:r w:rsidRPr="00E7529E">
        <w:rPr>
          <w:rFonts w:asciiTheme="minorHAnsi" w:hAnsiTheme="minorHAnsi" w:cs="Arial"/>
          <w:sz w:val="22"/>
          <w:szCs w:val="22"/>
        </w:rPr>
        <w:t xml:space="preserve"> respectivel</w:t>
      </w:r>
      <w:r>
        <w:rPr>
          <w:rFonts w:asciiTheme="minorHAnsi" w:hAnsiTheme="minorHAnsi" w:cs="Arial"/>
          <w:sz w:val="22"/>
          <w:szCs w:val="22"/>
        </w:rPr>
        <w:t>y</w:t>
      </w:r>
      <w:r w:rsidRPr="00E7529E">
        <w:rPr>
          <w:rFonts w:asciiTheme="minorHAnsi" w:hAnsiTheme="minorHAnsi" w:cs="Arial"/>
          <w:sz w:val="22"/>
          <w:szCs w:val="22"/>
        </w:rPr>
        <w:t xml:space="preserve"> </w:t>
      </w:r>
      <w:r>
        <w:rPr>
          <w:rFonts w:asciiTheme="minorHAnsi" w:hAnsiTheme="minorHAnsi" w:cs="Arial"/>
          <w:sz w:val="22"/>
          <w:szCs w:val="22"/>
        </w:rPr>
        <w:t>(Table 1</w:t>
      </w:r>
      <w:r w:rsidR="003E1E13">
        <w:rPr>
          <w:rFonts w:asciiTheme="minorHAnsi" w:hAnsiTheme="minorHAnsi" w:cs="Arial"/>
          <w:sz w:val="22"/>
          <w:szCs w:val="22"/>
        </w:rPr>
        <w:t>, Fig. S1</w:t>
      </w:r>
      <w:r w:rsidRPr="00E7529E">
        <w:rPr>
          <w:rFonts w:asciiTheme="minorHAnsi" w:hAnsiTheme="minorHAnsi" w:cs="Arial"/>
          <w:sz w:val="22"/>
          <w:szCs w:val="22"/>
        </w:rPr>
        <w:t>). Most of the private polymorphic loci were found in the native range (68</w:t>
      </w:r>
      <w:r>
        <w:rPr>
          <w:rFonts w:asciiTheme="minorHAnsi" w:hAnsiTheme="minorHAnsi" w:cs="Arial"/>
          <w:sz w:val="22"/>
          <w:szCs w:val="22"/>
        </w:rPr>
        <w:t>21</w:t>
      </w:r>
      <w:r w:rsidRPr="00E7529E">
        <w:rPr>
          <w:rFonts w:asciiTheme="minorHAnsi" w:hAnsiTheme="minorHAnsi" w:cs="Arial"/>
          <w:sz w:val="22"/>
          <w:szCs w:val="22"/>
        </w:rPr>
        <w:t xml:space="preserve"> loci out of 8580)</w:t>
      </w:r>
      <w:r>
        <w:rPr>
          <w:rFonts w:asciiTheme="minorHAnsi" w:hAnsiTheme="minorHAnsi" w:cs="Arial"/>
          <w:sz w:val="22"/>
          <w:szCs w:val="22"/>
        </w:rPr>
        <w:t>,</w:t>
      </w:r>
      <w:r w:rsidRPr="00E7529E">
        <w:rPr>
          <w:rFonts w:asciiTheme="minorHAnsi" w:hAnsiTheme="minorHAnsi" w:cs="Arial"/>
          <w:sz w:val="22"/>
          <w:szCs w:val="22"/>
        </w:rPr>
        <w:t xml:space="preserve"> but some </w:t>
      </w:r>
      <w:r>
        <w:rPr>
          <w:rFonts w:asciiTheme="minorHAnsi" w:hAnsiTheme="minorHAnsi" w:cs="Arial"/>
          <w:sz w:val="22"/>
          <w:szCs w:val="22"/>
        </w:rPr>
        <w:t xml:space="preserve">private </w:t>
      </w:r>
      <w:r w:rsidRPr="00E7529E">
        <w:rPr>
          <w:rFonts w:asciiTheme="minorHAnsi" w:hAnsiTheme="minorHAnsi" w:cs="Arial"/>
          <w:sz w:val="22"/>
          <w:szCs w:val="22"/>
        </w:rPr>
        <w:t>loci were also found to be polymorphic only in the introduced range</w:t>
      </w:r>
      <w:r>
        <w:rPr>
          <w:rFonts w:asciiTheme="minorHAnsi" w:hAnsiTheme="minorHAnsi" w:cs="Arial"/>
          <w:sz w:val="22"/>
          <w:szCs w:val="22"/>
        </w:rPr>
        <w:t>s</w:t>
      </w:r>
      <w:r w:rsidRPr="00E7529E">
        <w:rPr>
          <w:rFonts w:asciiTheme="minorHAnsi" w:hAnsiTheme="minorHAnsi" w:cs="Arial"/>
          <w:sz w:val="22"/>
          <w:szCs w:val="22"/>
        </w:rPr>
        <w:t xml:space="preserve"> (9</w:t>
      </w:r>
      <w:r>
        <w:rPr>
          <w:rFonts w:asciiTheme="minorHAnsi" w:hAnsiTheme="minorHAnsi" w:cs="Arial"/>
          <w:sz w:val="22"/>
          <w:szCs w:val="22"/>
        </w:rPr>
        <w:t>9</w:t>
      </w:r>
      <w:r w:rsidRPr="00E7529E">
        <w:rPr>
          <w:rFonts w:asciiTheme="minorHAnsi" w:hAnsiTheme="minorHAnsi" w:cs="Arial"/>
          <w:sz w:val="22"/>
          <w:szCs w:val="22"/>
        </w:rPr>
        <w:t xml:space="preserve"> in N</w:t>
      </w:r>
      <w:r>
        <w:rPr>
          <w:rFonts w:asciiTheme="minorHAnsi" w:hAnsiTheme="minorHAnsi" w:cs="Arial"/>
          <w:sz w:val="22"/>
          <w:szCs w:val="22"/>
        </w:rPr>
        <w:t xml:space="preserve">E Pacific </w:t>
      </w:r>
      <w:r w:rsidRPr="00E7529E">
        <w:rPr>
          <w:rFonts w:asciiTheme="minorHAnsi" w:hAnsiTheme="minorHAnsi" w:cs="Arial"/>
          <w:sz w:val="22"/>
          <w:szCs w:val="22"/>
        </w:rPr>
        <w:t>and 5</w:t>
      </w:r>
      <w:r>
        <w:rPr>
          <w:rFonts w:asciiTheme="minorHAnsi" w:hAnsiTheme="minorHAnsi" w:cs="Arial"/>
          <w:sz w:val="22"/>
          <w:szCs w:val="22"/>
        </w:rPr>
        <w:t>8</w:t>
      </w:r>
      <w:r w:rsidRPr="00E7529E">
        <w:rPr>
          <w:rFonts w:asciiTheme="minorHAnsi" w:hAnsiTheme="minorHAnsi" w:cs="Arial"/>
          <w:sz w:val="22"/>
          <w:szCs w:val="22"/>
        </w:rPr>
        <w:t xml:space="preserve"> in </w:t>
      </w:r>
      <w:r w:rsidRPr="00267032">
        <w:rPr>
          <w:rFonts w:asciiTheme="minorHAnsi" w:hAnsiTheme="minorHAnsi" w:cs="Arial"/>
          <w:sz w:val="22"/>
          <w:szCs w:val="22"/>
        </w:rPr>
        <w:t>NE Atlantic</w:t>
      </w:r>
      <w:r w:rsidRPr="00E7529E">
        <w:rPr>
          <w:rFonts w:asciiTheme="minorHAnsi" w:hAnsiTheme="minorHAnsi" w:cs="Arial"/>
          <w:sz w:val="22"/>
          <w:szCs w:val="22"/>
        </w:rPr>
        <w:t xml:space="preserve">, </w:t>
      </w:r>
      <w:r>
        <w:rPr>
          <w:rFonts w:asciiTheme="minorHAnsi" w:hAnsiTheme="minorHAnsi" w:cs="Arial"/>
          <w:sz w:val="22"/>
          <w:szCs w:val="22"/>
        </w:rPr>
        <w:t>Table 1</w:t>
      </w:r>
      <w:r w:rsidR="003E1E13">
        <w:rPr>
          <w:rFonts w:asciiTheme="minorHAnsi" w:hAnsiTheme="minorHAnsi" w:cs="Arial"/>
          <w:sz w:val="22"/>
          <w:szCs w:val="22"/>
        </w:rPr>
        <w:t>, Fig. S1</w:t>
      </w:r>
      <w:r w:rsidRPr="00E7529E">
        <w:rPr>
          <w:rFonts w:asciiTheme="minorHAnsi" w:hAnsiTheme="minorHAnsi" w:cs="Arial"/>
          <w:sz w:val="22"/>
          <w:szCs w:val="22"/>
        </w:rPr>
        <w:t>).</w:t>
      </w:r>
      <w:r w:rsidRPr="00424474">
        <w:rPr>
          <w:rFonts w:asciiTheme="minorHAnsi" w:hAnsiTheme="minorHAnsi" w:cs="Arial"/>
          <w:sz w:val="22"/>
          <w:szCs w:val="22"/>
        </w:rPr>
        <w:t xml:space="preserve"> </w:t>
      </w:r>
      <w:r>
        <w:rPr>
          <w:rFonts w:asciiTheme="minorHAnsi" w:hAnsiTheme="minorHAnsi" w:cs="Arial"/>
          <w:sz w:val="22"/>
          <w:szCs w:val="22"/>
        </w:rPr>
        <w:t>The two introduction ranges also displayed contrasted patterns:</w:t>
      </w:r>
      <w:r w:rsidRPr="00E7529E">
        <w:rPr>
          <w:rFonts w:asciiTheme="minorHAnsi" w:hAnsiTheme="minorHAnsi" w:cs="Arial"/>
          <w:sz w:val="22"/>
          <w:szCs w:val="22"/>
        </w:rPr>
        <w:t xml:space="preserve"> nearly twice as </w:t>
      </w:r>
      <w:r>
        <w:rPr>
          <w:rFonts w:asciiTheme="minorHAnsi" w:hAnsiTheme="minorHAnsi" w:cs="Arial"/>
          <w:sz w:val="22"/>
          <w:szCs w:val="22"/>
        </w:rPr>
        <w:t>many</w:t>
      </w:r>
      <w:r w:rsidRPr="00E7529E">
        <w:rPr>
          <w:rFonts w:asciiTheme="minorHAnsi" w:hAnsiTheme="minorHAnsi" w:cs="Arial"/>
          <w:sz w:val="22"/>
          <w:szCs w:val="22"/>
        </w:rPr>
        <w:t xml:space="preserve"> polymorphic loci were detected </w:t>
      </w:r>
      <w:r w:rsidRPr="00B54E83">
        <w:rPr>
          <w:rFonts w:asciiTheme="minorHAnsi" w:hAnsiTheme="minorHAnsi" w:cs="Arial"/>
          <w:sz w:val="22"/>
          <w:szCs w:val="22"/>
        </w:rPr>
        <w:t xml:space="preserve">in </w:t>
      </w:r>
      <w:r>
        <w:rPr>
          <w:rFonts w:asciiTheme="minorHAnsi" w:hAnsiTheme="minorHAnsi" w:cs="Arial"/>
          <w:sz w:val="22"/>
          <w:szCs w:val="22"/>
        </w:rPr>
        <w:t xml:space="preserve">the NE Pacific </w:t>
      </w:r>
      <w:r w:rsidRPr="00E7529E">
        <w:rPr>
          <w:rFonts w:asciiTheme="minorHAnsi" w:hAnsiTheme="minorHAnsi" w:cs="Arial"/>
          <w:sz w:val="22"/>
          <w:szCs w:val="22"/>
        </w:rPr>
        <w:t xml:space="preserve">compared to </w:t>
      </w:r>
      <w:r w:rsidRPr="00267032">
        <w:rPr>
          <w:rFonts w:asciiTheme="minorHAnsi" w:hAnsiTheme="minorHAnsi" w:cs="Arial"/>
          <w:sz w:val="22"/>
          <w:szCs w:val="22"/>
        </w:rPr>
        <w:t>NE Atlantic</w:t>
      </w:r>
      <w:r>
        <w:rPr>
          <w:rFonts w:asciiTheme="minorHAnsi" w:hAnsiTheme="minorHAnsi" w:cs="Arial"/>
          <w:sz w:val="22"/>
          <w:szCs w:val="22"/>
        </w:rPr>
        <w:t xml:space="preserve">, with </w:t>
      </w:r>
      <w:r w:rsidRPr="00E7529E">
        <w:rPr>
          <w:rFonts w:asciiTheme="minorHAnsi" w:hAnsiTheme="minorHAnsi" w:cs="Arial"/>
          <w:sz w:val="22"/>
          <w:szCs w:val="22"/>
        </w:rPr>
        <w:t>1733 and 994 loci</w:t>
      </w:r>
      <w:r>
        <w:rPr>
          <w:rFonts w:asciiTheme="minorHAnsi" w:hAnsiTheme="minorHAnsi" w:cs="Arial"/>
          <w:sz w:val="22"/>
          <w:szCs w:val="22"/>
        </w:rPr>
        <w:t>,</w:t>
      </w:r>
      <w:r w:rsidRPr="00E7529E">
        <w:rPr>
          <w:rFonts w:asciiTheme="minorHAnsi" w:hAnsiTheme="minorHAnsi" w:cs="Arial"/>
          <w:sz w:val="22"/>
          <w:szCs w:val="22"/>
        </w:rPr>
        <w:t xml:space="preserve"> </w:t>
      </w:r>
      <w:r w:rsidRPr="00424474">
        <w:rPr>
          <w:rFonts w:asciiTheme="minorHAnsi" w:hAnsiTheme="minorHAnsi" w:cs="Arial"/>
          <w:sz w:val="22"/>
          <w:szCs w:val="22"/>
        </w:rPr>
        <w:t xml:space="preserve">respectively. In addition, most of the polymorphic loci found in the NE Atlantic were </w:t>
      </w:r>
      <w:r>
        <w:rPr>
          <w:rFonts w:asciiTheme="minorHAnsi" w:hAnsiTheme="minorHAnsi" w:cs="Arial"/>
          <w:sz w:val="22"/>
          <w:szCs w:val="22"/>
        </w:rPr>
        <w:t>present</w:t>
      </w:r>
      <w:r w:rsidRPr="00424474">
        <w:rPr>
          <w:rFonts w:asciiTheme="minorHAnsi" w:hAnsiTheme="minorHAnsi" w:cs="Arial"/>
          <w:sz w:val="22"/>
          <w:szCs w:val="22"/>
        </w:rPr>
        <w:t xml:space="preserve"> only in two populations</w:t>
      </w:r>
      <w:r>
        <w:rPr>
          <w:rFonts w:asciiTheme="minorHAnsi" w:hAnsiTheme="minorHAnsi" w:cs="Arial"/>
          <w:sz w:val="22"/>
          <w:szCs w:val="22"/>
        </w:rPr>
        <w:t>, namely</w:t>
      </w:r>
      <w:r w:rsidRPr="00424474">
        <w:rPr>
          <w:rFonts w:asciiTheme="minorHAnsi" w:hAnsiTheme="minorHAnsi" w:cs="Arial"/>
          <w:sz w:val="22"/>
          <w:szCs w:val="22"/>
        </w:rPr>
        <w:t xml:space="preserve"> Thau (no. 5</w:t>
      </w:r>
      <w:r>
        <w:rPr>
          <w:rFonts w:asciiTheme="minorHAnsi" w:hAnsiTheme="minorHAnsi" w:cs="Arial"/>
          <w:sz w:val="22"/>
          <w:szCs w:val="22"/>
        </w:rPr>
        <w:t>1</w:t>
      </w:r>
      <w:r w:rsidRPr="00424474">
        <w:rPr>
          <w:rFonts w:asciiTheme="minorHAnsi" w:hAnsiTheme="minorHAnsi" w:cs="Arial"/>
          <w:sz w:val="22"/>
          <w:szCs w:val="22"/>
        </w:rPr>
        <w:t xml:space="preserve">) and Porto </w:t>
      </w:r>
      <w:r w:rsidRPr="00424474">
        <w:rPr>
          <w:rFonts w:asciiTheme="minorHAnsi" w:hAnsiTheme="minorHAnsi" w:cs="Arial"/>
          <w:sz w:val="22"/>
          <w:szCs w:val="22"/>
        </w:rPr>
        <w:lastRenderedPageBreak/>
        <w:t>(no. 5</w:t>
      </w:r>
      <w:r>
        <w:rPr>
          <w:rFonts w:asciiTheme="minorHAnsi" w:hAnsiTheme="minorHAnsi" w:cs="Arial"/>
          <w:sz w:val="22"/>
          <w:szCs w:val="22"/>
        </w:rPr>
        <w:t>4</w:t>
      </w:r>
      <w:r w:rsidRPr="00424474">
        <w:rPr>
          <w:rFonts w:asciiTheme="minorHAnsi" w:hAnsiTheme="minorHAnsi" w:cs="Arial"/>
          <w:sz w:val="22"/>
          <w:szCs w:val="22"/>
        </w:rPr>
        <w:t>)</w:t>
      </w:r>
      <w:r>
        <w:rPr>
          <w:rFonts w:asciiTheme="minorHAnsi" w:hAnsiTheme="minorHAnsi" w:cs="Arial"/>
          <w:sz w:val="22"/>
          <w:szCs w:val="22"/>
        </w:rPr>
        <w:t xml:space="preserve"> (group 2 in Table 1</w:t>
      </w:r>
      <w:r w:rsidR="00EC2EC1">
        <w:rPr>
          <w:rFonts w:asciiTheme="minorHAnsi" w:hAnsiTheme="minorHAnsi" w:cs="Arial"/>
          <w:sz w:val="22"/>
          <w:szCs w:val="22"/>
        </w:rPr>
        <w:t>, Fig. S1</w:t>
      </w:r>
      <w:r>
        <w:rPr>
          <w:rFonts w:asciiTheme="minorHAnsi" w:hAnsiTheme="minorHAnsi" w:cs="Arial"/>
          <w:sz w:val="22"/>
          <w:szCs w:val="22"/>
        </w:rPr>
        <w:t>)</w:t>
      </w:r>
      <w:r w:rsidRPr="00424474">
        <w:rPr>
          <w:rFonts w:asciiTheme="minorHAnsi" w:hAnsiTheme="minorHAnsi" w:cs="Arial"/>
          <w:sz w:val="22"/>
          <w:szCs w:val="22"/>
        </w:rPr>
        <w:t xml:space="preserve">. Outside of these populations, the rest of the NE Atlantic populations </w:t>
      </w:r>
      <w:r>
        <w:rPr>
          <w:rFonts w:asciiTheme="minorHAnsi" w:hAnsiTheme="minorHAnsi" w:cs="Arial"/>
          <w:sz w:val="22"/>
          <w:szCs w:val="22"/>
        </w:rPr>
        <w:t xml:space="preserve">(group 1 in Table 1) </w:t>
      </w:r>
      <w:r w:rsidRPr="00424474">
        <w:rPr>
          <w:rFonts w:asciiTheme="minorHAnsi" w:hAnsiTheme="minorHAnsi" w:cs="Arial"/>
          <w:sz w:val="22"/>
          <w:szCs w:val="22"/>
        </w:rPr>
        <w:t xml:space="preserve">exhibited only 116 polymorphic loci out of 8788 (i.e., 1.3% of all retained </w:t>
      </w:r>
      <w:r>
        <w:rPr>
          <w:rFonts w:asciiTheme="minorHAnsi" w:hAnsiTheme="minorHAnsi" w:cs="Arial"/>
          <w:sz w:val="22"/>
          <w:szCs w:val="22"/>
        </w:rPr>
        <w:t>RAD-s</w:t>
      </w:r>
      <w:r w:rsidRPr="00424474">
        <w:rPr>
          <w:rFonts w:asciiTheme="minorHAnsi" w:hAnsiTheme="minorHAnsi" w:cs="Arial"/>
          <w:sz w:val="22"/>
          <w:szCs w:val="22"/>
        </w:rPr>
        <w:t xml:space="preserve">eq loci). A similar pattern was observed in the NE Pacific: only 69 loci (i.e., 0.8% of all study loci) </w:t>
      </w:r>
      <w:r>
        <w:rPr>
          <w:rFonts w:asciiTheme="minorHAnsi" w:hAnsiTheme="minorHAnsi" w:cs="Arial"/>
          <w:sz w:val="22"/>
          <w:szCs w:val="22"/>
        </w:rPr>
        <w:t>remained</w:t>
      </w:r>
      <w:r w:rsidRPr="00424474">
        <w:rPr>
          <w:rFonts w:asciiTheme="minorHAnsi" w:hAnsiTheme="minorHAnsi" w:cs="Arial"/>
          <w:sz w:val="22"/>
          <w:szCs w:val="22"/>
        </w:rPr>
        <w:t xml:space="preserve"> polymorphic when considering </w:t>
      </w:r>
      <w:r>
        <w:rPr>
          <w:rFonts w:asciiTheme="minorHAnsi" w:hAnsiTheme="minorHAnsi" w:cs="Arial"/>
          <w:sz w:val="22"/>
          <w:szCs w:val="22"/>
        </w:rPr>
        <w:t xml:space="preserve">only </w:t>
      </w:r>
      <w:r w:rsidRPr="00424474">
        <w:rPr>
          <w:rFonts w:asciiTheme="minorHAnsi" w:hAnsiTheme="minorHAnsi" w:cs="Arial"/>
          <w:sz w:val="22"/>
          <w:szCs w:val="22"/>
        </w:rPr>
        <w:t>the three southern populations of NE Pacific (i.e., Crystal Cove (no. 1</w:t>
      </w:r>
      <w:r>
        <w:rPr>
          <w:rFonts w:asciiTheme="minorHAnsi" w:hAnsiTheme="minorHAnsi" w:cs="Arial"/>
          <w:sz w:val="22"/>
          <w:szCs w:val="22"/>
        </w:rPr>
        <w:t>5</w:t>
      </w:r>
      <w:r w:rsidRPr="00424474">
        <w:rPr>
          <w:rFonts w:asciiTheme="minorHAnsi" w:hAnsiTheme="minorHAnsi" w:cs="Arial"/>
          <w:sz w:val="22"/>
          <w:szCs w:val="22"/>
        </w:rPr>
        <w:t>)</w:t>
      </w:r>
      <w:r>
        <w:rPr>
          <w:rFonts w:asciiTheme="minorHAnsi" w:hAnsiTheme="minorHAnsi" w:cs="Arial"/>
          <w:sz w:val="22"/>
          <w:szCs w:val="22"/>
        </w:rPr>
        <w:t>,</w:t>
      </w:r>
      <w:r w:rsidRPr="00424474">
        <w:rPr>
          <w:rFonts w:asciiTheme="minorHAnsi" w:hAnsiTheme="minorHAnsi" w:cs="Arial"/>
          <w:sz w:val="22"/>
          <w:szCs w:val="22"/>
        </w:rPr>
        <w:t xml:space="preserve"> </w:t>
      </w:r>
      <w:r>
        <w:rPr>
          <w:rFonts w:asciiTheme="minorHAnsi" w:hAnsiTheme="minorHAnsi" w:cs="Arial"/>
          <w:sz w:val="22"/>
          <w:szCs w:val="22"/>
        </w:rPr>
        <w:t>Laguna Beach</w:t>
      </w:r>
      <w:r w:rsidRPr="00424474">
        <w:rPr>
          <w:rFonts w:asciiTheme="minorHAnsi" w:hAnsiTheme="minorHAnsi" w:cs="Arial"/>
          <w:sz w:val="22"/>
          <w:szCs w:val="22"/>
        </w:rPr>
        <w:t xml:space="preserve"> (no. 1</w:t>
      </w:r>
      <w:r>
        <w:rPr>
          <w:rFonts w:asciiTheme="minorHAnsi" w:hAnsiTheme="minorHAnsi" w:cs="Arial"/>
          <w:sz w:val="22"/>
          <w:szCs w:val="22"/>
        </w:rPr>
        <w:t>6</w:t>
      </w:r>
      <w:r w:rsidRPr="00424474">
        <w:rPr>
          <w:rFonts w:asciiTheme="minorHAnsi" w:hAnsiTheme="minorHAnsi" w:cs="Arial"/>
          <w:sz w:val="22"/>
          <w:szCs w:val="22"/>
        </w:rPr>
        <w:t>), and Punta Baja (no. 1</w:t>
      </w:r>
      <w:r>
        <w:rPr>
          <w:rFonts w:asciiTheme="minorHAnsi" w:hAnsiTheme="minorHAnsi" w:cs="Arial"/>
          <w:sz w:val="22"/>
          <w:szCs w:val="22"/>
        </w:rPr>
        <w:t>8</w:t>
      </w:r>
      <w:r w:rsidRPr="00424474">
        <w:rPr>
          <w:rFonts w:asciiTheme="minorHAnsi" w:hAnsiTheme="minorHAnsi" w:cs="Arial"/>
          <w:sz w:val="22"/>
          <w:szCs w:val="22"/>
        </w:rPr>
        <w:t>)</w:t>
      </w:r>
      <w:r>
        <w:rPr>
          <w:rFonts w:asciiTheme="minorHAnsi" w:hAnsiTheme="minorHAnsi" w:cs="Arial"/>
          <w:sz w:val="22"/>
          <w:szCs w:val="22"/>
        </w:rPr>
        <w:t>, Table 1</w:t>
      </w:r>
      <w:r w:rsidRPr="00424474">
        <w:rPr>
          <w:rFonts w:asciiTheme="minorHAnsi" w:hAnsiTheme="minorHAnsi" w:cs="Arial"/>
          <w:sz w:val="22"/>
          <w:szCs w:val="22"/>
        </w:rPr>
        <w:t>).</w:t>
      </w:r>
    </w:p>
    <w:p w14:paraId="6CBE08A3" w14:textId="39829F03" w:rsidR="00FD140A" w:rsidRDefault="00FD140A" w:rsidP="00EE38CE">
      <w:pPr>
        <w:pStyle w:val="BodyText"/>
        <w:spacing w:before="101" w:line="360" w:lineRule="auto"/>
        <w:ind w:left="0" w:firstLine="709"/>
        <w:jc w:val="both"/>
        <w:rPr>
          <w:rFonts w:asciiTheme="minorHAnsi" w:hAnsiTheme="minorHAnsi" w:cs="Arial"/>
          <w:sz w:val="22"/>
          <w:szCs w:val="22"/>
        </w:rPr>
      </w:pPr>
      <w:r>
        <w:rPr>
          <w:rFonts w:asciiTheme="minorHAnsi" w:hAnsiTheme="minorHAnsi" w:cs="Arial"/>
          <w:sz w:val="22"/>
          <w:szCs w:val="22"/>
        </w:rPr>
        <w:t>Gene diversity (e</w:t>
      </w:r>
      <w:r w:rsidRPr="00A8536C">
        <w:rPr>
          <w:rFonts w:asciiTheme="minorHAnsi" w:hAnsiTheme="minorHAnsi" w:cs="Arial"/>
          <w:sz w:val="22"/>
          <w:szCs w:val="22"/>
        </w:rPr>
        <w:t>xpected heterozygosity within populations</w:t>
      </w:r>
      <w:r>
        <w:rPr>
          <w:rFonts w:asciiTheme="minorHAnsi" w:hAnsiTheme="minorHAnsi" w:cs="Arial"/>
          <w:sz w:val="22"/>
          <w:szCs w:val="22"/>
        </w:rPr>
        <w:t xml:space="preserve">; </w:t>
      </w:r>
      <w:r w:rsidRPr="00A8536C">
        <w:rPr>
          <w:rFonts w:asciiTheme="minorHAnsi" w:hAnsiTheme="minorHAnsi" w:cs="Arial"/>
          <w:sz w:val="22"/>
          <w:szCs w:val="22"/>
        </w:rPr>
        <w:t>Hs) ranged from 0.001 to 0.242 with the highest values observed in the native range (Table S5).</w:t>
      </w:r>
      <w:r w:rsidRPr="00B54E83">
        <w:rPr>
          <w:rFonts w:asciiTheme="minorHAnsi" w:hAnsiTheme="minorHAnsi" w:cs="Arial"/>
          <w:sz w:val="22"/>
          <w:szCs w:val="22"/>
        </w:rPr>
        <w:t xml:space="preserve"> </w:t>
      </w:r>
      <w:r>
        <w:rPr>
          <w:rFonts w:asciiTheme="minorHAnsi" w:hAnsiTheme="minorHAnsi" w:cs="Arial"/>
          <w:sz w:val="22"/>
          <w:szCs w:val="22"/>
        </w:rPr>
        <w:t xml:space="preserve">Averaged over populations or computed at a regional scale (across populations), gene diversity values in the native range were more than 10 times higher than in the introduction range (Table 1). The diversity decrease was particularly strong when comparing the study native range with the NE Atlantic group 1 (all NE Atlantic populations, except Thau (no. 51) and Porto (no. 54), see below) with values of 0.363 and 0.001, respectively (Table 1). </w:t>
      </w:r>
      <w:r w:rsidRPr="00EC2EC1">
        <w:rPr>
          <w:rFonts w:asciiTheme="minorHAnsi" w:hAnsiTheme="minorHAnsi" w:cs="Arial"/>
          <w:sz w:val="22"/>
          <w:szCs w:val="22"/>
        </w:rPr>
        <w:t>The number of multilocus genotypes (MLGs) was congruent with the level of genetic diversity</w:t>
      </w:r>
      <w:r w:rsidR="00032ECC" w:rsidRPr="00EC2EC1">
        <w:rPr>
          <w:rFonts w:asciiTheme="minorHAnsi" w:hAnsiTheme="minorHAnsi" w:cs="Arial"/>
          <w:sz w:val="22"/>
          <w:szCs w:val="22"/>
        </w:rPr>
        <w:t>, and</w:t>
      </w:r>
      <w:r w:rsidRPr="00EC2EC1">
        <w:rPr>
          <w:rFonts w:asciiTheme="minorHAnsi" w:hAnsiTheme="minorHAnsi" w:cs="Arial"/>
          <w:sz w:val="22"/>
          <w:szCs w:val="22"/>
        </w:rPr>
        <w:t xml:space="preserve"> variable among the different areas</w:t>
      </w:r>
      <w:r w:rsidR="00032ECC" w:rsidRPr="00EC2EC1">
        <w:rPr>
          <w:rFonts w:asciiTheme="minorHAnsi" w:hAnsiTheme="minorHAnsi" w:cs="Arial"/>
          <w:sz w:val="22"/>
          <w:szCs w:val="22"/>
        </w:rPr>
        <w:t>, i</w:t>
      </w:r>
      <w:r w:rsidRPr="00EC2EC1">
        <w:rPr>
          <w:rFonts w:asciiTheme="minorHAnsi" w:hAnsiTheme="minorHAnsi" w:cs="Arial"/>
          <w:sz w:val="22"/>
          <w:szCs w:val="22"/>
        </w:rPr>
        <w:t>n particular</w:t>
      </w:r>
      <w:r w:rsidR="00032ECC" w:rsidRPr="00EC2EC1">
        <w:rPr>
          <w:rFonts w:asciiTheme="minorHAnsi" w:hAnsiTheme="minorHAnsi" w:cs="Arial"/>
          <w:sz w:val="22"/>
          <w:szCs w:val="22"/>
        </w:rPr>
        <w:t xml:space="preserve"> </w:t>
      </w:r>
      <w:r w:rsidRPr="00EC2EC1">
        <w:rPr>
          <w:rFonts w:asciiTheme="minorHAnsi" w:hAnsiTheme="minorHAnsi" w:cs="Arial"/>
          <w:sz w:val="22"/>
          <w:szCs w:val="22"/>
        </w:rPr>
        <w:t>across introduction ranges (Fig. 2A).</w:t>
      </w:r>
      <w:r>
        <w:rPr>
          <w:rFonts w:asciiTheme="minorHAnsi" w:hAnsiTheme="minorHAnsi" w:cs="Arial"/>
          <w:sz w:val="22"/>
          <w:szCs w:val="22"/>
        </w:rPr>
        <w:t xml:space="preserve"> Using poppr, MLGs were found to be clustered in three different lineages (Fig. 2A) separating the most northern populations of the NE Pacific (no. 10, 11, 12 in Fig. 1), the southern populations of the NE Pacific (no. 15, 16, 18) and </w:t>
      </w:r>
      <w:r w:rsidRPr="00267032">
        <w:rPr>
          <w:rFonts w:asciiTheme="minorHAnsi" w:hAnsiTheme="minorHAnsi" w:cs="Arial"/>
          <w:sz w:val="22"/>
          <w:szCs w:val="22"/>
        </w:rPr>
        <w:t>NE Atlantic</w:t>
      </w:r>
      <w:r>
        <w:rPr>
          <w:rFonts w:asciiTheme="minorHAnsi" w:hAnsiTheme="minorHAnsi" w:cs="Arial"/>
          <w:sz w:val="22"/>
          <w:szCs w:val="22"/>
        </w:rPr>
        <w:t>, except for Thau (no. 51) and Porto (no. 54)</w:t>
      </w:r>
      <w:r w:rsidR="00CD4F70">
        <w:rPr>
          <w:rFonts w:asciiTheme="minorHAnsi" w:hAnsiTheme="minorHAnsi" w:cs="Arial"/>
          <w:sz w:val="22"/>
          <w:szCs w:val="22"/>
        </w:rPr>
        <w:t>,</w:t>
      </w:r>
      <w:r>
        <w:rPr>
          <w:rFonts w:asciiTheme="minorHAnsi" w:hAnsiTheme="minorHAnsi" w:cs="Arial"/>
          <w:sz w:val="22"/>
          <w:szCs w:val="22"/>
        </w:rPr>
        <w:t xml:space="preserve"> (referred to as </w:t>
      </w:r>
      <w:r w:rsidRPr="00267032">
        <w:rPr>
          <w:rFonts w:asciiTheme="minorHAnsi" w:hAnsiTheme="minorHAnsi" w:cs="Arial"/>
          <w:sz w:val="22"/>
          <w:szCs w:val="22"/>
        </w:rPr>
        <w:t>NE Atlantic</w:t>
      </w:r>
      <w:r>
        <w:rPr>
          <w:rFonts w:asciiTheme="minorHAnsi" w:hAnsiTheme="minorHAnsi" w:cs="Arial"/>
          <w:sz w:val="22"/>
          <w:szCs w:val="22"/>
        </w:rPr>
        <w:t xml:space="preserve"> -Group 1) and finally a lineage with Thau and </w:t>
      </w:r>
      <w:r w:rsidRPr="00796FFF">
        <w:rPr>
          <w:rFonts w:asciiTheme="minorHAnsi" w:hAnsiTheme="minorHAnsi" w:cs="Arial"/>
          <w:sz w:val="22"/>
          <w:szCs w:val="22"/>
        </w:rPr>
        <w:t>Porto only</w:t>
      </w:r>
      <w:r>
        <w:rPr>
          <w:rFonts w:asciiTheme="minorHAnsi" w:hAnsiTheme="minorHAnsi" w:cs="Arial"/>
          <w:sz w:val="22"/>
          <w:szCs w:val="22"/>
        </w:rPr>
        <w:t xml:space="preserve"> (NE Atlantic – Group 2)</w:t>
      </w:r>
      <w:r w:rsidRPr="00796FFF">
        <w:rPr>
          <w:rFonts w:asciiTheme="minorHAnsi" w:hAnsiTheme="minorHAnsi" w:cs="Arial"/>
          <w:sz w:val="22"/>
          <w:szCs w:val="22"/>
        </w:rPr>
        <w:t xml:space="preserve">. </w:t>
      </w:r>
      <w:r>
        <w:rPr>
          <w:rFonts w:asciiTheme="minorHAnsi" w:hAnsiTheme="minorHAnsi" w:cs="Arial"/>
          <w:sz w:val="22"/>
          <w:szCs w:val="22"/>
        </w:rPr>
        <w:t>More in-depth</w:t>
      </w:r>
      <w:r w:rsidRPr="00796FFF">
        <w:rPr>
          <w:rFonts w:asciiTheme="minorHAnsi" w:hAnsiTheme="minorHAnsi" w:cs="Arial"/>
          <w:sz w:val="22"/>
          <w:szCs w:val="22"/>
        </w:rPr>
        <w:t xml:space="preserve"> investigation of the distribution of the 14 MLGs found in </w:t>
      </w:r>
      <w:r>
        <w:rPr>
          <w:rFonts w:asciiTheme="minorHAnsi" w:hAnsiTheme="minorHAnsi" w:cs="Arial"/>
          <w:sz w:val="22"/>
          <w:szCs w:val="22"/>
        </w:rPr>
        <w:t>the s</w:t>
      </w:r>
      <w:r w:rsidRPr="00796FFF">
        <w:rPr>
          <w:rFonts w:asciiTheme="minorHAnsi" w:hAnsiTheme="minorHAnsi" w:cs="Arial"/>
          <w:sz w:val="22"/>
          <w:szCs w:val="22"/>
        </w:rPr>
        <w:t>outh</w:t>
      </w:r>
      <w:r>
        <w:rPr>
          <w:rFonts w:asciiTheme="minorHAnsi" w:hAnsiTheme="minorHAnsi" w:cs="Arial"/>
          <w:sz w:val="22"/>
          <w:szCs w:val="22"/>
        </w:rPr>
        <w:t>ern</w:t>
      </w:r>
      <w:r w:rsidRPr="00796FFF">
        <w:rPr>
          <w:rFonts w:asciiTheme="minorHAnsi" w:hAnsiTheme="minorHAnsi" w:cs="Arial"/>
          <w:sz w:val="22"/>
          <w:szCs w:val="22"/>
        </w:rPr>
        <w:t xml:space="preserve"> </w:t>
      </w:r>
      <w:r>
        <w:rPr>
          <w:rFonts w:asciiTheme="minorHAnsi" w:hAnsiTheme="minorHAnsi" w:cs="Arial"/>
          <w:sz w:val="22"/>
          <w:szCs w:val="22"/>
        </w:rPr>
        <w:t>NE Pacific</w:t>
      </w:r>
      <w:r w:rsidRPr="00796FFF">
        <w:rPr>
          <w:rFonts w:asciiTheme="minorHAnsi" w:hAnsiTheme="minorHAnsi" w:cs="Arial"/>
          <w:sz w:val="22"/>
          <w:szCs w:val="22"/>
        </w:rPr>
        <w:t xml:space="preserve"> and </w:t>
      </w:r>
      <w:r w:rsidRPr="00267032">
        <w:rPr>
          <w:rFonts w:asciiTheme="minorHAnsi" w:hAnsiTheme="minorHAnsi" w:cs="Arial"/>
          <w:sz w:val="22"/>
          <w:szCs w:val="22"/>
        </w:rPr>
        <w:t>NE Atlantic</w:t>
      </w:r>
      <w:r w:rsidRPr="00796FFF">
        <w:rPr>
          <w:rFonts w:asciiTheme="minorHAnsi" w:hAnsiTheme="minorHAnsi" w:cs="Arial"/>
          <w:sz w:val="22"/>
          <w:szCs w:val="22"/>
        </w:rPr>
        <w:t xml:space="preserve"> group 1 revealed subtle differences between the two areas (Fig. </w:t>
      </w:r>
      <w:r>
        <w:rPr>
          <w:rFonts w:asciiTheme="minorHAnsi" w:hAnsiTheme="minorHAnsi" w:cs="Arial"/>
          <w:sz w:val="22"/>
          <w:szCs w:val="22"/>
        </w:rPr>
        <w:t>2</w:t>
      </w:r>
      <w:r w:rsidRPr="00796FFF">
        <w:rPr>
          <w:rFonts w:asciiTheme="minorHAnsi" w:hAnsiTheme="minorHAnsi" w:cs="Arial"/>
          <w:sz w:val="22"/>
          <w:szCs w:val="22"/>
        </w:rPr>
        <w:t xml:space="preserve">B). First, apart from Kircubbin (no. </w:t>
      </w:r>
      <w:r>
        <w:rPr>
          <w:rFonts w:asciiTheme="minorHAnsi" w:hAnsiTheme="minorHAnsi" w:cs="Arial"/>
          <w:sz w:val="22"/>
          <w:szCs w:val="22"/>
        </w:rPr>
        <w:t>20</w:t>
      </w:r>
      <w:r w:rsidRPr="00796FFF">
        <w:rPr>
          <w:rFonts w:asciiTheme="minorHAnsi" w:hAnsiTheme="minorHAnsi" w:cs="Arial"/>
          <w:sz w:val="22"/>
          <w:szCs w:val="22"/>
        </w:rPr>
        <w:t xml:space="preserve"> in Fig. 1), the number of MLGs was lower in populations from </w:t>
      </w:r>
      <w:r>
        <w:rPr>
          <w:rFonts w:asciiTheme="minorHAnsi" w:hAnsiTheme="minorHAnsi" w:cs="Arial"/>
          <w:sz w:val="22"/>
          <w:szCs w:val="22"/>
        </w:rPr>
        <w:t xml:space="preserve">the </w:t>
      </w:r>
      <w:r w:rsidRPr="00267032">
        <w:rPr>
          <w:rFonts w:asciiTheme="minorHAnsi" w:hAnsiTheme="minorHAnsi" w:cs="Arial"/>
          <w:sz w:val="22"/>
          <w:szCs w:val="22"/>
        </w:rPr>
        <w:t>NE Atlantic</w:t>
      </w:r>
      <w:r w:rsidRPr="00796FFF">
        <w:rPr>
          <w:rFonts w:asciiTheme="minorHAnsi" w:hAnsiTheme="minorHAnsi" w:cs="Arial"/>
          <w:sz w:val="22"/>
          <w:szCs w:val="22"/>
        </w:rPr>
        <w:t xml:space="preserve"> compared to </w:t>
      </w:r>
      <w:r>
        <w:rPr>
          <w:rFonts w:asciiTheme="minorHAnsi" w:hAnsiTheme="minorHAnsi" w:cs="Arial"/>
          <w:sz w:val="22"/>
          <w:szCs w:val="22"/>
        </w:rPr>
        <w:t>the s</w:t>
      </w:r>
      <w:r w:rsidRPr="00796FFF">
        <w:rPr>
          <w:rFonts w:asciiTheme="minorHAnsi" w:hAnsiTheme="minorHAnsi" w:cs="Arial"/>
          <w:sz w:val="22"/>
          <w:szCs w:val="22"/>
        </w:rPr>
        <w:t>outh</w:t>
      </w:r>
      <w:r>
        <w:rPr>
          <w:rFonts w:asciiTheme="minorHAnsi" w:hAnsiTheme="minorHAnsi" w:cs="Arial"/>
          <w:sz w:val="22"/>
          <w:szCs w:val="22"/>
        </w:rPr>
        <w:t>ern</w:t>
      </w:r>
      <w:r w:rsidRPr="00EE7F8E">
        <w:rPr>
          <w:rFonts w:asciiTheme="minorHAnsi" w:hAnsiTheme="minorHAnsi" w:cs="Arial"/>
          <w:sz w:val="22"/>
          <w:szCs w:val="22"/>
        </w:rPr>
        <w:t xml:space="preserve"> </w:t>
      </w:r>
      <w:r>
        <w:rPr>
          <w:rFonts w:asciiTheme="minorHAnsi" w:hAnsiTheme="minorHAnsi" w:cs="Arial"/>
          <w:sz w:val="22"/>
          <w:szCs w:val="22"/>
        </w:rPr>
        <w:t>NE Pacific</w:t>
      </w:r>
      <w:r w:rsidRPr="00796FFF">
        <w:rPr>
          <w:rFonts w:asciiTheme="minorHAnsi" w:hAnsiTheme="minorHAnsi" w:cs="Arial"/>
          <w:sz w:val="22"/>
          <w:szCs w:val="22"/>
        </w:rPr>
        <w:t xml:space="preserve">, with one MLG at high frequency in </w:t>
      </w:r>
      <w:r w:rsidRPr="00267032">
        <w:rPr>
          <w:rFonts w:asciiTheme="minorHAnsi" w:hAnsiTheme="minorHAnsi" w:cs="Arial"/>
          <w:sz w:val="22"/>
          <w:szCs w:val="22"/>
        </w:rPr>
        <w:t>NE Atlantic</w:t>
      </w:r>
      <w:r w:rsidRPr="00796FFF">
        <w:rPr>
          <w:rFonts w:asciiTheme="minorHAnsi" w:hAnsiTheme="minorHAnsi" w:cs="Arial"/>
          <w:sz w:val="22"/>
          <w:szCs w:val="22"/>
        </w:rPr>
        <w:t xml:space="preserve"> populations from the Channel and the North Sea (populations no. 4</w:t>
      </w:r>
      <w:r>
        <w:rPr>
          <w:rFonts w:asciiTheme="minorHAnsi" w:hAnsiTheme="minorHAnsi" w:cs="Arial"/>
          <w:sz w:val="22"/>
          <w:szCs w:val="22"/>
        </w:rPr>
        <w:t>3</w:t>
      </w:r>
      <w:r w:rsidRPr="00796FFF">
        <w:rPr>
          <w:rFonts w:asciiTheme="minorHAnsi" w:hAnsiTheme="minorHAnsi" w:cs="Arial"/>
          <w:sz w:val="22"/>
          <w:szCs w:val="22"/>
        </w:rPr>
        <w:t>, 2</w:t>
      </w:r>
      <w:r>
        <w:rPr>
          <w:rFonts w:asciiTheme="minorHAnsi" w:hAnsiTheme="minorHAnsi" w:cs="Arial"/>
          <w:sz w:val="22"/>
          <w:szCs w:val="22"/>
        </w:rPr>
        <w:t>7</w:t>
      </w:r>
      <w:r w:rsidRPr="00796FFF">
        <w:rPr>
          <w:rFonts w:asciiTheme="minorHAnsi" w:hAnsiTheme="minorHAnsi" w:cs="Arial"/>
          <w:sz w:val="22"/>
          <w:szCs w:val="22"/>
        </w:rPr>
        <w:t>, 3</w:t>
      </w:r>
      <w:r>
        <w:rPr>
          <w:rFonts w:asciiTheme="minorHAnsi" w:hAnsiTheme="minorHAnsi" w:cs="Arial"/>
          <w:sz w:val="22"/>
          <w:szCs w:val="22"/>
        </w:rPr>
        <w:t>5</w:t>
      </w:r>
      <w:r w:rsidRPr="00796FFF">
        <w:rPr>
          <w:rFonts w:asciiTheme="minorHAnsi" w:hAnsiTheme="minorHAnsi" w:cs="Arial"/>
          <w:sz w:val="22"/>
          <w:szCs w:val="22"/>
        </w:rPr>
        <w:t xml:space="preserve"> and </w:t>
      </w:r>
      <w:r w:rsidRPr="00CD4F70">
        <w:rPr>
          <w:rFonts w:asciiTheme="minorHAnsi" w:hAnsiTheme="minorHAnsi" w:cs="Arial"/>
          <w:sz w:val="22"/>
          <w:szCs w:val="22"/>
        </w:rPr>
        <w:t xml:space="preserve">19). </w:t>
      </w:r>
      <w:r w:rsidR="00CD4F70">
        <w:rPr>
          <w:rFonts w:asciiTheme="minorHAnsi" w:hAnsiTheme="minorHAnsi" w:cs="Arial"/>
          <w:sz w:val="22"/>
          <w:szCs w:val="22"/>
        </w:rPr>
        <w:t>One</w:t>
      </w:r>
      <w:r w:rsidRPr="00CD4F70">
        <w:rPr>
          <w:rFonts w:asciiTheme="minorHAnsi" w:hAnsiTheme="minorHAnsi" w:cs="Arial"/>
          <w:sz w:val="22"/>
          <w:szCs w:val="22"/>
        </w:rPr>
        <w:t xml:space="preserve"> MLG found to be private to one particular NE Atlantic population</w:t>
      </w:r>
      <w:r w:rsidR="009E5386" w:rsidRPr="00CD4F70">
        <w:rPr>
          <w:rFonts w:asciiTheme="minorHAnsi" w:hAnsiTheme="minorHAnsi" w:cs="Arial"/>
          <w:sz w:val="22"/>
          <w:szCs w:val="22"/>
        </w:rPr>
        <w:t xml:space="preserve"> (</w:t>
      </w:r>
      <w:r w:rsidR="0003553A" w:rsidRPr="00CD4F70">
        <w:rPr>
          <w:rFonts w:asciiTheme="minorHAnsi" w:hAnsiTheme="minorHAnsi" w:cs="Arial"/>
          <w:sz w:val="22"/>
          <w:szCs w:val="22"/>
        </w:rPr>
        <w:t xml:space="preserve">i.e., the MLG colored in yellow </w:t>
      </w:r>
      <w:r w:rsidR="00AA1BAC" w:rsidRPr="00CD4F70">
        <w:rPr>
          <w:rFonts w:asciiTheme="minorHAnsi" w:hAnsiTheme="minorHAnsi" w:cs="Arial"/>
          <w:sz w:val="22"/>
          <w:szCs w:val="22"/>
        </w:rPr>
        <w:t xml:space="preserve">in </w:t>
      </w:r>
      <w:r w:rsidR="0003553A" w:rsidRPr="00CD4F70">
        <w:rPr>
          <w:rFonts w:asciiTheme="minorHAnsi" w:hAnsiTheme="minorHAnsi" w:cs="Arial"/>
          <w:sz w:val="22"/>
          <w:szCs w:val="22"/>
        </w:rPr>
        <w:t>population no.20 -</w:t>
      </w:r>
      <w:r w:rsidR="009E5386" w:rsidRPr="00CD4F70">
        <w:rPr>
          <w:rFonts w:asciiTheme="minorHAnsi" w:hAnsiTheme="minorHAnsi" w:cs="Arial"/>
          <w:sz w:val="22"/>
          <w:szCs w:val="22"/>
        </w:rPr>
        <w:t xml:space="preserve">Kircubbin </w:t>
      </w:r>
      <w:r w:rsidR="0003553A" w:rsidRPr="00CD4F70">
        <w:rPr>
          <w:rFonts w:asciiTheme="minorHAnsi" w:hAnsiTheme="minorHAnsi" w:cs="Arial"/>
          <w:sz w:val="22"/>
          <w:szCs w:val="22"/>
        </w:rPr>
        <w:t>in</w:t>
      </w:r>
      <w:r w:rsidR="00AA1BAC" w:rsidRPr="00CD4F70">
        <w:rPr>
          <w:rFonts w:asciiTheme="minorHAnsi" w:hAnsiTheme="minorHAnsi" w:cs="Arial"/>
          <w:sz w:val="22"/>
          <w:szCs w:val="22"/>
        </w:rPr>
        <w:t xml:space="preserve"> Fig. 2B</w:t>
      </w:r>
      <w:r w:rsidR="009E5386" w:rsidRPr="00CD4F70">
        <w:rPr>
          <w:rFonts w:asciiTheme="minorHAnsi" w:hAnsiTheme="minorHAnsi" w:cs="Arial"/>
          <w:sz w:val="22"/>
          <w:szCs w:val="22"/>
        </w:rPr>
        <w:t>)</w:t>
      </w:r>
      <w:r w:rsidRPr="00CD4F70">
        <w:rPr>
          <w:rFonts w:asciiTheme="minorHAnsi" w:hAnsiTheme="minorHAnsi" w:cs="Arial"/>
          <w:sz w:val="22"/>
          <w:szCs w:val="22"/>
        </w:rPr>
        <w:t xml:space="preserve"> was also found in the southern NE Pacific</w:t>
      </w:r>
      <w:r w:rsidR="00CD4F70">
        <w:rPr>
          <w:rFonts w:asciiTheme="minorHAnsi" w:hAnsiTheme="minorHAnsi" w:cs="Arial"/>
          <w:sz w:val="22"/>
          <w:szCs w:val="22"/>
        </w:rPr>
        <w:t xml:space="preserve"> populations</w:t>
      </w:r>
      <w:r w:rsidRPr="00CD4F70">
        <w:rPr>
          <w:rFonts w:asciiTheme="minorHAnsi" w:hAnsiTheme="minorHAnsi" w:cs="Arial"/>
          <w:sz w:val="22"/>
          <w:szCs w:val="22"/>
        </w:rPr>
        <w:t>. Interestingly</w:t>
      </w:r>
      <w:r w:rsidRPr="00796FFF">
        <w:rPr>
          <w:rFonts w:asciiTheme="minorHAnsi" w:hAnsiTheme="minorHAnsi" w:cs="Arial"/>
          <w:sz w:val="22"/>
          <w:szCs w:val="22"/>
        </w:rPr>
        <w:t>, the MLGs distribution found in the recently reported populations of Sidi Bouzid (no. 5</w:t>
      </w:r>
      <w:r>
        <w:rPr>
          <w:rFonts w:asciiTheme="minorHAnsi" w:hAnsiTheme="minorHAnsi" w:cs="Arial"/>
          <w:sz w:val="22"/>
          <w:szCs w:val="22"/>
        </w:rPr>
        <w:t>5</w:t>
      </w:r>
      <w:r w:rsidRPr="00796FFF">
        <w:rPr>
          <w:rFonts w:asciiTheme="minorHAnsi" w:hAnsiTheme="minorHAnsi" w:cs="Arial"/>
          <w:sz w:val="22"/>
          <w:szCs w:val="22"/>
        </w:rPr>
        <w:t xml:space="preserve">) is more similar to the one observed in </w:t>
      </w:r>
      <w:r>
        <w:rPr>
          <w:rFonts w:asciiTheme="minorHAnsi" w:hAnsiTheme="minorHAnsi" w:cs="Arial"/>
          <w:sz w:val="22"/>
          <w:szCs w:val="22"/>
        </w:rPr>
        <w:t>the s</w:t>
      </w:r>
      <w:r w:rsidRPr="00796FFF">
        <w:rPr>
          <w:rFonts w:asciiTheme="minorHAnsi" w:hAnsiTheme="minorHAnsi" w:cs="Arial"/>
          <w:sz w:val="22"/>
          <w:szCs w:val="22"/>
        </w:rPr>
        <w:t>outh</w:t>
      </w:r>
      <w:r>
        <w:rPr>
          <w:rFonts w:asciiTheme="minorHAnsi" w:hAnsiTheme="minorHAnsi" w:cs="Arial"/>
          <w:sz w:val="22"/>
          <w:szCs w:val="22"/>
        </w:rPr>
        <w:t>ern</w:t>
      </w:r>
      <w:r w:rsidRPr="00796FFF">
        <w:rPr>
          <w:rFonts w:asciiTheme="minorHAnsi" w:hAnsiTheme="minorHAnsi" w:cs="Arial"/>
          <w:sz w:val="22"/>
          <w:szCs w:val="22"/>
        </w:rPr>
        <w:t xml:space="preserve"> </w:t>
      </w:r>
      <w:r>
        <w:rPr>
          <w:rFonts w:asciiTheme="minorHAnsi" w:hAnsiTheme="minorHAnsi" w:cs="Arial"/>
          <w:sz w:val="22"/>
          <w:szCs w:val="22"/>
        </w:rPr>
        <w:t>NE Pacific</w:t>
      </w:r>
      <w:r w:rsidRPr="00796FFF">
        <w:rPr>
          <w:rFonts w:asciiTheme="minorHAnsi" w:hAnsiTheme="minorHAnsi" w:cs="Arial"/>
          <w:sz w:val="22"/>
          <w:szCs w:val="22"/>
        </w:rPr>
        <w:t xml:space="preserve"> than in the other </w:t>
      </w:r>
      <w:r w:rsidRPr="00267032">
        <w:rPr>
          <w:rFonts w:asciiTheme="minorHAnsi" w:hAnsiTheme="minorHAnsi" w:cs="Arial"/>
          <w:sz w:val="22"/>
          <w:szCs w:val="22"/>
        </w:rPr>
        <w:t>NE Atlantic</w:t>
      </w:r>
      <w:r w:rsidRPr="00796FFF">
        <w:rPr>
          <w:rFonts w:asciiTheme="minorHAnsi" w:hAnsiTheme="minorHAnsi" w:cs="Arial"/>
          <w:sz w:val="22"/>
          <w:szCs w:val="22"/>
        </w:rPr>
        <w:t xml:space="preserve"> populations</w:t>
      </w:r>
      <w:r>
        <w:rPr>
          <w:rFonts w:asciiTheme="minorHAnsi" w:hAnsiTheme="minorHAnsi" w:cs="Arial"/>
          <w:sz w:val="22"/>
          <w:szCs w:val="22"/>
        </w:rPr>
        <w:t xml:space="preserve"> (Fig. 2B)</w:t>
      </w:r>
      <w:r w:rsidRPr="00796FFF">
        <w:rPr>
          <w:rFonts w:asciiTheme="minorHAnsi" w:hAnsiTheme="minorHAnsi" w:cs="Arial"/>
          <w:sz w:val="22"/>
          <w:szCs w:val="22"/>
        </w:rPr>
        <w:t>.</w:t>
      </w:r>
    </w:p>
    <w:p w14:paraId="515E4AA0" w14:textId="77777777" w:rsidR="00FD140A" w:rsidRDefault="00FD140A" w:rsidP="00EE38CE">
      <w:pPr>
        <w:pStyle w:val="BodyText"/>
        <w:spacing w:before="101" w:line="360" w:lineRule="auto"/>
        <w:ind w:left="0" w:firstLine="709"/>
        <w:jc w:val="both"/>
        <w:rPr>
          <w:rFonts w:asciiTheme="minorHAnsi" w:hAnsiTheme="minorHAnsi" w:cs="Arial"/>
          <w:sz w:val="22"/>
          <w:szCs w:val="22"/>
        </w:rPr>
      </w:pPr>
      <w:r w:rsidRPr="000B5344">
        <w:rPr>
          <w:rFonts w:asciiTheme="minorHAnsi" w:hAnsiTheme="minorHAnsi" w:cs="Arial"/>
          <w:sz w:val="22"/>
          <w:szCs w:val="22"/>
        </w:rPr>
        <w:t>Population selfing rates were also variable both among and within geographic ranges. The average value across populations was more than three times higher in the native range (s=0.765) as compared to either the NE Pacific (s=0.261) or the NE Atlantic (s=0.244) introduction ranges (Table 1). In the native range, all the populations exhibited 50% or more selfing</w:t>
      </w:r>
      <w:r>
        <w:rPr>
          <w:rFonts w:asciiTheme="minorHAnsi" w:hAnsiTheme="minorHAnsi" w:cs="Arial"/>
          <w:sz w:val="22"/>
          <w:szCs w:val="22"/>
        </w:rPr>
        <w:t>,</w:t>
      </w:r>
      <w:r w:rsidRPr="000B5344">
        <w:rPr>
          <w:rFonts w:asciiTheme="minorHAnsi" w:hAnsiTheme="minorHAnsi" w:cs="Arial"/>
          <w:sz w:val="22"/>
          <w:szCs w:val="22"/>
        </w:rPr>
        <w:t xml:space="preserve"> with the highest values obtained in Arida (no. 5 in Fig. 1) and Anan (no. 6), potentially strictly selfing populations (s&gt;0.98)</w:t>
      </w:r>
      <w:r w:rsidRPr="000B5344" w:rsidDel="000C00F0">
        <w:rPr>
          <w:rFonts w:asciiTheme="minorHAnsi" w:hAnsiTheme="minorHAnsi" w:cs="Arial"/>
          <w:sz w:val="22"/>
          <w:szCs w:val="22"/>
        </w:rPr>
        <w:t xml:space="preserve"> </w:t>
      </w:r>
      <w:r w:rsidRPr="000B5344">
        <w:rPr>
          <w:rFonts w:asciiTheme="minorHAnsi" w:hAnsiTheme="minorHAnsi" w:cs="Arial"/>
          <w:sz w:val="22"/>
          <w:szCs w:val="22"/>
        </w:rPr>
        <w:t>(Table S5). In the introduced ranges, only five populations located in the northern part of the NE Pacific (no. 10, 12) and in the NE Atlantic (19, 43, 51 and 54) exhibited selfing rate greater than 0.5, yet for the populations</w:t>
      </w:r>
      <w:r>
        <w:rPr>
          <w:rFonts w:asciiTheme="minorHAnsi" w:hAnsiTheme="minorHAnsi" w:cs="Arial"/>
          <w:sz w:val="22"/>
          <w:szCs w:val="22"/>
        </w:rPr>
        <w:t xml:space="preserve"> </w:t>
      </w:r>
      <w:r w:rsidRPr="000B5344">
        <w:rPr>
          <w:rFonts w:asciiTheme="minorHAnsi" w:hAnsiTheme="minorHAnsi" w:cs="Arial"/>
          <w:sz w:val="22"/>
          <w:szCs w:val="22"/>
        </w:rPr>
        <w:t xml:space="preserve">no. 12 and 43, the confidence interval is including zero. All the other populations presented low selfing </w:t>
      </w:r>
      <w:r w:rsidRPr="000B5344">
        <w:rPr>
          <w:rFonts w:asciiTheme="minorHAnsi" w:hAnsiTheme="minorHAnsi" w:cs="Arial"/>
          <w:sz w:val="22"/>
          <w:szCs w:val="22"/>
        </w:rPr>
        <w:lastRenderedPageBreak/>
        <w:t>rates, with values not significantly different from zero (Table S5). Altogether, all populations from the southern NE Pacific and five out of seven NE Atlantic populations appeared to be preferentially outcrossing, and at significantly higher rates than in the native range (Wilcoxon rank sum test, P=0.004).</w:t>
      </w:r>
    </w:p>
    <w:p w14:paraId="2961CE3E" w14:textId="77777777" w:rsidR="00FD140A" w:rsidRDefault="00FD140A" w:rsidP="00EE38CE">
      <w:pPr>
        <w:pStyle w:val="BodyText"/>
        <w:spacing w:before="101" w:line="360" w:lineRule="auto"/>
        <w:ind w:left="0" w:firstLine="709"/>
        <w:jc w:val="both"/>
        <w:rPr>
          <w:rFonts w:asciiTheme="minorHAnsi" w:hAnsiTheme="minorHAnsi" w:cs="Arial"/>
          <w:b/>
          <w:sz w:val="22"/>
          <w:szCs w:val="22"/>
        </w:rPr>
      </w:pPr>
    </w:p>
    <w:p w14:paraId="2831EC81" w14:textId="77777777" w:rsidR="00FD140A" w:rsidRPr="00E7529E" w:rsidRDefault="00FD140A" w:rsidP="00EE38CE">
      <w:pPr>
        <w:pStyle w:val="BodyText"/>
        <w:spacing w:before="101" w:line="360" w:lineRule="auto"/>
        <w:ind w:left="0"/>
        <w:jc w:val="both"/>
        <w:rPr>
          <w:rFonts w:asciiTheme="minorHAnsi" w:hAnsiTheme="minorHAnsi" w:cs="Arial"/>
          <w:b/>
          <w:sz w:val="22"/>
          <w:szCs w:val="22"/>
        </w:rPr>
      </w:pPr>
      <w:r w:rsidRPr="00E7529E">
        <w:rPr>
          <w:rFonts w:asciiTheme="minorHAnsi" w:hAnsiTheme="minorHAnsi" w:cs="Arial"/>
          <w:b/>
          <w:sz w:val="22"/>
          <w:szCs w:val="22"/>
        </w:rPr>
        <w:t>Genetic structure revealed by R</w:t>
      </w:r>
      <w:r>
        <w:rPr>
          <w:rFonts w:asciiTheme="minorHAnsi" w:hAnsiTheme="minorHAnsi" w:cs="Arial"/>
          <w:b/>
          <w:sz w:val="22"/>
          <w:szCs w:val="22"/>
        </w:rPr>
        <w:t>AD-s</w:t>
      </w:r>
      <w:r w:rsidRPr="00E7529E">
        <w:rPr>
          <w:rFonts w:asciiTheme="minorHAnsi" w:hAnsiTheme="minorHAnsi" w:cs="Arial"/>
          <w:b/>
          <w:sz w:val="22"/>
          <w:szCs w:val="22"/>
        </w:rPr>
        <w:t>eq loci</w:t>
      </w:r>
    </w:p>
    <w:p w14:paraId="1E4ACB62" w14:textId="19B44270" w:rsidR="00FD140A" w:rsidRDefault="00FD140A" w:rsidP="00EE38CE">
      <w:pPr>
        <w:pStyle w:val="BodyText"/>
        <w:spacing w:before="101" w:line="360" w:lineRule="auto"/>
        <w:ind w:left="0"/>
        <w:jc w:val="both"/>
        <w:rPr>
          <w:rFonts w:asciiTheme="minorHAnsi" w:hAnsiTheme="minorHAnsi" w:cs="Arial"/>
          <w:sz w:val="22"/>
          <w:szCs w:val="22"/>
        </w:rPr>
      </w:pPr>
      <w:r w:rsidRPr="00DA11AC">
        <w:rPr>
          <w:rFonts w:asciiTheme="minorHAnsi" w:hAnsiTheme="minorHAnsi" w:cs="Arial"/>
          <w:sz w:val="22"/>
          <w:szCs w:val="22"/>
        </w:rPr>
        <w:t xml:space="preserve">A principal component analysis carried out on a set of 256 individuals </w:t>
      </w:r>
      <w:r>
        <w:rPr>
          <w:rFonts w:asciiTheme="minorHAnsi" w:hAnsiTheme="minorHAnsi" w:cs="Arial"/>
          <w:sz w:val="22"/>
          <w:szCs w:val="22"/>
        </w:rPr>
        <w:t>with less than 5</w:t>
      </w:r>
      <w:r w:rsidRPr="00DA11AC">
        <w:rPr>
          <w:rFonts w:asciiTheme="minorHAnsi" w:hAnsiTheme="minorHAnsi" w:cs="Arial"/>
          <w:sz w:val="22"/>
          <w:szCs w:val="22"/>
        </w:rPr>
        <w:t>0% of missing data each</w:t>
      </w:r>
      <w:r>
        <w:rPr>
          <w:rFonts w:asciiTheme="minorHAnsi" w:hAnsiTheme="minorHAnsi" w:cs="Arial"/>
          <w:sz w:val="22"/>
          <w:szCs w:val="22"/>
        </w:rPr>
        <w:t xml:space="preserve"> (leading to 10% of missing data in the whole dataset)</w:t>
      </w:r>
      <w:r w:rsidRPr="00DA11AC">
        <w:rPr>
          <w:rFonts w:asciiTheme="minorHAnsi" w:hAnsiTheme="minorHAnsi" w:cs="Arial"/>
          <w:sz w:val="22"/>
          <w:szCs w:val="22"/>
        </w:rPr>
        <w:t xml:space="preserve"> revealed genetic differentiation among and within the </w:t>
      </w:r>
      <w:r>
        <w:rPr>
          <w:rFonts w:asciiTheme="minorHAnsi" w:hAnsiTheme="minorHAnsi" w:cs="Arial"/>
          <w:sz w:val="22"/>
          <w:szCs w:val="22"/>
        </w:rPr>
        <w:t>three</w:t>
      </w:r>
      <w:r w:rsidRPr="00DA11AC">
        <w:rPr>
          <w:rFonts w:asciiTheme="minorHAnsi" w:hAnsiTheme="minorHAnsi" w:cs="Arial"/>
          <w:sz w:val="22"/>
          <w:szCs w:val="22"/>
        </w:rPr>
        <w:t xml:space="preserve"> areas (Fig. </w:t>
      </w:r>
      <w:r>
        <w:rPr>
          <w:rFonts w:asciiTheme="minorHAnsi" w:hAnsiTheme="minorHAnsi" w:cs="Arial"/>
          <w:sz w:val="22"/>
          <w:szCs w:val="22"/>
        </w:rPr>
        <w:t xml:space="preserve">3). </w:t>
      </w:r>
      <w:r w:rsidRPr="00742CCD">
        <w:rPr>
          <w:rFonts w:asciiTheme="minorHAnsi" w:hAnsiTheme="minorHAnsi" w:cs="Arial"/>
          <w:sz w:val="22"/>
          <w:szCs w:val="22"/>
        </w:rPr>
        <w:t xml:space="preserve">The first two principal </w:t>
      </w:r>
      <w:r w:rsidRPr="00DD6E92">
        <w:rPr>
          <w:rFonts w:asciiTheme="minorHAnsi" w:hAnsiTheme="minorHAnsi" w:cs="Arial"/>
          <w:sz w:val="22"/>
          <w:szCs w:val="22"/>
        </w:rPr>
        <w:t>components, accounting for 43.5 and 16.4 %</w:t>
      </w:r>
      <w:r w:rsidRPr="00742CCD">
        <w:rPr>
          <w:rFonts w:asciiTheme="minorHAnsi" w:hAnsiTheme="minorHAnsi" w:cs="Arial"/>
          <w:sz w:val="22"/>
          <w:szCs w:val="22"/>
        </w:rPr>
        <w:t xml:space="preserve"> of the genetic variance, discriminated (i) the introduced </w:t>
      </w:r>
      <w:r>
        <w:rPr>
          <w:rFonts w:asciiTheme="minorHAnsi" w:hAnsiTheme="minorHAnsi" w:cs="Arial"/>
          <w:sz w:val="22"/>
          <w:szCs w:val="22"/>
        </w:rPr>
        <w:t xml:space="preserve">populations </w:t>
      </w:r>
      <w:r w:rsidRPr="00742CCD">
        <w:rPr>
          <w:rFonts w:asciiTheme="minorHAnsi" w:hAnsiTheme="minorHAnsi" w:cs="Arial"/>
          <w:sz w:val="22"/>
          <w:szCs w:val="22"/>
        </w:rPr>
        <w:t>and a few native individuals (Anan (</w:t>
      </w:r>
      <w:r>
        <w:rPr>
          <w:rFonts w:asciiTheme="minorHAnsi" w:hAnsiTheme="minorHAnsi" w:cs="Arial"/>
          <w:sz w:val="22"/>
          <w:szCs w:val="22"/>
        </w:rPr>
        <w:t xml:space="preserve">no. 6, </w:t>
      </w:r>
      <w:r w:rsidRPr="00742CCD">
        <w:rPr>
          <w:rFonts w:asciiTheme="minorHAnsi" w:hAnsiTheme="minorHAnsi" w:cs="Arial"/>
          <w:sz w:val="22"/>
          <w:szCs w:val="22"/>
        </w:rPr>
        <w:t>N=6), Arida</w:t>
      </w:r>
      <w:r>
        <w:rPr>
          <w:rFonts w:asciiTheme="minorHAnsi" w:hAnsiTheme="minorHAnsi" w:cs="Arial"/>
          <w:sz w:val="22"/>
          <w:szCs w:val="22"/>
        </w:rPr>
        <w:t xml:space="preserve"> </w:t>
      </w:r>
      <w:r w:rsidRPr="00742CCD">
        <w:rPr>
          <w:rFonts w:asciiTheme="minorHAnsi" w:hAnsiTheme="minorHAnsi" w:cs="Arial"/>
          <w:sz w:val="22"/>
          <w:szCs w:val="22"/>
        </w:rPr>
        <w:t>(</w:t>
      </w:r>
      <w:r>
        <w:rPr>
          <w:rFonts w:asciiTheme="minorHAnsi" w:hAnsiTheme="minorHAnsi" w:cs="Arial"/>
          <w:sz w:val="22"/>
          <w:szCs w:val="22"/>
        </w:rPr>
        <w:t xml:space="preserve">no. 5, </w:t>
      </w:r>
      <w:r w:rsidRPr="00742CCD">
        <w:rPr>
          <w:rFonts w:asciiTheme="minorHAnsi" w:hAnsiTheme="minorHAnsi" w:cs="Arial"/>
          <w:sz w:val="22"/>
          <w:szCs w:val="22"/>
        </w:rPr>
        <w:t xml:space="preserve">N=4)) from the native </w:t>
      </w:r>
      <w:r>
        <w:rPr>
          <w:rFonts w:asciiTheme="minorHAnsi" w:hAnsiTheme="minorHAnsi" w:cs="Arial"/>
          <w:sz w:val="22"/>
          <w:szCs w:val="22"/>
        </w:rPr>
        <w:t>populations,</w:t>
      </w:r>
      <w:r w:rsidRPr="00742CCD">
        <w:rPr>
          <w:rFonts w:asciiTheme="minorHAnsi" w:hAnsiTheme="minorHAnsi" w:cs="Arial"/>
          <w:sz w:val="22"/>
          <w:szCs w:val="22"/>
        </w:rPr>
        <w:t xml:space="preserve"> and (ii)</w:t>
      </w:r>
      <w:r>
        <w:rPr>
          <w:rFonts w:asciiTheme="minorHAnsi" w:hAnsiTheme="minorHAnsi" w:cs="Arial"/>
          <w:sz w:val="22"/>
          <w:szCs w:val="22"/>
        </w:rPr>
        <w:t xml:space="preserve"> </w:t>
      </w:r>
      <w:r w:rsidRPr="00742CCD">
        <w:rPr>
          <w:rFonts w:asciiTheme="minorHAnsi" w:hAnsiTheme="minorHAnsi" w:cs="Arial"/>
          <w:sz w:val="22"/>
          <w:szCs w:val="22"/>
        </w:rPr>
        <w:t xml:space="preserve">the Kashikojima population </w:t>
      </w:r>
      <w:r>
        <w:rPr>
          <w:rFonts w:asciiTheme="minorHAnsi" w:hAnsiTheme="minorHAnsi" w:cs="Arial"/>
          <w:sz w:val="22"/>
          <w:szCs w:val="22"/>
        </w:rPr>
        <w:t xml:space="preserve">(no. 3) </w:t>
      </w:r>
      <w:r w:rsidRPr="00742CCD">
        <w:rPr>
          <w:rFonts w:asciiTheme="minorHAnsi" w:hAnsiTheme="minorHAnsi" w:cs="Arial"/>
          <w:sz w:val="22"/>
          <w:szCs w:val="22"/>
        </w:rPr>
        <w:t>from the rest o</w:t>
      </w:r>
      <w:r>
        <w:rPr>
          <w:rFonts w:asciiTheme="minorHAnsi" w:hAnsiTheme="minorHAnsi" w:cs="Arial"/>
          <w:sz w:val="22"/>
          <w:szCs w:val="22"/>
        </w:rPr>
        <w:t>f the native populations (Fig. 3</w:t>
      </w:r>
      <w:r w:rsidRPr="00742CCD">
        <w:rPr>
          <w:rFonts w:asciiTheme="minorHAnsi" w:hAnsiTheme="minorHAnsi" w:cs="Arial"/>
          <w:sz w:val="22"/>
          <w:szCs w:val="22"/>
        </w:rPr>
        <w:t xml:space="preserve">A). The third principal component (8.5%) </w:t>
      </w:r>
      <w:r>
        <w:rPr>
          <w:rFonts w:asciiTheme="minorHAnsi" w:hAnsiTheme="minorHAnsi" w:cs="Arial"/>
          <w:sz w:val="22"/>
          <w:szCs w:val="22"/>
        </w:rPr>
        <w:t>revealed</w:t>
      </w:r>
      <w:r w:rsidRPr="00742CCD">
        <w:rPr>
          <w:rFonts w:asciiTheme="minorHAnsi" w:hAnsiTheme="minorHAnsi" w:cs="Arial"/>
          <w:sz w:val="22"/>
          <w:szCs w:val="22"/>
        </w:rPr>
        <w:t xml:space="preserve"> differentiation wit</w:t>
      </w:r>
      <w:r>
        <w:rPr>
          <w:rFonts w:asciiTheme="minorHAnsi" w:hAnsiTheme="minorHAnsi" w:cs="Arial"/>
          <w:sz w:val="22"/>
          <w:szCs w:val="22"/>
        </w:rPr>
        <w:t>hin the introduced range with t</w:t>
      </w:r>
      <w:r w:rsidRPr="00A632E8">
        <w:rPr>
          <w:rFonts w:asciiTheme="minorHAnsi" w:hAnsiTheme="minorHAnsi" w:cs="Arial"/>
          <w:sz w:val="22"/>
          <w:szCs w:val="22"/>
        </w:rPr>
        <w:t xml:space="preserve">wo </w:t>
      </w:r>
      <w:r>
        <w:rPr>
          <w:rFonts w:asciiTheme="minorHAnsi" w:hAnsiTheme="minorHAnsi" w:cs="Arial"/>
          <w:sz w:val="22"/>
          <w:szCs w:val="22"/>
        </w:rPr>
        <w:t>clearly distinguished</w:t>
      </w:r>
      <w:r w:rsidRPr="000B58F8">
        <w:rPr>
          <w:rFonts w:asciiTheme="minorHAnsi" w:hAnsiTheme="minorHAnsi" w:cs="Arial"/>
          <w:sz w:val="22"/>
          <w:szCs w:val="22"/>
        </w:rPr>
        <w:t xml:space="preserve"> </w:t>
      </w:r>
      <w:r w:rsidRPr="00A632E8">
        <w:rPr>
          <w:rFonts w:asciiTheme="minorHAnsi" w:hAnsiTheme="minorHAnsi" w:cs="Arial"/>
          <w:sz w:val="22"/>
          <w:szCs w:val="22"/>
        </w:rPr>
        <w:t>groups</w:t>
      </w:r>
      <w:r>
        <w:rPr>
          <w:rFonts w:asciiTheme="minorHAnsi" w:hAnsiTheme="minorHAnsi" w:cs="Arial"/>
          <w:sz w:val="22"/>
          <w:szCs w:val="22"/>
        </w:rPr>
        <w:t xml:space="preserve"> (Fig. 3</w:t>
      </w:r>
      <w:r w:rsidRPr="00742CCD">
        <w:rPr>
          <w:rFonts w:asciiTheme="minorHAnsi" w:hAnsiTheme="minorHAnsi" w:cs="Arial"/>
          <w:sz w:val="22"/>
          <w:szCs w:val="22"/>
        </w:rPr>
        <w:t>B)</w:t>
      </w:r>
      <w:r>
        <w:rPr>
          <w:rFonts w:asciiTheme="minorHAnsi" w:hAnsiTheme="minorHAnsi" w:cs="Arial"/>
          <w:sz w:val="22"/>
          <w:szCs w:val="22"/>
        </w:rPr>
        <w:t>. Interestingly,</w:t>
      </w:r>
      <w:r w:rsidRPr="00A632E8">
        <w:rPr>
          <w:rFonts w:asciiTheme="minorHAnsi" w:hAnsiTheme="minorHAnsi" w:cs="Arial"/>
          <w:sz w:val="22"/>
          <w:szCs w:val="22"/>
        </w:rPr>
        <w:t xml:space="preserve"> each </w:t>
      </w:r>
      <w:r>
        <w:rPr>
          <w:rFonts w:asciiTheme="minorHAnsi" w:hAnsiTheme="minorHAnsi" w:cs="Arial"/>
          <w:sz w:val="22"/>
          <w:szCs w:val="22"/>
        </w:rPr>
        <w:t xml:space="preserve">group was composed of </w:t>
      </w:r>
      <w:r w:rsidRPr="00A632E8">
        <w:rPr>
          <w:rFonts w:asciiTheme="minorHAnsi" w:hAnsiTheme="minorHAnsi" w:cs="Arial"/>
          <w:sz w:val="22"/>
          <w:szCs w:val="22"/>
        </w:rPr>
        <w:t xml:space="preserve">individuals from both </w:t>
      </w:r>
      <w:r>
        <w:rPr>
          <w:rFonts w:asciiTheme="minorHAnsi" w:hAnsiTheme="minorHAnsi" w:cs="Arial"/>
          <w:sz w:val="22"/>
          <w:szCs w:val="22"/>
        </w:rPr>
        <w:t>NE Pacific</w:t>
      </w:r>
      <w:r w:rsidRPr="00E7529E">
        <w:rPr>
          <w:rFonts w:asciiTheme="minorHAnsi" w:hAnsiTheme="minorHAnsi" w:cs="Arial"/>
          <w:sz w:val="22"/>
          <w:szCs w:val="22"/>
        </w:rPr>
        <w:t xml:space="preserve"> and </w:t>
      </w:r>
      <w:r w:rsidRPr="00267032">
        <w:rPr>
          <w:rFonts w:asciiTheme="minorHAnsi" w:hAnsiTheme="minorHAnsi" w:cs="Arial"/>
          <w:sz w:val="22"/>
          <w:szCs w:val="22"/>
        </w:rPr>
        <w:t>NE Atlantic</w:t>
      </w:r>
      <w:r w:rsidRPr="00E7529E">
        <w:rPr>
          <w:rFonts w:asciiTheme="minorHAnsi" w:hAnsiTheme="minorHAnsi" w:cs="Arial"/>
          <w:sz w:val="22"/>
          <w:szCs w:val="22"/>
        </w:rPr>
        <w:t>:</w:t>
      </w:r>
      <w:r>
        <w:rPr>
          <w:rFonts w:asciiTheme="minorHAnsi" w:hAnsiTheme="minorHAnsi" w:cs="Arial"/>
          <w:sz w:val="22"/>
          <w:szCs w:val="22"/>
        </w:rPr>
        <w:t xml:space="preserve"> i) </w:t>
      </w:r>
      <w:r w:rsidRPr="00E7529E">
        <w:rPr>
          <w:rFonts w:asciiTheme="minorHAnsi" w:hAnsiTheme="minorHAnsi" w:cs="Arial"/>
          <w:sz w:val="22"/>
          <w:szCs w:val="22"/>
        </w:rPr>
        <w:t xml:space="preserve">individuals from the </w:t>
      </w:r>
      <w:r>
        <w:rPr>
          <w:rFonts w:asciiTheme="minorHAnsi" w:hAnsiTheme="minorHAnsi" w:cs="Arial"/>
          <w:sz w:val="22"/>
          <w:szCs w:val="22"/>
        </w:rPr>
        <w:t>northern part</w:t>
      </w:r>
      <w:r w:rsidRPr="00E7529E">
        <w:rPr>
          <w:rFonts w:asciiTheme="minorHAnsi" w:hAnsiTheme="minorHAnsi" w:cs="Arial"/>
          <w:sz w:val="22"/>
          <w:szCs w:val="22"/>
        </w:rPr>
        <w:t xml:space="preserve"> </w:t>
      </w:r>
      <w:r>
        <w:rPr>
          <w:rFonts w:asciiTheme="minorHAnsi" w:hAnsiTheme="minorHAnsi" w:cs="Arial"/>
          <w:sz w:val="22"/>
          <w:szCs w:val="22"/>
        </w:rPr>
        <w:t xml:space="preserve">of the NE Pacific, namely </w:t>
      </w:r>
      <w:r w:rsidRPr="00E7529E">
        <w:rPr>
          <w:rFonts w:asciiTheme="minorHAnsi" w:hAnsiTheme="minorHAnsi" w:cs="Arial"/>
          <w:sz w:val="22"/>
          <w:szCs w:val="22"/>
        </w:rPr>
        <w:t>San Juan Island</w:t>
      </w:r>
      <w:r>
        <w:rPr>
          <w:rFonts w:asciiTheme="minorHAnsi" w:hAnsiTheme="minorHAnsi" w:cs="Arial"/>
          <w:sz w:val="22"/>
          <w:szCs w:val="22"/>
        </w:rPr>
        <w:t xml:space="preserve"> (no. 10)</w:t>
      </w:r>
      <w:r w:rsidRPr="00E7529E">
        <w:rPr>
          <w:rFonts w:asciiTheme="minorHAnsi" w:hAnsiTheme="minorHAnsi" w:cs="Arial"/>
          <w:sz w:val="22"/>
          <w:szCs w:val="22"/>
        </w:rPr>
        <w:t>, Tatoosh</w:t>
      </w:r>
      <w:r>
        <w:rPr>
          <w:rFonts w:asciiTheme="minorHAnsi" w:hAnsiTheme="minorHAnsi" w:cs="Arial"/>
          <w:sz w:val="22"/>
          <w:szCs w:val="22"/>
        </w:rPr>
        <w:t xml:space="preserve"> (no. 11)</w:t>
      </w:r>
      <w:r w:rsidRPr="00E7529E">
        <w:rPr>
          <w:rFonts w:asciiTheme="minorHAnsi" w:hAnsiTheme="minorHAnsi" w:cs="Arial"/>
          <w:sz w:val="22"/>
          <w:szCs w:val="22"/>
        </w:rPr>
        <w:t xml:space="preserve"> and Coos</w:t>
      </w:r>
      <w:r>
        <w:rPr>
          <w:rFonts w:asciiTheme="minorHAnsi" w:hAnsiTheme="minorHAnsi" w:cs="Arial"/>
          <w:sz w:val="22"/>
          <w:szCs w:val="22"/>
        </w:rPr>
        <w:t xml:space="preserve"> </w:t>
      </w:r>
      <w:r w:rsidRPr="00E7529E">
        <w:rPr>
          <w:rFonts w:asciiTheme="minorHAnsi" w:hAnsiTheme="minorHAnsi" w:cs="Arial"/>
          <w:sz w:val="22"/>
          <w:szCs w:val="22"/>
        </w:rPr>
        <w:t>Bay</w:t>
      </w:r>
      <w:r>
        <w:rPr>
          <w:rFonts w:asciiTheme="minorHAnsi" w:hAnsiTheme="minorHAnsi" w:cs="Arial"/>
          <w:sz w:val="22"/>
          <w:szCs w:val="22"/>
        </w:rPr>
        <w:t xml:space="preserve"> (no. 12)</w:t>
      </w:r>
      <w:r w:rsidRPr="00E7529E">
        <w:rPr>
          <w:rFonts w:asciiTheme="minorHAnsi" w:hAnsiTheme="minorHAnsi" w:cs="Arial"/>
          <w:sz w:val="22"/>
          <w:szCs w:val="22"/>
        </w:rPr>
        <w:t xml:space="preserve">) grouped with </w:t>
      </w:r>
      <w:r w:rsidRPr="00267032">
        <w:rPr>
          <w:rFonts w:asciiTheme="minorHAnsi" w:hAnsiTheme="minorHAnsi" w:cs="Arial"/>
          <w:sz w:val="22"/>
          <w:szCs w:val="22"/>
        </w:rPr>
        <w:t>NE Atlantic</w:t>
      </w:r>
      <w:r w:rsidRPr="00E7529E">
        <w:rPr>
          <w:rFonts w:asciiTheme="minorHAnsi" w:hAnsiTheme="minorHAnsi" w:cs="Arial"/>
          <w:sz w:val="22"/>
          <w:szCs w:val="22"/>
        </w:rPr>
        <w:t xml:space="preserve"> individuals </w:t>
      </w:r>
      <w:r>
        <w:rPr>
          <w:rFonts w:asciiTheme="minorHAnsi" w:hAnsiTheme="minorHAnsi" w:cs="Arial"/>
          <w:sz w:val="22"/>
          <w:szCs w:val="22"/>
        </w:rPr>
        <w:t xml:space="preserve">from </w:t>
      </w:r>
      <w:r w:rsidRPr="00E7529E">
        <w:rPr>
          <w:rFonts w:asciiTheme="minorHAnsi" w:hAnsiTheme="minorHAnsi" w:cs="Arial"/>
          <w:sz w:val="22"/>
          <w:szCs w:val="22"/>
        </w:rPr>
        <w:t>Thau</w:t>
      </w:r>
      <w:r>
        <w:rPr>
          <w:rFonts w:asciiTheme="minorHAnsi" w:hAnsiTheme="minorHAnsi" w:cs="Arial"/>
          <w:sz w:val="22"/>
          <w:szCs w:val="22"/>
        </w:rPr>
        <w:t xml:space="preserve"> (no. 51)</w:t>
      </w:r>
      <w:r w:rsidRPr="00E7529E">
        <w:rPr>
          <w:rFonts w:asciiTheme="minorHAnsi" w:hAnsiTheme="minorHAnsi" w:cs="Arial"/>
          <w:sz w:val="22"/>
          <w:szCs w:val="22"/>
        </w:rPr>
        <w:t xml:space="preserve"> and Porto</w:t>
      </w:r>
      <w:r>
        <w:rPr>
          <w:rFonts w:asciiTheme="minorHAnsi" w:hAnsiTheme="minorHAnsi" w:cs="Arial"/>
          <w:sz w:val="22"/>
          <w:szCs w:val="22"/>
        </w:rPr>
        <w:t xml:space="preserve"> (no. 54)</w:t>
      </w:r>
      <w:r w:rsidRPr="00E7529E">
        <w:rPr>
          <w:rFonts w:asciiTheme="minorHAnsi" w:hAnsiTheme="minorHAnsi" w:cs="Arial"/>
          <w:sz w:val="22"/>
          <w:szCs w:val="22"/>
        </w:rPr>
        <w:t xml:space="preserve"> </w:t>
      </w:r>
      <w:r>
        <w:rPr>
          <w:rFonts w:asciiTheme="minorHAnsi" w:hAnsiTheme="minorHAnsi" w:cs="Arial"/>
          <w:sz w:val="22"/>
          <w:szCs w:val="22"/>
        </w:rPr>
        <w:t xml:space="preserve">(i.e., NEA- group 2 in Fig. 3B) </w:t>
      </w:r>
      <w:r w:rsidRPr="00E7529E">
        <w:rPr>
          <w:rFonts w:asciiTheme="minorHAnsi" w:hAnsiTheme="minorHAnsi" w:cs="Arial"/>
          <w:sz w:val="22"/>
          <w:szCs w:val="22"/>
        </w:rPr>
        <w:t xml:space="preserve">and </w:t>
      </w:r>
      <w:r>
        <w:rPr>
          <w:rFonts w:asciiTheme="minorHAnsi" w:hAnsiTheme="minorHAnsi" w:cs="Arial"/>
          <w:sz w:val="22"/>
          <w:szCs w:val="22"/>
        </w:rPr>
        <w:t xml:space="preserve">ii) </w:t>
      </w:r>
      <w:r w:rsidRPr="00E7529E">
        <w:rPr>
          <w:rFonts w:asciiTheme="minorHAnsi" w:hAnsiTheme="minorHAnsi" w:cs="Arial"/>
          <w:sz w:val="22"/>
          <w:szCs w:val="22"/>
        </w:rPr>
        <w:t>the south</w:t>
      </w:r>
      <w:r>
        <w:rPr>
          <w:rFonts w:asciiTheme="minorHAnsi" w:hAnsiTheme="minorHAnsi" w:cs="Arial"/>
          <w:sz w:val="22"/>
          <w:szCs w:val="22"/>
        </w:rPr>
        <w:t>ern populations of the NE Pacific</w:t>
      </w:r>
      <w:r w:rsidRPr="00E7529E" w:rsidDel="000B58F8">
        <w:rPr>
          <w:rFonts w:asciiTheme="minorHAnsi" w:hAnsiTheme="minorHAnsi" w:cs="Arial"/>
          <w:sz w:val="22"/>
          <w:szCs w:val="22"/>
        </w:rPr>
        <w:t xml:space="preserve"> </w:t>
      </w:r>
      <w:r>
        <w:rPr>
          <w:rFonts w:asciiTheme="minorHAnsi" w:hAnsiTheme="minorHAnsi" w:cs="Arial"/>
          <w:sz w:val="22"/>
          <w:szCs w:val="22"/>
        </w:rPr>
        <w:t xml:space="preserve">(no. 15, 16 and 18) </w:t>
      </w:r>
      <w:r w:rsidRPr="00E7529E">
        <w:rPr>
          <w:rFonts w:asciiTheme="minorHAnsi" w:hAnsiTheme="minorHAnsi" w:cs="Arial"/>
          <w:sz w:val="22"/>
          <w:szCs w:val="22"/>
        </w:rPr>
        <w:t xml:space="preserve">grouped with the rest of the </w:t>
      </w:r>
      <w:r w:rsidRPr="00267032">
        <w:rPr>
          <w:rFonts w:asciiTheme="minorHAnsi" w:hAnsiTheme="minorHAnsi" w:cs="Arial"/>
          <w:sz w:val="22"/>
          <w:szCs w:val="22"/>
        </w:rPr>
        <w:t>NE Atlantic</w:t>
      </w:r>
      <w:r w:rsidRPr="00E7529E">
        <w:rPr>
          <w:rFonts w:asciiTheme="minorHAnsi" w:hAnsiTheme="minorHAnsi" w:cs="Arial"/>
          <w:sz w:val="22"/>
          <w:szCs w:val="22"/>
        </w:rPr>
        <w:t xml:space="preserve"> </w:t>
      </w:r>
      <w:r>
        <w:rPr>
          <w:rFonts w:asciiTheme="minorHAnsi" w:hAnsiTheme="minorHAnsi" w:cs="Arial"/>
          <w:sz w:val="22"/>
          <w:szCs w:val="22"/>
        </w:rPr>
        <w:t>localities (NEA-group 1 in Fig. 3B)</w:t>
      </w:r>
      <w:r w:rsidRPr="00E7529E">
        <w:rPr>
          <w:rFonts w:asciiTheme="minorHAnsi" w:hAnsiTheme="minorHAnsi" w:cs="Arial"/>
          <w:sz w:val="22"/>
          <w:szCs w:val="22"/>
        </w:rPr>
        <w:t xml:space="preserve">. </w:t>
      </w:r>
      <w:r>
        <w:rPr>
          <w:rFonts w:asciiTheme="minorHAnsi" w:hAnsiTheme="minorHAnsi" w:cs="Arial"/>
          <w:sz w:val="22"/>
          <w:szCs w:val="22"/>
        </w:rPr>
        <w:t>The individual from San-Francisco Pier 39 (no. 13) appeared at an intermediate position along axis 3 between these two large groups.</w:t>
      </w:r>
    </w:p>
    <w:p w14:paraId="3669431F" w14:textId="58E3E8A3" w:rsidR="00FD140A" w:rsidRDefault="00FD140A" w:rsidP="00EE38CE">
      <w:pPr>
        <w:pStyle w:val="BodyText"/>
        <w:spacing w:before="101" w:line="360" w:lineRule="auto"/>
        <w:ind w:left="0" w:firstLine="709"/>
        <w:jc w:val="both"/>
        <w:rPr>
          <w:rFonts w:asciiTheme="minorHAnsi" w:hAnsiTheme="minorHAnsi" w:cs="Arial"/>
          <w:sz w:val="22"/>
          <w:szCs w:val="22"/>
        </w:rPr>
      </w:pPr>
      <w:r>
        <w:rPr>
          <w:rFonts w:asciiTheme="minorHAnsi" w:hAnsiTheme="minorHAnsi" w:cs="Arial"/>
          <w:sz w:val="22"/>
          <w:szCs w:val="22"/>
        </w:rPr>
        <w:t>C</w:t>
      </w:r>
      <w:r w:rsidRPr="00E7529E">
        <w:rPr>
          <w:rFonts w:asciiTheme="minorHAnsi" w:hAnsiTheme="minorHAnsi" w:cs="Arial"/>
          <w:sz w:val="22"/>
          <w:szCs w:val="22"/>
        </w:rPr>
        <w:t>lustering analyses using Instruct provided congruent results</w:t>
      </w:r>
      <w:r>
        <w:rPr>
          <w:rFonts w:asciiTheme="minorHAnsi" w:hAnsiTheme="minorHAnsi" w:cs="Arial"/>
          <w:sz w:val="22"/>
          <w:szCs w:val="22"/>
        </w:rPr>
        <w:t>.</w:t>
      </w:r>
      <w:r w:rsidRPr="00A632E8">
        <w:rPr>
          <w:rFonts w:asciiTheme="minorHAnsi" w:hAnsiTheme="minorHAnsi" w:cs="Arial"/>
          <w:sz w:val="22"/>
          <w:szCs w:val="22"/>
        </w:rPr>
        <w:t xml:space="preserve"> The lowest deviance information criterion (DIC) over </w:t>
      </w:r>
      <w:r>
        <w:rPr>
          <w:rFonts w:asciiTheme="minorHAnsi" w:hAnsiTheme="minorHAnsi" w:cs="Arial"/>
          <w:sz w:val="22"/>
          <w:szCs w:val="22"/>
        </w:rPr>
        <w:t>the whole</w:t>
      </w:r>
      <w:r w:rsidRPr="00A632E8">
        <w:rPr>
          <w:rFonts w:asciiTheme="minorHAnsi" w:hAnsiTheme="minorHAnsi" w:cs="Arial"/>
          <w:sz w:val="22"/>
          <w:szCs w:val="22"/>
        </w:rPr>
        <w:t xml:space="preserve"> dataset was obtained for K = 5</w:t>
      </w:r>
      <w:r>
        <w:rPr>
          <w:rFonts w:asciiTheme="minorHAnsi" w:hAnsiTheme="minorHAnsi" w:cs="Arial"/>
          <w:sz w:val="22"/>
          <w:szCs w:val="22"/>
        </w:rPr>
        <w:t>. The five clusters</w:t>
      </w:r>
      <w:r w:rsidRPr="00A632E8">
        <w:rPr>
          <w:rFonts w:asciiTheme="minorHAnsi" w:hAnsiTheme="minorHAnsi" w:cs="Arial"/>
          <w:sz w:val="22"/>
          <w:szCs w:val="22"/>
        </w:rPr>
        <w:t xml:space="preserve"> </w:t>
      </w:r>
      <w:r>
        <w:rPr>
          <w:rFonts w:asciiTheme="minorHAnsi" w:hAnsiTheme="minorHAnsi" w:cs="Arial"/>
          <w:sz w:val="22"/>
          <w:szCs w:val="22"/>
        </w:rPr>
        <w:t>defined four different groups of individuals (Fig. 4): two</w:t>
      </w:r>
      <w:r w:rsidRPr="00A632E8">
        <w:rPr>
          <w:rFonts w:asciiTheme="minorHAnsi" w:hAnsiTheme="minorHAnsi" w:cs="Arial"/>
          <w:sz w:val="22"/>
          <w:szCs w:val="22"/>
        </w:rPr>
        <w:t xml:space="preserve"> </w:t>
      </w:r>
      <w:r>
        <w:rPr>
          <w:rFonts w:asciiTheme="minorHAnsi" w:hAnsiTheme="minorHAnsi" w:cs="Arial"/>
          <w:sz w:val="22"/>
          <w:szCs w:val="22"/>
        </w:rPr>
        <w:t>genetic groups</w:t>
      </w:r>
      <w:r w:rsidRPr="00A632E8">
        <w:rPr>
          <w:rFonts w:asciiTheme="minorHAnsi" w:hAnsiTheme="minorHAnsi" w:cs="Arial"/>
          <w:sz w:val="22"/>
          <w:szCs w:val="22"/>
        </w:rPr>
        <w:t xml:space="preserve"> </w:t>
      </w:r>
      <w:r>
        <w:rPr>
          <w:rFonts w:asciiTheme="minorHAnsi" w:hAnsiTheme="minorHAnsi" w:cs="Arial"/>
          <w:sz w:val="22"/>
          <w:szCs w:val="22"/>
        </w:rPr>
        <w:t xml:space="preserve">(corresponding almost exclusively to the yellow and gray cluster) </w:t>
      </w:r>
      <w:r w:rsidRPr="00A632E8">
        <w:rPr>
          <w:rFonts w:asciiTheme="minorHAnsi" w:hAnsiTheme="minorHAnsi" w:cs="Arial"/>
          <w:sz w:val="22"/>
          <w:szCs w:val="22"/>
        </w:rPr>
        <w:t xml:space="preserve">exclusive to the native range, one </w:t>
      </w:r>
      <w:r>
        <w:rPr>
          <w:rFonts w:asciiTheme="minorHAnsi" w:hAnsiTheme="minorHAnsi" w:cs="Arial"/>
          <w:sz w:val="22"/>
          <w:szCs w:val="22"/>
        </w:rPr>
        <w:t>composed</w:t>
      </w:r>
      <w:r w:rsidRPr="00A632E8">
        <w:rPr>
          <w:rFonts w:asciiTheme="minorHAnsi" w:hAnsiTheme="minorHAnsi" w:cs="Arial"/>
          <w:sz w:val="22"/>
          <w:szCs w:val="22"/>
        </w:rPr>
        <w:t xml:space="preserve"> by </w:t>
      </w:r>
      <w:r>
        <w:rPr>
          <w:rFonts w:asciiTheme="minorHAnsi" w:hAnsiTheme="minorHAnsi" w:cs="Arial"/>
          <w:sz w:val="22"/>
          <w:szCs w:val="22"/>
        </w:rPr>
        <w:t xml:space="preserve">the </w:t>
      </w:r>
      <w:r w:rsidRPr="00A632E8">
        <w:rPr>
          <w:rFonts w:asciiTheme="minorHAnsi" w:hAnsiTheme="minorHAnsi" w:cs="Arial"/>
          <w:sz w:val="22"/>
          <w:szCs w:val="22"/>
        </w:rPr>
        <w:t>north</w:t>
      </w:r>
      <w:r>
        <w:rPr>
          <w:rFonts w:asciiTheme="minorHAnsi" w:hAnsiTheme="minorHAnsi" w:cs="Arial"/>
          <w:sz w:val="22"/>
          <w:szCs w:val="22"/>
        </w:rPr>
        <w:t>ern</w:t>
      </w:r>
      <w:r w:rsidRPr="00A632E8">
        <w:rPr>
          <w:rFonts w:asciiTheme="minorHAnsi" w:hAnsiTheme="minorHAnsi" w:cs="Arial"/>
          <w:sz w:val="22"/>
          <w:szCs w:val="22"/>
        </w:rPr>
        <w:t xml:space="preserve"> populations of </w:t>
      </w:r>
      <w:r>
        <w:rPr>
          <w:rFonts w:asciiTheme="minorHAnsi" w:hAnsiTheme="minorHAnsi" w:cs="Arial"/>
          <w:sz w:val="22"/>
          <w:szCs w:val="22"/>
        </w:rPr>
        <w:t xml:space="preserve">the NE Pacific and </w:t>
      </w:r>
      <w:r w:rsidRPr="00A632E8">
        <w:rPr>
          <w:rFonts w:asciiTheme="minorHAnsi" w:hAnsiTheme="minorHAnsi" w:cs="Arial"/>
          <w:sz w:val="22"/>
          <w:szCs w:val="22"/>
        </w:rPr>
        <w:t xml:space="preserve">part of </w:t>
      </w:r>
      <w:r>
        <w:rPr>
          <w:rFonts w:asciiTheme="minorHAnsi" w:hAnsiTheme="minorHAnsi" w:cs="Arial"/>
          <w:sz w:val="22"/>
          <w:szCs w:val="22"/>
        </w:rPr>
        <w:t xml:space="preserve">the individuals sampled in </w:t>
      </w:r>
      <w:r w:rsidRPr="00A632E8">
        <w:rPr>
          <w:rFonts w:asciiTheme="minorHAnsi" w:hAnsiTheme="minorHAnsi" w:cs="Arial"/>
          <w:sz w:val="22"/>
          <w:szCs w:val="22"/>
        </w:rPr>
        <w:t xml:space="preserve">Anan </w:t>
      </w:r>
      <w:r>
        <w:rPr>
          <w:rFonts w:asciiTheme="minorHAnsi" w:hAnsiTheme="minorHAnsi" w:cs="Arial"/>
          <w:sz w:val="22"/>
          <w:szCs w:val="22"/>
        </w:rPr>
        <w:t xml:space="preserve">(no.6) </w:t>
      </w:r>
      <w:r w:rsidRPr="00A632E8">
        <w:rPr>
          <w:rFonts w:asciiTheme="minorHAnsi" w:hAnsiTheme="minorHAnsi" w:cs="Arial"/>
          <w:sz w:val="22"/>
          <w:szCs w:val="22"/>
        </w:rPr>
        <w:t xml:space="preserve">and </w:t>
      </w:r>
      <w:r>
        <w:rPr>
          <w:rFonts w:asciiTheme="minorHAnsi" w:hAnsiTheme="minorHAnsi" w:cs="Arial"/>
          <w:sz w:val="22"/>
          <w:szCs w:val="22"/>
        </w:rPr>
        <w:t>the last one formed by</w:t>
      </w:r>
      <w:r w:rsidRPr="00A632E8">
        <w:rPr>
          <w:rFonts w:asciiTheme="minorHAnsi" w:hAnsiTheme="minorHAnsi" w:cs="Arial"/>
          <w:sz w:val="22"/>
          <w:szCs w:val="22"/>
        </w:rPr>
        <w:t xml:space="preserve"> Arida</w:t>
      </w:r>
      <w:r>
        <w:rPr>
          <w:rFonts w:asciiTheme="minorHAnsi" w:hAnsiTheme="minorHAnsi" w:cs="Arial"/>
          <w:sz w:val="22"/>
          <w:szCs w:val="22"/>
        </w:rPr>
        <w:t xml:space="preserve"> (no. 5)</w:t>
      </w:r>
      <w:r w:rsidRPr="00A632E8">
        <w:rPr>
          <w:rFonts w:asciiTheme="minorHAnsi" w:hAnsiTheme="minorHAnsi" w:cs="Arial"/>
          <w:sz w:val="22"/>
          <w:szCs w:val="22"/>
        </w:rPr>
        <w:t xml:space="preserve"> individuals, the south</w:t>
      </w:r>
      <w:r>
        <w:rPr>
          <w:rFonts w:asciiTheme="minorHAnsi" w:hAnsiTheme="minorHAnsi" w:cs="Arial"/>
          <w:sz w:val="22"/>
          <w:szCs w:val="22"/>
        </w:rPr>
        <w:t>ern</w:t>
      </w:r>
      <w:r w:rsidRPr="00A632E8">
        <w:rPr>
          <w:rFonts w:asciiTheme="minorHAnsi" w:hAnsiTheme="minorHAnsi" w:cs="Arial"/>
          <w:sz w:val="22"/>
          <w:szCs w:val="22"/>
        </w:rPr>
        <w:t xml:space="preserve"> populations of </w:t>
      </w:r>
      <w:r>
        <w:rPr>
          <w:rFonts w:asciiTheme="minorHAnsi" w:hAnsiTheme="minorHAnsi" w:cs="Arial"/>
          <w:sz w:val="22"/>
          <w:szCs w:val="22"/>
        </w:rPr>
        <w:t>the NE Pacific</w:t>
      </w:r>
      <w:r w:rsidRPr="00A632E8">
        <w:rPr>
          <w:rFonts w:asciiTheme="minorHAnsi" w:hAnsiTheme="minorHAnsi" w:cs="Arial"/>
          <w:sz w:val="22"/>
          <w:szCs w:val="22"/>
        </w:rPr>
        <w:t xml:space="preserve"> and </w:t>
      </w:r>
      <w:r w:rsidRPr="00267032">
        <w:rPr>
          <w:rFonts w:asciiTheme="minorHAnsi" w:hAnsiTheme="minorHAnsi" w:cs="Arial"/>
          <w:sz w:val="22"/>
          <w:szCs w:val="22"/>
        </w:rPr>
        <w:t>NE Atlantic</w:t>
      </w:r>
      <w:r w:rsidRPr="00A632E8">
        <w:rPr>
          <w:rFonts w:asciiTheme="minorHAnsi" w:hAnsiTheme="minorHAnsi" w:cs="Arial"/>
          <w:sz w:val="22"/>
          <w:szCs w:val="22"/>
        </w:rPr>
        <w:t xml:space="preserve"> populations. </w:t>
      </w:r>
      <w:r>
        <w:rPr>
          <w:rFonts w:asciiTheme="minorHAnsi" w:hAnsiTheme="minorHAnsi" w:cs="Arial"/>
          <w:sz w:val="22"/>
          <w:szCs w:val="22"/>
        </w:rPr>
        <w:t xml:space="preserve">The individual of San Francisco </w:t>
      </w:r>
      <w:r w:rsidR="00CD4F70">
        <w:rPr>
          <w:rFonts w:asciiTheme="minorHAnsi" w:hAnsiTheme="minorHAnsi" w:cs="Arial"/>
          <w:sz w:val="22"/>
          <w:szCs w:val="22"/>
        </w:rPr>
        <w:t xml:space="preserve">Pier 39 (no. 13) </w:t>
      </w:r>
      <w:r>
        <w:rPr>
          <w:rFonts w:asciiTheme="minorHAnsi" w:hAnsiTheme="minorHAnsi" w:cs="Arial"/>
          <w:sz w:val="22"/>
          <w:szCs w:val="22"/>
        </w:rPr>
        <w:t>display</w:t>
      </w:r>
      <w:r w:rsidR="00CD4F70">
        <w:rPr>
          <w:rFonts w:asciiTheme="minorHAnsi" w:hAnsiTheme="minorHAnsi" w:cs="Arial"/>
          <w:sz w:val="22"/>
          <w:szCs w:val="22"/>
        </w:rPr>
        <w:t>ed</w:t>
      </w:r>
      <w:r>
        <w:rPr>
          <w:rFonts w:asciiTheme="minorHAnsi" w:hAnsiTheme="minorHAnsi" w:cs="Arial"/>
          <w:sz w:val="22"/>
          <w:szCs w:val="22"/>
        </w:rPr>
        <w:t xml:space="preserve"> a membership pattern intermediate between the northern and the southern NE Pacific populations. Also </w:t>
      </w:r>
      <w:r w:rsidRPr="00A632E8">
        <w:rPr>
          <w:rFonts w:asciiTheme="minorHAnsi" w:hAnsiTheme="minorHAnsi" w:cs="Arial"/>
          <w:sz w:val="22"/>
          <w:szCs w:val="22"/>
        </w:rPr>
        <w:t>Thau</w:t>
      </w:r>
      <w:r>
        <w:rPr>
          <w:rFonts w:asciiTheme="minorHAnsi" w:hAnsiTheme="minorHAnsi" w:cs="Arial"/>
          <w:sz w:val="22"/>
          <w:szCs w:val="22"/>
        </w:rPr>
        <w:t xml:space="preserve"> (no. 51)</w:t>
      </w:r>
      <w:r w:rsidRPr="00A632E8">
        <w:rPr>
          <w:rFonts w:asciiTheme="minorHAnsi" w:hAnsiTheme="minorHAnsi" w:cs="Arial"/>
          <w:sz w:val="22"/>
          <w:szCs w:val="22"/>
        </w:rPr>
        <w:t xml:space="preserve"> and Porto </w:t>
      </w:r>
      <w:r>
        <w:rPr>
          <w:rFonts w:asciiTheme="minorHAnsi" w:hAnsiTheme="minorHAnsi" w:cs="Arial"/>
          <w:sz w:val="22"/>
          <w:szCs w:val="22"/>
        </w:rPr>
        <w:t>(no. 54) displayed</w:t>
      </w:r>
      <w:r w:rsidRPr="00A632E8">
        <w:rPr>
          <w:rFonts w:asciiTheme="minorHAnsi" w:hAnsiTheme="minorHAnsi" w:cs="Arial"/>
          <w:sz w:val="22"/>
          <w:szCs w:val="22"/>
        </w:rPr>
        <w:t xml:space="preserve"> a particular pattern with</w:t>
      </w:r>
      <w:r>
        <w:rPr>
          <w:rFonts w:asciiTheme="minorHAnsi" w:hAnsiTheme="minorHAnsi" w:cs="Arial"/>
          <w:sz w:val="22"/>
          <w:szCs w:val="22"/>
        </w:rPr>
        <w:t xml:space="preserve"> many individuals showing a strong membership to a particular</w:t>
      </w:r>
      <w:r w:rsidRPr="00A632E8">
        <w:rPr>
          <w:rFonts w:asciiTheme="minorHAnsi" w:hAnsiTheme="minorHAnsi" w:cs="Arial"/>
          <w:sz w:val="22"/>
          <w:szCs w:val="22"/>
        </w:rPr>
        <w:t xml:space="preserve"> cluster </w:t>
      </w:r>
      <w:r>
        <w:rPr>
          <w:rFonts w:asciiTheme="minorHAnsi" w:hAnsiTheme="minorHAnsi" w:cs="Arial"/>
          <w:sz w:val="22"/>
          <w:szCs w:val="22"/>
        </w:rPr>
        <w:t xml:space="preserve">(shown in red in Fig. 4), sometimes admixed in variable proportion with the blue cluster. Note, however, that other individuals in Porto (no.54) shared a genetic background 100% similar to the genetic background found in the other </w:t>
      </w:r>
      <w:r w:rsidRPr="00267032">
        <w:rPr>
          <w:rFonts w:asciiTheme="minorHAnsi" w:hAnsiTheme="minorHAnsi" w:cs="Arial"/>
          <w:sz w:val="22"/>
          <w:szCs w:val="22"/>
        </w:rPr>
        <w:t>NE Atlantic</w:t>
      </w:r>
      <w:r>
        <w:rPr>
          <w:rFonts w:asciiTheme="minorHAnsi" w:hAnsiTheme="minorHAnsi" w:cs="Arial"/>
          <w:sz w:val="22"/>
          <w:szCs w:val="22"/>
        </w:rPr>
        <w:t xml:space="preserve"> populations.</w:t>
      </w:r>
      <w:r w:rsidRPr="00A632E8">
        <w:rPr>
          <w:rFonts w:asciiTheme="minorHAnsi" w:hAnsiTheme="minorHAnsi" w:cs="Arial"/>
          <w:sz w:val="22"/>
          <w:szCs w:val="22"/>
        </w:rPr>
        <w:t xml:space="preserve"> </w:t>
      </w:r>
      <w:r>
        <w:rPr>
          <w:rFonts w:asciiTheme="minorHAnsi" w:hAnsiTheme="minorHAnsi" w:cs="Arial"/>
          <w:sz w:val="22"/>
          <w:szCs w:val="22"/>
        </w:rPr>
        <w:t>The same clustering was observed by running independent analyses with samples from the introduced ranges only (Fig</w:t>
      </w:r>
      <w:r w:rsidR="00CD4F70">
        <w:rPr>
          <w:rFonts w:asciiTheme="minorHAnsi" w:hAnsiTheme="minorHAnsi" w:cs="Arial"/>
          <w:sz w:val="22"/>
          <w:szCs w:val="22"/>
        </w:rPr>
        <w:t>.</w:t>
      </w:r>
      <w:r>
        <w:rPr>
          <w:rFonts w:asciiTheme="minorHAnsi" w:hAnsiTheme="minorHAnsi" w:cs="Arial"/>
          <w:sz w:val="22"/>
          <w:szCs w:val="22"/>
        </w:rPr>
        <w:t xml:space="preserve"> S2B). </w:t>
      </w:r>
      <w:r w:rsidRPr="00A632E8">
        <w:rPr>
          <w:rFonts w:asciiTheme="minorHAnsi" w:hAnsiTheme="minorHAnsi" w:cs="Arial"/>
          <w:sz w:val="22"/>
          <w:szCs w:val="22"/>
        </w:rPr>
        <w:t xml:space="preserve">Running independent analysis with samples from the native range </w:t>
      </w:r>
      <w:r>
        <w:rPr>
          <w:rFonts w:asciiTheme="minorHAnsi" w:hAnsiTheme="minorHAnsi" w:cs="Arial"/>
          <w:sz w:val="22"/>
          <w:szCs w:val="22"/>
        </w:rPr>
        <w:t xml:space="preserve">however </w:t>
      </w:r>
      <w:r w:rsidRPr="00A632E8">
        <w:rPr>
          <w:rFonts w:asciiTheme="minorHAnsi" w:hAnsiTheme="minorHAnsi" w:cs="Arial"/>
          <w:sz w:val="22"/>
          <w:szCs w:val="22"/>
        </w:rPr>
        <w:t>allowed to discriminate Muroran</w:t>
      </w:r>
      <w:r>
        <w:rPr>
          <w:rFonts w:asciiTheme="minorHAnsi" w:hAnsiTheme="minorHAnsi" w:cs="Arial"/>
          <w:sz w:val="22"/>
          <w:szCs w:val="22"/>
        </w:rPr>
        <w:t xml:space="preserve"> (no. 1)</w:t>
      </w:r>
      <w:r w:rsidRPr="00A632E8">
        <w:rPr>
          <w:rFonts w:asciiTheme="minorHAnsi" w:hAnsiTheme="minorHAnsi" w:cs="Arial"/>
          <w:sz w:val="22"/>
          <w:szCs w:val="22"/>
        </w:rPr>
        <w:t xml:space="preserve"> from the other native populations, in particular Hiroshima</w:t>
      </w:r>
      <w:r w:rsidRPr="00A76C47">
        <w:rPr>
          <w:rFonts w:asciiTheme="minorHAnsi" w:hAnsiTheme="minorHAnsi" w:cs="Arial"/>
          <w:sz w:val="22"/>
          <w:szCs w:val="22"/>
        </w:rPr>
        <w:t xml:space="preserve"> </w:t>
      </w:r>
      <w:r>
        <w:rPr>
          <w:rFonts w:asciiTheme="minorHAnsi" w:hAnsiTheme="minorHAnsi" w:cs="Arial"/>
          <w:sz w:val="22"/>
          <w:szCs w:val="22"/>
        </w:rPr>
        <w:t xml:space="preserve">(no. 7, </w:t>
      </w:r>
      <w:r w:rsidRPr="00A76C47">
        <w:rPr>
          <w:rFonts w:asciiTheme="minorHAnsi" w:hAnsiTheme="minorHAnsi" w:cs="Arial"/>
          <w:sz w:val="22"/>
          <w:szCs w:val="22"/>
        </w:rPr>
        <w:t>Fig</w:t>
      </w:r>
      <w:r w:rsidR="00CD4F70">
        <w:rPr>
          <w:rFonts w:asciiTheme="minorHAnsi" w:hAnsiTheme="minorHAnsi" w:cs="Arial"/>
          <w:sz w:val="22"/>
          <w:szCs w:val="22"/>
        </w:rPr>
        <w:t>.</w:t>
      </w:r>
      <w:r w:rsidRPr="00A76C47">
        <w:rPr>
          <w:rFonts w:asciiTheme="minorHAnsi" w:hAnsiTheme="minorHAnsi" w:cs="Arial"/>
          <w:sz w:val="22"/>
          <w:szCs w:val="22"/>
        </w:rPr>
        <w:t xml:space="preserve"> S</w:t>
      </w:r>
      <w:r>
        <w:rPr>
          <w:rFonts w:asciiTheme="minorHAnsi" w:hAnsiTheme="minorHAnsi" w:cs="Arial"/>
          <w:sz w:val="22"/>
          <w:szCs w:val="22"/>
        </w:rPr>
        <w:t>2A</w:t>
      </w:r>
      <w:r w:rsidRPr="00A76C47">
        <w:rPr>
          <w:rFonts w:asciiTheme="minorHAnsi" w:hAnsiTheme="minorHAnsi" w:cs="Arial"/>
          <w:sz w:val="22"/>
          <w:szCs w:val="22"/>
        </w:rPr>
        <w:t>)</w:t>
      </w:r>
      <w:r w:rsidRPr="00A632E8">
        <w:rPr>
          <w:rFonts w:asciiTheme="minorHAnsi" w:hAnsiTheme="minorHAnsi" w:cs="Arial"/>
          <w:sz w:val="22"/>
          <w:szCs w:val="22"/>
        </w:rPr>
        <w:t>.</w:t>
      </w:r>
    </w:p>
    <w:p w14:paraId="7F40D1E7" w14:textId="77777777" w:rsidR="00FD140A" w:rsidRPr="00A76C47" w:rsidRDefault="00FD140A" w:rsidP="00EE38CE">
      <w:pPr>
        <w:pStyle w:val="BodyText"/>
        <w:spacing w:before="101" w:line="360" w:lineRule="auto"/>
        <w:ind w:left="0" w:firstLine="709"/>
        <w:jc w:val="both"/>
        <w:rPr>
          <w:rFonts w:asciiTheme="minorHAnsi" w:hAnsiTheme="minorHAnsi" w:cs="Arial"/>
          <w:sz w:val="22"/>
          <w:szCs w:val="22"/>
        </w:rPr>
      </w:pPr>
      <w:r>
        <w:rPr>
          <w:rFonts w:asciiTheme="minorHAnsi" w:hAnsiTheme="minorHAnsi" w:cs="Arial"/>
          <w:sz w:val="22"/>
          <w:szCs w:val="22"/>
        </w:rPr>
        <w:lastRenderedPageBreak/>
        <w:t>Pairwise Fst-values and associated dendogram (Fig. S3) supported the main findings and population clustering obtained with both PCA and model-based clustering analyses presented above.</w:t>
      </w:r>
    </w:p>
    <w:p w14:paraId="74C17C5B" w14:textId="77777777" w:rsidR="00FD140A" w:rsidRDefault="00471F83" w:rsidP="00EE38CE">
      <w:pPr>
        <w:pStyle w:val="Heading1"/>
        <w:keepNext/>
        <w:spacing w:line="360" w:lineRule="auto"/>
        <w:jc w:val="both"/>
        <w:rPr>
          <w:rFonts w:asciiTheme="minorHAnsi" w:hAnsiTheme="minorHAnsi"/>
          <w:sz w:val="22"/>
          <w:szCs w:val="22"/>
          <w:lang w:val="en-US"/>
        </w:rPr>
      </w:pPr>
      <w:r w:rsidRPr="00A632E8">
        <w:rPr>
          <w:rFonts w:asciiTheme="minorHAnsi" w:hAnsiTheme="minorHAnsi"/>
          <w:sz w:val="22"/>
          <w:szCs w:val="22"/>
          <w:lang w:val="en-US"/>
        </w:rPr>
        <w:t>DISCUSSION</w:t>
      </w:r>
    </w:p>
    <w:p w14:paraId="3DCCAF90" w14:textId="77777777" w:rsidR="00FD140A" w:rsidRDefault="00FD140A" w:rsidP="00471F83">
      <w:pPr>
        <w:spacing w:after="240" w:line="360" w:lineRule="auto"/>
        <w:jc w:val="both"/>
        <w:rPr>
          <w:bCs/>
          <w:lang w:val="en-GB"/>
        </w:rPr>
      </w:pPr>
      <w:r w:rsidRPr="00EE46D4">
        <w:t xml:space="preserve">Despite its status of </w:t>
      </w:r>
      <w:r>
        <w:t xml:space="preserve">an </w:t>
      </w:r>
      <w:r w:rsidRPr="00EE46D4">
        <w:t xml:space="preserve">emblematic worldwide invader, </w:t>
      </w:r>
      <w:r>
        <w:t>o</w:t>
      </w:r>
      <w:r w:rsidRPr="00EE46D4">
        <w:t xml:space="preserve">nly one previous study based on </w:t>
      </w:r>
      <w:r>
        <w:t xml:space="preserve">nuclear, plastidial and </w:t>
      </w:r>
      <w:r w:rsidRPr="00EE46D4">
        <w:t xml:space="preserve">mitochondrial sequencing </w:t>
      </w:r>
      <w:r>
        <w:rPr>
          <w:noProof/>
        </w:rPr>
        <w:t>(Cheang et al., 2010)</w:t>
      </w:r>
      <w:r w:rsidRPr="00EE46D4">
        <w:t xml:space="preserve"> attempted to elucidate the introduction history at the global scale of </w:t>
      </w:r>
      <w:r>
        <w:rPr>
          <w:bCs/>
          <w:lang w:val="en-GB"/>
        </w:rPr>
        <w:t xml:space="preserve">the brown alga </w:t>
      </w:r>
      <w:r>
        <w:rPr>
          <w:bCs/>
          <w:i/>
          <w:lang w:val="en-GB"/>
        </w:rPr>
        <w:t>Sargassum muticum</w:t>
      </w:r>
      <w:r>
        <w:t>.</w:t>
      </w:r>
      <w:r w:rsidRPr="00EE46D4">
        <w:t xml:space="preserve"> </w:t>
      </w:r>
      <w:r>
        <w:t>T</w:t>
      </w:r>
      <w:r w:rsidRPr="00EE46D4">
        <w:t xml:space="preserve">he </w:t>
      </w:r>
      <w:r>
        <w:t xml:space="preserve">extremely </w:t>
      </w:r>
      <w:r w:rsidRPr="00EE46D4">
        <w:t xml:space="preserve">low polymorphism (with only </w:t>
      </w:r>
      <w:r>
        <w:t>two</w:t>
      </w:r>
      <w:r w:rsidRPr="00EE46D4">
        <w:t xml:space="preserve"> </w:t>
      </w:r>
      <w:r>
        <w:t xml:space="preserve">mitochondrial </w:t>
      </w:r>
      <w:r w:rsidRPr="00EE46D4">
        <w:t xml:space="preserve">haplotypes in the whole study) </w:t>
      </w:r>
      <w:r>
        <w:t xml:space="preserve">however </w:t>
      </w:r>
      <w:r w:rsidRPr="00EE46D4">
        <w:t xml:space="preserve">prevented </w:t>
      </w:r>
      <w:r>
        <w:t>such</w:t>
      </w:r>
      <w:r w:rsidRPr="00EE46D4">
        <w:t xml:space="preserve"> investigations. </w:t>
      </w:r>
      <w:r>
        <w:t xml:space="preserve">In </w:t>
      </w:r>
      <w:r>
        <w:rPr>
          <w:bCs/>
          <w:lang w:val="en-GB"/>
        </w:rPr>
        <w:t>t</w:t>
      </w:r>
      <w:r w:rsidRPr="00534AA6">
        <w:rPr>
          <w:bCs/>
          <w:lang w:val="en-GB"/>
        </w:rPr>
        <w:t>his study</w:t>
      </w:r>
      <w:r>
        <w:rPr>
          <w:bCs/>
          <w:lang w:val="en-GB"/>
        </w:rPr>
        <w:t>, we aimed at using supposedly polymorphic nuclear markers, namely microsatellite loci, to</w:t>
      </w:r>
      <w:r w:rsidRPr="00534AA6">
        <w:rPr>
          <w:bCs/>
          <w:lang w:val="en-GB"/>
        </w:rPr>
        <w:t xml:space="preserve"> investigate</w:t>
      </w:r>
      <w:r>
        <w:rPr>
          <w:bCs/>
          <w:lang w:val="en-GB"/>
        </w:rPr>
        <w:t xml:space="preserve"> the population genetic diversity and structure of this worldwide invader. Despite an extensive sampling (c.a. 1500 specimens, 55 locations) encompassing the native (North East Asia) and introduced ranges (North East Pacific and the North East Atlantic), unexpectedly, no genetic diversity was detected over the two introduced ranges using 14 microsatellite markers. RAD-seq loci, however, revealed 1988 polymorphic loci across the two introduction ranges, compared to 8580 in the studied part of the native range. These results and their implication on our understanding of the introduction processes and success of the study species are discussed in turn below, notably regarding what has been documented in other marine introduced species.</w:t>
      </w:r>
    </w:p>
    <w:p w14:paraId="7077EE91" w14:textId="77777777" w:rsidR="00FD140A" w:rsidRPr="00A632E8" w:rsidRDefault="00FD140A" w:rsidP="00EE38CE">
      <w:pPr>
        <w:keepNext/>
        <w:spacing w:line="360" w:lineRule="auto"/>
        <w:jc w:val="both"/>
        <w:rPr>
          <w:b/>
        </w:rPr>
      </w:pPr>
      <w:r>
        <w:rPr>
          <w:b/>
        </w:rPr>
        <w:t>A p</w:t>
      </w:r>
      <w:r w:rsidRPr="00A632E8">
        <w:rPr>
          <w:b/>
        </w:rPr>
        <w:t xml:space="preserve">oorly diverse </w:t>
      </w:r>
      <w:r>
        <w:rPr>
          <w:b/>
        </w:rPr>
        <w:t xml:space="preserve">but successful introduced </w:t>
      </w:r>
      <w:r w:rsidRPr="00A632E8">
        <w:rPr>
          <w:b/>
        </w:rPr>
        <w:t>species</w:t>
      </w:r>
    </w:p>
    <w:p w14:paraId="440826EA" w14:textId="383D7F20" w:rsidR="00FD140A" w:rsidRPr="0006705E" w:rsidRDefault="00FD140A" w:rsidP="00EE38CE">
      <w:pPr>
        <w:pStyle w:val="BodyText"/>
        <w:spacing w:before="101" w:line="360" w:lineRule="auto"/>
        <w:ind w:left="0"/>
        <w:jc w:val="both"/>
        <w:rPr>
          <w:rFonts w:asciiTheme="minorHAnsi" w:hAnsiTheme="minorHAnsi" w:cs="Arial"/>
          <w:sz w:val="22"/>
          <w:szCs w:val="22"/>
        </w:rPr>
      </w:pPr>
      <w:r w:rsidRPr="00A632E8">
        <w:rPr>
          <w:rFonts w:asciiTheme="minorHAnsi" w:hAnsiTheme="minorHAnsi" w:cs="Arial"/>
          <w:sz w:val="22"/>
          <w:szCs w:val="22"/>
        </w:rPr>
        <w:t xml:space="preserve">Our first attempt at elucidating the invasion history of </w:t>
      </w:r>
      <w:r w:rsidRPr="00A632E8">
        <w:rPr>
          <w:rFonts w:asciiTheme="minorHAnsi" w:hAnsiTheme="minorHAnsi" w:cs="Arial"/>
          <w:i/>
          <w:sz w:val="22"/>
          <w:szCs w:val="22"/>
        </w:rPr>
        <w:t>S</w:t>
      </w:r>
      <w:r>
        <w:rPr>
          <w:rFonts w:asciiTheme="minorHAnsi" w:hAnsiTheme="minorHAnsi" w:cs="Arial"/>
          <w:i/>
          <w:sz w:val="22"/>
          <w:szCs w:val="22"/>
        </w:rPr>
        <w:t>.</w:t>
      </w:r>
      <w:r w:rsidRPr="00A632E8">
        <w:rPr>
          <w:rFonts w:asciiTheme="minorHAnsi" w:hAnsiTheme="minorHAnsi" w:cs="Arial"/>
          <w:i/>
          <w:sz w:val="22"/>
          <w:szCs w:val="22"/>
        </w:rPr>
        <w:t xml:space="preserve"> muticum</w:t>
      </w:r>
      <w:r w:rsidRPr="00A632E8">
        <w:rPr>
          <w:rFonts w:asciiTheme="minorHAnsi" w:hAnsiTheme="minorHAnsi" w:cs="Arial"/>
          <w:sz w:val="22"/>
          <w:szCs w:val="22"/>
        </w:rPr>
        <w:t xml:space="preserve"> consisted in gathering </w:t>
      </w:r>
      <w:r>
        <w:rPr>
          <w:rFonts w:asciiTheme="minorHAnsi" w:hAnsiTheme="minorHAnsi" w:cs="Arial"/>
          <w:sz w:val="22"/>
          <w:szCs w:val="22"/>
        </w:rPr>
        <w:t xml:space="preserve">microsatellite data on </w:t>
      </w:r>
      <w:r w:rsidRPr="00A632E8">
        <w:rPr>
          <w:rFonts w:asciiTheme="minorHAnsi" w:hAnsiTheme="minorHAnsi" w:cs="Arial"/>
          <w:sz w:val="22"/>
          <w:szCs w:val="22"/>
        </w:rPr>
        <w:t>a</w:t>
      </w:r>
      <w:r>
        <w:rPr>
          <w:rFonts w:asciiTheme="minorHAnsi" w:hAnsiTheme="minorHAnsi" w:cs="Arial"/>
          <w:sz w:val="22"/>
          <w:szCs w:val="22"/>
        </w:rPr>
        <w:t>n</w:t>
      </w:r>
      <w:r w:rsidRPr="00A632E8">
        <w:rPr>
          <w:rFonts w:asciiTheme="minorHAnsi" w:hAnsiTheme="minorHAnsi" w:cs="Arial"/>
          <w:sz w:val="22"/>
          <w:szCs w:val="22"/>
        </w:rPr>
        <w:t xml:space="preserve"> </w:t>
      </w:r>
      <w:r>
        <w:rPr>
          <w:rFonts w:asciiTheme="minorHAnsi" w:hAnsiTheme="minorHAnsi" w:cs="Arial"/>
          <w:sz w:val="22"/>
          <w:szCs w:val="22"/>
        </w:rPr>
        <w:t>extensive</w:t>
      </w:r>
      <w:r w:rsidRPr="00A632E8">
        <w:rPr>
          <w:rFonts w:asciiTheme="minorHAnsi" w:hAnsiTheme="minorHAnsi" w:cs="Arial"/>
          <w:sz w:val="22"/>
          <w:szCs w:val="22"/>
        </w:rPr>
        <w:t xml:space="preserve"> sampling covering </w:t>
      </w:r>
      <w:r>
        <w:rPr>
          <w:rFonts w:asciiTheme="minorHAnsi" w:hAnsiTheme="minorHAnsi" w:cs="Arial"/>
          <w:sz w:val="22"/>
          <w:szCs w:val="22"/>
        </w:rPr>
        <w:t>the</w:t>
      </w:r>
      <w:r w:rsidRPr="00A632E8">
        <w:rPr>
          <w:rFonts w:asciiTheme="minorHAnsi" w:hAnsiTheme="minorHAnsi" w:cs="Arial"/>
          <w:sz w:val="22"/>
          <w:szCs w:val="22"/>
        </w:rPr>
        <w:t xml:space="preserve"> </w:t>
      </w:r>
      <w:r>
        <w:rPr>
          <w:rFonts w:asciiTheme="minorHAnsi" w:hAnsiTheme="minorHAnsi" w:cs="Arial"/>
          <w:sz w:val="22"/>
          <w:szCs w:val="22"/>
        </w:rPr>
        <w:t xml:space="preserve">current </w:t>
      </w:r>
      <w:r w:rsidRPr="00A632E8">
        <w:rPr>
          <w:rFonts w:asciiTheme="minorHAnsi" w:hAnsiTheme="minorHAnsi" w:cs="Arial"/>
          <w:sz w:val="22"/>
          <w:szCs w:val="22"/>
        </w:rPr>
        <w:t>latitudinal scale</w:t>
      </w:r>
      <w:r>
        <w:rPr>
          <w:rFonts w:asciiTheme="minorHAnsi" w:hAnsiTheme="minorHAnsi" w:cs="Arial"/>
          <w:sz w:val="22"/>
          <w:szCs w:val="22"/>
        </w:rPr>
        <w:t xml:space="preserve"> of its introduction ranges, and including native samples from Japan, an area where the introduced populations were presumably </w:t>
      </w:r>
      <w:r w:rsidRPr="00A235CB">
        <w:rPr>
          <w:rFonts w:asciiTheme="minorHAnsi" w:hAnsiTheme="minorHAnsi" w:cs="Arial"/>
          <w:sz w:val="22"/>
          <w:szCs w:val="22"/>
        </w:rPr>
        <w:t xml:space="preserve">coming from </w:t>
      </w:r>
      <w:r w:rsidRPr="00A235CB">
        <w:rPr>
          <w:rFonts w:asciiTheme="minorHAnsi" w:hAnsiTheme="minorHAnsi" w:cs="Arial"/>
          <w:noProof/>
          <w:sz w:val="22"/>
          <w:szCs w:val="22"/>
        </w:rPr>
        <w:t>(Engelen et al., 2015)</w:t>
      </w:r>
      <w:r w:rsidRPr="00A235CB">
        <w:rPr>
          <w:rFonts w:asciiTheme="minorHAnsi" w:hAnsiTheme="minorHAnsi" w:cs="Arial"/>
          <w:sz w:val="22"/>
          <w:szCs w:val="22"/>
        </w:rPr>
        <w:t xml:space="preserve">. In the native range, the genetic diversity was low within but highly structured among populations, a pattern expected and often documented in partial selfing species </w:t>
      </w:r>
      <w:r w:rsidRPr="00A235CB">
        <w:rPr>
          <w:rFonts w:asciiTheme="minorHAnsi" w:hAnsiTheme="minorHAnsi" w:cs="Arial"/>
          <w:noProof/>
          <w:sz w:val="22"/>
          <w:szCs w:val="22"/>
        </w:rPr>
        <w:t>(Obbard, Harris, &amp; Pannell, 2006; Viard, Justy, &amp; Jarne, 1997)</w:t>
      </w:r>
      <w:r w:rsidRPr="00A235CB">
        <w:rPr>
          <w:rFonts w:asciiTheme="minorHAnsi" w:hAnsiTheme="minorHAnsi" w:cs="Arial"/>
          <w:sz w:val="22"/>
          <w:szCs w:val="22"/>
        </w:rPr>
        <w:t xml:space="preserve">. However, the most striking result was the absence of genetic diversity across 14 microsatellite markers over more than 1000 samples from both introduction ranges (Fig. 1). This lack of diversity contrasts sharply with other seaweed cases: for instance, a recent study by </w:t>
      </w:r>
      <w:r w:rsidRPr="00A235CB">
        <w:rPr>
          <w:rFonts w:asciiTheme="minorHAnsi" w:hAnsiTheme="minorHAnsi" w:cs="Arial"/>
          <w:noProof/>
          <w:sz w:val="22"/>
          <w:szCs w:val="22"/>
        </w:rPr>
        <w:t xml:space="preserve">Guzinski et al., </w:t>
      </w:r>
      <w:r w:rsidR="00CD4F70">
        <w:rPr>
          <w:rFonts w:asciiTheme="minorHAnsi" w:hAnsiTheme="minorHAnsi" w:cs="Arial"/>
          <w:noProof/>
          <w:sz w:val="22"/>
          <w:szCs w:val="22"/>
        </w:rPr>
        <w:t>(</w:t>
      </w:r>
      <w:r w:rsidRPr="00A235CB">
        <w:rPr>
          <w:rFonts w:asciiTheme="minorHAnsi" w:hAnsiTheme="minorHAnsi" w:cs="Arial"/>
          <w:noProof/>
          <w:sz w:val="22"/>
          <w:szCs w:val="22"/>
        </w:rPr>
        <w:t>2018)</w:t>
      </w:r>
      <w:r w:rsidRPr="00A235CB">
        <w:rPr>
          <w:rFonts w:asciiTheme="minorHAnsi" w:hAnsiTheme="minorHAnsi" w:cs="Arial"/>
          <w:sz w:val="22"/>
          <w:szCs w:val="22"/>
        </w:rPr>
        <w:t xml:space="preserve"> sho</w:t>
      </w:r>
      <w:r>
        <w:rPr>
          <w:rFonts w:asciiTheme="minorHAnsi" w:hAnsiTheme="minorHAnsi" w:cs="Arial"/>
          <w:sz w:val="22"/>
          <w:szCs w:val="22"/>
        </w:rPr>
        <w:t xml:space="preserve">wed that a dozen microsatellites provided roughly similar results as several thousand SNPs obtained from ddRAD-sequencing to analyze the connectivity and adaptation processes in the introduced seaweed </w:t>
      </w:r>
      <w:r w:rsidRPr="00C8434A">
        <w:rPr>
          <w:rFonts w:asciiTheme="minorHAnsi" w:hAnsiTheme="minorHAnsi" w:cs="Arial"/>
          <w:i/>
          <w:sz w:val="22"/>
          <w:szCs w:val="22"/>
        </w:rPr>
        <w:t>U. pinnatifida</w:t>
      </w:r>
      <w:r>
        <w:rPr>
          <w:rFonts w:asciiTheme="minorHAnsi" w:hAnsiTheme="minorHAnsi" w:cs="Arial"/>
          <w:sz w:val="22"/>
          <w:szCs w:val="22"/>
        </w:rPr>
        <w:t xml:space="preserve">, at a regional scale. </w:t>
      </w:r>
      <w:r w:rsidRPr="00A632E8">
        <w:rPr>
          <w:rFonts w:asciiTheme="minorHAnsi" w:hAnsiTheme="minorHAnsi" w:cs="Arial"/>
          <w:sz w:val="22"/>
          <w:szCs w:val="22"/>
        </w:rPr>
        <w:t>So far</w:t>
      </w:r>
      <w:r>
        <w:rPr>
          <w:rFonts w:asciiTheme="minorHAnsi" w:hAnsiTheme="minorHAnsi" w:cs="Arial"/>
          <w:sz w:val="22"/>
          <w:szCs w:val="22"/>
        </w:rPr>
        <w:t>,</w:t>
      </w:r>
      <w:r w:rsidRPr="00A632E8">
        <w:rPr>
          <w:rFonts w:asciiTheme="minorHAnsi" w:hAnsiTheme="minorHAnsi" w:cs="Arial"/>
          <w:sz w:val="22"/>
          <w:szCs w:val="22"/>
        </w:rPr>
        <w:t xml:space="preserve"> introduced populations of sexually reproducing marine invaders ha</w:t>
      </w:r>
      <w:r>
        <w:rPr>
          <w:rFonts w:asciiTheme="minorHAnsi" w:hAnsiTheme="minorHAnsi" w:cs="Arial"/>
          <w:sz w:val="22"/>
          <w:szCs w:val="22"/>
        </w:rPr>
        <w:t>ve</w:t>
      </w:r>
      <w:r w:rsidRPr="00A632E8">
        <w:rPr>
          <w:rFonts w:asciiTheme="minorHAnsi" w:hAnsiTheme="minorHAnsi" w:cs="Arial"/>
          <w:sz w:val="22"/>
          <w:szCs w:val="22"/>
        </w:rPr>
        <w:t xml:space="preserve"> never been shown to be monomorphic at microsatellites or similar type of highly variable markers. Monomorphism has been reported with </w:t>
      </w:r>
      <w:r>
        <w:rPr>
          <w:rFonts w:asciiTheme="minorHAnsi" w:hAnsiTheme="minorHAnsi" w:cs="Arial"/>
          <w:sz w:val="22"/>
          <w:szCs w:val="22"/>
        </w:rPr>
        <w:t xml:space="preserve">either </w:t>
      </w:r>
      <w:r w:rsidRPr="00A632E8">
        <w:rPr>
          <w:rFonts w:asciiTheme="minorHAnsi" w:hAnsiTheme="minorHAnsi" w:cs="Arial"/>
          <w:sz w:val="22"/>
          <w:szCs w:val="22"/>
        </w:rPr>
        <w:t>low</w:t>
      </w:r>
      <w:r>
        <w:rPr>
          <w:rFonts w:asciiTheme="minorHAnsi" w:hAnsiTheme="minorHAnsi" w:cs="Arial"/>
          <w:sz w:val="22"/>
          <w:szCs w:val="22"/>
        </w:rPr>
        <w:t>-</w:t>
      </w:r>
      <w:r w:rsidRPr="00A632E8">
        <w:rPr>
          <w:rFonts w:asciiTheme="minorHAnsi" w:hAnsiTheme="minorHAnsi" w:cs="Arial"/>
          <w:sz w:val="22"/>
          <w:szCs w:val="22"/>
        </w:rPr>
        <w:t>resolution markers</w:t>
      </w:r>
      <w:r>
        <w:rPr>
          <w:rFonts w:asciiTheme="minorHAnsi" w:hAnsiTheme="minorHAnsi" w:cs="Arial"/>
          <w:sz w:val="22"/>
          <w:szCs w:val="22"/>
        </w:rPr>
        <w:t xml:space="preserve">, including </w:t>
      </w:r>
      <w:r w:rsidRPr="00230E84">
        <w:rPr>
          <w:rFonts w:asciiTheme="minorHAnsi" w:hAnsiTheme="minorHAnsi" w:cs="Arial"/>
          <w:i/>
          <w:sz w:val="22"/>
          <w:szCs w:val="22"/>
        </w:rPr>
        <w:t>S. muticum</w:t>
      </w:r>
      <w:r>
        <w:rPr>
          <w:rFonts w:asciiTheme="minorHAnsi" w:hAnsiTheme="minorHAnsi" w:cs="Arial"/>
          <w:sz w:val="22"/>
          <w:szCs w:val="22"/>
        </w:rPr>
        <w:t xml:space="preserve"> with sequencing data from mitochondrial markers </w:t>
      </w:r>
      <w:r>
        <w:rPr>
          <w:rFonts w:asciiTheme="minorHAnsi" w:hAnsiTheme="minorHAnsi" w:cs="Arial"/>
          <w:noProof/>
          <w:sz w:val="22"/>
          <w:szCs w:val="22"/>
        </w:rPr>
        <w:t>(Cheang et al., 2010)</w:t>
      </w:r>
      <w:r>
        <w:rPr>
          <w:rFonts w:asciiTheme="minorHAnsi" w:hAnsiTheme="minorHAnsi" w:cs="Arial"/>
          <w:sz w:val="22"/>
          <w:szCs w:val="22"/>
        </w:rPr>
        <w:t>,</w:t>
      </w:r>
      <w:r w:rsidRPr="00A632E8">
        <w:rPr>
          <w:rFonts w:asciiTheme="minorHAnsi" w:hAnsiTheme="minorHAnsi" w:cs="Arial"/>
          <w:sz w:val="22"/>
          <w:szCs w:val="22"/>
        </w:rPr>
        <w:t xml:space="preserve"> or in clonal organisms (</w:t>
      </w:r>
      <w:r>
        <w:rPr>
          <w:rFonts w:asciiTheme="minorHAnsi" w:hAnsiTheme="minorHAnsi" w:cs="Arial"/>
          <w:sz w:val="22"/>
          <w:szCs w:val="22"/>
        </w:rPr>
        <w:t xml:space="preserve">e.g., the androgenetic </w:t>
      </w:r>
      <w:r w:rsidRPr="00592557">
        <w:rPr>
          <w:rFonts w:asciiTheme="minorHAnsi" w:hAnsiTheme="minorHAnsi" w:cs="Arial"/>
          <w:i/>
          <w:sz w:val="22"/>
          <w:szCs w:val="22"/>
        </w:rPr>
        <w:t>Corbicula</w:t>
      </w:r>
      <w:r>
        <w:rPr>
          <w:rFonts w:asciiTheme="minorHAnsi" w:hAnsiTheme="minorHAnsi" w:cs="Arial"/>
          <w:sz w:val="22"/>
          <w:szCs w:val="22"/>
        </w:rPr>
        <w:t xml:space="preserve"> </w:t>
      </w:r>
      <w:r>
        <w:rPr>
          <w:rFonts w:asciiTheme="minorHAnsi" w:hAnsiTheme="minorHAnsi" w:cs="Arial"/>
          <w:sz w:val="22"/>
          <w:szCs w:val="22"/>
        </w:rPr>
        <w:lastRenderedPageBreak/>
        <w:t xml:space="preserve">clams </w:t>
      </w:r>
      <w:r>
        <w:rPr>
          <w:rFonts w:asciiTheme="minorHAnsi" w:hAnsiTheme="minorHAnsi" w:cs="Arial"/>
          <w:noProof/>
          <w:sz w:val="22"/>
          <w:szCs w:val="22"/>
        </w:rPr>
        <w:t>(Pigneur et al., 2014)</w:t>
      </w:r>
      <w:r w:rsidR="00032ECC">
        <w:rPr>
          <w:rFonts w:asciiTheme="minorHAnsi" w:hAnsiTheme="minorHAnsi" w:cs="Arial"/>
          <w:noProof/>
          <w:sz w:val="22"/>
          <w:szCs w:val="22"/>
        </w:rPr>
        <w:t>;</w:t>
      </w:r>
      <w:r>
        <w:rPr>
          <w:rFonts w:asciiTheme="minorHAnsi" w:hAnsiTheme="minorHAnsi" w:cs="Arial"/>
          <w:noProof/>
          <w:sz w:val="22"/>
          <w:szCs w:val="22"/>
        </w:rPr>
        <w:t xml:space="preserve"> see other</w:t>
      </w:r>
      <w:r w:rsidRPr="00A632E8">
        <w:rPr>
          <w:rFonts w:asciiTheme="minorHAnsi" w:hAnsiTheme="minorHAnsi" w:cs="Arial"/>
          <w:sz w:val="22"/>
          <w:szCs w:val="22"/>
        </w:rPr>
        <w:t xml:space="preserve"> </w:t>
      </w:r>
      <w:r>
        <w:rPr>
          <w:rFonts w:asciiTheme="minorHAnsi" w:hAnsiTheme="minorHAnsi" w:cs="Arial"/>
          <w:sz w:val="22"/>
          <w:szCs w:val="22"/>
        </w:rPr>
        <w:t>examples and references</w:t>
      </w:r>
      <w:r w:rsidRPr="00A632E8">
        <w:rPr>
          <w:rFonts w:asciiTheme="minorHAnsi" w:hAnsiTheme="minorHAnsi" w:cs="Arial"/>
          <w:sz w:val="22"/>
          <w:szCs w:val="22"/>
        </w:rPr>
        <w:t xml:space="preserve"> </w:t>
      </w:r>
      <w:r>
        <w:rPr>
          <w:rFonts w:asciiTheme="minorHAnsi" w:hAnsiTheme="minorHAnsi" w:cs="Arial"/>
          <w:sz w:val="22"/>
          <w:szCs w:val="22"/>
        </w:rPr>
        <w:t xml:space="preserve">in </w:t>
      </w:r>
      <w:r>
        <w:rPr>
          <w:rFonts w:asciiTheme="minorHAnsi" w:hAnsiTheme="minorHAnsi" w:cs="Arial"/>
          <w:noProof/>
          <w:sz w:val="22"/>
          <w:szCs w:val="22"/>
        </w:rPr>
        <w:t xml:space="preserve">Roman &amp; Darling </w:t>
      </w:r>
      <w:r w:rsidR="00032ECC">
        <w:rPr>
          <w:rFonts w:asciiTheme="minorHAnsi" w:hAnsiTheme="minorHAnsi" w:cs="Arial"/>
          <w:noProof/>
          <w:sz w:val="22"/>
          <w:szCs w:val="22"/>
        </w:rPr>
        <w:t>(</w:t>
      </w:r>
      <w:r>
        <w:rPr>
          <w:rFonts w:asciiTheme="minorHAnsi" w:hAnsiTheme="minorHAnsi" w:cs="Arial"/>
          <w:noProof/>
          <w:sz w:val="22"/>
          <w:szCs w:val="22"/>
        </w:rPr>
        <w:t>2007)</w:t>
      </w:r>
      <w:r w:rsidRPr="00A632E8">
        <w:rPr>
          <w:rFonts w:asciiTheme="minorHAnsi" w:hAnsiTheme="minorHAnsi" w:cs="Arial"/>
          <w:sz w:val="22"/>
          <w:szCs w:val="22"/>
        </w:rPr>
        <w:t xml:space="preserve">). </w:t>
      </w:r>
      <w:r>
        <w:rPr>
          <w:rFonts w:asciiTheme="minorHAnsi" w:hAnsiTheme="minorHAnsi" w:cs="Arial"/>
          <w:sz w:val="22"/>
          <w:szCs w:val="22"/>
        </w:rPr>
        <w:t xml:space="preserve">The partially clonal green algae </w:t>
      </w:r>
      <w:r w:rsidRPr="0006705E">
        <w:rPr>
          <w:rFonts w:asciiTheme="minorHAnsi" w:hAnsiTheme="minorHAnsi" w:cs="Arial"/>
          <w:i/>
          <w:sz w:val="22"/>
          <w:szCs w:val="22"/>
        </w:rPr>
        <w:t>Caulerpa</w:t>
      </w:r>
      <w:r>
        <w:rPr>
          <w:rFonts w:asciiTheme="minorHAnsi" w:hAnsiTheme="minorHAnsi" w:cs="Arial"/>
          <w:i/>
          <w:sz w:val="22"/>
          <w:szCs w:val="22"/>
        </w:rPr>
        <w:t xml:space="preserve"> taxifolia </w:t>
      </w:r>
      <w:r>
        <w:rPr>
          <w:rFonts w:asciiTheme="minorHAnsi" w:hAnsiTheme="minorHAnsi" w:cs="Arial"/>
          <w:sz w:val="22"/>
          <w:szCs w:val="22"/>
        </w:rPr>
        <w:t>is also well-known for its monomorphism in the introduced Mediterranean populations following clonal spread from aquarium release, but it also exhibits higher genetic diversit</w:t>
      </w:r>
      <w:r w:rsidR="00CD4F70">
        <w:rPr>
          <w:rFonts w:asciiTheme="minorHAnsi" w:hAnsiTheme="minorHAnsi" w:cs="Arial"/>
          <w:sz w:val="22"/>
          <w:szCs w:val="22"/>
        </w:rPr>
        <w:t>y</w:t>
      </w:r>
      <w:r>
        <w:rPr>
          <w:rFonts w:asciiTheme="minorHAnsi" w:hAnsiTheme="minorHAnsi" w:cs="Arial"/>
          <w:sz w:val="22"/>
          <w:szCs w:val="22"/>
        </w:rPr>
        <w:t xml:space="preserve"> in a second introduction area (New South Wales, Australia) which might have originated from multiple introduction events and vectors </w:t>
      </w:r>
      <w:r>
        <w:rPr>
          <w:rFonts w:asciiTheme="minorHAnsi" w:hAnsiTheme="minorHAnsi" w:cs="Arial"/>
          <w:noProof/>
          <w:sz w:val="22"/>
          <w:szCs w:val="22"/>
        </w:rPr>
        <w:t>(Arnaud-Haond et al., 2017)</w:t>
      </w:r>
      <w:r>
        <w:rPr>
          <w:rFonts w:asciiTheme="minorHAnsi" w:hAnsiTheme="minorHAnsi" w:cs="Arial"/>
          <w:sz w:val="22"/>
          <w:szCs w:val="22"/>
        </w:rPr>
        <w:t>.</w:t>
      </w:r>
    </w:p>
    <w:p w14:paraId="07C9AAC4" w14:textId="50A3C703" w:rsidR="00FD140A" w:rsidRDefault="00FD140A" w:rsidP="00EE38CE">
      <w:pPr>
        <w:pStyle w:val="BodyText"/>
        <w:spacing w:before="101" w:line="360" w:lineRule="auto"/>
        <w:ind w:left="0" w:firstLine="709"/>
        <w:jc w:val="both"/>
        <w:rPr>
          <w:rFonts w:asciiTheme="minorHAnsi" w:hAnsiTheme="minorHAnsi" w:cs="Arial"/>
          <w:sz w:val="22"/>
          <w:szCs w:val="22"/>
        </w:rPr>
      </w:pPr>
      <w:r w:rsidRPr="00A632E8">
        <w:rPr>
          <w:rFonts w:asciiTheme="minorHAnsi" w:hAnsiTheme="minorHAnsi"/>
          <w:sz w:val="22"/>
          <w:szCs w:val="22"/>
        </w:rPr>
        <w:t>To investigate the magnitude of genetic diversity loss in the introduced range</w:t>
      </w:r>
      <w:r>
        <w:rPr>
          <w:rFonts w:asciiTheme="minorHAnsi" w:hAnsiTheme="minorHAnsi"/>
          <w:sz w:val="22"/>
          <w:szCs w:val="22"/>
        </w:rPr>
        <w:t>s</w:t>
      </w:r>
      <w:r w:rsidRPr="006B21B2">
        <w:rPr>
          <w:rFonts w:asciiTheme="minorHAnsi" w:hAnsiTheme="minorHAnsi"/>
          <w:sz w:val="22"/>
          <w:szCs w:val="22"/>
        </w:rPr>
        <w:t xml:space="preserve"> </w:t>
      </w:r>
      <w:r>
        <w:rPr>
          <w:rFonts w:asciiTheme="minorHAnsi" w:hAnsiTheme="minorHAnsi"/>
          <w:sz w:val="22"/>
          <w:szCs w:val="22"/>
        </w:rPr>
        <w:t xml:space="preserve">in more detail, we then carried out a genome-wide analysis using RAD-sequencing, a technique helpful to get thousands of markers through a reduced representation of the genome. </w:t>
      </w:r>
      <w:r w:rsidRPr="00A632E8">
        <w:rPr>
          <w:rFonts w:asciiTheme="minorHAnsi" w:hAnsiTheme="minorHAnsi" w:cs="Arial"/>
          <w:sz w:val="22"/>
          <w:szCs w:val="22"/>
        </w:rPr>
        <w:t>In the native range,</w:t>
      </w:r>
      <w:r>
        <w:rPr>
          <w:rFonts w:asciiTheme="minorHAnsi" w:hAnsiTheme="minorHAnsi" w:cs="Arial"/>
          <w:sz w:val="22"/>
          <w:szCs w:val="22"/>
        </w:rPr>
        <w:t xml:space="preserve"> </w:t>
      </w:r>
      <w:r w:rsidRPr="00A632E8">
        <w:rPr>
          <w:rFonts w:asciiTheme="minorHAnsi" w:hAnsiTheme="minorHAnsi" w:cs="Arial"/>
          <w:sz w:val="22"/>
          <w:szCs w:val="22"/>
        </w:rPr>
        <w:t>measures of genetic diversity and structure</w:t>
      </w:r>
      <w:r>
        <w:rPr>
          <w:rFonts w:asciiTheme="minorHAnsi" w:hAnsiTheme="minorHAnsi" w:cs="Arial"/>
          <w:sz w:val="22"/>
          <w:szCs w:val="22"/>
        </w:rPr>
        <w:t>, obtained with 8580 polymorphic RAD-seq loci,</w:t>
      </w:r>
      <w:r w:rsidRPr="00A632E8">
        <w:rPr>
          <w:rFonts w:asciiTheme="minorHAnsi" w:hAnsiTheme="minorHAnsi" w:cs="Arial"/>
          <w:sz w:val="22"/>
          <w:szCs w:val="22"/>
        </w:rPr>
        <w:t xml:space="preserve"> were consistent with </w:t>
      </w:r>
      <w:r>
        <w:rPr>
          <w:rFonts w:asciiTheme="minorHAnsi" w:hAnsiTheme="minorHAnsi" w:cs="Arial"/>
          <w:sz w:val="22"/>
          <w:szCs w:val="22"/>
        </w:rPr>
        <w:t xml:space="preserve">the </w:t>
      </w:r>
      <w:r w:rsidRPr="00A632E8">
        <w:rPr>
          <w:rFonts w:asciiTheme="minorHAnsi" w:hAnsiTheme="minorHAnsi" w:cs="Arial"/>
          <w:sz w:val="22"/>
          <w:szCs w:val="22"/>
        </w:rPr>
        <w:t>patterns observed with the microsatellite loci</w:t>
      </w:r>
      <w:r>
        <w:rPr>
          <w:rFonts w:asciiTheme="minorHAnsi" w:hAnsiTheme="minorHAnsi" w:cs="Arial"/>
          <w:sz w:val="22"/>
          <w:szCs w:val="22"/>
        </w:rPr>
        <w:t xml:space="preserve">, </w:t>
      </w:r>
      <w:r w:rsidRPr="00A632E8">
        <w:rPr>
          <w:rFonts w:asciiTheme="minorHAnsi" w:hAnsiTheme="minorHAnsi" w:cs="Arial"/>
          <w:sz w:val="22"/>
          <w:szCs w:val="22"/>
        </w:rPr>
        <w:t xml:space="preserve">validating the </w:t>
      </w:r>
      <w:r w:rsidRPr="00A632E8">
        <w:rPr>
          <w:rFonts w:asciiTheme="minorHAnsi" w:hAnsiTheme="minorHAnsi" w:cs="Arial"/>
          <w:i/>
          <w:sz w:val="22"/>
          <w:szCs w:val="22"/>
        </w:rPr>
        <w:t>de novo</w:t>
      </w:r>
      <w:r w:rsidRPr="00A632E8">
        <w:rPr>
          <w:rFonts w:asciiTheme="minorHAnsi" w:hAnsiTheme="minorHAnsi" w:cs="Arial"/>
          <w:sz w:val="22"/>
          <w:szCs w:val="22"/>
        </w:rPr>
        <w:t xml:space="preserve"> parameters used in the analysis</w:t>
      </w:r>
      <w:r>
        <w:rPr>
          <w:rFonts w:asciiTheme="minorHAnsi" w:hAnsiTheme="minorHAnsi" w:cs="Arial"/>
          <w:sz w:val="22"/>
          <w:szCs w:val="22"/>
        </w:rPr>
        <w:t>. For instance, population pairwise Fst-estimates computed with Rad-seq loci (Fig S3) and microsatellites (Table S4) in the native range were significantly correlated (Mantel test, p=0.006). However, polymorphism was</w:t>
      </w:r>
      <w:r w:rsidRPr="00A632E8">
        <w:rPr>
          <w:rFonts w:asciiTheme="minorHAnsi" w:hAnsiTheme="minorHAnsi" w:cs="Arial"/>
          <w:sz w:val="22"/>
          <w:szCs w:val="22"/>
        </w:rPr>
        <w:t xml:space="preserve"> </w:t>
      </w:r>
      <w:r>
        <w:rPr>
          <w:rFonts w:asciiTheme="minorHAnsi" w:hAnsiTheme="minorHAnsi" w:cs="Arial"/>
          <w:sz w:val="22"/>
          <w:szCs w:val="22"/>
        </w:rPr>
        <w:t xml:space="preserve">also </w:t>
      </w:r>
      <w:r w:rsidRPr="00A632E8">
        <w:rPr>
          <w:rFonts w:asciiTheme="minorHAnsi" w:hAnsiTheme="minorHAnsi" w:cs="Arial"/>
          <w:sz w:val="22"/>
          <w:szCs w:val="22"/>
        </w:rPr>
        <w:t>detected in the introduced range</w:t>
      </w:r>
      <w:r>
        <w:rPr>
          <w:rFonts w:asciiTheme="minorHAnsi" w:hAnsiTheme="minorHAnsi" w:cs="Arial"/>
          <w:sz w:val="22"/>
          <w:szCs w:val="22"/>
        </w:rPr>
        <w:t xml:space="preserve"> with RAD-seq loci, even though the genetic diversity was </w:t>
      </w:r>
      <w:r w:rsidRPr="00A632E8">
        <w:rPr>
          <w:rFonts w:asciiTheme="minorHAnsi" w:hAnsiTheme="minorHAnsi" w:cs="Arial"/>
          <w:sz w:val="22"/>
          <w:szCs w:val="22"/>
        </w:rPr>
        <w:t>much lower than in the native range</w:t>
      </w:r>
      <w:r>
        <w:rPr>
          <w:rFonts w:asciiTheme="minorHAnsi" w:hAnsiTheme="minorHAnsi" w:cs="Arial"/>
          <w:sz w:val="22"/>
          <w:szCs w:val="22"/>
        </w:rPr>
        <w:t xml:space="preserve">. As expected following a founder event </w:t>
      </w:r>
      <w:r>
        <w:rPr>
          <w:rFonts w:asciiTheme="minorHAnsi" w:hAnsiTheme="minorHAnsi" w:cs="Arial"/>
          <w:noProof/>
          <w:sz w:val="22"/>
          <w:szCs w:val="22"/>
        </w:rPr>
        <w:t>(Nei, Maruyama, &amp; Chakraborty, 1975)</w:t>
      </w:r>
      <w:r>
        <w:rPr>
          <w:rFonts w:asciiTheme="minorHAnsi" w:hAnsiTheme="minorHAnsi" w:cs="Arial"/>
          <w:sz w:val="22"/>
          <w:szCs w:val="22"/>
        </w:rPr>
        <w:t xml:space="preserve">, lower values for both the number of polymorphic loci and the gene diversity were observed in the introduction range. At both regional and population scales, on average, a ten-fold decrease in gene diversity was observed, and, per region four to </w:t>
      </w:r>
      <w:r w:rsidR="004B713C">
        <w:rPr>
          <w:rFonts w:asciiTheme="minorHAnsi" w:hAnsiTheme="minorHAnsi" w:cs="Arial"/>
          <w:sz w:val="22"/>
          <w:szCs w:val="22"/>
        </w:rPr>
        <w:t>70</w:t>
      </w:r>
      <w:r w:rsidR="00CD4F70">
        <w:rPr>
          <w:rFonts w:asciiTheme="minorHAnsi" w:hAnsiTheme="minorHAnsi" w:cs="Arial"/>
          <w:sz w:val="22"/>
          <w:szCs w:val="22"/>
        </w:rPr>
        <w:t xml:space="preserve"> </w:t>
      </w:r>
      <w:r>
        <w:rPr>
          <w:rFonts w:asciiTheme="minorHAnsi" w:hAnsiTheme="minorHAnsi" w:cs="Arial"/>
          <w:sz w:val="22"/>
          <w:szCs w:val="22"/>
        </w:rPr>
        <w:t xml:space="preserve">times less polymorphic loci (Table 1). The loss of genetic polymorphism was particularly strong in the NE Atlantic-group 1 and the three </w:t>
      </w:r>
      <w:r w:rsidRPr="00A632E8">
        <w:rPr>
          <w:rFonts w:asciiTheme="minorHAnsi" w:hAnsiTheme="minorHAnsi" w:cs="Arial"/>
          <w:sz w:val="22"/>
          <w:szCs w:val="22"/>
        </w:rPr>
        <w:t>southern population</w:t>
      </w:r>
      <w:r>
        <w:rPr>
          <w:rFonts w:asciiTheme="minorHAnsi" w:hAnsiTheme="minorHAnsi" w:cs="Arial"/>
          <w:sz w:val="22"/>
          <w:szCs w:val="22"/>
        </w:rPr>
        <w:t>s of the NE Pacific, two groups genetically distinguished from the other introduced populations</w:t>
      </w:r>
      <w:r w:rsidRPr="00A632E8">
        <w:rPr>
          <w:rFonts w:asciiTheme="minorHAnsi" w:hAnsiTheme="minorHAnsi" w:cs="Arial"/>
          <w:sz w:val="22"/>
          <w:szCs w:val="22"/>
        </w:rPr>
        <w:t>.</w:t>
      </w:r>
      <w:r>
        <w:rPr>
          <w:rFonts w:asciiTheme="minorHAnsi" w:hAnsiTheme="minorHAnsi" w:cs="Arial"/>
          <w:sz w:val="22"/>
          <w:szCs w:val="22"/>
        </w:rPr>
        <w:t xml:space="preserve"> This pattern is not explained by the number of individuals analyzed, for instance, Hs is 0.001 for the 87 individuals NE Atlantic-group 1 (ranging from Norway to Morocco), a value to be compared with 0.161 for the 60 Japanese individuals.</w:t>
      </w:r>
    </w:p>
    <w:p w14:paraId="5EA8C6D1" w14:textId="77777777" w:rsidR="00FD140A" w:rsidRPr="00A632E8" w:rsidRDefault="00FD140A" w:rsidP="00EE38CE">
      <w:pPr>
        <w:pStyle w:val="BodyText"/>
        <w:spacing w:before="101" w:line="360" w:lineRule="auto"/>
        <w:ind w:left="0" w:firstLine="709"/>
        <w:jc w:val="both"/>
        <w:rPr>
          <w:rFonts w:asciiTheme="minorHAnsi" w:hAnsiTheme="minorHAnsi" w:cs="Arial"/>
          <w:sz w:val="22"/>
          <w:szCs w:val="22"/>
        </w:rPr>
      </w:pPr>
      <w:r>
        <w:rPr>
          <w:rFonts w:asciiTheme="minorHAnsi" w:hAnsiTheme="minorHAnsi" w:cs="Arial"/>
          <w:sz w:val="22"/>
          <w:szCs w:val="22"/>
        </w:rPr>
        <w:t xml:space="preserve">Such low polymorphisms are in strong contrast with RAD-seq data obtained in other marine invaders. In the seaweed </w:t>
      </w:r>
      <w:r w:rsidRPr="00A632E8">
        <w:rPr>
          <w:rFonts w:asciiTheme="minorHAnsi" w:hAnsiTheme="minorHAnsi" w:cs="Arial"/>
          <w:i/>
          <w:sz w:val="22"/>
          <w:szCs w:val="22"/>
        </w:rPr>
        <w:t>Undaria pinnatifida</w:t>
      </w:r>
      <w:r>
        <w:rPr>
          <w:rFonts w:asciiTheme="minorHAnsi" w:hAnsiTheme="minorHAnsi" w:cs="Arial"/>
          <w:sz w:val="22"/>
          <w:szCs w:val="22"/>
        </w:rPr>
        <w:t xml:space="preserve">, native to Asia and introduced in </w:t>
      </w:r>
      <w:r w:rsidRPr="00267032">
        <w:rPr>
          <w:rFonts w:asciiTheme="minorHAnsi" w:hAnsiTheme="minorHAnsi" w:cs="Arial"/>
          <w:sz w:val="22"/>
          <w:szCs w:val="22"/>
        </w:rPr>
        <w:t>NE Atlantic</w:t>
      </w:r>
      <w:r>
        <w:rPr>
          <w:rFonts w:asciiTheme="minorHAnsi" w:hAnsiTheme="minorHAnsi" w:cs="Arial"/>
          <w:sz w:val="22"/>
          <w:szCs w:val="22"/>
        </w:rPr>
        <w:t xml:space="preserve">, </w:t>
      </w:r>
      <w:r>
        <w:rPr>
          <w:rFonts w:asciiTheme="minorHAnsi" w:hAnsiTheme="minorHAnsi" w:cs="Arial"/>
          <w:noProof/>
          <w:sz w:val="22"/>
          <w:szCs w:val="22"/>
        </w:rPr>
        <w:t>Guzinski</w:t>
      </w:r>
      <w:r w:rsidRPr="00AF6B14">
        <w:rPr>
          <w:rFonts w:asciiTheme="minorHAnsi" w:hAnsiTheme="minorHAnsi" w:cs="Arial"/>
          <w:i/>
          <w:noProof/>
          <w:sz w:val="22"/>
          <w:szCs w:val="22"/>
        </w:rPr>
        <w:t xml:space="preserve"> </w:t>
      </w:r>
      <w:r w:rsidRPr="00032ECC">
        <w:rPr>
          <w:rFonts w:asciiTheme="minorHAnsi" w:hAnsiTheme="minorHAnsi" w:cs="Arial"/>
          <w:noProof/>
          <w:sz w:val="22"/>
          <w:szCs w:val="22"/>
        </w:rPr>
        <w:t>et al</w:t>
      </w:r>
      <w:r w:rsidRPr="00AF6B14">
        <w:rPr>
          <w:rFonts w:asciiTheme="minorHAnsi" w:hAnsiTheme="minorHAnsi" w:cs="Arial"/>
          <w:i/>
          <w:noProof/>
          <w:sz w:val="22"/>
          <w:szCs w:val="22"/>
        </w:rPr>
        <w:t>.</w:t>
      </w:r>
      <w:r>
        <w:rPr>
          <w:rFonts w:asciiTheme="minorHAnsi" w:hAnsiTheme="minorHAnsi" w:cs="Arial"/>
          <w:noProof/>
          <w:sz w:val="22"/>
          <w:szCs w:val="22"/>
        </w:rPr>
        <w:t xml:space="preserve"> (2018)</w:t>
      </w:r>
      <w:r>
        <w:rPr>
          <w:rFonts w:asciiTheme="minorHAnsi" w:hAnsiTheme="minorHAnsi" w:cs="Arial"/>
          <w:sz w:val="22"/>
          <w:szCs w:val="22"/>
        </w:rPr>
        <w:t xml:space="preserve"> examined populations established in Brittany (France, </w:t>
      </w:r>
      <w:r w:rsidRPr="00267032">
        <w:rPr>
          <w:rFonts w:asciiTheme="minorHAnsi" w:hAnsiTheme="minorHAnsi" w:cs="Arial"/>
          <w:sz w:val="22"/>
          <w:szCs w:val="22"/>
        </w:rPr>
        <w:t>NE Atlantic</w:t>
      </w:r>
      <w:r>
        <w:rPr>
          <w:rFonts w:asciiTheme="minorHAnsi" w:hAnsiTheme="minorHAnsi" w:cs="Arial"/>
          <w:sz w:val="22"/>
          <w:szCs w:val="22"/>
        </w:rPr>
        <w:t xml:space="preserve">) since the 1980s using ddRAD-sequencing (and a similar protocol as in our study) and retained more than 10 000 polymorphic loci. This study provides to our knowledge the only RAD-seq-based analysis of introduced seaweeds published so far. However, other studies on marine introduced animals using the same technique have been carried out. For instance, </w:t>
      </w:r>
      <w:r>
        <w:rPr>
          <w:rFonts w:asciiTheme="minorHAnsi" w:hAnsiTheme="minorHAnsi" w:cs="Arial"/>
          <w:noProof/>
          <w:sz w:val="22"/>
          <w:szCs w:val="22"/>
        </w:rPr>
        <w:t>Jeffery</w:t>
      </w:r>
      <w:r w:rsidRPr="00AF6B14">
        <w:rPr>
          <w:rFonts w:asciiTheme="minorHAnsi" w:hAnsiTheme="minorHAnsi" w:cs="Arial"/>
          <w:i/>
          <w:noProof/>
          <w:sz w:val="22"/>
          <w:szCs w:val="22"/>
        </w:rPr>
        <w:t xml:space="preserve"> et al.</w:t>
      </w:r>
      <w:r>
        <w:rPr>
          <w:rFonts w:asciiTheme="minorHAnsi" w:hAnsiTheme="minorHAnsi" w:cs="Arial"/>
          <w:noProof/>
          <w:sz w:val="22"/>
          <w:szCs w:val="22"/>
        </w:rPr>
        <w:t xml:space="preserve"> (2017)</w:t>
      </w:r>
      <w:r>
        <w:rPr>
          <w:rFonts w:asciiTheme="minorHAnsi" w:hAnsiTheme="minorHAnsi" w:cs="Arial"/>
          <w:sz w:val="22"/>
          <w:szCs w:val="22"/>
        </w:rPr>
        <w:t xml:space="preserve"> found 9137 polymorphic loci in the Canadian introduced range of the crab </w:t>
      </w:r>
      <w:r w:rsidRPr="00A632E8">
        <w:rPr>
          <w:rFonts w:asciiTheme="minorHAnsi" w:hAnsiTheme="minorHAnsi" w:cs="Arial"/>
          <w:i/>
          <w:sz w:val="22"/>
          <w:szCs w:val="22"/>
        </w:rPr>
        <w:t>Carcinus maenas</w:t>
      </w:r>
      <w:r>
        <w:rPr>
          <w:rFonts w:asciiTheme="minorHAnsi" w:hAnsiTheme="minorHAnsi" w:cs="Arial"/>
          <w:sz w:val="22"/>
          <w:szCs w:val="22"/>
        </w:rPr>
        <w:t xml:space="preserve">. Similarly, in the mussel </w:t>
      </w:r>
      <w:r w:rsidRPr="00C959EC">
        <w:rPr>
          <w:rFonts w:asciiTheme="minorHAnsi" w:hAnsiTheme="minorHAnsi" w:cs="Arial"/>
          <w:i/>
          <w:sz w:val="22"/>
          <w:szCs w:val="22"/>
        </w:rPr>
        <w:t>Mytilus galloprovincialis</w:t>
      </w:r>
      <w:r>
        <w:rPr>
          <w:rFonts w:asciiTheme="minorHAnsi" w:hAnsiTheme="minorHAnsi" w:cs="Arial"/>
          <w:sz w:val="22"/>
          <w:szCs w:val="22"/>
        </w:rPr>
        <w:t xml:space="preserve">, </w:t>
      </w:r>
      <w:r>
        <w:rPr>
          <w:rFonts w:asciiTheme="minorHAnsi" w:hAnsiTheme="minorHAnsi" w:cs="Arial"/>
          <w:noProof/>
          <w:sz w:val="22"/>
          <w:szCs w:val="22"/>
        </w:rPr>
        <w:t>Saarman &amp; Pogson (2015)</w:t>
      </w:r>
      <w:r>
        <w:rPr>
          <w:rFonts w:asciiTheme="minorHAnsi" w:hAnsiTheme="minorHAnsi" w:cs="Arial"/>
          <w:sz w:val="22"/>
          <w:szCs w:val="22"/>
        </w:rPr>
        <w:t xml:space="preserve"> examined more than 1137 polymorphic loci in the central Californian introduced range alone. </w:t>
      </w:r>
      <w:r w:rsidRPr="00A632E8">
        <w:rPr>
          <w:rFonts w:asciiTheme="minorHAnsi" w:hAnsiTheme="minorHAnsi" w:cs="Arial"/>
          <w:sz w:val="22"/>
          <w:szCs w:val="22"/>
        </w:rPr>
        <w:t xml:space="preserve">Therefore, </w:t>
      </w:r>
      <w:r>
        <w:rPr>
          <w:rFonts w:asciiTheme="minorHAnsi" w:hAnsiTheme="minorHAnsi" w:cs="Arial"/>
          <w:sz w:val="22"/>
          <w:szCs w:val="22"/>
        </w:rPr>
        <w:t xml:space="preserve">by comparison with these studies, </w:t>
      </w:r>
      <w:r w:rsidRPr="00A632E8">
        <w:rPr>
          <w:rFonts w:asciiTheme="minorHAnsi" w:hAnsiTheme="minorHAnsi" w:cs="Arial"/>
          <w:sz w:val="22"/>
          <w:szCs w:val="22"/>
        </w:rPr>
        <w:t>i</w:t>
      </w:r>
      <w:r w:rsidRPr="00A632E8">
        <w:rPr>
          <w:rFonts w:asciiTheme="minorHAnsi" w:hAnsiTheme="minorHAnsi" w:cs="Arial"/>
          <w:color w:val="000000" w:themeColor="text1"/>
          <w:sz w:val="22"/>
          <w:szCs w:val="22"/>
        </w:rPr>
        <w:t xml:space="preserve">f not monomorphic, </w:t>
      </w:r>
      <w:r>
        <w:rPr>
          <w:rFonts w:asciiTheme="minorHAnsi" w:hAnsiTheme="minorHAnsi" w:cs="Arial"/>
          <w:color w:val="000000" w:themeColor="text1"/>
          <w:sz w:val="22"/>
          <w:szCs w:val="22"/>
        </w:rPr>
        <w:t xml:space="preserve">introduced </w:t>
      </w:r>
      <w:r w:rsidRPr="00A632E8">
        <w:rPr>
          <w:rFonts w:asciiTheme="minorHAnsi" w:hAnsiTheme="minorHAnsi" w:cs="Arial"/>
          <w:color w:val="000000" w:themeColor="text1"/>
          <w:sz w:val="22"/>
          <w:szCs w:val="22"/>
        </w:rPr>
        <w:t xml:space="preserve">populations of </w:t>
      </w:r>
      <w:r w:rsidRPr="00A632E8">
        <w:rPr>
          <w:rFonts w:asciiTheme="minorHAnsi" w:hAnsiTheme="minorHAnsi" w:cs="Arial"/>
          <w:i/>
          <w:color w:val="000000" w:themeColor="text1"/>
          <w:sz w:val="22"/>
          <w:szCs w:val="22"/>
        </w:rPr>
        <w:t>S</w:t>
      </w:r>
      <w:r>
        <w:rPr>
          <w:rFonts w:asciiTheme="minorHAnsi" w:hAnsiTheme="minorHAnsi" w:cs="Arial"/>
          <w:i/>
          <w:color w:val="000000" w:themeColor="text1"/>
          <w:sz w:val="22"/>
          <w:szCs w:val="22"/>
        </w:rPr>
        <w:t>.</w:t>
      </w:r>
      <w:r w:rsidRPr="00A632E8">
        <w:rPr>
          <w:rFonts w:asciiTheme="minorHAnsi" w:hAnsiTheme="minorHAnsi" w:cs="Arial"/>
          <w:i/>
          <w:color w:val="000000" w:themeColor="text1"/>
          <w:sz w:val="22"/>
          <w:szCs w:val="22"/>
        </w:rPr>
        <w:t xml:space="preserve"> muticum</w:t>
      </w:r>
      <w:r w:rsidRPr="00A632E8">
        <w:rPr>
          <w:rFonts w:asciiTheme="minorHAnsi" w:hAnsiTheme="minorHAnsi" w:cs="Arial"/>
          <w:color w:val="000000" w:themeColor="text1"/>
          <w:sz w:val="22"/>
          <w:szCs w:val="22"/>
        </w:rPr>
        <w:t xml:space="preserve"> still exhibited a drastic reduction of the genetic diversity</w:t>
      </w:r>
      <w:r>
        <w:rPr>
          <w:rFonts w:asciiTheme="minorHAnsi" w:hAnsiTheme="minorHAnsi" w:cs="Arial"/>
          <w:color w:val="000000" w:themeColor="text1"/>
          <w:sz w:val="22"/>
          <w:szCs w:val="22"/>
        </w:rPr>
        <w:t xml:space="preserve">, which might be due to </w:t>
      </w:r>
      <w:r w:rsidRPr="00A632E8">
        <w:rPr>
          <w:rFonts w:asciiTheme="minorHAnsi" w:hAnsiTheme="minorHAnsi" w:cs="Arial"/>
          <w:sz w:val="22"/>
          <w:szCs w:val="22"/>
        </w:rPr>
        <w:t xml:space="preserve">strong selective events </w:t>
      </w:r>
      <w:r>
        <w:rPr>
          <w:rFonts w:asciiTheme="minorHAnsi" w:hAnsiTheme="minorHAnsi" w:cs="Arial"/>
          <w:sz w:val="22"/>
          <w:szCs w:val="22"/>
        </w:rPr>
        <w:t>and/</w:t>
      </w:r>
      <w:r w:rsidRPr="00A632E8">
        <w:rPr>
          <w:rFonts w:asciiTheme="minorHAnsi" w:hAnsiTheme="minorHAnsi" w:cs="Arial"/>
          <w:sz w:val="22"/>
          <w:szCs w:val="22"/>
        </w:rPr>
        <w:t xml:space="preserve">or a severe bottleneck during the early stages of the introduction. </w:t>
      </w:r>
    </w:p>
    <w:p w14:paraId="0BE020D0" w14:textId="34FCF8F2" w:rsidR="00FD140A" w:rsidRPr="00A632E8" w:rsidRDefault="00FD140A" w:rsidP="00471F83">
      <w:pPr>
        <w:pStyle w:val="BodyText"/>
        <w:spacing w:before="101" w:after="240" w:line="360" w:lineRule="auto"/>
        <w:ind w:left="0" w:firstLine="709"/>
        <w:jc w:val="both"/>
        <w:rPr>
          <w:rFonts w:asciiTheme="minorHAnsi" w:hAnsiTheme="minorHAnsi" w:cs="Arial"/>
          <w:sz w:val="22"/>
          <w:szCs w:val="22"/>
        </w:rPr>
      </w:pPr>
      <w:r>
        <w:rPr>
          <w:rFonts w:asciiTheme="minorHAnsi" w:hAnsiTheme="minorHAnsi" w:cs="Arial"/>
          <w:sz w:val="22"/>
          <w:szCs w:val="22"/>
        </w:rPr>
        <w:lastRenderedPageBreak/>
        <w:t xml:space="preserve">Irrespective of the markers used, </w:t>
      </w:r>
      <w:r w:rsidRPr="005C52B9">
        <w:rPr>
          <w:rFonts w:asciiTheme="minorHAnsi" w:hAnsiTheme="minorHAnsi" w:cs="Arial"/>
          <w:i/>
          <w:sz w:val="22"/>
          <w:szCs w:val="22"/>
        </w:rPr>
        <w:t>S</w:t>
      </w:r>
      <w:r>
        <w:rPr>
          <w:rFonts w:asciiTheme="minorHAnsi" w:hAnsiTheme="minorHAnsi" w:cs="Arial"/>
          <w:sz w:val="22"/>
          <w:szCs w:val="22"/>
        </w:rPr>
        <w:t xml:space="preserve">. </w:t>
      </w:r>
      <w:r w:rsidRPr="005C52B9">
        <w:rPr>
          <w:rFonts w:asciiTheme="minorHAnsi" w:hAnsiTheme="minorHAnsi" w:cs="Arial"/>
          <w:i/>
          <w:sz w:val="22"/>
          <w:szCs w:val="22"/>
        </w:rPr>
        <w:t>muticum</w:t>
      </w:r>
      <w:r w:rsidRPr="00A632E8">
        <w:rPr>
          <w:rFonts w:asciiTheme="minorHAnsi" w:hAnsiTheme="minorHAnsi" w:cs="Arial"/>
          <w:sz w:val="22"/>
          <w:szCs w:val="22"/>
        </w:rPr>
        <w:t xml:space="preserve"> </w:t>
      </w:r>
      <w:r>
        <w:rPr>
          <w:rFonts w:asciiTheme="minorHAnsi" w:hAnsiTheme="minorHAnsi" w:cs="Arial"/>
          <w:sz w:val="22"/>
          <w:szCs w:val="22"/>
        </w:rPr>
        <w:t>thus shows</w:t>
      </w:r>
      <w:r w:rsidRPr="00A632E8">
        <w:rPr>
          <w:rFonts w:asciiTheme="minorHAnsi" w:hAnsiTheme="minorHAnsi" w:cs="Arial"/>
          <w:sz w:val="22"/>
          <w:szCs w:val="22"/>
        </w:rPr>
        <w:t xml:space="preserve"> a remarkable </w:t>
      </w:r>
      <w:r>
        <w:rPr>
          <w:rFonts w:asciiTheme="minorHAnsi" w:hAnsiTheme="minorHAnsi" w:cs="Arial"/>
          <w:sz w:val="22"/>
          <w:szCs w:val="22"/>
        </w:rPr>
        <w:t xml:space="preserve">genetic diversity </w:t>
      </w:r>
      <w:r w:rsidRPr="00A632E8">
        <w:rPr>
          <w:rFonts w:asciiTheme="minorHAnsi" w:hAnsiTheme="minorHAnsi" w:cs="Arial"/>
          <w:sz w:val="22"/>
          <w:szCs w:val="22"/>
        </w:rPr>
        <w:t xml:space="preserve">pattern when compared to the other marine invaders documented </w:t>
      </w:r>
      <w:r>
        <w:rPr>
          <w:rFonts w:asciiTheme="minorHAnsi" w:hAnsiTheme="minorHAnsi" w:cs="Arial"/>
          <w:noProof/>
          <w:sz w:val="22"/>
          <w:szCs w:val="22"/>
        </w:rPr>
        <w:t>(Rius et al., 2015; Viard et al., 2016)</w:t>
      </w:r>
      <w:r w:rsidRPr="00A632E8">
        <w:rPr>
          <w:rFonts w:asciiTheme="minorHAnsi" w:hAnsiTheme="minorHAnsi" w:cs="Arial"/>
          <w:sz w:val="22"/>
          <w:szCs w:val="22"/>
        </w:rPr>
        <w:t xml:space="preserve">. The vast majority of marine introductions are characterized by repeated introductions </w:t>
      </w:r>
      <w:r>
        <w:rPr>
          <w:rFonts w:asciiTheme="minorHAnsi" w:hAnsiTheme="minorHAnsi" w:cs="Arial"/>
          <w:sz w:val="22"/>
          <w:szCs w:val="22"/>
        </w:rPr>
        <w:t xml:space="preserve">and/or high propagule pressure </w:t>
      </w:r>
      <w:r w:rsidRPr="00A632E8">
        <w:rPr>
          <w:rFonts w:asciiTheme="minorHAnsi" w:hAnsiTheme="minorHAnsi" w:cs="Arial"/>
          <w:sz w:val="22"/>
          <w:szCs w:val="22"/>
        </w:rPr>
        <w:t>that accumulate genetic diversity over time in introduced populations. This large genetic diversity is expected to provide a basis on which selection c</w:t>
      </w:r>
      <w:r>
        <w:rPr>
          <w:rFonts w:asciiTheme="minorHAnsi" w:hAnsiTheme="minorHAnsi" w:cs="Arial"/>
          <w:sz w:val="22"/>
          <w:szCs w:val="22"/>
        </w:rPr>
        <w:t>ould</w:t>
      </w:r>
      <w:r w:rsidRPr="00A632E8">
        <w:rPr>
          <w:rFonts w:asciiTheme="minorHAnsi" w:hAnsiTheme="minorHAnsi" w:cs="Arial"/>
          <w:sz w:val="22"/>
          <w:szCs w:val="22"/>
        </w:rPr>
        <w:t xml:space="preserve"> operate</w:t>
      </w:r>
      <w:r>
        <w:rPr>
          <w:rFonts w:asciiTheme="minorHAnsi" w:hAnsiTheme="minorHAnsi" w:cs="Arial"/>
          <w:sz w:val="22"/>
          <w:szCs w:val="22"/>
        </w:rPr>
        <w:t>,</w:t>
      </w:r>
      <w:r w:rsidRPr="00A632E8">
        <w:rPr>
          <w:rFonts w:asciiTheme="minorHAnsi" w:hAnsiTheme="minorHAnsi" w:cs="Arial"/>
          <w:sz w:val="22"/>
          <w:szCs w:val="22"/>
        </w:rPr>
        <w:t xml:space="preserve"> to contain genotypes that are pre-adapted to the local environment</w:t>
      </w:r>
      <w:r>
        <w:rPr>
          <w:rFonts w:asciiTheme="minorHAnsi" w:hAnsiTheme="minorHAnsi" w:cs="Arial"/>
          <w:sz w:val="22"/>
          <w:szCs w:val="22"/>
        </w:rPr>
        <w:t xml:space="preserve"> or to favor evolutionary novelties through recombination between distinct genetic lineages</w:t>
      </w:r>
      <w:r w:rsidRPr="00A632E8">
        <w:rPr>
          <w:rFonts w:asciiTheme="minorHAnsi" w:hAnsiTheme="minorHAnsi" w:cs="Arial"/>
          <w:sz w:val="22"/>
          <w:szCs w:val="22"/>
        </w:rPr>
        <w:t xml:space="preserve"> </w:t>
      </w:r>
      <w:r>
        <w:rPr>
          <w:rFonts w:asciiTheme="minorHAnsi" w:hAnsiTheme="minorHAnsi" w:cs="Arial"/>
          <w:noProof/>
          <w:sz w:val="22"/>
          <w:szCs w:val="22"/>
        </w:rPr>
        <w:t>(Bock et al., 2015; Rius &amp; Darling, 2014; Rius et al., 2015; Viard et al., 2016)</w:t>
      </w:r>
      <w:r>
        <w:rPr>
          <w:rFonts w:asciiTheme="minorHAnsi" w:hAnsiTheme="minorHAnsi" w:cs="Arial"/>
          <w:sz w:val="22"/>
          <w:szCs w:val="22"/>
        </w:rPr>
        <w:t xml:space="preserve">. </w:t>
      </w:r>
      <w:r w:rsidRPr="00A632E8">
        <w:rPr>
          <w:rFonts w:asciiTheme="minorHAnsi" w:hAnsiTheme="minorHAnsi" w:cs="Arial"/>
          <w:sz w:val="22"/>
          <w:szCs w:val="22"/>
        </w:rPr>
        <w:t>Only in a few cases</w:t>
      </w:r>
      <w:r>
        <w:rPr>
          <w:rFonts w:asciiTheme="minorHAnsi" w:hAnsiTheme="minorHAnsi" w:cs="Arial"/>
          <w:sz w:val="22"/>
          <w:szCs w:val="22"/>
        </w:rPr>
        <w:t>,</w:t>
      </w:r>
      <w:r w:rsidRPr="00A632E8">
        <w:rPr>
          <w:rFonts w:asciiTheme="minorHAnsi" w:hAnsiTheme="minorHAnsi" w:cs="Arial"/>
          <w:sz w:val="22"/>
          <w:szCs w:val="22"/>
        </w:rPr>
        <w:t xml:space="preserve"> </w:t>
      </w:r>
      <w:r>
        <w:rPr>
          <w:rFonts w:asciiTheme="minorHAnsi" w:hAnsiTheme="minorHAnsi" w:cs="Arial"/>
          <w:sz w:val="22"/>
          <w:szCs w:val="22"/>
        </w:rPr>
        <w:t xml:space="preserve">reduced </w:t>
      </w:r>
      <w:r w:rsidRPr="00A632E8">
        <w:rPr>
          <w:rFonts w:asciiTheme="minorHAnsi" w:hAnsiTheme="minorHAnsi" w:cs="Arial"/>
          <w:sz w:val="22"/>
          <w:szCs w:val="22"/>
        </w:rPr>
        <w:t xml:space="preserve">genetic diversity </w:t>
      </w:r>
      <w:r>
        <w:rPr>
          <w:rFonts w:asciiTheme="minorHAnsi" w:hAnsiTheme="minorHAnsi" w:cs="Arial"/>
          <w:sz w:val="22"/>
          <w:szCs w:val="22"/>
        </w:rPr>
        <w:t xml:space="preserve">has been shown in sexually reproducing </w:t>
      </w:r>
      <w:r w:rsidRPr="00A632E8">
        <w:rPr>
          <w:rFonts w:asciiTheme="minorHAnsi" w:hAnsiTheme="minorHAnsi" w:cs="Arial"/>
          <w:sz w:val="22"/>
          <w:szCs w:val="22"/>
        </w:rPr>
        <w:t>introduced marine populations</w:t>
      </w:r>
      <w:r w:rsidRPr="004B713C">
        <w:rPr>
          <w:rFonts w:asciiTheme="minorHAnsi" w:hAnsiTheme="minorHAnsi" w:cs="Arial"/>
          <w:sz w:val="22"/>
          <w:szCs w:val="22"/>
        </w:rPr>
        <w:t xml:space="preserve">. For example, this is the case of the gastropod </w:t>
      </w:r>
      <w:r w:rsidRPr="004B713C">
        <w:rPr>
          <w:rFonts w:asciiTheme="minorHAnsi" w:hAnsiTheme="minorHAnsi" w:cs="Arial"/>
          <w:i/>
          <w:sz w:val="22"/>
          <w:szCs w:val="22"/>
        </w:rPr>
        <w:t>Rapana Venosa</w:t>
      </w:r>
      <w:r w:rsidRPr="004B713C">
        <w:rPr>
          <w:rFonts w:asciiTheme="minorHAnsi" w:hAnsiTheme="minorHAnsi" w:cs="Arial"/>
          <w:sz w:val="22"/>
          <w:szCs w:val="22"/>
        </w:rPr>
        <w:t xml:space="preserve">: Chandler et al. </w:t>
      </w:r>
      <w:r w:rsidRPr="004B713C">
        <w:rPr>
          <w:rFonts w:asciiTheme="minorHAnsi" w:hAnsiTheme="minorHAnsi" w:cs="Arial"/>
          <w:noProof/>
          <w:sz w:val="22"/>
          <w:szCs w:val="22"/>
        </w:rPr>
        <w:t>(2008)</w:t>
      </w:r>
      <w:r w:rsidRPr="004B713C">
        <w:rPr>
          <w:rFonts w:asciiTheme="minorHAnsi" w:hAnsiTheme="minorHAnsi" w:cs="Arial"/>
          <w:sz w:val="22"/>
          <w:szCs w:val="22"/>
        </w:rPr>
        <w:t xml:space="preserve"> showed a lack of genetic diversity </w:t>
      </w:r>
      <w:r w:rsidR="004B713C">
        <w:rPr>
          <w:rFonts w:asciiTheme="minorHAnsi" w:hAnsiTheme="minorHAnsi" w:cs="Arial"/>
          <w:sz w:val="22"/>
          <w:szCs w:val="22"/>
        </w:rPr>
        <w:t xml:space="preserve">at two </w:t>
      </w:r>
      <w:r w:rsidR="0003553A">
        <w:rPr>
          <w:rFonts w:asciiTheme="minorHAnsi" w:hAnsiTheme="minorHAnsi" w:cs="Arial"/>
          <w:sz w:val="22"/>
          <w:szCs w:val="22"/>
        </w:rPr>
        <w:t xml:space="preserve">combined </w:t>
      </w:r>
      <w:r w:rsidR="004B713C">
        <w:rPr>
          <w:rFonts w:asciiTheme="minorHAnsi" w:hAnsiTheme="minorHAnsi" w:cs="Arial"/>
          <w:sz w:val="22"/>
          <w:szCs w:val="22"/>
        </w:rPr>
        <w:t>mitochondrial gene regions</w:t>
      </w:r>
      <w:r w:rsidR="0003553A">
        <w:rPr>
          <w:rFonts w:asciiTheme="minorHAnsi" w:hAnsiTheme="minorHAnsi" w:cs="Arial"/>
          <w:sz w:val="22"/>
          <w:szCs w:val="22"/>
        </w:rPr>
        <w:t xml:space="preserve"> (COI and ND2)</w:t>
      </w:r>
      <w:r w:rsidR="004B713C">
        <w:rPr>
          <w:rFonts w:asciiTheme="minorHAnsi" w:hAnsiTheme="minorHAnsi" w:cs="Arial"/>
          <w:sz w:val="22"/>
          <w:szCs w:val="22"/>
        </w:rPr>
        <w:t xml:space="preserve">, </w:t>
      </w:r>
      <w:r w:rsidRPr="004B713C">
        <w:rPr>
          <w:rFonts w:asciiTheme="minorHAnsi" w:hAnsiTheme="minorHAnsi" w:cs="Arial"/>
          <w:sz w:val="22"/>
          <w:szCs w:val="22"/>
        </w:rPr>
        <w:t xml:space="preserve">with a single haplotype in the introduced ranges, compared to 110 in the native range. This strong genetic bottleneck was later confirmed with microsatellite markers by Xue et al. </w:t>
      </w:r>
      <w:r w:rsidRPr="004B713C">
        <w:rPr>
          <w:rFonts w:asciiTheme="minorHAnsi" w:hAnsiTheme="minorHAnsi" w:cs="Arial"/>
          <w:noProof/>
          <w:sz w:val="22"/>
          <w:szCs w:val="22"/>
        </w:rPr>
        <w:t>(2018)</w:t>
      </w:r>
      <w:r w:rsidRPr="004B713C">
        <w:rPr>
          <w:rFonts w:asciiTheme="minorHAnsi" w:hAnsiTheme="minorHAnsi" w:cs="Arial"/>
          <w:sz w:val="22"/>
          <w:szCs w:val="22"/>
        </w:rPr>
        <w:t xml:space="preserve"> with introduced populations showing on average 6.7 alleles to be compared with 2</w:t>
      </w:r>
      <w:r w:rsidR="00032ECC" w:rsidRPr="004B713C">
        <w:rPr>
          <w:rFonts w:asciiTheme="minorHAnsi" w:hAnsiTheme="minorHAnsi" w:cs="Arial"/>
          <w:sz w:val="22"/>
          <w:szCs w:val="22"/>
        </w:rPr>
        <w:t>2.9</w:t>
      </w:r>
      <w:r w:rsidRPr="004B713C">
        <w:rPr>
          <w:rFonts w:asciiTheme="minorHAnsi" w:hAnsiTheme="minorHAnsi" w:cs="Arial"/>
          <w:sz w:val="22"/>
          <w:szCs w:val="22"/>
        </w:rPr>
        <w:t xml:space="preserve"> in the native range. Reduced</w:t>
      </w:r>
      <w:r>
        <w:rPr>
          <w:rFonts w:asciiTheme="minorHAnsi" w:hAnsiTheme="minorHAnsi" w:cs="Arial"/>
          <w:sz w:val="22"/>
          <w:szCs w:val="22"/>
        </w:rPr>
        <w:t xml:space="preserve"> genetic diversity was also reported in </w:t>
      </w:r>
      <w:r w:rsidRPr="00A632E8">
        <w:rPr>
          <w:rFonts w:asciiTheme="minorHAnsi" w:hAnsiTheme="minorHAnsi" w:cs="Arial"/>
          <w:i/>
          <w:sz w:val="22"/>
          <w:szCs w:val="22"/>
        </w:rPr>
        <w:t>Corella eumyota</w:t>
      </w:r>
      <w:r w:rsidRPr="00A632E8">
        <w:rPr>
          <w:rFonts w:asciiTheme="minorHAnsi" w:hAnsiTheme="minorHAnsi" w:cs="Arial"/>
          <w:sz w:val="22"/>
          <w:szCs w:val="22"/>
        </w:rPr>
        <w:t xml:space="preserve"> in </w:t>
      </w:r>
      <w:r>
        <w:rPr>
          <w:rFonts w:asciiTheme="minorHAnsi" w:hAnsiTheme="minorHAnsi" w:cs="Arial"/>
          <w:sz w:val="22"/>
          <w:szCs w:val="22"/>
        </w:rPr>
        <w:t>its European introduction range</w:t>
      </w:r>
      <w:r w:rsidRPr="00A632E8">
        <w:rPr>
          <w:rFonts w:asciiTheme="minorHAnsi" w:hAnsiTheme="minorHAnsi" w:cs="Arial"/>
          <w:sz w:val="22"/>
          <w:szCs w:val="22"/>
        </w:rPr>
        <w:t xml:space="preserve"> </w:t>
      </w:r>
      <w:r>
        <w:rPr>
          <w:rFonts w:asciiTheme="minorHAnsi" w:hAnsiTheme="minorHAnsi" w:cs="Arial"/>
          <w:noProof/>
          <w:sz w:val="22"/>
          <w:szCs w:val="22"/>
        </w:rPr>
        <w:t>(Dupont, Viard, David, &amp; Bishop, 2007),with less than 60% of polymorphic loci</w:t>
      </w:r>
      <w:r w:rsidRPr="00A632E8">
        <w:rPr>
          <w:rFonts w:asciiTheme="minorHAnsi" w:hAnsiTheme="minorHAnsi" w:cs="Arial"/>
          <w:sz w:val="22"/>
          <w:szCs w:val="22"/>
        </w:rPr>
        <w:t xml:space="preserve">, </w:t>
      </w:r>
      <w:r>
        <w:rPr>
          <w:rFonts w:asciiTheme="minorHAnsi" w:hAnsiTheme="minorHAnsi" w:cs="Arial"/>
          <w:sz w:val="22"/>
          <w:szCs w:val="22"/>
        </w:rPr>
        <w:t>but its</w:t>
      </w:r>
      <w:r w:rsidRPr="00A632E8">
        <w:rPr>
          <w:rFonts w:asciiTheme="minorHAnsi" w:hAnsiTheme="minorHAnsi" w:cs="Arial"/>
          <w:sz w:val="22"/>
          <w:szCs w:val="22"/>
        </w:rPr>
        <w:t xml:space="preserve"> introduction </w:t>
      </w:r>
      <w:r>
        <w:rPr>
          <w:rFonts w:asciiTheme="minorHAnsi" w:hAnsiTheme="minorHAnsi" w:cs="Arial"/>
          <w:sz w:val="22"/>
          <w:szCs w:val="22"/>
        </w:rPr>
        <w:t>wa</w:t>
      </w:r>
      <w:r w:rsidRPr="00A632E8">
        <w:rPr>
          <w:rFonts w:asciiTheme="minorHAnsi" w:hAnsiTheme="minorHAnsi" w:cs="Arial"/>
          <w:sz w:val="22"/>
          <w:szCs w:val="22"/>
        </w:rPr>
        <w:t>s</w:t>
      </w:r>
      <w:r>
        <w:rPr>
          <w:rFonts w:asciiTheme="minorHAnsi" w:hAnsiTheme="minorHAnsi" w:cs="Arial"/>
          <w:sz w:val="22"/>
          <w:szCs w:val="22"/>
        </w:rPr>
        <w:t xml:space="preserve"> presumably</w:t>
      </w:r>
      <w:r w:rsidRPr="00A632E8">
        <w:rPr>
          <w:rFonts w:asciiTheme="minorHAnsi" w:hAnsiTheme="minorHAnsi" w:cs="Arial"/>
          <w:sz w:val="22"/>
          <w:szCs w:val="22"/>
        </w:rPr>
        <w:t xml:space="preserve"> recent and its extent limited. </w:t>
      </w:r>
      <w:r>
        <w:rPr>
          <w:rFonts w:asciiTheme="minorHAnsi" w:hAnsiTheme="minorHAnsi" w:cs="Arial"/>
          <w:sz w:val="22"/>
          <w:szCs w:val="22"/>
        </w:rPr>
        <w:t xml:space="preserve">Also, like </w:t>
      </w:r>
      <w:r w:rsidRPr="00A632E8">
        <w:rPr>
          <w:rFonts w:asciiTheme="minorHAnsi" w:hAnsiTheme="minorHAnsi" w:cs="Arial"/>
          <w:i/>
          <w:sz w:val="22"/>
          <w:szCs w:val="22"/>
        </w:rPr>
        <w:t>S. muticum</w:t>
      </w:r>
      <w:r>
        <w:rPr>
          <w:rFonts w:asciiTheme="minorHAnsi" w:hAnsiTheme="minorHAnsi" w:cs="Arial"/>
          <w:i/>
          <w:sz w:val="22"/>
          <w:szCs w:val="22"/>
        </w:rPr>
        <w:t>,</w:t>
      </w:r>
      <w:r w:rsidRPr="00A632E8">
        <w:rPr>
          <w:rFonts w:asciiTheme="minorHAnsi" w:hAnsiTheme="minorHAnsi" w:cs="Arial"/>
          <w:sz w:val="22"/>
          <w:szCs w:val="22"/>
        </w:rPr>
        <w:t xml:space="preserve"> </w:t>
      </w:r>
      <w:r w:rsidRPr="00A632E8">
        <w:rPr>
          <w:rFonts w:asciiTheme="minorHAnsi" w:hAnsiTheme="minorHAnsi" w:cs="Arial"/>
          <w:i/>
          <w:sz w:val="22"/>
          <w:szCs w:val="22"/>
        </w:rPr>
        <w:t>C. eumyota</w:t>
      </w:r>
      <w:r w:rsidRPr="00A632E8">
        <w:rPr>
          <w:rFonts w:asciiTheme="minorHAnsi" w:hAnsiTheme="minorHAnsi" w:cs="Arial"/>
          <w:sz w:val="22"/>
          <w:szCs w:val="22"/>
        </w:rPr>
        <w:t xml:space="preserve"> is a partial selfer</w:t>
      </w:r>
      <w:r w:rsidRPr="00B64EB6">
        <w:rPr>
          <w:rFonts w:asciiTheme="minorHAnsi" w:hAnsiTheme="minorHAnsi" w:cs="Arial"/>
          <w:sz w:val="22"/>
          <w:szCs w:val="22"/>
        </w:rPr>
        <w:t xml:space="preserve">. Selfing, known in both terrestrial plants and animals to facilitate colonization of new habitats and rapid growth of self-sustained populations </w:t>
      </w:r>
      <w:r>
        <w:rPr>
          <w:rFonts w:asciiTheme="minorHAnsi" w:hAnsiTheme="minorHAnsi" w:cs="Arial"/>
          <w:noProof/>
          <w:sz w:val="22"/>
          <w:szCs w:val="22"/>
        </w:rPr>
        <w:t xml:space="preserve">(Baker, 1967; </w:t>
      </w:r>
      <w:r w:rsidR="00032ECC">
        <w:rPr>
          <w:rFonts w:asciiTheme="minorHAnsi" w:hAnsiTheme="minorHAnsi" w:cs="Arial"/>
          <w:noProof/>
          <w:sz w:val="22"/>
          <w:szCs w:val="22"/>
        </w:rPr>
        <w:t xml:space="preserve">Pannell &amp; Barrett, 1998; </w:t>
      </w:r>
      <w:r>
        <w:rPr>
          <w:rFonts w:asciiTheme="minorHAnsi" w:hAnsiTheme="minorHAnsi" w:cs="Arial"/>
          <w:noProof/>
          <w:sz w:val="22"/>
          <w:szCs w:val="22"/>
        </w:rPr>
        <w:t>Pannell, 2015)</w:t>
      </w:r>
      <w:r w:rsidRPr="00B64EB6">
        <w:rPr>
          <w:rFonts w:asciiTheme="minorHAnsi" w:hAnsiTheme="minorHAnsi" w:cs="Arial"/>
          <w:sz w:val="22"/>
          <w:szCs w:val="22"/>
        </w:rPr>
        <w:t>, certainly played</w:t>
      </w:r>
      <w:r w:rsidRPr="00A632E8">
        <w:rPr>
          <w:rFonts w:asciiTheme="minorHAnsi" w:hAnsiTheme="minorHAnsi" w:cs="Arial"/>
          <w:sz w:val="22"/>
          <w:szCs w:val="22"/>
        </w:rPr>
        <w:t xml:space="preserve"> a significant role in the invasion success </w:t>
      </w:r>
      <w:r w:rsidRPr="00A632E8">
        <w:rPr>
          <w:rFonts w:asciiTheme="minorHAnsi" w:hAnsiTheme="minorHAnsi" w:cs="Arial"/>
          <w:i/>
          <w:sz w:val="22"/>
          <w:szCs w:val="22"/>
        </w:rPr>
        <w:t>S.</w:t>
      </w:r>
      <w:r>
        <w:rPr>
          <w:rFonts w:asciiTheme="minorHAnsi" w:hAnsiTheme="minorHAnsi" w:cs="Arial"/>
          <w:i/>
          <w:sz w:val="22"/>
          <w:szCs w:val="22"/>
        </w:rPr>
        <w:t xml:space="preserve"> </w:t>
      </w:r>
      <w:r w:rsidRPr="00A632E8">
        <w:rPr>
          <w:rFonts w:asciiTheme="minorHAnsi" w:hAnsiTheme="minorHAnsi" w:cs="Arial"/>
          <w:i/>
          <w:sz w:val="22"/>
          <w:szCs w:val="22"/>
        </w:rPr>
        <w:t>muticum</w:t>
      </w:r>
      <w:r w:rsidRPr="00A632E8">
        <w:rPr>
          <w:rFonts w:asciiTheme="minorHAnsi" w:hAnsiTheme="minorHAnsi" w:cs="Arial"/>
          <w:sz w:val="22"/>
          <w:szCs w:val="22"/>
        </w:rPr>
        <w:t>, a feature discussed hereafter.</w:t>
      </w:r>
    </w:p>
    <w:p w14:paraId="305779B8" w14:textId="77777777" w:rsidR="00FD140A" w:rsidRPr="00A632E8" w:rsidRDefault="00FD140A" w:rsidP="00EE38CE">
      <w:pPr>
        <w:pStyle w:val="BodyText"/>
        <w:spacing w:before="101" w:line="360" w:lineRule="auto"/>
        <w:ind w:left="0"/>
        <w:jc w:val="both"/>
        <w:rPr>
          <w:rFonts w:asciiTheme="minorHAnsi" w:hAnsiTheme="minorHAnsi" w:cs="Arial"/>
          <w:b/>
          <w:sz w:val="22"/>
          <w:szCs w:val="22"/>
        </w:rPr>
      </w:pPr>
      <w:r>
        <w:rPr>
          <w:rFonts w:asciiTheme="minorHAnsi" w:hAnsiTheme="minorHAnsi" w:cs="Arial"/>
          <w:b/>
          <w:sz w:val="22"/>
          <w:szCs w:val="22"/>
        </w:rPr>
        <w:t>Revisiting the i</w:t>
      </w:r>
      <w:r w:rsidRPr="00A632E8">
        <w:rPr>
          <w:rFonts w:asciiTheme="minorHAnsi" w:hAnsiTheme="minorHAnsi" w:cs="Arial"/>
          <w:b/>
          <w:sz w:val="22"/>
          <w:szCs w:val="22"/>
        </w:rPr>
        <w:t xml:space="preserve">ntroduction </w:t>
      </w:r>
      <w:r>
        <w:rPr>
          <w:rFonts w:asciiTheme="minorHAnsi" w:hAnsiTheme="minorHAnsi" w:cs="Arial"/>
          <w:b/>
          <w:sz w:val="22"/>
          <w:szCs w:val="22"/>
        </w:rPr>
        <w:t xml:space="preserve">history and </w:t>
      </w:r>
      <w:r w:rsidRPr="00A632E8">
        <w:rPr>
          <w:rFonts w:asciiTheme="minorHAnsi" w:hAnsiTheme="minorHAnsi" w:cs="Arial"/>
          <w:b/>
          <w:sz w:val="22"/>
          <w:szCs w:val="22"/>
        </w:rPr>
        <w:t>pathways</w:t>
      </w:r>
      <w:r>
        <w:rPr>
          <w:rFonts w:asciiTheme="minorHAnsi" w:hAnsiTheme="minorHAnsi" w:cs="Arial"/>
          <w:b/>
          <w:sz w:val="22"/>
          <w:szCs w:val="22"/>
        </w:rPr>
        <w:t xml:space="preserve"> of </w:t>
      </w:r>
      <w:r w:rsidRPr="0055740A">
        <w:rPr>
          <w:rFonts w:asciiTheme="minorHAnsi" w:hAnsiTheme="minorHAnsi" w:cs="Arial"/>
          <w:b/>
          <w:i/>
          <w:sz w:val="22"/>
          <w:szCs w:val="22"/>
        </w:rPr>
        <w:t>Sargassum muticum</w:t>
      </w:r>
      <w:r>
        <w:rPr>
          <w:rFonts w:asciiTheme="minorHAnsi" w:hAnsiTheme="minorHAnsi" w:cs="Arial"/>
          <w:b/>
          <w:sz w:val="22"/>
          <w:szCs w:val="22"/>
        </w:rPr>
        <w:t xml:space="preserve"> </w:t>
      </w:r>
    </w:p>
    <w:p w14:paraId="26E55D7D" w14:textId="3193E2D7" w:rsidR="00FD140A" w:rsidRPr="00A632E8" w:rsidRDefault="006558BC" w:rsidP="00EE38CE">
      <w:pPr>
        <w:pStyle w:val="BodyText"/>
        <w:spacing w:before="101" w:line="360" w:lineRule="auto"/>
        <w:ind w:left="0"/>
        <w:jc w:val="both"/>
        <w:rPr>
          <w:rFonts w:asciiTheme="minorHAnsi" w:hAnsiTheme="minorHAnsi"/>
          <w:sz w:val="22"/>
          <w:szCs w:val="22"/>
        </w:rPr>
      </w:pPr>
      <w:r>
        <w:rPr>
          <w:rFonts w:asciiTheme="minorHAnsi" w:hAnsiTheme="minorHAnsi"/>
          <w:sz w:val="22"/>
          <w:szCs w:val="22"/>
        </w:rPr>
        <w:t xml:space="preserve">Using </w:t>
      </w:r>
      <w:r w:rsidR="00FD140A" w:rsidRPr="00A632E8">
        <w:rPr>
          <w:rFonts w:asciiTheme="minorHAnsi" w:hAnsiTheme="minorHAnsi"/>
          <w:sz w:val="22"/>
          <w:szCs w:val="22"/>
        </w:rPr>
        <w:t>RAD</w:t>
      </w:r>
      <w:r w:rsidR="00FD140A">
        <w:rPr>
          <w:rFonts w:asciiTheme="minorHAnsi" w:hAnsiTheme="minorHAnsi"/>
          <w:sz w:val="22"/>
          <w:szCs w:val="22"/>
        </w:rPr>
        <w:t>-</w:t>
      </w:r>
      <w:r w:rsidR="00FD140A" w:rsidRPr="00A632E8">
        <w:rPr>
          <w:rFonts w:asciiTheme="minorHAnsi" w:hAnsiTheme="minorHAnsi"/>
          <w:sz w:val="22"/>
          <w:szCs w:val="22"/>
        </w:rPr>
        <w:t>seq</w:t>
      </w:r>
      <w:r w:rsidR="00FD140A">
        <w:rPr>
          <w:rFonts w:asciiTheme="minorHAnsi" w:hAnsiTheme="minorHAnsi"/>
          <w:sz w:val="22"/>
          <w:szCs w:val="22"/>
        </w:rPr>
        <w:t>uencing</w:t>
      </w:r>
      <w:r w:rsidR="00FD140A" w:rsidRPr="00A632E8">
        <w:rPr>
          <w:rFonts w:asciiTheme="minorHAnsi" w:hAnsiTheme="minorHAnsi"/>
          <w:sz w:val="22"/>
          <w:szCs w:val="22"/>
        </w:rPr>
        <w:t xml:space="preserve"> </w:t>
      </w:r>
      <w:r>
        <w:rPr>
          <w:rFonts w:asciiTheme="minorHAnsi" w:hAnsiTheme="minorHAnsi"/>
          <w:sz w:val="22"/>
          <w:szCs w:val="22"/>
        </w:rPr>
        <w:t>data,</w:t>
      </w:r>
      <w:r w:rsidR="00FD140A" w:rsidRPr="00A632E8">
        <w:rPr>
          <w:rFonts w:asciiTheme="minorHAnsi" w:hAnsiTheme="minorHAnsi"/>
          <w:sz w:val="22"/>
          <w:szCs w:val="22"/>
        </w:rPr>
        <w:t xml:space="preserve"> </w:t>
      </w:r>
      <w:r>
        <w:rPr>
          <w:rFonts w:asciiTheme="minorHAnsi" w:hAnsiTheme="minorHAnsi"/>
          <w:sz w:val="22"/>
          <w:szCs w:val="22"/>
        </w:rPr>
        <w:t>t</w:t>
      </w:r>
      <w:r w:rsidR="00FD140A" w:rsidRPr="00A632E8">
        <w:rPr>
          <w:rFonts w:asciiTheme="minorHAnsi" w:hAnsiTheme="minorHAnsi"/>
          <w:sz w:val="22"/>
          <w:szCs w:val="22"/>
        </w:rPr>
        <w:t xml:space="preserve">hree distinct genetic </w:t>
      </w:r>
      <w:r w:rsidR="00FD140A">
        <w:rPr>
          <w:rFonts w:asciiTheme="minorHAnsi" w:hAnsiTheme="minorHAnsi"/>
          <w:sz w:val="22"/>
          <w:szCs w:val="22"/>
        </w:rPr>
        <w:t>entities</w:t>
      </w:r>
      <w:r w:rsidR="00FD140A" w:rsidRPr="00A632E8">
        <w:rPr>
          <w:rFonts w:asciiTheme="minorHAnsi" w:hAnsiTheme="minorHAnsi"/>
          <w:sz w:val="22"/>
          <w:szCs w:val="22"/>
        </w:rPr>
        <w:t xml:space="preserve"> were detected across </w:t>
      </w:r>
      <w:r w:rsidR="00FD140A">
        <w:rPr>
          <w:rFonts w:asciiTheme="minorHAnsi" w:hAnsiTheme="minorHAnsi"/>
          <w:sz w:val="22"/>
          <w:szCs w:val="22"/>
        </w:rPr>
        <w:t>all</w:t>
      </w:r>
      <w:r w:rsidR="00FD140A" w:rsidRPr="00A632E8">
        <w:rPr>
          <w:rFonts w:asciiTheme="minorHAnsi" w:hAnsiTheme="minorHAnsi"/>
          <w:sz w:val="22"/>
          <w:szCs w:val="22"/>
        </w:rPr>
        <w:t xml:space="preserve"> introduced range</w:t>
      </w:r>
      <w:r w:rsidR="00FD140A">
        <w:rPr>
          <w:rFonts w:asciiTheme="minorHAnsi" w:hAnsiTheme="minorHAnsi"/>
          <w:sz w:val="22"/>
          <w:szCs w:val="22"/>
        </w:rPr>
        <w:t>s,</w:t>
      </w:r>
      <w:r w:rsidR="00FD140A" w:rsidRPr="00A632E8">
        <w:rPr>
          <w:rFonts w:asciiTheme="minorHAnsi" w:hAnsiTheme="minorHAnsi"/>
          <w:sz w:val="22"/>
          <w:szCs w:val="22"/>
        </w:rPr>
        <w:t xml:space="preserve"> but there was limited geographic coherence in genetic patterns observed using </w:t>
      </w:r>
      <w:r w:rsidR="00FD140A">
        <w:rPr>
          <w:rFonts w:asciiTheme="minorHAnsi" w:hAnsiTheme="minorHAnsi"/>
          <w:sz w:val="22"/>
          <w:szCs w:val="22"/>
        </w:rPr>
        <w:t xml:space="preserve">Instruct (Fig. 4), </w:t>
      </w:r>
      <w:r w:rsidR="00FD140A" w:rsidRPr="00A632E8">
        <w:rPr>
          <w:rFonts w:asciiTheme="minorHAnsi" w:hAnsiTheme="minorHAnsi"/>
          <w:sz w:val="22"/>
          <w:szCs w:val="22"/>
        </w:rPr>
        <w:t xml:space="preserve">PCA </w:t>
      </w:r>
      <w:r w:rsidR="00FD140A">
        <w:rPr>
          <w:rFonts w:asciiTheme="minorHAnsi" w:hAnsiTheme="minorHAnsi"/>
          <w:sz w:val="22"/>
          <w:szCs w:val="22"/>
        </w:rPr>
        <w:t>(Fig. 3) and the m</w:t>
      </w:r>
      <w:r w:rsidR="00FD140A" w:rsidRPr="00D91653">
        <w:rPr>
          <w:rFonts w:asciiTheme="minorHAnsi" w:hAnsiTheme="minorHAnsi"/>
          <w:sz w:val="22"/>
          <w:szCs w:val="22"/>
        </w:rPr>
        <w:t>inimum spanning network on multi-locus genotypes (</w:t>
      </w:r>
      <w:r w:rsidR="00FD140A">
        <w:rPr>
          <w:rFonts w:asciiTheme="minorHAnsi" w:hAnsiTheme="minorHAnsi"/>
          <w:sz w:val="22"/>
          <w:szCs w:val="22"/>
        </w:rPr>
        <w:t>Fig. 2</w:t>
      </w:r>
      <w:r w:rsidR="00FD140A" w:rsidRPr="00D91653">
        <w:rPr>
          <w:rFonts w:asciiTheme="minorHAnsi" w:hAnsiTheme="minorHAnsi"/>
          <w:sz w:val="22"/>
          <w:szCs w:val="22"/>
        </w:rPr>
        <w:t>)</w:t>
      </w:r>
      <w:r w:rsidR="00FD140A" w:rsidRPr="00A632E8">
        <w:rPr>
          <w:rFonts w:asciiTheme="minorHAnsi" w:hAnsiTheme="minorHAnsi"/>
          <w:sz w:val="22"/>
          <w:szCs w:val="22"/>
        </w:rPr>
        <w:t xml:space="preserve">. Northern populations of </w:t>
      </w:r>
      <w:r w:rsidR="00FD140A">
        <w:rPr>
          <w:rFonts w:asciiTheme="minorHAnsi" w:hAnsiTheme="minorHAnsi"/>
          <w:sz w:val="22"/>
          <w:szCs w:val="22"/>
        </w:rPr>
        <w:t xml:space="preserve">the </w:t>
      </w:r>
      <w:r w:rsidR="00FD140A">
        <w:rPr>
          <w:rFonts w:asciiTheme="minorHAnsi" w:hAnsiTheme="minorHAnsi" w:cs="Arial"/>
          <w:sz w:val="22"/>
          <w:szCs w:val="22"/>
        </w:rPr>
        <w:t>NE Pacific</w:t>
      </w:r>
      <w:r w:rsidR="00FD140A" w:rsidRPr="00A632E8">
        <w:rPr>
          <w:rFonts w:asciiTheme="minorHAnsi" w:hAnsiTheme="minorHAnsi"/>
          <w:sz w:val="22"/>
          <w:szCs w:val="22"/>
        </w:rPr>
        <w:t xml:space="preserve"> and </w:t>
      </w:r>
      <w:r w:rsidR="00FD140A">
        <w:rPr>
          <w:rFonts w:asciiTheme="minorHAnsi" w:hAnsiTheme="minorHAnsi"/>
          <w:sz w:val="22"/>
          <w:szCs w:val="22"/>
        </w:rPr>
        <w:t>most of the individuals found in two</w:t>
      </w:r>
      <w:r w:rsidR="00FD140A" w:rsidRPr="00A632E8">
        <w:rPr>
          <w:rFonts w:asciiTheme="minorHAnsi" w:hAnsiTheme="minorHAnsi"/>
          <w:sz w:val="22"/>
          <w:szCs w:val="22"/>
        </w:rPr>
        <w:t xml:space="preserve"> </w:t>
      </w:r>
      <w:r w:rsidR="00FD140A" w:rsidRPr="00267032">
        <w:rPr>
          <w:rFonts w:asciiTheme="minorHAnsi" w:hAnsiTheme="minorHAnsi" w:cs="Arial"/>
          <w:sz w:val="22"/>
          <w:szCs w:val="22"/>
        </w:rPr>
        <w:t>NE Atlantic</w:t>
      </w:r>
      <w:r w:rsidR="00FD140A" w:rsidRPr="00505E66">
        <w:rPr>
          <w:rFonts w:asciiTheme="minorHAnsi" w:hAnsiTheme="minorHAnsi"/>
          <w:sz w:val="22"/>
          <w:szCs w:val="22"/>
        </w:rPr>
        <w:t xml:space="preserve"> populations (Thau</w:t>
      </w:r>
      <w:r w:rsidR="00FD140A">
        <w:rPr>
          <w:rFonts w:asciiTheme="minorHAnsi" w:hAnsiTheme="minorHAnsi"/>
          <w:sz w:val="22"/>
          <w:szCs w:val="22"/>
        </w:rPr>
        <w:t xml:space="preserve"> (no. 51)</w:t>
      </w:r>
      <w:r w:rsidR="00FD140A" w:rsidRPr="00505E66">
        <w:rPr>
          <w:rFonts w:asciiTheme="minorHAnsi" w:hAnsiTheme="minorHAnsi"/>
          <w:sz w:val="22"/>
          <w:szCs w:val="22"/>
        </w:rPr>
        <w:t xml:space="preserve"> and </w:t>
      </w:r>
      <w:r w:rsidR="00FD140A">
        <w:rPr>
          <w:rFonts w:asciiTheme="minorHAnsi" w:hAnsiTheme="minorHAnsi"/>
          <w:sz w:val="22"/>
          <w:szCs w:val="22"/>
        </w:rPr>
        <w:t>Porto (no. 54)</w:t>
      </w:r>
      <w:r w:rsidR="00FD140A" w:rsidRPr="00505E66">
        <w:rPr>
          <w:rFonts w:asciiTheme="minorHAnsi" w:hAnsiTheme="minorHAnsi"/>
          <w:sz w:val="22"/>
          <w:szCs w:val="22"/>
        </w:rPr>
        <w:t>)</w:t>
      </w:r>
      <w:r w:rsidR="00FD140A">
        <w:rPr>
          <w:rFonts w:asciiTheme="minorHAnsi" w:hAnsiTheme="minorHAnsi"/>
          <w:sz w:val="22"/>
          <w:szCs w:val="22"/>
        </w:rPr>
        <w:t>,</w:t>
      </w:r>
      <w:r w:rsidR="00FD140A" w:rsidRPr="00505E66">
        <w:rPr>
          <w:rFonts w:asciiTheme="minorHAnsi" w:hAnsiTheme="minorHAnsi"/>
          <w:sz w:val="22"/>
          <w:szCs w:val="22"/>
        </w:rPr>
        <w:t xml:space="preserve"> each </w:t>
      </w:r>
      <w:r w:rsidR="00FD140A">
        <w:rPr>
          <w:rFonts w:asciiTheme="minorHAnsi" w:hAnsiTheme="minorHAnsi"/>
          <w:sz w:val="22"/>
          <w:szCs w:val="22"/>
        </w:rPr>
        <w:t xml:space="preserve">displayed a distinct genetic background, presumably pointing at two </w:t>
      </w:r>
      <w:r w:rsidR="00FD140A" w:rsidRPr="00A632E8">
        <w:rPr>
          <w:rFonts w:asciiTheme="minorHAnsi" w:hAnsiTheme="minorHAnsi"/>
          <w:sz w:val="22"/>
          <w:szCs w:val="22"/>
        </w:rPr>
        <w:t>distinct genetic source</w:t>
      </w:r>
      <w:r w:rsidR="00FD140A">
        <w:rPr>
          <w:rFonts w:asciiTheme="minorHAnsi" w:hAnsiTheme="minorHAnsi"/>
          <w:sz w:val="22"/>
          <w:szCs w:val="22"/>
        </w:rPr>
        <w:t>s.</w:t>
      </w:r>
      <w:r w:rsidR="00FD140A" w:rsidRPr="00A632E8">
        <w:rPr>
          <w:rFonts w:asciiTheme="minorHAnsi" w:hAnsiTheme="minorHAnsi"/>
          <w:sz w:val="22"/>
          <w:szCs w:val="22"/>
        </w:rPr>
        <w:t xml:space="preserve"> Southern populations of </w:t>
      </w:r>
      <w:r w:rsidR="00FD140A">
        <w:rPr>
          <w:rFonts w:asciiTheme="minorHAnsi" w:hAnsiTheme="minorHAnsi"/>
          <w:sz w:val="22"/>
          <w:szCs w:val="22"/>
        </w:rPr>
        <w:t xml:space="preserve">the </w:t>
      </w:r>
      <w:r w:rsidR="00FD140A">
        <w:rPr>
          <w:rFonts w:asciiTheme="minorHAnsi" w:hAnsiTheme="minorHAnsi" w:cs="Arial"/>
          <w:sz w:val="22"/>
          <w:szCs w:val="22"/>
        </w:rPr>
        <w:t>NE Pacific</w:t>
      </w:r>
      <w:r w:rsidR="00FD140A" w:rsidRPr="00A632E8">
        <w:rPr>
          <w:rFonts w:asciiTheme="minorHAnsi" w:hAnsiTheme="minorHAnsi"/>
          <w:sz w:val="22"/>
          <w:szCs w:val="22"/>
        </w:rPr>
        <w:t xml:space="preserve"> and the rest of European populations</w:t>
      </w:r>
      <w:r w:rsidR="00FD140A">
        <w:rPr>
          <w:rFonts w:asciiTheme="minorHAnsi" w:hAnsiTheme="minorHAnsi"/>
          <w:sz w:val="22"/>
          <w:szCs w:val="22"/>
        </w:rPr>
        <w:t>,</w:t>
      </w:r>
      <w:r w:rsidR="00FD140A" w:rsidRPr="00A632E8">
        <w:rPr>
          <w:rFonts w:asciiTheme="minorHAnsi" w:hAnsiTheme="minorHAnsi"/>
          <w:sz w:val="22"/>
          <w:szCs w:val="22"/>
        </w:rPr>
        <w:t xml:space="preserve"> </w:t>
      </w:r>
      <w:r w:rsidR="00FD140A">
        <w:rPr>
          <w:rFonts w:asciiTheme="minorHAnsi" w:hAnsiTheme="minorHAnsi"/>
          <w:sz w:val="22"/>
          <w:szCs w:val="22"/>
        </w:rPr>
        <w:t xml:space="preserve">however, </w:t>
      </w:r>
      <w:r w:rsidR="00FD140A" w:rsidRPr="00A632E8">
        <w:rPr>
          <w:rFonts w:asciiTheme="minorHAnsi" w:hAnsiTheme="minorHAnsi"/>
          <w:sz w:val="22"/>
          <w:szCs w:val="22"/>
        </w:rPr>
        <w:t xml:space="preserve">shared a common </w:t>
      </w:r>
      <w:r w:rsidR="00FD140A">
        <w:rPr>
          <w:rFonts w:asciiTheme="minorHAnsi" w:hAnsiTheme="minorHAnsi"/>
          <w:sz w:val="22"/>
          <w:szCs w:val="22"/>
        </w:rPr>
        <w:t xml:space="preserve">and distinct </w:t>
      </w:r>
      <w:r w:rsidR="00FD140A" w:rsidRPr="00A632E8">
        <w:rPr>
          <w:rFonts w:asciiTheme="minorHAnsi" w:hAnsiTheme="minorHAnsi"/>
          <w:sz w:val="22"/>
          <w:szCs w:val="22"/>
        </w:rPr>
        <w:t>genetic background</w:t>
      </w:r>
      <w:r w:rsidR="00FD140A">
        <w:rPr>
          <w:rFonts w:asciiTheme="minorHAnsi" w:hAnsiTheme="minorHAnsi"/>
          <w:sz w:val="22"/>
          <w:szCs w:val="22"/>
        </w:rPr>
        <w:t>, suggesting a common source different from the two previous ones</w:t>
      </w:r>
      <w:r w:rsidR="00FD140A" w:rsidRPr="00A632E8">
        <w:rPr>
          <w:rFonts w:asciiTheme="minorHAnsi" w:hAnsiTheme="minorHAnsi"/>
          <w:sz w:val="22"/>
          <w:szCs w:val="22"/>
        </w:rPr>
        <w:t xml:space="preserve"> (Fig </w:t>
      </w:r>
      <w:r w:rsidR="00FD140A">
        <w:rPr>
          <w:rFonts w:asciiTheme="minorHAnsi" w:hAnsiTheme="minorHAnsi"/>
          <w:sz w:val="22"/>
          <w:szCs w:val="22"/>
        </w:rPr>
        <w:t>4</w:t>
      </w:r>
      <w:r w:rsidR="00FD140A" w:rsidRPr="00A632E8">
        <w:rPr>
          <w:rFonts w:asciiTheme="minorHAnsi" w:hAnsiTheme="minorHAnsi"/>
          <w:sz w:val="22"/>
          <w:szCs w:val="22"/>
        </w:rPr>
        <w:t xml:space="preserve">). </w:t>
      </w:r>
    </w:p>
    <w:p w14:paraId="48404F7D" w14:textId="43A3D882" w:rsidR="00FD140A" w:rsidRDefault="00FD140A" w:rsidP="00EE38CE">
      <w:pPr>
        <w:pStyle w:val="BodyText"/>
        <w:spacing w:before="101" w:line="360" w:lineRule="auto"/>
        <w:ind w:left="0" w:firstLine="709"/>
        <w:jc w:val="both"/>
        <w:rPr>
          <w:rFonts w:asciiTheme="minorHAnsi" w:hAnsiTheme="minorHAnsi" w:cs="Arial"/>
          <w:sz w:val="22"/>
          <w:szCs w:val="22"/>
        </w:rPr>
      </w:pPr>
      <w:r>
        <w:rPr>
          <w:rFonts w:asciiTheme="minorHAnsi" w:hAnsiTheme="minorHAnsi"/>
          <w:sz w:val="22"/>
          <w:szCs w:val="22"/>
        </w:rPr>
        <w:t xml:space="preserve">The genetic patterns are also poorly coherent with the known (i.e., reported) history of introduction. </w:t>
      </w:r>
      <w:r w:rsidRPr="00A632E8">
        <w:rPr>
          <w:rFonts w:asciiTheme="minorHAnsi" w:hAnsiTheme="minorHAnsi"/>
          <w:sz w:val="22"/>
          <w:szCs w:val="22"/>
        </w:rPr>
        <w:t xml:space="preserve">When considering the </w:t>
      </w:r>
      <w:r w:rsidRPr="00A632E8">
        <w:rPr>
          <w:rFonts w:asciiTheme="minorHAnsi" w:hAnsiTheme="minorHAnsi" w:cs="Arial"/>
          <w:sz w:val="22"/>
          <w:szCs w:val="22"/>
        </w:rPr>
        <w:t xml:space="preserve">dates of first </w:t>
      </w:r>
      <w:r>
        <w:rPr>
          <w:rFonts w:asciiTheme="minorHAnsi" w:hAnsiTheme="minorHAnsi" w:cs="Arial"/>
          <w:sz w:val="22"/>
          <w:szCs w:val="22"/>
        </w:rPr>
        <w:t>report</w:t>
      </w:r>
      <w:r w:rsidRPr="00A632E8">
        <w:rPr>
          <w:rFonts w:asciiTheme="minorHAnsi" w:hAnsiTheme="minorHAnsi" w:cs="Arial"/>
          <w:sz w:val="22"/>
          <w:szCs w:val="22"/>
        </w:rPr>
        <w:t xml:space="preserve"> of </w:t>
      </w:r>
      <w:r w:rsidRPr="00A632E8">
        <w:rPr>
          <w:rFonts w:asciiTheme="minorHAnsi" w:hAnsiTheme="minorHAnsi" w:cs="Arial"/>
          <w:i/>
          <w:sz w:val="22"/>
          <w:szCs w:val="22"/>
        </w:rPr>
        <w:t>S</w:t>
      </w:r>
      <w:r>
        <w:rPr>
          <w:rFonts w:asciiTheme="minorHAnsi" w:hAnsiTheme="minorHAnsi" w:cs="Arial"/>
          <w:i/>
          <w:sz w:val="22"/>
          <w:szCs w:val="22"/>
        </w:rPr>
        <w:t>.</w:t>
      </w:r>
      <w:r w:rsidRPr="00A632E8">
        <w:rPr>
          <w:rFonts w:asciiTheme="minorHAnsi" w:hAnsiTheme="minorHAnsi" w:cs="Arial"/>
          <w:i/>
          <w:sz w:val="22"/>
          <w:szCs w:val="22"/>
        </w:rPr>
        <w:t xml:space="preserve"> muticum</w:t>
      </w:r>
      <w:r w:rsidRPr="00A632E8">
        <w:rPr>
          <w:rFonts w:asciiTheme="minorHAnsi" w:hAnsiTheme="minorHAnsi" w:cs="Arial"/>
          <w:sz w:val="22"/>
          <w:szCs w:val="22"/>
        </w:rPr>
        <w:t xml:space="preserve"> along the North American coasts </w:t>
      </w:r>
      <w:r w:rsidRPr="00A632E8">
        <w:rPr>
          <w:rFonts w:asciiTheme="minorHAnsi" w:hAnsiTheme="minorHAnsi" w:cs="Arial"/>
          <w:noProof/>
          <w:sz w:val="22"/>
          <w:szCs w:val="22"/>
        </w:rPr>
        <w:t>(</w:t>
      </w:r>
      <w:r>
        <w:rPr>
          <w:rFonts w:asciiTheme="minorHAnsi" w:hAnsiTheme="minorHAnsi" w:cs="Arial"/>
          <w:noProof/>
          <w:sz w:val="22"/>
          <w:szCs w:val="22"/>
        </w:rPr>
        <w:t xml:space="preserve">reviewed in Engelen et al. </w:t>
      </w:r>
      <w:r w:rsidR="00032ECC">
        <w:rPr>
          <w:rFonts w:asciiTheme="minorHAnsi" w:hAnsiTheme="minorHAnsi" w:cs="Arial"/>
          <w:noProof/>
          <w:sz w:val="22"/>
          <w:szCs w:val="22"/>
        </w:rPr>
        <w:t>(</w:t>
      </w:r>
      <w:r>
        <w:rPr>
          <w:rFonts w:asciiTheme="minorHAnsi" w:hAnsiTheme="minorHAnsi" w:cs="Arial"/>
          <w:noProof/>
          <w:sz w:val="22"/>
          <w:szCs w:val="22"/>
        </w:rPr>
        <w:t>2015)</w:t>
      </w:r>
      <w:r w:rsidRPr="00A632E8">
        <w:rPr>
          <w:rFonts w:asciiTheme="minorHAnsi" w:hAnsiTheme="minorHAnsi" w:cs="Arial"/>
          <w:noProof/>
          <w:sz w:val="22"/>
          <w:szCs w:val="22"/>
        </w:rPr>
        <w:t>)</w:t>
      </w:r>
      <w:r w:rsidRPr="00A632E8">
        <w:rPr>
          <w:rFonts w:asciiTheme="minorHAnsi" w:hAnsiTheme="minorHAnsi" w:cs="Arial"/>
          <w:sz w:val="22"/>
          <w:szCs w:val="22"/>
        </w:rPr>
        <w:t xml:space="preserve">, the eldest and first observation of the alga outside of its native range was in </w:t>
      </w:r>
      <w:r>
        <w:rPr>
          <w:rFonts w:asciiTheme="minorHAnsi" w:hAnsiTheme="minorHAnsi" w:cs="Arial"/>
          <w:sz w:val="22"/>
          <w:szCs w:val="22"/>
        </w:rPr>
        <w:t xml:space="preserve">the Puget Sound, in </w:t>
      </w:r>
      <w:r w:rsidR="000F488F">
        <w:rPr>
          <w:rFonts w:asciiTheme="minorHAnsi" w:hAnsiTheme="minorHAnsi" w:cs="Arial"/>
          <w:sz w:val="22"/>
          <w:szCs w:val="22"/>
        </w:rPr>
        <w:t>British Columbia</w:t>
      </w:r>
      <w:r w:rsidRPr="00A632E8">
        <w:rPr>
          <w:rFonts w:asciiTheme="minorHAnsi" w:hAnsiTheme="minorHAnsi" w:cs="Arial"/>
          <w:sz w:val="22"/>
          <w:szCs w:val="22"/>
        </w:rPr>
        <w:t xml:space="preserve"> </w:t>
      </w:r>
      <w:r>
        <w:rPr>
          <w:rFonts w:asciiTheme="minorHAnsi" w:hAnsiTheme="minorHAnsi" w:cs="Arial"/>
          <w:sz w:val="22"/>
          <w:szCs w:val="22"/>
        </w:rPr>
        <w:t xml:space="preserve">(Canada) in the northern NE Pacific, </w:t>
      </w:r>
      <w:r w:rsidRPr="00A632E8">
        <w:rPr>
          <w:rFonts w:asciiTheme="minorHAnsi" w:hAnsiTheme="minorHAnsi" w:cs="Arial"/>
          <w:sz w:val="22"/>
          <w:szCs w:val="22"/>
        </w:rPr>
        <w:t xml:space="preserve">in the early </w:t>
      </w:r>
      <w:r w:rsidRPr="00A632E8">
        <w:rPr>
          <w:rFonts w:asciiTheme="minorHAnsi" w:hAnsiTheme="minorHAnsi" w:cs="Arial"/>
          <w:sz w:val="22"/>
          <w:szCs w:val="22"/>
        </w:rPr>
        <w:lastRenderedPageBreak/>
        <w:t>1940s</w:t>
      </w:r>
      <w:r>
        <w:rPr>
          <w:rFonts w:asciiTheme="minorHAnsi" w:hAnsiTheme="minorHAnsi" w:cs="Arial"/>
          <w:sz w:val="22"/>
          <w:szCs w:val="22"/>
        </w:rPr>
        <w:t>.</w:t>
      </w:r>
      <w:r w:rsidRPr="00A632E8">
        <w:rPr>
          <w:rFonts w:asciiTheme="minorHAnsi" w:hAnsiTheme="minorHAnsi" w:cs="Arial"/>
          <w:sz w:val="22"/>
          <w:szCs w:val="22"/>
        </w:rPr>
        <w:t xml:space="preserve"> </w:t>
      </w:r>
      <w:r>
        <w:rPr>
          <w:rFonts w:asciiTheme="minorHAnsi" w:hAnsiTheme="minorHAnsi" w:cs="Arial"/>
          <w:sz w:val="22"/>
          <w:szCs w:val="22"/>
        </w:rPr>
        <w:t>T</w:t>
      </w:r>
      <w:r w:rsidRPr="00A632E8">
        <w:rPr>
          <w:rFonts w:asciiTheme="minorHAnsi" w:hAnsiTheme="minorHAnsi" w:cs="Arial"/>
          <w:sz w:val="22"/>
          <w:szCs w:val="22"/>
        </w:rPr>
        <w:t>he following records</w:t>
      </w:r>
      <w:r>
        <w:rPr>
          <w:rFonts w:asciiTheme="minorHAnsi" w:hAnsiTheme="minorHAnsi" w:cs="Arial"/>
          <w:sz w:val="22"/>
          <w:szCs w:val="22"/>
        </w:rPr>
        <w:t>,</w:t>
      </w:r>
      <w:r w:rsidRPr="00A632E8">
        <w:rPr>
          <w:rFonts w:asciiTheme="minorHAnsi" w:hAnsiTheme="minorHAnsi" w:cs="Arial"/>
          <w:sz w:val="22"/>
          <w:szCs w:val="22"/>
        </w:rPr>
        <w:t xml:space="preserve"> for the next 30 years</w:t>
      </w:r>
      <w:r>
        <w:rPr>
          <w:rFonts w:asciiTheme="minorHAnsi" w:hAnsiTheme="minorHAnsi" w:cs="Arial"/>
          <w:sz w:val="22"/>
          <w:szCs w:val="22"/>
        </w:rPr>
        <w:t>,</w:t>
      </w:r>
      <w:r w:rsidRPr="00A632E8">
        <w:rPr>
          <w:rFonts w:asciiTheme="minorHAnsi" w:hAnsiTheme="minorHAnsi" w:cs="Arial"/>
          <w:sz w:val="22"/>
          <w:szCs w:val="22"/>
        </w:rPr>
        <w:t xml:space="preserve"> were from the same or </w:t>
      </w:r>
      <w:r>
        <w:rPr>
          <w:rFonts w:asciiTheme="minorHAnsi" w:hAnsiTheme="minorHAnsi" w:cs="Arial"/>
          <w:sz w:val="22"/>
          <w:szCs w:val="22"/>
        </w:rPr>
        <w:t>nearby</w:t>
      </w:r>
      <w:r w:rsidRPr="00A632E8">
        <w:rPr>
          <w:rFonts w:asciiTheme="minorHAnsi" w:hAnsiTheme="minorHAnsi" w:cs="Arial"/>
          <w:sz w:val="22"/>
          <w:szCs w:val="22"/>
        </w:rPr>
        <w:t xml:space="preserve"> areas. </w:t>
      </w:r>
      <w:r>
        <w:rPr>
          <w:rFonts w:asciiTheme="minorHAnsi" w:hAnsiTheme="minorHAnsi" w:cs="Arial"/>
          <w:sz w:val="22"/>
          <w:szCs w:val="22"/>
        </w:rPr>
        <w:t>Reports</w:t>
      </w:r>
      <w:r w:rsidRPr="00A632E8">
        <w:rPr>
          <w:rFonts w:asciiTheme="minorHAnsi" w:hAnsiTheme="minorHAnsi" w:cs="Arial"/>
          <w:sz w:val="22"/>
          <w:szCs w:val="22"/>
        </w:rPr>
        <w:t xml:space="preserve"> </w:t>
      </w:r>
      <w:r>
        <w:rPr>
          <w:rFonts w:asciiTheme="minorHAnsi" w:hAnsiTheme="minorHAnsi" w:cs="Arial"/>
          <w:sz w:val="22"/>
          <w:szCs w:val="22"/>
        </w:rPr>
        <w:t>of established populations of the species in south NE Pacific</w:t>
      </w:r>
      <w:r w:rsidRPr="00A632E8">
        <w:rPr>
          <w:rFonts w:asciiTheme="minorHAnsi" w:hAnsiTheme="minorHAnsi" w:cs="Arial"/>
          <w:sz w:val="22"/>
          <w:szCs w:val="22"/>
        </w:rPr>
        <w:t xml:space="preserve"> were made </w:t>
      </w:r>
      <w:r>
        <w:rPr>
          <w:rFonts w:asciiTheme="minorHAnsi" w:hAnsiTheme="minorHAnsi" w:cs="Arial"/>
          <w:sz w:val="22"/>
          <w:szCs w:val="22"/>
        </w:rPr>
        <w:t xml:space="preserve">only </w:t>
      </w:r>
      <w:r w:rsidRPr="00A632E8">
        <w:rPr>
          <w:rFonts w:asciiTheme="minorHAnsi" w:hAnsiTheme="minorHAnsi" w:cs="Arial"/>
          <w:sz w:val="22"/>
          <w:szCs w:val="22"/>
        </w:rPr>
        <w:t>in the 1960s</w:t>
      </w:r>
      <w:r>
        <w:rPr>
          <w:rFonts w:asciiTheme="minorHAnsi" w:hAnsiTheme="minorHAnsi" w:cs="Arial"/>
          <w:sz w:val="22"/>
          <w:szCs w:val="22"/>
        </w:rPr>
        <w:t xml:space="preserve"> in California</w:t>
      </w:r>
      <w:r w:rsidRPr="00A632E8">
        <w:rPr>
          <w:rFonts w:asciiTheme="minorHAnsi" w:hAnsiTheme="minorHAnsi" w:cs="Arial"/>
          <w:sz w:val="22"/>
          <w:szCs w:val="22"/>
        </w:rPr>
        <w:t xml:space="preserve"> and later</w:t>
      </w:r>
      <w:r>
        <w:rPr>
          <w:rFonts w:asciiTheme="minorHAnsi" w:hAnsiTheme="minorHAnsi" w:cs="Arial"/>
          <w:sz w:val="22"/>
          <w:szCs w:val="22"/>
        </w:rPr>
        <w:t>,</w:t>
      </w:r>
      <w:r w:rsidRPr="00A632E8">
        <w:rPr>
          <w:rFonts w:asciiTheme="minorHAnsi" w:hAnsiTheme="minorHAnsi" w:cs="Arial"/>
          <w:sz w:val="22"/>
          <w:szCs w:val="22"/>
        </w:rPr>
        <w:t xml:space="preserve"> along the Californian coastline down to </w:t>
      </w:r>
      <w:r w:rsidRPr="0055740A">
        <w:rPr>
          <w:rFonts w:asciiTheme="minorHAnsi" w:hAnsiTheme="minorHAnsi" w:cs="Arial"/>
          <w:sz w:val="22"/>
          <w:szCs w:val="22"/>
        </w:rPr>
        <w:t xml:space="preserve">Mexico. Altogether, these reports suggested a stepwise southward expansion of the species from the Puget Sound to California. The late arrival in California could be explained by the existence of the biogeographic boundary, near Point Conception, separating the Californian and Oregonian biogeographic provinces </w:t>
      </w:r>
      <w:r>
        <w:rPr>
          <w:rFonts w:asciiTheme="minorHAnsi" w:hAnsiTheme="minorHAnsi" w:cs="Arial"/>
          <w:noProof/>
          <w:sz w:val="22"/>
          <w:szCs w:val="22"/>
        </w:rPr>
        <w:t>(Burton, 1998)</w:t>
      </w:r>
      <w:r w:rsidRPr="0055740A">
        <w:rPr>
          <w:rFonts w:asciiTheme="minorHAnsi" w:hAnsiTheme="minorHAnsi" w:cs="Arial"/>
          <w:sz w:val="22"/>
          <w:szCs w:val="22"/>
        </w:rPr>
        <w:t xml:space="preserve">. This area is characterized by upwelling and variable surface currents as well as heterogeneous coastline topography, including a long stretch of sandy coasts, which constitute potential environmental barriers to natural dispersal </w:t>
      </w:r>
      <w:r>
        <w:rPr>
          <w:rFonts w:asciiTheme="minorHAnsi" w:hAnsiTheme="minorHAnsi" w:cs="Arial"/>
          <w:noProof/>
          <w:sz w:val="22"/>
          <w:szCs w:val="22"/>
        </w:rPr>
        <w:t>(Dawson, 2001; Hohenlohe, 2004)</w:t>
      </w:r>
      <w:r w:rsidRPr="0055740A">
        <w:rPr>
          <w:rFonts w:asciiTheme="minorHAnsi" w:hAnsiTheme="minorHAnsi" w:cs="Arial"/>
          <w:sz w:val="22"/>
          <w:szCs w:val="22"/>
        </w:rPr>
        <w:t xml:space="preserve">, in particular for </w:t>
      </w:r>
      <w:r w:rsidRPr="0055740A">
        <w:rPr>
          <w:rFonts w:asciiTheme="minorHAnsi" w:hAnsiTheme="minorHAnsi" w:cs="Arial"/>
          <w:i/>
          <w:sz w:val="22"/>
          <w:szCs w:val="22"/>
        </w:rPr>
        <w:t>S. muticum</w:t>
      </w:r>
      <w:r w:rsidRPr="0055740A">
        <w:rPr>
          <w:rFonts w:asciiTheme="minorHAnsi" w:hAnsiTheme="minorHAnsi" w:cs="Arial"/>
          <w:sz w:val="22"/>
          <w:szCs w:val="22"/>
        </w:rPr>
        <w:t xml:space="preserve"> colonizing rocky shores. These barriers might have slow</w:t>
      </w:r>
      <w:r>
        <w:rPr>
          <w:rFonts w:asciiTheme="minorHAnsi" w:hAnsiTheme="minorHAnsi" w:cs="Arial"/>
          <w:sz w:val="22"/>
          <w:szCs w:val="22"/>
        </w:rPr>
        <w:t>ed</w:t>
      </w:r>
      <w:r w:rsidRPr="0055740A">
        <w:rPr>
          <w:rFonts w:asciiTheme="minorHAnsi" w:hAnsiTheme="minorHAnsi" w:cs="Arial"/>
          <w:sz w:val="22"/>
          <w:szCs w:val="22"/>
        </w:rPr>
        <w:t xml:space="preserve"> down the southward expansion until large populations have been established in the northern NE Pacific. </w:t>
      </w:r>
      <w:r>
        <w:rPr>
          <w:rFonts w:asciiTheme="minorHAnsi" w:hAnsiTheme="minorHAnsi" w:cs="Arial"/>
          <w:sz w:val="22"/>
          <w:szCs w:val="22"/>
        </w:rPr>
        <w:t>However, i</w:t>
      </w:r>
      <w:r w:rsidRPr="0055740A">
        <w:rPr>
          <w:rFonts w:asciiTheme="minorHAnsi" w:hAnsiTheme="minorHAnsi" w:cs="Arial"/>
          <w:sz w:val="22"/>
          <w:szCs w:val="22"/>
        </w:rPr>
        <w:t xml:space="preserve">n contrast to this southward expansion scenario, our results strongly suggest that the establishment of </w:t>
      </w:r>
      <w:r w:rsidRPr="0055740A">
        <w:rPr>
          <w:rFonts w:asciiTheme="minorHAnsi" w:hAnsiTheme="minorHAnsi" w:cs="Arial"/>
          <w:i/>
          <w:sz w:val="22"/>
          <w:szCs w:val="22"/>
        </w:rPr>
        <w:t>S. muticum</w:t>
      </w:r>
      <w:r w:rsidRPr="0055740A">
        <w:rPr>
          <w:rFonts w:asciiTheme="minorHAnsi" w:hAnsiTheme="minorHAnsi" w:cs="Arial"/>
          <w:sz w:val="22"/>
          <w:szCs w:val="22"/>
        </w:rPr>
        <w:t xml:space="preserve"> along the NE Pacific coasts is due to two independent introduction events, and presumably from different origins. It is noteworthy that under this </w:t>
      </w:r>
      <w:r>
        <w:rPr>
          <w:rFonts w:asciiTheme="minorHAnsi" w:hAnsiTheme="minorHAnsi" w:cs="Arial"/>
          <w:sz w:val="22"/>
          <w:szCs w:val="22"/>
        </w:rPr>
        <w:t xml:space="preserve">‘two-introductions’ </w:t>
      </w:r>
      <w:r w:rsidRPr="0055740A">
        <w:rPr>
          <w:rFonts w:asciiTheme="minorHAnsi" w:hAnsiTheme="minorHAnsi" w:cs="Arial"/>
          <w:sz w:val="22"/>
          <w:szCs w:val="22"/>
        </w:rPr>
        <w:t xml:space="preserve">scenario, the biogeographic boundary could have </w:t>
      </w:r>
      <w:r>
        <w:rPr>
          <w:rFonts w:asciiTheme="minorHAnsi" w:hAnsiTheme="minorHAnsi" w:cs="Arial"/>
          <w:sz w:val="22"/>
          <w:szCs w:val="22"/>
        </w:rPr>
        <w:t xml:space="preserve">also </w:t>
      </w:r>
      <w:r w:rsidRPr="0055740A">
        <w:rPr>
          <w:rFonts w:asciiTheme="minorHAnsi" w:hAnsiTheme="minorHAnsi" w:cs="Arial"/>
          <w:sz w:val="22"/>
          <w:szCs w:val="22"/>
        </w:rPr>
        <w:t>played a major role in preventing exchanges between populations originating from the two distinct northern and southern introduction events.</w:t>
      </w:r>
      <w:r>
        <w:rPr>
          <w:rFonts w:asciiTheme="minorHAnsi" w:hAnsiTheme="minorHAnsi" w:cs="Arial"/>
          <w:sz w:val="22"/>
          <w:szCs w:val="22"/>
        </w:rPr>
        <w:t xml:space="preserve"> </w:t>
      </w:r>
    </w:p>
    <w:p w14:paraId="66364866" w14:textId="7FB5C665" w:rsidR="00FD140A" w:rsidRPr="00A632E8" w:rsidRDefault="00FD140A" w:rsidP="007C3C60">
      <w:pPr>
        <w:pStyle w:val="BodyText"/>
        <w:spacing w:before="101" w:line="360" w:lineRule="auto"/>
        <w:ind w:left="0" w:firstLine="709"/>
        <w:jc w:val="both"/>
        <w:rPr>
          <w:rFonts w:asciiTheme="minorHAnsi" w:hAnsiTheme="minorHAnsi" w:cs="Arial"/>
          <w:sz w:val="22"/>
          <w:szCs w:val="22"/>
        </w:rPr>
      </w:pPr>
      <w:r>
        <w:rPr>
          <w:rFonts w:asciiTheme="minorHAnsi" w:hAnsiTheme="minorHAnsi"/>
          <w:sz w:val="22"/>
          <w:szCs w:val="22"/>
        </w:rPr>
        <w:t>O</w:t>
      </w:r>
      <w:r w:rsidRPr="00A632E8">
        <w:rPr>
          <w:rFonts w:asciiTheme="minorHAnsi" w:hAnsiTheme="minorHAnsi"/>
          <w:sz w:val="22"/>
          <w:szCs w:val="22"/>
        </w:rPr>
        <w:t xml:space="preserve">ne explanation </w:t>
      </w:r>
      <w:r>
        <w:rPr>
          <w:rFonts w:asciiTheme="minorHAnsi" w:hAnsiTheme="minorHAnsi"/>
          <w:sz w:val="22"/>
          <w:szCs w:val="22"/>
        </w:rPr>
        <w:t>for the discrepancy between the presumed introduction pathway (i.e., southward expansion from the primary introduction in the Puget Sound ending in California</w:t>
      </w:r>
      <w:r w:rsidRPr="000E1F8D">
        <w:rPr>
          <w:rFonts w:asciiTheme="minorHAnsi" w:hAnsiTheme="minorHAnsi"/>
          <w:sz w:val="22"/>
          <w:szCs w:val="22"/>
        </w:rPr>
        <w:t xml:space="preserve"> </w:t>
      </w:r>
      <w:r>
        <w:rPr>
          <w:rFonts w:asciiTheme="minorHAnsi" w:hAnsiTheme="minorHAnsi"/>
          <w:sz w:val="22"/>
          <w:szCs w:val="22"/>
        </w:rPr>
        <w:t xml:space="preserve">in the 1960s) and the genetically-based scenario (i.e., two independent events) </w:t>
      </w:r>
      <w:r w:rsidRPr="00A632E8">
        <w:rPr>
          <w:rFonts w:asciiTheme="minorHAnsi" w:hAnsiTheme="minorHAnsi"/>
          <w:sz w:val="22"/>
          <w:szCs w:val="22"/>
        </w:rPr>
        <w:t xml:space="preserve">could be that dates of </w:t>
      </w:r>
      <w:r>
        <w:rPr>
          <w:rFonts w:asciiTheme="minorHAnsi" w:hAnsiTheme="minorHAnsi"/>
          <w:sz w:val="22"/>
          <w:szCs w:val="22"/>
        </w:rPr>
        <w:t xml:space="preserve">the </w:t>
      </w:r>
      <w:r w:rsidRPr="00A632E8">
        <w:rPr>
          <w:rFonts w:asciiTheme="minorHAnsi" w:hAnsiTheme="minorHAnsi"/>
          <w:sz w:val="22"/>
          <w:szCs w:val="22"/>
        </w:rPr>
        <w:t xml:space="preserve">first </w:t>
      </w:r>
      <w:r>
        <w:rPr>
          <w:rFonts w:asciiTheme="minorHAnsi" w:hAnsiTheme="minorHAnsi"/>
          <w:sz w:val="22"/>
          <w:szCs w:val="22"/>
        </w:rPr>
        <w:t>report</w:t>
      </w:r>
      <w:r w:rsidRPr="00A632E8">
        <w:rPr>
          <w:rFonts w:asciiTheme="minorHAnsi" w:hAnsiTheme="minorHAnsi"/>
          <w:sz w:val="22"/>
          <w:szCs w:val="22"/>
        </w:rPr>
        <w:t xml:space="preserve"> </w:t>
      </w:r>
      <w:r>
        <w:rPr>
          <w:rFonts w:asciiTheme="minorHAnsi" w:hAnsiTheme="minorHAnsi"/>
          <w:sz w:val="22"/>
          <w:szCs w:val="22"/>
        </w:rPr>
        <w:t>in California poorly</w:t>
      </w:r>
      <w:r w:rsidRPr="00A632E8">
        <w:rPr>
          <w:rFonts w:asciiTheme="minorHAnsi" w:hAnsiTheme="minorHAnsi"/>
          <w:sz w:val="22"/>
          <w:szCs w:val="22"/>
        </w:rPr>
        <w:t xml:space="preserve"> represents </w:t>
      </w:r>
      <w:r>
        <w:rPr>
          <w:rFonts w:asciiTheme="minorHAnsi" w:hAnsiTheme="minorHAnsi"/>
          <w:sz w:val="22"/>
          <w:szCs w:val="22"/>
        </w:rPr>
        <w:t xml:space="preserve">the actual </w:t>
      </w:r>
      <w:r w:rsidRPr="00A632E8">
        <w:rPr>
          <w:rFonts w:asciiTheme="minorHAnsi" w:hAnsiTheme="minorHAnsi"/>
          <w:sz w:val="22"/>
          <w:szCs w:val="22"/>
        </w:rPr>
        <w:t xml:space="preserve">dates of </w:t>
      </w:r>
      <w:r>
        <w:rPr>
          <w:rFonts w:asciiTheme="minorHAnsi" w:hAnsiTheme="minorHAnsi"/>
          <w:sz w:val="22"/>
          <w:szCs w:val="22"/>
        </w:rPr>
        <w:t xml:space="preserve">the </w:t>
      </w:r>
      <w:r w:rsidRPr="00A632E8">
        <w:rPr>
          <w:rFonts w:asciiTheme="minorHAnsi" w:hAnsiTheme="minorHAnsi"/>
          <w:sz w:val="22"/>
          <w:szCs w:val="22"/>
        </w:rPr>
        <w:t xml:space="preserve">first establishment of the species. A </w:t>
      </w:r>
      <w:r>
        <w:rPr>
          <w:rFonts w:asciiTheme="minorHAnsi" w:hAnsiTheme="minorHAnsi"/>
          <w:sz w:val="22"/>
          <w:szCs w:val="22"/>
        </w:rPr>
        <w:t>‘</w:t>
      </w:r>
      <w:r w:rsidRPr="00A632E8">
        <w:rPr>
          <w:rFonts w:asciiTheme="minorHAnsi" w:hAnsiTheme="minorHAnsi" w:cs="Arial"/>
          <w:i/>
          <w:sz w:val="22"/>
          <w:szCs w:val="22"/>
        </w:rPr>
        <w:t>Report from California oyster culture</w:t>
      </w:r>
      <w:r>
        <w:rPr>
          <w:rFonts w:asciiTheme="minorHAnsi" w:hAnsiTheme="minorHAnsi" w:cs="Arial"/>
          <w:sz w:val="22"/>
          <w:szCs w:val="22"/>
        </w:rPr>
        <w:t>’</w:t>
      </w:r>
      <w:r w:rsidRPr="00A632E8">
        <w:rPr>
          <w:rFonts w:asciiTheme="minorHAnsi" w:hAnsiTheme="minorHAnsi" w:cs="Arial"/>
          <w:sz w:val="22"/>
          <w:szCs w:val="22"/>
        </w:rPr>
        <w:t xml:space="preserve"> </w:t>
      </w:r>
      <w:r>
        <w:rPr>
          <w:rFonts w:asciiTheme="minorHAnsi" w:hAnsiTheme="minorHAnsi" w:cs="Arial"/>
          <w:noProof/>
          <w:sz w:val="22"/>
          <w:szCs w:val="22"/>
        </w:rPr>
        <w:t>(Barrett, 1963)</w:t>
      </w:r>
      <w:r w:rsidRPr="00A632E8">
        <w:rPr>
          <w:rFonts w:asciiTheme="minorHAnsi" w:hAnsiTheme="minorHAnsi" w:cs="Arial"/>
          <w:sz w:val="22"/>
          <w:szCs w:val="22"/>
        </w:rPr>
        <w:t xml:space="preserve"> </w:t>
      </w:r>
      <w:r>
        <w:rPr>
          <w:rFonts w:asciiTheme="minorHAnsi" w:hAnsiTheme="minorHAnsi" w:cs="Arial"/>
          <w:sz w:val="22"/>
          <w:szCs w:val="22"/>
        </w:rPr>
        <w:t xml:space="preserve">indeed </w:t>
      </w:r>
      <w:r w:rsidRPr="00A632E8">
        <w:rPr>
          <w:rFonts w:asciiTheme="minorHAnsi" w:hAnsiTheme="minorHAnsi" w:cs="Arial"/>
          <w:sz w:val="22"/>
          <w:szCs w:val="22"/>
        </w:rPr>
        <w:t>re</w:t>
      </w:r>
      <w:r>
        <w:rPr>
          <w:rFonts w:asciiTheme="minorHAnsi" w:hAnsiTheme="minorHAnsi" w:cs="Arial"/>
          <w:sz w:val="22"/>
          <w:szCs w:val="22"/>
        </w:rPr>
        <w:t>ported</w:t>
      </w:r>
      <w:r w:rsidRPr="00A632E8">
        <w:rPr>
          <w:rFonts w:asciiTheme="minorHAnsi" w:hAnsiTheme="minorHAnsi" w:cs="Arial"/>
          <w:sz w:val="22"/>
          <w:szCs w:val="22"/>
        </w:rPr>
        <w:t xml:space="preserve"> oyster </w:t>
      </w:r>
      <w:r>
        <w:rPr>
          <w:rFonts w:asciiTheme="minorHAnsi" w:hAnsiTheme="minorHAnsi" w:cs="Arial"/>
          <w:sz w:val="22"/>
          <w:szCs w:val="22"/>
        </w:rPr>
        <w:t>imports</w:t>
      </w:r>
      <w:r w:rsidRPr="00A632E8">
        <w:rPr>
          <w:rFonts w:asciiTheme="minorHAnsi" w:hAnsiTheme="minorHAnsi" w:cs="Arial"/>
          <w:sz w:val="22"/>
          <w:szCs w:val="22"/>
        </w:rPr>
        <w:t xml:space="preserve"> from </w:t>
      </w:r>
      <w:r>
        <w:rPr>
          <w:rFonts w:asciiTheme="minorHAnsi" w:hAnsiTheme="minorHAnsi" w:cs="Arial"/>
          <w:sz w:val="22"/>
          <w:szCs w:val="22"/>
        </w:rPr>
        <w:t>J</w:t>
      </w:r>
      <w:r w:rsidRPr="00A632E8">
        <w:rPr>
          <w:rFonts w:asciiTheme="minorHAnsi" w:hAnsiTheme="minorHAnsi" w:cs="Arial"/>
          <w:sz w:val="22"/>
          <w:szCs w:val="22"/>
        </w:rPr>
        <w:t xml:space="preserve">apan </w:t>
      </w:r>
      <w:r w:rsidRPr="00CF4B9F">
        <w:rPr>
          <w:rFonts w:asciiTheme="minorHAnsi" w:hAnsiTheme="minorHAnsi" w:cs="Arial"/>
          <w:sz w:val="22"/>
          <w:szCs w:val="22"/>
        </w:rPr>
        <w:t>in several Californian Bays</w:t>
      </w:r>
      <w:r w:rsidRPr="00EB7E73">
        <w:rPr>
          <w:rFonts w:asciiTheme="minorHAnsi" w:hAnsiTheme="minorHAnsi" w:cs="Arial"/>
          <w:sz w:val="22"/>
          <w:szCs w:val="22"/>
        </w:rPr>
        <w:t xml:space="preserve"> </w:t>
      </w:r>
      <w:r w:rsidRPr="00A632E8">
        <w:rPr>
          <w:rFonts w:asciiTheme="minorHAnsi" w:hAnsiTheme="minorHAnsi" w:cs="Arial"/>
          <w:sz w:val="22"/>
          <w:szCs w:val="22"/>
        </w:rPr>
        <w:t xml:space="preserve">as soon as </w:t>
      </w:r>
      <w:r>
        <w:rPr>
          <w:rFonts w:asciiTheme="minorHAnsi" w:hAnsiTheme="minorHAnsi" w:cs="Arial"/>
          <w:sz w:val="22"/>
          <w:szCs w:val="22"/>
        </w:rPr>
        <w:t xml:space="preserve">the </w:t>
      </w:r>
      <w:r w:rsidRPr="00A632E8">
        <w:rPr>
          <w:rFonts w:asciiTheme="minorHAnsi" w:hAnsiTheme="minorHAnsi" w:cs="Arial"/>
          <w:sz w:val="22"/>
          <w:szCs w:val="22"/>
        </w:rPr>
        <w:t xml:space="preserve">1930s and with successful planting of Pacific oyster seed oysters. </w:t>
      </w:r>
      <w:r w:rsidRPr="00A632E8">
        <w:rPr>
          <w:rFonts w:asciiTheme="minorHAnsi" w:hAnsiTheme="minorHAnsi" w:cs="Arial"/>
          <w:i/>
          <w:sz w:val="22"/>
          <w:szCs w:val="22"/>
        </w:rPr>
        <w:t xml:space="preserve">S. muticum </w:t>
      </w:r>
      <w:r w:rsidRPr="00A632E8">
        <w:rPr>
          <w:rFonts w:asciiTheme="minorHAnsi" w:hAnsiTheme="minorHAnsi" w:cs="Arial"/>
          <w:sz w:val="22"/>
          <w:szCs w:val="22"/>
        </w:rPr>
        <w:t>could</w:t>
      </w:r>
      <w:r>
        <w:rPr>
          <w:rFonts w:asciiTheme="minorHAnsi" w:hAnsiTheme="minorHAnsi" w:cs="Arial"/>
          <w:sz w:val="22"/>
          <w:szCs w:val="22"/>
        </w:rPr>
        <w:t>,</w:t>
      </w:r>
      <w:r w:rsidRPr="00A632E8">
        <w:rPr>
          <w:rFonts w:asciiTheme="minorHAnsi" w:hAnsiTheme="minorHAnsi" w:cs="Arial"/>
          <w:sz w:val="22"/>
          <w:szCs w:val="22"/>
        </w:rPr>
        <w:t xml:space="preserve"> therefore</w:t>
      </w:r>
      <w:r>
        <w:rPr>
          <w:rFonts w:asciiTheme="minorHAnsi" w:hAnsiTheme="minorHAnsi" w:cs="Arial"/>
          <w:sz w:val="22"/>
          <w:szCs w:val="22"/>
        </w:rPr>
        <w:t>,</w:t>
      </w:r>
      <w:r w:rsidRPr="00A632E8">
        <w:rPr>
          <w:rFonts w:asciiTheme="minorHAnsi" w:hAnsiTheme="minorHAnsi" w:cs="Arial"/>
          <w:sz w:val="22"/>
          <w:szCs w:val="22"/>
        </w:rPr>
        <w:t xml:space="preserve"> have been </w:t>
      </w:r>
      <w:r>
        <w:rPr>
          <w:rFonts w:asciiTheme="minorHAnsi" w:hAnsiTheme="minorHAnsi" w:cs="Arial"/>
          <w:sz w:val="22"/>
          <w:szCs w:val="22"/>
        </w:rPr>
        <w:t>introduced accidentally in the southern</w:t>
      </w:r>
      <w:r w:rsidRPr="00EE7F8E">
        <w:rPr>
          <w:rFonts w:asciiTheme="minorHAnsi" w:hAnsiTheme="minorHAnsi" w:cs="Arial"/>
          <w:sz w:val="22"/>
          <w:szCs w:val="22"/>
        </w:rPr>
        <w:t xml:space="preserve"> </w:t>
      </w:r>
      <w:r>
        <w:rPr>
          <w:rFonts w:asciiTheme="minorHAnsi" w:hAnsiTheme="minorHAnsi" w:cs="Arial"/>
          <w:sz w:val="22"/>
          <w:szCs w:val="22"/>
        </w:rPr>
        <w:t xml:space="preserve">NE Pacific during these deliberate oyster imports </w:t>
      </w:r>
      <w:r w:rsidRPr="00A632E8">
        <w:rPr>
          <w:rFonts w:asciiTheme="minorHAnsi" w:hAnsiTheme="minorHAnsi" w:cs="Arial"/>
          <w:sz w:val="22"/>
          <w:szCs w:val="22"/>
        </w:rPr>
        <w:t xml:space="preserve">well before its date of first </w:t>
      </w:r>
      <w:r>
        <w:rPr>
          <w:rFonts w:asciiTheme="minorHAnsi" w:hAnsiTheme="minorHAnsi" w:cs="Arial"/>
          <w:sz w:val="22"/>
          <w:szCs w:val="22"/>
        </w:rPr>
        <w:t>report</w:t>
      </w:r>
      <w:r w:rsidRPr="00A632E8">
        <w:rPr>
          <w:rFonts w:asciiTheme="minorHAnsi" w:hAnsiTheme="minorHAnsi" w:cs="Arial"/>
          <w:sz w:val="22"/>
          <w:szCs w:val="22"/>
        </w:rPr>
        <w:t xml:space="preserve"> in this area.</w:t>
      </w:r>
      <w:r w:rsidRPr="00A632E8">
        <w:rPr>
          <w:rFonts w:asciiTheme="minorHAnsi" w:hAnsiTheme="minorHAnsi"/>
          <w:sz w:val="22"/>
          <w:szCs w:val="22"/>
        </w:rPr>
        <w:t xml:space="preserve"> </w:t>
      </w:r>
      <w:r>
        <w:rPr>
          <w:rFonts w:asciiTheme="minorHAnsi" w:hAnsiTheme="minorHAnsi"/>
          <w:sz w:val="22"/>
          <w:szCs w:val="22"/>
        </w:rPr>
        <w:t>O</w:t>
      </w:r>
      <w:r w:rsidRPr="00A632E8">
        <w:rPr>
          <w:rFonts w:asciiTheme="minorHAnsi" w:hAnsiTheme="minorHAnsi" w:cs="Arial"/>
          <w:sz w:val="22"/>
          <w:szCs w:val="22"/>
        </w:rPr>
        <w:t xml:space="preserve">ne should be cautious on considering the date of first observation to infer the introduction history of NIS, especially in the marine environment where field </w:t>
      </w:r>
      <w:r>
        <w:rPr>
          <w:rFonts w:asciiTheme="minorHAnsi" w:hAnsiTheme="minorHAnsi" w:cs="Arial"/>
          <w:sz w:val="22"/>
          <w:szCs w:val="22"/>
        </w:rPr>
        <w:t>surveys</w:t>
      </w:r>
      <w:r w:rsidRPr="00A632E8">
        <w:rPr>
          <w:rFonts w:asciiTheme="minorHAnsi" w:hAnsiTheme="minorHAnsi" w:cs="Arial"/>
          <w:sz w:val="22"/>
          <w:szCs w:val="22"/>
        </w:rPr>
        <w:t xml:space="preserve"> are </w:t>
      </w:r>
      <w:r>
        <w:rPr>
          <w:rFonts w:asciiTheme="minorHAnsi" w:hAnsiTheme="minorHAnsi" w:cs="Arial"/>
          <w:sz w:val="22"/>
          <w:szCs w:val="22"/>
        </w:rPr>
        <w:t>sometimes hard to carry out or with insufficient observation pressure</w:t>
      </w:r>
      <w:r w:rsidRPr="00A632E8">
        <w:rPr>
          <w:rFonts w:asciiTheme="minorHAnsi" w:hAnsiTheme="minorHAnsi" w:cs="Arial"/>
          <w:sz w:val="22"/>
          <w:szCs w:val="22"/>
        </w:rPr>
        <w:t xml:space="preserve">. </w:t>
      </w:r>
      <w:r>
        <w:rPr>
          <w:rFonts w:asciiTheme="minorHAnsi" w:hAnsiTheme="minorHAnsi" w:cs="Arial"/>
          <w:sz w:val="22"/>
          <w:szCs w:val="22"/>
        </w:rPr>
        <w:t>In addition, t</w:t>
      </w:r>
      <w:r w:rsidRPr="00A632E8">
        <w:rPr>
          <w:rFonts w:asciiTheme="minorHAnsi" w:hAnsiTheme="minorHAnsi" w:cs="Arial"/>
          <w:sz w:val="22"/>
          <w:szCs w:val="22"/>
        </w:rPr>
        <w:t xml:space="preserve">hey could largely be biased by the recording interest that can be triggered by the discovery of a new NIS in a </w:t>
      </w:r>
      <w:r>
        <w:rPr>
          <w:rFonts w:asciiTheme="minorHAnsi" w:hAnsiTheme="minorHAnsi" w:cs="Arial"/>
          <w:sz w:val="22"/>
          <w:szCs w:val="22"/>
        </w:rPr>
        <w:t>specific</w:t>
      </w:r>
      <w:r w:rsidRPr="00A632E8">
        <w:rPr>
          <w:rFonts w:asciiTheme="minorHAnsi" w:hAnsiTheme="minorHAnsi" w:cs="Arial"/>
          <w:sz w:val="22"/>
          <w:szCs w:val="22"/>
        </w:rPr>
        <w:t xml:space="preserve"> area. </w:t>
      </w:r>
      <w:r w:rsidRPr="00A51776">
        <w:rPr>
          <w:rFonts w:asciiTheme="minorHAnsi" w:hAnsiTheme="minorHAnsi" w:cs="Arial"/>
          <w:sz w:val="22"/>
          <w:szCs w:val="22"/>
        </w:rPr>
        <w:t xml:space="preserve">Invasion histories are typically </w:t>
      </w:r>
      <w:r>
        <w:rPr>
          <w:rFonts w:asciiTheme="minorHAnsi" w:hAnsiTheme="minorHAnsi" w:cs="Arial"/>
          <w:sz w:val="22"/>
          <w:szCs w:val="22"/>
        </w:rPr>
        <w:t>challenging</w:t>
      </w:r>
      <w:r w:rsidRPr="00A51776">
        <w:rPr>
          <w:rFonts w:asciiTheme="minorHAnsi" w:hAnsiTheme="minorHAnsi" w:cs="Arial"/>
          <w:sz w:val="22"/>
          <w:szCs w:val="22"/>
        </w:rPr>
        <w:t xml:space="preserve"> to reconstruct with confidence, certainly when historical information is </w:t>
      </w:r>
      <w:r>
        <w:rPr>
          <w:rFonts w:asciiTheme="minorHAnsi" w:hAnsiTheme="minorHAnsi" w:cs="Arial"/>
          <w:sz w:val="22"/>
          <w:szCs w:val="22"/>
        </w:rPr>
        <w:t>sparse</w:t>
      </w:r>
      <w:r w:rsidRPr="00A51776">
        <w:rPr>
          <w:rFonts w:asciiTheme="minorHAnsi" w:hAnsiTheme="minorHAnsi" w:cs="Arial"/>
          <w:sz w:val="22"/>
          <w:szCs w:val="22"/>
        </w:rPr>
        <w:t xml:space="preserve"> and genetic data of the initial stages of the invasion process are not available </w:t>
      </w:r>
      <w:r>
        <w:rPr>
          <w:rFonts w:asciiTheme="minorHAnsi" w:hAnsiTheme="minorHAnsi" w:cs="Arial"/>
          <w:noProof/>
          <w:sz w:val="22"/>
          <w:szCs w:val="22"/>
        </w:rPr>
        <w:t>(Möst et al., 2015)</w:t>
      </w:r>
      <w:r w:rsidRPr="00A51776">
        <w:rPr>
          <w:rFonts w:asciiTheme="minorHAnsi" w:hAnsiTheme="minorHAnsi" w:cs="Arial"/>
          <w:sz w:val="22"/>
          <w:szCs w:val="22"/>
        </w:rPr>
        <w:t>.</w:t>
      </w:r>
      <w:r>
        <w:rPr>
          <w:rFonts w:asciiTheme="minorHAnsi" w:hAnsiTheme="minorHAnsi" w:cs="Arial"/>
          <w:sz w:val="22"/>
          <w:szCs w:val="22"/>
        </w:rPr>
        <w:t xml:space="preserve"> This is exemplified by </w:t>
      </w:r>
      <w:r w:rsidRPr="0096394D">
        <w:rPr>
          <w:rFonts w:asciiTheme="minorHAnsi" w:hAnsiTheme="minorHAnsi" w:cs="Arial"/>
          <w:i/>
          <w:sz w:val="22"/>
          <w:szCs w:val="22"/>
        </w:rPr>
        <w:t>Codium fragile</w:t>
      </w:r>
      <w:r>
        <w:rPr>
          <w:rFonts w:asciiTheme="minorHAnsi" w:hAnsiTheme="minorHAnsi" w:cs="Arial"/>
          <w:sz w:val="22"/>
          <w:szCs w:val="22"/>
        </w:rPr>
        <w:t xml:space="preserve">, a case study for which the genetic analysis of herbaria specimens showed that its introduction occurred well before (nearly 100 years) the reported date of introduction </w:t>
      </w:r>
      <w:r>
        <w:rPr>
          <w:rFonts w:asciiTheme="minorHAnsi" w:hAnsiTheme="minorHAnsi" w:cs="Arial"/>
          <w:noProof/>
          <w:sz w:val="22"/>
          <w:szCs w:val="22"/>
        </w:rPr>
        <w:t>(Provan, Booth, Todd, Beatty, &amp; Maggs, 2008)</w:t>
      </w:r>
      <w:r>
        <w:rPr>
          <w:rFonts w:asciiTheme="minorHAnsi" w:hAnsiTheme="minorHAnsi" w:cs="Arial"/>
          <w:sz w:val="22"/>
          <w:szCs w:val="22"/>
        </w:rPr>
        <w:t xml:space="preserve">. </w:t>
      </w:r>
      <w:r w:rsidR="007C3C60">
        <w:rPr>
          <w:rFonts w:asciiTheme="minorHAnsi" w:hAnsiTheme="minorHAnsi" w:cs="Arial"/>
          <w:sz w:val="22"/>
          <w:szCs w:val="22"/>
        </w:rPr>
        <w:t xml:space="preserve">These putative biases should be taken into account in standardized monitoring and surveillance protocol of (new) NIS, which should attempt to include as many species as possible, and </w:t>
      </w:r>
      <w:r w:rsidR="007C3C60">
        <w:rPr>
          <w:rFonts w:asciiTheme="minorHAnsi" w:hAnsiTheme="minorHAnsi" w:cs="Arial"/>
          <w:sz w:val="22"/>
          <w:szCs w:val="22"/>
        </w:rPr>
        <w:lastRenderedPageBreak/>
        <w:t>not only focus on high-priority species. To reach this challenging objective, new molecular methods, for instance based on metabarcoding of environmental DNA, might be particularly relevant to use to support surveillance programs (Darling et al. 2017).</w:t>
      </w:r>
    </w:p>
    <w:p w14:paraId="4B8450AA" w14:textId="47961424" w:rsidR="00FD140A" w:rsidRDefault="00FD140A" w:rsidP="00EE38CE">
      <w:pPr>
        <w:pStyle w:val="BodyText"/>
        <w:spacing w:before="101" w:line="360" w:lineRule="auto"/>
        <w:ind w:left="0" w:firstLine="709"/>
        <w:jc w:val="both"/>
        <w:rPr>
          <w:rFonts w:asciiTheme="minorHAnsi" w:hAnsiTheme="minorHAnsi" w:cs="Arial"/>
          <w:sz w:val="22"/>
          <w:szCs w:val="22"/>
        </w:rPr>
      </w:pPr>
      <w:r>
        <w:rPr>
          <w:rFonts w:asciiTheme="minorHAnsi" w:hAnsiTheme="minorHAnsi"/>
          <w:sz w:val="22"/>
          <w:szCs w:val="22"/>
        </w:rPr>
        <w:t xml:space="preserve">Regarding the introduction in the </w:t>
      </w:r>
      <w:r w:rsidRPr="00267032">
        <w:rPr>
          <w:rFonts w:asciiTheme="minorHAnsi" w:hAnsiTheme="minorHAnsi" w:cs="Arial"/>
          <w:sz w:val="22"/>
          <w:szCs w:val="22"/>
        </w:rPr>
        <w:t>NE Atlantic</w:t>
      </w:r>
      <w:r>
        <w:rPr>
          <w:rFonts w:asciiTheme="minorHAnsi" w:hAnsiTheme="minorHAnsi"/>
          <w:sz w:val="22"/>
          <w:szCs w:val="22"/>
        </w:rPr>
        <w:t>, p</w:t>
      </w:r>
      <w:r w:rsidRPr="00A632E8">
        <w:rPr>
          <w:rFonts w:asciiTheme="minorHAnsi" w:hAnsiTheme="minorHAnsi"/>
          <w:sz w:val="22"/>
          <w:szCs w:val="22"/>
        </w:rPr>
        <w:t xml:space="preserve">revious assumptions based on surveys </w:t>
      </w:r>
      <w:r>
        <w:rPr>
          <w:rFonts w:asciiTheme="minorHAnsi" w:hAnsiTheme="minorHAnsi"/>
          <w:noProof/>
          <w:sz w:val="22"/>
          <w:szCs w:val="22"/>
        </w:rPr>
        <w:t>(Engelen et al., 2015)</w:t>
      </w:r>
      <w:r w:rsidRPr="00A632E8">
        <w:rPr>
          <w:rFonts w:asciiTheme="minorHAnsi" w:hAnsiTheme="minorHAnsi"/>
          <w:sz w:val="22"/>
          <w:szCs w:val="22"/>
        </w:rPr>
        <w:t xml:space="preserve"> or mitochondrial data </w:t>
      </w:r>
      <w:r>
        <w:rPr>
          <w:rFonts w:asciiTheme="minorHAnsi" w:hAnsiTheme="minorHAnsi"/>
          <w:noProof/>
          <w:sz w:val="22"/>
          <w:szCs w:val="22"/>
        </w:rPr>
        <w:t>(Cheang et al., 2010)</w:t>
      </w:r>
      <w:r w:rsidRPr="00A632E8">
        <w:rPr>
          <w:rFonts w:asciiTheme="minorHAnsi" w:hAnsiTheme="minorHAnsi"/>
          <w:sz w:val="22"/>
          <w:szCs w:val="22"/>
        </w:rPr>
        <w:t xml:space="preserve"> suggested that the introduction in Europe is a secondary introduction from </w:t>
      </w:r>
      <w:r>
        <w:rPr>
          <w:rFonts w:asciiTheme="minorHAnsi" w:hAnsiTheme="minorHAnsi"/>
          <w:sz w:val="22"/>
          <w:szCs w:val="22"/>
        </w:rPr>
        <w:t xml:space="preserve">North </w:t>
      </w:r>
      <w:r w:rsidRPr="00A632E8">
        <w:rPr>
          <w:rFonts w:asciiTheme="minorHAnsi" w:hAnsiTheme="minorHAnsi"/>
          <w:sz w:val="22"/>
          <w:szCs w:val="22"/>
        </w:rPr>
        <w:t>America</w:t>
      </w:r>
      <w:r>
        <w:rPr>
          <w:rFonts w:asciiTheme="minorHAnsi" w:hAnsiTheme="minorHAnsi"/>
          <w:sz w:val="22"/>
          <w:szCs w:val="22"/>
        </w:rPr>
        <w:t xml:space="preserve">, presumably with imports of oysters from the northern part of the </w:t>
      </w:r>
      <w:r>
        <w:rPr>
          <w:rFonts w:asciiTheme="minorHAnsi" w:hAnsiTheme="minorHAnsi" w:cs="Arial"/>
          <w:sz w:val="22"/>
          <w:szCs w:val="22"/>
        </w:rPr>
        <w:t>NE Pacific</w:t>
      </w:r>
      <w:r>
        <w:rPr>
          <w:rFonts w:asciiTheme="minorHAnsi" w:hAnsiTheme="minorHAnsi"/>
          <w:sz w:val="22"/>
          <w:szCs w:val="22"/>
        </w:rPr>
        <w:t xml:space="preserve"> in the 1970s,</w:t>
      </w:r>
      <w:r w:rsidRPr="00A632E8">
        <w:rPr>
          <w:rFonts w:asciiTheme="minorHAnsi" w:hAnsiTheme="minorHAnsi"/>
          <w:sz w:val="22"/>
          <w:szCs w:val="22"/>
        </w:rPr>
        <w:t xml:space="preserve"> rather than a distinct introduction from the native range. This hypothesis was </w:t>
      </w:r>
      <w:r>
        <w:rPr>
          <w:rFonts w:asciiTheme="minorHAnsi" w:hAnsiTheme="minorHAnsi"/>
          <w:sz w:val="22"/>
          <w:szCs w:val="22"/>
        </w:rPr>
        <w:t>reinforced</w:t>
      </w:r>
      <w:r w:rsidRPr="00A632E8">
        <w:rPr>
          <w:rFonts w:asciiTheme="minorHAnsi" w:hAnsiTheme="minorHAnsi"/>
          <w:sz w:val="22"/>
          <w:szCs w:val="22"/>
        </w:rPr>
        <w:t xml:space="preserve"> by the existence of similar scenarios for other marine </w:t>
      </w:r>
      <w:r w:rsidR="0003553A">
        <w:rPr>
          <w:rFonts w:asciiTheme="minorHAnsi" w:hAnsiTheme="minorHAnsi"/>
          <w:sz w:val="22"/>
          <w:szCs w:val="22"/>
        </w:rPr>
        <w:t xml:space="preserve">introductions </w:t>
      </w:r>
      <w:r w:rsidR="00EA628D">
        <w:rPr>
          <w:rFonts w:asciiTheme="minorHAnsi" w:hAnsiTheme="minorHAnsi"/>
          <w:sz w:val="22"/>
          <w:szCs w:val="22"/>
        </w:rPr>
        <w:t xml:space="preserve">linked to oyster translocations </w:t>
      </w:r>
      <w:r w:rsidRPr="00A632E8">
        <w:rPr>
          <w:rFonts w:asciiTheme="minorHAnsi" w:hAnsiTheme="minorHAnsi"/>
          <w:sz w:val="22"/>
          <w:szCs w:val="22"/>
        </w:rPr>
        <w:t>(e.g.</w:t>
      </w:r>
      <w:r>
        <w:rPr>
          <w:rFonts w:asciiTheme="minorHAnsi" w:hAnsiTheme="minorHAnsi"/>
          <w:sz w:val="22"/>
          <w:szCs w:val="22"/>
        </w:rPr>
        <w:t>,</w:t>
      </w:r>
      <w:r w:rsidRPr="00A632E8">
        <w:rPr>
          <w:rFonts w:asciiTheme="minorHAnsi" w:hAnsiTheme="minorHAnsi"/>
          <w:sz w:val="22"/>
          <w:szCs w:val="22"/>
        </w:rPr>
        <w:t xml:space="preserve"> the gastropod </w:t>
      </w:r>
      <w:r w:rsidRPr="00A632E8">
        <w:rPr>
          <w:rFonts w:asciiTheme="minorHAnsi" w:hAnsiTheme="minorHAnsi"/>
          <w:i/>
          <w:sz w:val="22"/>
          <w:szCs w:val="22"/>
        </w:rPr>
        <w:t>Ocinebrellus inornatus</w:t>
      </w:r>
      <w:r>
        <w:rPr>
          <w:rFonts w:asciiTheme="minorHAnsi" w:hAnsiTheme="minorHAnsi"/>
          <w:noProof/>
          <w:sz w:val="22"/>
          <w:szCs w:val="22"/>
        </w:rPr>
        <w:t>; Martel et al. 2004</w:t>
      </w:r>
      <w:r w:rsidRPr="00A632E8">
        <w:rPr>
          <w:rFonts w:asciiTheme="minorHAnsi" w:hAnsiTheme="minorHAnsi"/>
          <w:sz w:val="22"/>
          <w:szCs w:val="22"/>
        </w:rPr>
        <w:t>)</w:t>
      </w:r>
      <w:r>
        <w:rPr>
          <w:rFonts w:asciiTheme="minorHAnsi" w:hAnsiTheme="minorHAnsi"/>
          <w:sz w:val="22"/>
          <w:szCs w:val="22"/>
        </w:rPr>
        <w:t>.</w:t>
      </w:r>
      <w:r w:rsidRPr="00A632E8">
        <w:rPr>
          <w:rFonts w:asciiTheme="minorHAnsi" w:hAnsiTheme="minorHAnsi"/>
          <w:sz w:val="22"/>
          <w:szCs w:val="22"/>
        </w:rPr>
        <w:t xml:space="preserve"> </w:t>
      </w:r>
      <w:r>
        <w:rPr>
          <w:rFonts w:asciiTheme="minorHAnsi" w:hAnsiTheme="minorHAnsi"/>
          <w:sz w:val="22"/>
          <w:szCs w:val="22"/>
        </w:rPr>
        <w:t>Under this scenario,</w:t>
      </w:r>
      <w:r w:rsidRPr="00A632E8">
        <w:rPr>
          <w:rFonts w:asciiTheme="minorHAnsi" w:hAnsiTheme="minorHAnsi"/>
          <w:sz w:val="22"/>
          <w:szCs w:val="22"/>
        </w:rPr>
        <w:t xml:space="preserve"> </w:t>
      </w:r>
      <w:r>
        <w:rPr>
          <w:rFonts w:asciiTheme="minorHAnsi" w:hAnsiTheme="minorHAnsi"/>
          <w:sz w:val="22"/>
          <w:szCs w:val="22"/>
        </w:rPr>
        <w:t xml:space="preserve">however, </w:t>
      </w:r>
      <w:r w:rsidRPr="00A632E8">
        <w:rPr>
          <w:rFonts w:asciiTheme="minorHAnsi" w:hAnsiTheme="minorHAnsi"/>
          <w:sz w:val="22"/>
          <w:szCs w:val="22"/>
        </w:rPr>
        <w:t xml:space="preserve">the epicenter of secondary seeding of NIS in Europe </w:t>
      </w:r>
      <w:r>
        <w:rPr>
          <w:rFonts w:asciiTheme="minorHAnsi" w:hAnsiTheme="minorHAnsi"/>
          <w:sz w:val="22"/>
          <w:szCs w:val="22"/>
        </w:rPr>
        <w:t>should be</w:t>
      </w:r>
      <w:r w:rsidRPr="00A632E8">
        <w:rPr>
          <w:rFonts w:asciiTheme="minorHAnsi" w:hAnsiTheme="minorHAnsi"/>
          <w:sz w:val="22"/>
          <w:szCs w:val="22"/>
        </w:rPr>
        <w:t xml:space="preserve"> localized in the Puget Sound </w:t>
      </w:r>
      <w:r>
        <w:rPr>
          <w:rFonts w:asciiTheme="minorHAnsi" w:hAnsiTheme="minorHAnsi"/>
          <w:sz w:val="22"/>
          <w:szCs w:val="22"/>
        </w:rPr>
        <w:t xml:space="preserve">in North America. </w:t>
      </w:r>
      <w:r w:rsidRPr="00A632E8">
        <w:rPr>
          <w:rFonts w:asciiTheme="minorHAnsi" w:hAnsiTheme="minorHAnsi"/>
          <w:sz w:val="22"/>
          <w:szCs w:val="22"/>
        </w:rPr>
        <w:t>Conversely</w:t>
      </w:r>
      <w:r>
        <w:rPr>
          <w:rFonts w:asciiTheme="minorHAnsi" w:hAnsiTheme="minorHAnsi"/>
          <w:sz w:val="22"/>
          <w:szCs w:val="22"/>
        </w:rPr>
        <w:t>,</w:t>
      </w:r>
      <w:r w:rsidRPr="00A632E8">
        <w:rPr>
          <w:rFonts w:asciiTheme="minorHAnsi" w:hAnsiTheme="minorHAnsi"/>
          <w:sz w:val="22"/>
          <w:szCs w:val="22"/>
        </w:rPr>
        <w:t xml:space="preserve"> populations in Europe</w:t>
      </w:r>
      <w:r>
        <w:rPr>
          <w:rFonts w:asciiTheme="minorHAnsi" w:hAnsiTheme="minorHAnsi"/>
          <w:sz w:val="22"/>
          <w:szCs w:val="22"/>
        </w:rPr>
        <w:t xml:space="preserve"> were found to share a common </w:t>
      </w:r>
      <w:r w:rsidRPr="00A632E8">
        <w:rPr>
          <w:rFonts w:asciiTheme="minorHAnsi" w:hAnsiTheme="minorHAnsi"/>
          <w:sz w:val="22"/>
          <w:szCs w:val="22"/>
        </w:rPr>
        <w:t>genetic background with</w:t>
      </w:r>
      <w:r>
        <w:rPr>
          <w:rFonts w:asciiTheme="minorHAnsi" w:hAnsiTheme="minorHAnsi"/>
          <w:sz w:val="22"/>
          <w:szCs w:val="22"/>
        </w:rPr>
        <w:t xml:space="preserve"> the s</w:t>
      </w:r>
      <w:r w:rsidRPr="00A632E8">
        <w:rPr>
          <w:rFonts w:asciiTheme="minorHAnsi" w:hAnsiTheme="minorHAnsi"/>
          <w:sz w:val="22"/>
          <w:szCs w:val="22"/>
        </w:rPr>
        <w:t>outh</w:t>
      </w:r>
      <w:r>
        <w:rPr>
          <w:rFonts w:asciiTheme="minorHAnsi" w:hAnsiTheme="minorHAnsi"/>
          <w:sz w:val="22"/>
          <w:szCs w:val="22"/>
        </w:rPr>
        <w:t xml:space="preserve">ern </w:t>
      </w:r>
      <w:r>
        <w:rPr>
          <w:rFonts w:asciiTheme="minorHAnsi" w:hAnsiTheme="minorHAnsi" w:cs="Arial"/>
          <w:sz w:val="22"/>
          <w:szCs w:val="22"/>
        </w:rPr>
        <w:t>NE Pacific</w:t>
      </w:r>
      <w:r>
        <w:rPr>
          <w:rFonts w:asciiTheme="minorHAnsi" w:hAnsiTheme="minorHAnsi"/>
          <w:sz w:val="22"/>
          <w:szCs w:val="22"/>
        </w:rPr>
        <w:t xml:space="preserve"> populations</w:t>
      </w:r>
      <w:r w:rsidRPr="0055740A">
        <w:rPr>
          <w:rFonts w:asciiTheme="minorHAnsi" w:hAnsiTheme="minorHAnsi"/>
          <w:sz w:val="22"/>
          <w:szCs w:val="22"/>
        </w:rPr>
        <w:t xml:space="preserve">. </w:t>
      </w:r>
      <w:r>
        <w:rPr>
          <w:rFonts w:asciiTheme="minorHAnsi" w:hAnsiTheme="minorHAnsi" w:cs="Arial"/>
          <w:sz w:val="22"/>
          <w:szCs w:val="22"/>
        </w:rPr>
        <w:t>Moreover,</w:t>
      </w:r>
      <w:r w:rsidRPr="0055740A">
        <w:rPr>
          <w:rFonts w:asciiTheme="minorHAnsi" w:hAnsiTheme="minorHAnsi" w:cs="Arial"/>
          <w:sz w:val="22"/>
          <w:szCs w:val="22"/>
        </w:rPr>
        <w:t xml:space="preserve"> this similarity is even more pronounced for the African population (Sidi Bouzid, no. 54) which is more similar to Californian populations than to any other NE Atlantic populations </w:t>
      </w:r>
      <w:r>
        <w:rPr>
          <w:rFonts w:asciiTheme="minorHAnsi" w:hAnsiTheme="minorHAnsi" w:cs="Arial"/>
          <w:sz w:val="22"/>
          <w:szCs w:val="22"/>
        </w:rPr>
        <w:t>based on MLGs (Fig. 2), which may suggest an independent introduction event from California</w:t>
      </w:r>
      <w:r w:rsidRPr="0055740A">
        <w:rPr>
          <w:rFonts w:asciiTheme="minorHAnsi" w:hAnsiTheme="minorHAnsi" w:cs="Arial"/>
          <w:sz w:val="22"/>
          <w:szCs w:val="22"/>
        </w:rPr>
        <w:t>.</w:t>
      </w:r>
      <w:r>
        <w:rPr>
          <w:rFonts w:asciiTheme="minorHAnsi" w:hAnsiTheme="minorHAnsi" w:cs="Arial"/>
          <w:sz w:val="22"/>
          <w:szCs w:val="22"/>
        </w:rPr>
        <w:t xml:space="preserve"> </w:t>
      </w:r>
      <w:r>
        <w:rPr>
          <w:rFonts w:asciiTheme="minorHAnsi" w:hAnsiTheme="minorHAnsi"/>
          <w:sz w:val="22"/>
          <w:szCs w:val="22"/>
        </w:rPr>
        <w:t>Given</w:t>
      </w:r>
      <w:r w:rsidRPr="00A632E8">
        <w:rPr>
          <w:rFonts w:asciiTheme="minorHAnsi" w:hAnsiTheme="minorHAnsi" w:cs="Arial"/>
          <w:sz w:val="22"/>
          <w:szCs w:val="22"/>
        </w:rPr>
        <w:t xml:space="preserve"> the high genetic structure</w:t>
      </w:r>
      <w:r>
        <w:rPr>
          <w:rFonts w:asciiTheme="minorHAnsi" w:hAnsiTheme="minorHAnsi" w:cs="Arial"/>
          <w:sz w:val="22"/>
          <w:szCs w:val="22"/>
        </w:rPr>
        <w:t xml:space="preserve"> among populations </w:t>
      </w:r>
      <w:r w:rsidRPr="00A632E8">
        <w:rPr>
          <w:rFonts w:asciiTheme="minorHAnsi" w:hAnsiTheme="minorHAnsi" w:cs="Arial"/>
          <w:sz w:val="22"/>
          <w:szCs w:val="22"/>
        </w:rPr>
        <w:t xml:space="preserve">and the occurrence of </w:t>
      </w:r>
      <w:r>
        <w:rPr>
          <w:rFonts w:asciiTheme="minorHAnsi" w:hAnsiTheme="minorHAnsi" w:cs="Arial"/>
          <w:sz w:val="22"/>
          <w:szCs w:val="22"/>
        </w:rPr>
        <w:t>numerous</w:t>
      </w:r>
      <w:r w:rsidRPr="00A632E8">
        <w:rPr>
          <w:rFonts w:asciiTheme="minorHAnsi" w:hAnsiTheme="minorHAnsi" w:cs="Arial"/>
          <w:sz w:val="22"/>
          <w:szCs w:val="22"/>
        </w:rPr>
        <w:t xml:space="preserve"> multi-locus genotypes in the native range, it is unlikely that two independent introduction events in two continents </w:t>
      </w:r>
      <w:r>
        <w:rPr>
          <w:rFonts w:asciiTheme="minorHAnsi" w:hAnsiTheme="minorHAnsi" w:cs="Arial"/>
          <w:sz w:val="22"/>
          <w:szCs w:val="22"/>
        </w:rPr>
        <w:t xml:space="preserve">which occurred 40 (i.e., under the scenario of cryptic introduction in California in the 1930s) or even 10 </w:t>
      </w:r>
      <w:r w:rsidRPr="00A632E8">
        <w:rPr>
          <w:rFonts w:asciiTheme="minorHAnsi" w:hAnsiTheme="minorHAnsi" w:cs="Arial"/>
          <w:sz w:val="22"/>
          <w:szCs w:val="22"/>
        </w:rPr>
        <w:t xml:space="preserve">years apart </w:t>
      </w:r>
      <w:r>
        <w:rPr>
          <w:rFonts w:asciiTheme="minorHAnsi" w:hAnsiTheme="minorHAnsi" w:cs="Arial"/>
          <w:sz w:val="22"/>
          <w:szCs w:val="22"/>
        </w:rPr>
        <w:t>(i.e., using the first report date in the 1960s), originated</w:t>
      </w:r>
      <w:r w:rsidRPr="00A632E8">
        <w:rPr>
          <w:rFonts w:asciiTheme="minorHAnsi" w:hAnsiTheme="minorHAnsi" w:cs="Arial"/>
          <w:sz w:val="22"/>
          <w:szCs w:val="22"/>
        </w:rPr>
        <w:t xml:space="preserve"> from the same sources with the same genotypes introduced twice. </w:t>
      </w:r>
      <w:r>
        <w:rPr>
          <w:rFonts w:asciiTheme="minorHAnsi" w:hAnsiTheme="minorHAnsi" w:cs="Arial"/>
          <w:sz w:val="22"/>
          <w:szCs w:val="22"/>
        </w:rPr>
        <w:t xml:space="preserve">Thus, our data support a scenario of a secondary introduction from the NE Pacific to </w:t>
      </w:r>
      <w:r w:rsidRPr="00267032">
        <w:rPr>
          <w:rFonts w:asciiTheme="minorHAnsi" w:hAnsiTheme="minorHAnsi" w:cs="Arial"/>
          <w:sz w:val="22"/>
          <w:szCs w:val="22"/>
        </w:rPr>
        <w:t>NE Atlantic</w:t>
      </w:r>
      <w:r>
        <w:rPr>
          <w:rFonts w:asciiTheme="minorHAnsi" w:hAnsiTheme="minorHAnsi" w:cs="Arial"/>
          <w:sz w:val="22"/>
          <w:szCs w:val="22"/>
        </w:rPr>
        <w:t xml:space="preserve"> but from a distinct source as previously assumed (the South NE Pacific instead of North NE Pacific). </w:t>
      </w:r>
    </w:p>
    <w:p w14:paraId="2E175AE8" w14:textId="77777777" w:rsidR="00FD140A" w:rsidRPr="005748EF" w:rsidRDefault="00FD140A" w:rsidP="00EE38CE">
      <w:pPr>
        <w:pStyle w:val="BodyText"/>
        <w:spacing w:before="101" w:line="360" w:lineRule="auto"/>
        <w:ind w:left="0" w:firstLine="709"/>
        <w:jc w:val="both"/>
        <w:rPr>
          <w:rFonts w:asciiTheme="minorHAnsi" w:hAnsiTheme="minorHAnsi" w:cs="Arial"/>
          <w:sz w:val="22"/>
          <w:szCs w:val="22"/>
        </w:rPr>
      </w:pPr>
      <w:r w:rsidRPr="005748EF">
        <w:rPr>
          <w:rFonts w:asciiTheme="minorHAnsi" w:hAnsiTheme="minorHAnsi" w:cs="Arial"/>
          <w:sz w:val="22"/>
          <w:szCs w:val="22"/>
        </w:rPr>
        <w:t xml:space="preserve">Determining the source </w:t>
      </w:r>
      <w:r>
        <w:rPr>
          <w:rFonts w:asciiTheme="minorHAnsi" w:hAnsiTheme="minorHAnsi" w:cs="Arial"/>
          <w:sz w:val="22"/>
          <w:szCs w:val="22"/>
        </w:rPr>
        <w:t xml:space="preserve">of the </w:t>
      </w:r>
      <w:r w:rsidRPr="005748EF">
        <w:rPr>
          <w:rFonts w:asciiTheme="minorHAnsi" w:hAnsiTheme="minorHAnsi" w:cs="Arial"/>
          <w:sz w:val="22"/>
          <w:szCs w:val="22"/>
        </w:rPr>
        <w:t>introduction</w:t>
      </w:r>
      <w:r>
        <w:rPr>
          <w:rFonts w:asciiTheme="minorHAnsi" w:hAnsiTheme="minorHAnsi" w:cs="Arial"/>
          <w:sz w:val="22"/>
          <w:szCs w:val="22"/>
        </w:rPr>
        <w:t>s</w:t>
      </w:r>
      <w:r w:rsidRPr="005748EF">
        <w:rPr>
          <w:rFonts w:asciiTheme="minorHAnsi" w:hAnsiTheme="minorHAnsi" w:cs="Arial"/>
          <w:sz w:val="22"/>
          <w:szCs w:val="22"/>
        </w:rPr>
        <w:t xml:space="preserve"> </w:t>
      </w:r>
      <w:r>
        <w:rPr>
          <w:rFonts w:asciiTheme="minorHAnsi" w:hAnsiTheme="minorHAnsi" w:cs="Arial"/>
          <w:sz w:val="22"/>
          <w:szCs w:val="22"/>
        </w:rPr>
        <w:t xml:space="preserve">in the different parts of the present-day distribution range of </w:t>
      </w:r>
      <w:r w:rsidRPr="00972DC5">
        <w:rPr>
          <w:rFonts w:asciiTheme="minorHAnsi" w:hAnsiTheme="minorHAnsi" w:cs="Arial"/>
          <w:i/>
          <w:sz w:val="22"/>
          <w:szCs w:val="22"/>
        </w:rPr>
        <w:t xml:space="preserve">S. muticum </w:t>
      </w:r>
      <w:r w:rsidRPr="005748EF">
        <w:rPr>
          <w:rFonts w:asciiTheme="minorHAnsi" w:hAnsiTheme="minorHAnsi" w:cs="Arial"/>
          <w:sz w:val="22"/>
          <w:szCs w:val="22"/>
        </w:rPr>
        <w:t>was</w:t>
      </w:r>
      <w:r>
        <w:rPr>
          <w:rFonts w:asciiTheme="minorHAnsi" w:hAnsiTheme="minorHAnsi" w:cs="Arial"/>
          <w:sz w:val="22"/>
          <w:szCs w:val="22"/>
        </w:rPr>
        <w:t xml:space="preserve"> not </w:t>
      </w:r>
      <w:r w:rsidRPr="005748EF">
        <w:rPr>
          <w:rFonts w:asciiTheme="minorHAnsi" w:hAnsiTheme="minorHAnsi" w:cs="Arial"/>
          <w:sz w:val="22"/>
          <w:szCs w:val="22"/>
        </w:rPr>
        <w:t>the scope of this study</w:t>
      </w:r>
      <w:r>
        <w:rPr>
          <w:rFonts w:asciiTheme="minorHAnsi" w:hAnsiTheme="minorHAnsi" w:cs="Arial"/>
          <w:sz w:val="22"/>
          <w:szCs w:val="22"/>
        </w:rPr>
        <w:t xml:space="preserve">. It would have required extensive sampling in the native range. Here we focused on Japan, including areas which were presumed to have been putative sources (major oyster farming sites). We thus cannot ascertain the origin of any of the genetic entities revealed by the RAD-seq data. </w:t>
      </w:r>
      <w:r w:rsidRPr="005748EF">
        <w:rPr>
          <w:rFonts w:asciiTheme="minorHAnsi" w:hAnsiTheme="minorHAnsi" w:cs="Arial"/>
          <w:sz w:val="22"/>
          <w:szCs w:val="22"/>
        </w:rPr>
        <w:t>It is</w:t>
      </w:r>
      <w:r>
        <w:rPr>
          <w:rFonts w:asciiTheme="minorHAnsi" w:hAnsiTheme="minorHAnsi" w:cs="Arial"/>
          <w:sz w:val="22"/>
          <w:szCs w:val="22"/>
        </w:rPr>
        <w:t>,</w:t>
      </w:r>
      <w:r w:rsidRPr="005748EF">
        <w:rPr>
          <w:rFonts w:asciiTheme="minorHAnsi" w:hAnsiTheme="minorHAnsi" w:cs="Arial"/>
          <w:sz w:val="22"/>
          <w:szCs w:val="22"/>
        </w:rPr>
        <w:t xml:space="preserve"> however</w:t>
      </w:r>
      <w:r>
        <w:rPr>
          <w:rFonts w:asciiTheme="minorHAnsi" w:hAnsiTheme="minorHAnsi" w:cs="Arial"/>
          <w:sz w:val="22"/>
          <w:szCs w:val="22"/>
        </w:rPr>
        <w:t>,</w:t>
      </w:r>
      <w:r w:rsidRPr="005748EF">
        <w:rPr>
          <w:rFonts w:asciiTheme="minorHAnsi" w:hAnsiTheme="minorHAnsi" w:cs="Arial"/>
          <w:sz w:val="22"/>
          <w:szCs w:val="22"/>
        </w:rPr>
        <w:t xml:space="preserve"> noteworthy that part of </w:t>
      </w:r>
      <w:r>
        <w:rPr>
          <w:rFonts w:asciiTheme="minorHAnsi" w:hAnsiTheme="minorHAnsi" w:cs="Arial"/>
          <w:sz w:val="22"/>
          <w:szCs w:val="22"/>
        </w:rPr>
        <w:t xml:space="preserve">the </w:t>
      </w:r>
      <w:r w:rsidRPr="005748EF">
        <w:rPr>
          <w:rFonts w:asciiTheme="minorHAnsi" w:hAnsiTheme="minorHAnsi" w:cs="Arial"/>
          <w:sz w:val="22"/>
          <w:szCs w:val="22"/>
        </w:rPr>
        <w:t xml:space="preserve">Anan individuals </w:t>
      </w:r>
      <w:r>
        <w:rPr>
          <w:rFonts w:asciiTheme="minorHAnsi" w:hAnsiTheme="minorHAnsi" w:cs="Arial"/>
          <w:sz w:val="22"/>
          <w:szCs w:val="22"/>
        </w:rPr>
        <w:t>shares an identical genetic background with individuals in the southern</w:t>
      </w:r>
      <w:r w:rsidRPr="00267032">
        <w:rPr>
          <w:rFonts w:asciiTheme="minorHAnsi" w:hAnsiTheme="minorHAnsi" w:cs="Arial"/>
          <w:sz w:val="22"/>
          <w:szCs w:val="22"/>
        </w:rPr>
        <w:t xml:space="preserve"> </w:t>
      </w:r>
      <w:r>
        <w:rPr>
          <w:rFonts w:asciiTheme="minorHAnsi" w:hAnsiTheme="minorHAnsi" w:cs="Arial"/>
          <w:sz w:val="22"/>
          <w:szCs w:val="22"/>
        </w:rPr>
        <w:t>NE Pacific</w:t>
      </w:r>
      <w:r w:rsidRPr="005748EF">
        <w:rPr>
          <w:rFonts w:asciiTheme="minorHAnsi" w:hAnsiTheme="minorHAnsi" w:cs="Arial"/>
          <w:sz w:val="22"/>
          <w:szCs w:val="22"/>
        </w:rPr>
        <w:t xml:space="preserve"> and </w:t>
      </w:r>
      <w:r>
        <w:rPr>
          <w:rFonts w:asciiTheme="minorHAnsi" w:hAnsiTheme="minorHAnsi" w:cs="Arial"/>
          <w:sz w:val="22"/>
          <w:szCs w:val="22"/>
        </w:rPr>
        <w:t xml:space="preserve">the </w:t>
      </w:r>
      <w:r w:rsidRPr="00267032">
        <w:rPr>
          <w:rFonts w:asciiTheme="minorHAnsi" w:hAnsiTheme="minorHAnsi" w:cs="Arial"/>
          <w:sz w:val="22"/>
          <w:szCs w:val="22"/>
        </w:rPr>
        <w:t>NE Atlantic</w:t>
      </w:r>
      <w:r>
        <w:rPr>
          <w:rFonts w:asciiTheme="minorHAnsi" w:hAnsiTheme="minorHAnsi" w:cs="Arial"/>
          <w:sz w:val="22"/>
          <w:szCs w:val="22"/>
        </w:rPr>
        <w:t xml:space="preserve"> (Group 1) (Fig. 4</w:t>
      </w:r>
      <w:r w:rsidRPr="005748EF">
        <w:rPr>
          <w:rFonts w:asciiTheme="minorHAnsi" w:hAnsiTheme="minorHAnsi" w:cs="Arial"/>
          <w:sz w:val="22"/>
          <w:szCs w:val="22"/>
        </w:rPr>
        <w:t>). Anan may be either the source of the introduction in the</w:t>
      </w:r>
      <w:r>
        <w:rPr>
          <w:rFonts w:asciiTheme="minorHAnsi" w:hAnsiTheme="minorHAnsi" w:cs="Arial"/>
          <w:sz w:val="22"/>
          <w:szCs w:val="22"/>
        </w:rPr>
        <w:t>se parts of the</w:t>
      </w:r>
      <w:r w:rsidRPr="005748EF">
        <w:rPr>
          <w:rFonts w:asciiTheme="minorHAnsi" w:hAnsiTheme="minorHAnsi" w:cs="Arial"/>
          <w:sz w:val="22"/>
          <w:szCs w:val="22"/>
        </w:rPr>
        <w:t xml:space="preserve"> </w:t>
      </w:r>
      <w:r>
        <w:rPr>
          <w:rFonts w:asciiTheme="minorHAnsi" w:hAnsiTheme="minorHAnsi" w:cs="Arial"/>
          <w:sz w:val="22"/>
          <w:szCs w:val="22"/>
        </w:rPr>
        <w:t>N</w:t>
      </w:r>
      <w:r w:rsidRPr="005748EF">
        <w:rPr>
          <w:rFonts w:asciiTheme="minorHAnsi" w:hAnsiTheme="minorHAnsi" w:cs="Arial"/>
          <w:sz w:val="22"/>
          <w:szCs w:val="22"/>
        </w:rPr>
        <w:t>E Pacific and Atlantic but could also have been a recipient population from other populations in the native range as oyster transfer</w:t>
      </w:r>
      <w:r>
        <w:rPr>
          <w:rFonts w:asciiTheme="minorHAnsi" w:hAnsiTheme="minorHAnsi" w:cs="Arial"/>
          <w:sz w:val="22"/>
          <w:szCs w:val="22"/>
        </w:rPr>
        <w:t>s</w:t>
      </w:r>
      <w:r w:rsidRPr="005748EF">
        <w:rPr>
          <w:rFonts w:asciiTheme="minorHAnsi" w:hAnsiTheme="minorHAnsi" w:cs="Arial"/>
          <w:sz w:val="22"/>
          <w:szCs w:val="22"/>
        </w:rPr>
        <w:t xml:space="preserve"> </w:t>
      </w:r>
      <w:r>
        <w:rPr>
          <w:rFonts w:asciiTheme="minorHAnsi" w:hAnsiTheme="minorHAnsi" w:cs="Arial"/>
          <w:sz w:val="22"/>
          <w:szCs w:val="22"/>
        </w:rPr>
        <w:t xml:space="preserve">can </w:t>
      </w:r>
      <w:r w:rsidRPr="005748EF">
        <w:rPr>
          <w:rFonts w:asciiTheme="minorHAnsi" w:hAnsiTheme="minorHAnsi" w:cs="Arial"/>
          <w:sz w:val="22"/>
          <w:szCs w:val="22"/>
        </w:rPr>
        <w:t xml:space="preserve">also occur among Japanese oyster </w:t>
      </w:r>
      <w:r>
        <w:rPr>
          <w:rFonts w:asciiTheme="minorHAnsi" w:hAnsiTheme="minorHAnsi" w:cs="Arial"/>
          <w:sz w:val="22"/>
          <w:szCs w:val="22"/>
        </w:rPr>
        <w:t>farms.</w:t>
      </w:r>
      <w:r w:rsidRPr="005748EF">
        <w:rPr>
          <w:rFonts w:asciiTheme="minorHAnsi" w:hAnsiTheme="minorHAnsi" w:cs="Arial"/>
          <w:sz w:val="22"/>
          <w:szCs w:val="22"/>
        </w:rPr>
        <w:t xml:space="preserve"> </w:t>
      </w:r>
    </w:p>
    <w:p w14:paraId="51074541" w14:textId="015D4813" w:rsidR="00FD140A" w:rsidRDefault="00FD140A" w:rsidP="00757131">
      <w:pPr>
        <w:pStyle w:val="BodyText"/>
        <w:spacing w:before="101" w:after="240" w:line="360" w:lineRule="auto"/>
        <w:ind w:left="0" w:firstLine="709"/>
        <w:jc w:val="both"/>
        <w:rPr>
          <w:rFonts w:asciiTheme="minorHAnsi" w:hAnsiTheme="minorHAnsi" w:cs="Arial"/>
          <w:sz w:val="22"/>
          <w:szCs w:val="22"/>
        </w:rPr>
      </w:pPr>
      <w:r w:rsidRPr="005748EF">
        <w:rPr>
          <w:rFonts w:asciiTheme="minorHAnsi" w:hAnsiTheme="minorHAnsi" w:cs="Arial"/>
          <w:sz w:val="22"/>
          <w:szCs w:val="22"/>
        </w:rPr>
        <w:t xml:space="preserve">All of these </w:t>
      </w:r>
      <w:r>
        <w:rPr>
          <w:rFonts w:asciiTheme="minorHAnsi" w:hAnsiTheme="minorHAnsi" w:cs="Arial"/>
          <w:sz w:val="22"/>
          <w:szCs w:val="22"/>
        </w:rPr>
        <w:t>facts</w:t>
      </w:r>
      <w:r w:rsidRPr="005748EF">
        <w:rPr>
          <w:rFonts w:asciiTheme="minorHAnsi" w:hAnsiTheme="minorHAnsi" w:cs="Arial"/>
          <w:sz w:val="22"/>
          <w:szCs w:val="22"/>
        </w:rPr>
        <w:t xml:space="preserve"> form a body of </w:t>
      </w:r>
      <w:r>
        <w:rPr>
          <w:rFonts w:asciiTheme="minorHAnsi" w:hAnsiTheme="minorHAnsi" w:cs="Arial"/>
          <w:sz w:val="22"/>
          <w:szCs w:val="22"/>
        </w:rPr>
        <w:t>evidence</w:t>
      </w:r>
      <w:r w:rsidRPr="005748EF">
        <w:rPr>
          <w:rFonts w:asciiTheme="minorHAnsi" w:hAnsiTheme="minorHAnsi" w:cs="Arial"/>
          <w:sz w:val="22"/>
          <w:szCs w:val="22"/>
        </w:rPr>
        <w:t xml:space="preserve"> suggesting that </w:t>
      </w:r>
      <w:r>
        <w:rPr>
          <w:rFonts w:asciiTheme="minorHAnsi" w:hAnsiTheme="minorHAnsi" w:cs="Arial"/>
          <w:sz w:val="22"/>
          <w:szCs w:val="22"/>
        </w:rPr>
        <w:t>1) three independent introductions occurred at a global scale, 2) n</w:t>
      </w:r>
      <w:r w:rsidRPr="005748EF">
        <w:rPr>
          <w:rFonts w:asciiTheme="minorHAnsi" w:hAnsiTheme="minorHAnsi" w:cs="Arial"/>
          <w:sz w:val="22"/>
          <w:szCs w:val="22"/>
        </w:rPr>
        <w:t>orth</w:t>
      </w:r>
      <w:r>
        <w:rPr>
          <w:rFonts w:asciiTheme="minorHAnsi" w:hAnsiTheme="minorHAnsi" w:cs="Arial"/>
          <w:sz w:val="22"/>
          <w:szCs w:val="22"/>
        </w:rPr>
        <w:t>ern</w:t>
      </w:r>
      <w:r w:rsidRPr="005748EF">
        <w:rPr>
          <w:rFonts w:asciiTheme="minorHAnsi" w:hAnsiTheme="minorHAnsi" w:cs="Arial"/>
          <w:sz w:val="22"/>
          <w:szCs w:val="22"/>
        </w:rPr>
        <w:t xml:space="preserve"> and south</w:t>
      </w:r>
      <w:r>
        <w:rPr>
          <w:rFonts w:asciiTheme="minorHAnsi" w:hAnsiTheme="minorHAnsi" w:cs="Arial"/>
          <w:sz w:val="22"/>
          <w:szCs w:val="22"/>
        </w:rPr>
        <w:t>ern</w:t>
      </w:r>
      <w:r w:rsidRPr="005748EF">
        <w:rPr>
          <w:rFonts w:asciiTheme="minorHAnsi" w:hAnsiTheme="minorHAnsi" w:cs="Arial"/>
          <w:sz w:val="22"/>
          <w:szCs w:val="22"/>
        </w:rPr>
        <w:t xml:space="preserve"> population</w:t>
      </w:r>
      <w:r>
        <w:rPr>
          <w:rFonts w:asciiTheme="minorHAnsi" w:hAnsiTheme="minorHAnsi" w:cs="Arial"/>
          <w:sz w:val="22"/>
          <w:szCs w:val="22"/>
        </w:rPr>
        <w:t>s</w:t>
      </w:r>
      <w:r w:rsidRPr="005748EF">
        <w:rPr>
          <w:rFonts w:asciiTheme="minorHAnsi" w:hAnsiTheme="minorHAnsi" w:cs="Arial"/>
          <w:sz w:val="22"/>
          <w:szCs w:val="22"/>
        </w:rPr>
        <w:t xml:space="preserve"> of </w:t>
      </w:r>
      <w:r w:rsidRPr="005748EF">
        <w:rPr>
          <w:rFonts w:asciiTheme="minorHAnsi" w:hAnsiTheme="minorHAnsi" w:cs="Arial"/>
          <w:i/>
          <w:sz w:val="22"/>
          <w:szCs w:val="22"/>
        </w:rPr>
        <w:t>S muticum</w:t>
      </w:r>
      <w:r w:rsidRPr="005748EF">
        <w:rPr>
          <w:rFonts w:asciiTheme="minorHAnsi" w:hAnsiTheme="minorHAnsi" w:cs="Arial"/>
          <w:sz w:val="22"/>
          <w:szCs w:val="22"/>
        </w:rPr>
        <w:t xml:space="preserve"> in </w:t>
      </w:r>
      <w:r>
        <w:rPr>
          <w:rFonts w:asciiTheme="minorHAnsi" w:hAnsiTheme="minorHAnsi" w:cs="Arial"/>
          <w:sz w:val="22"/>
          <w:szCs w:val="22"/>
        </w:rPr>
        <w:t>NE Pacific</w:t>
      </w:r>
      <w:r w:rsidRPr="005748EF">
        <w:rPr>
          <w:rFonts w:asciiTheme="minorHAnsi" w:hAnsiTheme="minorHAnsi" w:cs="Arial"/>
          <w:sz w:val="22"/>
          <w:szCs w:val="22"/>
        </w:rPr>
        <w:t xml:space="preserve"> originate</w:t>
      </w:r>
      <w:r>
        <w:rPr>
          <w:rFonts w:asciiTheme="minorHAnsi" w:hAnsiTheme="minorHAnsi" w:cs="Arial"/>
          <w:sz w:val="22"/>
          <w:szCs w:val="22"/>
        </w:rPr>
        <w:t>d</w:t>
      </w:r>
      <w:r w:rsidRPr="005748EF">
        <w:rPr>
          <w:rFonts w:asciiTheme="minorHAnsi" w:hAnsiTheme="minorHAnsi" w:cs="Arial"/>
          <w:sz w:val="22"/>
          <w:szCs w:val="22"/>
        </w:rPr>
        <w:t xml:space="preserve"> from </w:t>
      </w:r>
      <w:r>
        <w:rPr>
          <w:rFonts w:asciiTheme="minorHAnsi" w:hAnsiTheme="minorHAnsi" w:cs="Arial"/>
          <w:sz w:val="22"/>
          <w:szCs w:val="22"/>
        </w:rPr>
        <w:t xml:space="preserve">two </w:t>
      </w:r>
      <w:r w:rsidRPr="005748EF">
        <w:rPr>
          <w:rFonts w:asciiTheme="minorHAnsi" w:hAnsiTheme="minorHAnsi" w:cs="Arial"/>
          <w:sz w:val="22"/>
          <w:szCs w:val="22"/>
        </w:rPr>
        <w:t xml:space="preserve">distinct introduction events and </w:t>
      </w:r>
      <w:r>
        <w:rPr>
          <w:rFonts w:asciiTheme="minorHAnsi" w:hAnsiTheme="minorHAnsi" w:cs="Arial"/>
          <w:sz w:val="22"/>
          <w:szCs w:val="22"/>
        </w:rPr>
        <w:t>3) the s</w:t>
      </w:r>
      <w:r w:rsidRPr="005748EF">
        <w:rPr>
          <w:rFonts w:asciiTheme="minorHAnsi" w:hAnsiTheme="minorHAnsi" w:cs="Arial"/>
          <w:sz w:val="22"/>
          <w:szCs w:val="22"/>
        </w:rPr>
        <w:t xml:space="preserve">outhern populations could have seeded </w:t>
      </w:r>
      <w:r>
        <w:rPr>
          <w:rFonts w:asciiTheme="minorHAnsi" w:hAnsiTheme="minorHAnsi" w:cs="Arial"/>
          <w:sz w:val="22"/>
          <w:szCs w:val="22"/>
        </w:rPr>
        <w:t xml:space="preserve">most of </w:t>
      </w:r>
      <w:r w:rsidRPr="005748EF">
        <w:rPr>
          <w:rFonts w:asciiTheme="minorHAnsi" w:hAnsiTheme="minorHAnsi" w:cs="Arial"/>
          <w:sz w:val="22"/>
          <w:szCs w:val="22"/>
        </w:rPr>
        <w:t>the European populations.</w:t>
      </w:r>
      <w:r>
        <w:rPr>
          <w:rFonts w:asciiTheme="minorHAnsi" w:hAnsiTheme="minorHAnsi" w:cs="Arial"/>
          <w:sz w:val="22"/>
          <w:szCs w:val="22"/>
        </w:rPr>
        <w:t xml:space="preserve"> Massive sampling in the native range might be helpful to investigate these </w:t>
      </w:r>
      <w:r>
        <w:rPr>
          <w:rFonts w:asciiTheme="minorHAnsi" w:hAnsiTheme="minorHAnsi" w:cs="Arial"/>
          <w:sz w:val="22"/>
          <w:szCs w:val="22"/>
        </w:rPr>
        <w:lastRenderedPageBreak/>
        <w:t xml:space="preserve">scenarios, although, with longer time elapsed since the introduction, the likelihood to identify the sources is fading rapidly in highly genetically structured species </w:t>
      </w:r>
      <w:r>
        <w:rPr>
          <w:rFonts w:asciiTheme="minorHAnsi" w:hAnsiTheme="minorHAnsi" w:cs="Arial"/>
          <w:noProof/>
          <w:sz w:val="22"/>
          <w:szCs w:val="22"/>
        </w:rPr>
        <w:t>(Geller, Darling, &amp; Carlton, 2010</w:t>
      </w:r>
      <w:r w:rsidR="00680BF8">
        <w:rPr>
          <w:rFonts w:asciiTheme="minorHAnsi" w:hAnsiTheme="minorHAnsi" w:cs="Arial"/>
          <w:noProof/>
          <w:sz w:val="22"/>
          <w:szCs w:val="22"/>
        </w:rPr>
        <w:t xml:space="preserve">) </w:t>
      </w:r>
      <w:r w:rsidR="00C8002F">
        <w:rPr>
          <w:rFonts w:asciiTheme="minorHAnsi" w:hAnsiTheme="minorHAnsi" w:cs="Arial"/>
          <w:noProof/>
          <w:sz w:val="22"/>
          <w:szCs w:val="22"/>
        </w:rPr>
        <w:t>such as our</w:t>
      </w:r>
      <w:r>
        <w:rPr>
          <w:rFonts w:asciiTheme="minorHAnsi" w:hAnsiTheme="minorHAnsi" w:cs="Arial"/>
          <w:sz w:val="22"/>
          <w:szCs w:val="22"/>
        </w:rPr>
        <w:t xml:space="preserve"> study species.</w:t>
      </w:r>
      <w:r w:rsidR="00757131">
        <w:rPr>
          <w:rFonts w:asciiTheme="minorHAnsi" w:hAnsiTheme="minorHAnsi" w:cs="Arial"/>
          <w:sz w:val="22"/>
          <w:szCs w:val="22"/>
        </w:rPr>
        <w:t xml:space="preserve"> This study also adds to previous genetic studies which showed unreported (cryptic) introductions in marine environment (Geller et al., 2010, Rius et al. 2015), thus revealing a necessary control of the introduction vectors and pathways, here targeting in particular aquaculture trade.</w:t>
      </w:r>
    </w:p>
    <w:p w14:paraId="1EF8B9B0" w14:textId="4A2709D0" w:rsidR="00FD140A" w:rsidRPr="00D202A0" w:rsidRDefault="00FD140A" w:rsidP="00EE38CE">
      <w:pPr>
        <w:pStyle w:val="BodyText"/>
        <w:spacing w:before="101" w:line="360" w:lineRule="auto"/>
        <w:ind w:left="0"/>
        <w:jc w:val="both"/>
        <w:rPr>
          <w:rFonts w:asciiTheme="minorHAnsi" w:hAnsiTheme="minorHAnsi" w:cs="Arial"/>
          <w:b/>
          <w:sz w:val="22"/>
          <w:szCs w:val="22"/>
        </w:rPr>
      </w:pPr>
      <w:r>
        <w:rPr>
          <w:rFonts w:asciiTheme="minorHAnsi" w:hAnsiTheme="minorHAnsi" w:cs="Arial"/>
          <w:b/>
          <w:sz w:val="22"/>
          <w:szCs w:val="22"/>
        </w:rPr>
        <w:t>Potential a</w:t>
      </w:r>
      <w:r w:rsidRPr="00D202A0">
        <w:rPr>
          <w:rFonts w:asciiTheme="minorHAnsi" w:hAnsiTheme="minorHAnsi" w:cs="Arial"/>
          <w:b/>
          <w:sz w:val="22"/>
          <w:szCs w:val="22"/>
        </w:rPr>
        <w:t xml:space="preserve">dmixture between </w:t>
      </w:r>
      <w:r w:rsidR="006558BC">
        <w:rPr>
          <w:rFonts w:asciiTheme="minorHAnsi" w:hAnsiTheme="minorHAnsi" w:cs="Arial"/>
          <w:b/>
          <w:sz w:val="22"/>
          <w:szCs w:val="22"/>
        </w:rPr>
        <w:t xml:space="preserve">lineages originating from </w:t>
      </w:r>
      <w:r w:rsidRPr="00D202A0">
        <w:rPr>
          <w:rFonts w:asciiTheme="minorHAnsi" w:hAnsiTheme="minorHAnsi" w:cs="Arial"/>
          <w:b/>
          <w:sz w:val="22"/>
          <w:szCs w:val="22"/>
        </w:rPr>
        <w:t>distinct</w:t>
      </w:r>
      <w:r>
        <w:rPr>
          <w:rFonts w:asciiTheme="minorHAnsi" w:hAnsiTheme="minorHAnsi" w:cs="Arial"/>
          <w:b/>
          <w:sz w:val="22"/>
          <w:szCs w:val="22"/>
        </w:rPr>
        <w:t xml:space="preserve"> introduction events </w:t>
      </w:r>
    </w:p>
    <w:p w14:paraId="46F85E11" w14:textId="4C6AFA0F" w:rsidR="00FD140A" w:rsidRDefault="00FD140A" w:rsidP="00EE38CE">
      <w:pPr>
        <w:pStyle w:val="BodyText"/>
        <w:spacing w:before="101" w:line="360" w:lineRule="auto"/>
        <w:ind w:left="0"/>
        <w:jc w:val="both"/>
        <w:rPr>
          <w:rFonts w:asciiTheme="minorHAnsi" w:hAnsiTheme="minorHAnsi" w:cs="Arial"/>
          <w:sz w:val="22"/>
          <w:szCs w:val="22"/>
        </w:rPr>
      </w:pPr>
      <w:r>
        <w:rPr>
          <w:rFonts w:asciiTheme="minorHAnsi" w:hAnsiTheme="minorHAnsi" w:cs="Arial"/>
          <w:sz w:val="22"/>
          <w:szCs w:val="22"/>
        </w:rPr>
        <w:t xml:space="preserve">Besides the presence of two distinct introduction events characterized by different genetic background, our genome-wide survey </w:t>
      </w:r>
      <w:r w:rsidRPr="0067789C">
        <w:rPr>
          <w:rFonts w:asciiTheme="minorHAnsi" w:hAnsiTheme="minorHAnsi" w:cs="Arial"/>
          <w:sz w:val="22"/>
          <w:szCs w:val="22"/>
        </w:rPr>
        <w:t>also suggest</w:t>
      </w:r>
      <w:r>
        <w:rPr>
          <w:rFonts w:asciiTheme="minorHAnsi" w:hAnsiTheme="minorHAnsi" w:cs="Arial"/>
          <w:sz w:val="22"/>
          <w:szCs w:val="22"/>
        </w:rPr>
        <w:t>s</w:t>
      </w:r>
      <w:r w:rsidRPr="0067789C">
        <w:rPr>
          <w:rFonts w:asciiTheme="minorHAnsi" w:hAnsiTheme="minorHAnsi" w:cs="Arial"/>
          <w:sz w:val="22"/>
          <w:szCs w:val="22"/>
        </w:rPr>
        <w:t xml:space="preserve"> that admixture between different genetic lineages might have occurred </w:t>
      </w:r>
      <w:r>
        <w:rPr>
          <w:rFonts w:asciiTheme="minorHAnsi" w:hAnsiTheme="minorHAnsi" w:cs="Arial"/>
          <w:sz w:val="22"/>
          <w:szCs w:val="22"/>
        </w:rPr>
        <w:t>in each of the two introduction ranges</w:t>
      </w:r>
      <w:r w:rsidRPr="0067789C">
        <w:rPr>
          <w:rFonts w:asciiTheme="minorHAnsi" w:hAnsiTheme="minorHAnsi" w:cs="Arial"/>
          <w:sz w:val="22"/>
          <w:szCs w:val="22"/>
        </w:rPr>
        <w:t xml:space="preserve">. In the NE Pacific, we </w:t>
      </w:r>
      <w:r>
        <w:rPr>
          <w:rFonts w:asciiTheme="minorHAnsi" w:hAnsiTheme="minorHAnsi" w:cs="Arial"/>
          <w:sz w:val="22"/>
          <w:szCs w:val="22"/>
        </w:rPr>
        <w:t xml:space="preserve">indeed </w:t>
      </w:r>
      <w:r w:rsidRPr="0067789C">
        <w:rPr>
          <w:rFonts w:asciiTheme="minorHAnsi" w:hAnsiTheme="minorHAnsi" w:cs="Arial"/>
          <w:sz w:val="22"/>
          <w:szCs w:val="22"/>
        </w:rPr>
        <w:t xml:space="preserve">showed a clear genetic distinctiveness between the northern and southern groups, separated by a well-known natural biogeographic barrier. </w:t>
      </w:r>
      <w:r>
        <w:rPr>
          <w:rFonts w:asciiTheme="minorHAnsi" w:hAnsiTheme="minorHAnsi" w:cs="Arial"/>
          <w:sz w:val="22"/>
          <w:szCs w:val="22"/>
        </w:rPr>
        <w:t>However</w:t>
      </w:r>
      <w:r w:rsidRPr="0067789C">
        <w:rPr>
          <w:rFonts w:asciiTheme="minorHAnsi" w:hAnsiTheme="minorHAnsi" w:cs="Arial"/>
          <w:sz w:val="22"/>
          <w:szCs w:val="22"/>
        </w:rPr>
        <w:t>, both I</w:t>
      </w:r>
      <w:r>
        <w:rPr>
          <w:rFonts w:asciiTheme="minorHAnsi" w:hAnsiTheme="minorHAnsi" w:cs="Arial"/>
          <w:sz w:val="22"/>
          <w:szCs w:val="22"/>
        </w:rPr>
        <w:t>n</w:t>
      </w:r>
      <w:r w:rsidRPr="0067789C">
        <w:rPr>
          <w:rFonts w:asciiTheme="minorHAnsi" w:hAnsiTheme="minorHAnsi" w:cs="Arial"/>
          <w:sz w:val="22"/>
          <w:szCs w:val="22"/>
        </w:rPr>
        <w:t>S</w:t>
      </w:r>
      <w:r>
        <w:rPr>
          <w:rFonts w:asciiTheme="minorHAnsi" w:hAnsiTheme="minorHAnsi" w:cs="Arial"/>
          <w:sz w:val="22"/>
          <w:szCs w:val="22"/>
        </w:rPr>
        <w:t>truct</w:t>
      </w:r>
      <w:r w:rsidRPr="0067789C">
        <w:rPr>
          <w:rFonts w:asciiTheme="minorHAnsi" w:hAnsiTheme="minorHAnsi" w:cs="Arial"/>
          <w:sz w:val="22"/>
          <w:szCs w:val="22"/>
        </w:rPr>
        <w:t xml:space="preserve"> (Fig. 4) and PCA (fig. 3) analyses revealed an intermediate genetic backgr</w:t>
      </w:r>
      <w:r>
        <w:rPr>
          <w:rFonts w:asciiTheme="minorHAnsi" w:hAnsiTheme="minorHAnsi" w:cs="Arial"/>
          <w:sz w:val="22"/>
          <w:szCs w:val="22"/>
        </w:rPr>
        <w:t xml:space="preserve">ound in </w:t>
      </w:r>
      <w:r w:rsidR="006558BC">
        <w:rPr>
          <w:rFonts w:asciiTheme="minorHAnsi" w:hAnsiTheme="minorHAnsi" w:cs="Arial"/>
          <w:sz w:val="22"/>
          <w:szCs w:val="22"/>
        </w:rPr>
        <w:t xml:space="preserve">the individuals sampled in </w:t>
      </w:r>
      <w:r>
        <w:rPr>
          <w:rFonts w:asciiTheme="minorHAnsi" w:hAnsiTheme="minorHAnsi" w:cs="Arial"/>
          <w:sz w:val="22"/>
          <w:szCs w:val="22"/>
        </w:rPr>
        <w:t xml:space="preserve">San Francisco (no. 13), </w:t>
      </w:r>
      <w:r w:rsidRPr="00C8002F">
        <w:rPr>
          <w:rFonts w:asciiTheme="minorHAnsi" w:hAnsiTheme="minorHAnsi" w:cs="Arial"/>
          <w:sz w:val="22"/>
          <w:szCs w:val="22"/>
        </w:rPr>
        <w:t>and, interestingly, the MLG found in San Francisco displayed an intermediate position on the Minimum spanning network between the northern and southern groups of MLGs (Fig. 2).</w:t>
      </w:r>
      <w:r>
        <w:rPr>
          <w:rFonts w:asciiTheme="minorHAnsi" w:hAnsiTheme="minorHAnsi" w:cs="Arial"/>
          <w:sz w:val="22"/>
          <w:szCs w:val="22"/>
        </w:rPr>
        <w:t xml:space="preserve"> </w:t>
      </w:r>
      <w:r w:rsidR="006558BC">
        <w:rPr>
          <w:rFonts w:asciiTheme="minorHAnsi" w:hAnsiTheme="minorHAnsi" w:cs="Arial"/>
          <w:sz w:val="22"/>
          <w:szCs w:val="22"/>
        </w:rPr>
        <w:t>Note that carrying out a PCA with the less conservative dataset</w:t>
      </w:r>
      <w:r w:rsidR="009B63D4">
        <w:rPr>
          <w:rFonts w:asciiTheme="minorHAnsi" w:hAnsiTheme="minorHAnsi" w:cs="Arial"/>
          <w:sz w:val="22"/>
          <w:szCs w:val="22"/>
        </w:rPr>
        <w:t xml:space="preserve"> allowed to retain </w:t>
      </w:r>
      <w:r w:rsidR="006558BC">
        <w:rPr>
          <w:rFonts w:asciiTheme="minorHAnsi" w:hAnsiTheme="minorHAnsi" w:cs="Arial"/>
          <w:sz w:val="22"/>
          <w:szCs w:val="22"/>
        </w:rPr>
        <w:t>the second individual sampled in San Francisco</w:t>
      </w:r>
      <w:r w:rsidR="009B63D4">
        <w:rPr>
          <w:rFonts w:asciiTheme="minorHAnsi" w:hAnsiTheme="minorHAnsi" w:cs="Arial"/>
          <w:sz w:val="22"/>
          <w:szCs w:val="22"/>
        </w:rPr>
        <w:t>, which also displayed</w:t>
      </w:r>
      <w:r w:rsidR="006558BC">
        <w:rPr>
          <w:rFonts w:asciiTheme="minorHAnsi" w:hAnsiTheme="minorHAnsi" w:cs="Arial"/>
          <w:sz w:val="22"/>
          <w:szCs w:val="22"/>
        </w:rPr>
        <w:t xml:space="preserve"> an intermediate genetic background (data not shown). </w:t>
      </w:r>
      <w:r w:rsidRPr="0067789C">
        <w:rPr>
          <w:rFonts w:asciiTheme="minorHAnsi" w:hAnsiTheme="minorHAnsi" w:cs="Arial"/>
          <w:sz w:val="22"/>
          <w:szCs w:val="22"/>
        </w:rPr>
        <w:t>The very limited sample size prevent</w:t>
      </w:r>
      <w:r>
        <w:rPr>
          <w:rFonts w:asciiTheme="minorHAnsi" w:hAnsiTheme="minorHAnsi" w:cs="Arial"/>
          <w:sz w:val="22"/>
          <w:szCs w:val="22"/>
        </w:rPr>
        <w:t>ed</w:t>
      </w:r>
      <w:r w:rsidRPr="0067789C">
        <w:rPr>
          <w:rFonts w:asciiTheme="minorHAnsi" w:hAnsiTheme="minorHAnsi" w:cs="Arial"/>
          <w:sz w:val="22"/>
          <w:szCs w:val="22"/>
        </w:rPr>
        <w:t xml:space="preserve"> further analyses</w:t>
      </w:r>
      <w:r>
        <w:rPr>
          <w:rFonts w:asciiTheme="minorHAnsi" w:hAnsiTheme="minorHAnsi" w:cs="Arial"/>
          <w:sz w:val="22"/>
          <w:szCs w:val="22"/>
        </w:rPr>
        <w:t>,</w:t>
      </w:r>
      <w:r w:rsidRPr="0067789C">
        <w:rPr>
          <w:rFonts w:asciiTheme="minorHAnsi" w:hAnsiTheme="minorHAnsi" w:cs="Arial"/>
          <w:sz w:val="22"/>
          <w:szCs w:val="22"/>
        </w:rPr>
        <w:t xml:space="preserve"> and definite conclusion regarding the status of this introduced population. However, it is noteworthy that the two individuals were sampled in a </w:t>
      </w:r>
      <w:r>
        <w:rPr>
          <w:rFonts w:asciiTheme="minorHAnsi" w:hAnsiTheme="minorHAnsi" w:cs="Arial"/>
          <w:sz w:val="22"/>
          <w:szCs w:val="22"/>
        </w:rPr>
        <w:t>marina</w:t>
      </w:r>
      <w:r w:rsidRPr="0067789C">
        <w:rPr>
          <w:rFonts w:asciiTheme="minorHAnsi" w:hAnsiTheme="minorHAnsi" w:cs="Arial"/>
          <w:sz w:val="22"/>
          <w:szCs w:val="22"/>
        </w:rPr>
        <w:t xml:space="preserve">: human-mediated transports by leisure or commercial boats can facilitate secondary contact, by transporting individuals across natural barriers, and thus promote admixture between distinct genetic origins. A similar situation of admixture </w:t>
      </w:r>
      <w:r>
        <w:rPr>
          <w:rFonts w:asciiTheme="minorHAnsi" w:hAnsiTheme="minorHAnsi" w:cs="Arial"/>
          <w:sz w:val="22"/>
          <w:szCs w:val="22"/>
        </w:rPr>
        <w:t xml:space="preserve">between two introduced genetic lineages, </w:t>
      </w:r>
      <w:r w:rsidRPr="0067789C">
        <w:rPr>
          <w:rFonts w:asciiTheme="minorHAnsi" w:hAnsiTheme="minorHAnsi" w:cs="Arial"/>
          <w:sz w:val="22"/>
          <w:szCs w:val="22"/>
        </w:rPr>
        <w:t>following transport by anthropogenic activities</w:t>
      </w:r>
      <w:r>
        <w:rPr>
          <w:rFonts w:asciiTheme="minorHAnsi" w:hAnsiTheme="minorHAnsi" w:cs="Arial"/>
          <w:sz w:val="22"/>
          <w:szCs w:val="22"/>
        </w:rPr>
        <w:t>,</w:t>
      </w:r>
      <w:r w:rsidRPr="0067789C">
        <w:rPr>
          <w:rFonts w:asciiTheme="minorHAnsi" w:hAnsiTheme="minorHAnsi" w:cs="Arial"/>
          <w:sz w:val="22"/>
          <w:szCs w:val="22"/>
        </w:rPr>
        <w:t xml:space="preserve"> has been reported in one introduced population of the green crab </w:t>
      </w:r>
      <w:r w:rsidRPr="0067789C">
        <w:rPr>
          <w:rFonts w:asciiTheme="minorHAnsi" w:hAnsiTheme="minorHAnsi" w:cs="Arial"/>
          <w:i/>
          <w:sz w:val="22"/>
          <w:szCs w:val="22"/>
        </w:rPr>
        <w:t xml:space="preserve">Carcinus maenas </w:t>
      </w:r>
      <w:r w:rsidRPr="0067789C">
        <w:rPr>
          <w:rFonts w:asciiTheme="minorHAnsi" w:hAnsiTheme="minorHAnsi" w:cs="Arial"/>
          <w:sz w:val="22"/>
          <w:szCs w:val="22"/>
        </w:rPr>
        <w:t>in Newfoundland (</w:t>
      </w:r>
      <w:r>
        <w:rPr>
          <w:rFonts w:asciiTheme="minorHAnsi" w:hAnsiTheme="minorHAnsi" w:cs="Arial"/>
          <w:noProof/>
          <w:sz w:val="22"/>
          <w:szCs w:val="22"/>
        </w:rPr>
        <w:t>Jeffery</w:t>
      </w:r>
      <w:r w:rsidR="009B63D4">
        <w:rPr>
          <w:rFonts w:asciiTheme="minorHAnsi" w:hAnsiTheme="minorHAnsi" w:cs="Arial"/>
          <w:noProof/>
          <w:sz w:val="22"/>
          <w:szCs w:val="22"/>
        </w:rPr>
        <w:t xml:space="preserve"> </w:t>
      </w:r>
      <w:r>
        <w:rPr>
          <w:rFonts w:asciiTheme="minorHAnsi" w:hAnsiTheme="minorHAnsi" w:cs="Arial"/>
          <w:noProof/>
          <w:sz w:val="22"/>
          <w:szCs w:val="22"/>
        </w:rPr>
        <w:t xml:space="preserve">et al. </w:t>
      </w:r>
      <w:r w:rsidR="00032ECC">
        <w:rPr>
          <w:rFonts w:asciiTheme="minorHAnsi" w:hAnsiTheme="minorHAnsi" w:cs="Arial"/>
          <w:noProof/>
          <w:sz w:val="22"/>
          <w:szCs w:val="22"/>
        </w:rPr>
        <w:t>(</w:t>
      </w:r>
      <w:r>
        <w:rPr>
          <w:rFonts w:asciiTheme="minorHAnsi" w:hAnsiTheme="minorHAnsi" w:cs="Arial"/>
          <w:noProof/>
          <w:sz w:val="22"/>
          <w:szCs w:val="22"/>
        </w:rPr>
        <w:t>2017)</w:t>
      </w:r>
      <w:r w:rsidRPr="0067789C">
        <w:rPr>
          <w:rFonts w:asciiTheme="minorHAnsi" w:hAnsiTheme="minorHAnsi" w:cs="Arial"/>
          <w:sz w:val="22"/>
          <w:szCs w:val="22"/>
        </w:rPr>
        <w:t xml:space="preserve"> and references </w:t>
      </w:r>
      <w:r>
        <w:rPr>
          <w:rFonts w:asciiTheme="minorHAnsi" w:hAnsiTheme="minorHAnsi" w:cs="Arial"/>
          <w:sz w:val="22"/>
          <w:szCs w:val="22"/>
        </w:rPr>
        <w:t>t</w:t>
      </w:r>
      <w:r w:rsidRPr="0067789C">
        <w:rPr>
          <w:rFonts w:asciiTheme="minorHAnsi" w:hAnsiTheme="minorHAnsi" w:cs="Arial"/>
          <w:sz w:val="22"/>
          <w:szCs w:val="22"/>
        </w:rPr>
        <w:t>herein).</w:t>
      </w:r>
    </w:p>
    <w:p w14:paraId="413D96CE" w14:textId="19EEFAB9" w:rsidR="00FD140A" w:rsidRDefault="00FD140A" w:rsidP="00EE38CE">
      <w:pPr>
        <w:pStyle w:val="BodyText"/>
        <w:spacing w:before="101" w:line="360" w:lineRule="auto"/>
        <w:ind w:left="0" w:firstLine="709"/>
        <w:jc w:val="both"/>
        <w:rPr>
          <w:rFonts w:asciiTheme="minorHAnsi" w:hAnsiTheme="minorHAnsi" w:cs="Arial"/>
          <w:sz w:val="22"/>
          <w:szCs w:val="22"/>
        </w:rPr>
      </w:pPr>
      <w:r>
        <w:rPr>
          <w:rFonts w:asciiTheme="minorHAnsi" w:hAnsiTheme="minorHAnsi" w:cs="Arial"/>
          <w:sz w:val="22"/>
          <w:szCs w:val="22"/>
        </w:rPr>
        <w:t xml:space="preserve">In the NE Atlantic introduction range, InStruct analyses also revealed individuals with intermediate memberships to two distinct genetic clusters (pictured in red and blue in Fig. 4) in Thau (no. 51), and particularly in Porto (no. 54), again suggesting admixture between distinct lineages. Interestingly, in Porto, several individuals also displayed the typical genetic background found in the other populations distributed along the NE Atlantic coast. We might hypothesize that a distinct lineage had been introduced and successfully established in the Mediterranean Sea (here illustrated by the Thau population (no. 51) in Fig. 4), </w:t>
      </w:r>
      <w:r w:rsidR="009B63D4">
        <w:rPr>
          <w:rFonts w:asciiTheme="minorHAnsi" w:hAnsiTheme="minorHAnsi" w:cs="Arial"/>
          <w:sz w:val="22"/>
          <w:szCs w:val="22"/>
        </w:rPr>
        <w:t xml:space="preserve">for instance </w:t>
      </w:r>
      <w:r>
        <w:rPr>
          <w:rFonts w:asciiTheme="minorHAnsi" w:hAnsiTheme="minorHAnsi" w:cs="Arial"/>
          <w:sz w:val="22"/>
          <w:szCs w:val="22"/>
        </w:rPr>
        <w:t xml:space="preserve">favored by the local environmental conditions (e.g., warmer seawater). The subsequent introduction of this lineage in Porto might have led to admixture between the two lineages. In the American introduced range of </w:t>
      </w:r>
      <w:r>
        <w:rPr>
          <w:rFonts w:asciiTheme="minorHAnsi" w:hAnsiTheme="minorHAnsi" w:cs="Arial"/>
          <w:i/>
          <w:sz w:val="22"/>
          <w:szCs w:val="22"/>
        </w:rPr>
        <w:t>C.</w:t>
      </w:r>
      <w:r w:rsidRPr="000E75AF">
        <w:rPr>
          <w:rFonts w:asciiTheme="minorHAnsi" w:hAnsiTheme="minorHAnsi" w:cs="Arial"/>
          <w:i/>
          <w:sz w:val="22"/>
          <w:szCs w:val="22"/>
        </w:rPr>
        <w:t xml:space="preserve"> maenas</w:t>
      </w:r>
      <w:r>
        <w:rPr>
          <w:rFonts w:asciiTheme="minorHAnsi" w:hAnsiTheme="minorHAnsi" w:cs="Arial"/>
          <w:sz w:val="22"/>
          <w:szCs w:val="22"/>
        </w:rPr>
        <w:t xml:space="preserve"> hybridization between two </w:t>
      </w:r>
      <w:r>
        <w:rPr>
          <w:rFonts w:asciiTheme="minorHAnsi" w:hAnsiTheme="minorHAnsi" w:cs="Arial"/>
          <w:sz w:val="22"/>
          <w:szCs w:val="22"/>
        </w:rPr>
        <w:lastRenderedPageBreak/>
        <w:t xml:space="preserve">lineages independently and successively introduced, each of them presumably adapted to different thermal conditions, had been shown </w:t>
      </w:r>
      <w:r>
        <w:rPr>
          <w:rFonts w:asciiTheme="minorHAnsi" w:hAnsiTheme="minorHAnsi" w:cs="Arial"/>
          <w:noProof/>
          <w:sz w:val="22"/>
          <w:szCs w:val="22"/>
        </w:rPr>
        <w:t>(Jeffery, DiBacco, Wringe, et al., 2017)</w:t>
      </w:r>
      <w:r>
        <w:rPr>
          <w:rFonts w:asciiTheme="minorHAnsi" w:hAnsiTheme="minorHAnsi" w:cs="Arial"/>
          <w:sz w:val="22"/>
          <w:szCs w:val="22"/>
        </w:rPr>
        <w:t xml:space="preserve">. A similar situation might occur along the Portuguese coasts. Admixture between distinct evolutionary lineages that had been independently introduced over time is a process that might enhance the colonization success of introduced species </w:t>
      </w:r>
      <w:r>
        <w:rPr>
          <w:rFonts w:asciiTheme="minorHAnsi" w:hAnsiTheme="minorHAnsi" w:cs="Arial"/>
          <w:noProof/>
          <w:sz w:val="22"/>
          <w:szCs w:val="22"/>
        </w:rPr>
        <w:t>(Prentis, Wilson, Dormontt, Richardson, &amp; Lowe, 2008)</w:t>
      </w:r>
      <w:r>
        <w:rPr>
          <w:rFonts w:asciiTheme="minorHAnsi" w:hAnsiTheme="minorHAnsi" w:cs="Arial"/>
          <w:sz w:val="22"/>
          <w:szCs w:val="22"/>
        </w:rPr>
        <w:t xml:space="preserve">, although evidence is still scarce in marine environments </w:t>
      </w:r>
      <w:r>
        <w:rPr>
          <w:rFonts w:asciiTheme="minorHAnsi" w:hAnsiTheme="minorHAnsi" w:cs="Arial"/>
          <w:noProof/>
          <w:sz w:val="22"/>
          <w:szCs w:val="22"/>
        </w:rPr>
        <w:t>(Rius &amp; Darling, 2014)</w:t>
      </w:r>
      <w:r>
        <w:rPr>
          <w:rFonts w:asciiTheme="minorHAnsi" w:hAnsiTheme="minorHAnsi" w:cs="Arial"/>
          <w:sz w:val="22"/>
          <w:szCs w:val="22"/>
        </w:rPr>
        <w:t xml:space="preserve">. Studying a larger number of individuals, and, more importantly, of populations along the Portuguese coast could shed light on the extent of this hypothetical admixture scenario in the </w:t>
      </w:r>
      <w:r w:rsidRPr="00267032">
        <w:rPr>
          <w:rFonts w:asciiTheme="minorHAnsi" w:hAnsiTheme="minorHAnsi" w:cs="Arial"/>
          <w:sz w:val="22"/>
          <w:szCs w:val="22"/>
        </w:rPr>
        <w:t>NE Atlantic</w:t>
      </w:r>
      <w:r>
        <w:rPr>
          <w:rFonts w:asciiTheme="minorHAnsi" w:hAnsiTheme="minorHAnsi" w:cs="Arial"/>
          <w:sz w:val="22"/>
          <w:szCs w:val="22"/>
        </w:rPr>
        <w:t>, and of the role of the environment.</w:t>
      </w:r>
    </w:p>
    <w:p w14:paraId="72CF3480" w14:textId="77777777" w:rsidR="00FD140A" w:rsidRPr="005748EF" w:rsidRDefault="00FD140A" w:rsidP="00471F83">
      <w:pPr>
        <w:spacing w:before="240" w:line="360" w:lineRule="auto"/>
        <w:ind w:right="156"/>
        <w:jc w:val="both"/>
      </w:pPr>
      <w:r>
        <w:rPr>
          <w:b/>
        </w:rPr>
        <w:t xml:space="preserve">Could selfing rate variation be a key factor to succeed from one introduction phase to the next? </w:t>
      </w:r>
    </w:p>
    <w:p w14:paraId="121E0046" w14:textId="2DC5D1B0" w:rsidR="00FD140A" w:rsidRDefault="00FD140A" w:rsidP="00EE38CE">
      <w:pPr>
        <w:spacing w:line="360" w:lineRule="auto"/>
        <w:ind w:right="156"/>
        <w:jc w:val="both"/>
      </w:pPr>
      <w:r w:rsidRPr="005748EF">
        <w:t xml:space="preserve">Despite severe </w:t>
      </w:r>
      <w:r>
        <w:t xml:space="preserve">founder events, and associated loss of </w:t>
      </w:r>
      <w:r w:rsidRPr="005748EF">
        <w:t xml:space="preserve">genetic </w:t>
      </w:r>
      <w:r>
        <w:t xml:space="preserve">diversity, </w:t>
      </w:r>
      <w:r w:rsidRPr="005748EF">
        <w:rPr>
          <w:i/>
        </w:rPr>
        <w:t>S. muticum</w:t>
      </w:r>
      <w:r>
        <w:t xml:space="preserve"> </w:t>
      </w:r>
      <w:r w:rsidRPr="005748EF">
        <w:t>successfully colonized two oceans and 11 countries in less than 70 years, and continues to spread (e.g.</w:t>
      </w:r>
      <w:r>
        <w:t>,</w:t>
      </w:r>
      <w:r w:rsidRPr="005748EF">
        <w:t xml:space="preserve"> </w:t>
      </w:r>
      <w:r>
        <w:t xml:space="preserve">first report in </w:t>
      </w:r>
      <w:r w:rsidRPr="005748EF">
        <w:t>Morocco</w:t>
      </w:r>
      <w:r>
        <w:t xml:space="preserve"> in 2012</w:t>
      </w:r>
      <w:r w:rsidRPr="005748EF">
        <w:t xml:space="preserve">). </w:t>
      </w:r>
      <w:r>
        <w:t>A</w:t>
      </w:r>
      <w:r w:rsidRPr="00CF4B9F">
        <w:t>s compared to other sexually reproducing marine invaders</w:t>
      </w:r>
      <w:r>
        <w:t>,</w:t>
      </w:r>
      <w:r w:rsidRPr="00EB7E73">
        <w:t xml:space="preserve"> </w:t>
      </w:r>
      <w:r>
        <w:t>and regarding the absence of genetic diversity in introduced populations, phenotypic plasticity or epigenetic factors are probably important mechanisms by which the species could</w:t>
      </w:r>
      <w:r w:rsidRPr="005748EF">
        <w:t xml:space="preserve"> accommodate a </w:t>
      </w:r>
      <w:r>
        <w:t>broad</w:t>
      </w:r>
      <w:r w:rsidRPr="005748EF">
        <w:t xml:space="preserve"> range of environmental conditions </w:t>
      </w:r>
      <w:r>
        <w:rPr>
          <w:noProof/>
        </w:rPr>
        <w:t>(Engelen et al., 2015)</w:t>
      </w:r>
      <w:r w:rsidRPr="005748EF">
        <w:t xml:space="preserve">, thus </w:t>
      </w:r>
      <w:r>
        <w:t xml:space="preserve">favoring </w:t>
      </w:r>
      <w:r w:rsidRPr="005748EF">
        <w:t>a good match between local environmental conditions and ecological requirements</w:t>
      </w:r>
      <w:r>
        <w:t xml:space="preserve"> of the introduced species</w:t>
      </w:r>
      <w:r w:rsidRPr="005748EF">
        <w:t xml:space="preserve">. </w:t>
      </w:r>
      <w:r>
        <w:t>In addition</w:t>
      </w:r>
      <w:r w:rsidRPr="005748EF">
        <w:t xml:space="preserve">, </w:t>
      </w:r>
      <w:r w:rsidRPr="005748EF">
        <w:rPr>
          <w:i/>
        </w:rPr>
        <w:t>S. muticum</w:t>
      </w:r>
      <w:r w:rsidRPr="005748EF">
        <w:t xml:space="preserve"> displays reproductive properties that may limit demographic stochasticity: 1) high selfing rates, usually associated </w:t>
      </w:r>
      <w:r>
        <w:t>with</w:t>
      </w:r>
      <w:r w:rsidRPr="005748EF">
        <w:t xml:space="preserve"> limited inbreeding depression and 2) high fertility</w:t>
      </w:r>
      <w:r>
        <w:t xml:space="preserve"> </w:t>
      </w:r>
      <w:r>
        <w:rPr>
          <w:noProof/>
        </w:rPr>
        <w:t>(Engelen et al., 2015)</w:t>
      </w:r>
      <w:r w:rsidRPr="005748EF">
        <w:t xml:space="preserve">. A single or a few individuals can </w:t>
      </w:r>
      <w:r w:rsidRPr="00E07BAE">
        <w:t xml:space="preserve">seed a rapidly growing population. </w:t>
      </w:r>
      <w:r>
        <w:t xml:space="preserve">As shown in terrestrial invasive plants (e.g., </w:t>
      </w:r>
      <w:r>
        <w:rPr>
          <w:noProof/>
        </w:rPr>
        <w:t>Hao, Qiang, Chrobock, van Kleunen, &amp; Liu, 2011; Rambuda &amp; Johnson, 2004)</w:t>
      </w:r>
      <w:r>
        <w:t xml:space="preserve"> and in a few algal species (e.g., the invasive red alga </w:t>
      </w:r>
      <w:r w:rsidRPr="000B226E">
        <w:rPr>
          <w:i/>
        </w:rPr>
        <w:t>Gracilaria vermiculophylla</w:t>
      </w:r>
      <w:r w:rsidR="00032ECC">
        <w:rPr>
          <w:i/>
        </w:rPr>
        <w:t>,</w:t>
      </w:r>
      <w:r w:rsidRPr="00232095">
        <w:t xml:space="preserve"> </w:t>
      </w:r>
      <w:r>
        <w:rPr>
          <w:noProof/>
        </w:rPr>
        <w:t xml:space="preserve">Krueger‐Hadfield et al. </w:t>
      </w:r>
      <w:r w:rsidR="00032ECC">
        <w:rPr>
          <w:noProof/>
        </w:rPr>
        <w:t>(</w:t>
      </w:r>
      <w:r>
        <w:rPr>
          <w:noProof/>
        </w:rPr>
        <w:t>2016)</w:t>
      </w:r>
      <w:r w:rsidR="00032ECC">
        <w:rPr>
          <w:noProof/>
        </w:rPr>
        <w:t>)</w:t>
      </w:r>
      <w:r>
        <w:t>, t</w:t>
      </w:r>
      <w:r w:rsidRPr="00E07BAE">
        <w:t xml:space="preserve">hese features could have played a crucial role </w:t>
      </w:r>
      <w:r>
        <w:t>at</w:t>
      </w:r>
      <w:r w:rsidRPr="00E07BAE">
        <w:t xml:space="preserve"> </w:t>
      </w:r>
      <w:r>
        <w:t>various</w:t>
      </w:r>
      <w:r w:rsidRPr="00E07BAE">
        <w:t xml:space="preserve"> stages of </w:t>
      </w:r>
      <w:r>
        <w:t xml:space="preserve">the introduction process of </w:t>
      </w:r>
      <w:r w:rsidRPr="002E6366">
        <w:rPr>
          <w:i/>
        </w:rPr>
        <w:t>S. muticum</w:t>
      </w:r>
      <w:r>
        <w:t>, notably the early stages (i.e., reproductive assurance hypothesis). We first hypothesized that selfing rates should be higher in introduced populations as compared to native ones, but the R</w:t>
      </w:r>
      <w:r w:rsidR="009B63D4">
        <w:t>AD</w:t>
      </w:r>
      <w:r>
        <w:t>-seq dataset actually documented the opposite (Table 1). We also observed</w:t>
      </w:r>
      <w:r w:rsidRPr="00E07BAE">
        <w:t xml:space="preserve"> variable levels of selfing rates among introduced populations (Table 1)</w:t>
      </w:r>
      <w:r>
        <w:t>:</w:t>
      </w:r>
      <w:r w:rsidRPr="00E07BAE">
        <w:t xml:space="preserve"> </w:t>
      </w:r>
      <w:r>
        <w:t>a</w:t>
      </w:r>
      <w:r w:rsidRPr="00E07BAE">
        <w:t xml:space="preserve">lmost all the most recently introduced populations, namely populations from </w:t>
      </w:r>
      <w:r w:rsidRPr="00267032">
        <w:rPr>
          <w:rFonts w:cs="Arial"/>
        </w:rPr>
        <w:t>NE Atlantic</w:t>
      </w:r>
      <w:r>
        <w:t xml:space="preserve"> -Group 1</w:t>
      </w:r>
      <w:r w:rsidRPr="00E07BAE">
        <w:t xml:space="preserve"> (introduced after the 1970s) displayed i) barely </w:t>
      </w:r>
      <w:r>
        <w:t>any</w:t>
      </w:r>
      <w:r w:rsidRPr="00E07BAE">
        <w:t xml:space="preserve"> gene diversity and ii) a mating system shift with decreased selfing rates</w:t>
      </w:r>
      <w:r>
        <w:t>,</w:t>
      </w:r>
      <w:r w:rsidRPr="00E07BAE">
        <w:t xml:space="preserve"> as compared to </w:t>
      </w:r>
      <w:r>
        <w:t xml:space="preserve">the </w:t>
      </w:r>
      <w:r w:rsidRPr="00E07BAE">
        <w:t xml:space="preserve">native range and other </w:t>
      </w:r>
      <w:r>
        <w:t xml:space="preserve">earlier introduced </w:t>
      </w:r>
      <w:r w:rsidRPr="00E07BAE">
        <w:t>populations</w:t>
      </w:r>
      <w:r>
        <w:t xml:space="preserve"> (e.g., northern </w:t>
      </w:r>
      <w:r>
        <w:rPr>
          <w:rFonts w:cs="Arial"/>
        </w:rPr>
        <w:t>NE Pacific</w:t>
      </w:r>
      <w:r>
        <w:t xml:space="preserve"> in the 1940s)</w:t>
      </w:r>
      <w:r w:rsidRPr="00CF4B9F">
        <w:t xml:space="preserve">. </w:t>
      </w:r>
      <w:r>
        <w:t xml:space="preserve">The same pattern is observed in </w:t>
      </w:r>
      <w:r w:rsidRPr="00E07BAE">
        <w:t>south</w:t>
      </w:r>
      <w:r>
        <w:t xml:space="preserve">ern </w:t>
      </w:r>
      <w:r>
        <w:rPr>
          <w:rFonts w:cs="Arial"/>
        </w:rPr>
        <w:t>NE Pacific</w:t>
      </w:r>
      <w:r>
        <w:t xml:space="preserve"> although more controversial</w:t>
      </w:r>
      <w:r w:rsidR="009B63D4">
        <w:t>,</w:t>
      </w:r>
      <w:r>
        <w:t xml:space="preserve"> as these populations had been reported after </w:t>
      </w:r>
      <w:r w:rsidRPr="00E07BAE">
        <w:t>the 1960s</w:t>
      </w:r>
      <w:r>
        <w:t xml:space="preserve"> but our genetic data cast doubt on this scenario. The highest selfing rates were observed in northern </w:t>
      </w:r>
      <w:r>
        <w:rPr>
          <w:rFonts w:cs="Arial"/>
        </w:rPr>
        <w:t>NE Pacific</w:t>
      </w:r>
      <w:r>
        <w:t xml:space="preserve"> populations reported there from the early 1940s, thus established for more than 70 years. </w:t>
      </w:r>
    </w:p>
    <w:p w14:paraId="23FD34F4" w14:textId="086D82D6" w:rsidR="00FD140A" w:rsidRPr="005748EF" w:rsidRDefault="00FD140A" w:rsidP="00D56A1F">
      <w:pPr>
        <w:spacing w:after="240" w:line="360" w:lineRule="auto"/>
        <w:ind w:right="156" w:firstLine="709"/>
        <w:jc w:val="both"/>
      </w:pPr>
      <w:r>
        <w:t xml:space="preserve">These observations suggest a shift in selfing rates, increasing over time since the </w:t>
      </w:r>
      <w:r>
        <w:lastRenderedPageBreak/>
        <w:t xml:space="preserve">introduction. </w:t>
      </w:r>
      <w:r w:rsidRPr="005748EF">
        <w:t xml:space="preserve">Early populations could have consisted </w:t>
      </w:r>
      <w:r>
        <w:t>of</w:t>
      </w:r>
      <w:r w:rsidRPr="005748EF">
        <w:t xml:space="preserve"> a limited number </w:t>
      </w:r>
      <w:r>
        <w:t xml:space="preserve">of </w:t>
      </w:r>
      <w:r w:rsidRPr="005748EF">
        <w:t>lineages</w:t>
      </w:r>
      <w:r>
        <w:t>, either pre-adapted to local conditions and plastic enough to acclimate to the new conditions or newly evolved from outcrossing events occurring between distinct recently introduced genetic lineages</w:t>
      </w:r>
      <w:r w:rsidRPr="005748EF">
        <w:t xml:space="preserve">. </w:t>
      </w:r>
      <w:r w:rsidRPr="00CF4B9F">
        <w:t xml:space="preserve">Low selfing </w:t>
      </w:r>
      <w:r>
        <w:t xml:space="preserve">rates in the first stage of the introduction </w:t>
      </w:r>
      <w:r w:rsidRPr="00CF4B9F">
        <w:t xml:space="preserve">may </w:t>
      </w:r>
      <w:r>
        <w:t xml:space="preserve">indeed </w:t>
      </w:r>
      <w:r w:rsidRPr="00CF4B9F">
        <w:t>provide</w:t>
      </w:r>
      <w:r>
        <w:t xml:space="preserve"> opportunities for the evolution of</w:t>
      </w:r>
      <w:r w:rsidRPr="00CF4B9F">
        <w:t xml:space="preserve"> new genotypic combinations through recombination, in newly and poorly diverse introduced populations. This might </w:t>
      </w:r>
      <w:r>
        <w:t>explain the larger amount of</w:t>
      </w:r>
      <w:r w:rsidRPr="00CF4B9F">
        <w:t xml:space="preserve"> private MLGs reported in </w:t>
      </w:r>
      <w:r>
        <w:t xml:space="preserve">the </w:t>
      </w:r>
      <w:r w:rsidRPr="00267032">
        <w:rPr>
          <w:rFonts w:cs="Arial"/>
        </w:rPr>
        <w:t>NE Atlantic</w:t>
      </w:r>
      <w:r w:rsidRPr="00CF4B9F">
        <w:t xml:space="preserve"> and </w:t>
      </w:r>
      <w:r>
        <w:t xml:space="preserve">southern </w:t>
      </w:r>
      <w:r>
        <w:rPr>
          <w:rFonts w:cs="Arial"/>
        </w:rPr>
        <w:t>NE Pacific</w:t>
      </w:r>
      <w:r>
        <w:t xml:space="preserve"> populations</w:t>
      </w:r>
      <w:r w:rsidRPr="00CF4B9F">
        <w:t xml:space="preserve"> (Fig. </w:t>
      </w:r>
      <w:r w:rsidR="008006B8">
        <w:t>2</w:t>
      </w:r>
      <w:r w:rsidRPr="00CF4B9F">
        <w:t>)</w:t>
      </w:r>
      <w:r>
        <w:t>, which accounts</w:t>
      </w:r>
      <w:r w:rsidRPr="00CF4B9F">
        <w:t xml:space="preserve"> for half of the total MLGs found in this area.</w:t>
      </w:r>
      <w:r>
        <w:t xml:space="preserve"> Then, evolution towards increased selfing rates might contribute not only to enhance reproductive assurance at the front of the expansion (i.e., similar to range margins) but also to</w:t>
      </w:r>
      <w:r w:rsidRPr="005748EF">
        <w:t xml:space="preserve"> </w:t>
      </w:r>
      <w:r>
        <w:t xml:space="preserve">accelerating </w:t>
      </w:r>
      <w:r w:rsidRPr="005748EF">
        <w:t>the fixation of an advantageous genotype</w:t>
      </w:r>
      <w:r>
        <w:t xml:space="preserve"> during the establishment stage, thus sustaining local adaptation and expansion to similar habitats </w:t>
      </w:r>
      <w:r>
        <w:rPr>
          <w:noProof/>
        </w:rPr>
        <w:t>(Jarne &amp; Charlesworth, 1993; Pannell et al., 2015)</w:t>
      </w:r>
      <w:r w:rsidRPr="005748EF">
        <w:t xml:space="preserve">. </w:t>
      </w:r>
      <w:r w:rsidRPr="008006B8">
        <w:t xml:space="preserve">Mature specimens, sometimes carrying fertilized eggs, can spread over large distance through drifting thalli </w:t>
      </w:r>
      <w:r w:rsidRPr="008006B8">
        <w:rPr>
          <w:noProof/>
        </w:rPr>
        <w:t>(Fletcher &amp; Fletcher, 1975)</w:t>
      </w:r>
      <w:r w:rsidRPr="008006B8">
        <w:t>.</w:t>
      </w:r>
      <w:r w:rsidRPr="005748EF">
        <w:t xml:space="preserve"> If drifting thalli are sexually mature, they may colonize favorable habitats, especially considering that with selfing, only one individual can seed a new population and that way, spread </w:t>
      </w:r>
      <w:r>
        <w:t>its</w:t>
      </w:r>
      <w:r w:rsidRPr="005748EF">
        <w:t xml:space="preserve"> genotype efficiently. </w:t>
      </w:r>
      <w:r w:rsidR="00D56A1F" w:rsidRPr="00D56A1F">
        <w:t xml:space="preserve">Genetic diversity has been hypothesized to be </w:t>
      </w:r>
      <w:r w:rsidR="00D56A1F">
        <w:t xml:space="preserve">an </w:t>
      </w:r>
      <w:r w:rsidR="00D56A1F" w:rsidRPr="00D56A1F">
        <w:t xml:space="preserve">important </w:t>
      </w:r>
      <w:r w:rsidR="00D56A1F">
        <w:t xml:space="preserve">correlate of marine </w:t>
      </w:r>
      <w:r w:rsidR="00D56A1F" w:rsidRPr="00D56A1F">
        <w:t>invasion success (</w:t>
      </w:r>
      <w:r w:rsidR="00D56A1F">
        <w:t>Roman and Darling, 2007, Rius et al. 2015, Viard et al. 2016</w:t>
      </w:r>
      <w:r w:rsidR="00D56A1F" w:rsidRPr="00D56A1F">
        <w:t xml:space="preserve">). </w:t>
      </w:r>
      <w:r w:rsidR="00842FC3">
        <w:t>The demonstrated</w:t>
      </w:r>
      <w:r w:rsidR="00D56A1F" w:rsidRPr="00D56A1F">
        <w:t xml:space="preserve"> strongly reduced genetic variation</w:t>
      </w:r>
      <w:r w:rsidR="00D56A1F">
        <w:t>,</w:t>
      </w:r>
      <w:r w:rsidR="00D56A1F" w:rsidRPr="00D56A1F">
        <w:t xml:space="preserve"> indicative of strong founding events and/or selective process</w:t>
      </w:r>
      <w:r w:rsidR="00D56A1F">
        <w:t>,</w:t>
      </w:r>
      <w:r w:rsidR="00D56A1F" w:rsidRPr="00D56A1F">
        <w:t xml:space="preserve"> </w:t>
      </w:r>
      <w:r w:rsidR="00BF7D19">
        <w:t xml:space="preserve">however </w:t>
      </w:r>
      <w:r w:rsidR="00D56A1F" w:rsidRPr="00D56A1F">
        <w:t xml:space="preserve">did not inhibit </w:t>
      </w:r>
      <w:r w:rsidR="00BF7D19">
        <w:t>the</w:t>
      </w:r>
      <w:r w:rsidR="00D56A1F" w:rsidRPr="00D56A1F">
        <w:t xml:space="preserve"> sustainable establishment</w:t>
      </w:r>
      <w:r w:rsidR="00D56A1F">
        <w:t xml:space="preserve"> and rapid spread</w:t>
      </w:r>
      <w:r w:rsidR="00BF7D19">
        <w:t xml:space="preserve"> of </w:t>
      </w:r>
      <w:r w:rsidR="00BF7D19" w:rsidRPr="00D13CC5">
        <w:rPr>
          <w:i/>
        </w:rPr>
        <w:t>S. muticum</w:t>
      </w:r>
      <w:r w:rsidR="00D56A1F" w:rsidRPr="00D56A1F">
        <w:t xml:space="preserve">. </w:t>
      </w:r>
      <w:r w:rsidRPr="00667CAE">
        <w:t xml:space="preserve">Examining herbarium specimens dating from the first reports would </w:t>
      </w:r>
      <w:r>
        <w:t>have been</w:t>
      </w:r>
      <w:r w:rsidRPr="00667CAE">
        <w:t xml:space="preserve"> extremely valuable to determine if many lineages were initially introduced or if some new MLGs evolved and increased in frequency over time, and, if this is the case, which ones were the ‘winner’ of the introduction lottery. We </w:t>
      </w:r>
      <w:r>
        <w:t>attempted</w:t>
      </w:r>
      <w:r w:rsidRPr="00667CAE">
        <w:t xml:space="preserve"> to use </w:t>
      </w:r>
      <w:r>
        <w:t xml:space="preserve">such </w:t>
      </w:r>
      <w:r w:rsidRPr="00667CAE">
        <w:t>herbarium specimens</w:t>
      </w:r>
      <w:r>
        <w:t>.</w:t>
      </w:r>
      <w:r w:rsidRPr="00667CAE">
        <w:t xml:space="preserve"> </w:t>
      </w:r>
      <w:r>
        <w:t>U</w:t>
      </w:r>
      <w:r w:rsidRPr="00667CAE">
        <w:t>nfortunately, we could not get enough good quality DNA, even for genotyping microsatellites, to examine these specimens.</w:t>
      </w:r>
      <w:r w:rsidR="00D56A1F">
        <w:t xml:space="preserve"> Whatever the mechanisms initially involved, the ability to self and</w:t>
      </w:r>
      <w:r w:rsidR="00D56A1F" w:rsidRPr="00D56A1F">
        <w:t xml:space="preserve"> restore populations with a single or a few individuals, seems to be </w:t>
      </w:r>
      <w:r w:rsidR="00BF7D19">
        <w:t xml:space="preserve">one of </w:t>
      </w:r>
      <w:r w:rsidR="00D56A1F" w:rsidRPr="00D56A1F">
        <w:t>the most important factor</w:t>
      </w:r>
      <w:r w:rsidR="00842FC3">
        <w:t>s</w:t>
      </w:r>
      <w:r w:rsidR="00D56A1F" w:rsidRPr="00D56A1F">
        <w:t xml:space="preserve"> explaining </w:t>
      </w:r>
      <w:r w:rsidR="00D56A1F">
        <w:t>the</w:t>
      </w:r>
      <w:r w:rsidR="00D56A1F" w:rsidRPr="00D56A1F">
        <w:t xml:space="preserve"> </w:t>
      </w:r>
      <w:r w:rsidR="00BF7D19">
        <w:t xml:space="preserve">rapid </w:t>
      </w:r>
      <w:r w:rsidR="00D56A1F" w:rsidRPr="00D56A1F">
        <w:t xml:space="preserve">establishment </w:t>
      </w:r>
      <w:r w:rsidR="00D56A1F">
        <w:t xml:space="preserve">of </w:t>
      </w:r>
      <w:r w:rsidR="00D56A1F" w:rsidRPr="00D13CC5">
        <w:rPr>
          <w:i/>
        </w:rPr>
        <w:t>S. muticum</w:t>
      </w:r>
      <w:r w:rsidR="00D56A1F">
        <w:t xml:space="preserve"> </w:t>
      </w:r>
      <w:r w:rsidR="00D56A1F" w:rsidRPr="00D56A1F">
        <w:t xml:space="preserve">over large scales. </w:t>
      </w:r>
      <w:r w:rsidR="00D56A1F">
        <w:t>For</w:t>
      </w:r>
      <w:r w:rsidR="00D56A1F" w:rsidRPr="00D56A1F">
        <w:t xml:space="preserve"> preventing </w:t>
      </w:r>
      <w:r w:rsidR="00D56A1F">
        <w:t xml:space="preserve">its </w:t>
      </w:r>
      <w:r w:rsidR="00D56A1F" w:rsidRPr="00D56A1F">
        <w:t xml:space="preserve">future spread, surveillance programs should </w:t>
      </w:r>
      <w:r w:rsidR="00BF7D19">
        <w:t xml:space="preserve">thus </w:t>
      </w:r>
      <w:r w:rsidR="00D56A1F" w:rsidRPr="00D56A1F">
        <w:t>pa</w:t>
      </w:r>
      <w:r w:rsidR="00842FC3">
        <w:t>y</w:t>
      </w:r>
      <w:r w:rsidR="00D56A1F" w:rsidRPr="00D56A1F">
        <w:t xml:space="preserve"> </w:t>
      </w:r>
      <w:r w:rsidR="00D56A1F">
        <w:t xml:space="preserve">particular </w:t>
      </w:r>
      <w:r w:rsidR="00D56A1F" w:rsidRPr="00D56A1F">
        <w:t>attention on drifting individuals, which, if fertile, might seed a new population</w:t>
      </w:r>
      <w:r w:rsidR="00D56A1F">
        <w:t>:</w:t>
      </w:r>
      <w:r w:rsidR="00D56A1F" w:rsidRPr="00D56A1F">
        <w:t xml:space="preserve"> such drifting individuals should be rapidly removed when </w:t>
      </w:r>
      <w:r w:rsidR="00D56A1F">
        <w:t>found</w:t>
      </w:r>
      <w:r w:rsidR="00D56A1F" w:rsidRPr="00D56A1F">
        <w:t xml:space="preserve"> in </w:t>
      </w:r>
      <w:r w:rsidR="00D56A1F">
        <w:t>new places</w:t>
      </w:r>
      <w:r w:rsidR="00D56A1F" w:rsidRPr="00D56A1F">
        <w:t xml:space="preserve">. </w:t>
      </w:r>
      <w:r w:rsidR="00842FC3">
        <w:t xml:space="preserve">In addition, campaigns removing </w:t>
      </w:r>
      <w:r w:rsidR="00842FC3" w:rsidRPr="00D13CC5">
        <w:rPr>
          <w:i/>
        </w:rPr>
        <w:t>S. muticum</w:t>
      </w:r>
      <w:r w:rsidR="00842FC3">
        <w:t xml:space="preserve"> should take extreme care not to produce fertile drift material. </w:t>
      </w:r>
      <w:r w:rsidR="00D56A1F">
        <w:t xml:space="preserve">More generally, our results suggest that self-compatible </w:t>
      </w:r>
      <w:r w:rsidR="00BF7D19">
        <w:t xml:space="preserve">marine </w:t>
      </w:r>
      <w:r w:rsidR="00D56A1F">
        <w:t>NIS should be particularly well-monitored, as already documented in terrestrial introduced plants (e.g., Milbau et al., 2008).</w:t>
      </w:r>
    </w:p>
    <w:p w14:paraId="43E53EF8" w14:textId="77777777" w:rsidR="00FD140A" w:rsidRPr="005748EF" w:rsidRDefault="00FD140A" w:rsidP="00EE38CE">
      <w:pPr>
        <w:pStyle w:val="BodyText"/>
        <w:spacing w:before="101" w:line="360" w:lineRule="auto"/>
        <w:ind w:left="0"/>
        <w:jc w:val="both"/>
        <w:rPr>
          <w:rFonts w:asciiTheme="minorHAnsi" w:hAnsiTheme="minorHAnsi" w:cs="Arial"/>
          <w:b/>
          <w:sz w:val="22"/>
          <w:szCs w:val="22"/>
        </w:rPr>
      </w:pPr>
      <w:r w:rsidRPr="005748EF">
        <w:rPr>
          <w:rFonts w:asciiTheme="minorHAnsi" w:hAnsiTheme="minorHAnsi" w:cs="Arial"/>
          <w:b/>
          <w:sz w:val="22"/>
          <w:szCs w:val="22"/>
        </w:rPr>
        <w:t>Conclusions</w:t>
      </w:r>
    </w:p>
    <w:p w14:paraId="4CAD9120" w14:textId="79A47A44" w:rsidR="00FD140A" w:rsidRDefault="00FD140A" w:rsidP="00471F83">
      <w:pPr>
        <w:pStyle w:val="BodyText"/>
        <w:spacing w:before="101" w:after="240" w:line="360" w:lineRule="auto"/>
        <w:ind w:left="0"/>
        <w:jc w:val="both"/>
        <w:rPr>
          <w:rFonts w:asciiTheme="minorHAnsi" w:hAnsiTheme="minorHAnsi" w:cs="Arial"/>
          <w:sz w:val="22"/>
          <w:szCs w:val="22"/>
        </w:rPr>
      </w:pPr>
      <w:r>
        <w:rPr>
          <w:rFonts w:asciiTheme="minorHAnsi" w:hAnsiTheme="minorHAnsi" w:cs="Arial"/>
          <w:sz w:val="22"/>
          <w:szCs w:val="22"/>
        </w:rPr>
        <w:t xml:space="preserve">The spread of </w:t>
      </w:r>
      <w:r w:rsidRPr="00234C1B">
        <w:rPr>
          <w:rFonts w:asciiTheme="minorHAnsi" w:hAnsiTheme="minorHAnsi" w:cs="Arial"/>
          <w:i/>
          <w:sz w:val="22"/>
          <w:szCs w:val="22"/>
        </w:rPr>
        <w:t>S. muticum</w:t>
      </w:r>
      <w:r>
        <w:rPr>
          <w:rFonts w:asciiTheme="minorHAnsi" w:hAnsiTheme="minorHAnsi" w:cs="Arial"/>
          <w:sz w:val="22"/>
          <w:szCs w:val="22"/>
        </w:rPr>
        <w:t xml:space="preserve"> in its introduction range has been very well-documented, and hundreds of studies have been dedicated to this seaweed. </w:t>
      </w:r>
      <w:r w:rsidRPr="00234C1B">
        <w:rPr>
          <w:rFonts w:asciiTheme="minorHAnsi" w:hAnsiTheme="minorHAnsi" w:cs="Arial"/>
          <w:sz w:val="22"/>
          <w:szCs w:val="22"/>
        </w:rPr>
        <w:t>Yet</w:t>
      </w:r>
      <w:r>
        <w:rPr>
          <w:rFonts w:asciiTheme="minorHAnsi" w:hAnsiTheme="minorHAnsi" w:cs="Arial"/>
          <w:sz w:val="22"/>
          <w:szCs w:val="22"/>
        </w:rPr>
        <w:t xml:space="preserve">, the genetic data obtained in this study, for instance, </w:t>
      </w:r>
      <w:r>
        <w:rPr>
          <w:rFonts w:asciiTheme="minorHAnsi" w:hAnsiTheme="minorHAnsi" w:cs="Arial"/>
          <w:sz w:val="22"/>
          <w:szCs w:val="22"/>
        </w:rPr>
        <w:lastRenderedPageBreak/>
        <w:t xml:space="preserve">suggesting previously unreported introductions in both the NE Pacific and NE Atlantic, show that we actually know little about the invasion history of this notorious invasive seaweed. </w:t>
      </w:r>
      <w:r w:rsidRPr="005748EF">
        <w:rPr>
          <w:rFonts w:asciiTheme="minorHAnsi" w:hAnsiTheme="minorHAnsi"/>
          <w:i/>
          <w:sz w:val="22"/>
          <w:szCs w:val="22"/>
        </w:rPr>
        <w:t>S. muticum</w:t>
      </w:r>
      <w:r w:rsidRPr="005748EF">
        <w:rPr>
          <w:rFonts w:asciiTheme="minorHAnsi" w:hAnsiTheme="minorHAnsi"/>
          <w:sz w:val="22"/>
          <w:szCs w:val="22"/>
        </w:rPr>
        <w:t xml:space="preserve"> </w:t>
      </w:r>
      <w:r>
        <w:rPr>
          <w:rFonts w:asciiTheme="minorHAnsi" w:hAnsiTheme="minorHAnsi"/>
          <w:sz w:val="22"/>
          <w:szCs w:val="22"/>
        </w:rPr>
        <w:t>turned out to be</w:t>
      </w:r>
      <w:r w:rsidRPr="005748EF">
        <w:rPr>
          <w:rFonts w:asciiTheme="minorHAnsi" w:hAnsiTheme="minorHAnsi"/>
          <w:sz w:val="22"/>
          <w:szCs w:val="22"/>
        </w:rPr>
        <w:t xml:space="preserve"> a unique example of </w:t>
      </w:r>
      <w:r>
        <w:rPr>
          <w:rFonts w:asciiTheme="minorHAnsi" w:hAnsiTheme="minorHAnsi"/>
          <w:sz w:val="22"/>
          <w:szCs w:val="22"/>
        </w:rPr>
        <w:t xml:space="preserve">a </w:t>
      </w:r>
      <w:r w:rsidRPr="005748EF">
        <w:rPr>
          <w:rFonts w:asciiTheme="minorHAnsi" w:hAnsiTheme="minorHAnsi"/>
          <w:sz w:val="22"/>
          <w:szCs w:val="22"/>
        </w:rPr>
        <w:t xml:space="preserve">successful non-clonal </w:t>
      </w:r>
      <w:r>
        <w:rPr>
          <w:rFonts w:asciiTheme="minorHAnsi" w:hAnsiTheme="minorHAnsi"/>
          <w:sz w:val="22"/>
          <w:szCs w:val="22"/>
        </w:rPr>
        <w:t xml:space="preserve">(i.e., sexually reproducing) </w:t>
      </w:r>
      <w:r w:rsidRPr="005748EF">
        <w:rPr>
          <w:rFonts w:asciiTheme="minorHAnsi" w:hAnsiTheme="minorHAnsi"/>
          <w:sz w:val="22"/>
          <w:szCs w:val="22"/>
        </w:rPr>
        <w:t xml:space="preserve">marine </w:t>
      </w:r>
      <w:r>
        <w:rPr>
          <w:rFonts w:asciiTheme="minorHAnsi" w:hAnsiTheme="minorHAnsi"/>
          <w:sz w:val="22"/>
          <w:szCs w:val="22"/>
        </w:rPr>
        <w:t>introduced species</w:t>
      </w:r>
      <w:r w:rsidRPr="005748EF">
        <w:rPr>
          <w:rFonts w:asciiTheme="minorHAnsi" w:hAnsiTheme="minorHAnsi"/>
          <w:sz w:val="22"/>
          <w:szCs w:val="22"/>
        </w:rPr>
        <w:t xml:space="preserve"> which exhibits almost no genome-wide genetic variation </w:t>
      </w:r>
      <w:r>
        <w:rPr>
          <w:rFonts w:asciiTheme="minorHAnsi" w:hAnsiTheme="minorHAnsi"/>
          <w:sz w:val="22"/>
          <w:szCs w:val="22"/>
        </w:rPr>
        <w:t>over</w:t>
      </w:r>
      <w:r w:rsidRPr="005748EF">
        <w:rPr>
          <w:rFonts w:asciiTheme="minorHAnsi" w:hAnsiTheme="minorHAnsi"/>
          <w:sz w:val="22"/>
          <w:szCs w:val="22"/>
        </w:rPr>
        <w:t xml:space="preserve"> most of its circumglobal introduction range.</w:t>
      </w:r>
      <w:r w:rsidRPr="005748EF">
        <w:rPr>
          <w:rFonts w:asciiTheme="minorHAnsi" w:hAnsiTheme="minorHAnsi" w:cs="Arial"/>
          <w:sz w:val="22"/>
          <w:szCs w:val="22"/>
        </w:rPr>
        <w:t xml:space="preserve"> </w:t>
      </w:r>
      <w:r w:rsidRPr="005748EF">
        <w:rPr>
          <w:rFonts w:asciiTheme="minorHAnsi" w:hAnsiTheme="minorHAnsi"/>
          <w:sz w:val="22"/>
          <w:szCs w:val="22"/>
        </w:rPr>
        <w:t xml:space="preserve">Our study </w:t>
      </w:r>
      <w:r>
        <w:rPr>
          <w:rFonts w:asciiTheme="minorHAnsi" w:hAnsiTheme="minorHAnsi"/>
          <w:sz w:val="22"/>
          <w:szCs w:val="22"/>
        </w:rPr>
        <w:t xml:space="preserve">also </w:t>
      </w:r>
      <w:r w:rsidRPr="005748EF">
        <w:rPr>
          <w:rFonts w:asciiTheme="minorHAnsi" w:hAnsiTheme="minorHAnsi"/>
          <w:sz w:val="22"/>
          <w:szCs w:val="22"/>
        </w:rPr>
        <w:t>demonstrates that RAD</w:t>
      </w:r>
      <w:r>
        <w:rPr>
          <w:rFonts w:asciiTheme="minorHAnsi" w:hAnsiTheme="minorHAnsi"/>
          <w:sz w:val="22"/>
          <w:szCs w:val="22"/>
        </w:rPr>
        <w:t>-</w:t>
      </w:r>
      <w:r w:rsidRPr="005748EF">
        <w:rPr>
          <w:rFonts w:asciiTheme="minorHAnsi" w:hAnsiTheme="minorHAnsi"/>
          <w:sz w:val="22"/>
          <w:szCs w:val="22"/>
        </w:rPr>
        <w:t>seq</w:t>
      </w:r>
      <w:r>
        <w:rPr>
          <w:rFonts w:asciiTheme="minorHAnsi" w:hAnsiTheme="minorHAnsi"/>
          <w:sz w:val="22"/>
          <w:szCs w:val="22"/>
        </w:rPr>
        <w:t>uencing</w:t>
      </w:r>
      <w:r w:rsidRPr="005748EF">
        <w:rPr>
          <w:rFonts w:asciiTheme="minorHAnsi" w:hAnsiTheme="minorHAnsi"/>
          <w:sz w:val="22"/>
          <w:szCs w:val="22"/>
        </w:rPr>
        <w:t xml:space="preserve"> is a </w:t>
      </w:r>
      <w:r w:rsidRPr="00EB7E73">
        <w:rPr>
          <w:rFonts w:asciiTheme="minorHAnsi" w:hAnsiTheme="minorHAnsi"/>
          <w:sz w:val="22"/>
          <w:szCs w:val="22"/>
        </w:rPr>
        <w:t>powerful</w:t>
      </w:r>
      <w:r w:rsidRPr="005748EF">
        <w:rPr>
          <w:rFonts w:asciiTheme="minorHAnsi" w:hAnsiTheme="minorHAnsi"/>
          <w:sz w:val="22"/>
          <w:szCs w:val="22"/>
        </w:rPr>
        <w:t xml:space="preserve"> tool to detect genetic variation for non-model species, in </w:t>
      </w:r>
      <w:r>
        <w:rPr>
          <w:rFonts w:asciiTheme="minorHAnsi" w:hAnsiTheme="minorHAnsi"/>
          <w:sz w:val="22"/>
          <w:szCs w:val="22"/>
        </w:rPr>
        <w:t xml:space="preserve">the </w:t>
      </w:r>
      <w:r w:rsidRPr="005748EF">
        <w:rPr>
          <w:rFonts w:asciiTheme="minorHAnsi" w:hAnsiTheme="minorHAnsi"/>
          <w:sz w:val="22"/>
          <w:szCs w:val="22"/>
        </w:rPr>
        <w:t>case of extremely reduced genetic diversity</w:t>
      </w:r>
      <w:r>
        <w:rPr>
          <w:rFonts w:asciiTheme="minorHAnsi" w:hAnsiTheme="minorHAnsi"/>
          <w:sz w:val="22"/>
          <w:szCs w:val="22"/>
        </w:rPr>
        <w:t>, following severe founder events</w:t>
      </w:r>
      <w:r w:rsidRPr="005748EF">
        <w:rPr>
          <w:rFonts w:asciiTheme="minorHAnsi" w:hAnsiTheme="minorHAnsi"/>
          <w:sz w:val="22"/>
          <w:szCs w:val="22"/>
        </w:rPr>
        <w:t>.</w:t>
      </w:r>
      <w:r>
        <w:rPr>
          <w:rFonts w:asciiTheme="minorHAnsi" w:hAnsiTheme="minorHAnsi"/>
          <w:sz w:val="22"/>
          <w:szCs w:val="22"/>
        </w:rPr>
        <w:t xml:space="preserve"> </w:t>
      </w:r>
      <w:r w:rsidRPr="005748EF">
        <w:rPr>
          <w:rFonts w:asciiTheme="minorHAnsi" w:hAnsiTheme="minorHAnsi" w:cs="Arial"/>
          <w:sz w:val="22"/>
          <w:szCs w:val="22"/>
        </w:rPr>
        <w:t>Our result does not mean that genetic diversity is not important for the long-term establishment of invasive species but emphasize</w:t>
      </w:r>
      <w:r w:rsidR="00F822A4">
        <w:rPr>
          <w:rFonts w:asciiTheme="minorHAnsi" w:hAnsiTheme="minorHAnsi" w:cs="Arial"/>
          <w:sz w:val="22"/>
          <w:szCs w:val="22"/>
        </w:rPr>
        <w:t>s</w:t>
      </w:r>
      <w:r w:rsidRPr="005748EF">
        <w:rPr>
          <w:rFonts w:asciiTheme="minorHAnsi" w:hAnsiTheme="minorHAnsi" w:cs="Arial"/>
          <w:sz w:val="22"/>
          <w:szCs w:val="22"/>
        </w:rPr>
        <w:t xml:space="preserve"> the need to be extremely cautious in interpreting neutral genetic diversity as an indicator of adaptive genetic diversity and potential success of an invader.</w:t>
      </w:r>
      <w:r w:rsidRPr="005748EF">
        <w:rPr>
          <w:rFonts w:asciiTheme="minorHAnsi" w:hAnsiTheme="minorHAnsi"/>
          <w:sz w:val="22"/>
          <w:szCs w:val="22"/>
        </w:rPr>
        <w:t xml:space="preserve"> </w:t>
      </w:r>
      <w:r w:rsidRPr="005748EF">
        <w:rPr>
          <w:rFonts w:asciiTheme="minorHAnsi" w:hAnsiTheme="minorHAnsi" w:cs="Arial"/>
          <w:sz w:val="22"/>
          <w:szCs w:val="22"/>
        </w:rPr>
        <w:t xml:space="preserve">Epigenetic processes should be investigated in detail in </w:t>
      </w:r>
      <w:r w:rsidRPr="005748EF">
        <w:rPr>
          <w:rFonts w:asciiTheme="minorHAnsi" w:hAnsiTheme="minorHAnsi" w:cs="Arial"/>
          <w:i/>
          <w:sz w:val="22"/>
          <w:szCs w:val="22"/>
        </w:rPr>
        <w:t>S. muticum</w:t>
      </w:r>
      <w:r w:rsidRPr="005748EF">
        <w:rPr>
          <w:rFonts w:asciiTheme="minorHAnsi" w:hAnsiTheme="minorHAnsi" w:cs="Arial"/>
          <w:sz w:val="22"/>
          <w:szCs w:val="22"/>
        </w:rPr>
        <w:t xml:space="preserve"> as they may </w:t>
      </w:r>
      <w:r>
        <w:rPr>
          <w:rFonts w:asciiTheme="minorHAnsi" w:hAnsiTheme="minorHAnsi" w:cs="Arial"/>
          <w:sz w:val="22"/>
          <w:szCs w:val="22"/>
        </w:rPr>
        <w:t xml:space="preserve">also </w:t>
      </w:r>
      <w:r w:rsidRPr="005748EF">
        <w:rPr>
          <w:rFonts w:asciiTheme="minorHAnsi" w:hAnsiTheme="minorHAnsi" w:cs="Arial"/>
          <w:sz w:val="22"/>
          <w:szCs w:val="22"/>
        </w:rPr>
        <w:t>explain the acclimatization of this seaweed to large latitudinal gradients and a diverse set of habitats, without adaptive genetic diversity.</w:t>
      </w:r>
    </w:p>
    <w:p w14:paraId="56796BCE" w14:textId="77777777" w:rsidR="008F3DF3" w:rsidRPr="00825D85" w:rsidRDefault="008F3DF3" w:rsidP="008F3DF3">
      <w:pPr>
        <w:spacing w:line="276" w:lineRule="auto"/>
        <w:rPr>
          <w:b/>
        </w:rPr>
      </w:pPr>
      <w:r w:rsidRPr="00825D85">
        <w:rPr>
          <w:b/>
        </w:rPr>
        <w:t>Acknowledgments</w:t>
      </w:r>
    </w:p>
    <w:p w14:paraId="0B2991AF" w14:textId="39E6B543" w:rsidR="008F3DF3" w:rsidRPr="00825D85" w:rsidRDefault="008F3DF3" w:rsidP="008F3DF3">
      <w:pPr>
        <w:pStyle w:val="BodyText"/>
        <w:spacing w:before="101" w:line="360" w:lineRule="auto"/>
        <w:ind w:left="0"/>
        <w:jc w:val="both"/>
        <w:rPr>
          <w:rFonts w:asciiTheme="minorHAnsi" w:hAnsiTheme="minorHAnsi" w:cs="Arial"/>
          <w:sz w:val="22"/>
          <w:szCs w:val="22"/>
        </w:rPr>
      </w:pPr>
      <w:r w:rsidRPr="00825D85">
        <w:rPr>
          <w:rFonts w:asciiTheme="minorHAnsi" w:hAnsiTheme="minorHAnsi" w:cs="Arial"/>
          <w:sz w:val="22"/>
          <w:szCs w:val="22"/>
        </w:rPr>
        <w:t xml:space="preserve">The authors gratefully acknowledge the </w:t>
      </w:r>
      <w:r>
        <w:rPr>
          <w:rFonts w:asciiTheme="minorHAnsi" w:hAnsiTheme="minorHAnsi" w:cs="Arial"/>
          <w:sz w:val="22"/>
          <w:szCs w:val="22"/>
        </w:rPr>
        <w:t>many people who collected</w:t>
      </w:r>
      <w:r w:rsidRPr="00825D85">
        <w:rPr>
          <w:rFonts w:asciiTheme="minorHAnsi" w:hAnsiTheme="minorHAnsi" w:cs="Arial"/>
          <w:sz w:val="22"/>
          <w:szCs w:val="22"/>
        </w:rPr>
        <w:t xml:space="preserve"> specimens for this study (see details in Table S1). The authors are thankful to Pierre-Alexandre Gagnaire for providing advices and script for R</w:t>
      </w:r>
      <w:r>
        <w:rPr>
          <w:rFonts w:asciiTheme="minorHAnsi" w:hAnsiTheme="minorHAnsi" w:cs="Arial"/>
          <w:sz w:val="22"/>
          <w:szCs w:val="22"/>
        </w:rPr>
        <w:t>AD-</w:t>
      </w:r>
      <w:r w:rsidRPr="00825D85">
        <w:rPr>
          <w:rFonts w:asciiTheme="minorHAnsi" w:hAnsiTheme="minorHAnsi" w:cs="Arial"/>
          <w:sz w:val="22"/>
          <w:szCs w:val="22"/>
        </w:rPr>
        <w:t>Seq analyses. The authors are also most grateful to the Biogenouest Genomics and the ABIMS Bioinformatic core facilities for technical support. This work benefited from the support of the Brittany region (INVADIV project)</w:t>
      </w:r>
      <w:r w:rsidR="008A4A7C">
        <w:rPr>
          <w:rFonts w:asciiTheme="minorHAnsi" w:hAnsiTheme="minorHAnsi" w:cs="Arial"/>
          <w:sz w:val="22"/>
          <w:szCs w:val="22"/>
        </w:rPr>
        <w:t>,</w:t>
      </w:r>
      <w:r w:rsidRPr="00825D85">
        <w:rPr>
          <w:rFonts w:asciiTheme="minorHAnsi" w:hAnsiTheme="minorHAnsi" w:cs="Arial"/>
          <w:sz w:val="22"/>
          <w:szCs w:val="22"/>
        </w:rPr>
        <w:t xml:space="preserve"> from the INTERREG program (project MARINEXUS), </w:t>
      </w:r>
      <w:r w:rsidR="008A4A7C" w:rsidRPr="00825D85">
        <w:rPr>
          <w:rFonts w:asciiTheme="minorHAnsi" w:hAnsiTheme="minorHAnsi" w:cs="Arial"/>
          <w:sz w:val="22"/>
          <w:szCs w:val="22"/>
        </w:rPr>
        <w:t xml:space="preserve">by the Era-net project INVASIVES </w:t>
      </w:r>
      <w:r w:rsidR="008A4A7C">
        <w:rPr>
          <w:rFonts w:asciiTheme="minorHAnsi" w:hAnsiTheme="minorHAnsi" w:cs="Arial"/>
          <w:sz w:val="22"/>
          <w:szCs w:val="22"/>
        </w:rPr>
        <w:t xml:space="preserve">and the </w:t>
      </w:r>
      <w:r w:rsidR="008A4A7C" w:rsidRPr="008A4A7C">
        <w:rPr>
          <w:rFonts w:asciiTheme="minorHAnsi" w:hAnsiTheme="minorHAnsi" w:cs="Arial"/>
          <w:sz w:val="22"/>
          <w:szCs w:val="22"/>
        </w:rPr>
        <w:t>French National Research Agency</w:t>
      </w:r>
      <w:r w:rsidR="008A4A7C">
        <w:rPr>
          <w:rFonts w:asciiTheme="minorHAnsi" w:hAnsiTheme="minorHAnsi" w:cs="Arial"/>
          <w:sz w:val="22"/>
          <w:szCs w:val="22"/>
        </w:rPr>
        <w:t xml:space="preserve"> </w:t>
      </w:r>
      <w:r w:rsidR="008A4A7C" w:rsidRPr="008A4A7C">
        <w:rPr>
          <w:rFonts w:asciiTheme="minorHAnsi" w:hAnsiTheme="minorHAnsi" w:cs="Arial"/>
          <w:sz w:val="22"/>
          <w:szCs w:val="22"/>
        </w:rPr>
        <w:t xml:space="preserve">with regards to the investment expenditure programme IDEALG (ANR-10-BTBR-04). </w:t>
      </w:r>
      <w:r w:rsidR="008A4A7C">
        <w:rPr>
          <w:rFonts w:asciiTheme="minorHAnsi" w:hAnsiTheme="minorHAnsi" w:cs="Arial"/>
          <w:sz w:val="22"/>
          <w:szCs w:val="22"/>
        </w:rPr>
        <w:t>A</w:t>
      </w:r>
      <w:r w:rsidRPr="00825D85">
        <w:rPr>
          <w:rFonts w:asciiTheme="minorHAnsi" w:hAnsiTheme="minorHAnsi" w:cs="Arial"/>
          <w:sz w:val="22"/>
          <w:szCs w:val="22"/>
        </w:rPr>
        <w:t xml:space="preserve">dditional supports </w:t>
      </w:r>
      <w:r w:rsidR="008A4A7C">
        <w:rPr>
          <w:rFonts w:asciiTheme="minorHAnsi" w:hAnsiTheme="minorHAnsi" w:cs="Arial"/>
          <w:sz w:val="22"/>
          <w:szCs w:val="22"/>
        </w:rPr>
        <w:t xml:space="preserve">were obtained </w:t>
      </w:r>
      <w:r w:rsidRPr="00825D85">
        <w:rPr>
          <w:rFonts w:asciiTheme="minorHAnsi" w:hAnsiTheme="minorHAnsi" w:cs="Arial"/>
          <w:sz w:val="22"/>
          <w:szCs w:val="22"/>
        </w:rPr>
        <w:t>and Fundação para a Ciência e a Tecnologia (FCT) (UID/Multi/04326/2016</w:t>
      </w:r>
      <w:r>
        <w:rPr>
          <w:rFonts w:asciiTheme="minorHAnsi" w:hAnsiTheme="minorHAnsi" w:cs="Arial"/>
          <w:sz w:val="22"/>
          <w:szCs w:val="22"/>
        </w:rPr>
        <w:t xml:space="preserve">, </w:t>
      </w:r>
      <w:r w:rsidRPr="00615AA2">
        <w:rPr>
          <w:rFonts w:asciiTheme="minorHAnsi" w:hAnsiTheme="minorHAnsi" w:cs="Arial"/>
          <w:sz w:val="22"/>
          <w:szCs w:val="22"/>
        </w:rPr>
        <w:t>UID/Multi/04326/2019</w:t>
      </w:r>
      <w:r w:rsidRPr="00825D85">
        <w:rPr>
          <w:rFonts w:asciiTheme="minorHAnsi" w:hAnsiTheme="minorHAnsi" w:cs="Arial"/>
          <w:sz w:val="22"/>
          <w:szCs w:val="22"/>
        </w:rPr>
        <w:t>, POCI/MAR/55377/2004 and PPCDT/MAR/55377/2004). AHE was supported by FCT fellowships SFRH/BPD/63703/2009 and SFRH/BPD/107878/2015.</w:t>
      </w:r>
      <w:r w:rsidRPr="008F3DF3">
        <w:rPr>
          <w:rFonts w:asciiTheme="minorHAnsi" w:hAnsiTheme="minorHAnsi" w:cs="Arial"/>
          <w:sz w:val="22"/>
          <w:szCs w:val="22"/>
        </w:rPr>
        <w:t xml:space="preserve"> </w:t>
      </w:r>
    </w:p>
    <w:p w14:paraId="7021CBCE" w14:textId="77777777" w:rsidR="008F3DF3" w:rsidRPr="00A26053" w:rsidRDefault="008F3DF3" w:rsidP="00063DC7">
      <w:pPr>
        <w:spacing w:before="240" w:line="360" w:lineRule="auto"/>
        <w:rPr>
          <w:rFonts w:cs="Arial"/>
          <w:b/>
          <w:color w:val="000000" w:themeColor="text1"/>
          <w:shd w:val="clear" w:color="auto" w:fill="FFFFFF"/>
        </w:rPr>
      </w:pPr>
      <w:r w:rsidRPr="00A26053">
        <w:rPr>
          <w:rFonts w:cs="Arial"/>
          <w:b/>
          <w:color w:val="000000" w:themeColor="text1"/>
          <w:shd w:val="clear" w:color="auto" w:fill="FFFFFF"/>
        </w:rPr>
        <w:t>Data availability</w:t>
      </w:r>
    </w:p>
    <w:p w14:paraId="051D3263" w14:textId="7220939B" w:rsidR="008F3DF3" w:rsidRPr="00223A13" w:rsidRDefault="008F3DF3" w:rsidP="00063DC7">
      <w:pPr>
        <w:pStyle w:val="HTMLPreformatted"/>
        <w:spacing w:after="240" w:line="360" w:lineRule="auto"/>
        <w:rPr>
          <w:rFonts w:asciiTheme="minorHAnsi" w:hAnsiTheme="minorHAnsi" w:cs="Arial"/>
          <w:sz w:val="22"/>
          <w:szCs w:val="22"/>
          <w:lang w:val="en-GB"/>
        </w:rPr>
      </w:pPr>
      <w:r w:rsidRPr="008F3DF3">
        <w:rPr>
          <w:rFonts w:asciiTheme="minorHAnsi" w:hAnsiTheme="minorHAnsi" w:cs="Arial"/>
          <w:sz w:val="22"/>
          <w:szCs w:val="22"/>
          <w:lang w:val="en-GB"/>
        </w:rPr>
        <w:t xml:space="preserve">ddRAD-seq and microsatellite dataset are available as a VCF file and a multi-locus genotype file, respectively, </w:t>
      </w:r>
      <w:r w:rsidR="00223A13">
        <w:rPr>
          <w:rFonts w:asciiTheme="minorHAnsi" w:hAnsiTheme="minorHAnsi" w:cs="Arial"/>
          <w:sz w:val="22"/>
          <w:szCs w:val="22"/>
          <w:lang w:val="en-GB"/>
        </w:rPr>
        <w:t xml:space="preserve">uploaded </w:t>
      </w:r>
      <w:r w:rsidRPr="008F3DF3">
        <w:rPr>
          <w:rFonts w:asciiTheme="minorHAnsi" w:hAnsiTheme="minorHAnsi" w:cs="Arial"/>
          <w:sz w:val="22"/>
          <w:szCs w:val="22"/>
          <w:lang w:val="en-GB"/>
        </w:rPr>
        <w:t xml:space="preserve">on Dryad Digital Repository at </w:t>
      </w:r>
      <w:r w:rsidR="00A87B6E" w:rsidRPr="00A87B6E">
        <w:rPr>
          <w:rFonts w:asciiTheme="minorHAnsi" w:hAnsiTheme="minorHAnsi" w:cs="Arial"/>
          <w:sz w:val="22"/>
          <w:szCs w:val="22"/>
          <w:lang w:val="en-GB"/>
        </w:rPr>
        <w:t>https://doi.org/10.5061/dryad.1rj6442</w:t>
      </w:r>
      <w:r w:rsidR="00223A13">
        <w:rPr>
          <w:rFonts w:asciiTheme="minorHAnsi" w:hAnsiTheme="minorHAnsi" w:cs="Arial"/>
          <w:sz w:val="22"/>
          <w:szCs w:val="22"/>
          <w:lang w:val="en-GB"/>
        </w:rPr>
        <w:t xml:space="preserve">. In addition, raw sequence data obtained after sequencing of the three dd-Radseq librairies on an </w:t>
      </w:r>
      <w:r w:rsidR="00223A13" w:rsidRPr="00223A13">
        <w:rPr>
          <w:rFonts w:asciiTheme="minorHAnsi" w:hAnsiTheme="minorHAnsi" w:cs="Arial"/>
          <w:sz w:val="22"/>
          <w:szCs w:val="22"/>
          <w:lang w:val="en-GB"/>
        </w:rPr>
        <w:t>Illumina Hiseq 2500</w:t>
      </w:r>
      <w:r w:rsidR="00223A13">
        <w:rPr>
          <w:rFonts w:asciiTheme="minorHAnsi" w:hAnsiTheme="minorHAnsi" w:cs="Arial"/>
          <w:sz w:val="22"/>
          <w:szCs w:val="22"/>
          <w:lang w:val="en-GB"/>
        </w:rPr>
        <w:t xml:space="preserve"> are available as a </w:t>
      </w:r>
      <w:r w:rsidR="00223A13" w:rsidRPr="00223A13">
        <w:rPr>
          <w:rFonts w:asciiTheme="minorHAnsi" w:hAnsiTheme="minorHAnsi" w:cs="Arial"/>
          <w:sz w:val="22"/>
          <w:szCs w:val="22"/>
          <w:lang w:val="en-GB"/>
        </w:rPr>
        <w:t xml:space="preserve">Sequence Read Archive </w:t>
      </w:r>
      <w:r w:rsidR="00223A13">
        <w:rPr>
          <w:rFonts w:asciiTheme="minorHAnsi" w:hAnsiTheme="minorHAnsi" w:cs="Arial"/>
          <w:sz w:val="22"/>
          <w:szCs w:val="22"/>
          <w:lang w:val="en-GB"/>
        </w:rPr>
        <w:t>(SRA) (accession number XXXXXXXX) on the NCBI portal.</w:t>
      </w:r>
    </w:p>
    <w:p w14:paraId="39A55B15" w14:textId="516E075C" w:rsidR="00FD140A" w:rsidRPr="00015C58" w:rsidRDefault="00FD140A" w:rsidP="00471F83">
      <w:pPr>
        <w:pStyle w:val="BodyText"/>
        <w:spacing w:before="101" w:after="240" w:line="276" w:lineRule="auto"/>
        <w:ind w:left="426" w:hanging="426"/>
        <w:jc w:val="both"/>
        <w:rPr>
          <w:rFonts w:asciiTheme="minorHAnsi" w:hAnsiTheme="minorHAnsi" w:cs="Arial"/>
          <w:b/>
          <w:sz w:val="22"/>
          <w:szCs w:val="22"/>
          <w:lang w:val="fr-FR"/>
        </w:rPr>
      </w:pPr>
      <w:r w:rsidRPr="00015C58">
        <w:rPr>
          <w:rFonts w:asciiTheme="minorHAnsi" w:hAnsiTheme="minorHAnsi" w:cs="Arial"/>
          <w:b/>
          <w:sz w:val="22"/>
          <w:szCs w:val="22"/>
          <w:lang w:val="fr-FR"/>
        </w:rPr>
        <w:t>Bibliography</w:t>
      </w:r>
    </w:p>
    <w:p w14:paraId="17A40208" w14:textId="77777777"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lang w:val="fr-FR"/>
        </w:rPr>
        <w:t xml:space="preserve">Arnaud-Haond, S., Aires, T., Candeias, R., Teixeira, S. J. L., Duarte, C. M., Valero, M., &amp; Serrão, E. A. (2017). </w:t>
      </w:r>
      <w:r w:rsidRPr="00A235CB">
        <w:rPr>
          <w:rFonts w:asciiTheme="minorHAnsi" w:hAnsiTheme="minorHAnsi"/>
          <w:sz w:val="22"/>
          <w:szCs w:val="22"/>
        </w:rPr>
        <w:t xml:space="preserve">Entangled fates of holobiont genomes during invasion: nested bacterial and host diversities in </w:t>
      </w:r>
      <w:r w:rsidRPr="00A235CB">
        <w:rPr>
          <w:rFonts w:asciiTheme="minorHAnsi" w:hAnsiTheme="minorHAnsi"/>
          <w:i/>
          <w:sz w:val="22"/>
          <w:szCs w:val="22"/>
        </w:rPr>
        <w:t>Caulerpa taxifolia</w:t>
      </w:r>
      <w:r w:rsidRPr="00A235CB">
        <w:rPr>
          <w:rFonts w:asciiTheme="minorHAnsi" w:hAnsiTheme="minorHAnsi"/>
          <w:sz w:val="22"/>
          <w:szCs w:val="22"/>
        </w:rPr>
        <w:t xml:space="preserve">. </w:t>
      </w:r>
      <w:r w:rsidRPr="00A235CB">
        <w:rPr>
          <w:rFonts w:asciiTheme="minorHAnsi" w:hAnsiTheme="minorHAnsi"/>
          <w:i/>
          <w:sz w:val="22"/>
          <w:szCs w:val="22"/>
        </w:rPr>
        <w:t>Molecular Ecology, 26</w:t>
      </w:r>
      <w:r w:rsidRPr="00A235CB">
        <w:rPr>
          <w:rFonts w:asciiTheme="minorHAnsi" w:hAnsiTheme="minorHAnsi"/>
          <w:sz w:val="22"/>
          <w:szCs w:val="22"/>
        </w:rPr>
        <w:t>(8), 2379-2391. doi:10.1111/mec.14030</w:t>
      </w:r>
    </w:p>
    <w:p w14:paraId="09EEB8BD" w14:textId="77777777"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rPr>
        <w:lastRenderedPageBreak/>
        <w:t xml:space="preserve">Baker, H. G. (1967). Support for Baker's law—as a rule. </w:t>
      </w:r>
      <w:r w:rsidRPr="00A235CB">
        <w:rPr>
          <w:rFonts w:asciiTheme="minorHAnsi" w:hAnsiTheme="minorHAnsi"/>
          <w:i/>
          <w:sz w:val="22"/>
          <w:szCs w:val="22"/>
        </w:rPr>
        <w:t>Evolution, 21</w:t>
      </w:r>
      <w:r w:rsidRPr="00A235CB">
        <w:rPr>
          <w:rFonts w:asciiTheme="minorHAnsi" w:hAnsiTheme="minorHAnsi"/>
          <w:sz w:val="22"/>
          <w:szCs w:val="22"/>
        </w:rPr>
        <w:t xml:space="preserve">(4), 853-856. </w:t>
      </w:r>
    </w:p>
    <w:p w14:paraId="2631D73F" w14:textId="77777777"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rPr>
        <w:t xml:space="preserve">Barrett, E. M. (1963). The California oyster industry. In </w:t>
      </w:r>
      <w:r w:rsidRPr="00A235CB">
        <w:rPr>
          <w:rFonts w:asciiTheme="minorHAnsi" w:hAnsiTheme="minorHAnsi"/>
          <w:i/>
          <w:sz w:val="22"/>
          <w:szCs w:val="22"/>
        </w:rPr>
        <w:t>Fish Bulletin</w:t>
      </w:r>
      <w:r w:rsidRPr="00A235CB">
        <w:rPr>
          <w:rFonts w:asciiTheme="minorHAnsi" w:hAnsiTheme="minorHAnsi"/>
          <w:sz w:val="22"/>
          <w:szCs w:val="22"/>
        </w:rPr>
        <w:t xml:space="preserve"> (Vol. 123): Department of Fish and Game, Fish Bulletin.</w:t>
      </w:r>
    </w:p>
    <w:p w14:paraId="611B4248" w14:textId="77777777"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rPr>
        <w:t xml:space="preserve">Bock, D. G., Caseys, C., Cousens, R. D., Hahn, M. A., Heredia, S. M., Hubner, S., . . . Rieseberg, L. H. (2015). What we still don't know about invasion genetics. </w:t>
      </w:r>
      <w:r w:rsidRPr="00A235CB">
        <w:rPr>
          <w:rFonts w:asciiTheme="minorHAnsi" w:hAnsiTheme="minorHAnsi"/>
          <w:i/>
          <w:sz w:val="22"/>
          <w:szCs w:val="22"/>
        </w:rPr>
        <w:t>Molecular Ecology, 24</w:t>
      </w:r>
      <w:r w:rsidRPr="00A235CB">
        <w:rPr>
          <w:rFonts w:asciiTheme="minorHAnsi" w:hAnsiTheme="minorHAnsi"/>
          <w:sz w:val="22"/>
          <w:szCs w:val="22"/>
        </w:rPr>
        <w:t>(9), 2277-2297. doi:10.1111/mec.13032</w:t>
      </w:r>
    </w:p>
    <w:p w14:paraId="6DCABF69" w14:textId="0701D91B"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6D429B">
        <w:rPr>
          <w:rFonts w:asciiTheme="minorHAnsi" w:hAnsiTheme="minorHAnsi"/>
          <w:sz w:val="22"/>
          <w:szCs w:val="22"/>
        </w:rPr>
        <w:t xml:space="preserve">Brelsford, A., Dufresnes, C., &amp; Perrin, N. (2016). </w:t>
      </w:r>
      <w:r w:rsidRPr="00A235CB">
        <w:rPr>
          <w:rFonts w:asciiTheme="minorHAnsi" w:hAnsiTheme="minorHAnsi"/>
          <w:sz w:val="22"/>
          <w:szCs w:val="22"/>
        </w:rPr>
        <w:t>High-density sex-specific linkage maps of a European tree frog (</w:t>
      </w:r>
      <w:r w:rsidRPr="00A235CB">
        <w:rPr>
          <w:rFonts w:asciiTheme="minorHAnsi" w:hAnsiTheme="minorHAnsi"/>
          <w:i/>
          <w:sz w:val="22"/>
          <w:szCs w:val="22"/>
        </w:rPr>
        <w:t>Hyla arborea</w:t>
      </w:r>
      <w:r w:rsidRPr="00A235CB">
        <w:rPr>
          <w:rFonts w:asciiTheme="minorHAnsi" w:hAnsiTheme="minorHAnsi"/>
          <w:sz w:val="22"/>
          <w:szCs w:val="22"/>
        </w:rPr>
        <w:t xml:space="preserve">) identify the sex chromosome without information on offspring sex. </w:t>
      </w:r>
      <w:r w:rsidRPr="00A235CB">
        <w:rPr>
          <w:rFonts w:asciiTheme="minorHAnsi" w:hAnsiTheme="minorHAnsi"/>
          <w:i/>
          <w:sz w:val="22"/>
          <w:szCs w:val="22"/>
        </w:rPr>
        <w:t>Heredity, 116</w:t>
      </w:r>
      <w:r w:rsidRPr="00A235CB">
        <w:rPr>
          <w:rFonts w:asciiTheme="minorHAnsi" w:hAnsiTheme="minorHAnsi"/>
          <w:sz w:val="22"/>
          <w:szCs w:val="22"/>
        </w:rPr>
        <w:t>(2), 177-181. doi:10.1038/hdy.2015.83</w:t>
      </w:r>
    </w:p>
    <w:p w14:paraId="161E17A2" w14:textId="77777777"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rPr>
        <w:t xml:space="preserve">Briski, E., Chan, F. T., Darling, J. A., Lauringson, V., MacIsaac, H. J., Zhan, A., &amp; Bailey, S. A. (2018). Beyond propagule pressure: importance of selection during the transport stage of biological invasions. </w:t>
      </w:r>
      <w:r w:rsidRPr="00A235CB">
        <w:rPr>
          <w:rFonts w:asciiTheme="minorHAnsi" w:hAnsiTheme="minorHAnsi"/>
          <w:i/>
          <w:sz w:val="22"/>
          <w:szCs w:val="22"/>
        </w:rPr>
        <w:t>Frontiers in Ecology and the Environment, 16</w:t>
      </w:r>
      <w:r w:rsidRPr="00A235CB">
        <w:rPr>
          <w:rFonts w:asciiTheme="minorHAnsi" w:hAnsiTheme="minorHAnsi"/>
          <w:sz w:val="22"/>
          <w:szCs w:val="22"/>
        </w:rPr>
        <w:t>(6), 345-353. doi:10.1002/fee.1820</w:t>
      </w:r>
    </w:p>
    <w:p w14:paraId="1B7D5854" w14:textId="77777777"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rPr>
        <w:t xml:space="preserve">Burton, R. S. (1998). Intraspecific phylogeography across the Point Conception biogeographic boundary. </w:t>
      </w:r>
      <w:r w:rsidRPr="00A235CB">
        <w:rPr>
          <w:rFonts w:asciiTheme="minorHAnsi" w:hAnsiTheme="minorHAnsi"/>
          <w:i/>
          <w:sz w:val="22"/>
          <w:szCs w:val="22"/>
        </w:rPr>
        <w:t>Evolution, 52</w:t>
      </w:r>
      <w:r w:rsidRPr="00A235CB">
        <w:rPr>
          <w:rFonts w:asciiTheme="minorHAnsi" w:hAnsiTheme="minorHAnsi"/>
          <w:sz w:val="22"/>
          <w:szCs w:val="22"/>
        </w:rPr>
        <w:t xml:space="preserve">(3), 734-745. </w:t>
      </w:r>
    </w:p>
    <w:p w14:paraId="32B24404" w14:textId="77777777"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rPr>
        <w:t xml:space="preserve">Catchen, J., Hohenlohe, P. A., Bassham, S., Amores, A., &amp; Cresko, W. A. (2013). Stacks: an analysis tool set for population genomics. </w:t>
      </w:r>
      <w:r w:rsidRPr="00A235CB">
        <w:rPr>
          <w:rFonts w:asciiTheme="minorHAnsi" w:hAnsiTheme="minorHAnsi"/>
          <w:i/>
          <w:sz w:val="22"/>
          <w:szCs w:val="22"/>
        </w:rPr>
        <w:t>Molecular Ecology, 22</w:t>
      </w:r>
      <w:r w:rsidRPr="00A235CB">
        <w:rPr>
          <w:rFonts w:asciiTheme="minorHAnsi" w:hAnsiTheme="minorHAnsi"/>
          <w:sz w:val="22"/>
          <w:szCs w:val="22"/>
        </w:rPr>
        <w:t>(11), 3124-3140. doi:10.1111/mec.12354</w:t>
      </w:r>
    </w:p>
    <w:p w14:paraId="7BE81B73" w14:textId="29E433F0"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rPr>
        <w:t xml:space="preserve">Chandler, E. A., McDowell, J. R., &amp; Graves, J. E. (2008). Genetically monomorphic invasive populations of the rapa whelk, </w:t>
      </w:r>
      <w:r w:rsidRPr="00A235CB">
        <w:rPr>
          <w:rFonts w:asciiTheme="minorHAnsi" w:hAnsiTheme="minorHAnsi"/>
          <w:i/>
          <w:sz w:val="22"/>
          <w:szCs w:val="22"/>
        </w:rPr>
        <w:t>Rapana venosa</w:t>
      </w:r>
      <w:r w:rsidRPr="00A235CB">
        <w:rPr>
          <w:rFonts w:asciiTheme="minorHAnsi" w:hAnsiTheme="minorHAnsi"/>
          <w:sz w:val="22"/>
          <w:szCs w:val="22"/>
        </w:rPr>
        <w:t xml:space="preserve">. </w:t>
      </w:r>
      <w:r w:rsidRPr="00A235CB">
        <w:rPr>
          <w:rFonts w:asciiTheme="minorHAnsi" w:hAnsiTheme="minorHAnsi"/>
          <w:i/>
          <w:sz w:val="22"/>
          <w:szCs w:val="22"/>
        </w:rPr>
        <w:t>Molecular Ecology, 17</w:t>
      </w:r>
      <w:r w:rsidRPr="00A235CB">
        <w:rPr>
          <w:rFonts w:asciiTheme="minorHAnsi" w:hAnsiTheme="minorHAnsi"/>
          <w:sz w:val="22"/>
          <w:szCs w:val="22"/>
        </w:rPr>
        <w:t xml:space="preserve">(18), 4079-4091. </w:t>
      </w:r>
      <w:r w:rsidR="00381D14" w:rsidRPr="00A235CB">
        <w:rPr>
          <w:rFonts w:asciiTheme="minorHAnsi" w:hAnsiTheme="minorHAnsi"/>
          <w:sz w:val="22"/>
          <w:szCs w:val="22"/>
        </w:rPr>
        <w:t>doi:10.1111/j.1365-294X.2008.03897.x</w:t>
      </w:r>
    </w:p>
    <w:p w14:paraId="12720E5B" w14:textId="77777777"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rPr>
        <w:t xml:space="preserve">Cheang, C. C., Chu, K. H., Fujita, D., Yoshida, G., Hiraoka, M., Critchley, A., . . . Ang, P. O. (2010). Low genetic variability of </w:t>
      </w:r>
      <w:r w:rsidRPr="00A235CB">
        <w:rPr>
          <w:rFonts w:asciiTheme="minorHAnsi" w:hAnsiTheme="minorHAnsi"/>
          <w:i/>
          <w:sz w:val="22"/>
          <w:szCs w:val="22"/>
        </w:rPr>
        <w:t>Sargassum muticum (</w:t>
      </w:r>
      <w:r w:rsidRPr="00A235CB">
        <w:rPr>
          <w:rFonts w:asciiTheme="minorHAnsi" w:hAnsiTheme="minorHAnsi"/>
          <w:sz w:val="22"/>
          <w:szCs w:val="22"/>
        </w:rPr>
        <w:t xml:space="preserve">Phaeophyceae) revealed by a global analysis of native and introduced populations. </w:t>
      </w:r>
      <w:r w:rsidRPr="00A235CB">
        <w:rPr>
          <w:rFonts w:asciiTheme="minorHAnsi" w:hAnsiTheme="minorHAnsi"/>
          <w:i/>
          <w:sz w:val="22"/>
          <w:szCs w:val="22"/>
        </w:rPr>
        <w:t>Journal of Phycology, 46</w:t>
      </w:r>
      <w:r w:rsidRPr="00A235CB">
        <w:rPr>
          <w:rFonts w:asciiTheme="minorHAnsi" w:hAnsiTheme="minorHAnsi"/>
          <w:sz w:val="22"/>
          <w:szCs w:val="22"/>
        </w:rPr>
        <w:t>(6), 1063-1074. doi:10.1111/j.1529-8817.2010.00901.x</w:t>
      </w:r>
    </w:p>
    <w:p w14:paraId="3C9D6B09" w14:textId="77777777"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rPr>
        <w:t xml:space="preserve">David, P., Pujol, B., Viard, F., Castella, V., &amp; Goudet, J. (2007). Reliable selfing rate estimates from imperfect population genetic data. </w:t>
      </w:r>
      <w:r w:rsidRPr="00A235CB">
        <w:rPr>
          <w:rFonts w:asciiTheme="minorHAnsi" w:hAnsiTheme="minorHAnsi"/>
          <w:i/>
          <w:sz w:val="22"/>
          <w:szCs w:val="22"/>
        </w:rPr>
        <w:t>Molecular Ecology, 16</w:t>
      </w:r>
      <w:r w:rsidRPr="00A235CB">
        <w:rPr>
          <w:rFonts w:asciiTheme="minorHAnsi" w:hAnsiTheme="minorHAnsi"/>
          <w:sz w:val="22"/>
          <w:szCs w:val="22"/>
        </w:rPr>
        <w:t>(12), 2474-2487. doi:10.1111/j.1365-294X.2007.03330.x</w:t>
      </w:r>
    </w:p>
    <w:p w14:paraId="4CA3210E" w14:textId="77777777" w:rsidR="00BF7D19" w:rsidRDefault="00BF7D19" w:rsidP="00015C58">
      <w:pPr>
        <w:pStyle w:val="EndNoteBibliography"/>
        <w:spacing w:line="276" w:lineRule="auto"/>
        <w:ind w:left="426" w:hanging="426"/>
        <w:jc w:val="both"/>
        <w:rPr>
          <w:rFonts w:asciiTheme="minorHAnsi" w:hAnsiTheme="minorHAnsi"/>
          <w:sz w:val="22"/>
          <w:szCs w:val="22"/>
        </w:rPr>
      </w:pPr>
      <w:r w:rsidRPr="00D13CC5">
        <w:rPr>
          <w:rFonts w:asciiTheme="minorHAnsi" w:hAnsiTheme="minorHAnsi"/>
          <w:sz w:val="22"/>
          <w:szCs w:val="22"/>
          <w:lang w:val="pt-PT"/>
        </w:rPr>
        <w:t xml:space="preserve">Darling, J. A., Galil, B. S., Carvalho, G. R., Rius, M., Viard, F. &amp; Piraino, S. (2017). </w:t>
      </w:r>
      <w:r w:rsidRPr="00BF7D19">
        <w:rPr>
          <w:rFonts w:asciiTheme="minorHAnsi" w:hAnsiTheme="minorHAnsi"/>
          <w:sz w:val="22"/>
          <w:szCs w:val="22"/>
        </w:rPr>
        <w:t xml:space="preserve">Recommendations for developing and applying genetic tools to assess and manage biological </w:t>
      </w:r>
      <w:r>
        <w:rPr>
          <w:rFonts w:asciiTheme="minorHAnsi" w:hAnsiTheme="minorHAnsi"/>
          <w:sz w:val="22"/>
          <w:szCs w:val="22"/>
        </w:rPr>
        <w:t>invasions in marine ecosystems.</w:t>
      </w:r>
      <w:r w:rsidRPr="00BF7D19">
        <w:rPr>
          <w:rFonts w:asciiTheme="minorHAnsi" w:hAnsiTheme="minorHAnsi"/>
          <w:sz w:val="22"/>
          <w:szCs w:val="22"/>
        </w:rPr>
        <w:t xml:space="preserve"> </w:t>
      </w:r>
      <w:r w:rsidRPr="00D13CC5">
        <w:rPr>
          <w:rFonts w:asciiTheme="minorHAnsi" w:hAnsiTheme="minorHAnsi"/>
          <w:i/>
          <w:sz w:val="22"/>
          <w:szCs w:val="22"/>
        </w:rPr>
        <w:t>Marine Policy 85</w:t>
      </w:r>
      <w:r w:rsidRPr="00BF7D19">
        <w:rPr>
          <w:rFonts w:asciiTheme="minorHAnsi" w:hAnsiTheme="minorHAnsi"/>
          <w:sz w:val="22"/>
          <w:szCs w:val="22"/>
        </w:rPr>
        <w:t>: 54-64.</w:t>
      </w:r>
    </w:p>
    <w:p w14:paraId="7E201806" w14:textId="14BA5D8A"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rPr>
        <w:t xml:space="preserve">Dawson, M. N. (2001). Phylogeography in coastal marine animals: a solution from California? </w:t>
      </w:r>
      <w:r w:rsidRPr="00A235CB">
        <w:rPr>
          <w:rFonts w:asciiTheme="minorHAnsi" w:hAnsiTheme="minorHAnsi"/>
          <w:i/>
          <w:sz w:val="22"/>
          <w:szCs w:val="22"/>
        </w:rPr>
        <w:t>Journal of Biogeography, 28</w:t>
      </w:r>
      <w:r w:rsidRPr="00A235CB">
        <w:rPr>
          <w:rFonts w:asciiTheme="minorHAnsi" w:hAnsiTheme="minorHAnsi"/>
          <w:sz w:val="22"/>
          <w:szCs w:val="22"/>
        </w:rPr>
        <w:t xml:space="preserve">(6), 723-736. </w:t>
      </w:r>
      <w:r w:rsidR="00381D14" w:rsidRPr="00A235CB">
        <w:rPr>
          <w:rFonts w:asciiTheme="minorHAnsi" w:hAnsiTheme="minorHAnsi"/>
          <w:sz w:val="22"/>
          <w:szCs w:val="22"/>
        </w:rPr>
        <w:t>doi:10.1046/j.1365-2699.2001.00572.x</w:t>
      </w:r>
    </w:p>
    <w:p w14:paraId="3046A3A1" w14:textId="77777777"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rPr>
        <w:t xml:space="preserve">Dupont, L., Viard, F., David, P., &amp; Bishop, J. D. D. (2007). Combined effects of bottlenecks and selfing in populations of </w:t>
      </w:r>
      <w:r w:rsidRPr="00A235CB">
        <w:rPr>
          <w:rFonts w:asciiTheme="minorHAnsi" w:hAnsiTheme="minorHAnsi"/>
          <w:i/>
          <w:sz w:val="22"/>
          <w:szCs w:val="22"/>
        </w:rPr>
        <w:t>Corella eumyota</w:t>
      </w:r>
      <w:r w:rsidRPr="00A235CB">
        <w:rPr>
          <w:rFonts w:asciiTheme="minorHAnsi" w:hAnsiTheme="minorHAnsi"/>
          <w:sz w:val="22"/>
          <w:szCs w:val="22"/>
        </w:rPr>
        <w:t xml:space="preserve">, a recently introduced sea squirt in the English Channel. </w:t>
      </w:r>
      <w:r w:rsidRPr="00A235CB">
        <w:rPr>
          <w:rFonts w:asciiTheme="minorHAnsi" w:hAnsiTheme="minorHAnsi"/>
          <w:i/>
          <w:sz w:val="22"/>
          <w:szCs w:val="22"/>
        </w:rPr>
        <w:t>Diversity and Distributions, 13</w:t>
      </w:r>
      <w:r w:rsidRPr="00A235CB">
        <w:rPr>
          <w:rFonts w:asciiTheme="minorHAnsi" w:hAnsiTheme="minorHAnsi"/>
          <w:sz w:val="22"/>
          <w:szCs w:val="22"/>
        </w:rPr>
        <w:t>(6), 808-817. doi:10.1111/j.1472-4642.2007.00405.x</w:t>
      </w:r>
    </w:p>
    <w:p w14:paraId="1FE72688" w14:textId="611FE5F6" w:rsidR="00381D14" w:rsidRPr="00A235CB" w:rsidRDefault="00FD140A" w:rsidP="00BB478B">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rPr>
        <w:t xml:space="preserve">Engelen, A. H., Serebryakova, A., Ang, P., Britton-Simmons, K., Mineur, F., Pedersen, M., . . . Santos, R. (2015). </w:t>
      </w:r>
      <w:r w:rsidR="00BB478B" w:rsidRPr="00A235CB">
        <w:rPr>
          <w:rFonts w:asciiTheme="minorHAnsi" w:hAnsiTheme="minorHAnsi"/>
          <w:sz w:val="22"/>
          <w:szCs w:val="22"/>
        </w:rPr>
        <w:t>Circumg</w:t>
      </w:r>
      <w:r w:rsidRPr="00A235CB">
        <w:rPr>
          <w:rFonts w:asciiTheme="minorHAnsi" w:hAnsiTheme="minorHAnsi"/>
          <w:sz w:val="22"/>
          <w:szCs w:val="22"/>
        </w:rPr>
        <w:t xml:space="preserve">lobal invasion by the brown seaweed </w:t>
      </w:r>
      <w:r w:rsidRPr="00A235CB">
        <w:rPr>
          <w:rFonts w:asciiTheme="minorHAnsi" w:hAnsiTheme="minorHAnsi"/>
          <w:i/>
          <w:sz w:val="22"/>
          <w:szCs w:val="22"/>
        </w:rPr>
        <w:t>Sargassum muticum</w:t>
      </w:r>
      <w:r w:rsidRPr="00A235CB">
        <w:rPr>
          <w:rFonts w:asciiTheme="minorHAnsi" w:hAnsiTheme="minorHAnsi"/>
          <w:sz w:val="22"/>
          <w:szCs w:val="22"/>
        </w:rPr>
        <w:t xml:space="preserve">. </w:t>
      </w:r>
      <w:r w:rsidRPr="00A235CB">
        <w:rPr>
          <w:rFonts w:asciiTheme="minorHAnsi" w:hAnsiTheme="minorHAnsi"/>
          <w:i/>
          <w:sz w:val="22"/>
          <w:szCs w:val="22"/>
        </w:rPr>
        <w:t>Oceanography and Marine Biology: An Annual Review, 53</w:t>
      </w:r>
      <w:r w:rsidRPr="00A235CB">
        <w:rPr>
          <w:rFonts w:asciiTheme="minorHAnsi" w:hAnsiTheme="minorHAnsi"/>
          <w:sz w:val="22"/>
          <w:szCs w:val="22"/>
        </w:rPr>
        <w:t xml:space="preserve">, 81-126. </w:t>
      </w:r>
      <w:r w:rsidR="00BB478B" w:rsidRPr="00A235CB">
        <w:rPr>
          <w:rFonts w:asciiTheme="minorHAnsi" w:hAnsiTheme="minorHAnsi"/>
          <w:sz w:val="22"/>
          <w:szCs w:val="22"/>
        </w:rPr>
        <w:t>doi:/10.1201/b18733</w:t>
      </w:r>
    </w:p>
    <w:p w14:paraId="1C97160A" w14:textId="77777777"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rPr>
        <w:t xml:space="preserve">Fletcher, R. L., &amp; Fletcher, S. M. (1975). Studies on the recently introduced brown alga </w:t>
      </w:r>
      <w:r w:rsidRPr="00A235CB">
        <w:rPr>
          <w:rFonts w:asciiTheme="minorHAnsi" w:hAnsiTheme="minorHAnsi"/>
          <w:i/>
          <w:sz w:val="22"/>
          <w:szCs w:val="22"/>
        </w:rPr>
        <w:t>Sargassum muticum</w:t>
      </w:r>
      <w:r w:rsidRPr="00A235CB">
        <w:rPr>
          <w:rFonts w:asciiTheme="minorHAnsi" w:hAnsiTheme="minorHAnsi"/>
          <w:sz w:val="22"/>
          <w:szCs w:val="22"/>
        </w:rPr>
        <w:t xml:space="preserve"> (Yendo) Fensholt I. Ecology and Reproduction. In </w:t>
      </w:r>
      <w:r w:rsidRPr="00A235CB">
        <w:rPr>
          <w:rFonts w:asciiTheme="minorHAnsi" w:hAnsiTheme="minorHAnsi"/>
          <w:i/>
          <w:sz w:val="22"/>
          <w:szCs w:val="22"/>
        </w:rPr>
        <w:t>Botanica Marina</w:t>
      </w:r>
      <w:r w:rsidRPr="00A235CB">
        <w:rPr>
          <w:rFonts w:asciiTheme="minorHAnsi" w:hAnsiTheme="minorHAnsi"/>
          <w:sz w:val="22"/>
          <w:szCs w:val="22"/>
        </w:rPr>
        <w:t xml:space="preserve"> (Vol. 18, pp. 149).</w:t>
      </w:r>
    </w:p>
    <w:p w14:paraId="6B353B99" w14:textId="77777777"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rPr>
        <w:t xml:space="preserve">Gao, H., Williamson, S., &amp; Bustamante, C. D. (2007). A Marko Chain Monte Carlo approach for joint inference of population structure and inbreeding rates from multi-locus genotype data. </w:t>
      </w:r>
      <w:r w:rsidRPr="00A235CB">
        <w:rPr>
          <w:rFonts w:asciiTheme="minorHAnsi" w:hAnsiTheme="minorHAnsi"/>
          <w:i/>
          <w:sz w:val="22"/>
          <w:szCs w:val="22"/>
        </w:rPr>
        <w:t>Genetics, 76</w:t>
      </w:r>
      <w:r w:rsidRPr="00A235CB">
        <w:rPr>
          <w:rFonts w:asciiTheme="minorHAnsi" w:hAnsiTheme="minorHAnsi"/>
          <w:sz w:val="22"/>
          <w:szCs w:val="22"/>
        </w:rPr>
        <w:t>, 1635-1651. doi:10.1534/genetics.107.072371</w:t>
      </w:r>
    </w:p>
    <w:p w14:paraId="743C3EBC" w14:textId="3E11C2D0" w:rsidR="00FD140A" w:rsidRPr="00A235CB" w:rsidRDefault="00FD140A" w:rsidP="00A235CB">
      <w:pPr>
        <w:widowControl/>
        <w:autoSpaceDE w:val="0"/>
        <w:autoSpaceDN w:val="0"/>
        <w:adjustRightInd w:val="0"/>
        <w:ind w:left="426" w:hanging="426"/>
        <w:rPr>
          <w:rFonts w:cs="Segoe UI"/>
        </w:rPr>
      </w:pPr>
      <w:r w:rsidRPr="00A235CB">
        <w:t xml:space="preserve">Geller, J. B., Darling, J. A., &amp; Carlton, J. T. (2010). Genetic perspectives on marine biological invasions. </w:t>
      </w:r>
      <w:r w:rsidRPr="00A235CB">
        <w:rPr>
          <w:i/>
        </w:rPr>
        <w:t>Annual Review in Marine Sciences, 2</w:t>
      </w:r>
      <w:r w:rsidRPr="00A235CB">
        <w:t>, 401-427.</w:t>
      </w:r>
      <w:r w:rsidR="00BB478B" w:rsidRPr="00A235CB">
        <w:t>doi:</w:t>
      </w:r>
      <w:r w:rsidR="00BB478B" w:rsidRPr="00A235CB">
        <w:rPr>
          <w:rFonts w:cs="Segoe UI"/>
        </w:rPr>
        <w:t>10.1146/annurev.marine.010908.163745</w:t>
      </w:r>
    </w:p>
    <w:p w14:paraId="463FB0B3" w14:textId="591C3487"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rPr>
        <w:t xml:space="preserve">Geoffroy, A., Destombe, C., Kim, B., Mauger, S., Raffo, M. P., Kim, M. S., &amp; Le Gall, L. (2016). Patterns </w:t>
      </w:r>
      <w:r w:rsidRPr="00A235CB">
        <w:rPr>
          <w:rFonts w:asciiTheme="minorHAnsi" w:hAnsiTheme="minorHAnsi"/>
          <w:sz w:val="22"/>
          <w:szCs w:val="22"/>
        </w:rPr>
        <w:lastRenderedPageBreak/>
        <w:t>of genetic diversity of the cryptogenic red alga</w:t>
      </w:r>
      <w:r w:rsidRPr="00A235CB">
        <w:rPr>
          <w:rFonts w:asciiTheme="minorHAnsi" w:hAnsiTheme="minorHAnsi"/>
          <w:i/>
          <w:sz w:val="22"/>
          <w:szCs w:val="22"/>
        </w:rPr>
        <w:t xml:space="preserve"> Polysiphonia morrowii </w:t>
      </w:r>
      <w:r w:rsidRPr="00A235CB">
        <w:rPr>
          <w:rFonts w:asciiTheme="minorHAnsi" w:hAnsiTheme="minorHAnsi"/>
          <w:sz w:val="22"/>
          <w:szCs w:val="22"/>
        </w:rPr>
        <w:t xml:space="preserve">(Ceramiales, Rhodophyta) suggest multiple origins of the Atlantic populations. </w:t>
      </w:r>
      <w:r w:rsidR="00BB478B" w:rsidRPr="00A235CB">
        <w:rPr>
          <w:rFonts w:asciiTheme="minorHAnsi" w:hAnsiTheme="minorHAnsi" w:cs="Segoe UI"/>
          <w:i/>
          <w:sz w:val="22"/>
          <w:szCs w:val="22"/>
        </w:rPr>
        <w:t xml:space="preserve">Ecology and </w:t>
      </w:r>
      <w:r w:rsidR="00A235CB" w:rsidRPr="00A235CB">
        <w:rPr>
          <w:rFonts w:asciiTheme="minorHAnsi" w:hAnsiTheme="minorHAnsi" w:cs="Segoe UI"/>
          <w:i/>
          <w:sz w:val="22"/>
          <w:szCs w:val="22"/>
        </w:rPr>
        <w:t>E</w:t>
      </w:r>
      <w:r w:rsidR="00BB478B" w:rsidRPr="00A235CB">
        <w:rPr>
          <w:rFonts w:asciiTheme="minorHAnsi" w:hAnsiTheme="minorHAnsi" w:cs="Segoe UI"/>
          <w:i/>
          <w:sz w:val="22"/>
          <w:szCs w:val="22"/>
        </w:rPr>
        <w:t>volution</w:t>
      </w:r>
      <w:r w:rsidRPr="00A235CB">
        <w:rPr>
          <w:rFonts w:asciiTheme="minorHAnsi" w:hAnsiTheme="minorHAnsi"/>
          <w:i/>
          <w:sz w:val="22"/>
          <w:szCs w:val="22"/>
        </w:rPr>
        <w:t>, 6</w:t>
      </w:r>
      <w:r w:rsidRPr="00A235CB">
        <w:rPr>
          <w:rFonts w:asciiTheme="minorHAnsi" w:hAnsiTheme="minorHAnsi"/>
          <w:sz w:val="22"/>
          <w:szCs w:val="22"/>
        </w:rPr>
        <w:t>(16), 5635-5647. doi:10.1002/ece3.2135</w:t>
      </w:r>
    </w:p>
    <w:p w14:paraId="146AAD5B" w14:textId="6C4B66A0"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rPr>
        <w:t xml:space="preserve">Guzinski, J., Ballenghien, M., Daguin‐Thiébaut, C., Lévêque, L., &amp; Viard, F. (2018). Population genomics of the introduced and cultivated Pacific kelp </w:t>
      </w:r>
      <w:r w:rsidRPr="00A235CB">
        <w:rPr>
          <w:rFonts w:asciiTheme="minorHAnsi" w:hAnsiTheme="minorHAnsi"/>
          <w:i/>
          <w:sz w:val="22"/>
          <w:szCs w:val="22"/>
        </w:rPr>
        <w:t>Undaria pinnatifida</w:t>
      </w:r>
      <w:r w:rsidRPr="00A235CB">
        <w:rPr>
          <w:rFonts w:asciiTheme="minorHAnsi" w:hAnsiTheme="minorHAnsi"/>
          <w:sz w:val="22"/>
          <w:szCs w:val="22"/>
        </w:rPr>
        <w:t xml:space="preserve">: Marinas—not farms—drive regional connectivity and establishment in natural rocky reefs. </w:t>
      </w:r>
      <w:r w:rsidRPr="00A235CB">
        <w:rPr>
          <w:rFonts w:asciiTheme="minorHAnsi" w:hAnsiTheme="minorHAnsi"/>
          <w:i/>
          <w:sz w:val="22"/>
          <w:szCs w:val="22"/>
        </w:rPr>
        <w:t>Evolutionary Applications, 11</w:t>
      </w:r>
      <w:r w:rsidRPr="00A235CB">
        <w:rPr>
          <w:rFonts w:asciiTheme="minorHAnsi" w:hAnsiTheme="minorHAnsi"/>
          <w:sz w:val="22"/>
          <w:szCs w:val="22"/>
        </w:rPr>
        <w:t xml:space="preserve">(9), 1582-1597. </w:t>
      </w:r>
      <w:r w:rsidR="00BB478B" w:rsidRPr="00A235CB">
        <w:rPr>
          <w:rFonts w:asciiTheme="minorHAnsi" w:hAnsiTheme="minorHAnsi" w:cs="Segoe UI"/>
          <w:sz w:val="22"/>
          <w:szCs w:val="22"/>
        </w:rPr>
        <w:t>doi:10.1111/eva.12647</w:t>
      </w:r>
    </w:p>
    <w:p w14:paraId="5B8925DE" w14:textId="77777777"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rPr>
        <w:t xml:space="preserve">Hao, J. H., Qiang, S., Chrobock, T., van Kleunen, M., &amp; Liu, Q. Q. (2011). A test of baker’s law: breeding systems of invasive species of Asteraceae in China. </w:t>
      </w:r>
      <w:r w:rsidRPr="00A235CB">
        <w:rPr>
          <w:rFonts w:asciiTheme="minorHAnsi" w:hAnsiTheme="minorHAnsi"/>
          <w:i/>
          <w:sz w:val="22"/>
          <w:szCs w:val="22"/>
        </w:rPr>
        <w:t>Biological Invasions, 13</w:t>
      </w:r>
      <w:r w:rsidRPr="00A235CB">
        <w:rPr>
          <w:rFonts w:asciiTheme="minorHAnsi" w:hAnsiTheme="minorHAnsi"/>
          <w:sz w:val="22"/>
          <w:szCs w:val="22"/>
        </w:rPr>
        <w:t>(3), 571-580. doi:10.1007/s10530-010-9850-4</w:t>
      </w:r>
    </w:p>
    <w:p w14:paraId="377E9D20" w14:textId="77777777"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rPr>
        <w:t xml:space="preserve">Haupt, T. M., Griffiths, C. L., &amp; Robinson, T. B. (2012). Intra-regional translocations of epifaunal and infaunal species associated with cultured Pacific oysters </w:t>
      </w:r>
      <w:r w:rsidRPr="00A235CB">
        <w:rPr>
          <w:rFonts w:asciiTheme="minorHAnsi" w:hAnsiTheme="minorHAnsi"/>
          <w:i/>
          <w:sz w:val="22"/>
          <w:szCs w:val="22"/>
        </w:rPr>
        <w:t>Crassostrea gigas</w:t>
      </w:r>
      <w:r w:rsidRPr="00A235CB">
        <w:rPr>
          <w:rFonts w:asciiTheme="minorHAnsi" w:hAnsiTheme="minorHAnsi"/>
          <w:sz w:val="22"/>
          <w:szCs w:val="22"/>
        </w:rPr>
        <w:t xml:space="preserve">. </w:t>
      </w:r>
      <w:r w:rsidRPr="00A235CB">
        <w:rPr>
          <w:rFonts w:asciiTheme="minorHAnsi" w:hAnsiTheme="minorHAnsi"/>
          <w:i/>
          <w:sz w:val="22"/>
          <w:szCs w:val="22"/>
        </w:rPr>
        <w:t>African Journal of Marine Science, 34</w:t>
      </w:r>
      <w:r w:rsidRPr="00A235CB">
        <w:rPr>
          <w:rFonts w:asciiTheme="minorHAnsi" w:hAnsiTheme="minorHAnsi"/>
          <w:sz w:val="22"/>
          <w:szCs w:val="22"/>
        </w:rPr>
        <w:t>(2), 187-194. doi:10.2989/1814232x.2012.673293</w:t>
      </w:r>
    </w:p>
    <w:p w14:paraId="0F5EA88C" w14:textId="183B8A4A"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rPr>
        <w:t xml:space="preserve">Hohenlohe, P. A. (2004). Limits to gene flow in marine animals with planktonic larvae: models of </w:t>
      </w:r>
      <w:r w:rsidRPr="00A235CB">
        <w:rPr>
          <w:rFonts w:asciiTheme="minorHAnsi" w:hAnsiTheme="minorHAnsi"/>
          <w:i/>
          <w:sz w:val="22"/>
          <w:szCs w:val="22"/>
        </w:rPr>
        <w:t xml:space="preserve">Littorina </w:t>
      </w:r>
      <w:r w:rsidRPr="00A235CB">
        <w:rPr>
          <w:rFonts w:asciiTheme="minorHAnsi" w:hAnsiTheme="minorHAnsi"/>
          <w:sz w:val="22"/>
          <w:szCs w:val="22"/>
        </w:rPr>
        <w:t xml:space="preserve">species around Point Conception, California. </w:t>
      </w:r>
      <w:r w:rsidRPr="00A235CB">
        <w:rPr>
          <w:rFonts w:asciiTheme="minorHAnsi" w:hAnsiTheme="minorHAnsi"/>
          <w:i/>
          <w:sz w:val="22"/>
          <w:szCs w:val="22"/>
        </w:rPr>
        <w:t>Biological Journal of the Linnean Society, 82</w:t>
      </w:r>
      <w:r w:rsidRPr="00A235CB">
        <w:rPr>
          <w:rFonts w:asciiTheme="minorHAnsi" w:hAnsiTheme="minorHAnsi"/>
          <w:sz w:val="22"/>
          <w:szCs w:val="22"/>
        </w:rPr>
        <w:t xml:space="preserve">(2), 169-187. </w:t>
      </w:r>
      <w:r w:rsidR="00BB478B" w:rsidRPr="00A235CB">
        <w:rPr>
          <w:rFonts w:asciiTheme="minorHAnsi" w:hAnsiTheme="minorHAnsi"/>
          <w:sz w:val="22"/>
          <w:szCs w:val="22"/>
        </w:rPr>
        <w:t>doi: 10.1111/j.1095-8312.2004.00318.x</w:t>
      </w:r>
    </w:p>
    <w:p w14:paraId="3D74C71F" w14:textId="07C80A0F"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rPr>
        <w:t xml:space="preserve">Jarne, P., &amp; Charlesworth, D. (1993). The evolution of the selfing rate in functionally hermaphrodite plants and animals. </w:t>
      </w:r>
      <w:r w:rsidRPr="00A235CB">
        <w:rPr>
          <w:rFonts w:asciiTheme="minorHAnsi" w:hAnsiTheme="minorHAnsi"/>
          <w:i/>
          <w:sz w:val="22"/>
          <w:szCs w:val="22"/>
        </w:rPr>
        <w:t>Annual Review of Ecology and Systematics, 24</w:t>
      </w:r>
      <w:r w:rsidRPr="00A235CB">
        <w:rPr>
          <w:rFonts w:asciiTheme="minorHAnsi" w:hAnsiTheme="minorHAnsi"/>
          <w:sz w:val="22"/>
          <w:szCs w:val="22"/>
        </w:rPr>
        <w:t>(1), 441-466. doi:10.1146/annurev.es.24.110193.002301</w:t>
      </w:r>
    </w:p>
    <w:p w14:paraId="4407B5F2" w14:textId="77777777"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rPr>
        <w:t>Jeffery, N. W., DiBacco, C., Van Wyngaarden, M., Hamilton, L. C., Stanley, R. R. E., Bernier, R., . . . Bradbury, I. R. (2017). RAD sequencing reveals genomewide divergence between independent invasions of the European green crab (</w:t>
      </w:r>
      <w:r w:rsidRPr="00A235CB">
        <w:rPr>
          <w:rFonts w:asciiTheme="minorHAnsi" w:hAnsiTheme="minorHAnsi"/>
          <w:i/>
          <w:sz w:val="22"/>
          <w:szCs w:val="22"/>
        </w:rPr>
        <w:t>Carcinus maenas</w:t>
      </w:r>
      <w:r w:rsidRPr="00A235CB">
        <w:rPr>
          <w:rFonts w:asciiTheme="minorHAnsi" w:hAnsiTheme="minorHAnsi"/>
          <w:sz w:val="22"/>
          <w:szCs w:val="22"/>
        </w:rPr>
        <w:t xml:space="preserve">) in the Northwest Atlantic. </w:t>
      </w:r>
      <w:r w:rsidRPr="00A235CB">
        <w:rPr>
          <w:rFonts w:asciiTheme="minorHAnsi" w:hAnsiTheme="minorHAnsi"/>
          <w:i/>
          <w:sz w:val="22"/>
          <w:szCs w:val="22"/>
        </w:rPr>
        <w:t>Ecology and Evolution, 7</w:t>
      </w:r>
      <w:r w:rsidRPr="00A235CB">
        <w:rPr>
          <w:rFonts w:asciiTheme="minorHAnsi" w:hAnsiTheme="minorHAnsi"/>
          <w:sz w:val="22"/>
          <w:szCs w:val="22"/>
        </w:rPr>
        <w:t>(8), 2513-2524. doi:10.1002/ece3.2872</w:t>
      </w:r>
    </w:p>
    <w:p w14:paraId="76DBDBE7" w14:textId="77777777"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rPr>
        <w:t>Jeffery, N. W., DiBacco, C., Wringe, B. F., Stanley, R. R. E., Hamilton, L. C., Ravindran, P. N., &amp; Bradbury, I. R. (2017). Genomic evidence of hybridization between two independent invasions of European green crab (</w:t>
      </w:r>
      <w:r w:rsidRPr="00A235CB">
        <w:rPr>
          <w:rFonts w:asciiTheme="minorHAnsi" w:hAnsiTheme="minorHAnsi"/>
          <w:i/>
          <w:sz w:val="22"/>
          <w:szCs w:val="22"/>
        </w:rPr>
        <w:t>Carcinus maenas</w:t>
      </w:r>
      <w:r w:rsidRPr="00A235CB">
        <w:rPr>
          <w:rFonts w:asciiTheme="minorHAnsi" w:hAnsiTheme="minorHAnsi"/>
          <w:sz w:val="22"/>
          <w:szCs w:val="22"/>
        </w:rPr>
        <w:t xml:space="preserve">) in the Northwest Atlantic. </w:t>
      </w:r>
      <w:r w:rsidRPr="00A235CB">
        <w:rPr>
          <w:rFonts w:asciiTheme="minorHAnsi" w:hAnsiTheme="minorHAnsi"/>
          <w:i/>
          <w:sz w:val="22"/>
          <w:szCs w:val="22"/>
        </w:rPr>
        <w:t>Heredity, 119</w:t>
      </w:r>
      <w:r w:rsidRPr="00A235CB">
        <w:rPr>
          <w:rFonts w:asciiTheme="minorHAnsi" w:hAnsiTheme="minorHAnsi"/>
          <w:sz w:val="22"/>
          <w:szCs w:val="22"/>
        </w:rPr>
        <w:t>, 154-165. doi:10.1038/hdy.2017.22</w:t>
      </w:r>
    </w:p>
    <w:p w14:paraId="6B9028B2" w14:textId="77777777"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rPr>
        <w:t xml:space="preserve">Jombart, T., &amp; Ahmed, I. (2011). adegenet 1.3-1: new tools for the analysis of genome-wide SNP data. </w:t>
      </w:r>
      <w:r w:rsidRPr="00A235CB">
        <w:rPr>
          <w:rFonts w:asciiTheme="minorHAnsi" w:hAnsiTheme="minorHAnsi"/>
          <w:i/>
          <w:sz w:val="22"/>
          <w:szCs w:val="22"/>
        </w:rPr>
        <w:t>Bioinformatics, 27</w:t>
      </w:r>
      <w:r w:rsidRPr="00A235CB">
        <w:rPr>
          <w:rFonts w:asciiTheme="minorHAnsi" w:hAnsiTheme="minorHAnsi"/>
          <w:sz w:val="22"/>
          <w:szCs w:val="22"/>
        </w:rPr>
        <w:t>(21), 3070-3071. doi:10.1093/bioinformatics/btr521</w:t>
      </w:r>
    </w:p>
    <w:p w14:paraId="14763791" w14:textId="5731E1E0"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rPr>
        <w:t xml:space="preserve">Kamvar, Z. N., Tabima, J. F., &amp; Grünwald, N. J. (2014). Poppr: an R package for genetic analysis of populations with clonal, partially clonal, and/or sexual reproduction. </w:t>
      </w:r>
      <w:r w:rsidRPr="00A235CB">
        <w:rPr>
          <w:rFonts w:asciiTheme="minorHAnsi" w:hAnsiTheme="minorHAnsi"/>
          <w:i/>
          <w:sz w:val="22"/>
          <w:szCs w:val="22"/>
        </w:rPr>
        <w:t>PeerJ, 2</w:t>
      </w:r>
      <w:r w:rsidRPr="00A235CB">
        <w:rPr>
          <w:rFonts w:asciiTheme="minorHAnsi" w:hAnsiTheme="minorHAnsi"/>
          <w:sz w:val="22"/>
          <w:szCs w:val="22"/>
        </w:rPr>
        <w:t xml:space="preserve">, e281. </w:t>
      </w:r>
      <w:r w:rsidR="00A3704A" w:rsidRPr="00A235CB">
        <w:rPr>
          <w:rFonts w:asciiTheme="minorHAnsi" w:hAnsiTheme="minorHAnsi"/>
          <w:sz w:val="22"/>
          <w:szCs w:val="22"/>
        </w:rPr>
        <w:t>doi: 10.7717/peerj.281</w:t>
      </w:r>
    </w:p>
    <w:p w14:paraId="163E75BE" w14:textId="77777777"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rPr>
        <w:t xml:space="preserve">Krueger‐Hadfield, S. A., Kollars, N. M., Byers, J. E., Greig, T. W., Hammann, M., Murray, D. C., . . . Sotka, E. E. (2016). Invasion of novel habitats uncouples haplo‐diplontic life cycles. </w:t>
      </w:r>
      <w:r w:rsidRPr="00A235CB">
        <w:rPr>
          <w:rFonts w:asciiTheme="minorHAnsi" w:hAnsiTheme="minorHAnsi"/>
          <w:i/>
          <w:sz w:val="22"/>
          <w:szCs w:val="22"/>
        </w:rPr>
        <w:t>Molecular Ecology, 25</w:t>
      </w:r>
      <w:r w:rsidRPr="00A235CB">
        <w:rPr>
          <w:rFonts w:asciiTheme="minorHAnsi" w:hAnsiTheme="minorHAnsi"/>
          <w:sz w:val="22"/>
          <w:szCs w:val="22"/>
        </w:rPr>
        <w:t>(16), 3801-3816. doi:10.1111/mec.13718</w:t>
      </w:r>
    </w:p>
    <w:p w14:paraId="7537B91C" w14:textId="77777777" w:rsidR="00FD140A" w:rsidRPr="00A235CB" w:rsidRDefault="00FD140A" w:rsidP="00015C58">
      <w:pPr>
        <w:pStyle w:val="EndNoteBibliography"/>
        <w:spacing w:line="276" w:lineRule="auto"/>
        <w:ind w:left="426" w:hanging="426"/>
        <w:jc w:val="both"/>
        <w:rPr>
          <w:rFonts w:asciiTheme="minorHAnsi" w:hAnsiTheme="minorHAnsi"/>
          <w:sz w:val="22"/>
          <w:szCs w:val="22"/>
          <w:lang w:val="fr-FR"/>
        </w:rPr>
      </w:pPr>
      <w:r w:rsidRPr="006D429B">
        <w:rPr>
          <w:rFonts w:asciiTheme="minorHAnsi" w:hAnsiTheme="minorHAnsi"/>
          <w:sz w:val="22"/>
          <w:szCs w:val="22"/>
        </w:rPr>
        <w:t xml:space="preserve">Malausa, T., Gilles, A., MeglÉCz, E., Blanquart, H., Duthoy, S., Costedoat, C., . . . </w:t>
      </w:r>
      <w:r w:rsidRPr="00A235CB">
        <w:rPr>
          <w:rFonts w:asciiTheme="minorHAnsi" w:hAnsiTheme="minorHAnsi"/>
          <w:sz w:val="22"/>
          <w:szCs w:val="22"/>
        </w:rPr>
        <w:t xml:space="preserve">Martin, J.-F. (2011). High-throughput microsatellite isolation through 454 GS-FLX Titanium pyrosequencing of enriched DNA libraries. </w:t>
      </w:r>
      <w:r w:rsidRPr="00A235CB">
        <w:rPr>
          <w:rFonts w:asciiTheme="minorHAnsi" w:hAnsiTheme="minorHAnsi"/>
          <w:i/>
          <w:sz w:val="22"/>
          <w:szCs w:val="22"/>
          <w:lang w:val="fr-FR"/>
        </w:rPr>
        <w:t>Molecular Ecology Resources, 11</w:t>
      </w:r>
      <w:r w:rsidRPr="00A235CB">
        <w:rPr>
          <w:rFonts w:asciiTheme="minorHAnsi" w:hAnsiTheme="minorHAnsi"/>
          <w:sz w:val="22"/>
          <w:szCs w:val="22"/>
          <w:lang w:val="fr-FR"/>
        </w:rPr>
        <w:t>(4), 638-644. doi:10.1111/j.1755-0998.2011.02992.x</w:t>
      </w:r>
    </w:p>
    <w:p w14:paraId="75C56520" w14:textId="3028C550"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lang w:val="fr-FR"/>
        </w:rPr>
        <w:t xml:space="preserve">Martel, C., Viard, F., Bourguet, D., &amp; Garcia-Meunier, P. (2004). </w:t>
      </w:r>
      <w:r w:rsidRPr="00A235CB">
        <w:rPr>
          <w:rFonts w:asciiTheme="minorHAnsi" w:hAnsiTheme="minorHAnsi"/>
          <w:sz w:val="22"/>
          <w:szCs w:val="22"/>
        </w:rPr>
        <w:t xml:space="preserve">Invasion of the marine gastropod </w:t>
      </w:r>
      <w:r w:rsidRPr="00A235CB">
        <w:rPr>
          <w:rFonts w:asciiTheme="minorHAnsi" w:hAnsiTheme="minorHAnsi"/>
          <w:i/>
          <w:sz w:val="22"/>
          <w:szCs w:val="22"/>
        </w:rPr>
        <w:t>Ocinebrellus inornatus</w:t>
      </w:r>
      <w:r w:rsidRPr="00A235CB">
        <w:rPr>
          <w:rFonts w:asciiTheme="minorHAnsi" w:hAnsiTheme="minorHAnsi"/>
          <w:sz w:val="22"/>
          <w:szCs w:val="22"/>
        </w:rPr>
        <w:t xml:space="preserve"> on the French Atlantic Coast. I- Scenario for the source of introduction. </w:t>
      </w:r>
      <w:r w:rsidRPr="00A235CB">
        <w:rPr>
          <w:rFonts w:asciiTheme="minorHAnsi" w:hAnsiTheme="minorHAnsi"/>
          <w:i/>
          <w:sz w:val="22"/>
          <w:szCs w:val="22"/>
        </w:rPr>
        <w:t>Journal of Experimental Marine Biology and Ecology, 305</w:t>
      </w:r>
      <w:r w:rsidRPr="00A235CB">
        <w:rPr>
          <w:rFonts w:asciiTheme="minorHAnsi" w:hAnsiTheme="minorHAnsi"/>
          <w:sz w:val="22"/>
          <w:szCs w:val="22"/>
        </w:rPr>
        <w:t xml:space="preserve">, 155-170. </w:t>
      </w:r>
      <w:r w:rsidR="00A3704A" w:rsidRPr="00A235CB">
        <w:rPr>
          <w:rFonts w:asciiTheme="minorHAnsi" w:hAnsiTheme="minorHAnsi"/>
          <w:sz w:val="22"/>
          <w:szCs w:val="22"/>
        </w:rPr>
        <w:t>doi: 10.1016/j.jembe.2003.11.011</w:t>
      </w:r>
    </w:p>
    <w:p w14:paraId="30C56381" w14:textId="108CA347" w:rsidR="00FD140A" w:rsidRPr="00D13CC5" w:rsidRDefault="00FD140A" w:rsidP="00015C58">
      <w:pPr>
        <w:pStyle w:val="EndNoteBibliography"/>
        <w:spacing w:line="276" w:lineRule="auto"/>
        <w:ind w:left="426" w:hanging="426"/>
        <w:jc w:val="both"/>
        <w:rPr>
          <w:rFonts w:asciiTheme="minorHAnsi" w:hAnsiTheme="minorHAnsi"/>
          <w:sz w:val="22"/>
          <w:szCs w:val="22"/>
          <w:lang w:val="pt-PT"/>
        </w:rPr>
      </w:pPr>
      <w:r w:rsidRPr="00D13CC5">
        <w:rPr>
          <w:rFonts w:asciiTheme="minorHAnsi" w:hAnsiTheme="minorHAnsi"/>
          <w:sz w:val="22"/>
          <w:szCs w:val="22"/>
          <w:lang w:val="pt-PT"/>
        </w:rPr>
        <w:t xml:space="preserve">Mastretta‐Yanes, A., Arrigo, N., Alvarez, N., Jorgensen, T. H., Piñero, D., &amp; Emerson, B. (2015). </w:t>
      </w:r>
      <w:r w:rsidRPr="00A235CB">
        <w:rPr>
          <w:rFonts w:asciiTheme="minorHAnsi" w:hAnsiTheme="minorHAnsi"/>
          <w:sz w:val="22"/>
          <w:szCs w:val="22"/>
        </w:rPr>
        <w:t xml:space="preserve">Restriction site‐associated DNA sequencing, genotyping error estimation and de novo assembly </w:t>
      </w:r>
      <w:r w:rsidRPr="00A235CB">
        <w:rPr>
          <w:rFonts w:asciiTheme="minorHAnsi" w:hAnsiTheme="minorHAnsi"/>
          <w:sz w:val="22"/>
          <w:szCs w:val="22"/>
        </w:rPr>
        <w:lastRenderedPageBreak/>
        <w:t xml:space="preserve">optimization for population genetic inference. </w:t>
      </w:r>
      <w:r w:rsidRPr="00D13CC5">
        <w:rPr>
          <w:rFonts w:asciiTheme="minorHAnsi" w:hAnsiTheme="minorHAnsi"/>
          <w:i/>
          <w:sz w:val="22"/>
          <w:szCs w:val="22"/>
          <w:lang w:val="pt-PT"/>
        </w:rPr>
        <w:t>Molecular Ecology Resources, 15</w:t>
      </w:r>
      <w:r w:rsidRPr="00D13CC5">
        <w:rPr>
          <w:rFonts w:asciiTheme="minorHAnsi" w:hAnsiTheme="minorHAnsi"/>
          <w:sz w:val="22"/>
          <w:szCs w:val="22"/>
          <w:lang w:val="pt-PT"/>
        </w:rPr>
        <w:t xml:space="preserve">(1), 28-41. </w:t>
      </w:r>
      <w:r w:rsidR="00A3704A" w:rsidRPr="00D13CC5">
        <w:rPr>
          <w:rFonts w:asciiTheme="minorHAnsi" w:hAnsiTheme="minorHAnsi"/>
          <w:sz w:val="22"/>
          <w:szCs w:val="22"/>
          <w:lang w:val="pt-PT"/>
        </w:rPr>
        <w:t>doi:10.1111/1755-0998.12291</w:t>
      </w:r>
    </w:p>
    <w:p w14:paraId="1F870E7A" w14:textId="63C1CB37"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D13CC5">
        <w:rPr>
          <w:rFonts w:asciiTheme="minorHAnsi" w:hAnsiTheme="minorHAnsi"/>
          <w:sz w:val="22"/>
          <w:szCs w:val="22"/>
          <w:lang w:val="pt-PT"/>
        </w:rPr>
        <w:t xml:space="preserve">Mauger, S., Couceiro, L., &amp; Valero, M. (2012). </w:t>
      </w:r>
      <w:r w:rsidRPr="00A235CB">
        <w:rPr>
          <w:rFonts w:asciiTheme="minorHAnsi" w:hAnsiTheme="minorHAnsi"/>
          <w:sz w:val="22"/>
          <w:szCs w:val="22"/>
        </w:rPr>
        <w:t xml:space="preserve">A simple and cost-effective method to synthesize an internal size standard amenable to use with a 5-dye system. </w:t>
      </w:r>
      <w:r w:rsidRPr="00A235CB">
        <w:rPr>
          <w:rFonts w:asciiTheme="minorHAnsi" w:hAnsiTheme="minorHAnsi"/>
          <w:i/>
          <w:sz w:val="22"/>
          <w:szCs w:val="22"/>
        </w:rPr>
        <w:t>Prime Research on Biotechnology, 2</w:t>
      </w:r>
      <w:r w:rsidRPr="00A235CB">
        <w:rPr>
          <w:rFonts w:asciiTheme="minorHAnsi" w:hAnsiTheme="minorHAnsi"/>
          <w:sz w:val="22"/>
          <w:szCs w:val="22"/>
        </w:rPr>
        <w:t xml:space="preserve">(3), 42-46. </w:t>
      </w:r>
    </w:p>
    <w:p w14:paraId="73733FF8" w14:textId="3E648F4E" w:rsidR="00BF7D19" w:rsidRPr="00D13CC5" w:rsidRDefault="00BF7D19" w:rsidP="00D13CC5">
      <w:pPr>
        <w:pStyle w:val="EndNoteBibliography"/>
        <w:spacing w:line="276" w:lineRule="auto"/>
        <w:ind w:left="426" w:hanging="426"/>
        <w:jc w:val="both"/>
        <w:rPr>
          <w:rFonts w:asciiTheme="minorHAnsi" w:hAnsiTheme="minorHAnsi"/>
          <w:sz w:val="22"/>
          <w:szCs w:val="22"/>
        </w:rPr>
      </w:pPr>
      <w:r w:rsidRPr="00D13CC5">
        <w:rPr>
          <w:rFonts w:asciiTheme="minorHAnsi" w:hAnsiTheme="minorHAnsi"/>
          <w:sz w:val="22"/>
          <w:szCs w:val="22"/>
          <w:lang w:val="en-GB"/>
        </w:rPr>
        <w:t xml:space="preserve">Milbau, A. &amp; Stout, J. C. (2008). </w:t>
      </w:r>
      <w:r w:rsidRPr="00D13CC5">
        <w:rPr>
          <w:rFonts w:asciiTheme="minorHAnsi" w:hAnsiTheme="minorHAnsi"/>
          <w:sz w:val="22"/>
          <w:szCs w:val="22"/>
        </w:rPr>
        <w:t xml:space="preserve">Factors associated with alien plants transitioning from casual, to naturalized, to invasive. </w:t>
      </w:r>
      <w:r w:rsidRPr="00D13CC5">
        <w:rPr>
          <w:rFonts w:asciiTheme="minorHAnsi" w:hAnsiTheme="minorHAnsi"/>
          <w:i/>
          <w:sz w:val="22"/>
          <w:szCs w:val="22"/>
        </w:rPr>
        <w:t>Conservation Biology</w:t>
      </w:r>
      <w:r w:rsidRPr="00D13CC5">
        <w:rPr>
          <w:rFonts w:asciiTheme="minorHAnsi" w:hAnsiTheme="minorHAnsi"/>
          <w:sz w:val="22"/>
          <w:szCs w:val="22"/>
        </w:rPr>
        <w:t xml:space="preserve"> </w:t>
      </w:r>
      <w:r w:rsidRPr="00D13CC5">
        <w:rPr>
          <w:rFonts w:asciiTheme="minorHAnsi" w:hAnsiTheme="minorHAnsi"/>
          <w:i/>
          <w:sz w:val="22"/>
          <w:szCs w:val="22"/>
        </w:rPr>
        <w:t>22</w:t>
      </w:r>
      <w:r w:rsidRPr="00D13CC5">
        <w:rPr>
          <w:rFonts w:asciiTheme="minorHAnsi" w:hAnsiTheme="minorHAnsi"/>
          <w:sz w:val="22"/>
          <w:szCs w:val="22"/>
        </w:rPr>
        <w:t>(2): 308-317.</w:t>
      </w:r>
    </w:p>
    <w:p w14:paraId="1B432428" w14:textId="6DEB1791"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rPr>
        <w:t xml:space="preserve">Molnar, J. L., Gamboa, R. L., Revenga, C., &amp; Spalding, M. D. (2008). Assessing the global threat of invasive species to marine biodiversity. </w:t>
      </w:r>
      <w:r w:rsidRPr="00A235CB">
        <w:rPr>
          <w:rFonts w:asciiTheme="minorHAnsi" w:hAnsiTheme="minorHAnsi"/>
          <w:i/>
          <w:sz w:val="22"/>
          <w:szCs w:val="22"/>
        </w:rPr>
        <w:t>Frontiers in Ecology and the Environment, 6</w:t>
      </w:r>
      <w:r w:rsidRPr="00A235CB">
        <w:rPr>
          <w:rFonts w:asciiTheme="minorHAnsi" w:hAnsiTheme="minorHAnsi"/>
          <w:sz w:val="22"/>
          <w:szCs w:val="22"/>
        </w:rPr>
        <w:t>(9), 485-492. doi:10.1890/070064.</w:t>
      </w:r>
    </w:p>
    <w:p w14:paraId="79CED118" w14:textId="75913BD1" w:rsidR="00FD140A" w:rsidRPr="00D13CC5" w:rsidRDefault="00FD140A" w:rsidP="00A235CB">
      <w:pPr>
        <w:widowControl/>
        <w:ind w:left="426" w:hanging="426"/>
        <w:rPr>
          <w:lang w:val="pt-PT"/>
        </w:rPr>
      </w:pPr>
      <w:r w:rsidRPr="00A235CB">
        <w:t xml:space="preserve">Möst, M., Oexle, S., Marková, S., Aidukaite, D., Baumgartner, L., Stich, H. B., . . . Spaak, P. (2015). Population genetic dynamics of an invasion reconstructed from the sediment egg bank. </w:t>
      </w:r>
      <w:r w:rsidRPr="00D13CC5">
        <w:rPr>
          <w:i/>
          <w:lang w:val="pt-PT"/>
        </w:rPr>
        <w:t>Molecular Ecology, 24</w:t>
      </w:r>
      <w:r w:rsidRPr="00D13CC5">
        <w:rPr>
          <w:lang w:val="pt-PT"/>
        </w:rPr>
        <w:t xml:space="preserve">(16), 4074-4093. </w:t>
      </w:r>
      <w:r w:rsidR="00A3704A" w:rsidRPr="00D13CC5">
        <w:rPr>
          <w:lang w:val="pt-PT"/>
        </w:rPr>
        <w:t>doi: 10.1111/mec.13298</w:t>
      </w:r>
    </w:p>
    <w:p w14:paraId="0E387943" w14:textId="77777777" w:rsidR="00FD140A" w:rsidRPr="00D13CC5" w:rsidRDefault="00FD140A" w:rsidP="00015C58">
      <w:pPr>
        <w:pStyle w:val="EndNoteBibliography"/>
        <w:spacing w:line="276" w:lineRule="auto"/>
        <w:ind w:left="426" w:hanging="426"/>
        <w:jc w:val="both"/>
        <w:rPr>
          <w:rFonts w:asciiTheme="minorHAnsi" w:hAnsiTheme="minorHAnsi"/>
          <w:sz w:val="22"/>
          <w:szCs w:val="22"/>
          <w:lang w:val="pt-PT"/>
        </w:rPr>
      </w:pPr>
      <w:r w:rsidRPr="00D13CC5">
        <w:rPr>
          <w:rFonts w:asciiTheme="minorHAnsi" w:hAnsiTheme="minorHAnsi"/>
          <w:sz w:val="22"/>
          <w:szCs w:val="22"/>
          <w:lang w:val="pt-PT"/>
        </w:rPr>
        <w:t xml:space="preserve">Nei, M., Maruyama, T., &amp; Chakraborty, R. (1975). </w:t>
      </w:r>
      <w:r w:rsidRPr="00A235CB">
        <w:rPr>
          <w:rFonts w:asciiTheme="minorHAnsi" w:hAnsiTheme="minorHAnsi"/>
          <w:sz w:val="22"/>
          <w:szCs w:val="22"/>
        </w:rPr>
        <w:t xml:space="preserve">The bottleneck effect and genetic variability in populations. </w:t>
      </w:r>
      <w:r w:rsidRPr="00D13CC5">
        <w:rPr>
          <w:rFonts w:asciiTheme="minorHAnsi" w:hAnsiTheme="minorHAnsi"/>
          <w:i/>
          <w:sz w:val="22"/>
          <w:szCs w:val="22"/>
          <w:lang w:val="pt-PT"/>
        </w:rPr>
        <w:t>Evolution, 29</w:t>
      </w:r>
      <w:r w:rsidRPr="00D13CC5">
        <w:rPr>
          <w:rFonts w:asciiTheme="minorHAnsi" w:hAnsiTheme="minorHAnsi"/>
          <w:sz w:val="22"/>
          <w:szCs w:val="22"/>
          <w:lang w:val="pt-PT"/>
        </w:rPr>
        <w:t xml:space="preserve">, 1-10. </w:t>
      </w:r>
    </w:p>
    <w:p w14:paraId="2790B66A" w14:textId="77777777"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D13CC5">
        <w:rPr>
          <w:rFonts w:asciiTheme="minorHAnsi" w:hAnsiTheme="minorHAnsi"/>
          <w:sz w:val="22"/>
          <w:szCs w:val="22"/>
          <w:lang w:val="pt-PT"/>
        </w:rPr>
        <w:t xml:space="preserve">Nunes, A. L., Katsanevakis, S., Zenetos, A., &amp; Cardoso, A. C. (2014). </w:t>
      </w:r>
      <w:r w:rsidRPr="00A235CB">
        <w:rPr>
          <w:rFonts w:asciiTheme="minorHAnsi" w:hAnsiTheme="minorHAnsi"/>
          <w:sz w:val="22"/>
          <w:szCs w:val="22"/>
        </w:rPr>
        <w:t xml:space="preserve">Gateways to alien invasions in the European seas. </w:t>
      </w:r>
      <w:r w:rsidRPr="00A235CB">
        <w:rPr>
          <w:rFonts w:asciiTheme="minorHAnsi" w:hAnsiTheme="minorHAnsi"/>
          <w:i/>
          <w:sz w:val="22"/>
          <w:szCs w:val="22"/>
        </w:rPr>
        <w:t>Aquatic Invasions, 9</w:t>
      </w:r>
      <w:r w:rsidRPr="00A235CB">
        <w:rPr>
          <w:rFonts w:asciiTheme="minorHAnsi" w:hAnsiTheme="minorHAnsi"/>
          <w:sz w:val="22"/>
          <w:szCs w:val="22"/>
        </w:rPr>
        <w:t>(2), 133-144. doi:10.3391/ai.2014.9.2.02</w:t>
      </w:r>
    </w:p>
    <w:p w14:paraId="73333FF0" w14:textId="74DB7ED1" w:rsidR="00FF05BB" w:rsidRDefault="00FF05BB" w:rsidP="00015C58">
      <w:pPr>
        <w:pStyle w:val="EndNoteBibliography"/>
        <w:spacing w:line="276" w:lineRule="auto"/>
        <w:ind w:left="426" w:hanging="426"/>
        <w:jc w:val="both"/>
        <w:rPr>
          <w:rFonts w:asciiTheme="minorHAnsi" w:hAnsiTheme="minorHAnsi"/>
          <w:sz w:val="22"/>
          <w:szCs w:val="22"/>
        </w:rPr>
      </w:pPr>
      <w:r w:rsidRPr="00FF05BB">
        <w:rPr>
          <w:rFonts w:asciiTheme="minorHAnsi" w:hAnsiTheme="minorHAnsi"/>
          <w:sz w:val="22"/>
          <w:szCs w:val="22"/>
        </w:rPr>
        <w:t xml:space="preserve">O'Leary, S.J., Puritz, J.B., Willis, S.C., Hollenbeck, C.M., and Portnoy, D.S. (2018). These aren’t the loci you’e looking for: Principles of effective SNP filtering for molecular ecologists. </w:t>
      </w:r>
      <w:r w:rsidRPr="00FF05BB">
        <w:rPr>
          <w:rFonts w:asciiTheme="minorHAnsi" w:hAnsiTheme="minorHAnsi"/>
          <w:i/>
          <w:sz w:val="22"/>
          <w:szCs w:val="22"/>
        </w:rPr>
        <w:t>Molecular Ecology</w:t>
      </w:r>
      <w:r>
        <w:rPr>
          <w:rFonts w:asciiTheme="minorHAnsi" w:hAnsiTheme="minorHAnsi"/>
          <w:sz w:val="22"/>
          <w:szCs w:val="22"/>
        </w:rPr>
        <w:t xml:space="preserve">, </w:t>
      </w:r>
      <w:r w:rsidRPr="00FF05BB">
        <w:rPr>
          <w:rFonts w:asciiTheme="minorHAnsi" w:hAnsiTheme="minorHAnsi"/>
          <w:i/>
          <w:sz w:val="22"/>
          <w:szCs w:val="22"/>
        </w:rPr>
        <w:t>27</w:t>
      </w:r>
      <w:r w:rsidRPr="00FF05BB">
        <w:rPr>
          <w:rFonts w:asciiTheme="minorHAnsi" w:hAnsiTheme="minorHAnsi"/>
          <w:sz w:val="22"/>
          <w:szCs w:val="22"/>
        </w:rPr>
        <w:t>(16), 3193-3206. doi: 10.1111/mec.14792.</w:t>
      </w:r>
    </w:p>
    <w:p w14:paraId="75B2C763" w14:textId="5C1D82E4"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rPr>
        <w:t xml:space="preserve">Obbard, D. J., Harris, S. A., &amp; Pannell, J. R. (2006). Sexual systems and population genetic structure in an annual plant: testing the metapopulation model. </w:t>
      </w:r>
      <w:r w:rsidRPr="00A235CB">
        <w:rPr>
          <w:rFonts w:asciiTheme="minorHAnsi" w:hAnsiTheme="minorHAnsi"/>
          <w:i/>
          <w:sz w:val="22"/>
          <w:szCs w:val="22"/>
        </w:rPr>
        <w:t>The American Naturalist, 167</w:t>
      </w:r>
      <w:r w:rsidRPr="00A235CB">
        <w:rPr>
          <w:rFonts w:asciiTheme="minorHAnsi" w:hAnsiTheme="minorHAnsi"/>
          <w:sz w:val="22"/>
          <w:szCs w:val="22"/>
        </w:rPr>
        <w:t>(3), 354-366.</w:t>
      </w:r>
      <w:r w:rsidR="00A3704A" w:rsidRPr="00A235CB">
        <w:rPr>
          <w:rFonts w:asciiTheme="minorHAnsi" w:hAnsiTheme="minorHAnsi"/>
          <w:sz w:val="22"/>
          <w:szCs w:val="22"/>
        </w:rPr>
        <w:t xml:space="preserve"> doi: 10.1086/499546</w:t>
      </w:r>
      <w:r w:rsidRPr="00A235CB">
        <w:rPr>
          <w:rFonts w:asciiTheme="minorHAnsi" w:hAnsiTheme="minorHAnsi"/>
          <w:sz w:val="22"/>
          <w:szCs w:val="22"/>
        </w:rPr>
        <w:t xml:space="preserve"> </w:t>
      </w:r>
    </w:p>
    <w:p w14:paraId="66981AB9" w14:textId="33D691F3" w:rsidR="00FD140A" w:rsidRPr="00A235CB" w:rsidRDefault="00FD140A" w:rsidP="00A235CB">
      <w:pPr>
        <w:widowControl/>
        <w:ind w:left="426" w:hanging="426"/>
      </w:pPr>
      <w:r w:rsidRPr="00A235CB">
        <w:t xml:space="preserve">Pannell, J. R. (2015). Evolution of the mating system in colonizing plants. </w:t>
      </w:r>
      <w:r w:rsidRPr="00A235CB">
        <w:rPr>
          <w:i/>
        </w:rPr>
        <w:t>Molecular Ecology, 24</w:t>
      </w:r>
      <w:r w:rsidRPr="00A235CB">
        <w:t xml:space="preserve">(9), 2018-2037. </w:t>
      </w:r>
      <w:r w:rsidR="00A3704A" w:rsidRPr="00A235CB">
        <w:t>doi: 10.1111/mec.13087</w:t>
      </w:r>
    </w:p>
    <w:p w14:paraId="74460B7D" w14:textId="77777777"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rPr>
        <w:t xml:space="preserve">Pannell, J. R., Auld, J. R., Brandvain, Y., Burd, M., Busch, J. W., Cheptou, P. O., . . . Winn, A. A. (2015). The scope of Baker's law. </w:t>
      </w:r>
      <w:r w:rsidRPr="00A235CB">
        <w:rPr>
          <w:rFonts w:asciiTheme="minorHAnsi" w:hAnsiTheme="minorHAnsi"/>
          <w:i/>
          <w:sz w:val="22"/>
          <w:szCs w:val="22"/>
        </w:rPr>
        <w:t>New Phytologist, 208</w:t>
      </w:r>
      <w:r w:rsidRPr="00A235CB">
        <w:rPr>
          <w:rFonts w:asciiTheme="minorHAnsi" w:hAnsiTheme="minorHAnsi"/>
          <w:sz w:val="22"/>
          <w:szCs w:val="22"/>
        </w:rPr>
        <w:t>(3), 656-667. doi:10.1111/nph.13539</w:t>
      </w:r>
    </w:p>
    <w:p w14:paraId="3E33A3E9" w14:textId="77777777" w:rsidR="00FD140A" w:rsidRPr="00A235CB" w:rsidRDefault="00FD140A" w:rsidP="00015C58">
      <w:pPr>
        <w:pStyle w:val="EndNoteBibliography"/>
        <w:spacing w:line="276" w:lineRule="auto"/>
        <w:ind w:left="426" w:hanging="426"/>
        <w:jc w:val="both"/>
        <w:rPr>
          <w:rFonts w:asciiTheme="minorHAnsi" w:hAnsiTheme="minorHAnsi"/>
          <w:sz w:val="22"/>
          <w:szCs w:val="22"/>
          <w:lang w:val="fr-FR"/>
        </w:rPr>
      </w:pPr>
      <w:r w:rsidRPr="00A235CB">
        <w:rPr>
          <w:rFonts w:asciiTheme="minorHAnsi" w:hAnsiTheme="minorHAnsi"/>
          <w:sz w:val="22"/>
          <w:szCs w:val="22"/>
        </w:rPr>
        <w:t xml:space="preserve">Pannell, J. R., &amp; Barrett, S. C. (1998). Baker's law revisited: reproductive assurance in a metapopulation. </w:t>
      </w:r>
      <w:r w:rsidRPr="00A235CB">
        <w:rPr>
          <w:rFonts w:asciiTheme="minorHAnsi" w:hAnsiTheme="minorHAnsi"/>
          <w:i/>
          <w:sz w:val="22"/>
          <w:szCs w:val="22"/>
          <w:lang w:val="fr-FR"/>
        </w:rPr>
        <w:t>Evolution, 52</w:t>
      </w:r>
      <w:r w:rsidRPr="00A235CB">
        <w:rPr>
          <w:rFonts w:asciiTheme="minorHAnsi" w:hAnsiTheme="minorHAnsi"/>
          <w:sz w:val="22"/>
          <w:szCs w:val="22"/>
          <w:lang w:val="fr-FR"/>
        </w:rPr>
        <w:t xml:space="preserve">(3), 657-668. </w:t>
      </w:r>
    </w:p>
    <w:p w14:paraId="5E23F1E4" w14:textId="27CCBBD5"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lang w:val="fr-FR"/>
        </w:rPr>
        <w:t xml:space="preserve">Pante, E., Pascal, P. Y., Becquet, V., Viricel, A., Simon‐Bouhet, B., &amp; Garcia, P. (2015). </w:t>
      </w:r>
      <w:r w:rsidRPr="00A235CB">
        <w:rPr>
          <w:rFonts w:asciiTheme="minorHAnsi" w:hAnsiTheme="minorHAnsi"/>
          <w:sz w:val="22"/>
          <w:szCs w:val="22"/>
        </w:rPr>
        <w:t xml:space="preserve">Evaluating the genetic effects of the invasive </w:t>
      </w:r>
      <w:r w:rsidRPr="00A235CB">
        <w:rPr>
          <w:rFonts w:asciiTheme="minorHAnsi" w:hAnsiTheme="minorHAnsi"/>
          <w:i/>
          <w:sz w:val="22"/>
          <w:szCs w:val="22"/>
        </w:rPr>
        <w:t>Ocenebra inornata</w:t>
      </w:r>
      <w:r w:rsidRPr="00A235CB">
        <w:rPr>
          <w:rFonts w:asciiTheme="minorHAnsi" w:hAnsiTheme="minorHAnsi"/>
          <w:sz w:val="22"/>
          <w:szCs w:val="22"/>
        </w:rPr>
        <w:t xml:space="preserve"> on the native oyster drill </w:t>
      </w:r>
      <w:r w:rsidRPr="00A235CB">
        <w:rPr>
          <w:rFonts w:asciiTheme="minorHAnsi" w:hAnsiTheme="minorHAnsi"/>
          <w:i/>
          <w:sz w:val="22"/>
          <w:szCs w:val="22"/>
        </w:rPr>
        <w:t>Ocenebra erinacea</w:t>
      </w:r>
      <w:r w:rsidRPr="00A235CB">
        <w:rPr>
          <w:rFonts w:asciiTheme="minorHAnsi" w:hAnsiTheme="minorHAnsi"/>
          <w:sz w:val="22"/>
          <w:szCs w:val="22"/>
        </w:rPr>
        <w:t xml:space="preserve">. </w:t>
      </w:r>
      <w:r w:rsidRPr="00A235CB">
        <w:rPr>
          <w:rFonts w:asciiTheme="minorHAnsi" w:hAnsiTheme="minorHAnsi"/>
          <w:i/>
          <w:sz w:val="22"/>
          <w:szCs w:val="22"/>
        </w:rPr>
        <w:t>Marine Ecology, 36</w:t>
      </w:r>
      <w:r w:rsidRPr="00A235CB">
        <w:rPr>
          <w:rFonts w:asciiTheme="minorHAnsi" w:hAnsiTheme="minorHAnsi"/>
          <w:sz w:val="22"/>
          <w:szCs w:val="22"/>
        </w:rPr>
        <w:t xml:space="preserve">(4), 1118-1128. </w:t>
      </w:r>
      <w:r w:rsidR="00A3704A" w:rsidRPr="00A235CB">
        <w:rPr>
          <w:rFonts w:asciiTheme="minorHAnsi" w:hAnsiTheme="minorHAnsi"/>
          <w:sz w:val="22"/>
          <w:szCs w:val="22"/>
        </w:rPr>
        <w:t>doi: 10.1111/maec.12208</w:t>
      </w:r>
    </w:p>
    <w:p w14:paraId="59EBA0C1" w14:textId="417A69DD" w:rsidR="00BC540F" w:rsidRDefault="00BC540F" w:rsidP="00015C58">
      <w:pPr>
        <w:pStyle w:val="EndNoteBibliography"/>
        <w:spacing w:line="276" w:lineRule="auto"/>
        <w:ind w:left="426" w:hanging="426"/>
        <w:jc w:val="both"/>
        <w:rPr>
          <w:rFonts w:asciiTheme="minorHAnsi" w:hAnsiTheme="minorHAnsi"/>
          <w:sz w:val="22"/>
          <w:szCs w:val="22"/>
        </w:rPr>
      </w:pPr>
      <w:r w:rsidRPr="00BC540F">
        <w:rPr>
          <w:rFonts w:asciiTheme="minorHAnsi" w:hAnsiTheme="minorHAnsi"/>
          <w:sz w:val="22"/>
          <w:szCs w:val="22"/>
        </w:rPr>
        <w:t xml:space="preserve">Paris, J.R., Stevens, J.R., </w:t>
      </w:r>
      <w:r>
        <w:rPr>
          <w:rFonts w:asciiTheme="minorHAnsi" w:hAnsiTheme="minorHAnsi"/>
          <w:sz w:val="22"/>
          <w:szCs w:val="22"/>
        </w:rPr>
        <w:t>&amp;</w:t>
      </w:r>
      <w:r w:rsidRPr="00BC540F">
        <w:rPr>
          <w:rFonts w:asciiTheme="minorHAnsi" w:hAnsiTheme="minorHAnsi"/>
          <w:sz w:val="22"/>
          <w:szCs w:val="22"/>
        </w:rPr>
        <w:t xml:space="preserve"> Catchen, J.M. (2017). Lost in parameter space: a road map for stacks. </w:t>
      </w:r>
      <w:r w:rsidR="00FF05BB" w:rsidRPr="00FF05BB">
        <w:rPr>
          <w:rFonts w:asciiTheme="minorHAnsi" w:hAnsiTheme="minorHAnsi"/>
          <w:i/>
          <w:sz w:val="22"/>
          <w:szCs w:val="22"/>
        </w:rPr>
        <w:t>Methods in Ecology and Evolution</w:t>
      </w:r>
      <w:r w:rsidR="00FF05BB">
        <w:rPr>
          <w:rFonts w:asciiTheme="minorHAnsi" w:hAnsiTheme="minorHAnsi"/>
          <w:sz w:val="22"/>
          <w:szCs w:val="22"/>
        </w:rPr>
        <w:t xml:space="preserve">, </w:t>
      </w:r>
      <w:r w:rsidRPr="00FF05BB">
        <w:rPr>
          <w:rFonts w:asciiTheme="minorHAnsi" w:hAnsiTheme="minorHAnsi"/>
          <w:i/>
          <w:sz w:val="22"/>
          <w:szCs w:val="22"/>
        </w:rPr>
        <w:t>8</w:t>
      </w:r>
      <w:r w:rsidRPr="00BC540F">
        <w:rPr>
          <w:rFonts w:asciiTheme="minorHAnsi" w:hAnsiTheme="minorHAnsi"/>
          <w:sz w:val="22"/>
          <w:szCs w:val="22"/>
        </w:rPr>
        <w:t>(10), 1360-1373. doi: 10.1111/2041-210x.12775.</w:t>
      </w:r>
    </w:p>
    <w:p w14:paraId="2403A646" w14:textId="34025E62"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rPr>
        <w:t xml:space="preserve">Pearson, D. E., Ortega, Y. K., Eren, Ö., &amp; Hierro, J. L. (2018). Community assembly theory as a framework for biological invasions. </w:t>
      </w:r>
      <w:r w:rsidRPr="00A235CB">
        <w:rPr>
          <w:rFonts w:asciiTheme="minorHAnsi" w:hAnsiTheme="minorHAnsi"/>
          <w:i/>
          <w:sz w:val="22"/>
          <w:szCs w:val="22"/>
        </w:rPr>
        <w:t>Trends in Ecology &amp; Evolution, 33</w:t>
      </w:r>
      <w:r w:rsidRPr="00A235CB">
        <w:rPr>
          <w:rFonts w:asciiTheme="minorHAnsi" w:hAnsiTheme="minorHAnsi"/>
          <w:sz w:val="22"/>
          <w:szCs w:val="22"/>
        </w:rPr>
        <w:t>(5), 313-325. doi:10.1016/j.tree.2018.03.002</w:t>
      </w:r>
    </w:p>
    <w:p w14:paraId="3B0E9B3B" w14:textId="77777777" w:rsidR="00FD140A" w:rsidRPr="00D13CC5" w:rsidRDefault="00FD140A" w:rsidP="00015C58">
      <w:pPr>
        <w:pStyle w:val="EndNoteBibliography"/>
        <w:spacing w:line="276" w:lineRule="auto"/>
        <w:ind w:left="426" w:hanging="426"/>
        <w:jc w:val="both"/>
        <w:rPr>
          <w:rFonts w:asciiTheme="minorHAnsi" w:hAnsiTheme="minorHAnsi"/>
          <w:sz w:val="22"/>
          <w:szCs w:val="22"/>
          <w:lang w:val="pt-PT"/>
        </w:rPr>
      </w:pPr>
      <w:r w:rsidRPr="00A235CB">
        <w:rPr>
          <w:rFonts w:asciiTheme="minorHAnsi" w:hAnsiTheme="minorHAnsi"/>
          <w:sz w:val="22"/>
          <w:szCs w:val="22"/>
        </w:rPr>
        <w:t xml:space="preserve">Pigneur, L.-M., Etoundi, E., Aldridge, D. C., Marescaux, J., Yasuda, N., &amp; Van Doninck, K. (2014). Genetic uniformity and long-distance clonal dispersal in the invasive androgenetic </w:t>
      </w:r>
      <w:r w:rsidRPr="00A235CB">
        <w:rPr>
          <w:rFonts w:asciiTheme="minorHAnsi" w:hAnsiTheme="minorHAnsi"/>
          <w:i/>
          <w:sz w:val="22"/>
          <w:szCs w:val="22"/>
        </w:rPr>
        <w:t xml:space="preserve">Corbicula </w:t>
      </w:r>
      <w:r w:rsidRPr="00A235CB">
        <w:rPr>
          <w:rFonts w:asciiTheme="minorHAnsi" w:hAnsiTheme="minorHAnsi"/>
          <w:sz w:val="22"/>
          <w:szCs w:val="22"/>
        </w:rPr>
        <w:t xml:space="preserve">clams. </w:t>
      </w:r>
      <w:r w:rsidRPr="00D13CC5">
        <w:rPr>
          <w:rFonts w:asciiTheme="minorHAnsi" w:hAnsiTheme="minorHAnsi"/>
          <w:i/>
          <w:sz w:val="22"/>
          <w:szCs w:val="22"/>
          <w:lang w:val="pt-PT"/>
        </w:rPr>
        <w:t>Molecular Ecology, 23</w:t>
      </w:r>
      <w:r w:rsidRPr="00D13CC5">
        <w:rPr>
          <w:rFonts w:asciiTheme="minorHAnsi" w:hAnsiTheme="minorHAnsi"/>
          <w:sz w:val="22"/>
          <w:szCs w:val="22"/>
          <w:lang w:val="pt-PT"/>
        </w:rPr>
        <w:t>(20), 5102-5116. doi:10.1111/mec.12912</w:t>
      </w:r>
    </w:p>
    <w:p w14:paraId="3A65EB12" w14:textId="239ED9F6"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D13CC5">
        <w:rPr>
          <w:rFonts w:asciiTheme="minorHAnsi" w:hAnsiTheme="minorHAnsi"/>
          <w:sz w:val="22"/>
          <w:szCs w:val="22"/>
          <w:lang w:val="pt-PT"/>
        </w:rPr>
        <w:t xml:space="preserve">Piry, S., Alapetite, A., Cornuet, J.-M., Paetkau, D., Baudouin, L., &amp; Estoup, A. (2004). </w:t>
      </w:r>
      <w:r w:rsidRPr="00A235CB">
        <w:rPr>
          <w:rFonts w:asciiTheme="minorHAnsi" w:hAnsiTheme="minorHAnsi"/>
          <w:sz w:val="22"/>
          <w:szCs w:val="22"/>
        </w:rPr>
        <w:t xml:space="preserve">GeneClass2: a software for genetic assignment and first generation migrants detection. </w:t>
      </w:r>
      <w:r w:rsidRPr="00A235CB">
        <w:rPr>
          <w:rFonts w:asciiTheme="minorHAnsi" w:hAnsiTheme="minorHAnsi"/>
          <w:i/>
          <w:sz w:val="22"/>
          <w:szCs w:val="22"/>
        </w:rPr>
        <w:t>Journal of Heredity, 95</w:t>
      </w:r>
      <w:r w:rsidRPr="00A235CB">
        <w:rPr>
          <w:rFonts w:asciiTheme="minorHAnsi" w:hAnsiTheme="minorHAnsi"/>
          <w:sz w:val="22"/>
          <w:szCs w:val="22"/>
        </w:rPr>
        <w:t xml:space="preserve">(6), 536-539. </w:t>
      </w:r>
      <w:r w:rsidR="004B3601" w:rsidRPr="00A235CB">
        <w:rPr>
          <w:rFonts w:asciiTheme="minorHAnsi" w:hAnsiTheme="minorHAnsi"/>
          <w:sz w:val="22"/>
          <w:szCs w:val="22"/>
        </w:rPr>
        <w:t>doi:10.1093/jhered/esh074</w:t>
      </w:r>
    </w:p>
    <w:p w14:paraId="72F7D3B3" w14:textId="11356E86"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rPr>
        <w:t xml:space="preserve">Prentis, P. J., Wilson, J. R. U., Dormontt, E. E., Richardson, D. M., &amp; Lowe, A. J. (2008). Adaptive evolution in invasive species. </w:t>
      </w:r>
      <w:r w:rsidRPr="00A235CB">
        <w:rPr>
          <w:rFonts w:asciiTheme="minorHAnsi" w:hAnsiTheme="minorHAnsi"/>
          <w:i/>
          <w:sz w:val="22"/>
          <w:szCs w:val="22"/>
        </w:rPr>
        <w:t>Trends in Plant Science, 13</w:t>
      </w:r>
      <w:r w:rsidRPr="00A235CB">
        <w:rPr>
          <w:rFonts w:asciiTheme="minorHAnsi" w:hAnsiTheme="minorHAnsi"/>
          <w:sz w:val="22"/>
          <w:szCs w:val="22"/>
        </w:rPr>
        <w:t xml:space="preserve">(6), 288-294. </w:t>
      </w:r>
      <w:r w:rsidR="004B3601" w:rsidRPr="00A235CB">
        <w:rPr>
          <w:rFonts w:asciiTheme="minorHAnsi" w:hAnsiTheme="minorHAnsi"/>
          <w:sz w:val="22"/>
          <w:szCs w:val="22"/>
        </w:rPr>
        <w:t>doi: 10.1016/j.tplants.2008.03.004</w:t>
      </w:r>
    </w:p>
    <w:p w14:paraId="288162C7" w14:textId="430EDF90"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rPr>
        <w:lastRenderedPageBreak/>
        <w:t xml:space="preserve">Pritchard, J. K., Stephens, M., &amp; Donnelly, P. (2000). Inference of population structure using multilocus genotype data. </w:t>
      </w:r>
      <w:r w:rsidRPr="00A235CB">
        <w:rPr>
          <w:rFonts w:asciiTheme="minorHAnsi" w:hAnsiTheme="minorHAnsi"/>
          <w:i/>
          <w:sz w:val="22"/>
          <w:szCs w:val="22"/>
        </w:rPr>
        <w:t>Genetics, 155</w:t>
      </w:r>
      <w:r w:rsidRPr="00A235CB">
        <w:rPr>
          <w:rFonts w:asciiTheme="minorHAnsi" w:hAnsiTheme="minorHAnsi"/>
          <w:sz w:val="22"/>
          <w:szCs w:val="22"/>
        </w:rPr>
        <w:t xml:space="preserve">, 945-959. </w:t>
      </w:r>
    </w:p>
    <w:p w14:paraId="06B743BD" w14:textId="77777777"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rPr>
        <w:t xml:space="preserve">Provan, J., Booth, D., Todd, N. P., Beatty, G. E., &amp; Maggs, C. A. (2008). Tracking biological invasions in space and time: elucidating the invasive history of the green alga </w:t>
      </w:r>
      <w:r w:rsidRPr="00A235CB">
        <w:rPr>
          <w:rFonts w:asciiTheme="minorHAnsi" w:hAnsiTheme="minorHAnsi"/>
          <w:i/>
          <w:sz w:val="22"/>
          <w:szCs w:val="22"/>
        </w:rPr>
        <w:t xml:space="preserve">Codium fragile </w:t>
      </w:r>
      <w:r w:rsidRPr="00A235CB">
        <w:rPr>
          <w:rFonts w:asciiTheme="minorHAnsi" w:hAnsiTheme="minorHAnsi"/>
          <w:sz w:val="22"/>
          <w:szCs w:val="22"/>
        </w:rPr>
        <w:t xml:space="preserve">using old DNA. </w:t>
      </w:r>
      <w:r w:rsidRPr="00A235CB">
        <w:rPr>
          <w:rFonts w:asciiTheme="minorHAnsi" w:hAnsiTheme="minorHAnsi"/>
          <w:i/>
          <w:sz w:val="22"/>
          <w:szCs w:val="22"/>
        </w:rPr>
        <w:t>Diversity and Distributions, 14</w:t>
      </w:r>
      <w:r w:rsidRPr="00A235CB">
        <w:rPr>
          <w:rFonts w:asciiTheme="minorHAnsi" w:hAnsiTheme="minorHAnsi"/>
          <w:sz w:val="22"/>
          <w:szCs w:val="22"/>
        </w:rPr>
        <w:t>(2), 343-354. doi:10.1111/j.1472-4642.2007.00420.x</w:t>
      </w:r>
    </w:p>
    <w:p w14:paraId="3FAE5C2A" w14:textId="77777777" w:rsidR="00FD140A" w:rsidRPr="00A235CB" w:rsidRDefault="00FD140A" w:rsidP="00015C58">
      <w:pPr>
        <w:pStyle w:val="EndNoteBibliography"/>
        <w:spacing w:line="276" w:lineRule="auto"/>
        <w:ind w:left="426" w:hanging="426"/>
        <w:jc w:val="both"/>
        <w:rPr>
          <w:rFonts w:asciiTheme="minorHAnsi" w:hAnsiTheme="minorHAnsi"/>
          <w:sz w:val="22"/>
          <w:szCs w:val="22"/>
          <w:lang w:val="fr-FR"/>
        </w:rPr>
      </w:pPr>
      <w:r w:rsidRPr="00A235CB">
        <w:rPr>
          <w:rFonts w:asciiTheme="minorHAnsi" w:hAnsiTheme="minorHAnsi"/>
          <w:sz w:val="22"/>
          <w:szCs w:val="22"/>
        </w:rPr>
        <w:t xml:space="preserve">Rambuda, T. D., &amp; Johnson, S. D. (2004). Breeding systems of invasive alien plants in South Africa: does Baker's rule apply? </w:t>
      </w:r>
      <w:r w:rsidRPr="00A235CB">
        <w:rPr>
          <w:rFonts w:asciiTheme="minorHAnsi" w:hAnsiTheme="minorHAnsi"/>
          <w:i/>
          <w:sz w:val="22"/>
          <w:szCs w:val="22"/>
          <w:lang w:val="fr-FR"/>
        </w:rPr>
        <w:t>Diversity and Distributions, 10</w:t>
      </w:r>
      <w:r w:rsidRPr="00A235CB">
        <w:rPr>
          <w:rFonts w:asciiTheme="minorHAnsi" w:hAnsiTheme="minorHAnsi"/>
          <w:sz w:val="22"/>
          <w:szCs w:val="22"/>
          <w:lang w:val="fr-FR"/>
        </w:rPr>
        <w:t>(5‐6), 409-416. doi:10.1111/j.1366-9516.2004.00100.x</w:t>
      </w:r>
    </w:p>
    <w:p w14:paraId="1F127B12" w14:textId="77777777"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lang w:val="fr-FR"/>
        </w:rPr>
        <w:t xml:space="preserve">Riquet, F., Daguin-Thiébaut, C., Ballenghien, M., Bierne, N., &amp; Viard, F. (2013). </w:t>
      </w:r>
      <w:r w:rsidRPr="00A235CB">
        <w:rPr>
          <w:rFonts w:asciiTheme="minorHAnsi" w:hAnsiTheme="minorHAnsi"/>
          <w:sz w:val="22"/>
          <w:szCs w:val="22"/>
        </w:rPr>
        <w:t xml:space="preserve">Contrasting patterns of genome-wide polymorphism in the native and invasive range of the marine mollusc </w:t>
      </w:r>
      <w:r w:rsidRPr="00A235CB">
        <w:rPr>
          <w:rFonts w:asciiTheme="minorHAnsi" w:hAnsiTheme="minorHAnsi"/>
          <w:i/>
          <w:sz w:val="22"/>
          <w:szCs w:val="22"/>
        </w:rPr>
        <w:t>Crepidula fornicata</w:t>
      </w:r>
      <w:r w:rsidRPr="00A235CB">
        <w:rPr>
          <w:rFonts w:asciiTheme="minorHAnsi" w:hAnsiTheme="minorHAnsi"/>
          <w:sz w:val="22"/>
          <w:szCs w:val="22"/>
        </w:rPr>
        <w:t xml:space="preserve">. </w:t>
      </w:r>
      <w:r w:rsidRPr="00A235CB">
        <w:rPr>
          <w:rFonts w:asciiTheme="minorHAnsi" w:hAnsiTheme="minorHAnsi"/>
          <w:i/>
          <w:sz w:val="22"/>
          <w:szCs w:val="22"/>
        </w:rPr>
        <w:t>Molecular Ecology, 22</w:t>
      </w:r>
      <w:r w:rsidRPr="00A235CB">
        <w:rPr>
          <w:rFonts w:asciiTheme="minorHAnsi" w:hAnsiTheme="minorHAnsi"/>
          <w:sz w:val="22"/>
          <w:szCs w:val="22"/>
        </w:rPr>
        <w:t>(4), 1003-1018. doi:10.1111/mec.12161</w:t>
      </w:r>
    </w:p>
    <w:p w14:paraId="230823C7" w14:textId="77777777"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rPr>
        <w:t xml:space="preserve">Rius, M., &amp; Darling, J. A. (2014). How important is intraspecific genetic admixture to the success of colonising populations? </w:t>
      </w:r>
      <w:r w:rsidRPr="00A235CB">
        <w:rPr>
          <w:rFonts w:asciiTheme="minorHAnsi" w:hAnsiTheme="minorHAnsi"/>
          <w:i/>
          <w:sz w:val="22"/>
          <w:szCs w:val="22"/>
        </w:rPr>
        <w:t>Trends in Ecology &amp; Evolution, 29</w:t>
      </w:r>
      <w:r w:rsidRPr="00A235CB">
        <w:rPr>
          <w:rFonts w:asciiTheme="minorHAnsi" w:hAnsiTheme="minorHAnsi"/>
          <w:sz w:val="22"/>
          <w:szCs w:val="22"/>
        </w:rPr>
        <w:t>(4), 233-242. doi:10.1016/j.tree.2014.02.003</w:t>
      </w:r>
    </w:p>
    <w:p w14:paraId="0A5152A7" w14:textId="77777777"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rPr>
        <w:t xml:space="preserve">Rius, M., Turon, X., Bernard, G., Volckaert, F., &amp; Viard, F. (2015). Marine invasion genetics: from spatial and temporal patterns to evolutionary outcomes. </w:t>
      </w:r>
      <w:r w:rsidRPr="00A235CB">
        <w:rPr>
          <w:rFonts w:asciiTheme="minorHAnsi" w:hAnsiTheme="minorHAnsi"/>
          <w:i/>
          <w:sz w:val="22"/>
          <w:szCs w:val="22"/>
        </w:rPr>
        <w:t>Biological Invasions, 17</w:t>
      </w:r>
      <w:r w:rsidRPr="00A235CB">
        <w:rPr>
          <w:rFonts w:asciiTheme="minorHAnsi" w:hAnsiTheme="minorHAnsi"/>
          <w:sz w:val="22"/>
          <w:szCs w:val="22"/>
        </w:rPr>
        <w:t>(3), 869-885. doi:s10530-014-0792-0</w:t>
      </w:r>
    </w:p>
    <w:p w14:paraId="6CDC7D79" w14:textId="6617796C"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EF1BFF">
        <w:rPr>
          <w:rFonts w:asciiTheme="minorHAnsi" w:hAnsiTheme="minorHAnsi"/>
          <w:sz w:val="22"/>
          <w:szCs w:val="22"/>
        </w:rPr>
        <w:t xml:space="preserve">Roman, J., &amp; Darling, J. A. (2007). </w:t>
      </w:r>
      <w:r w:rsidRPr="00A235CB">
        <w:rPr>
          <w:rFonts w:asciiTheme="minorHAnsi" w:hAnsiTheme="minorHAnsi"/>
          <w:sz w:val="22"/>
          <w:szCs w:val="22"/>
        </w:rPr>
        <w:t xml:space="preserve">Paradox lost: genetic diversity and the success of aquatic invasions. </w:t>
      </w:r>
      <w:r w:rsidRPr="00A235CB">
        <w:rPr>
          <w:rFonts w:asciiTheme="minorHAnsi" w:hAnsiTheme="minorHAnsi"/>
          <w:i/>
          <w:sz w:val="22"/>
          <w:szCs w:val="22"/>
        </w:rPr>
        <w:t>Trends in Ecology &amp; Evolution, 22</w:t>
      </w:r>
      <w:r w:rsidRPr="00A235CB">
        <w:rPr>
          <w:rFonts w:asciiTheme="minorHAnsi" w:hAnsiTheme="minorHAnsi"/>
          <w:sz w:val="22"/>
          <w:szCs w:val="22"/>
        </w:rPr>
        <w:t xml:space="preserve">(9), 454-464. </w:t>
      </w:r>
      <w:r w:rsidR="001742B4" w:rsidRPr="00A235CB">
        <w:rPr>
          <w:rFonts w:asciiTheme="minorHAnsi" w:hAnsiTheme="minorHAnsi"/>
          <w:sz w:val="22"/>
          <w:szCs w:val="22"/>
        </w:rPr>
        <w:t>doi: 10.1016/j.tree.2007.07.002</w:t>
      </w:r>
    </w:p>
    <w:p w14:paraId="61C67C9F" w14:textId="1CB4EBAC"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rPr>
        <w:t xml:space="preserve">Rousset, F. (2008). Genepop'007: a complete re-implementation of the genepop software for Windows and Linux. </w:t>
      </w:r>
      <w:r w:rsidRPr="00A235CB">
        <w:rPr>
          <w:rFonts w:asciiTheme="minorHAnsi" w:hAnsiTheme="minorHAnsi"/>
          <w:i/>
          <w:sz w:val="22"/>
          <w:szCs w:val="22"/>
        </w:rPr>
        <w:t>Molecular Ecology Resources, 8</w:t>
      </w:r>
      <w:r w:rsidRPr="00A235CB">
        <w:rPr>
          <w:rFonts w:asciiTheme="minorHAnsi" w:hAnsiTheme="minorHAnsi"/>
          <w:sz w:val="22"/>
          <w:szCs w:val="22"/>
        </w:rPr>
        <w:t>(1), 103-106. doi:10.1111/j.1471-8286.2007.01931.x</w:t>
      </w:r>
    </w:p>
    <w:p w14:paraId="16A7CEBC" w14:textId="77777777"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rPr>
        <w:t xml:space="preserve">Saarman, N. P., &amp; Pogson, G. H. (2015). Introgression between invasive and native blue mussels (genus </w:t>
      </w:r>
      <w:r w:rsidRPr="00A235CB">
        <w:rPr>
          <w:rFonts w:asciiTheme="minorHAnsi" w:hAnsiTheme="minorHAnsi"/>
          <w:i/>
          <w:sz w:val="22"/>
          <w:szCs w:val="22"/>
        </w:rPr>
        <w:t>Mytilus</w:t>
      </w:r>
      <w:r w:rsidRPr="00A235CB">
        <w:rPr>
          <w:rFonts w:asciiTheme="minorHAnsi" w:hAnsiTheme="minorHAnsi"/>
          <w:sz w:val="22"/>
          <w:szCs w:val="22"/>
        </w:rPr>
        <w:t xml:space="preserve">) in the central California hybrid zone. </w:t>
      </w:r>
      <w:r w:rsidRPr="00A235CB">
        <w:rPr>
          <w:rFonts w:asciiTheme="minorHAnsi" w:hAnsiTheme="minorHAnsi"/>
          <w:i/>
          <w:sz w:val="22"/>
          <w:szCs w:val="22"/>
        </w:rPr>
        <w:t>Molecular Ecology, 24</w:t>
      </w:r>
      <w:r w:rsidRPr="00A235CB">
        <w:rPr>
          <w:rFonts w:asciiTheme="minorHAnsi" w:hAnsiTheme="minorHAnsi"/>
          <w:sz w:val="22"/>
          <w:szCs w:val="22"/>
        </w:rPr>
        <w:t>(18), 4723-4738. doi:10.1111/mec.13340</w:t>
      </w:r>
    </w:p>
    <w:p w14:paraId="3EB2B626" w14:textId="4F3C1098"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rPr>
        <w:t xml:space="preserve">Sabour, B., Reani, A., El Magouri, H., &amp; Haroun, R. (2013). </w:t>
      </w:r>
      <w:r w:rsidRPr="00A235CB">
        <w:rPr>
          <w:rFonts w:asciiTheme="minorHAnsi" w:hAnsiTheme="minorHAnsi"/>
          <w:i/>
          <w:sz w:val="22"/>
          <w:szCs w:val="22"/>
        </w:rPr>
        <w:t>Sargassum muticum</w:t>
      </w:r>
      <w:r w:rsidRPr="00A235CB">
        <w:rPr>
          <w:rFonts w:asciiTheme="minorHAnsi" w:hAnsiTheme="minorHAnsi"/>
          <w:sz w:val="22"/>
          <w:szCs w:val="22"/>
        </w:rPr>
        <w:t xml:space="preserve"> (Yendo) Fensholt (Fucales, Phaeophyta) in Morocco, an invasive marine species new to the Atlantic coast of Africa. </w:t>
      </w:r>
      <w:r w:rsidRPr="00A235CB">
        <w:rPr>
          <w:rFonts w:asciiTheme="minorHAnsi" w:hAnsiTheme="minorHAnsi"/>
          <w:i/>
          <w:sz w:val="22"/>
          <w:szCs w:val="22"/>
        </w:rPr>
        <w:t>Aquatic Invasions, 8</w:t>
      </w:r>
      <w:r w:rsidRPr="00A235CB">
        <w:rPr>
          <w:rFonts w:asciiTheme="minorHAnsi" w:hAnsiTheme="minorHAnsi"/>
          <w:sz w:val="22"/>
          <w:szCs w:val="22"/>
        </w:rPr>
        <w:t xml:space="preserve">(1), 97-102. </w:t>
      </w:r>
      <w:r w:rsidR="001742B4" w:rsidRPr="00A235CB">
        <w:rPr>
          <w:rFonts w:asciiTheme="minorHAnsi" w:hAnsiTheme="minorHAnsi"/>
          <w:sz w:val="22"/>
          <w:szCs w:val="22"/>
        </w:rPr>
        <w:t>doi: 10.3391/ai.2013.8.1.11</w:t>
      </w:r>
    </w:p>
    <w:p w14:paraId="69029DF4" w14:textId="77777777" w:rsidR="00FD140A" w:rsidRPr="006D429B" w:rsidRDefault="00FD140A" w:rsidP="00015C58">
      <w:pPr>
        <w:pStyle w:val="EndNoteBibliography"/>
        <w:spacing w:line="276" w:lineRule="auto"/>
        <w:ind w:left="426" w:hanging="426"/>
        <w:jc w:val="both"/>
        <w:rPr>
          <w:rFonts w:asciiTheme="minorHAnsi" w:hAnsiTheme="minorHAnsi"/>
          <w:sz w:val="22"/>
          <w:szCs w:val="22"/>
          <w:lang w:val="fr-FR"/>
        </w:rPr>
      </w:pPr>
      <w:r w:rsidRPr="00A235CB">
        <w:rPr>
          <w:rFonts w:asciiTheme="minorHAnsi" w:hAnsiTheme="minorHAnsi"/>
          <w:sz w:val="22"/>
          <w:szCs w:val="22"/>
        </w:rPr>
        <w:t xml:space="preserve">Seebens, H., Blackburn, T. M., Dyer, E. E., Genovesi, P., Hulme, P. E., Jeschke, J. M., . . . Essl, F. (2017). No saturation in the accumulation of alien species worldwide. </w:t>
      </w:r>
      <w:r w:rsidRPr="006D429B">
        <w:rPr>
          <w:rFonts w:asciiTheme="minorHAnsi" w:hAnsiTheme="minorHAnsi"/>
          <w:i/>
          <w:sz w:val="22"/>
          <w:szCs w:val="22"/>
          <w:lang w:val="fr-FR"/>
        </w:rPr>
        <w:t>Nature Communications, 8</w:t>
      </w:r>
      <w:r w:rsidRPr="006D429B">
        <w:rPr>
          <w:rFonts w:asciiTheme="minorHAnsi" w:hAnsiTheme="minorHAnsi"/>
          <w:sz w:val="22"/>
          <w:szCs w:val="22"/>
          <w:lang w:val="fr-FR"/>
        </w:rPr>
        <w:t>, 14435. doi:10.1038/ncomms14435</w:t>
      </w:r>
    </w:p>
    <w:p w14:paraId="247284CA" w14:textId="77777777"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6D429B">
        <w:rPr>
          <w:rFonts w:asciiTheme="minorHAnsi" w:hAnsiTheme="minorHAnsi"/>
          <w:sz w:val="22"/>
          <w:szCs w:val="22"/>
          <w:lang w:val="fr-FR"/>
        </w:rPr>
        <w:t xml:space="preserve">Stoffel, M. A., Esser, M., Kardos, M., Humble, E., Nichols, H., David, P., . . . </w:t>
      </w:r>
      <w:r w:rsidRPr="00A235CB">
        <w:rPr>
          <w:rFonts w:asciiTheme="minorHAnsi" w:hAnsiTheme="minorHAnsi"/>
          <w:sz w:val="22"/>
          <w:szCs w:val="22"/>
        </w:rPr>
        <w:t xml:space="preserve">Poisot, T. (2016). inbreedR: an R package for the analysis of inbreeding based on genetic markers. </w:t>
      </w:r>
      <w:r w:rsidRPr="00A235CB">
        <w:rPr>
          <w:rFonts w:asciiTheme="minorHAnsi" w:hAnsiTheme="minorHAnsi"/>
          <w:i/>
          <w:sz w:val="22"/>
          <w:szCs w:val="22"/>
        </w:rPr>
        <w:t>Methods in Ecology and Evolution, 7</w:t>
      </w:r>
      <w:r w:rsidRPr="00A235CB">
        <w:rPr>
          <w:rFonts w:asciiTheme="minorHAnsi" w:hAnsiTheme="minorHAnsi"/>
          <w:sz w:val="22"/>
          <w:szCs w:val="22"/>
        </w:rPr>
        <w:t>(11), 1331-1339. doi:10.1111/2041-210x.12588</w:t>
      </w:r>
    </w:p>
    <w:p w14:paraId="585D097B" w14:textId="0E5C03CE" w:rsidR="00FD140A" w:rsidRPr="00A235CB" w:rsidRDefault="00FD140A" w:rsidP="00A235CB">
      <w:pPr>
        <w:widowControl/>
        <w:autoSpaceDE w:val="0"/>
        <w:autoSpaceDN w:val="0"/>
        <w:adjustRightInd w:val="0"/>
        <w:ind w:left="426" w:hanging="426"/>
        <w:jc w:val="both"/>
      </w:pPr>
      <w:r w:rsidRPr="00A235CB">
        <w:t>Thomsen, M. S., Wernberg, T., South, P. M., &amp; Schiel, D. R. (2016). Non-native seaweeds drive changes in marine coastal communities around the world</w:t>
      </w:r>
      <w:r w:rsidR="009C188A" w:rsidRPr="00A235CB">
        <w:t>.</w:t>
      </w:r>
      <w:r w:rsidR="009C188A" w:rsidRPr="00A235CB">
        <w:rPr>
          <w:rFonts w:cs="Segoe UI"/>
        </w:rPr>
        <w:t xml:space="preserve"> In Z.-M. Hu &amp; C. Fraser (Eds.), </w:t>
      </w:r>
      <w:r w:rsidR="009C188A" w:rsidRPr="00A235CB">
        <w:rPr>
          <w:rFonts w:cs="Segoe UI"/>
          <w:i/>
          <w:iCs/>
        </w:rPr>
        <w:t>Seaweed Phylogeography: Adaptation and Evolution of Seaweeds under Environmental Change</w:t>
      </w:r>
      <w:r w:rsidR="009C188A" w:rsidRPr="00A235CB">
        <w:rPr>
          <w:rFonts w:cs="Segoe UI"/>
        </w:rPr>
        <w:t xml:space="preserve"> (pp. 147-185). Dordrecht: Springer Netherlands.</w:t>
      </w:r>
      <w:r w:rsidRPr="00A235CB">
        <w:t xml:space="preserve"> doi:10.1007/978-94-017-7534-2_6</w:t>
      </w:r>
    </w:p>
    <w:p w14:paraId="04419432" w14:textId="77777777"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rPr>
        <w:t xml:space="preserve">Viard, F., David, P., &amp; Darling, J. (2016). Marine invasions enter the genomic era: Three lessons from the past, and the way forward. </w:t>
      </w:r>
      <w:r w:rsidRPr="00A235CB">
        <w:rPr>
          <w:rFonts w:asciiTheme="minorHAnsi" w:hAnsiTheme="minorHAnsi"/>
          <w:i/>
          <w:sz w:val="22"/>
          <w:szCs w:val="22"/>
        </w:rPr>
        <w:t>Current Zoology, 62</w:t>
      </w:r>
      <w:r w:rsidRPr="00A235CB">
        <w:rPr>
          <w:rFonts w:asciiTheme="minorHAnsi" w:hAnsiTheme="minorHAnsi"/>
          <w:sz w:val="22"/>
          <w:szCs w:val="22"/>
        </w:rPr>
        <w:t>(6), 629-642. doi:10.1093/cz/zow053</w:t>
      </w:r>
    </w:p>
    <w:p w14:paraId="62DEF3D7" w14:textId="77777777"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rPr>
        <w:t xml:space="preserve">Viard, F., Justy, F., &amp; Jarne, P. (1997). The influence of self-fertilization and bottlenecks on the genetic structure of subdivided populations: a case study using microsatellite markers in the freshwater snail </w:t>
      </w:r>
      <w:r w:rsidRPr="00A235CB">
        <w:rPr>
          <w:rFonts w:asciiTheme="minorHAnsi" w:hAnsiTheme="minorHAnsi"/>
          <w:i/>
          <w:sz w:val="22"/>
          <w:szCs w:val="22"/>
        </w:rPr>
        <w:t>Bulinus truncatus</w:t>
      </w:r>
      <w:r w:rsidRPr="00A235CB">
        <w:rPr>
          <w:rFonts w:asciiTheme="minorHAnsi" w:hAnsiTheme="minorHAnsi"/>
          <w:sz w:val="22"/>
          <w:szCs w:val="22"/>
        </w:rPr>
        <w:t xml:space="preserve">. </w:t>
      </w:r>
      <w:r w:rsidRPr="00A235CB">
        <w:rPr>
          <w:rFonts w:asciiTheme="minorHAnsi" w:hAnsiTheme="minorHAnsi"/>
          <w:i/>
          <w:sz w:val="22"/>
          <w:szCs w:val="22"/>
        </w:rPr>
        <w:t>Evolution, 51</w:t>
      </w:r>
      <w:r w:rsidRPr="00A235CB">
        <w:rPr>
          <w:rFonts w:asciiTheme="minorHAnsi" w:hAnsiTheme="minorHAnsi"/>
          <w:sz w:val="22"/>
          <w:szCs w:val="22"/>
        </w:rPr>
        <w:t xml:space="preserve">(5), 1518-1528. </w:t>
      </w:r>
    </w:p>
    <w:p w14:paraId="1E3D695B" w14:textId="77777777"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rPr>
        <w:t xml:space="preserve">Weir, B. S., &amp; Cockerham, C. C. (1984). Estimating F-statistics for the analysis of population structure. </w:t>
      </w:r>
      <w:r w:rsidRPr="00A235CB">
        <w:rPr>
          <w:rFonts w:asciiTheme="minorHAnsi" w:hAnsiTheme="minorHAnsi"/>
          <w:i/>
          <w:sz w:val="22"/>
          <w:szCs w:val="22"/>
        </w:rPr>
        <w:t>Evolution, 38</w:t>
      </w:r>
      <w:r w:rsidRPr="00A235CB">
        <w:rPr>
          <w:rFonts w:asciiTheme="minorHAnsi" w:hAnsiTheme="minorHAnsi"/>
          <w:sz w:val="22"/>
          <w:szCs w:val="22"/>
        </w:rPr>
        <w:t xml:space="preserve">, 1358-1370. </w:t>
      </w:r>
    </w:p>
    <w:p w14:paraId="34FF9144" w14:textId="0FA18751"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rPr>
        <w:t xml:space="preserve">Wolff, W. J., &amp; Reise, K. (2002). Oyster imports as a vector for the introduction of alien species into </w:t>
      </w:r>
      <w:r w:rsidRPr="00A235CB">
        <w:rPr>
          <w:rFonts w:asciiTheme="minorHAnsi" w:hAnsiTheme="minorHAnsi"/>
          <w:sz w:val="22"/>
          <w:szCs w:val="22"/>
        </w:rPr>
        <w:lastRenderedPageBreak/>
        <w:t xml:space="preserve">northern and western european coastal waters. In E. Leppäkoski, S. Gollasch, &amp; S. Olenin (Eds.), </w:t>
      </w:r>
      <w:r w:rsidRPr="00A235CB">
        <w:rPr>
          <w:rFonts w:asciiTheme="minorHAnsi" w:hAnsiTheme="minorHAnsi"/>
          <w:i/>
          <w:sz w:val="22"/>
          <w:szCs w:val="22"/>
        </w:rPr>
        <w:t>Invasive aquatic species of Europe. Distribution, impacts and management</w:t>
      </w:r>
      <w:r w:rsidRPr="00A235CB">
        <w:rPr>
          <w:rFonts w:asciiTheme="minorHAnsi" w:hAnsiTheme="minorHAnsi"/>
          <w:sz w:val="22"/>
          <w:szCs w:val="22"/>
        </w:rPr>
        <w:t xml:space="preserve"> (pp. 193-205). Dordrecht/Boston/London: Kluwer Academic Publishers.</w:t>
      </w:r>
      <w:r w:rsidR="009C188A" w:rsidRPr="00A235CB">
        <w:rPr>
          <w:rFonts w:asciiTheme="minorHAnsi" w:hAnsiTheme="minorHAnsi"/>
          <w:sz w:val="22"/>
          <w:szCs w:val="22"/>
        </w:rPr>
        <w:t xml:space="preserve"> doi:</w:t>
      </w:r>
      <w:r w:rsidR="009C188A" w:rsidRPr="00A235CB">
        <w:rPr>
          <w:rStyle w:val="Heading1Char"/>
          <w:rFonts w:asciiTheme="minorHAnsi" w:hAnsiTheme="minorHAnsi"/>
          <w:sz w:val="22"/>
          <w:szCs w:val="22"/>
        </w:rPr>
        <w:t xml:space="preserve"> </w:t>
      </w:r>
      <w:r w:rsidR="009C188A" w:rsidRPr="00A235CB">
        <w:rPr>
          <w:rStyle w:val="bibliographic-informationvalue"/>
          <w:rFonts w:asciiTheme="minorHAnsi" w:hAnsiTheme="minorHAnsi"/>
          <w:sz w:val="22"/>
          <w:szCs w:val="22"/>
        </w:rPr>
        <w:t>10.1007/978-94-015-9956-6_21</w:t>
      </w:r>
    </w:p>
    <w:p w14:paraId="4B74A2F0" w14:textId="77777777" w:rsidR="00FD140A" w:rsidRPr="00A235CB" w:rsidRDefault="00FD140A" w:rsidP="00015C58">
      <w:pPr>
        <w:pStyle w:val="EndNoteBibliography"/>
        <w:spacing w:line="276" w:lineRule="auto"/>
        <w:ind w:left="426" w:hanging="426"/>
        <w:jc w:val="both"/>
        <w:rPr>
          <w:rFonts w:asciiTheme="minorHAnsi" w:hAnsiTheme="minorHAnsi"/>
          <w:sz w:val="22"/>
          <w:szCs w:val="22"/>
        </w:rPr>
      </w:pPr>
      <w:r w:rsidRPr="00A235CB">
        <w:rPr>
          <w:rFonts w:asciiTheme="minorHAnsi" w:hAnsiTheme="minorHAnsi"/>
          <w:sz w:val="22"/>
          <w:szCs w:val="22"/>
        </w:rPr>
        <w:t>Xue, D.-X., Graves, J., Carranza, A., Sylantyev, S., Snigirov, S., Zhang, T., &amp; Liu, J.-X. (2018). Successful worldwide invasion of the veined rapa whelk,</w:t>
      </w:r>
      <w:r w:rsidRPr="00A235CB">
        <w:rPr>
          <w:rFonts w:asciiTheme="minorHAnsi" w:hAnsiTheme="minorHAnsi"/>
          <w:i/>
          <w:sz w:val="22"/>
          <w:szCs w:val="22"/>
        </w:rPr>
        <w:t xml:space="preserve"> Rapana venosa</w:t>
      </w:r>
      <w:r w:rsidRPr="00A235CB">
        <w:rPr>
          <w:rFonts w:asciiTheme="minorHAnsi" w:hAnsiTheme="minorHAnsi"/>
          <w:sz w:val="22"/>
          <w:szCs w:val="22"/>
        </w:rPr>
        <w:t xml:space="preserve">, despite a dramatic genetic bottleneck. </w:t>
      </w:r>
      <w:r w:rsidRPr="00A235CB">
        <w:rPr>
          <w:rFonts w:asciiTheme="minorHAnsi" w:hAnsiTheme="minorHAnsi"/>
          <w:i/>
          <w:sz w:val="22"/>
          <w:szCs w:val="22"/>
        </w:rPr>
        <w:t>Biological Invasions, 20</w:t>
      </w:r>
      <w:r w:rsidRPr="00A235CB">
        <w:rPr>
          <w:rFonts w:asciiTheme="minorHAnsi" w:hAnsiTheme="minorHAnsi"/>
          <w:sz w:val="22"/>
          <w:szCs w:val="22"/>
        </w:rPr>
        <w:t>(11), 3297-3314. doi:10.1007/s10530-018-1774-4</w:t>
      </w:r>
    </w:p>
    <w:p w14:paraId="549BA4BB" w14:textId="77777777" w:rsidR="00FD140A" w:rsidRPr="00EF1BFF" w:rsidRDefault="00FD140A" w:rsidP="00EE38CE">
      <w:pPr>
        <w:spacing w:line="360" w:lineRule="auto"/>
        <w:ind w:firstLine="709"/>
        <w:jc w:val="both"/>
        <w:rPr>
          <w:rFonts w:eastAsia="Times New Roman" w:cs="Arial"/>
        </w:rPr>
      </w:pPr>
    </w:p>
    <w:p w14:paraId="3F70418E" w14:textId="6010ED7A" w:rsidR="00FD140A" w:rsidRDefault="00FD140A" w:rsidP="00EE38CE">
      <w:pPr>
        <w:spacing w:line="360" w:lineRule="auto"/>
        <w:ind w:firstLine="709"/>
        <w:rPr>
          <w:rFonts w:eastAsia="Times New Roman" w:cs="Arial"/>
        </w:rPr>
      </w:pPr>
      <w:r>
        <w:rPr>
          <w:rFonts w:eastAsia="Times New Roman" w:cs="Arial"/>
        </w:rPr>
        <w:br w:type="page"/>
      </w:r>
    </w:p>
    <w:p w14:paraId="508FB9C7" w14:textId="77777777" w:rsidR="00FD140A" w:rsidRPr="00471F83" w:rsidRDefault="00FD140A" w:rsidP="00EE38CE">
      <w:pPr>
        <w:spacing w:line="360" w:lineRule="auto"/>
        <w:ind w:firstLine="709"/>
        <w:jc w:val="both"/>
        <w:rPr>
          <w:rFonts w:eastAsia="Times New Roman" w:cs="Arial"/>
          <w:b/>
        </w:rPr>
      </w:pPr>
      <w:r w:rsidRPr="00471F83">
        <w:rPr>
          <w:rFonts w:eastAsia="Times New Roman" w:cs="Arial"/>
          <w:b/>
        </w:rPr>
        <w:lastRenderedPageBreak/>
        <w:t>Figure legends</w:t>
      </w:r>
    </w:p>
    <w:p w14:paraId="34D6F54A" w14:textId="7E1A6232" w:rsidR="00FD140A" w:rsidRPr="005748EF" w:rsidRDefault="00FD140A" w:rsidP="00EE38CE">
      <w:pPr>
        <w:spacing w:line="360" w:lineRule="auto"/>
        <w:ind w:firstLine="709"/>
        <w:jc w:val="both"/>
        <w:rPr>
          <w:rFonts w:eastAsia="Times New Roman" w:cs="Arial"/>
        </w:rPr>
      </w:pPr>
      <w:r w:rsidRPr="005748EF">
        <w:rPr>
          <w:rFonts w:eastAsia="Times New Roman" w:cs="Arial"/>
          <w:b/>
        </w:rPr>
        <w:t>Figure 1.</w:t>
      </w:r>
      <w:r>
        <w:rPr>
          <w:rFonts w:eastAsia="Times New Roman" w:cs="Arial"/>
        </w:rPr>
        <w:t xml:space="preserve"> </w:t>
      </w:r>
      <w:r>
        <w:rPr>
          <w:rFonts w:eastAsia="Times New Roman" w:cs="Arial"/>
          <w:b/>
          <w:bCs/>
        </w:rPr>
        <w:t xml:space="preserve">Study areas, sampling localities and microsatellite genetic diversity of </w:t>
      </w:r>
      <w:r w:rsidRPr="005748EF">
        <w:rPr>
          <w:rFonts w:eastAsia="Times New Roman" w:cs="Arial"/>
          <w:b/>
          <w:i/>
          <w:iCs/>
        </w:rPr>
        <w:t>Sargassum muticum</w:t>
      </w:r>
      <w:r w:rsidRPr="005748EF">
        <w:rPr>
          <w:rFonts w:eastAsia="Times New Roman" w:cs="Arial"/>
          <w:b/>
        </w:rPr>
        <w:t>.</w:t>
      </w:r>
      <w:r>
        <w:rPr>
          <w:rFonts w:eastAsia="Times New Roman" w:cs="Arial"/>
          <w:b/>
        </w:rPr>
        <w:t xml:space="preserve"> </w:t>
      </w:r>
      <w:r w:rsidRPr="004143CC">
        <w:rPr>
          <w:rFonts w:eastAsia="Times New Roman" w:cs="Arial"/>
        </w:rPr>
        <w:t>Three geographic areas were sampled</w:t>
      </w:r>
      <w:r>
        <w:rPr>
          <w:rFonts w:eastAsia="Times New Roman" w:cs="Arial"/>
        </w:rPr>
        <w:t xml:space="preserve">: 1) the native range </w:t>
      </w:r>
      <w:r w:rsidR="009C188A">
        <w:rPr>
          <w:rFonts w:eastAsia="Times New Roman" w:cs="Arial"/>
        </w:rPr>
        <w:t>in Asia</w:t>
      </w:r>
      <w:r w:rsidR="00A235CB">
        <w:rPr>
          <w:rFonts w:eastAsia="Times New Roman" w:cs="Arial"/>
        </w:rPr>
        <w:t xml:space="preserve"> </w:t>
      </w:r>
      <w:r>
        <w:rPr>
          <w:rFonts w:eastAsia="Times New Roman" w:cs="Arial"/>
        </w:rPr>
        <w:t>and 2) two introduction ranges in the NE Pacific and NE Atlantic. A</w:t>
      </w:r>
      <w:r w:rsidRPr="005748EF">
        <w:rPr>
          <w:rFonts w:eastAsia="Times New Roman" w:cs="Arial"/>
        </w:rPr>
        <w:t xml:space="preserve">ll localities were analyzed with </w:t>
      </w:r>
      <w:r>
        <w:rPr>
          <w:rFonts w:eastAsia="Times New Roman" w:cs="Arial"/>
        </w:rPr>
        <w:t>14</w:t>
      </w:r>
      <w:r w:rsidRPr="005748EF">
        <w:rPr>
          <w:rFonts w:eastAsia="Times New Roman" w:cs="Arial"/>
        </w:rPr>
        <w:t xml:space="preserve"> microsatellite </w:t>
      </w:r>
      <w:r>
        <w:rPr>
          <w:rFonts w:eastAsia="Times New Roman" w:cs="Arial"/>
        </w:rPr>
        <w:t>loci</w:t>
      </w:r>
      <w:r w:rsidRPr="005748EF">
        <w:rPr>
          <w:rFonts w:eastAsia="Times New Roman" w:cs="Arial"/>
        </w:rPr>
        <w:t>:</w:t>
      </w:r>
      <w:r w:rsidRPr="004143CC">
        <w:rPr>
          <w:rFonts w:eastAsia="Times New Roman" w:cs="Arial"/>
        </w:rPr>
        <w:t xml:space="preserve"> 8 sites </w:t>
      </w:r>
      <w:r>
        <w:rPr>
          <w:rFonts w:eastAsia="Times New Roman" w:cs="Arial"/>
        </w:rPr>
        <w:t xml:space="preserve">in </w:t>
      </w:r>
      <w:r w:rsidRPr="004143CC">
        <w:rPr>
          <w:rFonts w:eastAsia="Times New Roman" w:cs="Arial"/>
        </w:rPr>
        <w:t xml:space="preserve">the native range, 9 sites in </w:t>
      </w:r>
      <w:r>
        <w:rPr>
          <w:rFonts w:eastAsia="Times New Roman" w:cs="Arial"/>
        </w:rPr>
        <w:t xml:space="preserve">the </w:t>
      </w:r>
      <w:r w:rsidRPr="004143CC">
        <w:rPr>
          <w:rFonts w:eastAsia="Times New Roman" w:cs="Arial"/>
        </w:rPr>
        <w:t xml:space="preserve">NE Pacific and 37 sites in </w:t>
      </w:r>
      <w:r>
        <w:rPr>
          <w:rFonts w:eastAsia="Times New Roman" w:cs="Arial"/>
        </w:rPr>
        <w:t xml:space="preserve">the </w:t>
      </w:r>
      <w:r w:rsidRPr="004143CC">
        <w:rPr>
          <w:rFonts w:eastAsia="Times New Roman" w:cs="Arial"/>
        </w:rPr>
        <w:t>NE Atlantic</w:t>
      </w:r>
      <w:r w:rsidRPr="005748EF">
        <w:rPr>
          <w:rFonts w:eastAsia="Times New Roman" w:cs="Arial"/>
        </w:rPr>
        <w:t xml:space="preserve">. </w:t>
      </w:r>
      <w:r>
        <w:rPr>
          <w:rFonts w:eastAsia="Times New Roman" w:cs="Arial"/>
          <w:bCs/>
        </w:rPr>
        <w:t>T</w:t>
      </w:r>
      <w:r w:rsidRPr="005748EF">
        <w:rPr>
          <w:rFonts w:eastAsia="Times New Roman" w:cs="Arial"/>
          <w:bCs/>
        </w:rPr>
        <w:t>he relative abundance of each of the 60 multi-locus genotypes in the three areas</w:t>
      </w:r>
      <w:r w:rsidRPr="005748EF">
        <w:rPr>
          <w:rFonts w:eastAsia="Times New Roman" w:cs="Arial"/>
        </w:rPr>
        <w:t xml:space="preserve"> </w:t>
      </w:r>
      <w:r>
        <w:rPr>
          <w:rFonts w:eastAsia="Times New Roman" w:cs="Arial"/>
        </w:rPr>
        <w:t xml:space="preserve">is indicated. </w:t>
      </w:r>
      <w:r w:rsidRPr="005748EF">
        <w:rPr>
          <w:rFonts w:eastAsia="Times New Roman" w:cs="Arial"/>
        </w:rPr>
        <w:t>The localities</w:t>
      </w:r>
      <w:r>
        <w:rPr>
          <w:rFonts w:eastAsia="Times New Roman" w:cs="Arial"/>
        </w:rPr>
        <w:t xml:space="preserve"> also </w:t>
      </w:r>
      <w:r w:rsidRPr="005748EF">
        <w:rPr>
          <w:rFonts w:eastAsia="Times New Roman" w:cs="Arial"/>
        </w:rPr>
        <w:t>analyzed with R</w:t>
      </w:r>
      <w:r>
        <w:rPr>
          <w:rFonts w:eastAsia="Times New Roman" w:cs="Arial"/>
        </w:rPr>
        <w:t>AD</w:t>
      </w:r>
      <w:r w:rsidRPr="005748EF">
        <w:rPr>
          <w:rFonts w:eastAsia="Times New Roman" w:cs="Arial"/>
        </w:rPr>
        <w:t>-</w:t>
      </w:r>
      <w:r>
        <w:rPr>
          <w:rFonts w:eastAsia="Times New Roman" w:cs="Arial"/>
        </w:rPr>
        <w:t>s</w:t>
      </w:r>
      <w:r w:rsidRPr="005748EF">
        <w:rPr>
          <w:rFonts w:eastAsia="Times New Roman" w:cs="Arial"/>
        </w:rPr>
        <w:t>eq</w:t>
      </w:r>
      <w:r>
        <w:rPr>
          <w:rFonts w:eastAsia="Times New Roman" w:cs="Arial"/>
        </w:rPr>
        <w:t>uencing</w:t>
      </w:r>
      <w:r w:rsidRPr="005748EF">
        <w:rPr>
          <w:rFonts w:eastAsia="Times New Roman" w:cs="Arial"/>
        </w:rPr>
        <w:t xml:space="preserve"> are highlighted by numbers in large black circles.</w:t>
      </w:r>
      <w:r>
        <w:rPr>
          <w:rFonts w:eastAsia="Times New Roman" w:cs="Arial"/>
        </w:rPr>
        <w:t xml:space="preserve"> Details about sample size and localities are provided in Table S1.</w:t>
      </w:r>
    </w:p>
    <w:p w14:paraId="358CE43C" w14:textId="77777777" w:rsidR="00FD140A" w:rsidRDefault="00FD140A" w:rsidP="00EE38CE">
      <w:pPr>
        <w:spacing w:line="360" w:lineRule="auto"/>
        <w:ind w:firstLine="709"/>
        <w:jc w:val="both"/>
        <w:rPr>
          <w:rFonts w:eastAsia="Times New Roman" w:cs="Arial"/>
          <w:b/>
          <w:bCs/>
        </w:rPr>
      </w:pPr>
    </w:p>
    <w:p w14:paraId="791CAF28" w14:textId="13D6C12B" w:rsidR="00FD140A" w:rsidRDefault="00FD140A" w:rsidP="00EE38CE">
      <w:pPr>
        <w:spacing w:line="360" w:lineRule="auto"/>
        <w:ind w:firstLine="709"/>
        <w:jc w:val="both"/>
        <w:rPr>
          <w:rFonts w:eastAsia="Times New Roman" w:cs="Arial"/>
        </w:rPr>
      </w:pPr>
      <w:r w:rsidRPr="005748EF">
        <w:rPr>
          <w:rFonts w:eastAsia="Times New Roman" w:cs="Arial"/>
          <w:b/>
          <w:bCs/>
        </w:rPr>
        <w:t xml:space="preserve">Figure </w:t>
      </w:r>
      <w:r>
        <w:rPr>
          <w:rFonts w:eastAsia="Times New Roman" w:cs="Arial"/>
          <w:b/>
          <w:bCs/>
        </w:rPr>
        <w:t>2</w:t>
      </w:r>
      <w:r w:rsidR="00471F83">
        <w:rPr>
          <w:rFonts w:eastAsia="Times New Roman" w:cs="Arial"/>
          <w:b/>
          <w:bCs/>
        </w:rPr>
        <w:t>.</w:t>
      </w:r>
      <w:r w:rsidRPr="005748EF">
        <w:rPr>
          <w:rFonts w:eastAsia="Times New Roman" w:cs="Arial"/>
          <w:b/>
          <w:bCs/>
        </w:rPr>
        <w:t xml:space="preserve"> Distribution of </w:t>
      </w:r>
      <w:r w:rsidRPr="00230E84">
        <w:rPr>
          <w:rFonts w:eastAsia="Times New Roman" w:cs="Arial"/>
          <w:b/>
          <w:bCs/>
          <w:i/>
        </w:rPr>
        <w:t>Sargassum</w:t>
      </w:r>
      <w:r>
        <w:rPr>
          <w:rFonts w:eastAsia="Times New Roman" w:cs="Arial"/>
          <w:b/>
          <w:bCs/>
        </w:rPr>
        <w:t xml:space="preserve"> </w:t>
      </w:r>
      <w:r w:rsidRPr="00230E84">
        <w:rPr>
          <w:rFonts w:eastAsia="Times New Roman" w:cs="Arial"/>
          <w:b/>
          <w:bCs/>
          <w:i/>
        </w:rPr>
        <w:t>muticum</w:t>
      </w:r>
      <w:r>
        <w:rPr>
          <w:rFonts w:eastAsia="Times New Roman" w:cs="Arial"/>
          <w:b/>
          <w:bCs/>
        </w:rPr>
        <w:t xml:space="preserve"> </w:t>
      </w:r>
      <w:r w:rsidRPr="005748EF">
        <w:rPr>
          <w:rFonts w:eastAsia="Times New Roman" w:cs="Arial"/>
          <w:b/>
          <w:bCs/>
        </w:rPr>
        <w:t>Multi-Locus Genotypes</w:t>
      </w:r>
      <w:r>
        <w:rPr>
          <w:rFonts w:eastAsia="Times New Roman" w:cs="Arial"/>
          <w:b/>
          <w:bCs/>
        </w:rPr>
        <w:t xml:space="preserve"> (MLG) obtained with RAD-seq loci</w:t>
      </w:r>
      <w:r w:rsidRPr="005748EF">
        <w:rPr>
          <w:rFonts w:eastAsia="Times New Roman" w:cs="Arial"/>
          <w:b/>
          <w:bCs/>
        </w:rPr>
        <w:t xml:space="preserve"> in the introduction ranges</w:t>
      </w:r>
      <w:r>
        <w:rPr>
          <w:rFonts w:eastAsia="Times New Roman" w:cs="Arial"/>
          <w:b/>
          <w:bCs/>
        </w:rPr>
        <w:t xml:space="preserve">. </w:t>
      </w:r>
      <w:r w:rsidRPr="005748EF">
        <w:rPr>
          <w:rFonts w:eastAsia="Times New Roman" w:cs="Arial"/>
        </w:rPr>
        <w:t>(A) Minimu</w:t>
      </w:r>
      <w:r>
        <w:rPr>
          <w:rFonts w:eastAsia="Times New Roman" w:cs="Arial"/>
        </w:rPr>
        <w:t>m</w:t>
      </w:r>
      <w:r w:rsidRPr="005748EF">
        <w:rPr>
          <w:rFonts w:eastAsia="Times New Roman" w:cs="Arial"/>
        </w:rPr>
        <w:t xml:space="preserve"> spanning network on multi-locus genotypes (MLGs) detected in the introduced range</w:t>
      </w:r>
      <w:r>
        <w:rPr>
          <w:rFonts w:eastAsia="Times New Roman" w:cs="Arial"/>
        </w:rPr>
        <w:t>s</w:t>
      </w:r>
      <w:r w:rsidRPr="005748EF">
        <w:rPr>
          <w:rFonts w:eastAsia="Times New Roman" w:cs="Arial"/>
        </w:rPr>
        <w:t xml:space="preserve">, based on the number of </w:t>
      </w:r>
      <w:r>
        <w:rPr>
          <w:rFonts w:eastAsia="Times New Roman" w:cs="Arial"/>
        </w:rPr>
        <w:t xml:space="preserve">pairwise </w:t>
      </w:r>
      <w:r w:rsidRPr="005748EF">
        <w:rPr>
          <w:rFonts w:eastAsia="Times New Roman" w:cs="Arial"/>
        </w:rPr>
        <w:t>allelic diff</w:t>
      </w:r>
      <w:r>
        <w:rPr>
          <w:rFonts w:eastAsia="Times New Roman" w:cs="Arial"/>
        </w:rPr>
        <w:t>e</w:t>
      </w:r>
      <w:r w:rsidRPr="005748EF">
        <w:rPr>
          <w:rFonts w:eastAsia="Times New Roman" w:cs="Arial"/>
        </w:rPr>
        <w:t>rences between MLGs</w:t>
      </w:r>
      <w:r>
        <w:rPr>
          <w:rFonts w:eastAsia="Times New Roman" w:cs="Arial"/>
        </w:rPr>
        <w:t>, with gray shading of branch inversely proportional to the distance between MLGs,</w:t>
      </w:r>
      <w:r w:rsidRPr="005748EF">
        <w:rPr>
          <w:rFonts w:eastAsia="Times New Roman" w:cs="Arial"/>
        </w:rPr>
        <w:t xml:space="preserve"> and (B) </w:t>
      </w:r>
      <w:r>
        <w:rPr>
          <w:rFonts w:eastAsia="Times New Roman" w:cs="Arial"/>
        </w:rPr>
        <w:t xml:space="preserve">population level </w:t>
      </w:r>
      <w:r w:rsidRPr="005748EF">
        <w:rPr>
          <w:rFonts w:eastAsia="Times New Roman" w:cs="Arial"/>
        </w:rPr>
        <w:t>distribution</w:t>
      </w:r>
      <w:r>
        <w:rPr>
          <w:rFonts w:eastAsia="Times New Roman" w:cs="Arial"/>
        </w:rPr>
        <w:t>s</w:t>
      </w:r>
      <w:r w:rsidRPr="005748EF">
        <w:rPr>
          <w:rFonts w:eastAsia="Times New Roman" w:cs="Arial"/>
        </w:rPr>
        <w:t xml:space="preserve"> of the 14 MLGs </w:t>
      </w:r>
      <w:r>
        <w:rPr>
          <w:rFonts w:eastAsia="Times New Roman" w:cs="Arial"/>
        </w:rPr>
        <w:t xml:space="preserve">found </w:t>
      </w:r>
      <w:r w:rsidRPr="005748EF">
        <w:rPr>
          <w:rFonts w:eastAsia="Times New Roman" w:cs="Arial"/>
        </w:rPr>
        <w:t xml:space="preserve">in </w:t>
      </w:r>
      <w:r>
        <w:rPr>
          <w:rFonts w:eastAsia="Times New Roman" w:cs="Arial"/>
        </w:rPr>
        <w:t>the southern</w:t>
      </w:r>
      <w:r w:rsidRPr="00267032">
        <w:rPr>
          <w:rFonts w:cs="Arial"/>
        </w:rPr>
        <w:t xml:space="preserve"> </w:t>
      </w:r>
      <w:r>
        <w:rPr>
          <w:rFonts w:cs="Arial"/>
        </w:rPr>
        <w:t>NE Pacific</w:t>
      </w:r>
      <w:r>
        <w:rPr>
          <w:rFonts w:eastAsia="Times New Roman" w:cs="Arial"/>
        </w:rPr>
        <w:t xml:space="preserve"> </w:t>
      </w:r>
      <w:r w:rsidRPr="005748EF">
        <w:rPr>
          <w:rFonts w:eastAsia="Times New Roman" w:cs="Arial"/>
        </w:rPr>
        <w:t xml:space="preserve">and </w:t>
      </w:r>
      <w:r w:rsidRPr="00267032">
        <w:rPr>
          <w:rFonts w:cs="Arial"/>
        </w:rPr>
        <w:t>NE Atlantic</w:t>
      </w:r>
      <w:r>
        <w:rPr>
          <w:rFonts w:eastAsia="Times New Roman" w:cs="Arial"/>
        </w:rPr>
        <w:t xml:space="preserve"> Group 1 (i.e., </w:t>
      </w:r>
      <w:r w:rsidRPr="00267032">
        <w:rPr>
          <w:rFonts w:cs="Arial"/>
        </w:rPr>
        <w:t>NE Atlantic</w:t>
      </w:r>
      <w:r>
        <w:rPr>
          <w:rFonts w:eastAsia="Times New Roman" w:cs="Arial"/>
        </w:rPr>
        <w:t xml:space="preserve"> excluding populations no.5</w:t>
      </w:r>
      <w:r w:rsidR="006D429B">
        <w:rPr>
          <w:rFonts w:eastAsia="Times New Roman" w:cs="Arial"/>
        </w:rPr>
        <w:t>1</w:t>
      </w:r>
      <w:r>
        <w:rPr>
          <w:rFonts w:eastAsia="Times New Roman" w:cs="Arial"/>
        </w:rPr>
        <w:t xml:space="preserve"> (Thau) &amp; 5</w:t>
      </w:r>
      <w:r w:rsidR="006D429B">
        <w:rPr>
          <w:rFonts w:eastAsia="Times New Roman" w:cs="Arial"/>
        </w:rPr>
        <w:t>4</w:t>
      </w:r>
      <w:r>
        <w:rPr>
          <w:rFonts w:eastAsia="Times New Roman" w:cs="Arial"/>
        </w:rPr>
        <w:t xml:space="preserve"> (Porto)</w:t>
      </w:r>
      <w:r w:rsidRPr="005748EF">
        <w:rPr>
          <w:rFonts w:eastAsia="Times New Roman" w:cs="Arial"/>
        </w:rPr>
        <w:t>)</w:t>
      </w:r>
      <w:r>
        <w:rPr>
          <w:rFonts w:eastAsia="Times New Roman" w:cs="Arial"/>
        </w:rPr>
        <w:t>. Population private haplotypes are colored in black.</w:t>
      </w:r>
    </w:p>
    <w:p w14:paraId="5C7877CF" w14:textId="77777777" w:rsidR="00FD140A" w:rsidRDefault="00FD140A" w:rsidP="00EE38CE">
      <w:pPr>
        <w:spacing w:line="360" w:lineRule="auto"/>
        <w:ind w:firstLine="709"/>
        <w:jc w:val="both"/>
        <w:rPr>
          <w:rFonts w:eastAsia="Times New Roman" w:cs="Arial"/>
        </w:rPr>
      </w:pPr>
    </w:p>
    <w:p w14:paraId="3D78F802" w14:textId="4A3760D1" w:rsidR="00FD140A" w:rsidRPr="005748EF" w:rsidRDefault="00FD140A" w:rsidP="00EE38CE">
      <w:pPr>
        <w:spacing w:line="360" w:lineRule="auto"/>
        <w:ind w:firstLine="709"/>
        <w:jc w:val="both"/>
        <w:rPr>
          <w:rFonts w:eastAsia="Times New Roman" w:cs="Arial"/>
        </w:rPr>
      </w:pPr>
      <w:r w:rsidRPr="005748EF">
        <w:rPr>
          <w:rFonts w:eastAsia="Times New Roman" w:cs="Arial"/>
          <w:b/>
        </w:rPr>
        <w:t xml:space="preserve">Figure </w:t>
      </w:r>
      <w:r w:rsidR="006D429B">
        <w:rPr>
          <w:rFonts w:eastAsia="Times New Roman" w:cs="Arial"/>
          <w:b/>
        </w:rPr>
        <w:t>3</w:t>
      </w:r>
      <w:r w:rsidR="00471F83">
        <w:rPr>
          <w:rFonts w:eastAsia="Times New Roman" w:cs="Arial"/>
          <w:b/>
        </w:rPr>
        <w:t>.</w:t>
      </w:r>
      <w:r w:rsidRPr="005748EF">
        <w:rPr>
          <w:rFonts w:eastAsia="Times New Roman" w:cs="Arial"/>
        </w:rPr>
        <w:t xml:space="preserve"> </w:t>
      </w:r>
      <w:r w:rsidRPr="005748EF">
        <w:rPr>
          <w:rFonts w:eastAsia="Times New Roman" w:cs="Arial"/>
          <w:b/>
        </w:rPr>
        <w:t>Principal Component Analysis (PCA)</w:t>
      </w:r>
      <w:r>
        <w:rPr>
          <w:rFonts w:eastAsia="Times New Roman" w:cs="Arial"/>
          <w:b/>
        </w:rPr>
        <w:t>,</w:t>
      </w:r>
      <w:r w:rsidRPr="005748EF">
        <w:rPr>
          <w:rFonts w:eastAsia="Times New Roman" w:cs="Arial"/>
          <w:b/>
        </w:rPr>
        <w:t xml:space="preserve"> </w:t>
      </w:r>
      <w:r>
        <w:rPr>
          <w:rFonts w:eastAsia="Times New Roman" w:cs="Arial"/>
          <w:b/>
        </w:rPr>
        <w:t xml:space="preserve">using the RAD-seq dataset, </w:t>
      </w:r>
      <w:r w:rsidRPr="005748EF">
        <w:rPr>
          <w:rFonts w:eastAsia="Times New Roman" w:cs="Arial"/>
          <w:b/>
        </w:rPr>
        <w:t>showing individuals coordinates</w:t>
      </w:r>
      <w:r w:rsidRPr="0089223F">
        <w:rPr>
          <w:rFonts w:eastAsia="Times New Roman" w:cs="Arial"/>
        </w:rPr>
        <w:t xml:space="preserve"> on the first two components (A) and on the first and third component (B)</w:t>
      </w:r>
      <w:r>
        <w:rPr>
          <w:rFonts w:eastAsia="Times New Roman" w:cs="Arial"/>
        </w:rPr>
        <w:t xml:space="preserve">. Colors refer to different regions and populations. </w:t>
      </w:r>
    </w:p>
    <w:p w14:paraId="64CF27B6" w14:textId="77777777" w:rsidR="00FD140A" w:rsidRDefault="00FD140A" w:rsidP="00EE38CE">
      <w:pPr>
        <w:spacing w:line="360" w:lineRule="auto"/>
        <w:ind w:firstLine="709"/>
        <w:jc w:val="both"/>
        <w:rPr>
          <w:rFonts w:eastAsia="Times New Roman" w:cs="Arial"/>
        </w:rPr>
      </w:pPr>
    </w:p>
    <w:p w14:paraId="6014E6EB" w14:textId="632E7AFD" w:rsidR="006D429B" w:rsidRPr="005748EF" w:rsidRDefault="006D429B" w:rsidP="006D429B">
      <w:pPr>
        <w:spacing w:line="360" w:lineRule="auto"/>
        <w:ind w:firstLine="709"/>
        <w:jc w:val="both"/>
        <w:rPr>
          <w:rFonts w:eastAsia="Times New Roman" w:cs="Arial"/>
        </w:rPr>
      </w:pPr>
      <w:r w:rsidRPr="003B2FF1">
        <w:rPr>
          <w:rFonts w:eastAsia="Times New Roman" w:cs="Arial"/>
          <w:b/>
          <w:bCs/>
        </w:rPr>
        <w:t>Figure</w:t>
      </w:r>
      <w:r>
        <w:rPr>
          <w:rFonts w:eastAsia="Times New Roman" w:cs="Arial"/>
          <w:b/>
        </w:rPr>
        <w:t xml:space="preserve"> 4</w:t>
      </w:r>
      <w:r w:rsidRPr="003B2FF1">
        <w:rPr>
          <w:rFonts w:eastAsia="Times New Roman" w:cs="Arial"/>
          <w:b/>
          <w:bCs/>
        </w:rPr>
        <w:t>. Bayesia</w:t>
      </w:r>
      <w:r>
        <w:rPr>
          <w:rFonts w:eastAsia="Times New Roman" w:cs="Arial"/>
          <w:b/>
          <w:bCs/>
        </w:rPr>
        <w:t xml:space="preserve">n clustering analyses (InStruct software, K=5) </w:t>
      </w:r>
      <w:r w:rsidRPr="003B2FF1">
        <w:rPr>
          <w:rFonts w:eastAsia="Times New Roman" w:cs="Arial"/>
          <w:b/>
          <w:bCs/>
        </w:rPr>
        <w:t>in native and introduced ranges</w:t>
      </w:r>
      <w:r w:rsidRPr="005748EF">
        <w:rPr>
          <w:rFonts w:eastAsia="Times New Roman" w:cs="Arial"/>
          <w:bCs/>
        </w:rPr>
        <w:t xml:space="preserve"> </w:t>
      </w:r>
      <w:r w:rsidRPr="003B2FF1">
        <w:rPr>
          <w:rFonts w:eastAsia="Times New Roman" w:cs="Arial"/>
          <w:b/>
          <w:bCs/>
        </w:rPr>
        <w:t xml:space="preserve">of </w:t>
      </w:r>
      <w:r w:rsidRPr="003B2FF1">
        <w:rPr>
          <w:rFonts w:eastAsia="Times New Roman" w:cs="Arial"/>
          <w:b/>
          <w:bCs/>
          <w:i/>
        </w:rPr>
        <w:t>Sargassum</w:t>
      </w:r>
      <w:r w:rsidRPr="003B2FF1">
        <w:rPr>
          <w:rFonts w:eastAsia="Times New Roman" w:cs="Arial"/>
          <w:b/>
          <w:bCs/>
        </w:rPr>
        <w:t xml:space="preserve"> </w:t>
      </w:r>
      <w:r w:rsidRPr="003B2FF1">
        <w:rPr>
          <w:rFonts w:eastAsia="Times New Roman" w:cs="Arial"/>
          <w:b/>
          <w:bCs/>
          <w:i/>
        </w:rPr>
        <w:t>muticum</w:t>
      </w:r>
      <w:r>
        <w:rPr>
          <w:rFonts w:eastAsia="Times New Roman" w:cs="Arial"/>
          <w:b/>
          <w:bCs/>
          <w:i/>
        </w:rPr>
        <w:t>,</w:t>
      </w:r>
      <w:r w:rsidRPr="005748EF">
        <w:rPr>
          <w:rFonts w:eastAsia="Times New Roman" w:cs="Arial"/>
          <w:bCs/>
        </w:rPr>
        <w:t xml:space="preserve"> </w:t>
      </w:r>
      <w:r w:rsidRPr="003B2FF1">
        <w:rPr>
          <w:rFonts w:eastAsia="Times New Roman" w:cs="Arial"/>
          <w:b/>
          <w:bCs/>
        </w:rPr>
        <w:t>with 8788 RAD-seq loci</w:t>
      </w:r>
      <w:r>
        <w:rPr>
          <w:rFonts w:eastAsia="Times New Roman" w:cs="Arial"/>
          <w:b/>
          <w:bCs/>
        </w:rPr>
        <w:t xml:space="preserve">. </w:t>
      </w:r>
      <w:r w:rsidRPr="003B2FF1">
        <w:rPr>
          <w:rFonts w:eastAsia="Times New Roman" w:cs="Arial"/>
          <w:bCs/>
        </w:rPr>
        <w:t>Each individual is represented by a vertical line divided into coloured segments, the length of which indicates the individual’s membership fraction to each of K clusters. Individuals are grouped according to their sampling locality</w:t>
      </w:r>
      <w:r>
        <w:rPr>
          <w:rFonts w:eastAsia="Times New Roman" w:cs="Arial"/>
          <w:bCs/>
        </w:rPr>
        <w:t>.</w:t>
      </w:r>
      <w:r w:rsidRPr="003B2FF1">
        <w:rPr>
          <w:rFonts w:eastAsia="Times New Roman" w:cs="Arial"/>
          <w:bCs/>
        </w:rPr>
        <w:t xml:space="preserve"> Locality codes correspond to those given in </w:t>
      </w:r>
      <w:r>
        <w:rPr>
          <w:rFonts w:eastAsia="Times New Roman" w:cs="Arial"/>
          <w:bCs/>
        </w:rPr>
        <w:t xml:space="preserve">Figure 1 and </w:t>
      </w:r>
      <w:r w:rsidRPr="003B2FF1">
        <w:rPr>
          <w:rFonts w:eastAsia="Times New Roman" w:cs="Arial"/>
          <w:bCs/>
        </w:rPr>
        <w:t xml:space="preserve">Table </w:t>
      </w:r>
      <w:r>
        <w:rPr>
          <w:rFonts w:eastAsia="Times New Roman" w:cs="Arial"/>
          <w:bCs/>
        </w:rPr>
        <w:t>S</w:t>
      </w:r>
      <w:r w:rsidRPr="003B2FF1">
        <w:rPr>
          <w:rFonts w:eastAsia="Times New Roman" w:cs="Arial"/>
          <w:bCs/>
        </w:rPr>
        <w:t>1.</w:t>
      </w:r>
    </w:p>
    <w:p w14:paraId="489FC571" w14:textId="77777777" w:rsidR="006D429B" w:rsidRDefault="006D429B" w:rsidP="00EE38CE">
      <w:pPr>
        <w:spacing w:line="360" w:lineRule="auto"/>
        <w:ind w:firstLine="709"/>
        <w:jc w:val="both"/>
        <w:rPr>
          <w:rFonts w:eastAsia="Times New Roman" w:cs="Arial"/>
        </w:rPr>
      </w:pPr>
    </w:p>
    <w:p w14:paraId="7A3359CA" w14:textId="77777777" w:rsidR="00FD140A" w:rsidRDefault="00FD140A" w:rsidP="00015C58">
      <w:pPr>
        <w:spacing w:line="276" w:lineRule="auto"/>
        <w:jc w:val="both"/>
        <w:rPr>
          <w:rFonts w:eastAsia="Times New Roman" w:cs="Arial"/>
          <w:i/>
        </w:rPr>
      </w:pPr>
      <w:r>
        <w:rPr>
          <w:rFonts w:eastAsia="Times New Roman" w:cs="Arial"/>
        </w:rPr>
        <w:br w:type="page"/>
      </w:r>
      <w:r w:rsidRPr="005748EF">
        <w:rPr>
          <w:rFonts w:eastAsia="Times New Roman" w:cs="Arial"/>
          <w:b/>
        </w:rPr>
        <w:lastRenderedPageBreak/>
        <w:t xml:space="preserve">Table 1. </w:t>
      </w:r>
      <w:r w:rsidRPr="00015C58">
        <w:rPr>
          <w:rFonts w:eastAsia="Times New Roman" w:cs="Arial"/>
          <w:b/>
          <w:i/>
        </w:rPr>
        <w:t>Sargassum muticum</w:t>
      </w:r>
      <w:r w:rsidRPr="00015C58">
        <w:rPr>
          <w:rFonts w:eastAsia="Times New Roman" w:cs="Arial"/>
          <w:b/>
        </w:rPr>
        <w:t xml:space="preserve"> genetic diversity and estimated selfing rates obtained with Rad seq loci across populations in the study native range (Japan) and the two introduced ranges (North East Pacific (NEP) and North East Atlantic (NEA))</w:t>
      </w:r>
      <w:r>
        <w:rPr>
          <w:rFonts w:eastAsia="Times New Roman" w:cs="Arial"/>
          <w:i/>
        </w:rPr>
        <w:t>.</w:t>
      </w:r>
    </w:p>
    <w:p w14:paraId="1F089112" w14:textId="77777777" w:rsidR="00FD140A" w:rsidRPr="00410327" w:rsidRDefault="00FD140A" w:rsidP="00015C58">
      <w:pPr>
        <w:spacing w:line="276" w:lineRule="auto"/>
        <w:ind w:firstLine="709"/>
        <w:jc w:val="both"/>
        <w:rPr>
          <w:rFonts w:eastAsia="Times New Roman" w:cs="Arial"/>
        </w:rPr>
      </w:pPr>
    </w:p>
    <w:tbl>
      <w:tblPr>
        <w:tblStyle w:val="TableGrid"/>
        <w:tblW w:w="1063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134"/>
        <w:gridCol w:w="1844"/>
        <w:gridCol w:w="851"/>
        <w:gridCol w:w="850"/>
        <w:gridCol w:w="709"/>
        <w:gridCol w:w="850"/>
        <w:gridCol w:w="851"/>
        <w:gridCol w:w="850"/>
        <w:gridCol w:w="851"/>
      </w:tblGrid>
      <w:tr w:rsidR="00FD140A" w:rsidRPr="00015C58" w14:paraId="473625F1" w14:textId="77777777" w:rsidTr="00A8536C">
        <w:trPr>
          <w:trHeight w:val="617"/>
        </w:trPr>
        <w:tc>
          <w:tcPr>
            <w:tcW w:w="1843" w:type="dxa"/>
            <w:tcBorders>
              <w:top w:val="single" w:sz="4" w:space="0" w:color="auto"/>
              <w:bottom w:val="single" w:sz="4" w:space="0" w:color="auto"/>
            </w:tcBorders>
          </w:tcPr>
          <w:p w14:paraId="26B22E97" w14:textId="77777777" w:rsidR="00FD140A" w:rsidRPr="00015C58" w:rsidRDefault="00FD140A" w:rsidP="00015C58">
            <w:pPr>
              <w:jc w:val="both"/>
              <w:rPr>
                <w:rFonts w:eastAsia="Times New Roman" w:cs="Arial"/>
                <w:sz w:val="20"/>
                <w:szCs w:val="20"/>
              </w:rPr>
            </w:pPr>
          </w:p>
        </w:tc>
        <w:tc>
          <w:tcPr>
            <w:tcW w:w="1134" w:type="dxa"/>
            <w:tcBorders>
              <w:top w:val="single" w:sz="4" w:space="0" w:color="auto"/>
              <w:bottom w:val="single" w:sz="4" w:space="0" w:color="auto"/>
            </w:tcBorders>
          </w:tcPr>
          <w:p w14:paraId="1CB22289" w14:textId="77777777" w:rsidR="00FD140A" w:rsidRPr="00015C58" w:rsidRDefault="00FD140A" w:rsidP="00015C58">
            <w:pPr>
              <w:jc w:val="both"/>
              <w:rPr>
                <w:rFonts w:eastAsia="Times New Roman" w:cs="Arial"/>
                <w:sz w:val="20"/>
                <w:szCs w:val="20"/>
              </w:rPr>
            </w:pPr>
            <w:r w:rsidRPr="00015C58">
              <w:rPr>
                <w:rFonts w:eastAsia="Times New Roman" w:cs="Arial"/>
                <w:sz w:val="20"/>
                <w:szCs w:val="20"/>
              </w:rPr>
              <w:t>Area</w:t>
            </w:r>
          </w:p>
        </w:tc>
        <w:tc>
          <w:tcPr>
            <w:tcW w:w="1844" w:type="dxa"/>
            <w:tcBorders>
              <w:top w:val="single" w:sz="4" w:space="0" w:color="auto"/>
              <w:bottom w:val="single" w:sz="4" w:space="0" w:color="auto"/>
            </w:tcBorders>
          </w:tcPr>
          <w:p w14:paraId="78E3A6C6" w14:textId="77777777" w:rsidR="00FD140A" w:rsidRPr="00015C58" w:rsidRDefault="00FD140A" w:rsidP="00015C58">
            <w:pPr>
              <w:jc w:val="both"/>
              <w:rPr>
                <w:rFonts w:eastAsia="Times New Roman" w:cs="Arial"/>
                <w:sz w:val="20"/>
                <w:szCs w:val="20"/>
              </w:rPr>
            </w:pPr>
          </w:p>
        </w:tc>
        <w:tc>
          <w:tcPr>
            <w:tcW w:w="851" w:type="dxa"/>
            <w:tcBorders>
              <w:top w:val="single" w:sz="4" w:space="0" w:color="auto"/>
              <w:bottom w:val="single" w:sz="4" w:space="0" w:color="auto"/>
            </w:tcBorders>
          </w:tcPr>
          <w:p w14:paraId="5082054C" w14:textId="77777777" w:rsidR="00FD140A" w:rsidRPr="00015C58" w:rsidRDefault="00FD140A" w:rsidP="00015C58">
            <w:pPr>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N</w:t>
            </w:r>
            <w:r w:rsidRPr="00015C58">
              <w:rPr>
                <w:rFonts w:eastAsia="Times New Roman" w:cs="Times New Roman"/>
                <w:color w:val="000000"/>
                <w:sz w:val="20"/>
                <w:szCs w:val="20"/>
                <w:vertAlign w:val="subscript"/>
                <w:lang w:val="fr-FR" w:eastAsia="fr-FR"/>
              </w:rPr>
              <w:t>indiv</w:t>
            </w:r>
          </w:p>
        </w:tc>
        <w:tc>
          <w:tcPr>
            <w:tcW w:w="850" w:type="dxa"/>
            <w:tcBorders>
              <w:top w:val="single" w:sz="4" w:space="0" w:color="auto"/>
              <w:bottom w:val="single" w:sz="4" w:space="0" w:color="auto"/>
            </w:tcBorders>
          </w:tcPr>
          <w:p w14:paraId="271208C1" w14:textId="77777777" w:rsidR="00FD140A" w:rsidRPr="00015C58" w:rsidRDefault="00FD140A" w:rsidP="00015C58">
            <w:pPr>
              <w:jc w:val="center"/>
              <w:rPr>
                <w:rFonts w:eastAsia="Times New Roman" w:cs="Arial"/>
                <w:sz w:val="20"/>
                <w:szCs w:val="20"/>
              </w:rPr>
            </w:pPr>
            <w:r w:rsidRPr="00015C58">
              <w:rPr>
                <w:rFonts w:eastAsia="Times New Roman" w:cs="Times New Roman"/>
                <w:color w:val="000000"/>
                <w:sz w:val="20"/>
                <w:szCs w:val="20"/>
                <w:lang w:val="fr-FR" w:eastAsia="fr-FR"/>
              </w:rPr>
              <w:t>N</w:t>
            </w:r>
            <w:r w:rsidRPr="00015C58">
              <w:rPr>
                <w:rFonts w:eastAsia="Times New Roman" w:cs="Times New Roman"/>
                <w:color w:val="000000"/>
                <w:sz w:val="20"/>
                <w:szCs w:val="20"/>
                <w:vertAlign w:val="subscript"/>
                <w:lang w:val="fr-FR" w:eastAsia="fr-FR"/>
              </w:rPr>
              <w:t>loc</w:t>
            </w:r>
          </w:p>
        </w:tc>
        <w:tc>
          <w:tcPr>
            <w:tcW w:w="709" w:type="dxa"/>
            <w:tcBorders>
              <w:top w:val="single" w:sz="4" w:space="0" w:color="auto"/>
              <w:bottom w:val="single" w:sz="4" w:space="0" w:color="auto"/>
            </w:tcBorders>
          </w:tcPr>
          <w:p w14:paraId="79E6AD46" w14:textId="77777777" w:rsidR="00FD140A" w:rsidRPr="00015C58" w:rsidRDefault="00FD140A" w:rsidP="00015C58">
            <w:pPr>
              <w:jc w:val="center"/>
              <w:rPr>
                <w:rFonts w:eastAsia="Times New Roman" w:cs="Arial"/>
                <w:sz w:val="20"/>
                <w:szCs w:val="20"/>
              </w:rPr>
            </w:pPr>
            <w:r w:rsidRPr="00015C58">
              <w:rPr>
                <w:rFonts w:eastAsia="Times New Roman" w:cs="Times New Roman"/>
                <w:color w:val="000000"/>
                <w:sz w:val="20"/>
                <w:szCs w:val="20"/>
                <w:lang w:val="fr-FR" w:eastAsia="fr-FR"/>
              </w:rPr>
              <w:t>N</w:t>
            </w:r>
            <w:r w:rsidRPr="00015C58">
              <w:rPr>
                <w:rFonts w:eastAsia="Times New Roman" w:cs="Times New Roman"/>
                <w:color w:val="000000"/>
                <w:sz w:val="20"/>
                <w:szCs w:val="20"/>
                <w:vertAlign w:val="subscript"/>
                <w:lang w:val="fr-FR" w:eastAsia="fr-FR"/>
              </w:rPr>
              <w:t>Priv</w:t>
            </w:r>
          </w:p>
        </w:tc>
        <w:tc>
          <w:tcPr>
            <w:tcW w:w="850" w:type="dxa"/>
            <w:tcBorders>
              <w:top w:val="single" w:sz="4" w:space="0" w:color="auto"/>
              <w:bottom w:val="single" w:sz="4" w:space="0" w:color="auto"/>
            </w:tcBorders>
          </w:tcPr>
          <w:p w14:paraId="21925C7B" w14:textId="77777777" w:rsidR="00FD140A" w:rsidRPr="00015C58" w:rsidRDefault="00FD140A" w:rsidP="00015C58">
            <w:pPr>
              <w:jc w:val="center"/>
              <w:rPr>
                <w:rFonts w:eastAsia="Times New Roman" w:cs="Times New Roman"/>
                <w:color w:val="000000" w:themeColor="text1"/>
                <w:sz w:val="20"/>
                <w:szCs w:val="20"/>
                <w:lang w:val="fr-FR" w:eastAsia="fr-FR"/>
              </w:rPr>
            </w:pPr>
            <w:r w:rsidRPr="00015C58">
              <w:rPr>
                <w:rFonts w:eastAsia="Times New Roman" w:cs="Times New Roman"/>
                <w:color w:val="000000" w:themeColor="text1"/>
                <w:sz w:val="20"/>
                <w:szCs w:val="20"/>
                <w:lang w:val="fr-FR" w:eastAsia="fr-FR"/>
              </w:rPr>
              <w:t>N</w:t>
            </w:r>
            <w:r w:rsidRPr="00015C58">
              <w:rPr>
                <w:rFonts w:eastAsia="Times New Roman" w:cs="Times New Roman"/>
                <w:color w:val="000000" w:themeColor="text1"/>
                <w:sz w:val="20"/>
                <w:szCs w:val="20"/>
                <w:vertAlign w:val="subscript"/>
                <w:lang w:val="fr-FR" w:eastAsia="fr-FR"/>
              </w:rPr>
              <w:t>ind-high</w:t>
            </w:r>
            <w:r w:rsidRPr="00015C58">
              <w:rPr>
                <w:rFonts w:eastAsia="Times New Roman" w:cs="Times New Roman"/>
                <w:color w:val="000000" w:themeColor="text1"/>
                <w:sz w:val="20"/>
                <w:szCs w:val="20"/>
                <w:lang w:val="fr-FR" w:eastAsia="fr-FR"/>
              </w:rPr>
              <w:t xml:space="preserve"> </w:t>
            </w:r>
          </w:p>
        </w:tc>
        <w:tc>
          <w:tcPr>
            <w:tcW w:w="851" w:type="dxa"/>
            <w:tcBorders>
              <w:top w:val="single" w:sz="4" w:space="0" w:color="auto"/>
              <w:bottom w:val="single" w:sz="4" w:space="0" w:color="auto"/>
            </w:tcBorders>
          </w:tcPr>
          <w:p w14:paraId="06F28C84" w14:textId="77777777" w:rsidR="00FD140A" w:rsidRPr="00015C58" w:rsidRDefault="00FD140A" w:rsidP="00015C58">
            <w:pPr>
              <w:jc w:val="center"/>
              <w:rPr>
                <w:rFonts w:eastAsia="Times New Roman" w:cs="Times New Roman"/>
                <w:color w:val="000000" w:themeColor="text1"/>
                <w:sz w:val="20"/>
                <w:szCs w:val="20"/>
                <w:lang w:val="fr-FR" w:eastAsia="fr-FR"/>
              </w:rPr>
            </w:pPr>
            <w:r w:rsidRPr="00015C58">
              <w:rPr>
                <w:rFonts w:eastAsia="Times New Roman" w:cs="Times New Roman"/>
                <w:color w:val="000000" w:themeColor="text1"/>
                <w:sz w:val="20"/>
                <w:szCs w:val="20"/>
                <w:lang w:val="fr-FR" w:eastAsia="fr-FR"/>
              </w:rPr>
              <w:t>Harea</w:t>
            </w:r>
          </w:p>
        </w:tc>
        <w:tc>
          <w:tcPr>
            <w:tcW w:w="850" w:type="dxa"/>
            <w:tcBorders>
              <w:top w:val="single" w:sz="4" w:space="0" w:color="auto"/>
              <w:bottom w:val="single" w:sz="4" w:space="0" w:color="auto"/>
            </w:tcBorders>
          </w:tcPr>
          <w:p w14:paraId="22054F6A" w14:textId="77777777" w:rsidR="00FD140A" w:rsidRPr="00015C58" w:rsidRDefault="00FD140A" w:rsidP="00015C58">
            <w:pPr>
              <w:jc w:val="center"/>
              <w:rPr>
                <w:rFonts w:eastAsia="Times New Roman" w:cs="Arial"/>
                <w:sz w:val="20"/>
                <w:szCs w:val="20"/>
              </w:rPr>
            </w:pPr>
            <w:r w:rsidRPr="00015C58">
              <w:rPr>
                <w:rFonts w:eastAsia="Times New Roman" w:cs="Times New Roman"/>
                <w:color w:val="000000" w:themeColor="text1"/>
                <w:sz w:val="20"/>
                <w:szCs w:val="20"/>
                <w:lang w:val="fr-FR" w:eastAsia="fr-FR"/>
              </w:rPr>
              <w:t>H</w:t>
            </w:r>
            <w:r w:rsidRPr="00015C58">
              <w:rPr>
                <w:rFonts w:eastAsia="Times New Roman" w:cs="Times New Roman"/>
                <w:color w:val="000000" w:themeColor="text1"/>
                <w:sz w:val="20"/>
                <w:szCs w:val="20"/>
                <w:vertAlign w:val="subscript"/>
                <w:lang w:val="fr-FR" w:eastAsia="fr-FR"/>
              </w:rPr>
              <w:t>s-mean</w:t>
            </w:r>
          </w:p>
        </w:tc>
        <w:tc>
          <w:tcPr>
            <w:tcW w:w="851" w:type="dxa"/>
            <w:tcBorders>
              <w:top w:val="single" w:sz="4" w:space="0" w:color="auto"/>
              <w:bottom w:val="single" w:sz="4" w:space="0" w:color="auto"/>
            </w:tcBorders>
          </w:tcPr>
          <w:p w14:paraId="40C45679" w14:textId="77777777" w:rsidR="00FD140A" w:rsidRPr="00015C58" w:rsidRDefault="00FD140A" w:rsidP="00015C58">
            <w:pPr>
              <w:jc w:val="center"/>
              <w:rPr>
                <w:rFonts w:eastAsia="Times New Roman" w:cs="Arial"/>
                <w:sz w:val="20"/>
                <w:szCs w:val="20"/>
              </w:rPr>
            </w:pPr>
            <w:r w:rsidRPr="00015C58">
              <w:rPr>
                <w:rFonts w:cs="Arial"/>
                <w:sz w:val="20"/>
                <w:szCs w:val="20"/>
              </w:rPr>
              <w:t>s</w:t>
            </w:r>
            <w:r w:rsidRPr="00015C58">
              <w:rPr>
                <w:rFonts w:cs="Arial"/>
                <w:sz w:val="20"/>
                <w:szCs w:val="20"/>
                <w:vertAlign w:val="subscript"/>
              </w:rPr>
              <w:t>g2</w:t>
            </w:r>
            <w:r w:rsidRPr="00015C58">
              <w:rPr>
                <w:rFonts w:eastAsia="Times New Roman" w:cs="Times New Roman"/>
                <w:color w:val="000000"/>
                <w:sz w:val="20"/>
                <w:szCs w:val="20"/>
                <w:vertAlign w:val="subscript"/>
                <w:lang w:val="fr-FR" w:eastAsia="fr-FR"/>
              </w:rPr>
              <w:t>-mean</w:t>
            </w:r>
          </w:p>
        </w:tc>
      </w:tr>
      <w:tr w:rsidR="00FD140A" w:rsidRPr="00015C58" w14:paraId="0BE72769" w14:textId="77777777" w:rsidTr="00A8536C">
        <w:trPr>
          <w:trHeight w:val="326"/>
        </w:trPr>
        <w:tc>
          <w:tcPr>
            <w:tcW w:w="1843" w:type="dxa"/>
            <w:tcBorders>
              <w:top w:val="single" w:sz="4" w:space="0" w:color="auto"/>
              <w:bottom w:val="single" w:sz="4" w:space="0" w:color="auto"/>
            </w:tcBorders>
            <w:noWrap/>
            <w:hideMark/>
          </w:tcPr>
          <w:p w14:paraId="035A5B0E" w14:textId="77777777" w:rsidR="00FD140A" w:rsidRPr="00015C58" w:rsidRDefault="00FD140A" w:rsidP="00015C58">
            <w:pPr>
              <w:widowControl/>
              <w:rPr>
                <w:rFonts w:eastAsia="Times New Roman" w:cs="Times New Roman"/>
                <w:sz w:val="20"/>
                <w:szCs w:val="20"/>
                <w:lang w:val="fr-FR" w:eastAsia="fr-FR"/>
              </w:rPr>
            </w:pPr>
            <w:r w:rsidRPr="00015C58">
              <w:rPr>
                <w:rFonts w:eastAsia="Times New Roman" w:cs="Times New Roman"/>
                <w:color w:val="000000"/>
                <w:sz w:val="20"/>
                <w:szCs w:val="20"/>
                <w:lang w:val="fr-FR" w:eastAsia="fr-FR"/>
              </w:rPr>
              <w:t>Native Range</w:t>
            </w:r>
          </w:p>
        </w:tc>
        <w:tc>
          <w:tcPr>
            <w:tcW w:w="1134" w:type="dxa"/>
            <w:tcBorders>
              <w:top w:val="single" w:sz="4" w:space="0" w:color="auto"/>
              <w:bottom w:val="single" w:sz="4" w:space="0" w:color="auto"/>
            </w:tcBorders>
            <w:noWrap/>
            <w:hideMark/>
          </w:tcPr>
          <w:p w14:paraId="3C63ED05" w14:textId="77777777" w:rsidR="00FD140A" w:rsidRPr="00015C58" w:rsidRDefault="00FD140A" w:rsidP="00015C58">
            <w:pPr>
              <w:widowControl/>
              <w:rPr>
                <w:rFonts w:eastAsia="Times New Roman" w:cs="Times New Roman"/>
                <w:sz w:val="20"/>
                <w:szCs w:val="20"/>
                <w:lang w:val="fr-FR" w:eastAsia="fr-FR"/>
              </w:rPr>
            </w:pPr>
          </w:p>
        </w:tc>
        <w:tc>
          <w:tcPr>
            <w:tcW w:w="1844" w:type="dxa"/>
            <w:tcBorders>
              <w:top w:val="single" w:sz="4" w:space="0" w:color="auto"/>
              <w:bottom w:val="single" w:sz="4" w:space="0" w:color="auto"/>
            </w:tcBorders>
            <w:noWrap/>
            <w:hideMark/>
          </w:tcPr>
          <w:p w14:paraId="6088B6DA" w14:textId="77777777" w:rsidR="00FD140A" w:rsidRPr="00015C58" w:rsidRDefault="00FD140A" w:rsidP="00015C58">
            <w:pPr>
              <w:widowControl/>
              <w:rPr>
                <w:rFonts w:eastAsia="Times New Roman" w:cs="Times New Roman"/>
                <w:sz w:val="20"/>
                <w:szCs w:val="20"/>
                <w:lang w:val="fr-FR" w:eastAsia="fr-FR"/>
              </w:rPr>
            </w:pPr>
          </w:p>
        </w:tc>
        <w:tc>
          <w:tcPr>
            <w:tcW w:w="851" w:type="dxa"/>
            <w:tcBorders>
              <w:top w:val="single" w:sz="4" w:space="0" w:color="auto"/>
              <w:bottom w:val="single" w:sz="4" w:space="0" w:color="auto"/>
            </w:tcBorders>
            <w:shd w:val="clear" w:color="auto" w:fill="auto"/>
          </w:tcPr>
          <w:p w14:paraId="77DBA175"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78</w:t>
            </w:r>
          </w:p>
        </w:tc>
        <w:tc>
          <w:tcPr>
            <w:tcW w:w="850" w:type="dxa"/>
            <w:tcBorders>
              <w:top w:val="single" w:sz="4" w:space="0" w:color="auto"/>
              <w:bottom w:val="single" w:sz="4" w:space="0" w:color="auto"/>
            </w:tcBorders>
            <w:noWrap/>
            <w:hideMark/>
          </w:tcPr>
          <w:p w14:paraId="3FCE04A8"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8580</w:t>
            </w:r>
          </w:p>
        </w:tc>
        <w:tc>
          <w:tcPr>
            <w:tcW w:w="709" w:type="dxa"/>
            <w:tcBorders>
              <w:top w:val="single" w:sz="4" w:space="0" w:color="auto"/>
              <w:bottom w:val="single" w:sz="4" w:space="0" w:color="auto"/>
            </w:tcBorders>
            <w:noWrap/>
            <w:hideMark/>
          </w:tcPr>
          <w:p w14:paraId="5D95844F"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6821</w:t>
            </w:r>
          </w:p>
        </w:tc>
        <w:tc>
          <w:tcPr>
            <w:tcW w:w="850" w:type="dxa"/>
            <w:tcBorders>
              <w:top w:val="single" w:sz="4" w:space="0" w:color="auto"/>
              <w:bottom w:val="single" w:sz="4" w:space="0" w:color="auto"/>
            </w:tcBorders>
          </w:tcPr>
          <w:p w14:paraId="4C01BE63"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60</w:t>
            </w:r>
          </w:p>
        </w:tc>
        <w:tc>
          <w:tcPr>
            <w:tcW w:w="851" w:type="dxa"/>
            <w:tcBorders>
              <w:top w:val="single" w:sz="4" w:space="0" w:color="auto"/>
              <w:bottom w:val="single" w:sz="4" w:space="0" w:color="auto"/>
            </w:tcBorders>
          </w:tcPr>
          <w:p w14:paraId="79F1C72F"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0.364</w:t>
            </w:r>
          </w:p>
        </w:tc>
        <w:tc>
          <w:tcPr>
            <w:tcW w:w="850" w:type="dxa"/>
            <w:tcBorders>
              <w:top w:val="single" w:sz="4" w:space="0" w:color="auto"/>
              <w:bottom w:val="single" w:sz="4" w:space="0" w:color="auto"/>
            </w:tcBorders>
            <w:noWrap/>
            <w:hideMark/>
          </w:tcPr>
          <w:p w14:paraId="4B735381" w14:textId="77777777" w:rsidR="00FD140A" w:rsidRPr="00015C58" w:rsidRDefault="00FD140A" w:rsidP="00015C58">
            <w:pPr>
              <w:widowControl/>
              <w:jc w:val="center"/>
              <w:rPr>
                <w:rFonts w:eastAsia="Times New Roman" w:cs="Times New Roman"/>
                <w:color w:val="595959"/>
                <w:sz w:val="20"/>
                <w:szCs w:val="20"/>
                <w:lang w:val="fr-FR" w:eastAsia="fr-FR"/>
              </w:rPr>
            </w:pPr>
            <w:r w:rsidRPr="00015C58">
              <w:rPr>
                <w:rFonts w:eastAsia="Times New Roman" w:cs="Times New Roman"/>
                <w:color w:val="000000"/>
                <w:sz w:val="20"/>
                <w:szCs w:val="20"/>
                <w:lang w:val="fr-FR" w:eastAsia="fr-FR"/>
              </w:rPr>
              <w:t>0.161</w:t>
            </w:r>
          </w:p>
        </w:tc>
        <w:tc>
          <w:tcPr>
            <w:tcW w:w="851" w:type="dxa"/>
            <w:tcBorders>
              <w:top w:val="single" w:sz="4" w:space="0" w:color="auto"/>
              <w:bottom w:val="single" w:sz="4" w:space="0" w:color="auto"/>
            </w:tcBorders>
            <w:noWrap/>
            <w:hideMark/>
          </w:tcPr>
          <w:p w14:paraId="22575867"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0.765</w:t>
            </w:r>
          </w:p>
        </w:tc>
      </w:tr>
      <w:tr w:rsidR="00FD140A" w:rsidRPr="00015C58" w14:paraId="610C9928" w14:textId="77777777" w:rsidTr="00A8536C">
        <w:trPr>
          <w:trHeight w:val="326"/>
        </w:trPr>
        <w:tc>
          <w:tcPr>
            <w:tcW w:w="2977" w:type="dxa"/>
            <w:gridSpan w:val="2"/>
            <w:tcBorders>
              <w:top w:val="single" w:sz="4" w:space="0" w:color="auto"/>
            </w:tcBorders>
            <w:noWrap/>
            <w:hideMark/>
          </w:tcPr>
          <w:p w14:paraId="3DDF9F44" w14:textId="77777777" w:rsidR="00FD140A" w:rsidRPr="00015C58" w:rsidRDefault="00FD140A" w:rsidP="00015C58">
            <w:pPr>
              <w:widowControl/>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Introduced Ranges</w:t>
            </w:r>
          </w:p>
        </w:tc>
        <w:tc>
          <w:tcPr>
            <w:tcW w:w="1844" w:type="dxa"/>
            <w:tcBorders>
              <w:top w:val="single" w:sz="4" w:space="0" w:color="auto"/>
              <w:bottom w:val="single" w:sz="4" w:space="0" w:color="auto"/>
            </w:tcBorders>
            <w:noWrap/>
          </w:tcPr>
          <w:p w14:paraId="46EDCF6A" w14:textId="77777777" w:rsidR="00FD140A" w:rsidRPr="00015C58" w:rsidRDefault="00FD140A" w:rsidP="00015C58">
            <w:pPr>
              <w:widowControl/>
              <w:rPr>
                <w:rFonts w:eastAsia="Times New Roman" w:cs="Times New Roman"/>
                <w:sz w:val="20"/>
                <w:szCs w:val="20"/>
                <w:lang w:val="fr-FR" w:eastAsia="fr-FR"/>
              </w:rPr>
            </w:pPr>
          </w:p>
        </w:tc>
        <w:tc>
          <w:tcPr>
            <w:tcW w:w="851" w:type="dxa"/>
            <w:tcBorders>
              <w:top w:val="single" w:sz="4" w:space="0" w:color="auto"/>
              <w:bottom w:val="single" w:sz="4" w:space="0" w:color="auto"/>
            </w:tcBorders>
            <w:shd w:val="clear" w:color="auto" w:fill="auto"/>
          </w:tcPr>
          <w:p w14:paraId="2C3AFBF0" w14:textId="77777777" w:rsidR="00FD140A" w:rsidRPr="00015C58" w:rsidRDefault="00FD140A" w:rsidP="00015C58">
            <w:pPr>
              <w:widowControl/>
              <w:jc w:val="center"/>
              <w:rPr>
                <w:rFonts w:eastAsia="Times New Roman" w:cs="Times New Roman"/>
                <w:color w:val="000000"/>
                <w:sz w:val="20"/>
                <w:szCs w:val="20"/>
                <w:lang w:val="fr-FR" w:eastAsia="fr-FR"/>
              </w:rPr>
            </w:pPr>
          </w:p>
        </w:tc>
        <w:tc>
          <w:tcPr>
            <w:tcW w:w="850" w:type="dxa"/>
            <w:tcBorders>
              <w:top w:val="single" w:sz="4" w:space="0" w:color="auto"/>
              <w:bottom w:val="single" w:sz="4" w:space="0" w:color="auto"/>
            </w:tcBorders>
            <w:noWrap/>
          </w:tcPr>
          <w:p w14:paraId="6DDFE546" w14:textId="77777777" w:rsidR="00FD140A" w:rsidRPr="00015C58" w:rsidRDefault="00FD140A" w:rsidP="00015C58">
            <w:pPr>
              <w:widowControl/>
              <w:jc w:val="center"/>
              <w:rPr>
                <w:rFonts w:eastAsia="Times New Roman" w:cs="Times New Roman"/>
                <w:color w:val="000000"/>
                <w:sz w:val="20"/>
                <w:szCs w:val="20"/>
                <w:lang w:val="fr-FR" w:eastAsia="fr-FR"/>
              </w:rPr>
            </w:pPr>
          </w:p>
        </w:tc>
        <w:tc>
          <w:tcPr>
            <w:tcW w:w="709" w:type="dxa"/>
            <w:tcBorders>
              <w:top w:val="single" w:sz="4" w:space="0" w:color="auto"/>
              <w:bottom w:val="single" w:sz="4" w:space="0" w:color="auto"/>
            </w:tcBorders>
            <w:noWrap/>
          </w:tcPr>
          <w:p w14:paraId="416BAC62" w14:textId="77777777" w:rsidR="00FD140A" w:rsidRPr="00015C58" w:rsidRDefault="00FD140A" w:rsidP="00015C58">
            <w:pPr>
              <w:widowControl/>
              <w:jc w:val="center"/>
              <w:rPr>
                <w:rFonts w:eastAsia="Times New Roman" w:cs="Times New Roman"/>
                <w:color w:val="000000"/>
                <w:sz w:val="20"/>
                <w:szCs w:val="20"/>
                <w:lang w:val="fr-FR" w:eastAsia="fr-FR"/>
              </w:rPr>
            </w:pPr>
          </w:p>
        </w:tc>
        <w:tc>
          <w:tcPr>
            <w:tcW w:w="850" w:type="dxa"/>
            <w:tcBorders>
              <w:top w:val="single" w:sz="4" w:space="0" w:color="auto"/>
              <w:bottom w:val="single" w:sz="4" w:space="0" w:color="auto"/>
            </w:tcBorders>
          </w:tcPr>
          <w:p w14:paraId="5AC1127A" w14:textId="77777777" w:rsidR="00FD140A" w:rsidRPr="00015C58" w:rsidRDefault="00FD140A" w:rsidP="00015C58">
            <w:pPr>
              <w:widowControl/>
              <w:jc w:val="center"/>
              <w:rPr>
                <w:rFonts w:eastAsia="Times New Roman" w:cs="Times New Roman"/>
                <w:color w:val="000000"/>
                <w:sz w:val="20"/>
                <w:szCs w:val="20"/>
                <w:lang w:val="fr-FR" w:eastAsia="fr-FR"/>
              </w:rPr>
            </w:pPr>
          </w:p>
        </w:tc>
        <w:tc>
          <w:tcPr>
            <w:tcW w:w="851" w:type="dxa"/>
            <w:tcBorders>
              <w:top w:val="single" w:sz="4" w:space="0" w:color="auto"/>
              <w:bottom w:val="single" w:sz="4" w:space="0" w:color="auto"/>
            </w:tcBorders>
          </w:tcPr>
          <w:p w14:paraId="3BEEBB38" w14:textId="77777777" w:rsidR="00FD140A" w:rsidRPr="00015C58" w:rsidRDefault="00FD140A" w:rsidP="00015C58">
            <w:pPr>
              <w:widowControl/>
              <w:jc w:val="center"/>
              <w:rPr>
                <w:rFonts w:eastAsia="Times New Roman" w:cs="Times New Roman"/>
                <w:color w:val="000000"/>
                <w:sz w:val="20"/>
                <w:szCs w:val="20"/>
                <w:lang w:val="fr-FR" w:eastAsia="fr-FR"/>
              </w:rPr>
            </w:pPr>
          </w:p>
        </w:tc>
        <w:tc>
          <w:tcPr>
            <w:tcW w:w="850" w:type="dxa"/>
            <w:tcBorders>
              <w:top w:val="single" w:sz="4" w:space="0" w:color="auto"/>
              <w:bottom w:val="single" w:sz="4" w:space="0" w:color="auto"/>
            </w:tcBorders>
            <w:noWrap/>
          </w:tcPr>
          <w:p w14:paraId="50913892" w14:textId="77777777" w:rsidR="00FD140A" w:rsidRPr="00015C58" w:rsidRDefault="00FD140A" w:rsidP="00015C58">
            <w:pPr>
              <w:widowControl/>
              <w:jc w:val="center"/>
              <w:rPr>
                <w:rFonts w:eastAsia="Times New Roman" w:cs="Times New Roman"/>
                <w:color w:val="000000"/>
                <w:sz w:val="20"/>
                <w:szCs w:val="20"/>
                <w:lang w:val="fr-FR" w:eastAsia="fr-FR"/>
              </w:rPr>
            </w:pPr>
          </w:p>
        </w:tc>
        <w:tc>
          <w:tcPr>
            <w:tcW w:w="851" w:type="dxa"/>
            <w:tcBorders>
              <w:top w:val="single" w:sz="4" w:space="0" w:color="auto"/>
              <w:bottom w:val="single" w:sz="4" w:space="0" w:color="auto"/>
            </w:tcBorders>
            <w:noWrap/>
          </w:tcPr>
          <w:p w14:paraId="6E342216" w14:textId="77777777" w:rsidR="00FD140A" w:rsidRPr="00015C58" w:rsidRDefault="00FD140A" w:rsidP="00015C58">
            <w:pPr>
              <w:widowControl/>
              <w:jc w:val="center"/>
              <w:rPr>
                <w:rFonts w:eastAsia="Times New Roman" w:cs="Times New Roman"/>
                <w:color w:val="000000"/>
                <w:sz w:val="20"/>
                <w:szCs w:val="20"/>
                <w:lang w:val="fr-FR" w:eastAsia="fr-FR"/>
              </w:rPr>
            </w:pPr>
          </w:p>
        </w:tc>
      </w:tr>
      <w:tr w:rsidR="00FD140A" w:rsidRPr="00015C58" w14:paraId="173A38C1" w14:textId="77777777" w:rsidTr="00A8536C">
        <w:trPr>
          <w:trHeight w:val="326"/>
        </w:trPr>
        <w:tc>
          <w:tcPr>
            <w:tcW w:w="1843" w:type="dxa"/>
            <w:tcBorders>
              <w:top w:val="single" w:sz="4" w:space="0" w:color="auto"/>
            </w:tcBorders>
            <w:noWrap/>
          </w:tcPr>
          <w:p w14:paraId="3B5C746A" w14:textId="77777777" w:rsidR="00FD140A" w:rsidRPr="00015C58" w:rsidRDefault="00FD140A" w:rsidP="00015C58">
            <w:pPr>
              <w:widowControl/>
              <w:rPr>
                <w:rFonts w:eastAsia="Times New Roman" w:cs="Times New Roman"/>
                <w:color w:val="000000"/>
                <w:sz w:val="20"/>
                <w:szCs w:val="20"/>
                <w:lang w:val="fr-FR" w:eastAsia="fr-FR"/>
              </w:rPr>
            </w:pPr>
          </w:p>
        </w:tc>
        <w:tc>
          <w:tcPr>
            <w:tcW w:w="2978" w:type="dxa"/>
            <w:gridSpan w:val="2"/>
            <w:tcBorders>
              <w:top w:val="single" w:sz="4" w:space="0" w:color="auto"/>
              <w:bottom w:val="single" w:sz="4" w:space="0" w:color="auto"/>
            </w:tcBorders>
            <w:noWrap/>
          </w:tcPr>
          <w:p w14:paraId="64EADB06" w14:textId="77777777" w:rsidR="00FD140A" w:rsidRPr="00015C58" w:rsidRDefault="00FD140A" w:rsidP="00015C58">
            <w:pPr>
              <w:widowControl/>
              <w:rPr>
                <w:rFonts w:eastAsia="Times New Roman" w:cs="Times New Roman"/>
                <w:sz w:val="20"/>
                <w:szCs w:val="20"/>
                <w:lang w:val="fr-FR" w:eastAsia="fr-FR"/>
              </w:rPr>
            </w:pPr>
            <w:r w:rsidRPr="00015C58">
              <w:rPr>
                <w:rFonts w:eastAsia="Times New Roman" w:cs="Times New Roman"/>
                <w:color w:val="000000"/>
                <w:sz w:val="20"/>
                <w:szCs w:val="20"/>
                <w:lang w:val="fr-FR" w:eastAsia="fr-FR"/>
              </w:rPr>
              <w:t>NEP and NEA</w:t>
            </w:r>
          </w:p>
        </w:tc>
        <w:tc>
          <w:tcPr>
            <w:tcW w:w="851" w:type="dxa"/>
            <w:tcBorders>
              <w:top w:val="single" w:sz="4" w:space="0" w:color="auto"/>
              <w:bottom w:val="single" w:sz="4" w:space="0" w:color="auto"/>
            </w:tcBorders>
            <w:shd w:val="clear" w:color="auto" w:fill="auto"/>
          </w:tcPr>
          <w:p w14:paraId="20E17130"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222</w:t>
            </w:r>
          </w:p>
        </w:tc>
        <w:tc>
          <w:tcPr>
            <w:tcW w:w="850" w:type="dxa"/>
            <w:tcBorders>
              <w:top w:val="single" w:sz="4" w:space="0" w:color="auto"/>
              <w:bottom w:val="single" w:sz="4" w:space="0" w:color="auto"/>
            </w:tcBorders>
            <w:noWrap/>
          </w:tcPr>
          <w:p w14:paraId="03C00985"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1988</w:t>
            </w:r>
          </w:p>
        </w:tc>
        <w:tc>
          <w:tcPr>
            <w:tcW w:w="709" w:type="dxa"/>
            <w:tcBorders>
              <w:top w:val="single" w:sz="4" w:space="0" w:color="auto"/>
              <w:bottom w:val="single" w:sz="4" w:space="0" w:color="auto"/>
            </w:tcBorders>
            <w:noWrap/>
          </w:tcPr>
          <w:p w14:paraId="7939E6F0"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208</w:t>
            </w:r>
          </w:p>
        </w:tc>
        <w:tc>
          <w:tcPr>
            <w:tcW w:w="850" w:type="dxa"/>
            <w:tcBorders>
              <w:top w:val="single" w:sz="4" w:space="0" w:color="auto"/>
              <w:bottom w:val="single" w:sz="4" w:space="0" w:color="auto"/>
            </w:tcBorders>
          </w:tcPr>
          <w:p w14:paraId="3D5D8B29"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195</w:t>
            </w:r>
          </w:p>
        </w:tc>
        <w:tc>
          <w:tcPr>
            <w:tcW w:w="851" w:type="dxa"/>
            <w:tcBorders>
              <w:top w:val="single" w:sz="4" w:space="0" w:color="auto"/>
              <w:bottom w:val="single" w:sz="4" w:space="0" w:color="auto"/>
            </w:tcBorders>
          </w:tcPr>
          <w:p w14:paraId="48B0750B"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0.037</w:t>
            </w:r>
          </w:p>
        </w:tc>
        <w:tc>
          <w:tcPr>
            <w:tcW w:w="850" w:type="dxa"/>
            <w:tcBorders>
              <w:top w:val="single" w:sz="4" w:space="0" w:color="auto"/>
              <w:bottom w:val="single" w:sz="4" w:space="0" w:color="auto"/>
            </w:tcBorders>
            <w:noWrap/>
          </w:tcPr>
          <w:p w14:paraId="3486F5F9"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0.012</w:t>
            </w:r>
          </w:p>
        </w:tc>
        <w:tc>
          <w:tcPr>
            <w:tcW w:w="851" w:type="dxa"/>
            <w:tcBorders>
              <w:top w:val="single" w:sz="4" w:space="0" w:color="auto"/>
              <w:bottom w:val="single" w:sz="4" w:space="0" w:color="auto"/>
            </w:tcBorders>
            <w:noWrap/>
          </w:tcPr>
          <w:p w14:paraId="3897162B"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0.251</w:t>
            </w:r>
          </w:p>
        </w:tc>
      </w:tr>
      <w:tr w:rsidR="00FD140A" w:rsidRPr="00015C58" w14:paraId="269CC02D" w14:textId="77777777" w:rsidTr="00A8536C">
        <w:trPr>
          <w:trHeight w:val="326"/>
        </w:trPr>
        <w:tc>
          <w:tcPr>
            <w:tcW w:w="1843" w:type="dxa"/>
            <w:noWrap/>
            <w:hideMark/>
          </w:tcPr>
          <w:p w14:paraId="2FA00261" w14:textId="77777777" w:rsidR="00FD140A" w:rsidRPr="00015C58" w:rsidRDefault="00FD140A" w:rsidP="00015C58">
            <w:pPr>
              <w:widowControl/>
              <w:rPr>
                <w:rFonts w:eastAsia="Times New Roman" w:cs="Times New Roman"/>
                <w:color w:val="000000"/>
                <w:sz w:val="20"/>
                <w:szCs w:val="20"/>
                <w:lang w:val="fr-FR" w:eastAsia="fr-FR"/>
              </w:rPr>
            </w:pPr>
          </w:p>
        </w:tc>
        <w:tc>
          <w:tcPr>
            <w:tcW w:w="1134" w:type="dxa"/>
            <w:tcBorders>
              <w:top w:val="single" w:sz="4" w:space="0" w:color="auto"/>
            </w:tcBorders>
            <w:noWrap/>
            <w:hideMark/>
          </w:tcPr>
          <w:p w14:paraId="28881AE8" w14:textId="77777777" w:rsidR="00FD140A" w:rsidRPr="00015C58" w:rsidRDefault="00FD140A" w:rsidP="00015C58">
            <w:pPr>
              <w:widowControl/>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NEP only</w:t>
            </w:r>
          </w:p>
        </w:tc>
        <w:tc>
          <w:tcPr>
            <w:tcW w:w="1844" w:type="dxa"/>
            <w:tcBorders>
              <w:top w:val="single" w:sz="4" w:space="0" w:color="auto"/>
            </w:tcBorders>
            <w:noWrap/>
            <w:hideMark/>
          </w:tcPr>
          <w:p w14:paraId="087CFDB1" w14:textId="77777777" w:rsidR="00FD140A" w:rsidRPr="00015C58" w:rsidRDefault="00FD140A" w:rsidP="00015C58">
            <w:pPr>
              <w:widowControl/>
              <w:rPr>
                <w:rFonts w:eastAsia="Times New Roman" w:cs="Times New Roman"/>
                <w:color w:val="000000"/>
                <w:sz w:val="20"/>
                <w:szCs w:val="20"/>
                <w:lang w:val="fr-FR" w:eastAsia="fr-FR"/>
              </w:rPr>
            </w:pPr>
          </w:p>
        </w:tc>
        <w:tc>
          <w:tcPr>
            <w:tcW w:w="851" w:type="dxa"/>
            <w:tcBorders>
              <w:top w:val="single" w:sz="4" w:space="0" w:color="auto"/>
            </w:tcBorders>
            <w:shd w:val="clear" w:color="auto" w:fill="auto"/>
          </w:tcPr>
          <w:p w14:paraId="3E1D26C0"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87</w:t>
            </w:r>
          </w:p>
        </w:tc>
        <w:tc>
          <w:tcPr>
            <w:tcW w:w="850" w:type="dxa"/>
            <w:tcBorders>
              <w:top w:val="single" w:sz="4" w:space="0" w:color="auto"/>
            </w:tcBorders>
            <w:noWrap/>
            <w:hideMark/>
          </w:tcPr>
          <w:p w14:paraId="7F64571B"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1733</w:t>
            </w:r>
          </w:p>
        </w:tc>
        <w:tc>
          <w:tcPr>
            <w:tcW w:w="709" w:type="dxa"/>
            <w:tcBorders>
              <w:top w:val="single" w:sz="4" w:space="0" w:color="auto"/>
            </w:tcBorders>
            <w:noWrap/>
            <w:hideMark/>
          </w:tcPr>
          <w:p w14:paraId="476EB253"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99</w:t>
            </w:r>
          </w:p>
        </w:tc>
        <w:tc>
          <w:tcPr>
            <w:tcW w:w="850" w:type="dxa"/>
            <w:tcBorders>
              <w:top w:val="single" w:sz="4" w:space="0" w:color="auto"/>
            </w:tcBorders>
          </w:tcPr>
          <w:p w14:paraId="7CBBFC61"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77</w:t>
            </w:r>
          </w:p>
        </w:tc>
        <w:tc>
          <w:tcPr>
            <w:tcW w:w="851" w:type="dxa"/>
            <w:tcBorders>
              <w:top w:val="single" w:sz="4" w:space="0" w:color="auto"/>
            </w:tcBorders>
          </w:tcPr>
          <w:p w14:paraId="52CE1A76"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0.043</w:t>
            </w:r>
          </w:p>
        </w:tc>
        <w:tc>
          <w:tcPr>
            <w:tcW w:w="850" w:type="dxa"/>
            <w:tcBorders>
              <w:top w:val="single" w:sz="4" w:space="0" w:color="auto"/>
            </w:tcBorders>
            <w:noWrap/>
            <w:hideMark/>
          </w:tcPr>
          <w:p w14:paraId="47D9F935"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0.017</w:t>
            </w:r>
          </w:p>
        </w:tc>
        <w:tc>
          <w:tcPr>
            <w:tcW w:w="851" w:type="dxa"/>
            <w:tcBorders>
              <w:top w:val="single" w:sz="4" w:space="0" w:color="auto"/>
            </w:tcBorders>
            <w:noWrap/>
            <w:hideMark/>
          </w:tcPr>
          <w:p w14:paraId="103A4604"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0.261</w:t>
            </w:r>
          </w:p>
        </w:tc>
      </w:tr>
      <w:tr w:rsidR="00FD140A" w:rsidRPr="00015C58" w14:paraId="7F94E8FA" w14:textId="77777777" w:rsidTr="00A8536C">
        <w:trPr>
          <w:trHeight w:val="326"/>
        </w:trPr>
        <w:tc>
          <w:tcPr>
            <w:tcW w:w="1843" w:type="dxa"/>
            <w:noWrap/>
            <w:hideMark/>
          </w:tcPr>
          <w:p w14:paraId="66854514" w14:textId="77777777" w:rsidR="00FD140A" w:rsidRPr="00015C58" w:rsidRDefault="00FD140A" w:rsidP="00015C58">
            <w:pPr>
              <w:widowControl/>
              <w:jc w:val="right"/>
              <w:rPr>
                <w:rFonts w:eastAsia="Times New Roman" w:cs="Times New Roman"/>
                <w:color w:val="000000"/>
                <w:sz w:val="20"/>
                <w:szCs w:val="20"/>
                <w:lang w:val="fr-FR" w:eastAsia="fr-FR"/>
              </w:rPr>
            </w:pPr>
          </w:p>
        </w:tc>
        <w:tc>
          <w:tcPr>
            <w:tcW w:w="1134" w:type="dxa"/>
            <w:noWrap/>
            <w:hideMark/>
          </w:tcPr>
          <w:p w14:paraId="21B7FC17" w14:textId="77777777" w:rsidR="00FD140A" w:rsidRPr="00015C58" w:rsidRDefault="00FD140A" w:rsidP="00015C58">
            <w:pPr>
              <w:widowControl/>
              <w:rPr>
                <w:rFonts w:eastAsia="Times New Roman" w:cs="Times New Roman"/>
                <w:color w:val="000000"/>
                <w:sz w:val="20"/>
                <w:szCs w:val="20"/>
                <w:lang w:val="fr-FR" w:eastAsia="fr-FR"/>
              </w:rPr>
            </w:pPr>
          </w:p>
        </w:tc>
        <w:tc>
          <w:tcPr>
            <w:tcW w:w="1844" w:type="dxa"/>
            <w:noWrap/>
            <w:hideMark/>
          </w:tcPr>
          <w:p w14:paraId="2A4EC072" w14:textId="77777777" w:rsidR="00FD140A" w:rsidRPr="00015C58" w:rsidRDefault="00FD140A" w:rsidP="00015C58">
            <w:pPr>
              <w:widowControl/>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North NEP</w:t>
            </w:r>
          </w:p>
        </w:tc>
        <w:tc>
          <w:tcPr>
            <w:tcW w:w="851" w:type="dxa"/>
            <w:shd w:val="clear" w:color="auto" w:fill="auto"/>
          </w:tcPr>
          <w:p w14:paraId="2A3990D5"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39</w:t>
            </w:r>
          </w:p>
        </w:tc>
        <w:tc>
          <w:tcPr>
            <w:tcW w:w="850" w:type="dxa"/>
            <w:noWrap/>
            <w:hideMark/>
          </w:tcPr>
          <w:p w14:paraId="7D7616CA"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1583</w:t>
            </w:r>
          </w:p>
        </w:tc>
        <w:tc>
          <w:tcPr>
            <w:tcW w:w="709" w:type="dxa"/>
            <w:noWrap/>
            <w:hideMark/>
          </w:tcPr>
          <w:p w14:paraId="3655344D"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98</w:t>
            </w:r>
          </w:p>
        </w:tc>
        <w:tc>
          <w:tcPr>
            <w:tcW w:w="850" w:type="dxa"/>
          </w:tcPr>
          <w:p w14:paraId="7DC43D9E"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29</w:t>
            </w:r>
          </w:p>
        </w:tc>
        <w:tc>
          <w:tcPr>
            <w:tcW w:w="851" w:type="dxa"/>
          </w:tcPr>
          <w:p w14:paraId="6C7CD9D2"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0.057</w:t>
            </w:r>
          </w:p>
        </w:tc>
        <w:tc>
          <w:tcPr>
            <w:tcW w:w="850" w:type="dxa"/>
            <w:noWrap/>
            <w:hideMark/>
          </w:tcPr>
          <w:p w14:paraId="0CBD3E36"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0.033</w:t>
            </w:r>
          </w:p>
        </w:tc>
        <w:tc>
          <w:tcPr>
            <w:tcW w:w="851" w:type="dxa"/>
            <w:noWrap/>
            <w:hideMark/>
          </w:tcPr>
          <w:p w14:paraId="530846E7"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0.449</w:t>
            </w:r>
          </w:p>
        </w:tc>
      </w:tr>
      <w:tr w:rsidR="00FD140A" w:rsidRPr="00015C58" w14:paraId="7F495AE0" w14:textId="77777777" w:rsidTr="00A8536C">
        <w:trPr>
          <w:trHeight w:val="326"/>
        </w:trPr>
        <w:tc>
          <w:tcPr>
            <w:tcW w:w="1843" w:type="dxa"/>
            <w:noWrap/>
            <w:hideMark/>
          </w:tcPr>
          <w:p w14:paraId="0EBAAF97" w14:textId="77777777" w:rsidR="00FD140A" w:rsidRPr="00015C58" w:rsidRDefault="00FD140A" w:rsidP="00015C58">
            <w:pPr>
              <w:widowControl/>
              <w:jc w:val="right"/>
              <w:rPr>
                <w:rFonts w:eastAsia="Times New Roman" w:cs="Times New Roman"/>
                <w:color w:val="000000"/>
                <w:sz w:val="20"/>
                <w:szCs w:val="20"/>
                <w:lang w:val="fr-FR" w:eastAsia="fr-FR"/>
              </w:rPr>
            </w:pPr>
          </w:p>
        </w:tc>
        <w:tc>
          <w:tcPr>
            <w:tcW w:w="1134" w:type="dxa"/>
            <w:tcBorders>
              <w:bottom w:val="single" w:sz="4" w:space="0" w:color="auto"/>
            </w:tcBorders>
            <w:noWrap/>
            <w:hideMark/>
          </w:tcPr>
          <w:p w14:paraId="2AEEF592" w14:textId="77777777" w:rsidR="00FD140A" w:rsidRPr="00015C58" w:rsidRDefault="00FD140A" w:rsidP="00015C58">
            <w:pPr>
              <w:widowControl/>
              <w:rPr>
                <w:rFonts w:eastAsia="Times New Roman" w:cs="Times New Roman"/>
                <w:sz w:val="20"/>
                <w:szCs w:val="20"/>
                <w:lang w:val="fr-FR" w:eastAsia="fr-FR"/>
              </w:rPr>
            </w:pPr>
          </w:p>
        </w:tc>
        <w:tc>
          <w:tcPr>
            <w:tcW w:w="1844" w:type="dxa"/>
            <w:tcBorders>
              <w:bottom w:val="single" w:sz="4" w:space="0" w:color="auto"/>
            </w:tcBorders>
            <w:noWrap/>
            <w:hideMark/>
          </w:tcPr>
          <w:p w14:paraId="2C4FA0FB" w14:textId="77777777" w:rsidR="00FD140A" w:rsidRPr="00015C58" w:rsidRDefault="00FD140A" w:rsidP="00015C58">
            <w:pPr>
              <w:widowControl/>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South NEP</w:t>
            </w:r>
          </w:p>
        </w:tc>
        <w:tc>
          <w:tcPr>
            <w:tcW w:w="851" w:type="dxa"/>
            <w:tcBorders>
              <w:bottom w:val="single" w:sz="4" w:space="0" w:color="auto"/>
            </w:tcBorders>
            <w:shd w:val="clear" w:color="auto" w:fill="auto"/>
          </w:tcPr>
          <w:p w14:paraId="05DF86D8"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38</w:t>
            </w:r>
          </w:p>
        </w:tc>
        <w:tc>
          <w:tcPr>
            <w:tcW w:w="850" w:type="dxa"/>
            <w:tcBorders>
              <w:bottom w:val="single" w:sz="4" w:space="0" w:color="auto"/>
            </w:tcBorders>
            <w:noWrap/>
            <w:hideMark/>
          </w:tcPr>
          <w:p w14:paraId="6B44AEC9"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69</w:t>
            </w:r>
          </w:p>
        </w:tc>
        <w:tc>
          <w:tcPr>
            <w:tcW w:w="709" w:type="dxa"/>
            <w:tcBorders>
              <w:bottom w:val="single" w:sz="4" w:space="0" w:color="auto"/>
            </w:tcBorders>
            <w:noWrap/>
            <w:hideMark/>
          </w:tcPr>
          <w:p w14:paraId="44F23634"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1</w:t>
            </w:r>
          </w:p>
        </w:tc>
        <w:tc>
          <w:tcPr>
            <w:tcW w:w="850" w:type="dxa"/>
            <w:tcBorders>
              <w:bottom w:val="single" w:sz="4" w:space="0" w:color="auto"/>
            </w:tcBorders>
          </w:tcPr>
          <w:p w14:paraId="1B1632FF"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48</w:t>
            </w:r>
          </w:p>
        </w:tc>
        <w:tc>
          <w:tcPr>
            <w:tcW w:w="851" w:type="dxa"/>
            <w:tcBorders>
              <w:bottom w:val="single" w:sz="4" w:space="0" w:color="auto"/>
            </w:tcBorders>
          </w:tcPr>
          <w:p w14:paraId="3DAF2CC4"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0.001</w:t>
            </w:r>
          </w:p>
        </w:tc>
        <w:tc>
          <w:tcPr>
            <w:tcW w:w="850" w:type="dxa"/>
            <w:tcBorders>
              <w:bottom w:val="single" w:sz="4" w:space="0" w:color="auto"/>
            </w:tcBorders>
            <w:noWrap/>
            <w:hideMark/>
          </w:tcPr>
          <w:p w14:paraId="045523AA"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0.001</w:t>
            </w:r>
          </w:p>
        </w:tc>
        <w:tc>
          <w:tcPr>
            <w:tcW w:w="851" w:type="dxa"/>
            <w:tcBorders>
              <w:bottom w:val="single" w:sz="4" w:space="0" w:color="auto"/>
            </w:tcBorders>
            <w:noWrap/>
            <w:hideMark/>
          </w:tcPr>
          <w:p w14:paraId="5145D6AC"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0.073</w:t>
            </w:r>
          </w:p>
        </w:tc>
      </w:tr>
      <w:tr w:rsidR="00FD140A" w:rsidRPr="00015C58" w14:paraId="391651C1" w14:textId="77777777" w:rsidTr="00A8536C">
        <w:trPr>
          <w:trHeight w:val="326"/>
        </w:trPr>
        <w:tc>
          <w:tcPr>
            <w:tcW w:w="1843" w:type="dxa"/>
            <w:noWrap/>
            <w:hideMark/>
          </w:tcPr>
          <w:p w14:paraId="3C302DC6" w14:textId="77777777" w:rsidR="00FD140A" w:rsidRPr="00015C58" w:rsidRDefault="00FD140A" w:rsidP="00015C58">
            <w:pPr>
              <w:widowControl/>
              <w:jc w:val="right"/>
              <w:rPr>
                <w:rFonts w:eastAsia="Times New Roman" w:cs="Times New Roman"/>
                <w:color w:val="000000"/>
                <w:sz w:val="20"/>
                <w:szCs w:val="20"/>
                <w:lang w:val="fr-FR" w:eastAsia="fr-FR"/>
              </w:rPr>
            </w:pPr>
          </w:p>
        </w:tc>
        <w:tc>
          <w:tcPr>
            <w:tcW w:w="1134" w:type="dxa"/>
            <w:tcBorders>
              <w:top w:val="single" w:sz="4" w:space="0" w:color="auto"/>
            </w:tcBorders>
            <w:noWrap/>
            <w:hideMark/>
          </w:tcPr>
          <w:p w14:paraId="1F58DC13" w14:textId="77777777" w:rsidR="00FD140A" w:rsidRPr="00015C58" w:rsidRDefault="00FD140A" w:rsidP="00015C58">
            <w:pPr>
              <w:widowControl/>
              <w:rPr>
                <w:rFonts w:eastAsia="Times New Roman" w:cs="Times New Roman"/>
                <w:sz w:val="20"/>
                <w:szCs w:val="20"/>
                <w:lang w:val="fr-FR" w:eastAsia="fr-FR"/>
              </w:rPr>
            </w:pPr>
            <w:r w:rsidRPr="00015C58">
              <w:rPr>
                <w:rFonts w:eastAsia="Times New Roman" w:cs="Times New Roman"/>
                <w:color w:val="000000"/>
                <w:sz w:val="20"/>
                <w:szCs w:val="20"/>
                <w:lang w:val="fr-FR" w:eastAsia="fr-FR"/>
              </w:rPr>
              <w:t>NEA only</w:t>
            </w:r>
          </w:p>
        </w:tc>
        <w:tc>
          <w:tcPr>
            <w:tcW w:w="1844" w:type="dxa"/>
            <w:tcBorders>
              <w:top w:val="single" w:sz="4" w:space="0" w:color="auto"/>
            </w:tcBorders>
            <w:noWrap/>
          </w:tcPr>
          <w:p w14:paraId="2EFF81E5" w14:textId="77777777" w:rsidR="00FD140A" w:rsidRPr="00015C58" w:rsidRDefault="00FD140A" w:rsidP="00015C58">
            <w:pPr>
              <w:widowControl/>
              <w:rPr>
                <w:rFonts w:eastAsia="Times New Roman" w:cs="Times New Roman"/>
                <w:color w:val="000000"/>
                <w:sz w:val="20"/>
                <w:szCs w:val="20"/>
                <w:lang w:val="fr-FR" w:eastAsia="fr-FR"/>
              </w:rPr>
            </w:pPr>
          </w:p>
        </w:tc>
        <w:tc>
          <w:tcPr>
            <w:tcW w:w="851" w:type="dxa"/>
            <w:tcBorders>
              <w:top w:val="single" w:sz="4" w:space="0" w:color="auto"/>
            </w:tcBorders>
            <w:shd w:val="clear" w:color="auto" w:fill="auto"/>
          </w:tcPr>
          <w:p w14:paraId="1B27027D"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135</w:t>
            </w:r>
          </w:p>
        </w:tc>
        <w:tc>
          <w:tcPr>
            <w:tcW w:w="850" w:type="dxa"/>
            <w:tcBorders>
              <w:top w:val="single" w:sz="4" w:space="0" w:color="auto"/>
            </w:tcBorders>
            <w:noWrap/>
            <w:hideMark/>
          </w:tcPr>
          <w:p w14:paraId="42973626"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994</w:t>
            </w:r>
          </w:p>
        </w:tc>
        <w:tc>
          <w:tcPr>
            <w:tcW w:w="709" w:type="dxa"/>
            <w:tcBorders>
              <w:top w:val="single" w:sz="4" w:space="0" w:color="auto"/>
            </w:tcBorders>
            <w:noWrap/>
            <w:hideMark/>
          </w:tcPr>
          <w:p w14:paraId="3E05273F"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58</w:t>
            </w:r>
          </w:p>
        </w:tc>
        <w:tc>
          <w:tcPr>
            <w:tcW w:w="850" w:type="dxa"/>
            <w:tcBorders>
              <w:top w:val="single" w:sz="4" w:space="0" w:color="auto"/>
            </w:tcBorders>
          </w:tcPr>
          <w:p w14:paraId="66BF74C0"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118</w:t>
            </w:r>
          </w:p>
        </w:tc>
        <w:tc>
          <w:tcPr>
            <w:tcW w:w="851" w:type="dxa"/>
            <w:tcBorders>
              <w:top w:val="single" w:sz="4" w:space="0" w:color="auto"/>
            </w:tcBorders>
          </w:tcPr>
          <w:p w14:paraId="59EED3EC"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0.030</w:t>
            </w:r>
          </w:p>
        </w:tc>
        <w:tc>
          <w:tcPr>
            <w:tcW w:w="850" w:type="dxa"/>
            <w:tcBorders>
              <w:top w:val="single" w:sz="4" w:space="0" w:color="auto"/>
            </w:tcBorders>
            <w:noWrap/>
            <w:hideMark/>
          </w:tcPr>
          <w:p w14:paraId="3A44ED56"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0.008</w:t>
            </w:r>
          </w:p>
        </w:tc>
        <w:tc>
          <w:tcPr>
            <w:tcW w:w="851" w:type="dxa"/>
            <w:tcBorders>
              <w:top w:val="single" w:sz="4" w:space="0" w:color="auto"/>
            </w:tcBorders>
            <w:noWrap/>
            <w:hideMark/>
          </w:tcPr>
          <w:p w14:paraId="0151C59A"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0.244</w:t>
            </w:r>
          </w:p>
        </w:tc>
      </w:tr>
      <w:tr w:rsidR="00FD140A" w:rsidRPr="00015C58" w14:paraId="31CD65D5" w14:textId="77777777" w:rsidTr="00A8536C">
        <w:trPr>
          <w:trHeight w:val="326"/>
        </w:trPr>
        <w:tc>
          <w:tcPr>
            <w:tcW w:w="1843" w:type="dxa"/>
            <w:noWrap/>
            <w:hideMark/>
          </w:tcPr>
          <w:p w14:paraId="284B246B" w14:textId="77777777" w:rsidR="00FD140A" w:rsidRPr="00015C58" w:rsidRDefault="00FD140A" w:rsidP="00015C58">
            <w:pPr>
              <w:widowControl/>
              <w:jc w:val="right"/>
              <w:rPr>
                <w:rFonts w:eastAsia="Times New Roman" w:cs="Times New Roman"/>
                <w:color w:val="000000"/>
                <w:sz w:val="20"/>
                <w:szCs w:val="20"/>
                <w:lang w:val="fr-FR" w:eastAsia="fr-FR"/>
              </w:rPr>
            </w:pPr>
          </w:p>
        </w:tc>
        <w:tc>
          <w:tcPr>
            <w:tcW w:w="1134" w:type="dxa"/>
            <w:noWrap/>
            <w:hideMark/>
          </w:tcPr>
          <w:p w14:paraId="65C0F0DD" w14:textId="77777777" w:rsidR="00FD140A" w:rsidRPr="00015C58" w:rsidRDefault="00FD140A" w:rsidP="00015C58">
            <w:pPr>
              <w:widowControl/>
              <w:rPr>
                <w:rFonts w:eastAsia="Times New Roman" w:cs="Times New Roman"/>
                <w:color w:val="000000"/>
                <w:sz w:val="20"/>
                <w:szCs w:val="20"/>
                <w:lang w:val="fr-FR" w:eastAsia="fr-FR"/>
              </w:rPr>
            </w:pPr>
          </w:p>
        </w:tc>
        <w:tc>
          <w:tcPr>
            <w:tcW w:w="1844" w:type="dxa"/>
            <w:noWrap/>
            <w:hideMark/>
          </w:tcPr>
          <w:p w14:paraId="35E53FE1" w14:textId="77777777" w:rsidR="00FD140A" w:rsidRPr="00015C58" w:rsidRDefault="00FD140A" w:rsidP="00015C58">
            <w:pPr>
              <w:widowControl/>
              <w:rPr>
                <w:rFonts w:eastAsia="Times New Roman" w:cs="Times New Roman"/>
                <w:color w:val="000000"/>
                <w:sz w:val="20"/>
                <w:szCs w:val="20"/>
                <w:lang w:eastAsia="fr-FR"/>
              </w:rPr>
            </w:pPr>
            <w:r w:rsidRPr="00015C58">
              <w:rPr>
                <w:rFonts w:eastAsia="Times New Roman" w:cs="Times New Roman"/>
                <w:color w:val="000000"/>
                <w:sz w:val="20"/>
                <w:szCs w:val="20"/>
                <w:lang w:eastAsia="fr-FR"/>
              </w:rPr>
              <w:t>Group 1</w:t>
            </w:r>
          </w:p>
        </w:tc>
        <w:tc>
          <w:tcPr>
            <w:tcW w:w="851" w:type="dxa"/>
            <w:shd w:val="clear" w:color="auto" w:fill="auto"/>
          </w:tcPr>
          <w:p w14:paraId="36D05C4D"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104</w:t>
            </w:r>
          </w:p>
        </w:tc>
        <w:tc>
          <w:tcPr>
            <w:tcW w:w="850" w:type="dxa"/>
            <w:noWrap/>
            <w:hideMark/>
          </w:tcPr>
          <w:p w14:paraId="7271CD56"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116</w:t>
            </w:r>
          </w:p>
        </w:tc>
        <w:tc>
          <w:tcPr>
            <w:tcW w:w="709" w:type="dxa"/>
            <w:noWrap/>
            <w:hideMark/>
          </w:tcPr>
          <w:p w14:paraId="12DF5481"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5</w:t>
            </w:r>
          </w:p>
        </w:tc>
        <w:tc>
          <w:tcPr>
            <w:tcW w:w="850" w:type="dxa"/>
          </w:tcPr>
          <w:p w14:paraId="1CB9A0DF"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87</w:t>
            </w:r>
          </w:p>
        </w:tc>
        <w:tc>
          <w:tcPr>
            <w:tcW w:w="851" w:type="dxa"/>
          </w:tcPr>
          <w:p w14:paraId="185D53D8"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0.001</w:t>
            </w:r>
          </w:p>
        </w:tc>
        <w:tc>
          <w:tcPr>
            <w:tcW w:w="850" w:type="dxa"/>
            <w:noWrap/>
            <w:hideMark/>
          </w:tcPr>
          <w:p w14:paraId="4F664E39"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0.001</w:t>
            </w:r>
          </w:p>
        </w:tc>
        <w:tc>
          <w:tcPr>
            <w:tcW w:w="851" w:type="dxa"/>
            <w:noWrap/>
            <w:hideMark/>
          </w:tcPr>
          <w:p w14:paraId="22D3C8DC"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0.123</w:t>
            </w:r>
          </w:p>
        </w:tc>
      </w:tr>
      <w:tr w:rsidR="00FD140A" w:rsidRPr="00015C58" w14:paraId="78860CAA" w14:textId="77777777" w:rsidTr="00A8536C">
        <w:trPr>
          <w:trHeight w:val="326"/>
        </w:trPr>
        <w:tc>
          <w:tcPr>
            <w:tcW w:w="1843" w:type="dxa"/>
            <w:tcBorders>
              <w:bottom w:val="single" w:sz="4" w:space="0" w:color="auto"/>
            </w:tcBorders>
            <w:noWrap/>
            <w:hideMark/>
          </w:tcPr>
          <w:p w14:paraId="2FC861EA" w14:textId="77777777" w:rsidR="00FD140A" w:rsidRPr="00015C58" w:rsidRDefault="00FD140A" w:rsidP="00015C58">
            <w:pPr>
              <w:widowControl/>
              <w:jc w:val="right"/>
              <w:rPr>
                <w:rFonts w:eastAsia="Times New Roman" w:cs="Times New Roman"/>
                <w:color w:val="000000"/>
                <w:sz w:val="20"/>
                <w:szCs w:val="20"/>
                <w:lang w:val="fr-FR" w:eastAsia="fr-FR"/>
              </w:rPr>
            </w:pPr>
          </w:p>
        </w:tc>
        <w:tc>
          <w:tcPr>
            <w:tcW w:w="1134" w:type="dxa"/>
            <w:tcBorders>
              <w:bottom w:val="single" w:sz="4" w:space="0" w:color="auto"/>
            </w:tcBorders>
            <w:noWrap/>
            <w:hideMark/>
          </w:tcPr>
          <w:p w14:paraId="35611710" w14:textId="77777777" w:rsidR="00FD140A" w:rsidRPr="00015C58" w:rsidRDefault="00FD140A" w:rsidP="00015C58">
            <w:pPr>
              <w:widowControl/>
              <w:rPr>
                <w:rFonts w:eastAsia="Times New Roman" w:cs="Times New Roman"/>
                <w:sz w:val="20"/>
                <w:szCs w:val="20"/>
                <w:lang w:val="fr-FR" w:eastAsia="fr-FR"/>
              </w:rPr>
            </w:pPr>
          </w:p>
        </w:tc>
        <w:tc>
          <w:tcPr>
            <w:tcW w:w="1844" w:type="dxa"/>
            <w:tcBorders>
              <w:bottom w:val="single" w:sz="4" w:space="0" w:color="auto"/>
            </w:tcBorders>
            <w:noWrap/>
            <w:hideMark/>
          </w:tcPr>
          <w:p w14:paraId="68BE9E79" w14:textId="77777777" w:rsidR="00FD140A" w:rsidRPr="00015C58" w:rsidRDefault="00FD140A" w:rsidP="00015C58">
            <w:pPr>
              <w:widowControl/>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 xml:space="preserve">Group 2 </w:t>
            </w:r>
          </w:p>
          <w:p w14:paraId="73D263BE" w14:textId="77777777" w:rsidR="00FD140A" w:rsidRPr="00015C58" w:rsidRDefault="00FD140A" w:rsidP="00015C58">
            <w:pPr>
              <w:widowControl/>
              <w:rPr>
                <w:rFonts w:eastAsia="Times New Roman" w:cs="Times New Roman"/>
                <w:color w:val="000000"/>
                <w:sz w:val="20"/>
                <w:szCs w:val="20"/>
                <w:lang w:eastAsia="fr-FR"/>
              </w:rPr>
            </w:pPr>
            <w:r w:rsidRPr="00015C58">
              <w:rPr>
                <w:rFonts w:eastAsia="Times New Roman" w:cs="Times New Roman"/>
                <w:color w:val="000000"/>
                <w:sz w:val="20"/>
                <w:szCs w:val="20"/>
                <w:lang w:val="fr-FR" w:eastAsia="fr-FR"/>
              </w:rPr>
              <w:t>(Thau and Porto)</w:t>
            </w:r>
          </w:p>
        </w:tc>
        <w:tc>
          <w:tcPr>
            <w:tcW w:w="851" w:type="dxa"/>
            <w:tcBorders>
              <w:bottom w:val="single" w:sz="4" w:space="0" w:color="auto"/>
            </w:tcBorders>
            <w:shd w:val="clear" w:color="auto" w:fill="auto"/>
          </w:tcPr>
          <w:p w14:paraId="69495D6B"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31</w:t>
            </w:r>
          </w:p>
        </w:tc>
        <w:tc>
          <w:tcPr>
            <w:tcW w:w="850" w:type="dxa"/>
            <w:tcBorders>
              <w:bottom w:val="single" w:sz="4" w:space="0" w:color="auto"/>
            </w:tcBorders>
            <w:noWrap/>
            <w:hideMark/>
          </w:tcPr>
          <w:p w14:paraId="3E91B334"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913</w:t>
            </w:r>
          </w:p>
        </w:tc>
        <w:tc>
          <w:tcPr>
            <w:tcW w:w="709" w:type="dxa"/>
            <w:tcBorders>
              <w:bottom w:val="single" w:sz="4" w:space="0" w:color="auto"/>
            </w:tcBorders>
            <w:noWrap/>
            <w:hideMark/>
          </w:tcPr>
          <w:p w14:paraId="7694A9DA"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52</w:t>
            </w:r>
          </w:p>
        </w:tc>
        <w:tc>
          <w:tcPr>
            <w:tcW w:w="850" w:type="dxa"/>
            <w:tcBorders>
              <w:bottom w:val="single" w:sz="4" w:space="0" w:color="auto"/>
            </w:tcBorders>
          </w:tcPr>
          <w:p w14:paraId="404519D7"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31</w:t>
            </w:r>
          </w:p>
        </w:tc>
        <w:tc>
          <w:tcPr>
            <w:tcW w:w="851" w:type="dxa"/>
            <w:tcBorders>
              <w:bottom w:val="single" w:sz="4" w:space="0" w:color="auto"/>
            </w:tcBorders>
          </w:tcPr>
          <w:p w14:paraId="35FD1A82"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0.041</w:t>
            </w:r>
          </w:p>
        </w:tc>
        <w:tc>
          <w:tcPr>
            <w:tcW w:w="850" w:type="dxa"/>
            <w:tcBorders>
              <w:bottom w:val="single" w:sz="4" w:space="0" w:color="auto"/>
            </w:tcBorders>
            <w:noWrap/>
            <w:hideMark/>
          </w:tcPr>
          <w:p w14:paraId="49EEB90E"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0.033</w:t>
            </w:r>
          </w:p>
        </w:tc>
        <w:tc>
          <w:tcPr>
            <w:tcW w:w="851" w:type="dxa"/>
            <w:tcBorders>
              <w:bottom w:val="single" w:sz="4" w:space="0" w:color="auto"/>
            </w:tcBorders>
            <w:noWrap/>
            <w:hideMark/>
          </w:tcPr>
          <w:p w14:paraId="663E2108" w14:textId="77777777" w:rsidR="00FD140A" w:rsidRPr="00015C58" w:rsidRDefault="00FD140A" w:rsidP="00015C58">
            <w:pPr>
              <w:widowControl/>
              <w:jc w:val="center"/>
              <w:rPr>
                <w:rFonts w:eastAsia="Times New Roman" w:cs="Times New Roman"/>
                <w:color w:val="000000"/>
                <w:sz w:val="20"/>
                <w:szCs w:val="20"/>
                <w:lang w:val="fr-FR" w:eastAsia="fr-FR"/>
              </w:rPr>
            </w:pPr>
            <w:r w:rsidRPr="00015C58">
              <w:rPr>
                <w:rFonts w:eastAsia="Times New Roman" w:cs="Times New Roman"/>
                <w:color w:val="000000"/>
                <w:sz w:val="20"/>
                <w:szCs w:val="20"/>
                <w:lang w:val="fr-FR" w:eastAsia="fr-FR"/>
              </w:rPr>
              <w:t>0.669</w:t>
            </w:r>
          </w:p>
        </w:tc>
      </w:tr>
    </w:tbl>
    <w:p w14:paraId="49A0D104" w14:textId="77777777" w:rsidR="00015C58" w:rsidRDefault="00015C58" w:rsidP="00015C58">
      <w:pPr>
        <w:spacing w:line="276" w:lineRule="auto"/>
        <w:ind w:left="-284" w:right="-993"/>
        <w:jc w:val="both"/>
        <w:rPr>
          <w:rFonts w:eastAsia="Times New Roman" w:cs="Arial"/>
        </w:rPr>
      </w:pPr>
    </w:p>
    <w:p w14:paraId="397F58A6" w14:textId="77777777" w:rsidR="005B7E84" w:rsidRPr="00676F5C" w:rsidRDefault="00015C58" w:rsidP="00676F5C">
      <w:pPr>
        <w:spacing w:line="276" w:lineRule="auto"/>
        <w:ind w:left="-284" w:right="-993"/>
        <w:jc w:val="both"/>
        <w:rPr>
          <w:rFonts w:eastAsia="Times New Roman" w:cs="Arial"/>
        </w:rPr>
      </w:pPr>
      <w:r>
        <w:rPr>
          <w:rFonts w:eastAsia="Times New Roman" w:cs="Arial"/>
        </w:rPr>
        <w:t>Note. N</w:t>
      </w:r>
      <w:r w:rsidRPr="008A2E37">
        <w:rPr>
          <w:rFonts w:eastAsia="Times New Roman" w:cs="Arial"/>
          <w:vertAlign w:val="subscript"/>
        </w:rPr>
        <w:t>indiv</w:t>
      </w:r>
      <w:r>
        <w:rPr>
          <w:rFonts w:eastAsia="Times New Roman" w:cs="Arial"/>
        </w:rPr>
        <w:t xml:space="preserve">, </w:t>
      </w:r>
      <w:r w:rsidRPr="00410327">
        <w:rPr>
          <w:rFonts w:eastAsia="Times New Roman" w:cs="Arial"/>
        </w:rPr>
        <w:t>N</w:t>
      </w:r>
      <w:r w:rsidRPr="008A2E37">
        <w:rPr>
          <w:rFonts w:eastAsia="Times New Roman" w:cs="Arial"/>
          <w:vertAlign w:val="subscript"/>
        </w:rPr>
        <w:t>loc</w:t>
      </w:r>
      <w:r>
        <w:rPr>
          <w:rFonts w:eastAsia="Times New Roman" w:cs="Arial"/>
        </w:rPr>
        <w:t>, N</w:t>
      </w:r>
      <w:r w:rsidRPr="008A2E37">
        <w:rPr>
          <w:rFonts w:eastAsia="Times New Roman" w:cs="Arial"/>
          <w:vertAlign w:val="subscript"/>
        </w:rPr>
        <w:t>Priv</w:t>
      </w:r>
      <w:r w:rsidRPr="00410327">
        <w:rPr>
          <w:rFonts w:eastAsia="Times New Roman" w:cs="Arial"/>
        </w:rPr>
        <w:t xml:space="preserve">, </w:t>
      </w:r>
      <w:r>
        <w:rPr>
          <w:rFonts w:eastAsia="Times New Roman" w:cs="Arial"/>
        </w:rPr>
        <w:t>N</w:t>
      </w:r>
      <w:r w:rsidRPr="008A2E37">
        <w:rPr>
          <w:rFonts w:eastAsia="Times New Roman" w:cs="Arial"/>
          <w:vertAlign w:val="subscript"/>
        </w:rPr>
        <w:t xml:space="preserve">ind </w:t>
      </w:r>
      <w:r>
        <w:rPr>
          <w:rFonts w:eastAsia="Times New Roman" w:cs="Arial"/>
          <w:vertAlign w:val="subscript"/>
        </w:rPr>
        <w:t>high</w:t>
      </w:r>
      <w:r>
        <w:rPr>
          <w:rFonts w:eastAsia="Times New Roman" w:cs="Arial"/>
        </w:rPr>
        <w:t>, H</w:t>
      </w:r>
      <w:r>
        <w:rPr>
          <w:rFonts w:eastAsia="Times New Roman" w:cs="Arial"/>
          <w:vertAlign w:val="subscript"/>
        </w:rPr>
        <w:t>area</w:t>
      </w:r>
      <w:r>
        <w:rPr>
          <w:rFonts w:eastAsia="Times New Roman" w:cs="Arial"/>
        </w:rPr>
        <w:t xml:space="preserve">, </w:t>
      </w:r>
      <w:r w:rsidRPr="00410327">
        <w:rPr>
          <w:rFonts w:eastAsia="Times New Roman" w:cs="Arial"/>
        </w:rPr>
        <w:t>H</w:t>
      </w:r>
      <w:r w:rsidRPr="008A2E37">
        <w:rPr>
          <w:rFonts w:eastAsia="Times New Roman" w:cs="Arial"/>
          <w:vertAlign w:val="subscript"/>
        </w:rPr>
        <w:t>s-mean</w:t>
      </w:r>
      <w:r w:rsidRPr="00410327">
        <w:rPr>
          <w:rFonts w:eastAsia="Times New Roman" w:cs="Arial"/>
        </w:rPr>
        <w:t xml:space="preserve"> and </w:t>
      </w:r>
      <w:r>
        <w:rPr>
          <w:rFonts w:cs="Arial"/>
        </w:rPr>
        <w:t>s</w:t>
      </w:r>
      <w:r w:rsidRPr="003D2BD4">
        <w:rPr>
          <w:rFonts w:cs="Arial"/>
          <w:vertAlign w:val="subscript"/>
        </w:rPr>
        <w:t>g2</w:t>
      </w:r>
      <w:r w:rsidRPr="008A2E37">
        <w:rPr>
          <w:rFonts w:eastAsia="Times New Roman" w:cs="Arial"/>
          <w:vertAlign w:val="subscript"/>
        </w:rPr>
        <w:t>-mean</w:t>
      </w:r>
      <w:r w:rsidRPr="00410327">
        <w:rPr>
          <w:rFonts w:eastAsia="Times New Roman" w:cs="Arial"/>
        </w:rPr>
        <w:t xml:space="preserve"> stands for the number of </w:t>
      </w:r>
      <w:r>
        <w:rPr>
          <w:rFonts w:eastAsia="Times New Roman" w:cs="Arial"/>
        </w:rPr>
        <w:t xml:space="preserve">individuals, the number of </w:t>
      </w:r>
      <w:r w:rsidRPr="00410327">
        <w:rPr>
          <w:rFonts w:eastAsia="Times New Roman" w:cs="Arial"/>
        </w:rPr>
        <w:t xml:space="preserve">polymorphic loci, the number of polymorphic loci private to the area, </w:t>
      </w:r>
      <w:r>
        <w:rPr>
          <w:rFonts w:eastAsia="Times New Roman" w:cs="Arial"/>
        </w:rPr>
        <w:t xml:space="preserve">the number of individuals used for the population analyses (i.e., high quality RAD-sequencing, with less than 10% missing data), </w:t>
      </w:r>
      <w:r w:rsidRPr="00410327">
        <w:rPr>
          <w:rFonts w:eastAsia="Times New Roman" w:cs="Arial"/>
        </w:rPr>
        <w:t>the</w:t>
      </w:r>
      <w:r>
        <w:rPr>
          <w:rFonts w:eastAsia="Times New Roman" w:cs="Arial"/>
        </w:rPr>
        <w:t xml:space="preserve"> gene diversity computed over the whole area, the average value for</w:t>
      </w:r>
      <w:r w:rsidRPr="00410327">
        <w:rPr>
          <w:rFonts w:eastAsia="Times New Roman" w:cs="Arial"/>
        </w:rPr>
        <w:t xml:space="preserve"> </w:t>
      </w:r>
      <w:r>
        <w:rPr>
          <w:rFonts w:eastAsia="Times New Roman" w:cs="Arial"/>
        </w:rPr>
        <w:t xml:space="preserve">gene diversity </w:t>
      </w:r>
      <w:r w:rsidRPr="00410327">
        <w:rPr>
          <w:rFonts w:eastAsia="Times New Roman" w:cs="Arial"/>
        </w:rPr>
        <w:t>heterozygosity and selfing rate estimates</w:t>
      </w:r>
      <w:r>
        <w:rPr>
          <w:rFonts w:eastAsia="Times New Roman" w:cs="Arial"/>
        </w:rPr>
        <w:t xml:space="preserve"> at population level, respectively</w:t>
      </w:r>
      <w:r w:rsidRPr="00410327">
        <w:rPr>
          <w:rFonts w:eastAsia="Times New Roman" w:cs="Arial"/>
        </w:rPr>
        <w:t>.</w:t>
      </w:r>
      <w:r>
        <w:rPr>
          <w:rFonts w:eastAsia="Times New Roman" w:cs="Arial"/>
        </w:rPr>
        <w:t xml:space="preserve"> Two groups have been defined in the </w:t>
      </w:r>
      <w:r>
        <w:rPr>
          <w:rFonts w:cs="Arial"/>
        </w:rPr>
        <w:t>NE Pacific</w:t>
      </w:r>
      <w:r>
        <w:rPr>
          <w:rFonts w:eastAsia="Times New Roman" w:cs="Arial"/>
        </w:rPr>
        <w:t xml:space="preserve"> and NE Atlantic based on genetic structure analyses: 1) in the NE Pacific, a northern and a southern group were distinguished, and 2) in the NE Atlantic, group 1 was composed of all the NE Atlantic populations except Thau and Porto, the two latter forming a second group.</w:t>
      </w:r>
    </w:p>
    <w:sectPr w:rsidR="005B7E84" w:rsidRPr="00676F5C" w:rsidSect="00676F5C">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Droid Sans Fallback">
    <w:altName w:val="Times New Roman"/>
    <w:panose1 w:val="020B0604020202020204"/>
    <w:charset w:val="00"/>
    <w:family w:val="auto"/>
    <w:pitch w:val="variable"/>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F3309"/>
    <w:multiLevelType w:val="hybridMultilevel"/>
    <w:tmpl w:val="B730231A"/>
    <w:lvl w:ilvl="0" w:tplc="096E18FA">
      <w:numFmt w:val="bullet"/>
      <w:lvlText w:val=""/>
      <w:lvlJc w:val="left"/>
      <w:pPr>
        <w:ind w:left="720" w:hanging="360"/>
      </w:pPr>
      <w:rPr>
        <w:rFonts w:ascii="Wingdings" w:eastAsia="Droid Sans Fallback"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TrueTypeFonts/>
  <w:saveSubsetFonts/>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D140A"/>
    <w:rsid w:val="00000CA3"/>
    <w:rsid w:val="00015C58"/>
    <w:rsid w:val="00032ECC"/>
    <w:rsid w:val="00033DFA"/>
    <w:rsid w:val="0003553A"/>
    <w:rsid w:val="00053003"/>
    <w:rsid w:val="00063DC7"/>
    <w:rsid w:val="00076F69"/>
    <w:rsid w:val="000A3A6E"/>
    <w:rsid w:val="000F488F"/>
    <w:rsid w:val="000F5170"/>
    <w:rsid w:val="00124724"/>
    <w:rsid w:val="001742B4"/>
    <w:rsid w:val="001D6838"/>
    <w:rsid w:val="00223A13"/>
    <w:rsid w:val="0031352F"/>
    <w:rsid w:val="00381D14"/>
    <w:rsid w:val="003E1E13"/>
    <w:rsid w:val="0040175C"/>
    <w:rsid w:val="00436794"/>
    <w:rsid w:val="00471F83"/>
    <w:rsid w:val="004B3601"/>
    <w:rsid w:val="004B713C"/>
    <w:rsid w:val="005B7E84"/>
    <w:rsid w:val="005D4A45"/>
    <w:rsid w:val="006558BC"/>
    <w:rsid w:val="00676F5C"/>
    <w:rsid w:val="00680BF8"/>
    <w:rsid w:val="00694A9F"/>
    <w:rsid w:val="006D429B"/>
    <w:rsid w:val="00713B8B"/>
    <w:rsid w:val="00757131"/>
    <w:rsid w:val="007650C5"/>
    <w:rsid w:val="007810DF"/>
    <w:rsid w:val="00790E2D"/>
    <w:rsid w:val="007C3A3F"/>
    <w:rsid w:val="007C3C60"/>
    <w:rsid w:val="008006B8"/>
    <w:rsid w:val="00842FC3"/>
    <w:rsid w:val="0087153F"/>
    <w:rsid w:val="00875F4C"/>
    <w:rsid w:val="0088695E"/>
    <w:rsid w:val="008A4A7C"/>
    <w:rsid w:val="008B07A5"/>
    <w:rsid w:val="008F3DF3"/>
    <w:rsid w:val="009B63D4"/>
    <w:rsid w:val="009C188A"/>
    <w:rsid w:val="009E5386"/>
    <w:rsid w:val="00A235CB"/>
    <w:rsid w:val="00A3704A"/>
    <w:rsid w:val="00A57A2F"/>
    <w:rsid w:val="00A87B6E"/>
    <w:rsid w:val="00AA1BAC"/>
    <w:rsid w:val="00AD3614"/>
    <w:rsid w:val="00BB478B"/>
    <w:rsid w:val="00BC540F"/>
    <w:rsid w:val="00BF7D19"/>
    <w:rsid w:val="00C178BC"/>
    <w:rsid w:val="00C8002F"/>
    <w:rsid w:val="00CD4F70"/>
    <w:rsid w:val="00D019B5"/>
    <w:rsid w:val="00D033BE"/>
    <w:rsid w:val="00D13CC5"/>
    <w:rsid w:val="00D56A1F"/>
    <w:rsid w:val="00D82932"/>
    <w:rsid w:val="00DC4FC9"/>
    <w:rsid w:val="00DF3FD5"/>
    <w:rsid w:val="00E53615"/>
    <w:rsid w:val="00EA628D"/>
    <w:rsid w:val="00EC2EC1"/>
    <w:rsid w:val="00EC7516"/>
    <w:rsid w:val="00EE38CE"/>
    <w:rsid w:val="00EE47D9"/>
    <w:rsid w:val="00EF1BFF"/>
    <w:rsid w:val="00F3083D"/>
    <w:rsid w:val="00F822A4"/>
    <w:rsid w:val="00FD140A"/>
    <w:rsid w:val="00FF05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0C36"/>
  <w15:chartTrackingRefBased/>
  <w15:docId w15:val="{CFF3835D-1740-4CBD-BCFA-CCC8BA53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D140A"/>
    <w:pPr>
      <w:widowControl w:val="0"/>
      <w:spacing w:after="0" w:line="240" w:lineRule="auto"/>
    </w:pPr>
    <w:rPr>
      <w:lang w:val="en-US"/>
    </w:rPr>
  </w:style>
  <w:style w:type="paragraph" w:styleId="Heading1">
    <w:name w:val="heading 1"/>
    <w:basedOn w:val="Normal"/>
    <w:link w:val="Heading1Char"/>
    <w:uiPriority w:val="9"/>
    <w:qFormat/>
    <w:rsid w:val="00FD140A"/>
    <w:pPr>
      <w:widowControl/>
      <w:spacing w:before="100" w:beforeAutospacing="1" w:after="100" w:afterAutospacing="1"/>
      <w:outlineLvl w:val="0"/>
    </w:pPr>
    <w:rPr>
      <w:rFonts w:ascii="Times New Roman" w:eastAsia="Times New Roman" w:hAnsi="Times New Roman" w:cs="Times New Roman"/>
      <w:b/>
      <w:bCs/>
      <w:kern w:val="36"/>
      <w:sz w:val="48"/>
      <w:szCs w:val="4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40A"/>
    <w:rPr>
      <w:rFonts w:ascii="Times New Roman" w:eastAsia="Times New Roman" w:hAnsi="Times New Roman" w:cs="Times New Roman"/>
      <w:b/>
      <w:bCs/>
      <w:kern w:val="36"/>
      <w:sz w:val="48"/>
      <w:szCs w:val="48"/>
      <w:lang w:eastAsia="fr-FR"/>
    </w:rPr>
  </w:style>
  <w:style w:type="paragraph" w:styleId="BodyText">
    <w:name w:val="Body Text"/>
    <w:basedOn w:val="Normal"/>
    <w:link w:val="BodyTextChar"/>
    <w:uiPriority w:val="1"/>
    <w:qFormat/>
    <w:rsid w:val="00FD140A"/>
    <w:pPr>
      <w:ind w:left="133"/>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FD140A"/>
    <w:rPr>
      <w:rFonts w:ascii="Times New Roman" w:eastAsia="Times New Roman" w:hAnsi="Times New Roman"/>
      <w:sz w:val="20"/>
      <w:szCs w:val="20"/>
      <w:lang w:val="en-US"/>
    </w:rPr>
  </w:style>
  <w:style w:type="paragraph" w:styleId="CommentText">
    <w:name w:val="annotation text"/>
    <w:basedOn w:val="Normal"/>
    <w:link w:val="CommentTextChar"/>
    <w:uiPriority w:val="99"/>
    <w:semiHidden/>
    <w:unhideWhenUsed/>
    <w:rsid w:val="00FD140A"/>
    <w:pPr>
      <w:widowControl/>
      <w:suppressAutoHyphens/>
      <w:spacing w:after="160"/>
    </w:pPr>
    <w:rPr>
      <w:rFonts w:ascii="Calibri" w:eastAsia="Droid Sans Fallback" w:hAnsi="Calibri" w:cs="Calibri"/>
      <w:sz w:val="20"/>
      <w:szCs w:val="20"/>
      <w:lang w:val="fr-FR"/>
    </w:rPr>
  </w:style>
  <w:style w:type="character" w:customStyle="1" w:styleId="CommentTextChar">
    <w:name w:val="Comment Text Char"/>
    <w:basedOn w:val="DefaultParagraphFont"/>
    <w:link w:val="CommentText"/>
    <w:uiPriority w:val="99"/>
    <w:semiHidden/>
    <w:rsid w:val="00FD140A"/>
    <w:rPr>
      <w:rFonts w:ascii="Calibri" w:eastAsia="Droid Sans Fallback" w:hAnsi="Calibri" w:cs="Calibri"/>
      <w:sz w:val="20"/>
      <w:szCs w:val="20"/>
    </w:rPr>
  </w:style>
  <w:style w:type="character" w:styleId="CommentReference">
    <w:name w:val="annotation reference"/>
    <w:basedOn w:val="DefaultParagraphFont"/>
    <w:uiPriority w:val="99"/>
    <w:semiHidden/>
    <w:unhideWhenUsed/>
    <w:rsid w:val="00FD140A"/>
    <w:rPr>
      <w:sz w:val="16"/>
      <w:szCs w:val="16"/>
    </w:rPr>
  </w:style>
  <w:style w:type="paragraph" w:styleId="BalloonText">
    <w:name w:val="Balloon Text"/>
    <w:basedOn w:val="Normal"/>
    <w:link w:val="BalloonTextChar"/>
    <w:uiPriority w:val="99"/>
    <w:semiHidden/>
    <w:unhideWhenUsed/>
    <w:rsid w:val="00FD14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40A"/>
    <w:rPr>
      <w:rFonts w:ascii="Segoe UI" w:hAnsi="Segoe UI" w:cs="Segoe UI"/>
      <w:sz w:val="18"/>
      <w:szCs w:val="18"/>
      <w:lang w:val="en-US"/>
    </w:rPr>
  </w:style>
  <w:style w:type="character" w:customStyle="1" w:styleId="current-selection">
    <w:name w:val="current-selection"/>
    <w:basedOn w:val="DefaultParagraphFont"/>
    <w:rsid w:val="00FD140A"/>
  </w:style>
  <w:style w:type="paragraph" w:styleId="CommentSubject">
    <w:name w:val="annotation subject"/>
    <w:basedOn w:val="CommentText"/>
    <w:next w:val="CommentText"/>
    <w:link w:val="CommentSubjectChar"/>
    <w:uiPriority w:val="99"/>
    <w:semiHidden/>
    <w:unhideWhenUsed/>
    <w:rsid w:val="00FD140A"/>
    <w:pPr>
      <w:widowControl w:val="0"/>
      <w:suppressAutoHyphens w:val="0"/>
      <w:spacing w:after="0"/>
    </w:pPr>
    <w:rPr>
      <w:b/>
      <w:bCs/>
      <w:lang w:val="en-US"/>
    </w:rPr>
  </w:style>
  <w:style w:type="character" w:customStyle="1" w:styleId="CommentSubjectChar">
    <w:name w:val="Comment Subject Char"/>
    <w:basedOn w:val="CommentTextChar"/>
    <w:link w:val="CommentSubject"/>
    <w:uiPriority w:val="99"/>
    <w:semiHidden/>
    <w:rsid w:val="00FD140A"/>
    <w:rPr>
      <w:rFonts w:ascii="Calibri" w:eastAsia="Droid Sans Fallback" w:hAnsi="Calibri" w:cs="Calibri"/>
      <w:b/>
      <w:bCs/>
      <w:sz w:val="20"/>
      <w:szCs w:val="20"/>
      <w:lang w:val="en-US"/>
    </w:rPr>
  </w:style>
  <w:style w:type="character" w:styleId="Hyperlink">
    <w:name w:val="Hyperlink"/>
    <w:basedOn w:val="DefaultParagraphFont"/>
    <w:uiPriority w:val="99"/>
    <w:unhideWhenUsed/>
    <w:rsid w:val="00FD140A"/>
    <w:rPr>
      <w:color w:val="0563C1" w:themeColor="hyperlink"/>
      <w:u w:val="single"/>
    </w:rPr>
  </w:style>
  <w:style w:type="paragraph" w:customStyle="1" w:styleId="EndNoteBibliographyTitle">
    <w:name w:val="EndNote Bibliography Title"/>
    <w:basedOn w:val="Normal"/>
    <w:link w:val="EndNoteBibliographyTitleCar"/>
    <w:rsid w:val="00FD140A"/>
    <w:pPr>
      <w:jc w:val="center"/>
    </w:pPr>
    <w:rPr>
      <w:rFonts w:ascii="Calibri" w:eastAsia="Times New Roman" w:hAnsi="Calibri"/>
      <w:noProof/>
      <w:sz w:val="20"/>
      <w:szCs w:val="20"/>
    </w:rPr>
  </w:style>
  <w:style w:type="character" w:customStyle="1" w:styleId="EndNoteBibliographyTitleCar">
    <w:name w:val="EndNote Bibliography Title Car"/>
    <w:basedOn w:val="BodyTextChar"/>
    <w:link w:val="EndNoteBibliographyTitle"/>
    <w:rsid w:val="00FD140A"/>
    <w:rPr>
      <w:rFonts w:ascii="Calibri" w:eastAsia="Times New Roman" w:hAnsi="Calibri"/>
      <w:noProof/>
      <w:sz w:val="20"/>
      <w:szCs w:val="20"/>
      <w:lang w:val="en-US"/>
    </w:rPr>
  </w:style>
  <w:style w:type="paragraph" w:customStyle="1" w:styleId="EndNoteBibliography">
    <w:name w:val="EndNote Bibliography"/>
    <w:basedOn w:val="Normal"/>
    <w:link w:val="EndNoteBibliographyCar"/>
    <w:rsid w:val="00FD140A"/>
    <w:rPr>
      <w:rFonts w:ascii="Calibri" w:eastAsia="Times New Roman" w:hAnsi="Calibri"/>
      <w:noProof/>
      <w:sz w:val="20"/>
      <w:szCs w:val="20"/>
    </w:rPr>
  </w:style>
  <w:style w:type="character" w:customStyle="1" w:styleId="EndNoteBibliographyCar">
    <w:name w:val="EndNote Bibliography Car"/>
    <w:basedOn w:val="BodyTextChar"/>
    <w:link w:val="EndNoteBibliography"/>
    <w:rsid w:val="00FD140A"/>
    <w:rPr>
      <w:rFonts w:ascii="Calibri" w:eastAsia="Times New Roman" w:hAnsi="Calibri"/>
      <w:noProof/>
      <w:sz w:val="20"/>
      <w:szCs w:val="20"/>
      <w:lang w:val="en-US"/>
    </w:rPr>
  </w:style>
  <w:style w:type="character" w:customStyle="1" w:styleId="highlight">
    <w:name w:val="highlight"/>
    <w:basedOn w:val="DefaultParagraphFont"/>
    <w:rsid w:val="00FD140A"/>
  </w:style>
  <w:style w:type="paragraph" w:styleId="NormalWeb">
    <w:name w:val="Normal (Web)"/>
    <w:basedOn w:val="Normal"/>
    <w:uiPriority w:val="99"/>
    <w:semiHidden/>
    <w:unhideWhenUsed/>
    <w:rsid w:val="00FD140A"/>
    <w:pPr>
      <w:widowControl/>
      <w:spacing w:before="100" w:beforeAutospacing="1" w:after="100" w:afterAutospacing="1"/>
    </w:pPr>
    <w:rPr>
      <w:rFonts w:ascii="Times New Roman" w:eastAsia="Times New Roman" w:hAnsi="Times New Roman" w:cs="Times New Roman"/>
      <w:sz w:val="24"/>
      <w:szCs w:val="24"/>
      <w:lang w:val="fr-FR" w:eastAsia="fr-FR"/>
    </w:rPr>
  </w:style>
  <w:style w:type="paragraph" w:styleId="Revision">
    <w:name w:val="Revision"/>
    <w:hidden/>
    <w:uiPriority w:val="99"/>
    <w:semiHidden/>
    <w:rsid w:val="00FD140A"/>
    <w:pPr>
      <w:spacing w:after="0" w:line="240" w:lineRule="auto"/>
    </w:pPr>
    <w:rPr>
      <w:lang w:val="en-US"/>
    </w:rPr>
  </w:style>
  <w:style w:type="table" w:styleId="TableGrid">
    <w:name w:val="Table Grid"/>
    <w:basedOn w:val="TableNormal"/>
    <w:uiPriority w:val="39"/>
    <w:rsid w:val="00FD1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76F5C"/>
  </w:style>
  <w:style w:type="character" w:customStyle="1" w:styleId="bibliographic-informationvalue">
    <w:name w:val="bibliographic-information__value"/>
    <w:basedOn w:val="DefaultParagraphFont"/>
    <w:rsid w:val="009C188A"/>
  </w:style>
  <w:style w:type="paragraph" w:styleId="HTMLPreformatted">
    <w:name w:val="HTML Preformatted"/>
    <w:basedOn w:val="Normal"/>
    <w:link w:val="HTMLPreformattedChar"/>
    <w:uiPriority w:val="99"/>
    <w:unhideWhenUsed/>
    <w:rsid w:val="008F3D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8F3DF3"/>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96288">
      <w:bodyDiv w:val="1"/>
      <w:marLeft w:val="0"/>
      <w:marRight w:val="0"/>
      <w:marTop w:val="0"/>
      <w:marBottom w:val="0"/>
      <w:divBdr>
        <w:top w:val="none" w:sz="0" w:space="0" w:color="auto"/>
        <w:left w:val="none" w:sz="0" w:space="0" w:color="auto"/>
        <w:bottom w:val="none" w:sz="0" w:space="0" w:color="auto"/>
        <w:right w:val="none" w:sz="0" w:space="0" w:color="auto"/>
      </w:divBdr>
    </w:div>
    <w:div w:id="715587595">
      <w:bodyDiv w:val="1"/>
      <w:marLeft w:val="0"/>
      <w:marRight w:val="0"/>
      <w:marTop w:val="0"/>
      <w:marBottom w:val="0"/>
      <w:divBdr>
        <w:top w:val="none" w:sz="0" w:space="0" w:color="auto"/>
        <w:left w:val="none" w:sz="0" w:space="0" w:color="auto"/>
        <w:bottom w:val="none" w:sz="0" w:space="0" w:color="auto"/>
        <w:right w:val="none" w:sz="0" w:space="0" w:color="auto"/>
      </w:divBdr>
      <w:divsChild>
        <w:div w:id="916287874">
          <w:marLeft w:val="0"/>
          <w:marRight w:val="0"/>
          <w:marTop w:val="0"/>
          <w:marBottom w:val="0"/>
          <w:divBdr>
            <w:top w:val="none" w:sz="0" w:space="0" w:color="auto"/>
            <w:left w:val="none" w:sz="0" w:space="0" w:color="auto"/>
            <w:bottom w:val="none" w:sz="0" w:space="0" w:color="auto"/>
            <w:right w:val="none" w:sz="0" w:space="0" w:color="auto"/>
          </w:divBdr>
        </w:div>
      </w:divsChild>
    </w:div>
    <w:div w:id="1073746843">
      <w:bodyDiv w:val="1"/>
      <w:marLeft w:val="0"/>
      <w:marRight w:val="0"/>
      <w:marTop w:val="0"/>
      <w:marBottom w:val="0"/>
      <w:divBdr>
        <w:top w:val="none" w:sz="0" w:space="0" w:color="auto"/>
        <w:left w:val="none" w:sz="0" w:space="0" w:color="auto"/>
        <w:bottom w:val="none" w:sz="0" w:space="0" w:color="auto"/>
        <w:right w:val="none" w:sz="0" w:space="0" w:color="auto"/>
      </w:divBdr>
      <w:divsChild>
        <w:div w:id="2113165310">
          <w:marLeft w:val="0"/>
          <w:marRight w:val="0"/>
          <w:marTop w:val="0"/>
          <w:marBottom w:val="0"/>
          <w:divBdr>
            <w:top w:val="none" w:sz="0" w:space="0" w:color="auto"/>
            <w:left w:val="none" w:sz="0" w:space="0" w:color="auto"/>
            <w:bottom w:val="none" w:sz="0" w:space="0" w:color="auto"/>
            <w:right w:val="none" w:sz="0" w:space="0" w:color="auto"/>
          </w:divBdr>
        </w:div>
      </w:divsChild>
    </w:div>
    <w:div w:id="110195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8044</Words>
  <Characters>70227</Characters>
  <Application>Microsoft Office Word</Application>
  <DocSecurity>0</DocSecurity>
  <Lines>1712</Lines>
  <Paragraphs>584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viard</dc:creator>
  <cp:keywords/>
  <dc:description/>
  <cp:lastModifiedBy>Nova Mieszkowska</cp:lastModifiedBy>
  <cp:revision>2</cp:revision>
  <dcterms:created xsi:type="dcterms:W3CDTF">2019-06-19T12:19:00Z</dcterms:created>
  <dcterms:modified xsi:type="dcterms:W3CDTF">2019-06-19T12:19:00Z</dcterms:modified>
</cp:coreProperties>
</file>