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8054F" w14:textId="787D644D" w:rsidR="003415A0" w:rsidRPr="00A17F02" w:rsidRDefault="00AC1956" w:rsidP="00A17F02">
      <w:pPr>
        <w:spacing w:after="0" w:line="480" w:lineRule="auto"/>
        <w:rPr>
          <w:b/>
        </w:rPr>
      </w:pPr>
      <w:bookmarkStart w:id="0" w:name="_GoBack"/>
      <w:bookmarkEnd w:id="0"/>
      <w:r w:rsidRPr="00A17F02">
        <w:rPr>
          <w:b/>
        </w:rPr>
        <w:t>Symptom profiling</w:t>
      </w:r>
      <w:r w:rsidR="003415A0" w:rsidRPr="00A17F02">
        <w:rPr>
          <w:b/>
        </w:rPr>
        <w:t xml:space="preserve"> for </w:t>
      </w:r>
      <w:r w:rsidR="00014E3D" w:rsidRPr="00A17F02">
        <w:rPr>
          <w:b/>
        </w:rPr>
        <w:t>infectious intestinal disease</w:t>
      </w:r>
      <w:r w:rsidR="00240C97" w:rsidRPr="00A17F02">
        <w:rPr>
          <w:b/>
        </w:rPr>
        <w:t xml:space="preserve"> (IID)</w:t>
      </w:r>
      <w:r w:rsidR="003415A0" w:rsidRPr="00A17F02">
        <w:rPr>
          <w:b/>
        </w:rPr>
        <w:t>: a seco</w:t>
      </w:r>
      <w:r w:rsidR="00A17F02">
        <w:rPr>
          <w:b/>
        </w:rPr>
        <w:t>ndary data analysis of the IID2 study</w:t>
      </w:r>
    </w:p>
    <w:p w14:paraId="79C59B0B" w14:textId="77777777" w:rsidR="00A17F02" w:rsidRDefault="00A17F02" w:rsidP="00F54E4D">
      <w:pPr>
        <w:spacing w:after="0" w:line="480" w:lineRule="auto"/>
      </w:pPr>
    </w:p>
    <w:p w14:paraId="4038C969" w14:textId="77777777" w:rsidR="003F34E9" w:rsidRDefault="00240C97" w:rsidP="00F54E4D">
      <w:pPr>
        <w:spacing w:after="0" w:line="480" w:lineRule="auto"/>
      </w:pPr>
      <w:r>
        <w:t>A</w:t>
      </w:r>
      <w:r w:rsidR="00E6052C">
        <w:t xml:space="preserve">. </w:t>
      </w:r>
      <w:r w:rsidR="00E7021B">
        <w:t>L</w:t>
      </w:r>
      <w:r w:rsidR="00E6052C">
        <w:t>.</w:t>
      </w:r>
      <w:r w:rsidR="00896F2A" w:rsidRPr="00896F2A">
        <w:t xml:space="preserve"> </w:t>
      </w:r>
      <w:r w:rsidR="0091243F">
        <w:t>DONALDSON</w:t>
      </w:r>
      <w:r w:rsidR="005D4939">
        <w:rPr>
          <w:vertAlign w:val="superscript"/>
        </w:rPr>
        <w:t>1,2</w:t>
      </w:r>
    </w:p>
    <w:p w14:paraId="1AA68E5C" w14:textId="77777777" w:rsidR="003F34E9" w:rsidRDefault="00240C97" w:rsidP="00F54E4D">
      <w:pPr>
        <w:spacing w:after="0" w:line="480" w:lineRule="auto"/>
      </w:pPr>
      <w:r>
        <w:t>H</w:t>
      </w:r>
      <w:r w:rsidR="00E6052C">
        <w:t xml:space="preserve">. </w:t>
      </w:r>
      <w:r w:rsidR="005D4939">
        <w:t>E</w:t>
      </w:r>
      <w:r w:rsidR="00E6052C">
        <w:t>.</w:t>
      </w:r>
      <w:r>
        <w:t xml:space="preserve"> </w:t>
      </w:r>
      <w:r w:rsidR="0091243F">
        <w:t>CLOUGH</w:t>
      </w:r>
      <w:r w:rsidR="005D4939">
        <w:rPr>
          <w:vertAlign w:val="superscript"/>
        </w:rPr>
        <w:t>1,2</w:t>
      </w:r>
    </w:p>
    <w:p w14:paraId="6D99AED9" w14:textId="3A862AE8" w:rsidR="003F34E9" w:rsidRDefault="00240C97" w:rsidP="00F54E4D">
      <w:pPr>
        <w:spacing w:after="0" w:line="480" w:lineRule="auto"/>
      </w:pPr>
      <w:r>
        <w:t>S</w:t>
      </w:r>
      <w:r w:rsidR="00E6052C">
        <w:t xml:space="preserve">. </w:t>
      </w:r>
      <w:r>
        <w:t>J</w:t>
      </w:r>
      <w:r w:rsidR="00E6052C">
        <w:t>.</w:t>
      </w:r>
      <w:r w:rsidR="0091243F">
        <w:t xml:space="preserve"> O’BRIEN</w:t>
      </w:r>
      <w:r w:rsidR="003F34E9">
        <w:rPr>
          <w:vertAlign w:val="superscript"/>
        </w:rPr>
        <w:t>1,2</w:t>
      </w:r>
    </w:p>
    <w:p w14:paraId="34A092FF" w14:textId="3BD5AC93" w:rsidR="00896F2A" w:rsidRPr="005D4939" w:rsidRDefault="00E7021B" w:rsidP="00F54E4D">
      <w:pPr>
        <w:spacing w:after="0" w:line="480" w:lineRule="auto"/>
        <w:rPr>
          <w:vertAlign w:val="superscript"/>
        </w:rPr>
      </w:pPr>
      <w:r>
        <w:t>J</w:t>
      </w:r>
      <w:r w:rsidR="00E6052C">
        <w:t xml:space="preserve">. </w:t>
      </w:r>
      <w:r>
        <w:t>P</w:t>
      </w:r>
      <w:r w:rsidR="00E6052C">
        <w:t>.</w:t>
      </w:r>
      <w:r w:rsidR="0091243F">
        <w:t xml:space="preserve"> HARRIS</w:t>
      </w:r>
      <w:r w:rsidR="005D4939">
        <w:rPr>
          <w:vertAlign w:val="superscript"/>
        </w:rPr>
        <w:t>1,2</w:t>
      </w:r>
    </w:p>
    <w:p w14:paraId="229F6C05" w14:textId="77777777" w:rsidR="00A17F02" w:rsidRDefault="00A17F02" w:rsidP="00F54E4D">
      <w:pPr>
        <w:spacing w:after="0" w:line="480" w:lineRule="auto"/>
        <w:rPr>
          <w:vertAlign w:val="superscript"/>
        </w:rPr>
      </w:pPr>
    </w:p>
    <w:p w14:paraId="5E0FF955" w14:textId="77777777" w:rsidR="007165B3" w:rsidRDefault="007165B3" w:rsidP="00F54E4D">
      <w:pPr>
        <w:spacing w:after="0" w:line="480" w:lineRule="auto"/>
      </w:pPr>
      <w:r>
        <w:rPr>
          <w:vertAlign w:val="superscript"/>
        </w:rPr>
        <w:t>1</w:t>
      </w:r>
      <w:r w:rsidR="005D4939">
        <w:t xml:space="preserve"> </w:t>
      </w:r>
      <w:r w:rsidRPr="007165B3">
        <w:t>NIHR Health Protection Research Unit in Gastrointestinal Infections, University of Liverpool, Liverpool, UK</w:t>
      </w:r>
    </w:p>
    <w:p w14:paraId="01587016" w14:textId="2641AD94" w:rsidR="007165B3" w:rsidRDefault="007165B3" w:rsidP="00F54E4D">
      <w:pPr>
        <w:spacing w:after="0" w:line="480" w:lineRule="auto"/>
      </w:pPr>
      <w:r>
        <w:rPr>
          <w:vertAlign w:val="superscript"/>
        </w:rPr>
        <w:t>2</w:t>
      </w:r>
      <w:r w:rsidR="005D4939">
        <w:t xml:space="preserve"> </w:t>
      </w:r>
      <w:r w:rsidRPr="007165B3">
        <w:t xml:space="preserve">Institute of </w:t>
      </w:r>
      <w:r w:rsidR="00E6052C">
        <w:t>Population Health Sciences</w:t>
      </w:r>
      <w:r w:rsidRPr="007165B3">
        <w:t>, University of Liverpool, Liverpool, UK</w:t>
      </w:r>
    </w:p>
    <w:p w14:paraId="7328BD33" w14:textId="77777777" w:rsidR="005D4939" w:rsidRDefault="005D4939" w:rsidP="00F54E4D">
      <w:pPr>
        <w:spacing w:after="0" w:line="480" w:lineRule="auto"/>
        <w:rPr>
          <w:b/>
        </w:rPr>
      </w:pPr>
    </w:p>
    <w:p w14:paraId="0A6F9824" w14:textId="0AAADD61" w:rsidR="005D4939" w:rsidRDefault="005D4939" w:rsidP="00F54E4D">
      <w:pPr>
        <w:spacing w:after="0" w:line="480" w:lineRule="auto"/>
      </w:pPr>
      <w:r>
        <w:rPr>
          <w:b/>
        </w:rPr>
        <w:t>D</w:t>
      </w:r>
      <w:r w:rsidR="007315BD">
        <w:rPr>
          <w:b/>
        </w:rPr>
        <w:t>isclaimer</w:t>
      </w:r>
      <w:r>
        <w:rPr>
          <w:b/>
        </w:rPr>
        <w:t>:</w:t>
      </w:r>
      <w:r>
        <w:rPr>
          <w:b/>
        </w:rPr>
        <w:tab/>
      </w:r>
    </w:p>
    <w:p w14:paraId="50652E02" w14:textId="4B58D0A9" w:rsidR="005D4939" w:rsidRPr="007315BD" w:rsidRDefault="007315BD" w:rsidP="00F54E4D">
      <w:pPr>
        <w:spacing w:after="0" w:line="480" w:lineRule="auto"/>
        <w:rPr>
          <w:rFonts w:ascii="Calibri" w:eastAsia="SimSun" w:hAnsi="Calibri" w:cs="Arial"/>
          <w:bCs/>
          <w:lang w:eastAsia="zh-CN"/>
        </w:rPr>
      </w:pPr>
      <w:r w:rsidRPr="00442B38">
        <w:rPr>
          <w:rFonts w:ascii="Calibri" w:eastAsia="SimSun" w:hAnsi="Calibri" w:cs="Arial"/>
          <w:bCs/>
          <w:lang w:eastAsia="zh-CN"/>
        </w:rPr>
        <w:t>The research was funded by the National Institute for Health Research Health Protection Research Unit (NIHR HPRU) in Gastrointestinal Infections at the University of Liverpool in partnership with Public Health England (PHE), University of East Anglia, University of Oxford and the Institute of Food Research. The views expressed are those of the author</w:t>
      </w:r>
      <w:r>
        <w:rPr>
          <w:rFonts w:ascii="Calibri" w:eastAsia="SimSun" w:hAnsi="Calibri" w:cs="Arial"/>
          <w:bCs/>
          <w:lang w:eastAsia="zh-CN"/>
        </w:rPr>
        <w:t>s</w:t>
      </w:r>
      <w:r w:rsidRPr="00442B38">
        <w:rPr>
          <w:rFonts w:ascii="Calibri" w:eastAsia="SimSun" w:hAnsi="Calibri" w:cs="Arial"/>
          <w:bCs/>
          <w:lang w:eastAsia="zh-CN"/>
        </w:rPr>
        <w:t xml:space="preserve"> and not necessarily those of the NHS, the NIHR, the Department of Health </w:t>
      </w:r>
      <w:r w:rsidR="00DC4FC7">
        <w:rPr>
          <w:rFonts w:ascii="Calibri" w:eastAsia="SimSun" w:hAnsi="Calibri" w:cs="Arial"/>
          <w:bCs/>
          <w:lang w:eastAsia="zh-CN"/>
        </w:rPr>
        <w:t xml:space="preserve">and Social Care </w:t>
      </w:r>
      <w:r w:rsidRPr="00442B38">
        <w:rPr>
          <w:rFonts w:ascii="Calibri" w:eastAsia="SimSun" w:hAnsi="Calibri" w:cs="Arial"/>
          <w:bCs/>
          <w:lang w:eastAsia="zh-CN"/>
        </w:rPr>
        <w:t>or Public Health England.</w:t>
      </w:r>
    </w:p>
    <w:p w14:paraId="6A252349" w14:textId="77777777" w:rsidR="007315BD" w:rsidRDefault="007315BD" w:rsidP="00F54E4D">
      <w:pPr>
        <w:spacing w:after="0" w:line="480" w:lineRule="auto"/>
        <w:rPr>
          <w:b/>
        </w:rPr>
      </w:pPr>
    </w:p>
    <w:p w14:paraId="07BB675F" w14:textId="4DA65A75" w:rsidR="005D4939" w:rsidRPr="005D4939" w:rsidRDefault="005D4939" w:rsidP="00F54E4D">
      <w:pPr>
        <w:spacing w:after="0" w:line="480" w:lineRule="auto"/>
        <w:rPr>
          <w:b/>
        </w:rPr>
      </w:pPr>
      <w:r w:rsidRPr="005D4939">
        <w:rPr>
          <w:b/>
        </w:rPr>
        <w:t>Corresponding author:</w:t>
      </w:r>
    </w:p>
    <w:p w14:paraId="20230496" w14:textId="34DA3C6D" w:rsidR="005D4939" w:rsidRDefault="005D4939" w:rsidP="00F54E4D">
      <w:pPr>
        <w:spacing w:after="0" w:line="480" w:lineRule="auto"/>
      </w:pPr>
      <w:r w:rsidRPr="005D4939">
        <w:t>Dr Anna Donaldson</w:t>
      </w:r>
      <w:r w:rsidR="007315BD">
        <w:tab/>
      </w:r>
      <w:r>
        <w:t xml:space="preserve">2nd Floor, Block F, Waterhouse Buildings, 1-5 Brownlow Street, Liverpool </w:t>
      </w:r>
    </w:p>
    <w:p w14:paraId="7A73A676" w14:textId="77777777" w:rsidR="005D4939" w:rsidRDefault="005D4939" w:rsidP="00F54E4D">
      <w:pPr>
        <w:spacing w:after="0" w:line="480" w:lineRule="auto"/>
        <w:ind w:left="1440" w:firstLine="720"/>
      </w:pPr>
      <w:r>
        <w:t>L69 3GL</w:t>
      </w:r>
    </w:p>
    <w:p w14:paraId="41C5F102" w14:textId="70CAB61D" w:rsidR="005D4939" w:rsidRDefault="00056560" w:rsidP="00F54E4D">
      <w:pPr>
        <w:spacing w:after="0" w:line="480" w:lineRule="auto"/>
        <w:ind w:left="1440" w:firstLine="720"/>
      </w:pPr>
      <w:r>
        <w:t>Tel: +44 151 795 8347</w:t>
      </w:r>
    </w:p>
    <w:p w14:paraId="682A970C" w14:textId="5C30BCC6" w:rsidR="00896F2A" w:rsidRDefault="005D4939" w:rsidP="00F54E4D">
      <w:pPr>
        <w:spacing w:after="0" w:line="480" w:lineRule="auto"/>
        <w:ind w:left="1440" w:firstLine="720"/>
      </w:pPr>
      <w:r>
        <w:t xml:space="preserve">E-mail: </w:t>
      </w:r>
      <w:r w:rsidR="00044027">
        <w:t>A.Donaldson2</w:t>
      </w:r>
      <w:r w:rsidRPr="002B4CFC">
        <w:t>@liverpool.ac.uk</w:t>
      </w:r>
    </w:p>
    <w:p w14:paraId="6DDF36DC" w14:textId="77777777" w:rsidR="00DF5752" w:rsidRDefault="00DF5752" w:rsidP="00F54E4D">
      <w:pPr>
        <w:spacing w:after="0" w:line="480" w:lineRule="auto"/>
      </w:pPr>
    </w:p>
    <w:p w14:paraId="4C387A9C" w14:textId="387FFD99" w:rsidR="005D4939" w:rsidRDefault="005D4939" w:rsidP="00F54E4D">
      <w:pPr>
        <w:pStyle w:val="Header"/>
        <w:spacing w:line="480" w:lineRule="auto"/>
        <w:rPr>
          <w:b/>
        </w:rPr>
      </w:pPr>
      <w:r>
        <w:rPr>
          <w:b/>
        </w:rPr>
        <w:t xml:space="preserve">Running Head: </w:t>
      </w:r>
      <w:r w:rsidR="00C53DC8">
        <w:t>Symptom profiling for IID</w:t>
      </w:r>
      <w:r>
        <w:rPr>
          <w:b/>
        </w:rPr>
        <w:br w:type="page"/>
      </w:r>
    </w:p>
    <w:p w14:paraId="274889D6" w14:textId="07A9D785" w:rsidR="0025252D" w:rsidRPr="003D4CEC" w:rsidRDefault="006877EC" w:rsidP="00F54E4D">
      <w:pPr>
        <w:spacing w:after="0" w:line="480" w:lineRule="auto"/>
        <w:rPr>
          <w:i/>
        </w:rPr>
      </w:pPr>
      <w:r>
        <w:rPr>
          <w:b/>
        </w:rPr>
        <w:lastRenderedPageBreak/>
        <w:t>Summary</w:t>
      </w:r>
    </w:p>
    <w:p w14:paraId="5FC65245" w14:textId="08C3FF7D" w:rsidR="00FB59F8" w:rsidRPr="006F6FA2" w:rsidRDefault="006877EC" w:rsidP="006F6FA2">
      <w:pPr>
        <w:spacing w:after="0" w:line="480" w:lineRule="auto"/>
        <w:rPr>
          <w:highlight w:val="yellow"/>
        </w:rPr>
      </w:pPr>
      <w:r>
        <w:t xml:space="preserve">Less than half of stool samples from people symptomatic with infectious intestinal disease (IID) will identify a causative organism. A secondary data analysis </w:t>
      </w:r>
      <w:r w:rsidR="00EE3006">
        <w:t>was undertaken to explore whether</w:t>
      </w:r>
      <w:r w:rsidR="008365B5">
        <w:t xml:space="preserve"> </w:t>
      </w:r>
      <w:r w:rsidR="00EE3006">
        <w:t>symptomology</w:t>
      </w:r>
      <w:r w:rsidR="006E5C62">
        <w:t xml:space="preserve"> alone</w:t>
      </w:r>
      <w:r w:rsidR="00EE3006">
        <w:t xml:space="preserve"> could be used to make inferences about cau</w:t>
      </w:r>
      <w:r w:rsidR="008365B5">
        <w:t>sative organisms</w:t>
      </w:r>
      <w:r w:rsidR="00EE3006">
        <w:t>. Data were</w:t>
      </w:r>
      <w:r w:rsidR="00066862">
        <w:t xml:space="preserve"> utilised</w:t>
      </w:r>
      <w:r w:rsidR="00EE3006">
        <w:t xml:space="preserve"> from </w:t>
      </w:r>
      <w:r>
        <w:t>the Second Study of Infectious Intestinal Disease in the C</w:t>
      </w:r>
      <w:r w:rsidR="00066862">
        <w:t>ommunity</w:t>
      </w:r>
      <w:r w:rsidR="00EE3006">
        <w:t>.</w:t>
      </w:r>
      <w:r>
        <w:t xml:space="preserve"> </w:t>
      </w:r>
      <w:r w:rsidR="00352E11">
        <w:t>A total of 844 cases</w:t>
      </w:r>
      <w:r w:rsidR="00B307F0">
        <w:t xml:space="preserve"> were analysed. </w:t>
      </w:r>
      <w:r w:rsidR="00EE3006">
        <w:t>F</w:t>
      </w:r>
      <w:r w:rsidR="00D962E0">
        <w:t>ew symptoms</w:t>
      </w:r>
      <w:r w:rsidR="00657F43">
        <w:t xml:space="preserve"> differentiated</w:t>
      </w:r>
      <w:r w:rsidR="00352E11">
        <w:t xml:space="preserve"> individual pathogens, but grouping</w:t>
      </w:r>
      <w:r w:rsidR="00B307F0">
        <w:t xml:space="preserve"> pathogens together showed that</w:t>
      </w:r>
      <w:r w:rsidR="00657F43">
        <w:t xml:space="preserve"> viral </w:t>
      </w:r>
      <w:r w:rsidR="00B307F0">
        <w:t>IID was</w:t>
      </w:r>
      <w:r w:rsidR="00FB4E60">
        <w:t xml:space="preserve"> more likely when</w:t>
      </w:r>
      <w:r w:rsidR="00657F43">
        <w:t xml:space="preserve"> symptom onset was in wint</w:t>
      </w:r>
      <w:r w:rsidR="009238E5">
        <w:t xml:space="preserve">er </w:t>
      </w:r>
      <w:r w:rsidR="001B565B" w:rsidRPr="001B565B">
        <w:t>(</w:t>
      </w:r>
      <w:r w:rsidR="00066862">
        <w:t>odds ratio (O</w:t>
      </w:r>
      <w:r w:rsidR="001B565B" w:rsidRPr="001B565B">
        <w:t>R</w:t>
      </w:r>
      <w:r w:rsidR="00066862">
        <w:t>)</w:t>
      </w:r>
      <w:r w:rsidR="00E00B7B">
        <w:t xml:space="preserve"> 2.08</w:t>
      </w:r>
      <w:r w:rsidR="001B565B" w:rsidRPr="001B565B">
        <w:t xml:space="preserve">, 95% </w:t>
      </w:r>
      <w:r w:rsidR="00066862">
        <w:t>confidence interval (CI)</w:t>
      </w:r>
      <w:r w:rsidR="00E00B7B">
        <w:t xml:space="preserve"> 1.16-3.75</w:t>
      </w:r>
      <w:r w:rsidR="001B565B" w:rsidRPr="001B565B">
        <w:t>)</w:t>
      </w:r>
      <w:r w:rsidR="00E00B7B">
        <w:t xml:space="preserve"> or spring (OR 1.92, 95% CI 1.11-3.33</w:t>
      </w:r>
      <w:r w:rsidR="009238E5">
        <w:t>)</w:t>
      </w:r>
      <w:r w:rsidR="00657F43" w:rsidRPr="001B565B">
        <w:t>, the patient was aged under 5 years</w:t>
      </w:r>
      <w:r w:rsidR="00E00B7B">
        <w:t xml:space="preserve"> (OR 3.63</w:t>
      </w:r>
      <w:r w:rsidR="00066862">
        <w:t>, 95% CI</w:t>
      </w:r>
      <w:r w:rsidR="00E00B7B">
        <w:t xml:space="preserve"> 2.24-6.03</w:t>
      </w:r>
      <w:r w:rsidR="001B565B" w:rsidRPr="001B565B">
        <w:t>)</w:t>
      </w:r>
      <w:r w:rsidR="00E00B7B">
        <w:t xml:space="preserve"> and</w:t>
      </w:r>
      <w:r w:rsidR="00657F43" w:rsidRPr="001B565B">
        <w:t xml:space="preserve"> there was loss of appetite</w:t>
      </w:r>
      <w:r w:rsidR="00E00B7B">
        <w:t xml:space="preserve"> (OR 2.19</w:t>
      </w:r>
      <w:r w:rsidR="00066862">
        <w:t>, 95% CI</w:t>
      </w:r>
      <w:r w:rsidR="00E00B7B">
        <w:t xml:space="preserve"> 1.29-3.72</w:t>
      </w:r>
      <w:r w:rsidR="001B565B" w:rsidRPr="001B565B">
        <w:t>)</w:t>
      </w:r>
      <w:r w:rsidR="00E00B7B">
        <w:t>.</w:t>
      </w:r>
      <w:r w:rsidR="00657F43" w:rsidRPr="001B565B">
        <w:t xml:space="preserve"> </w:t>
      </w:r>
      <w:r w:rsidR="00657F43" w:rsidRPr="00B307F0">
        <w:t xml:space="preserve">The odds of </w:t>
      </w:r>
      <w:r w:rsidR="00B307F0" w:rsidRPr="00B307F0">
        <w:t>bacterial IID were</w:t>
      </w:r>
      <w:r w:rsidR="00B307F0">
        <w:t xml:space="preserve"> higher with diarrhoea in the absence of vomiting</w:t>
      </w:r>
      <w:r w:rsidR="00E00B7B">
        <w:t xml:space="preserve"> (OR 3.54</w:t>
      </w:r>
      <w:r w:rsidR="00066862">
        <w:t>, 95% CI</w:t>
      </w:r>
      <w:r w:rsidR="00E00B7B">
        <w:t xml:space="preserve"> 2.37-5.32</w:t>
      </w:r>
      <w:r w:rsidR="00B307F0" w:rsidRPr="00571FD9">
        <w:t xml:space="preserve">), </w:t>
      </w:r>
      <w:r w:rsidR="00E00B7B">
        <w:t>diarrhoea which persisted</w:t>
      </w:r>
      <w:r w:rsidR="00E00B7B" w:rsidRPr="00571FD9">
        <w:t xml:space="preserve"> for greate</w:t>
      </w:r>
      <w:r w:rsidR="00E00B7B">
        <w:t>r than 3 days (OR 2.69, 95% CI</w:t>
      </w:r>
      <w:r w:rsidR="00E00B7B" w:rsidRPr="00571FD9">
        <w:t xml:space="preserve"> </w:t>
      </w:r>
      <w:r w:rsidR="00E00B7B">
        <w:t>1.82-3.99</w:t>
      </w:r>
      <w:r w:rsidR="00E00B7B" w:rsidRPr="00571FD9">
        <w:t>)</w:t>
      </w:r>
      <w:r w:rsidR="00E00B7B">
        <w:t xml:space="preserve">, </w:t>
      </w:r>
      <w:r w:rsidR="00B307F0" w:rsidRPr="00571FD9">
        <w:t>blo</w:t>
      </w:r>
      <w:r w:rsidR="00E00B7B">
        <w:t>ody diarrhoea (OR 4.17, 95% CI 1.63-11.83) and fever (OR 1.67</w:t>
      </w:r>
      <w:r w:rsidR="00066862">
        <w:t>, 95% CI</w:t>
      </w:r>
      <w:r w:rsidR="00E00B7B">
        <w:t xml:space="preserve"> 1.11-2.53)</w:t>
      </w:r>
      <w:r w:rsidR="00B307F0" w:rsidRPr="00571FD9">
        <w:t xml:space="preserve">. </w:t>
      </w:r>
      <w:r w:rsidR="00657F43" w:rsidRPr="00DC7222">
        <w:t>Symptom</w:t>
      </w:r>
      <w:r w:rsidR="00657F43">
        <w:t xml:space="preserve"> profiles could be of value to help guide </w:t>
      </w:r>
      <w:r w:rsidR="003D6E42">
        <w:t xml:space="preserve">clinicians and </w:t>
      </w:r>
      <w:r w:rsidR="00657F43">
        <w:t>public health professionals</w:t>
      </w:r>
      <w:r w:rsidR="006F6FA2">
        <w:t xml:space="preserve"> in the management of IID,</w:t>
      </w:r>
      <w:r w:rsidR="00657F43">
        <w:t xml:space="preserve"> in the absence of microbiological confirmation.</w:t>
      </w:r>
      <w:r w:rsidR="0091243F">
        <w:rPr>
          <w:b/>
        </w:rPr>
        <w:br w:type="page"/>
      </w:r>
    </w:p>
    <w:p w14:paraId="564EFFC6" w14:textId="77777777" w:rsidR="0025252D" w:rsidRDefault="00DF5752" w:rsidP="00F54E4D">
      <w:pPr>
        <w:spacing w:after="0" w:line="480" w:lineRule="auto"/>
        <w:rPr>
          <w:b/>
        </w:rPr>
      </w:pPr>
      <w:r w:rsidRPr="00DF5752">
        <w:rPr>
          <w:b/>
        </w:rPr>
        <w:lastRenderedPageBreak/>
        <w:t>Introduction</w:t>
      </w:r>
    </w:p>
    <w:p w14:paraId="1E9ED3F6" w14:textId="6574D8F3" w:rsidR="00F54E4D" w:rsidRDefault="00EC15BA" w:rsidP="00F54E4D">
      <w:pPr>
        <w:spacing w:after="0" w:line="480" w:lineRule="auto"/>
      </w:pPr>
      <w:r>
        <w:t>Infectious intestinal disease (IID) is characterised by the acute onset of diarrhoea and/or vomiting in otherwise healthy people caused by an infectious, transmissible organism</w:t>
      </w:r>
      <w:r w:rsidR="00E71385">
        <w:t xml:space="preserve"> </w:t>
      </w:r>
      <w:r w:rsidR="00A14B7B">
        <w:fldChar w:fldCharType="begin"/>
      </w:r>
      <w:r w:rsidR="00A14B7B">
        <w:instrText xml:space="preserve"> ADDIN ZOTERO_ITEM CSL_CITATION {"citationID":"OnrJaYO3","properties":{"formattedCitation":"[1]","plainCitation":"[1]","noteIndex":0},"citationItems":[{"id":8,"uris":["http://zotero.org/users/local/vi17aXd7/items/4MWXPIYT"],"uri":["http://zotero.org/users/local/vi17aXd7/items/4MWXPIYT"],"itemData":{"id":8,"type":"article","title":"711-1-1393_IID2_FINAL_REPORT.pdf","URL":"https://www.food.gov.uk/sites/default/files/711-1-1393_IID2_FINAL_REPORT.pdf","accessed":{"date-parts":[["2017",12,12]]}},"locator":"2"}],"schema":"https://github.com/citation-style-language/schema/raw/master/csl-citation.json"} </w:instrText>
      </w:r>
      <w:r w:rsidR="00A14B7B">
        <w:fldChar w:fldCharType="separate"/>
      </w:r>
      <w:r w:rsidR="00E77220" w:rsidRPr="00E77220">
        <w:rPr>
          <w:rFonts w:ascii="Calibri" w:hAnsi="Calibri" w:cs="Calibri"/>
        </w:rPr>
        <w:t>[1]</w:t>
      </w:r>
      <w:r w:rsidR="00A14B7B">
        <w:fldChar w:fldCharType="end"/>
      </w:r>
      <w:r w:rsidR="00E71385">
        <w:t>.</w:t>
      </w:r>
      <w:r>
        <w:t xml:space="preserve"> </w:t>
      </w:r>
      <w:r w:rsidR="00712FDD">
        <w:t xml:space="preserve">In the UK, </w:t>
      </w:r>
      <w:r w:rsidR="00156A40">
        <w:t>the</w:t>
      </w:r>
      <w:r w:rsidR="00EF5B61">
        <w:t xml:space="preserve"> surveillance</w:t>
      </w:r>
      <w:r w:rsidR="00156A40">
        <w:t xml:space="preserve"> of IID</w:t>
      </w:r>
      <w:r w:rsidR="00EF5B61">
        <w:t xml:space="preserve"> is ba</w:t>
      </w:r>
      <w:r w:rsidR="00966D41">
        <w:t>sed on statutory notifications</w:t>
      </w:r>
      <w:r w:rsidR="00EF5B61">
        <w:t xml:space="preserve">, </w:t>
      </w:r>
      <w:r w:rsidR="00156A40">
        <w:t xml:space="preserve">outbreak reports </w:t>
      </w:r>
      <w:r w:rsidR="00EF5B61">
        <w:t>and syndromic surveillance</w:t>
      </w:r>
      <w:r w:rsidR="00156A40">
        <w:t xml:space="preserve"> from primary, secondary and remote health services</w:t>
      </w:r>
      <w:r w:rsidR="00963D9C">
        <w:t xml:space="preserve"> </w:t>
      </w:r>
      <w:r w:rsidR="00963D9C">
        <w:fldChar w:fldCharType="begin"/>
      </w:r>
      <w:r w:rsidR="00963D9C">
        <w:instrText xml:space="preserve"> ADDIN ZOTERO_ITEM CSL_CITATION {"citationID":"Fkbkt3O2","properties":{"formattedCitation":"[2,3]","plainCitation":"[2,3]","noteIndex":0},"citationItems":[{"id":148,"uris":["http://zotero.org/users/local/vi17aXd7/items/DPJTGIEH"],"uri":["http://zotero.org/users/local/vi17aXd7/items/DPJTGIEH"],"itemData":{"id":148,"type":"article-journal","title":"Food poisoning: notifications, laboratory reports, and outbreaks--where do the statistics come from and what do they mean?","container-title":"Communicable disease report. CDR review","page":"R93-100","volume":"6","issue":"7","source":"europepmc.org","abstract":"Abstract: Three main routine sources of data on food poisoning are used in England and Wales. The first is the statutory notification system, in which...","ISSN":"1350-9349","note":"PMID: 8680502","shortTitle":"Food poisoning","journalAbbreviation":"Commun Dis Rep CDR Rev","language":"eng","author":[{"family":"Wall","given":"P. G."},{"family":"De","given":"J. Louvois"},{"family":"Gilbert","given":"R. J."},{"family":"Rowe","given":"B."}],"issued":{"date-parts":[["1996",6]]}}},{"id":146,"uris":["http://zotero.org/users/local/vi17aXd7/items/Q5CQKNDK"],"uri":["http://zotero.org/users/local/vi17aXd7/items/Q5CQKNDK"],"itemData":{"id":146,"type":"webpage","title":"Syndromic surveillance – a public health legacy of the London 2012 Olympic and Paralympic Games - ScienceDirect","URL":"https://www-sciencedirect-com.liverpool.idm.oclc.org/science/article/pii/S0033350613001832","accessed":{"date-parts":[["2019",2,1]]}}}],"schema":"https://github.com/citation-style-language/schema/raw/master/csl-citation.json"} </w:instrText>
      </w:r>
      <w:r w:rsidR="00963D9C">
        <w:fldChar w:fldCharType="separate"/>
      </w:r>
      <w:r w:rsidR="00963D9C" w:rsidRPr="00963D9C">
        <w:rPr>
          <w:rFonts w:ascii="Calibri" w:hAnsi="Calibri" w:cs="Calibri"/>
        </w:rPr>
        <w:t>[2,3]</w:t>
      </w:r>
      <w:r w:rsidR="00963D9C">
        <w:fldChar w:fldCharType="end"/>
      </w:r>
      <w:r w:rsidR="00EF5B61">
        <w:t xml:space="preserve">. </w:t>
      </w:r>
      <w:r>
        <w:t>However,</w:t>
      </w:r>
      <w:r w:rsidR="00992DB6">
        <w:t xml:space="preserve"> </w:t>
      </w:r>
      <w:r w:rsidR="009653E4">
        <w:t xml:space="preserve">as </w:t>
      </w:r>
      <w:r>
        <w:t>the syndrome of diarrhoea and vomiting can</w:t>
      </w:r>
      <w:r w:rsidR="00712FDD">
        <w:t xml:space="preserve"> have non-infectious causes</w:t>
      </w:r>
      <w:r w:rsidR="009653E4">
        <w:t xml:space="preserve">, </w:t>
      </w:r>
      <w:r w:rsidR="00712FDD">
        <w:t>microbiological confirmation</w:t>
      </w:r>
      <w:r>
        <w:t xml:space="preserve"> </w:t>
      </w:r>
      <w:r w:rsidR="00992DB6">
        <w:t xml:space="preserve">remains central to </w:t>
      </w:r>
      <w:r w:rsidR="00046533">
        <w:t>conclusive</w:t>
      </w:r>
      <w:r w:rsidR="00992DB6">
        <w:t xml:space="preserve"> </w:t>
      </w:r>
      <w:r>
        <w:t xml:space="preserve">diagnosis of IID. </w:t>
      </w:r>
      <w:r w:rsidR="008929DB">
        <w:t>Although</w:t>
      </w:r>
      <w:r w:rsidR="00992DB6">
        <w:t xml:space="preserve"> </w:t>
      </w:r>
      <w:r w:rsidR="00475891">
        <w:t xml:space="preserve">microbiological testing </w:t>
      </w:r>
      <w:r w:rsidR="008929DB">
        <w:t>is</w:t>
      </w:r>
      <w:r w:rsidR="00475891">
        <w:t xml:space="preserve"> the gold standard, </w:t>
      </w:r>
      <w:r w:rsidR="00F1153B">
        <w:t xml:space="preserve">in </w:t>
      </w:r>
      <w:r w:rsidR="005A02AB">
        <w:t>some</w:t>
      </w:r>
      <w:r w:rsidR="00475891">
        <w:t xml:space="preserve"> </w:t>
      </w:r>
      <w:r w:rsidR="00BB144E">
        <w:t xml:space="preserve">cohort </w:t>
      </w:r>
      <w:r w:rsidR="00475891">
        <w:t>studies</w:t>
      </w:r>
      <w:r w:rsidR="000B781F">
        <w:t xml:space="preserve"> </w:t>
      </w:r>
      <w:r w:rsidR="00F1153B">
        <w:t xml:space="preserve">causative organisms have </w:t>
      </w:r>
      <w:r w:rsidR="00475891">
        <w:t>only</w:t>
      </w:r>
      <w:r w:rsidR="00F1153B">
        <w:t xml:space="preserve"> been identified in</w:t>
      </w:r>
      <w:r w:rsidR="00475891">
        <w:t xml:space="preserve"> </w:t>
      </w:r>
      <w:r w:rsidR="00046533">
        <w:t>37% to</w:t>
      </w:r>
      <w:r w:rsidR="00BB144E">
        <w:t xml:space="preserve"> </w:t>
      </w:r>
      <w:r w:rsidR="00FF4C51">
        <w:t>46</w:t>
      </w:r>
      <w:r w:rsidR="00BB144E">
        <w:t>% of samples from symptomatic</w:t>
      </w:r>
      <w:r w:rsidR="00F1153B">
        <w:t xml:space="preserve"> individuals</w:t>
      </w:r>
      <w:r w:rsidR="00046533">
        <w:t xml:space="preserve"> </w:t>
      </w:r>
      <w:r w:rsidR="00BB144E">
        <w:fldChar w:fldCharType="begin"/>
      </w:r>
      <w:r w:rsidR="00963D9C">
        <w:instrText xml:space="preserve"> ADDIN ZOTERO_ITEM CSL_CITATION {"citationID":"uZlYivAg","properties":{"formattedCitation":"[1,4,5]","plainCitation":"[1,4,5]","noteIndex":0},"citationItems":[{"id":8,"uris":["http://zotero.org/users/local/vi17aXd7/items/4MWXPIYT"],"uri":["http://zotero.org/users/local/vi17aXd7/items/4MWXPIYT"],"itemData":{"id":8,"type":"article","title":"711-1-1393_IID2_FINAL_REPORT.pdf","URL":"https://www.food.gov.uk/sites/default/files/711-1-1393_IID2_FINAL_REPORT.pdf","accessed":{"date-parts":[["2017",12,12]]}}},{"id":85,"uris":["http://zotero.org/users/local/vi17aXd7/items/MEIYVJNC"],"uri":["http://zotero.org/users/local/vi17aXd7/items/MEIYVJNC"],"itemData":{"id":85,"type":"book","title":"A report of the study of infectious intestinal disease in England.","publisher":"Stationery Office","publisher-place":"London","source":"Open WorldCat","event-place":"London","abstract":"Background Aims and objectives\nMethods\nResults\nConclusions CHAPTER 2 BACKGROUND Microorganisms and Infectious Intestinal Diseases (IID) Normal flora and pathogens Major microorganisms with a recognised clinical significance Bacteria Protozoa Viruses Routine detection Bacteria Protozoa and helminths Viruses Toxins Review of the National Surveillance Systems Introduction Statutory notifications from clinicians of cases of food poisoning Voluntary reports from diagnostic laboratories of laboratory confirmed infections Standard report forms submitted by CsCDC on general outbreaks of infectious intestinal diseases Primary care surveillance Epidemiological Review National trends in IID Sporadic/outbreak cases Results of previous studies Transmission of pathogens associated with IID Zoonoses Foodborne transmission Waterborne transmission Person-to-person spread Direct contact with animals Factors influencing transmission","ISBN":"978-0-11-322308-4","note":"OCLC: 47798384","language":"en","author":[{"literal":"Great Britain"},{"literal":"Food Standards Agency"}],"issued":{"date-parts":[["2000"]]}}},{"id":124,"uris":["http://zotero.org/users/local/vi17aXd7/items/YKT7ZEH8"],"uri":["http://zotero.org/users/local/vi17aXd7/items/YKT7ZEH8"],"itemData":{"id":124,"type":"article-journal","title":"Sensor, a Population-based Cohort Study on Gastroenteritis in the Netherlands: Incidence and Etiology","container-title":"American Journal of Epidemiology","page":"666-674","volume":"154","issue":"7","source":"academic.oup.com","abstract":"Abstract.  A prospective population-based cohort study with a nested case-control study was conducted to estimate the incidence of gastroenteritis and the assoc","DOI":"10.1093/aje/154.7.666","ISSN":"0002-9262","shortTitle":"Sensor, a Population-based Cohort Study on Gastroenteritis in the Netherlands","journalAbbreviation":"Am J Epidemiol","language":"en","author":[{"family":"Wit","given":"De"},{"family":"S","given":"M. A."},{"family":"Koopmans","given":"M. P. G."},{"family":"Kortbeek","given":"L. M."},{"family":"Wannet","given":"W. J. B."},{"family":"Vinjé","given":"J."},{"family":"Leusden","given":"F.","non-dropping-particle":"van"},{"family":"Bartelds","given":"A. I. M."},{"family":"Duynhoven","given":"Van"},{"family":"P","given":"Y. T. H."}],"issued":{"date-parts":[["2001",10,1]]}}}],"schema":"https://github.com/citation-style-language/schema/raw/master/csl-citation.json"} </w:instrText>
      </w:r>
      <w:r w:rsidR="00BB144E">
        <w:fldChar w:fldCharType="separate"/>
      </w:r>
      <w:r w:rsidR="00963D9C" w:rsidRPr="00963D9C">
        <w:rPr>
          <w:rFonts w:ascii="Calibri" w:hAnsi="Calibri" w:cs="Calibri"/>
        </w:rPr>
        <w:t>[1,4,5]</w:t>
      </w:r>
      <w:r w:rsidR="00BB144E">
        <w:fldChar w:fldCharType="end"/>
      </w:r>
      <w:r w:rsidR="00046533">
        <w:t>.</w:t>
      </w:r>
      <w:r w:rsidR="00712FDD">
        <w:t xml:space="preserve"> T</w:t>
      </w:r>
      <w:r w:rsidR="00231FAD">
        <w:t>he likelihood</w:t>
      </w:r>
      <w:r w:rsidR="00475891">
        <w:t xml:space="preserve"> of identifying</w:t>
      </w:r>
      <w:r w:rsidR="00712FDD">
        <w:t xml:space="preserve"> a causative</w:t>
      </w:r>
      <w:r w:rsidR="00231FAD">
        <w:t xml:space="preserve"> organism</w:t>
      </w:r>
      <w:r w:rsidR="00712FDD">
        <w:t xml:space="preserve"> has been found to be</w:t>
      </w:r>
      <w:r w:rsidR="00231FAD">
        <w:t xml:space="preserve"> affected</w:t>
      </w:r>
      <w:r w:rsidR="00712FDD">
        <w:t xml:space="preserve"> by factors such as</w:t>
      </w:r>
      <w:r w:rsidR="00475891">
        <w:t xml:space="preserve"> </w:t>
      </w:r>
      <w:r w:rsidR="00231FAD">
        <w:t>age, s</w:t>
      </w:r>
      <w:r w:rsidR="009653E4">
        <w:t>ex, occupation, the</w:t>
      </w:r>
      <w:r w:rsidR="00231FAD">
        <w:t xml:space="preserve"> </w:t>
      </w:r>
      <w:r w:rsidR="009653E4">
        <w:t>absence of specific</w:t>
      </w:r>
      <w:r w:rsidR="00231FAD">
        <w:t xml:space="preserve"> symptoms</w:t>
      </w:r>
      <w:r w:rsidR="009653E4">
        <w:t xml:space="preserve"> such as vomiting</w:t>
      </w:r>
      <w:r w:rsidR="00231FAD">
        <w:t>, and the timing of the stool sample in relation to symptom onset</w:t>
      </w:r>
      <w:r w:rsidR="00046533">
        <w:t xml:space="preserve"> </w:t>
      </w:r>
      <w:r w:rsidR="00231FAD">
        <w:fldChar w:fldCharType="begin"/>
      </w:r>
      <w:r w:rsidR="00231FAD">
        <w:instrText xml:space="preserve"> ADDIN ZOTERO_ITEM CSL_CITATION {"citationID":"u7fwPnG3","properties":{"formattedCitation":"[1]","plainCitation":"[1]","noteIndex":0},"citationItems":[{"id":8,"uris":["http://zotero.org/users/local/vi17aXd7/items/4MWXPIYT"],"uri":["http://zotero.org/users/local/vi17aXd7/items/4MWXPIYT"],"itemData":{"id":8,"type":"article","title":"711-1-1393_IID2_FINAL_REPORT.pdf","URL":"https://www.food.gov.uk/sites/default/files/711-1-1393_IID2_FINAL_REPORT.pdf","accessed":{"date-parts":[["2017",12,12]]}},"locator":"2"}],"schema":"https://github.com/citation-style-language/schema/raw/master/csl-citation.json"} </w:instrText>
      </w:r>
      <w:r w:rsidR="00231FAD">
        <w:fldChar w:fldCharType="separate"/>
      </w:r>
      <w:r w:rsidR="00E77220" w:rsidRPr="00E77220">
        <w:rPr>
          <w:rFonts w:ascii="Calibri" w:hAnsi="Calibri" w:cs="Calibri"/>
        </w:rPr>
        <w:t>[1]</w:t>
      </w:r>
      <w:r w:rsidR="00231FAD">
        <w:fldChar w:fldCharType="end"/>
      </w:r>
      <w:r w:rsidR="00046533">
        <w:t>.</w:t>
      </w:r>
      <w:r w:rsidR="00231FAD">
        <w:t xml:space="preserve"> </w:t>
      </w:r>
      <w:r w:rsidR="002B3D75">
        <w:t>Other factors such as the volume of the sample, the performance of the microbiological test and local organism testing policies may</w:t>
      </w:r>
      <w:r w:rsidR="00231FAD">
        <w:t xml:space="preserve"> also impact </w:t>
      </w:r>
      <w:r w:rsidR="002B3D75">
        <w:t>on the isolation of organisms</w:t>
      </w:r>
      <w:r w:rsidR="00046533">
        <w:t xml:space="preserve"> </w:t>
      </w:r>
      <w:r w:rsidR="005F1ACD">
        <w:fldChar w:fldCharType="begin"/>
      </w:r>
      <w:r w:rsidR="00963D9C">
        <w:instrText xml:space="preserve"> ADDIN ZOTERO_ITEM CSL_CITATION {"citationID":"NXjPpfv4","properties":{"formattedCitation":"[6,7]","plainCitation":"[6,7]","noteIndex":0},"citationItems":[{"id":42,"uris":["http://zotero.org/users/local/vi17aXd7/items/CRS3XVPX"],"uri":["http://zotero.org/users/local/vi17aXd7/items/CRS3XVPX"],"itemData":{"id":42,"type":"article-journal","title":"Clinical laboratory practices for the detection of rotavirus in England and Wales: can surveillance based on routine laboratory testing data be used to evaluate the impact of vaccination?","container-title":"Euro surveillance","volume":"14","issue":"20","source":"researchonline.lshtm.ac.uk","abstract":": Two rotavirus vaccines have recently been licensed in Europe. Rotavirus surveillance data in many European countries are based on reports of laboratory-confirmed rotavirus infections. If surveillance data based on routine laboratory testing data are to be used to evaluate the impact of vaccination programmes, it is important to determine how the data are influenced by differences in testing practices, and how these practices are likely to affect the ability of the surveillance data to represent trends in rotavirus disease in the community. We conducted a survey of laboratory testing policies for rotavirus gastroenteritis in England and Wales in 2008. 60% (94/156) of laboratories responded to the survey. 91% of reporting laboratories offered routine testing for rotavirus all year round and 89% of laboratories offered routine rotavirus testing of all stool specimens from children under the age of five years. In 96% of laboratories, rotavirus detection was presently done either by rapid immunochromatographic tests or by enzyme-linked immunosorbent assay. Currently, rotavirus testing policies among laboratories in England and Wales are relatively homogenous. Therefore, surveillance based on laboratory testing data is likely to be representative of rotavirus disease trends in the community in the most frequently affected age groups (children under the age of five years) and could be used to help determine the impact of a rotavirus vaccine.&lt;br/&gt;","URL":"http://researchonline.lshtm.ac.uk/5402/","ISSN":"1025-496X","shortTitle":"Clinical laboratory practices for the detection of rotavirus in England and Wales","language":"en","author":[{"family":"Atchison","given":"C. J."},{"family":"Lopman","given":"B. A."},{"family":"Harris","given":"C. J."},{"family":"Tam","given":"C. C."},{"family":"Iturriza Gómara","given":"M."},{"family":"Gray","given":"J. J."}],"issued":{"date-parts":[["2009"]]},"accessed":{"date-parts":[["2018",1,20]]}}},{"id":102,"uris":["http://zotero.org/users/local/vi17aXd7/items/C8PHIF4T"],"uri":["http://zotero.org/users/local/vi17aXd7/items/C8PHIF4T"],"itemData":{"id":102,"type":"article-journal","title":"Laboratory Diagnosis of Bacterial Gastroenteritis","container-title":"Clinical Microbiology Reviews","page":"3-31","volume":"28","issue":"1","source":"cmr.asm.org","abstract":"Bacterial gastroenteritis is a disease that is pervasive in both the developing and developed worlds. While for the most part bacterial gastroenteritis is self-limiting, identification of an etiological agent by bacterial stool culture is required for the management of patients with severe or prolonged diarrhea, symptoms consistent with invasive disease, or a history that may predict a complicated course of disease. Importantly, characterization of bacterial enteropathogens from stool cultures in clinical laboratories is one of the primary means by which public health officials identify and track outbreaks of bacterial gastroenteritis. This article provides guidance for clinical microbiology laboratories that perform stool cultures. The general characteristics, epidemiology, and clinical manifestations of key bacterial enteropathogens are summarized. Information regarding optimal specimen collection, transport, and processing and current diagnostic tests and testing algorithms is provided. This article is an update of Cumitech 12A (P. H. Gilligan, J. M. Janda, M. A. Karmali, and J. M. Miller, Cumitech 12A, Laboratory diagnosis of bacterial diarrhea, 1992).","DOI":"10.1128/CMR.00073-14","ISSN":"0893-8512, 1098-6618","note":"PMID: 25567220","journalAbbreviation":"Clin. Microbiol. Rev.","language":"en","author":[{"family":"Humphries","given":"Romney M."},{"family":"Linscott","given":"Andrea J."}],"issued":{"date-parts":[["2015",1,1]]}}}],"schema":"https://github.com/citation-style-language/schema/raw/master/csl-citation.json"} </w:instrText>
      </w:r>
      <w:r w:rsidR="005F1ACD">
        <w:fldChar w:fldCharType="separate"/>
      </w:r>
      <w:r w:rsidR="00963D9C" w:rsidRPr="00963D9C">
        <w:rPr>
          <w:rFonts w:ascii="Calibri" w:hAnsi="Calibri" w:cs="Calibri"/>
        </w:rPr>
        <w:t>[6,7]</w:t>
      </w:r>
      <w:r w:rsidR="005F1ACD">
        <w:fldChar w:fldCharType="end"/>
      </w:r>
      <w:r w:rsidR="00046533">
        <w:t>.</w:t>
      </w:r>
    </w:p>
    <w:p w14:paraId="250C7AFA" w14:textId="77777777" w:rsidR="009653E4" w:rsidRDefault="009653E4" w:rsidP="00F54E4D">
      <w:pPr>
        <w:spacing w:after="0" w:line="480" w:lineRule="auto"/>
      </w:pPr>
    </w:p>
    <w:p w14:paraId="14C5E5CF" w14:textId="6185D66E" w:rsidR="00690CA3" w:rsidRDefault="000B781F" w:rsidP="00F54E4D">
      <w:pPr>
        <w:spacing w:after="0" w:line="480" w:lineRule="auto"/>
      </w:pPr>
      <w:r>
        <w:t>This</w:t>
      </w:r>
      <w:r w:rsidR="007E0363">
        <w:t xml:space="preserve"> diagnostic gap means that for</w:t>
      </w:r>
      <w:r w:rsidR="009653E4">
        <w:t xml:space="preserve"> over half of symptomatic</w:t>
      </w:r>
      <w:r w:rsidR="008929DB">
        <w:t xml:space="preserve"> patients, the cause of illness</w:t>
      </w:r>
      <w:r w:rsidR="007E0363">
        <w:t xml:space="preserve"> will not be identified. Whilst the majority of</w:t>
      </w:r>
      <w:r w:rsidR="005A02AB">
        <w:t xml:space="preserve"> IID cases</w:t>
      </w:r>
      <w:r w:rsidR="007E0363">
        <w:t xml:space="preserve"> </w:t>
      </w:r>
      <w:r w:rsidR="005F1ACD">
        <w:t xml:space="preserve">are self-limiting, </w:t>
      </w:r>
      <w:r w:rsidR="008929DB">
        <w:t>being aware of</w:t>
      </w:r>
      <w:r w:rsidR="007E0363">
        <w:t xml:space="preserve"> the </w:t>
      </w:r>
      <w:r w:rsidR="00F1153B">
        <w:t>underlying cause</w:t>
      </w:r>
      <w:r w:rsidR="007E0363">
        <w:t xml:space="preserve"> can</w:t>
      </w:r>
      <w:r w:rsidR="00F1153B">
        <w:t xml:space="preserve"> be of value in</w:t>
      </w:r>
      <w:r w:rsidR="007E0363">
        <w:t xml:space="preserve"> both c</w:t>
      </w:r>
      <w:r w:rsidR="00F1153B">
        <w:t>ase and outbreak management</w:t>
      </w:r>
      <w:r w:rsidR="00F1153B" w:rsidRPr="009653E4">
        <w:t>. For</w:t>
      </w:r>
      <w:r w:rsidR="007E0363" w:rsidRPr="009653E4">
        <w:t xml:space="preserve"> outbreak situations, epidemiological criteria have been developed </w:t>
      </w:r>
      <w:r w:rsidR="004876CB" w:rsidRPr="009653E4">
        <w:t>which utilise</w:t>
      </w:r>
      <w:r w:rsidR="009653E4" w:rsidRPr="009653E4">
        <w:t>, among other factors,</w:t>
      </w:r>
      <w:r w:rsidR="00443729">
        <w:t xml:space="preserve"> the</w:t>
      </w:r>
      <w:r w:rsidR="00C92E6C">
        <w:t xml:space="preserve"> </w:t>
      </w:r>
      <w:r w:rsidR="009653E4" w:rsidRPr="009653E4">
        <w:t>proportion</w:t>
      </w:r>
      <w:r w:rsidR="00443729">
        <w:t xml:space="preserve"> of people affected by given</w:t>
      </w:r>
      <w:r w:rsidR="009653E4" w:rsidRPr="009653E4">
        <w:t xml:space="preserve"> </w:t>
      </w:r>
      <w:r w:rsidR="004876CB" w:rsidRPr="009653E4">
        <w:t>symptoms</w:t>
      </w:r>
      <w:r w:rsidR="00C92E6C">
        <w:t xml:space="preserve"> in order</w:t>
      </w:r>
      <w:r w:rsidR="004876CB" w:rsidRPr="009653E4">
        <w:t xml:space="preserve"> to </w:t>
      </w:r>
      <w:r w:rsidR="008929DB" w:rsidRPr="009653E4">
        <w:t>make inferences as to</w:t>
      </w:r>
      <w:r w:rsidR="004876CB" w:rsidRPr="009653E4">
        <w:t xml:space="preserve"> the underlying organism</w:t>
      </w:r>
      <w:r w:rsidR="00F1153B" w:rsidRPr="009653E4">
        <w:t xml:space="preserve">. </w:t>
      </w:r>
      <w:r w:rsidR="00F1153B">
        <w:t>The most notable of these</w:t>
      </w:r>
      <w:r w:rsidR="00B24262">
        <w:t xml:space="preserve"> is the </w:t>
      </w:r>
      <w:r>
        <w:t>Kaplan criteria</w:t>
      </w:r>
      <w:r w:rsidR="00046533">
        <w:t xml:space="preserve"> </w:t>
      </w:r>
      <w:r w:rsidR="008929DB">
        <w:fldChar w:fldCharType="begin"/>
      </w:r>
      <w:r w:rsidR="00963D9C">
        <w:instrText xml:space="preserve"> ADDIN ZOTERO_ITEM CSL_CITATION {"citationID":"OpTLGySu","properties":{"formattedCitation":"[8]","plainCitation":"[8]","noteIndex":0},"citationItems":[{"id":86,"uris":["http://zotero.org/users/local/vi17aXd7/items/XMDJ8US2"],"uri":["http://zotero.org/users/local/vi17aXd7/items/XMDJ8US2"],"itemData":{"id":86,"type":"article-journal","title":"Epidemiology of Norwalk Gastroenteritis and the Role of Norwalk Virus in Outbreaks of Acute Nonbacterial Gastroenteritis","container-title":"Annals of Internal Medicine","page":"756","volume":"96","issue":"6_part_1","source":"Crossref","DOI":"10.7326/0003-4819-96-6-756","ISSN":"0003-4819","language":"en","author":[{"family":"Kaplan","given":"Jonathan E."}],"issued":{"date-parts":[["1982",6,1]]}}}],"schema":"https://github.com/citation-style-language/schema/raw/master/csl-citation.json"} </w:instrText>
      </w:r>
      <w:r w:rsidR="008929DB">
        <w:fldChar w:fldCharType="separate"/>
      </w:r>
      <w:r w:rsidR="00963D9C" w:rsidRPr="00963D9C">
        <w:rPr>
          <w:rFonts w:ascii="Calibri" w:hAnsi="Calibri" w:cs="Calibri"/>
        </w:rPr>
        <w:t>[8]</w:t>
      </w:r>
      <w:r w:rsidR="008929DB">
        <w:fldChar w:fldCharType="end"/>
      </w:r>
      <w:r>
        <w:t xml:space="preserve"> which was developed </w:t>
      </w:r>
      <w:r w:rsidR="00C92E6C">
        <w:t xml:space="preserve">in the 1980s </w:t>
      </w:r>
      <w:r>
        <w:t>in response to the lack of diagnostic</w:t>
      </w:r>
      <w:r w:rsidR="008929DB">
        <w:t xml:space="preserve"> tests available for isolating</w:t>
      </w:r>
      <w:r>
        <w:t xml:space="preserve"> norovirus. </w:t>
      </w:r>
      <w:r w:rsidR="00082E61">
        <w:t>Kaplan identified that</w:t>
      </w:r>
      <w:r w:rsidR="000C0E96">
        <w:t>,</w:t>
      </w:r>
      <w:r w:rsidR="00F1153B">
        <w:t xml:space="preserve"> where no bacterial organism had been identified in stool cultures, </w:t>
      </w:r>
      <w:r w:rsidR="00082E61">
        <w:t xml:space="preserve">outbreaks </w:t>
      </w:r>
      <w:r w:rsidR="00F1153B">
        <w:t>were more likely to be caused by norovirus when</w:t>
      </w:r>
      <w:r w:rsidR="000C0E96">
        <w:t xml:space="preserve"> greater than </w:t>
      </w:r>
      <w:r>
        <w:t>50% of p</w:t>
      </w:r>
      <w:r w:rsidR="000C0E96">
        <w:t>eople were affected by vomiting; the incubation period was 24 to 48 hours;</w:t>
      </w:r>
      <w:r>
        <w:t xml:space="preserve"> and the </w:t>
      </w:r>
      <w:r w:rsidR="000C0E96">
        <w:t xml:space="preserve">mean duration of illness was 12 to </w:t>
      </w:r>
      <w:r>
        <w:t>60 hours</w:t>
      </w:r>
      <w:r w:rsidR="00F1153B">
        <w:t>. A subsequent</w:t>
      </w:r>
      <w:r>
        <w:t xml:space="preserve"> re-evaluation of these criteria</w:t>
      </w:r>
      <w:r w:rsidR="00A041AE">
        <w:t>,</w:t>
      </w:r>
      <w:r>
        <w:t xml:space="preserve"> </w:t>
      </w:r>
      <w:r w:rsidR="00A041AE">
        <w:t xml:space="preserve">once diagnostic tests became available, </w:t>
      </w:r>
      <w:r>
        <w:t>found them to be highly specific</w:t>
      </w:r>
      <w:r w:rsidR="00AE73F1">
        <w:t xml:space="preserve"> (99%)</w:t>
      </w:r>
      <w:r>
        <w:t xml:space="preserve"> and moderately sensitive</w:t>
      </w:r>
      <w:r w:rsidR="00AE73F1">
        <w:t xml:space="preserve"> (68%)</w:t>
      </w:r>
      <w:r>
        <w:t xml:space="preserve"> at distinguishing outbreaks of norovirus from bacterial IID outbreaks</w:t>
      </w:r>
      <w:r w:rsidR="00BC5B21">
        <w:t xml:space="preserve"> </w:t>
      </w:r>
      <w:r>
        <w:fldChar w:fldCharType="begin"/>
      </w:r>
      <w:r w:rsidR="00963D9C">
        <w:instrText xml:space="preserve"> ADDIN ZOTERO_ITEM CSL_CITATION {"citationID":"YL61poPN","properties":{"formattedCitation":"[9]","plainCitation":"[9]","noteIndex":0},"citationItems":[{"id":47,"uris":["http://zotero.org/users/local/vi17aXd7/items/CTBBMFU2"],"uri":["http://zotero.org/users/local/vi17aXd7/items/CTBBMFU2"],"itemData":{"id":47,"type":"article-journal","title":"Reevaluation of Epidemiological Criteria for Identifying Outbreaks of Acute Gastroenteritis Due to Norovirus: United States, 1998–2000","container-title":"Clinical Infectious Diseases","page":"964-969","volume":"42","issue":"7","source":"academic.oup.com","abstract":"Background. Noroviruses are believed to be the most common etiologic agent of foodborne outbreaks of gastroenteritis, yet diagnostic tests for these agents are not readily available in the United States. In the absence of assays to detect norovirus, several clinical and epidemiologic profiles—the criteria of Kaplan et al. (vomiting in &amp;gt;50% of patients, mean incubation period of 24–48 h, mean duration of illness of 12–60 h, and no bacterial pathogen) and the ratios of fever to vomiting and diarrhea to vomiting—have been used to distinguish foodborne outbreaks of gastroenteritis caused by noroviruses from those caused by bacteria.Methods. To examine how well clinical and epidemiological profiles discriminate between foodborne outbreaks of gastroenteritis due to noroviruses and those due to bacteria and to estimate the proportion of reported outbreaks that might be attributable to noroviruses, we reviewed subsets of the 4050 outbreaks reported from 1998 to 2000.Results. The set of criteria of Kaplan et al. is highly specific (99%) and moderately sensitive (68%) in discriminating confirmed outbreaks due to bacteria from those due to norovirus and was the most useful diagnostic aid evaluated. Each individual component of the criteria, the fever-to-vomiting ratio, and the diarrhea-to-vomiting ratio were more sensitive, yet less specific, and therefore less useful, than the criteria of Kaplan et al. We estimated that, at a minimum, 28% of all the foodborne outbreaks reported to the Centers for Disease Control and Prevention may be attributed to norovirus on the basis of these criteria.Conclusion. Until norovirus diagnostic tests become widely available, the criteria of Kaplan et al. remain the most useful and discriminating diagnostic aid to identify foodborne outbreaks of gastroenteritis due to noroviruses.","DOI":"10.1086/500940","ISSN":"1058-4838","shortTitle":"Reevaluation of Epidemiological Criteria for Identifying Outbreaks of Acute Gastroenteritis Due to Norovirus","journalAbbreviation":"Clin Infect Dis","language":"en","author":[{"family":"Turcios","given":"Reina M."},{"family":"Widdowson","given":"Marc-Alain"},{"family":"Sulka","given":"Alana C."},{"family":"Mead","given":"Paul S."},{"family":"Glass","given":"Roger I."}],"issued":{"date-parts":[["2006",4,1]]}}}],"schema":"https://github.com/citation-style-language/schema/raw/master/csl-citation.json"} </w:instrText>
      </w:r>
      <w:r>
        <w:fldChar w:fldCharType="separate"/>
      </w:r>
      <w:r w:rsidR="00963D9C" w:rsidRPr="00963D9C">
        <w:rPr>
          <w:rFonts w:ascii="Calibri" w:hAnsi="Calibri" w:cs="Calibri"/>
        </w:rPr>
        <w:t>[9]</w:t>
      </w:r>
      <w:r>
        <w:fldChar w:fldCharType="end"/>
      </w:r>
      <w:r w:rsidR="00BC5B21">
        <w:t>.</w:t>
      </w:r>
      <w:r>
        <w:t xml:space="preserve"> Other epidemiological criteria</w:t>
      </w:r>
      <w:r w:rsidR="00A041AE">
        <w:t xml:space="preserve"> </w:t>
      </w:r>
      <w:r w:rsidR="00595FA6">
        <w:lastRenderedPageBreak/>
        <w:t>have also been proposed</w:t>
      </w:r>
      <w:r>
        <w:t>, including a greater fever-vomiting ratio</w:t>
      </w:r>
      <w:r w:rsidR="00BC5B21">
        <w:t xml:space="preserve"> </w:t>
      </w:r>
      <w:r>
        <w:fldChar w:fldCharType="begin"/>
      </w:r>
      <w:r w:rsidR="00963D9C">
        <w:instrText xml:space="preserve"> ADDIN ZOTERO_ITEM CSL_CITATION {"citationID":"VcwnqcWq","properties":{"formattedCitation":"[10]","plainCitation":"[10]","noteIndex":0},"citationItems":[{"id":87,"uris":["http://zotero.org/users/local/vi17aXd7/items/PNBZNFMF"],"uri":["http://zotero.org/users/local/vi17aXd7/items/PNBZNFMF"],"itemData":{"id":87,"type":"article-journal","title":"Outbreaks of food-borne and waterborne viral gastroenteritis.","container-title":"Clinical Microbiology Reviews","page":"199-210","volume":"6","issue":"3","source":"cmr.asm.org","abstract":"Norwalk virus infection is the epidemiologic prototype for outbreaks of food-borne and waterborne gastroenteritis. Around the world, Norwalk virus and Norwalk-like viruses appear to be major causes of food-borne and waterborne illness. Assessment of the overall significance of viral agents to the epidemiology of food-borne and waterborne illness is hampered by the lack of surveillance throughout much of the world. In areas where food-borne and waterborne illness surveillance is conducted, outbreaks of viral gastroenteritis are underreported because of the lack of availability of routine laboratory services to confirm the viral etiology. Routine use of epidemiologic criteria as an alternative to laboratory confirmation will allow better assessments of the importance of viral gastroenteritis until effective laboratory methods can be widely implemented. Outbreaks of viral gastroenteritis have been propagated by contamination of water supplies, raw foods, and ill food handlers. Controlling an outbreak depends on identifying and removing the source of contamination. The demonstrated occurrence of person-to-person transmission and the likely occurrence of transmission of Norwalk-like viruses by aerosol make it necessary to evaluate the potential for transmission by food handlers and servers in every outbreak, regardless of primary source.","DOI":"10.1128/CMR.6.3.199","ISSN":"0893-8512, 1098-6618","note":"PMID: 8395330","journalAbbreviation":"Clin. Microbiol. Rev.","language":"en","author":[{"family":"Hedberg","given":"C. W."},{"family":"Osterholm","given":"M. T."}],"issued":{"date-parts":[["1993",7,1]]}}}],"schema":"https://github.com/citation-style-language/schema/raw/master/csl-citation.json"} </w:instrText>
      </w:r>
      <w:r>
        <w:fldChar w:fldCharType="separate"/>
      </w:r>
      <w:r w:rsidR="00963D9C" w:rsidRPr="00963D9C">
        <w:rPr>
          <w:rFonts w:ascii="Calibri" w:hAnsi="Calibri" w:cs="Calibri"/>
        </w:rPr>
        <w:t>[10]</w:t>
      </w:r>
      <w:r>
        <w:fldChar w:fldCharType="end"/>
      </w:r>
      <w:r>
        <w:t xml:space="preserve"> and a higher diarrhoea-vomiting ratio in bacterial outbreaks</w:t>
      </w:r>
      <w:r w:rsidR="002C206D">
        <w:t>, suggesting that fever and diarrhoea are more indicative of a bacterial cause</w:t>
      </w:r>
      <w:r w:rsidR="00BC5B21">
        <w:t xml:space="preserve"> </w:t>
      </w:r>
      <w:r>
        <w:fldChar w:fldCharType="begin"/>
      </w:r>
      <w:r w:rsidR="00963D9C">
        <w:instrText xml:space="preserve"> ADDIN ZOTERO_ITEM CSL_CITATION {"citationID":"vZTsn6wA","properties":{"formattedCitation":"[11]","plainCitation":"[11]","noteIndex":0},"citationItems":[{"id":91,"uris":["http://zotero.org/users/local/vi17aXd7/items/DPPIFRGZ"],"uri":["http://zotero.org/users/local/vi17aXd7/items/DPPIFRGZ"],"itemData":{"id":91,"type":"article-journal","title":"Outbreaks of enterotoxigenic Escherichia coli infection in American adults: a clinical and epidemiologic profile","container-title":"Epidemiology &amp; Infection","page":"9-16","volume":"123","issue":"1","source":"Cambridge Core","abstract":"Because enterotoxigenic Escherichia coli (ETEC) is not identified by routine stool culture\nmethods, ETEC outbreaks may go unrecognized, and opportunities for treatment and\nprevention may be missed. To improve recognition of adult ETEC outbreaks, we compared\nthem with reported outbreaks of viral gastroenteritis. During 1975–95, we identified 14 ETEC\noutbreaks in the United States and 7 on cruise ships, caused by 17 different serotypes and\naffecting 5683 persons. Median symptom prevalences were: diarrhoea 99%, abdominal cramps\n82%, nausea 49%, fever 22%, vomiting 14%. The median incubation period was 42 h, and\nfor 8 of 10 outbreaks, the mean or median duration of illness was &gt;72 h (range 24–264). For\n17 (81%) ETEC outbreaks, but for only 2 (8%) viral outbreaks, the prevalence of diarrhoea\nwas [ges ]2·5 times the prevalence of vomiting. ETEC outbreaks may be differentiated from viral\ngastroenteritis outbreaks by a diarrhoea-to-vomiting prevalence ratio of [ges ]2·5 and a longer\nduration of illness.","ISSN":"1469-4409, 0950-2688","shortTitle":"Outbreaks of enterotoxigenic Escherichia coli infection in American adults","language":"en","author":[{"family":"Dalton","given":"C. B."},{"family":"Mintz","given":"E. D."},{"family":"Wells","given":"J. G."},{"family":"Bopp","given":"C. A."},{"family":"Tauxe","given":"R. V."}],"issued":{"date-parts":[["1999",8]]}}}],"schema":"https://github.com/citation-style-language/schema/raw/master/csl-citation.json"} </w:instrText>
      </w:r>
      <w:r>
        <w:fldChar w:fldCharType="separate"/>
      </w:r>
      <w:r w:rsidR="00963D9C" w:rsidRPr="00963D9C">
        <w:rPr>
          <w:rFonts w:ascii="Calibri" w:hAnsi="Calibri" w:cs="Calibri"/>
        </w:rPr>
        <w:t>[11]</w:t>
      </w:r>
      <w:r>
        <w:fldChar w:fldCharType="end"/>
      </w:r>
      <w:r w:rsidR="00BC5B21">
        <w:t>.</w:t>
      </w:r>
      <w:r w:rsidR="00F1153B">
        <w:t xml:space="preserve"> </w:t>
      </w:r>
      <w:r w:rsidR="00595FA6">
        <w:t xml:space="preserve">However, the basis of </w:t>
      </w:r>
      <w:r>
        <w:t>epidemiological criteria is the relative p</w:t>
      </w:r>
      <w:r w:rsidR="00D37217">
        <w:t>revalence of</w:t>
      </w:r>
      <w:r w:rsidR="000E0A1D">
        <w:t xml:space="preserve"> symptoms</w:t>
      </w:r>
      <w:r w:rsidR="00D37217">
        <w:t xml:space="preserve"> </w:t>
      </w:r>
      <w:r w:rsidR="00443729">
        <w:t>occurring within</w:t>
      </w:r>
      <w:r w:rsidR="00D37217">
        <w:t xml:space="preserve"> a group of </w:t>
      </w:r>
      <w:r w:rsidR="00443729">
        <w:t xml:space="preserve">affected </w:t>
      </w:r>
      <w:r w:rsidR="00D37217">
        <w:t>people, and as such</w:t>
      </w:r>
      <w:r>
        <w:t xml:space="preserve"> they cannot be ap</w:t>
      </w:r>
      <w:r w:rsidR="00443729">
        <w:t>plied to individual cases</w:t>
      </w:r>
      <w:r w:rsidR="00773F31">
        <w:t xml:space="preserve">. </w:t>
      </w:r>
      <w:r w:rsidR="00BC5B21">
        <w:t>S</w:t>
      </w:r>
      <w:r w:rsidR="00773F31">
        <w:t>easonal outbreaks of IID may present as an increase i</w:t>
      </w:r>
      <w:r w:rsidR="00931725">
        <w:t>n reporting of individual cases</w:t>
      </w:r>
      <w:r w:rsidR="00773F31">
        <w:t xml:space="preserve"> and therefore being able to ascribe likely cause to single cases of IID has public health and epidemiological value</w:t>
      </w:r>
      <w:r w:rsidR="002C206D">
        <w:t>, as well as clinical application</w:t>
      </w:r>
      <w:r w:rsidR="00773F31">
        <w:t>. This study</w:t>
      </w:r>
      <w:r>
        <w:t xml:space="preserve"> use</w:t>
      </w:r>
      <w:r w:rsidR="00773F31">
        <w:t>s</w:t>
      </w:r>
      <w:r>
        <w:t xml:space="preserve"> data from a large community cohort</w:t>
      </w:r>
      <w:r w:rsidR="000E0A1D">
        <w:t xml:space="preserve"> and General Practice</w:t>
      </w:r>
      <w:r>
        <w:t xml:space="preserve"> study to investigate whether symptoms</w:t>
      </w:r>
      <w:r w:rsidR="00773F31">
        <w:t xml:space="preserve"> alone</w:t>
      </w:r>
      <w:r>
        <w:t xml:space="preserve"> can be used to </w:t>
      </w:r>
      <w:r w:rsidR="00773F31">
        <w:t xml:space="preserve">make inferences as to the causative organisms </w:t>
      </w:r>
      <w:r>
        <w:t>for individual cases of IID.</w:t>
      </w:r>
    </w:p>
    <w:p w14:paraId="6D99AA8C" w14:textId="77777777" w:rsidR="004C6746" w:rsidRDefault="004C6746" w:rsidP="00F54E4D">
      <w:pPr>
        <w:spacing w:after="0" w:line="480" w:lineRule="auto"/>
        <w:rPr>
          <w:b/>
        </w:rPr>
      </w:pPr>
    </w:p>
    <w:p w14:paraId="78D34270" w14:textId="77777777" w:rsidR="0025252D" w:rsidRPr="002A21CD" w:rsidRDefault="0025252D" w:rsidP="00F54E4D">
      <w:pPr>
        <w:spacing w:after="0" w:line="480" w:lineRule="auto"/>
        <w:rPr>
          <w:b/>
        </w:rPr>
      </w:pPr>
      <w:r w:rsidRPr="002A21CD">
        <w:rPr>
          <w:b/>
        </w:rPr>
        <w:t>Methods</w:t>
      </w:r>
    </w:p>
    <w:p w14:paraId="5BA8A930" w14:textId="77777777" w:rsidR="00B46EC5" w:rsidRPr="002A21CD" w:rsidRDefault="00B46EC5" w:rsidP="00F54E4D">
      <w:pPr>
        <w:spacing w:after="0" w:line="480" w:lineRule="auto"/>
        <w:rPr>
          <w:b/>
          <w:i/>
        </w:rPr>
      </w:pPr>
      <w:r w:rsidRPr="002A21CD">
        <w:rPr>
          <w:b/>
          <w:i/>
        </w:rPr>
        <w:t>Data Sources</w:t>
      </w:r>
    </w:p>
    <w:p w14:paraId="706F82DB" w14:textId="63EE1D82" w:rsidR="00482745" w:rsidRDefault="0064114E" w:rsidP="00F54E4D">
      <w:pPr>
        <w:spacing w:after="0" w:line="480" w:lineRule="auto"/>
      </w:pPr>
      <w:r>
        <w:t xml:space="preserve">A secondary data analysis was undertaken using data </w:t>
      </w:r>
      <w:r w:rsidR="00482745">
        <w:t>from</w:t>
      </w:r>
      <w:r>
        <w:t xml:space="preserve"> the Second Study of Infectious Intestinal Disease in the Community (IID2 Study)</w:t>
      </w:r>
      <w:r w:rsidR="00576664">
        <w:t>, the methodology</w:t>
      </w:r>
      <w:r w:rsidR="00573703">
        <w:t xml:space="preserve"> </w:t>
      </w:r>
      <w:r w:rsidR="00CC3D07">
        <w:t xml:space="preserve">of which is </w:t>
      </w:r>
      <w:r w:rsidR="00685DE9">
        <w:t xml:space="preserve">detailed </w:t>
      </w:r>
      <w:r w:rsidR="00CC3D07">
        <w:t>elsewhere</w:t>
      </w:r>
      <w:r w:rsidR="00275351">
        <w:t xml:space="preserve"> </w:t>
      </w:r>
      <w:r w:rsidR="00F734A7">
        <w:fldChar w:fldCharType="begin"/>
      </w:r>
      <w:r w:rsidR="00963D9C">
        <w:instrText xml:space="preserve"> ADDIN ZOTERO_ITEM CSL_CITATION {"citationID":"O5bkPtmB","properties":{"formattedCitation":"[1,12]","plainCitation":"[1,12]","noteIndex":0},"citationItems":[{"id":8,"uris":["http://zotero.org/users/local/vi17aXd7/items/4MWXPIYT"],"uri":["http://zotero.org/users/local/vi17aXd7/items/4MWXPIYT"],"itemData":{"id":8,"type":"article","title":"711-1-1393_IID2_FINAL_REPORT.pdf","URL":"https://www.food.gov.uk/sites/default/files/711-1-1393_IID2_FINAL_REPORT.pdf","accessed":{"date-parts":[["2017",12,12]]}}},{"id":2,"uris":["http://zotero.org/users/local/vi17aXd7/items/RUWDLGVH"],"uri":["http://zotero.org/users/local/vi17aXd7/items/RUWDLGVH"],"itemData":{"id":2,"type":"article-journal","title":"Longitudinal study of infectious intestinal disease in the UK (IID2 study): incidence in the community and presenting to general practice","container-title":"Gut","abstract":"Objectives To estimate, overall and by organism, the incidence of infectious intestinal disease (IID) in the community, presenting to general practice (GP) and reported to national surveillance.Design Prospective, community cohort study and prospective study of GP presentation conducted between April 2008 and August 2009.Setting Eighty-eight GPs across the UK recruited from the Medical Research Council General Practice Research Framework and the Primary Care Research Networks.Participants 6836 participants registered with the 88 participating practices in the community study; 991 patients with UK-acquired IID presenting to one of 37 practices taking part in the GP presentation study.Main outcome measures IID rates in the community, presenting to GP and reported to national surveillance, overall and by organism; annual IID cases and GP consultations by organism.Results The overall rate of IID in the community was 274 cases per 1000 person-years (95% CI 254 to 296); the rate of GP consultations was 17.7 per 1000 person-years (95% CI 14.4 to 21.8). There were 147 community cases and 10 GP consultations for every case reported to national surveillance. Norovirus was the most common organism, with incidence rates of 47 community cases per 1000 person-years and 2.1 GP consultations per 1000 person-years. Campylobacter was the most common bacterial pathogen, with a rate of 9.3 cases per 1000 person-years in the community, and 1.3 GP consultations per 1000 person-years. We estimate that there are up to 17 million sporadic, community cases of IID and 1 million GP consultations annually in the UK. Of these, norovirus accounts for 3 million cases and 130 000 GP consultations, and Campylobacter is responsible for 500 000 cases and 80 000 GP consultations.Conclusions IID poses a substantial community and healthcare burden in the UK. Control efforts must focus particularly on reducing the burden due to Campylobacter and enteric viruses.","URL":"http://gut.bmj.com/content/early/2011/07/05/gut.2011.238386.abstract","DOI":"10.1136/gut.2011.238386","journalAbbreviation":"Gut","author":[{"family":"Tam","given":"Clarence C"},{"family":"Rodrigues","given":"Laura C"},{"family":"Viviani","given":"Laura"},{"family":"Dodds","given":"Julie P"},{"family":"Evans","given":"Meirion R"},{"family":"Hunter","given":"Paul R"},{"family":"Gray","given":"Jim J"},{"family":"Letley","given":"Louise H"},{"family":"Rait","given":"Greta"},{"family":"Tompkins","given":"David S"},{"family":"O'Brien","given":"Sarah J"}],"issued":{"date-parts":[["2011",1,1]]}}}],"schema":"https://github.com/citation-style-language/schema/raw/master/csl-citation.json"} </w:instrText>
      </w:r>
      <w:r w:rsidR="00F734A7">
        <w:fldChar w:fldCharType="separate"/>
      </w:r>
      <w:r w:rsidR="00963D9C" w:rsidRPr="00963D9C">
        <w:rPr>
          <w:rFonts w:ascii="Calibri" w:hAnsi="Calibri" w:cs="Calibri"/>
        </w:rPr>
        <w:t>[1,12]</w:t>
      </w:r>
      <w:r w:rsidR="00F734A7">
        <w:fldChar w:fldCharType="end"/>
      </w:r>
      <w:r w:rsidR="00275351">
        <w:t>.</w:t>
      </w:r>
      <w:r>
        <w:t xml:space="preserve"> </w:t>
      </w:r>
      <w:r w:rsidR="00576664">
        <w:t>T</w:t>
      </w:r>
      <w:r w:rsidR="00482745">
        <w:t xml:space="preserve">his analysis included data from </w:t>
      </w:r>
      <w:r>
        <w:t>the</w:t>
      </w:r>
      <w:r w:rsidR="002167C0">
        <w:t xml:space="preserve"> two ma</w:t>
      </w:r>
      <w:r w:rsidR="00AE73F1">
        <w:t>in components of the IID2 study:</w:t>
      </w:r>
      <w:r w:rsidR="002167C0">
        <w:t xml:space="preserve"> the</w:t>
      </w:r>
      <w:r w:rsidR="001D06D8">
        <w:t xml:space="preserve"> G</w:t>
      </w:r>
      <w:r w:rsidR="00F94925">
        <w:t xml:space="preserve">eneral </w:t>
      </w:r>
      <w:r>
        <w:t>P</w:t>
      </w:r>
      <w:r w:rsidR="00F94925">
        <w:t>ractice</w:t>
      </w:r>
      <w:r w:rsidR="001D06D8">
        <w:t xml:space="preserve"> (GP) presentation s</w:t>
      </w:r>
      <w:r>
        <w:t>tudy</w:t>
      </w:r>
      <w:r w:rsidR="001D06D8">
        <w:t xml:space="preserve">, which was a 12 month prospective study of people consulting a GP with symptoms of IID; </w:t>
      </w:r>
      <w:r>
        <w:t>and the</w:t>
      </w:r>
      <w:r w:rsidR="001D06D8">
        <w:t xml:space="preserve"> prospective population-b</w:t>
      </w:r>
      <w:r w:rsidR="00F94925">
        <w:t>ased</w:t>
      </w:r>
      <w:r w:rsidR="001D06D8">
        <w:t xml:space="preserve"> c</w:t>
      </w:r>
      <w:r>
        <w:t>ohort study</w:t>
      </w:r>
      <w:r w:rsidR="009A2778">
        <w:t>,</w:t>
      </w:r>
      <w:r w:rsidR="001D06D8">
        <w:t xml:space="preserve"> which </w:t>
      </w:r>
      <w:r w:rsidR="009A2778">
        <w:t xml:space="preserve">involved weekly follow </w:t>
      </w:r>
      <w:r w:rsidR="001D06D8">
        <w:t>up</w:t>
      </w:r>
      <w:r w:rsidR="009A2778">
        <w:t xml:space="preserve"> of</w:t>
      </w:r>
      <w:r w:rsidR="001D06D8">
        <w:t xml:space="preserve"> healthy volunteers in the community </w:t>
      </w:r>
      <w:r w:rsidR="009A2778">
        <w:t>to identify</w:t>
      </w:r>
      <w:r w:rsidR="00350FD2">
        <w:t xml:space="preserve"> any</w:t>
      </w:r>
      <w:r w:rsidR="001D06D8">
        <w:t xml:space="preserve"> symptoms of IID.</w:t>
      </w:r>
      <w:r w:rsidR="00F734A7">
        <w:t xml:space="preserve"> </w:t>
      </w:r>
      <w:r w:rsidR="00F930F7">
        <w:t>The case defin</w:t>
      </w:r>
      <w:r w:rsidR="00C55C0D">
        <w:t xml:space="preserve">ition for </w:t>
      </w:r>
      <w:r w:rsidR="00F930F7">
        <w:t>IID</w:t>
      </w:r>
      <w:r w:rsidR="00573703">
        <w:t xml:space="preserve"> </w:t>
      </w:r>
      <w:r w:rsidR="00685DE9">
        <w:t xml:space="preserve">that was used </w:t>
      </w:r>
      <w:r w:rsidR="00573703">
        <w:t>in the original study</w:t>
      </w:r>
      <w:r w:rsidR="00F930F7">
        <w:t xml:space="preserve"> was </w:t>
      </w:r>
      <w:r w:rsidR="00F930F7" w:rsidRPr="00F930F7">
        <w:t>loose stools or clinically significant vomiting lasting less than 2 weeks, in the absence of a known non-infectious cause</w:t>
      </w:r>
      <w:r w:rsidR="00573703">
        <w:t xml:space="preserve">. </w:t>
      </w:r>
      <w:r w:rsidR="001D06D8">
        <w:t>Both studies utilised symptom questionnaires and stool sam</w:t>
      </w:r>
      <w:r w:rsidR="00350FD2">
        <w:t>ple testing of symptomatic people who met the case definition.</w:t>
      </w:r>
      <w:r w:rsidR="001D06D8">
        <w:t xml:space="preserve"> </w:t>
      </w:r>
      <w:r w:rsidR="00482745">
        <w:t>Cases were included</w:t>
      </w:r>
      <w:r w:rsidR="005521AF">
        <w:t xml:space="preserve"> in this analysis</w:t>
      </w:r>
      <w:r w:rsidR="00482745">
        <w:t xml:space="preserve"> if they had completed a symptom questionnaire and submitted a stool sample. Cases with negative stool samples</w:t>
      </w:r>
      <w:r w:rsidR="004F73B0">
        <w:t>, where no pathogen was identified,</w:t>
      </w:r>
      <w:r w:rsidR="00482745">
        <w:t xml:space="preserve"> were excluded.</w:t>
      </w:r>
      <w:r w:rsidR="004F73B0">
        <w:t xml:space="preserve"> Data from dual and triple infections were included multiple times; once for each organism identified</w:t>
      </w:r>
      <w:r w:rsidR="006E5249">
        <w:t>, as the primary cause of symptoms could not be determined</w:t>
      </w:r>
      <w:r w:rsidR="004F73B0">
        <w:t>.</w:t>
      </w:r>
    </w:p>
    <w:p w14:paraId="10BDFAA0" w14:textId="77777777" w:rsidR="006E5249" w:rsidRDefault="006E5249" w:rsidP="00F54E4D">
      <w:pPr>
        <w:spacing w:after="0" w:line="480" w:lineRule="auto"/>
      </w:pPr>
    </w:p>
    <w:p w14:paraId="00FC0565" w14:textId="77777777" w:rsidR="00482745" w:rsidRPr="00CD595C" w:rsidRDefault="00CD595C" w:rsidP="00F54E4D">
      <w:pPr>
        <w:spacing w:after="0" w:line="480" w:lineRule="auto"/>
        <w:rPr>
          <w:b/>
          <w:i/>
        </w:rPr>
      </w:pPr>
      <w:r w:rsidRPr="00CD595C">
        <w:rPr>
          <w:b/>
          <w:i/>
        </w:rPr>
        <w:t>Data analysis</w:t>
      </w:r>
    </w:p>
    <w:p w14:paraId="7FA798F4" w14:textId="1F2891CC" w:rsidR="00744F04" w:rsidRDefault="00002071" w:rsidP="00F54E4D">
      <w:pPr>
        <w:spacing w:after="0" w:line="480" w:lineRule="auto"/>
      </w:pPr>
      <w:r>
        <w:t>M</w:t>
      </w:r>
      <w:r w:rsidR="00DD75CA">
        <w:t xml:space="preserve">ultivariable </w:t>
      </w:r>
      <w:r w:rsidR="003E1B72">
        <w:t>logistic regression</w:t>
      </w:r>
      <w:r>
        <w:t xml:space="preserve"> was used</w:t>
      </w:r>
      <w:r w:rsidR="003E1B72">
        <w:t xml:space="preserve"> to determine the odds of a case being caused by a given pathogen based on</w:t>
      </w:r>
      <w:r w:rsidR="00785249">
        <w:t xml:space="preserve"> reported</w:t>
      </w:r>
      <w:r w:rsidR="003E1B72">
        <w:t xml:space="preserve"> sy</w:t>
      </w:r>
      <w:r w:rsidR="00275351">
        <w:t xml:space="preserve">mptoms. </w:t>
      </w:r>
      <w:r w:rsidR="003E1B72">
        <w:t>The explanatory variables</w:t>
      </w:r>
      <w:r w:rsidR="00F734A7">
        <w:t xml:space="preserve"> </w:t>
      </w:r>
      <w:r w:rsidR="00513920">
        <w:t>included</w:t>
      </w:r>
      <w:r w:rsidR="00F734A7">
        <w:t xml:space="preserve"> </w:t>
      </w:r>
      <w:r w:rsidR="003E1B72">
        <w:t xml:space="preserve">the symptoms </w:t>
      </w:r>
      <w:r w:rsidR="00513920">
        <w:t xml:space="preserve">outlined in </w:t>
      </w:r>
      <w:r w:rsidR="00275351">
        <w:t>the IID2</w:t>
      </w:r>
      <w:r w:rsidR="003A5FCD">
        <w:t xml:space="preserve"> s</w:t>
      </w:r>
      <w:r w:rsidR="001A5BEC">
        <w:t>tudy symptom</w:t>
      </w:r>
      <w:r w:rsidR="00275351">
        <w:t xml:space="preserve"> questionnaire</w:t>
      </w:r>
      <w:r w:rsidR="001A5BEC">
        <w:t>,</w:t>
      </w:r>
      <w:r w:rsidR="00F734A7">
        <w:t xml:space="preserve"> along with</w:t>
      </w:r>
      <w:r w:rsidR="00F7499D">
        <w:t xml:space="preserve"> the participant’s age</w:t>
      </w:r>
      <w:r w:rsidR="003E1B72">
        <w:t xml:space="preserve"> and date of symptom onset</w:t>
      </w:r>
      <w:r w:rsidR="0086066E">
        <w:t xml:space="preserve"> (Table</w:t>
      </w:r>
      <w:r w:rsidR="00275351">
        <w:t xml:space="preserve"> 1)</w:t>
      </w:r>
      <w:r w:rsidR="003E1B72">
        <w:t xml:space="preserve">. </w:t>
      </w:r>
      <w:r w:rsidR="003E1B72" w:rsidRPr="009061A2">
        <w:t xml:space="preserve">Continuous </w:t>
      </w:r>
      <w:r w:rsidR="003E1B72">
        <w:t xml:space="preserve">data, </w:t>
      </w:r>
      <w:r w:rsidR="00152803">
        <w:t xml:space="preserve">namely </w:t>
      </w:r>
      <w:r w:rsidR="003E1B72">
        <w:t xml:space="preserve">symptom duration, date of illness onset and age, were </w:t>
      </w:r>
      <w:r w:rsidR="00DD75CA">
        <w:t>categorised</w:t>
      </w:r>
      <w:r w:rsidR="00E84414">
        <w:t xml:space="preserve"> </w:t>
      </w:r>
      <w:r w:rsidR="003769C0">
        <w:t>before</w:t>
      </w:r>
      <w:r w:rsidR="001A5BEC">
        <w:t xml:space="preserve"> inclusion in the regression models.</w:t>
      </w:r>
      <w:r w:rsidR="003E1B72">
        <w:t xml:space="preserve"> </w:t>
      </w:r>
      <w:r w:rsidR="00BF36E7">
        <w:t>Given that diarrhoea and vomiting are the predominant symptoms of IID and many people will have both,</w:t>
      </w:r>
      <w:r w:rsidR="00BF36E7" w:rsidRPr="00744F04">
        <w:t xml:space="preserve"> </w:t>
      </w:r>
      <w:r w:rsidR="003E1B72" w:rsidRPr="00744F04">
        <w:t xml:space="preserve">variables were created </w:t>
      </w:r>
      <w:r w:rsidR="008B2856">
        <w:t xml:space="preserve">to capture cases of </w:t>
      </w:r>
      <w:r w:rsidR="003E1B72" w:rsidRPr="00744F04">
        <w:t>diarrhoea</w:t>
      </w:r>
      <w:r w:rsidR="00744F04" w:rsidRPr="00744F04">
        <w:t xml:space="preserve"> in the absence of vomiting, and vomiting in the absence of diarrhoea. These </w:t>
      </w:r>
      <w:r w:rsidR="008B2856">
        <w:t xml:space="preserve">variables </w:t>
      </w:r>
      <w:r w:rsidR="00744F04" w:rsidRPr="00744F04">
        <w:t xml:space="preserve">were used </w:t>
      </w:r>
      <w:r w:rsidR="007B578F">
        <w:t xml:space="preserve">to explore whether this is a symptom profile which offers discrimination between pathogens. </w:t>
      </w:r>
      <w:r w:rsidR="00346368">
        <w:t>Phi co</w:t>
      </w:r>
      <w:r w:rsidR="00B812BA">
        <w:t xml:space="preserve">efficients were used to identify any significant correlations between the explanatory variables which </w:t>
      </w:r>
      <w:r w:rsidR="00AE73F1">
        <w:t>might lead to mathematical problems with model fitting</w:t>
      </w:r>
      <w:r w:rsidR="00B812BA">
        <w:t xml:space="preserve">. </w:t>
      </w:r>
    </w:p>
    <w:p w14:paraId="149AC12F" w14:textId="77777777" w:rsidR="0086066E" w:rsidRDefault="0086066E" w:rsidP="00F54E4D">
      <w:pPr>
        <w:spacing w:after="0" w:line="480" w:lineRule="auto"/>
      </w:pPr>
    </w:p>
    <w:p w14:paraId="288A5704" w14:textId="1C74B732" w:rsidR="00CE2A75" w:rsidRDefault="00AE73F1" w:rsidP="00F54E4D">
      <w:pPr>
        <w:spacing w:after="0" w:line="480" w:lineRule="auto"/>
      </w:pPr>
      <w:r>
        <w:t>T</w:t>
      </w:r>
      <w:r w:rsidRPr="00AE73F1">
        <w:t xml:space="preserve">he outcome variable was the presence of </w:t>
      </w:r>
      <w:r>
        <w:t>the</w:t>
      </w:r>
      <w:r w:rsidRPr="00AE73F1">
        <w:t xml:space="preserve"> infectious organism</w:t>
      </w:r>
      <w:r w:rsidR="002C206D">
        <w:t>.</w:t>
      </w:r>
      <w:r w:rsidR="003E1B72">
        <w:t xml:space="preserve"> Pathogens which accounted for greater than 10% of the total number of ca</w:t>
      </w:r>
      <w:r w:rsidR="00204D5E">
        <w:t>ses were analysed independently,</w:t>
      </w:r>
      <w:r w:rsidR="00F734A7">
        <w:t xml:space="preserve"> </w:t>
      </w:r>
      <w:r w:rsidR="003E1B72">
        <w:t xml:space="preserve">to identify symptoms which distinguished </w:t>
      </w:r>
      <w:r w:rsidR="00275351">
        <w:t>them</w:t>
      </w:r>
      <w:r w:rsidR="00F734A7">
        <w:t xml:space="preserve"> from any other cause of IID</w:t>
      </w:r>
      <w:r w:rsidR="003E1B72">
        <w:t xml:space="preserve">. </w:t>
      </w:r>
      <w:r w:rsidR="00785249">
        <w:t xml:space="preserve">Below this threshold, </w:t>
      </w:r>
      <w:r w:rsidR="000E447E">
        <w:t>case numbers</w:t>
      </w:r>
      <w:r w:rsidR="00211245">
        <w:t xml:space="preserve"> were</w:t>
      </w:r>
      <w:r w:rsidR="00785249">
        <w:t xml:space="preserve"> too small to generate meaningful output for a single organism. </w:t>
      </w:r>
      <w:r w:rsidR="003E1B72">
        <w:t>Grouped organism models were used to capture differences between the broad</w:t>
      </w:r>
      <w:r w:rsidR="00F734A7">
        <w:t>er</w:t>
      </w:r>
      <w:r w:rsidR="003E1B72">
        <w:t xml:space="preserve"> classes of pathogen; bacteria</w:t>
      </w:r>
      <w:r w:rsidR="00642CB8">
        <w:t xml:space="preserve">, </w:t>
      </w:r>
      <w:r w:rsidR="003E1B72">
        <w:t>virus</w:t>
      </w:r>
      <w:r w:rsidR="00EF2031">
        <w:t>e</w:t>
      </w:r>
      <w:r w:rsidR="001A1EE9">
        <w:t>s</w:t>
      </w:r>
      <w:r w:rsidR="00642CB8">
        <w:t xml:space="preserve"> and protozoa</w:t>
      </w:r>
      <w:r w:rsidR="00346368">
        <w:t xml:space="preserve">, </w:t>
      </w:r>
      <w:r w:rsidR="003A5FCD">
        <w:t xml:space="preserve">sequentially </w:t>
      </w:r>
      <w:r w:rsidR="00346368">
        <w:t>comparing one class against any other cause of IID.</w:t>
      </w:r>
    </w:p>
    <w:p w14:paraId="4107FF3F" w14:textId="77777777" w:rsidR="009A2778" w:rsidRDefault="009A2778" w:rsidP="00F54E4D">
      <w:pPr>
        <w:spacing w:after="0" w:line="480" w:lineRule="auto"/>
      </w:pPr>
    </w:p>
    <w:p w14:paraId="5E390C6B" w14:textId="7DAEDCCA" w:rsidR="00785249" w:rsidRDefault="00785249" w:rsidP="00F54E4D">
      <w:pPr>
        <w:spacing w:after="0" w:line="480" w:lineRule="auto"/>
      </w:pPr>
      <w:r>
        <w:t>Statistical analysis was undertaken in R 3.3.2</w:t>
      </w:r>
      <w:r w:rsidR="00200A93">
        <w:t xml:space="preserve"> </w:t>
      </w:r>
      <w:r w:rsidR="0086180D">
        <w:fldChar w:fldCharType="begin"/>
      </w:r>
      <w:r w:rsidR="00963D9C">
        <w:instrText xml:space="preserve"> ADDIN ZOTERO_ITEM CSL_CITATION {"citationID":"bx9dCKja","properties":{"formattedCitation":"[13]","plainCitation":"[13]","noteIndex":0},"citationItems":[{"id":106,"uris":["http://zotero.org/users/local/vi17aXd7/items/LMXRCJUW"],"uri":["http://zotero.org/users/local/vi17aXd7/items/LMXRCJUW"],"itemData":{"id":106,"type":"webpage","title":"R: The R Project for Statistical Computing","URL":"https://www.r-project.org/","accessed":{"date-parts":[["2018",6,14]]}}}],"schema":"https://github.com/citation-style-language/schema/raw/master/csl-citation.json"} </w:instrText>
      </w:r>
      <w:r w:rsidR="0086180D">
        <w:fldChar w:fldCharType="separate"/>
      </w:r>
      <w:r w:rsidR="00963D9C" w:rsidRPr="00963D9C">
        <w:rPr>
          <w:rFonts w:ascii="Calibri" w:hAnsi="Calibri" w:cs="Calibri"/>
        </w:rPr>
        <w:t>[13]</w:t>
      </w:r>
      <w:r w:rsidR="0086180D">
        <w:fldChar w:fldCharType="end"/>
      </w:r>
      <w:r w:rsidR="00200A93">
        <w:t>.</w:t>
      </w:r>
      <w:r>
        <w:t xml:space="preserve"> Odds ratios </w:t>
      </w:r>
      <w:r w:rsidR="00DF3A39">
        <w:t xml:space="preserve">(OR) </w:t>
      </w:r>
      <w:r>
        <w:t>were calculated using binomial backward stepwise regression.</w:t>
      </w:r>
      <w:r w:rsidR="009A2778">
        <w:t xml:space="preserve"> Models were selected based on </w:t>
      </w:r>
      <w:r w:rsidR="001D3EC2">
        <w:t>the Akaike information criterion (</w:t>
      </w:r>
      <w:r w:rsidR="009A2778">
        <w:t>AIC</w:t>
      </w:r>
      <w:r w:rsidR="001D3EC2">
        <w:t>)</w:t>
      </w:r>
      <w:r w:rsidR="009A2778">
        <w:t>.</w:t>
      </w:r>
      <w:r>
        <w:t xml:space="preserve"> Upper and lower 95% confidence intervals</w:t>
      </w:r>
      <w:r w:rsidR="00DF3A39">
        <w:t xml:space="preserve"> (CI)</w:t>
      </w:r>
      <w:r>
        <w:t xml:space="preserve"> were calculated around each estimate.</w:t>
      </w:r>
    </w:p>
    <w:p w14:paraId="4B643349" w14:textId="77777777" w:rsidR="0086066E" w:rsidRDefault="0086066E" w:rsidP="00F54E4D">
      <w:pPr>
        <w:spacing w:after="0" w:line="480" w:lineRule="auto"/>
      </w:pPr>
    </w:p>
    <w:p w14:paraId="4C42CD7E" w14:textId="77777777" w:rsidR="0025252D" w:rsidRDefault="0025252D" w:rsidP="00F54E4D">
      <w:pPr>
        <w:spacing w:after="0" w:line="480" w:lineRule="auto"/>
        <w:rPr>
          <w:b/>
        </w:rPr>
      </w:pPr>
      <w:r w:rsidRPr="00BF234A">
        <w:rPr>
          <w:b/>
        </w:rPr>
        <w:t>Results</w:t>
      </w:r>
    </w:p>
    <w:p w14:paraId="7141A06F" w14:textId="5943EB76" w:rsidR="0086066E" w:rsidRDefault="00211245" w:rsidP="00F54E4D">
      <w:pPr>
        <w:spacing w:after="0" w:line="480" w:lineRule="auto"/>
      </w:pPr>
      <w:r>
        <w:t xml:space="preserve">There </w:t>
      </w:r>
      <w:r w:rsidR="00F40D70">
        <w:t xml:space="preserve">was </w:t>
      </w:r>
      <w:r>
        <w:t>a</w:t>
      </w:r>
      <w:r w:rsidR="00200A93">
        <w:t xml:space="preserve"> total of 1</w:t>
      </w:r>
      <w:r w:rsidR="00715F56">
        <w:t>657 cases</w:t>
      </w:r>
      <w:r w:rsidR="008D23B7">
        <w:t xml:space="preserve"> identified</w:t>
      </w:r>
      <w:r w:rsidR="007F53DE">
        <w:t xml:space="preserve"> from the IID2 study</w:t>
      </w:r>
      <w:r w:rsidR="00663E44">
        <w:t xml:space="preserve"> </w:t>
      </w:r>
      <w:r w:rsidR="00BB6A6D">
        <w:t>which</w:t>
      </w:r>
      <w:r w:rsidR="00BD7ED8">
        <w:t xml:space="preserve"> met the IID2 case definition and had </w:t>
      </w:r>
      <w:r w:rsidR="00152803">
        <w:t>both completed a questionnaire and submitted a stool sample</w:t>
      </w:r>
      <w:r w:rsidR="00BD7ED8">
        <w:t>.</w:t>
      </w:r>
      <w:r>
        <w:t xml:space="preserve"> </w:t>
      </w:r>
      <w:r w:rsidR="00BD7ED8">
        <w:t>O</w:t>
      </w:r>
      <w:r w:rsidR="00715F56">
        <w:t xml:space="preserve">f these, </w:t>
      </w:r>
      <w:r w:rsidR="00810288" w:rsidRPr="00F7499D">
        <w:t>898</w:t>
      </w:r>
      <w:r w:rsidR="00CD595C" w:rsidRPr="00F7499D">
        <w:t xml:space="preserve"> cases</w:t>
      </w:r>
      <w:r w:rsidR="005303D8">
        <w:t xml:space="preserve"> (54%)</w:t>
      </w:r>
      <w:r w:rsidR="00CD595C" w:rsidRPr="00F7499D">
        <w:t xml:space="preserve"> were excluded from the analysis as no organism was </w:t>
      </w:r>
      <w:r w:rsidR="007F53DE">
        <w:t>identified</w:t>
      </w:r>
      <w:r w:rsidR="003A5FCD">
        <w:t xml:space="preserve"> from their stool sample</w:t>
      </w:r>
      <w:r w:rsidR="007F53DE">
        <w:t>. The t</w:t>
      </w:r>
      <w:r w:rsidR="00CD595C" w:rsidRPr="00F7499D">
        <w:t xml:space="preserve">otal </w:t>
      </w:r>
      <w:r w:rsidR="007F53DE">
        <w:t>sample size for analysis was 844;</w:t>
      </w:r>
      <w:r w:rsidR="003D7A31" w:rsidRPr="00F7499D">
        <w:t xml:space="preserve"> including</w:t>
      </w:r>
      <w:r w:rsidR="00200A93">
        <w:t xml:space="preserve"> 69 dual infections and eight</w:t>
      </w:r>
      <w:r w:rsidR="00364DD4" w:rsidRPr="00F7499D">
        <w:t xml:space="preserve"> triple infections</w:t>
      </w:r>
      <w:r w:rsidR="00364DD4">
        <w:t>.</w:t>
      </w:r>
    </w:p>
    <w:p w14:paraId="55B3A0F5" w14:textId="77777777" w:rsidR="0086066E" w:rsidRDefault="0086066E" w:rsidP="00F54E4D">
      <w:pPr>
        <w:spacing w:after="0" w:line="480" w:lineRule="auto"/>
      </w:pPr>
    </w:p>
    <w:p w14:paraId="6ACC4021" w14:textId="083BDD0F" w:rsidR="00E8487E" w:rsidRDefault="00364DD4" w:rsidP="009A2778">
      <w:pPr>
        <w:spacing w:after="0" w:line="480" w:lineRule="auto"/>
      </w:pPr>
      <w:r w:rsidRPr="007315BD">
        <w:t xml:space="preserve">Norovirus </w:t>
      </w:r>
      <w:r>
        <w:t>was the most common</w:t>
      </w:r>
      <w:r w:rsidR="00211245">
        <w:t>ly identified</w:t>
      </w:r>
      <w:r>
        <w:t xml:space="preserve"> cause of </w:t>
      </w:r>
      <w:r w:rsidR="00E85445">
        <w:t>IID</w:t>
      </w:r>
      <w:r w:rsidR="00D11B29">
        <w:t xml:space="preserve">, and </w:t>
      </w:r>
      <w:r w:rsidR="00E6052C" w:rsidRPr="00E6052C">
        <w:t>c</w:t>
      </w:r>
      <w:r w:rsidRPr="00E6052C">
        <w:t xml:space="preserve">ampylobacter </w:t>
      </w:r>
      <w:r w:rsidR="009D47A7">
        <w:t>was</w:t>
      </w:r>
      <w:r>
        <w:t xml:space="preserve"> the </w:t>
      </w:r>
      <w:r w:rsidR="00211245">
        <w:t>commonest</w:t>
      </w:r>
      <w:r>
        <w:t xml:space="preserve"> bacterial cause (</w:t>
      </w:r>
      <w:r w:rsidR="0086066E">
        <w:t>Table 2</w:t>
      </w:r>
      <w:r w:rsidRPr="00F7499D">
        <w:t xml:space="preserve">). </w:t>
      </w:r>
      <w:r w:rsidR="00D56892">
        <w:t>Only four pathogens</w:t>
      </w:r>
      <w:r>
        <w:t xml:space="preserve"> </w:t>
      </w:r>
      <w:r w:rsidR="00663E44">
        <w:t>met the criteria for organism-specific</w:t>
      </w:r>
      <w:r w:rsidR="00D11B29">
        <w:t xml:space="preserve"> analysis; norovirus, </w:t>
      </w:r>
      <w:r w:rsidR="00E6052C">
        <w:t>c</w:t>
      </w:r>
      <w:r w:rsidRPr="00E6052C">
        <w:t>ampylobacter,</w:t>
      </w:r>
      <w:r>
        <w:t xml:space="preserve"> rotavirus and sapovirus. </w:t>
      </w:r>
      <w:r w:rsidR="00346368">
        <w:t>T</w:t>
      </w:r>
      <w:r w:rsidR="009A2778" w:rsidRPr="00346368">
        <w:t>he total nu</w:t>
      </w:r>
      <w:r w:rsidR="004D4DE5">
        <w:t>mber of protozoal infections was</w:t>
      </w:r>
      <w:r w:rsidR="009A2778" w:rsidRPr="00346368">
        <w:t xml:space="preserve"> less than 1</w:t>
      </w:r>
      <w:r w:rsidR="00346368">
        <w:t>0% of the total number of cases and consequently</w:t>
      </w:r>
      <w:r w:rsidR="009A2778" w:rsidRPr="00346368">
        <w:t xml:space="preserve"> grouped organism models were only generated for ba</w:t>
      </w:r>
      <w:r w:rsidR="00346368">
        <w:t>cterial and viral</w:t>
      </w:r>
      <w:r w:rsidR="009A2778" w:rsidRPr="00346368">
        <w:t xml:space="preserve"> IID</w:t>
      </w:r>
      <w:r w:rsidR="00346368">
        <w:t>.</w:t>
      </w:r>
      <w:r w:rsidR="009A2778">
        <w:t xml:space="preserve"> </w:t>
      </w:r>
      <w:r w:rsidR="00680236">
        <w:t>To capture any important differences</w:t>
      </w:r>
      <w:r w:rsidR="007F2855">
        <w:t xml:space="preserve"> in symptoms</w:t>
      </w:r>
      <w:r w:rsidR="00680236">
        <w:t>, p</w:t>
      </w:r>
      <w:r w:rsidR="00880481">
        <w:t>rotozoa were included in the comparison group for both the bacterial and viral models.</w:t>
      </w:r>
    </w:p>
    <w:p w14:paraId="7170A9BD" w14:textId="77777777" w:rsidR="0086066E" w:rsidRPr="00593A4C" w:rsidRDefault="0086066E" w:rsidP="00F54E4D">
      <w:pPr>
        <w:spacing w:after="0" w:line="480" w:lineRule="auto"/>
      </w:pPr>
    </w:p>
    <w:p w14:paraId="54F95C59" w14:textId="43C61ECE" w:rsidR="00880481" w:rsidRDefault="00766960" w:rsidP="00880481">
      <w:pPr>
        <w:spacing w:after="0" w:line="480" w:lineRule="auto"/>
      </w:pPr>
      <w:r>
        <w:t>The grouped organism models</w:t>
      </w:r>
      <w:r w:rsidR="0081242D">
        <w:t xml:space="preserve"> (Table 3)</w:t>
      </w:r>
      <w:r>
        <w:t xml:space="preserve"> showed that t</w:t>
      </w:r>
      <w:r w:rsidR="00E77279">
        <w:t>he</w:t>
      </w:r>
      <w:r w:rsidR="00B663DE">
        <w:t xml:space="preserve"> odds of the causative organism being bacterial were higher </w:t>
      </w:r>
      <w:r w:rsidR="00F504F5">
        <w:t>with diarrhoea in the absence of vomiting (OR 3.54, 95% CI 2.37-5.32</w:t>
      </w:r>
      <w:r w:rsidR="00F504F5" w:rsidRPr="00571FD9">
        <w:t xml:space="preserve">), </w:t>
      </w:r>
      <w:r w:rsidR="00F504F5">
        <w:t>diarrhoea which persisted</w:t>
      </w:r>
      <w:r w:rsidR="00F504F5" w:rsidRPr="00571FD9">
        <w:t xml:space="preserve"> for greate</w:t>
      </w:r>
      <w:r w:rsidR="00F504F5">
        <w:t>r than 3 days (OR 2.69, 95% CI</w:t>
      </w:r>
      <w:r w:rsidR="00F504F5" w:rsidRPr="00571FD9">
        <w:t xml:space="preserve"> </w:t>
      </w:r>
      <w:r w:rsidR="00F504F5">
        <w:t>1.82-3.99</w:t>
      </w:r>
      <w:r w:rsidR="00F504F5" w:rsidRPr="00571FD9">
        <w:t>)</w:t>
      </w:r>
      <w:r w:rsidR="00F504F5">
        <w:t xml:space="preserve">, </w:t>
      </w:r>
      <w:r w:rsidR="00F504F5" w:rsidRPr="00571FD9">
        <w:t>blo</w:t>
      </w:r>
      <w:r w:rsidR="00F504F5">
        <w:t>ody diarrhoea (OR 4.17, 95% CI 1.63-11.83) and fever (OR 1.67, 95% CI 1.11-2.53)</w:t>
      </w:r>
      <w:r w:rsidR="00F504F5" w:rsidRPr="00571FD9">
        <w:t>.</w:t>
      </w:r>
      <w:r w:rsidR="00F504F5">
        <w:t xml:space="preserve"> </w:t>
      </w:r>
      <w:r w:rsidR="009F4B4D">
        <w:t xml:space="preserve"> </w:t>
      </w:r>
      <w:r w:rsidR="00825E8E" w:rsidRPr="00925EA7">
        <w:t xml:space="preserve">The odds of a viral cause of illness were higher </w:t>
      </w:r>
      <w:r w:rsidR="00825E8E">
        <w:t xml:space="preserve">when symptom onset was in winter </w:t>
      </w:r>
      <w:r w:rsidR="00825E8E" w:rsidRPr="001B565B">
        <w:t>(</w:t>
      </w:r>
      <w:r w:rsidR="00825E8E">
        <w:t>O</w:t>
      </w:r>
      <w:r w:rsidR="00825E8E" w:rsidRPr="001B565B">
        <w:t>R</w:t>
      </w:r>
      <w:r w:rsidR="00825E8E">
        <w:t xml:space="preserve"> 2.08</w:t>
      </w:r>
      <w:r w:rsidR="00825E8E" w:rsidRPr="001B565B">
        <w:t xml:space="preserve">, 95% </w:t>
      </w:r>
      <w:r w:rsidR="00825E8E">
        <w:t>CI 1.16-3.75</w:t>
      </w:r>
      <w:r w:rsidR="00825E8E" w:rsidRPr="001B565B">
        <w:t>)</w:t>
      </w:r>
      <w:r w:rsidR="00825E8E">
        <w:t xml:space="preserve"> or spring (OR 1.92, 95% CI 1.11-3.33)</w:t>
      </w:r>
      <w:r w:rsidR="00BB6A6D">
        <w:t>, the patient</w:t>
      </w:r>
      <w:r w:rsidR="00825E8E" w:rsidRPr="001B565B">
        <w:t xml:space="preserve"> </w:t>
      </w:r>
      <w:r w:rsidR="00BB6A6D">
        <w:t xml:space="preserve">was </w:t>
      </w:r>
      <w:r w:rsidR="00825E8E" w:rsidRPr="001B565B">
        <w:t>under 5 years</w:t>
      </w:r>
      <w:r w:rsidR="00BB6A6D">
        <w:t xml:space="preserve"> of age</w:t>
      </w:r>
      <w:r w:rsidR="00825E8E">
        <w:t xml:space="preserve"> (OR 3.63, 95% CI 2.24-6.03</w:t>
      </w:r>
      <w:r w:rsidR="00825E8E" w:rsidRPr="001B565B">
        <w:t>)</w:t>
      </w:r>
      <w:r w:rsidR="00825E8E">
        <w:t xml:space="preserve"> and</w:t>
      </w:r>
      <w:r w:rsidR="00825E8E" w:rsidRPr="001B565B">
        <w:t xml:space="preserve"> there was loss of appetite</w:t>
      </w:r>
      <w:r w:rsidR="00825E8E">
        <w:t xml:space="preserve"> (OR 2.19, 95% CI 1.29-3.72</w:t>
      </w:r>
      <w:r w:rsidR="00825E8E" w:rsidRPr="001B565B">
        <w:t>)</w:t>
      </w:r>
      <w:r w:rsidR="00825E8E">
        <w:t xml:space="preserve">. </w:t>
      </w:r>
      <w:r w:rsidR="002F0E1F">
        <w:t xml:space="preserve"> </w:t>
      </w:r>
      <w:r w:rsidR="007F2855">
        <w:t xml:space="preserve">Given protozoa have a similar aetiology to bacterial IID, as contrasted to viral IID, the analysis was repeated with protozoa assigned to the bacterial group to explore what impact this would have on the symptom profiling. </w:t>
      </w:r>
      <w:r w:rsidR="00880481">
        <w:t xml:space="preserve">The resulting viral and bacterial/protozoal models did not differ significantly from the above models; the same explanatory variables were identified, but the significance of winter and spring in the bacteria/protozoa model was increased. </w:t>
      </w:r>
    </w:p>
    <w:p w14:paraId="30B5ED22" w14:textId="77777777" w:rsidR="00891CD4" w:rsidRDefault="00891CD4" w:rsidP="00891CD4">
      <w:pPr>
        <w:spacing w:after="0" w:line="480" w:lineRule="auto"/>
      </w:pPr>
    </w:p>
    <w:p w14:paraId="4A7A7E38" w14:textId="355C73C3" w:rsidR="00891CD4" w:rsidRDefault="002F0E1F" w:rsidP="00891CD4">
      <w:pPr>
        <w:spacing w:after="0" w:line="480" w:lineRule="auto"/>
      </w:pPr>
      <w:r w:rsidRPr="002F0E1F">
        <w:t>The organism-specific modelling generated less meaningful outputs. The campylobacter model largely mirrored the grouped bacterial model and did not provide any further discriminatory information. The virus-specific analysis for norovirus, r</w:t>
      </w:r>
      <w:r w:rsidR="004957DE">
        <w:t>otavirus and sapovirus were</w:t>
      </w:r>
      <w:r w:rsidRPr="002F0E1F">
        <w:t xml:space="preserve"> sensitive to changes in the parameters of the models</w:t>
      </w:r>
      <w:r w:rsidR="004957DE">
        <w:t xml:space="preserve"> which led to inconsistent symptom profiles</w:t>
      </w:r>
      <w:r w:rsidRPr="002F0E1F">
        <w:t>.</w:t>
      </w:r>
      <w:r>
        <w:t xml:space="preserve"> </w:t>
      </w:r>
      <w:r w:rsidR="00891CD4">
        <w:t xml:space="preserve">Phi coefficients were used to identify any significant correlations between the binary explanatory variables which could impact on the model fitting. There was no evidence of significant co-linearity which would affect the modelling, although there were some </w:t>
      </w:r>
      <w:r w:rsidR="00891CD4" w:rsidRPr="00424AE7">
        <w:t xml:space="preserve">mild to moderate correlations (phi coefficient &lt;0.5) between </w:t>
      </w:r>
      <w:r w:rsidR="00EA3F51">
        <w:t>some</w:t>
      </w:r>
      <w:r w:rsidR="00891CD4" w:rsidRPr="00424AE7">
        <w:t xml:space="preserve"> symptoms</w:t>
      </w:r>
      <w:r w:rsidR="00891CD4">
        <w:t xml:space="preserve"> such as nausea and loss of appetite. </w:t>
      </w:r>
    </w:p>
    <w:p w14:paraId="16B00B93" w14:textId="77777777" w:rsidR="00891CD4" w:rsidRPr="00891CD4" w:rsidRDefault="00891CD4" w:rsidP="00F54E4D">
      <w:pPr>
        <w:spacing w:after="0" w:line="480" w:lineRule="auto"/>
      </w:pPr>
    </w:p>
    <w:p w14:paraId="55AD4F32" w14:textId="77777777" w:rsidR="0025252D" w:rsidRDefault="0025252D" w:rsidP="00F54E4D">
      <w:pPr>
        <w:spacing w:after="0" w:line="480" w:lineRule="auto"/>
        <w:rPr>
          <w:b/>
        </w:rPr>
      </w:pPr>
      <w:r w:rsidRPr="00BF234A">
        <w:rPr>
          <w:b/>
        </w:rPr>
        <w:t>Discussion</w:t>
      </w:r>
      <w:r w:rsidR="00D86A75">
        <w:rPr>
          <w:b/>
        </w:rPr>
        <w:t xml:space="preserve"> </w:t>
      </w:r>
    </w:p>
    <w:p w14:paraId="13EEE742" w14:textId="0B2FC49D" w:rsidR="004C6746" w:rsidRDefault="00F1153B" w:rsidP="00F54E4D">
      <w:pPr>
        <w:spacing w:after="0" w:line="480" w:lineRule="auto"/>
      </w:pPr>
      <w:r>
        <w:t>This study has identified</w:t>
      </w:r>
      <w:r w:rsidR="005E7546">
        <w:t xml:space="preserve"> that people with IID who report</w:t>
      </w:r>
      <w:r w:rsidR="00DA4980">
        <w:t>ed</w:t>
      </w:r>
      <w:r w:rsidR="00082E61">
        <w:t xml:space="preserve"> symptoms of</w:t>
      </w:r>
      <w:r w:rsidR="007B4C42">
        <w:t xml:space="preserve"> diarrhoea in the absence of vomiting, </w:t>
      </w:r>
      <w:r w:rsidR="00450A0D">
        <w:t>diarrhoea lasting for more 3 days, bloody diarrhoea and</w:t>
      </w:r>
      <w:r w:rsidR="007B4C42">
        <w:t xml:space="preserve"> fever</w:t>
      </w:r>
      <w:r w:rsidR="00DA4980">
        <w:t xml:space="preserve"> were</w:t>
      </w:r>
      <w:r w:rsidR="005E7546">
        <w:t xml:space="preserve"> at increased</w:t>
      </w:r>
      <w:r w:rsidR="00082E61">
        <w:t xml:space="preserve"> </w:t>
      </w:r>
      <w:r w:rsidR="007B4C42">
        <w:t>odds of</w:t>
      </w:r>
      <w:r w:rsidR="005E7546">
        <w:t xml:space="preserve"> having a</w:t>
      </w:r>
      <w:r w:rsidR="00082E61">
        <w:t xml:space="preserve"> bacterial pathogen</w:t>
      </w:r>
      <w:r w:rsidR="007B4C42">
        <w:t>. Young age (&lt;5 ye</w:t>
      </w:r>
      <w:r w:rsidR="00450A0D">
        <w:t>ars), onset in spring or winter and</w:t>
      </w:r>
      <w:r w:rsidR="007B4C42">
        <w:t xml:space="preserve"> loss of appetite were associated with increased odds </w:t>
      </w:r>
      <w:r w:rsidR="005E7546">
        <w:t xml:space="preserve">of viral </w:t>
      </w:r>
      <w:r w:rsidR="00835FF7">
        <w:t>cause</w:t>
      </w:r>
      <w:r w:rsidR="005E7546">
        <w:t xml:space="preserve">. </w:t>
      </w:r>
      <w:r w:rsidR="0039555D">
        <w:t>The</w:t>
      </w:r>
      <w:r w:rsidR="00CE42CB">
        <w:t>se</w:t>
      </w:r>
      <w:r w:rsidR="0039555D">
        <w:t xml:space="preserve"> findings</w:t>
      </w:r>
      <w:r w:rsidR="00CE42CB">
        <w:t xml:space="preserve"> </w:t>
      </w:r>
      <w:r w:rsidR="0039555D">
        <w:t>are consisten</w:t>
      </w:r>
      <w:r w:rsidR="00F01C25">
        <w:t>t with other studies which have</w:t>
      </w:r>
      <w:r w:rsidR="00491DBE">
        <w:t xml:space="preserve"> </w:t>
      </w:r>
      <w:r w:rsidR="002E0EC9">
        <w:t xml:space="preserve">found associations between bacterial pathogens and symptoms of </w:t>
      </w:r>
      <w:r w:rsidR="00F01C25">
        <w:t>fever,</w:t>
      </w:r>
      <w:r w:rsidR="0039555D">
        <w:t xml:space="preserve"> bloody diarrhoea</w:t>
      </w:r>
      <w:r w:rsidR="00F01C25">
        <w:t xml:space="preserve"> and prolong</w:t>
      </w:r>
      <w:r w:rsidR="00491DBE">
        <w:t xml:space="preserve">ed illness, </w:t>
      </w:r>
      <w:r w:rsidR="00DA4980">
        <w:t xml:space="preserve">whilst </w:t>
      </w:r>
      <w:r w:rsidR="00491DBE">
        <w:t>v</w:t>
      </w:r>
      <w:r w:rsidR="00F01C25">
        <w:t xml:space="preserve">omiting </w:t>
      </w:r>
      <w:r w:rsidR="0039555D">
        <w:t xml:space="preserve">and </w:t>
      </w:r>
      <w:r w:rsidR="00F01C25">
        <w:t xml:space="preserve">a </w:t>
      </w:r>
      <w:r w:rsidR="00491DBE">
        <w:t xml:space="preserve">short duration of symptoms </w:t>
      </w:r>
      <w:r w:rsidR="00DA4980">
        <w:t>have been</w:t>
      </w:r>
      <w:r w:rsidR="00491DBE">
        <w:t xml:space="preserve"> associated with viral causes</w:t>
      </w:r>
      <w:r w:rsidR="006D4EF9">
        <w:t xml:space="preserve"> </w:t>
      </w:r>
      <w:r w:rsidR="006D4EF9">
        <w:fldChar w:fldCharType="begin"/>
      </w:r>
      <w:r w:rsidR="00963D9C">
        <w:instrText xml:space="preserve"> ADDIN ZOTERO_ITEM CSL_CITATION {"citationID":"jrmKhOkD","properties":{"formattedCitation":"[14\\uc0\\u8211{}17]","plainCitation":"[14–17]","noteIndex":0},"citationItems":[{"id":108,"uris":["http://zotero.org/users/local/vi17aXd7/items/6ER4GVV2"],"uri":["http://zotero.org/users/local/vi17aXd7/items/6ER4GVV2"],"itemData":{"id":108,"type":"article-journal","title":"Diagnostic value of bacterial stool cultures and viral antigen tests based on clinical manifestations of acute gastroenteritis in pediatric patients","container-title":"European Journal of Clinical Microbiology and Infectious Diseases","page":"559-561","volume":"24","issue":"8","source":"link.springer.com","abstract":"The study presented here aimed to elucidate the diagnostic value of bacterial stool cultures and viral antigen tests when performed based on the clinical characteristics of acute gastroenteritis in infants and young children. A total of 21 (11.2%) bacterial and 74 (39.6%) viral infections affecting 187 children under the age of 3 years was investigated. Blood (p&lt;0.001) and mucus (p=0.014) in the stool and a C-reactive protein (CRP) level of ≥50 mg/l (p=0.006) were more significantly associated with gastroenteritis of bacterial rather than viral origin. Vomiting (p&lt;0.001) was significantly associated with viral gastroenteritis. Among children with bloody stool, culture grew a Salmonella spp. in 35% and for vomiting children, stool antigen tests detected rotavirus in 60% of cases. In conclusion, etiologic tests to determine the cause of childhood gastroenteritis according to their characteristic clinical features or laboratory test results, or both, are of low diagnostic value.","DOI":"10.1007/s10096-005-1373-z","ISSN":"0934-9723, 1435-4373","journalAbbreviation":"Eur J Clin Microbiol Infect Dis","language":"en","author":[{"family":"Liu","given":"L.-J."},{"family":"Yang","given":"Y.-J."},{"family":"Kuo","given":"P.-H."},{"family":"Wang","given":"S.-M."},{"family":"Liu","given":"C.-C."}],"issued":{"date-parts":[["2005",8,1]]}}},{"id":110,"uris":["http://zotero.org/users/local/vi17aXd7/items/RT4D8X59"],"uri":["http://zotero.org/users/local/vi17aXd7/items/RT4D8X59"],"itemData":{"id":110,"type":"article-journal","title":"Clinical features of acute gastroenteritis associated with rotavirus, enteric adenoviruses, and bacteria.","container-title":"Archives of Disease in Childhood","page":"732-738","volume":"61","issue":"8","source":"adc.bmj.com","abstract":"In a prospective one year study, comprising children with acute gastroenteritis admitted to hospital or treated as outpatients, the clinical and laboratory features of rotavirus diarrhoea (168 cases) were compared with those of enteric adenovirus (32 cases), bacterial (42), mixed (16), and non-specific (135) infections. The rotavirus disease was remarkably consistent, with a sudden onset of vomiting, a high frequency of fever and dehydration, and a mean duration of diarrhoea of 5.9 days. Outpatients excreting rotavirus had a similar but milder illness, mainly on account of less pronounced vomiting. The predominant symptom of enteric adenoviruses was long lasting diarrhoea (mean 10.8 days). Abdominal pain, bloody stools, prolonged diarrhoea (mean 14.1 days), leucocytosis, and a raised erythrocyte sedimentation rate strongly suggested a bacterial aetiology. Mixed infections caused longer lasting diarrhoea (mean 8.0 days) than rotavirus alone, but the severity of the illness was not increased. The clinical features of infection with unidentified pathogens most resembled those of bacterial infections. Respiratory symptoms were not significantly associated with any particular pathogen. Hypernatraemia and complications were uncommon. This study showed that the clinical features of gastroenteritis with rotavirus, enteric adenoviruses, and bacteria each exhibited patterns that could guide the experienced clinician to a presumptive diagnosis.","DOI":"10.1136/adc.61.8.732","ISSN":"0003-9888, 1468-2044","note":"PMID: 3017237","language":"en","author":[{"family":"Uhnoo","given":"I."},{"family":"Olding-Stenkvist","given":"E."},{"family":"Kreuger","given":"A."}],"issued":{"date-parts":[["1986",8,1]]}}},{"id":137,"uris":["http://zotero.org/users/local/vi17aXd7/items/MHSLXEZT"],"uri":["http://zotero.org/users/local/vi17aXd7/items/MHSLXEZT"],"itemData":{"id":137,"type":"article-journal","title":"Etiology of Gastroenteritis in Sentinel General Practices in The Netherlands","container-title":"Clinical Infectious Diseases","page":"280-288","volume":"33","issue":"3","source":"academic.oup.com","abstract":"Abstract.  Data from a general practice—based, case-control study on gastroenteritis and the pathogens related to this disease were used to study the associatio","DOI":"10.1086/321875","ISSN":"1058-4838","journalAbbreviation":"Clin Infect Dis","language":"en","author":[{"family":"Wit","given":"dMatty A. S.","non-dropping-particle":"de"},{"family":"Koopmans","given":"Marion P. G."},{"family":"Kortbeek","given":"Laetitia M."},{"family":"Leeuwen","given":"Nan J.","non-dropping-particle":"van"},{"family":"Vinjé","given":"Jan"},{"family":"Duynhoven","given":"Yvonne T. H. P.","non-dropping-particle":"van"}],"issued":{"date-parts":[["2001",8,1]]}}},{"id":140,"uris":["http://zotero.org/users/local/vi17aXd7/items/FHF9APAS"],"uri":["http://zotero.org/users/local/vi17aXd7/items/FHF9APAS"],"itemData":{"id":140,"type":"article-journal","title":"Gastroenteritis in childhood: a retrospective study of 650 hospitalized pediatric patients","container-title":"International Journal of Infectious Diseases","page":"e401-e407","volume":"15","issue":"6","source":"ScienceDirect","abstract":"Summary\nBackground\nAcute diarrhea continues to be an important cause of hospitalization in young children, and deaths still occur as a result. We reviewed a large cohort of hospitalized children affected by gastroenteritis. The hypothesis of our study was that clinical characteristics and a limited set of laboratory data can differentiate between the different causative pathogens of diarrhea.\nMethods\nA chart review was performed of 650 patients with pathogen-proven diarrhea treated between April 2005 and May 2008 in the children's hospital of the University of Würzburg. Clinical presentation at the time of admission and during hospital stay, laboratory findings, stool pathogen results, and epidemiological data were collected and compared. A severity score was generated.\nResults\nRotavirus was the most common gastroenteritis pathogen identified, followed by norovirus, adenovirus and Salmonella spp. Nosocomial infections were caused most commonly by norovirus. Rotavirus was the most common agent when there was simultaneous detection of two or more viruses. Rotavirus infections were significantly more severe, with a higher frequency of diarrhea and elevated liver enzymes. Infections due to Salmonella spp showed significantly higher values for C-reactive protein, erythrocyte sedimentation rate, and body temperature. A seasonal distribution was noted, with the peak for rotaviruses/noroviruses in winter/spring, the peak for adenoviruses in November/December, and the peak for Salmonella spp in the summer months. Younger children and toddlers had significantly higher gastroenteritis and airway inflammation scores. Of note, respiratory symptoms and parameters of systemic inflammation differed between the different pathogens.\nConclusions\nGastroenteritis is a common reason for hospital admission in previously healthy children during the first years of life. Rotaviruses were found to be the most common pathogens in our cohort. On the basis of clinical and laboratory parameters it appears possible to distinguish between the different causative agents. This may have implications for hospital hygiene management and for the identification of predictive markers of a severe course.","DOI":"10.1016/j.ijid.2011.02.006","ISSN":"1201-9712","shortTitle":"Gastroenteritis in childhood","journalAbbreviation":"International Journal of Infectious Diseases","author":[{"family":"Wiegering","given":"Verena"},{"family":"Kaiser","given":"Jan"},{"family":"Tappe","given":"Dennis"},{"family":"Weißbrich","given":"Benedikt"},{"family":"Morbach","given":"Henner"},{"family":"Girschick","given":"Hermann J."}],"issued":{"date-parts":[["2011",6,1]]}}}],"schema":"https://github.com/citation-style-language/schema/raw/master/csl-citation.json"} </w:instrText>
      </w:r>
      <w:r w:rsidR="006D4EF9">
        <w:fldChar w:fldCharType="separate"/>
      </w:r>
      <w:r w:rsidR="00963D9C" w:rsidRPr="00963D9C">
        <w:rPr>
          <w:rFonts w:ascii="Calibri" w:hAnsi="Calibri" w:cs="Calibri"/>
          <w:szCs w:val="24"/>
        </w:rPr>
        <w:t>[14–17]</w:t>
      </w:r>
      <w:r w:rsidR="006D4EF9">
        <w:fldChar w:fldCharType="end"/>
      </w:r>
      <w:r w:rsidR="005736F0">
        <w:t>.</w:t>
      </w:r>
      <w:r w:rsidR="0039555D">
        <w:t xml:space="preserve"> Epidemiological criteria</w:t>
      </w:r>
      <w:r w:rsidR="00082E61">
        <w:t>, utilised in outbreak situations,</w:t>
      </w:r>
      <w:r w:rsidR="0039555D">
        <w:t xml:space="preserve"> have </w:t>
      </w:r>
      <w:r w:rsidR="00194FE0">
        <w:t xml:space="preserve">similarly </w:t>
      </w:r>
      <w:r w:rsidR="0039555D">
        <w:t>highlighted the importance of vomiting and short duration of illness as indicative of norovirus, whilst symptoms</w:t>
      </w:r>
      <w:r w:rsidR="00082E61">
        <w:t xml:space="preserve"> such as fever and diarrhoea have been associated with bacterial outbreaks</w:t>
      </w:r>
      <w:r w:rsidR="005736F0">
        <w:t xml:space="preserve"> </w:t>
      </w:r>
      <w:r w:rsidR="0039555D">
        <w:fldChar w:fldCharType="begin"/>
      </w:r>
      <w:r w:rsidR="00963D9C">
        <w:instrText xml:space="preserve"> ADDIN ZOTERO_ITEM CSL_CITATION {"citationID":"FLTCqrPF","properties":{"formattedCitation":"[8\\uc0\\u8211{}11]","plainCitation":"[8–11]","noteIndex":0},"citationItems":[{"id":86,"uris":["http://zotero.org/users/local/vi17aXd7/items/XMDJ8US2"],"uri":["http://zotero.org/users/local/vi17aXd7/items/XMDJ8US2"],"itemData":{"id":86,"type":"article-journal","title":"Epidemiology of Norwalk Gastroenteritis and the Role of Norwalk Virus in Outbreaks of Acute Nonbacterial Gastroenteritis","container-title":"Annals of Internal Medicine","page":"756","volume":"96","issue":"6_part_1","source":"Crossref","DOI":"10.7326/0003-4819-96-6-756","ISSN":"0003-4819","language":"en","author":[{"family":"Kaplan","given":"Jonathan E."}],"issued":{"date-parts":[["1982",6,1]]}}},{"id":47,"uris":["http://zotero.org/users/local/vi17aXd7/items/CTBBMFU2"],"uri":["http://zotero.org/users/local/vi17aXd7/items/CTBBMFU2"],"itemData":{"id":47,"type":"article-journal","title":"Reevaluation of Epidemiological Criteria for Identifying Outbreaks of Acute Gastroenteritis Due to Norovirus: United States, 1998–2000","container-title":"Clinical Infectious Diseases","page":"964-969","volume":"42","issue":"7","source":"academic.oup.com","abstract":"Background. Noroviruses are believed to be the most common etiologic agent of foodborne outbreaks of gastroenteritis, yet diagnostic tests for these agents are not readily available in the United States. In the absence of assays to detect norovirus, several clinical and epidemiologic profiles—the criteria of Kaplan et al. (vomiting in &amp;gt;50% of patients, mean incubation period of 24–48 h, mean duration of illness of 12–60 h, and no bacterial pathogen) and the ratios of fever to vomiting and diarrhea to vomiting—have been used to distinguish foodborne outbreaks of gastroenteritis caused by noroviruses from those caused by bacteria.Methods. To examine how well clinical and epidemiological profiles discriminate between foodborne outbreaks of gastroenteritis due to noroviruses and those due to bacteria and to estimate the proportion of reported outbreaks that might be attributable to noroviruses, we reviewed subsets of the 4050 outbreaks reported from 1998 to 2000.Results. The set of criteria of Kaplan et al. is highly specific (99%) and moderately sensitive (68%) in discriminating confirmed outbreaks due to bacteria from those due to norovirus and was the most useful diagnostic aid evaluated. Each individual component of the criteria, the fever-to-vomiting ratio, and the diarrhea-to-vomiting ratio were more sensitive, yet less specific, and therefore less useful, than the criteria of Kaplan et al. We estimated that, at a minimum, 28% of all the foodborne outbreaks reported to the Centers for Disease Control and Prevention may be attributed to norovirus on the basis of these criteria.Conclusion. Until norovirus diagnostic tests become widely available, the criteria of Kaplan et al. remain the most useful and discriminating diagnostic aid to identify foodborne outbreaks of gastroenteritis due to noroviruses.","DOI":"10.1086/500940","ISSN":"1058-4838","shortTitle":"Reevaluation of Epidemiological Criteria for Identifying Outbreaks of Acute Gastroenteritis Due to Norovirus","journalAbbreviation":"Clin Infect Dis","language":"en","author":[{"family":"Turcios","given":"Reina M."},{"family":"Widdowson","given":"Marc-Alain"},{"family":"Sulka","given":"Alana C."},{"family":"Mead","given":"Paul S."},{"family":"Glass","given":"Roger I."}],"issued":{"date-parts":[["2006",4,1]]}}},{"id":87,"uris":["http://zotero.org/users/local/vi17aXd7/items/PNBZNFMF"],"uri":["http://zotero.org/users/local/vi17aXd7/items/PNBZNFMF"],"itemData":{"id":87,"type":"article-journal","title":"Outbreaks of food-borne and waterborne viral gastroenteritis.","container-title":"Clinical Microbiology Reviews","page":"199-210","volume":"6","issue":"3","source":"cmr.asm.org","abstract":"Norwalk virus infection is the epidemiologic prototype for outbreaks of food-borne and waterborne gastroenteritis. Around the world, Norwalk virus and Norwalk-like viruses appear to be major causes of food-borne and waterborne illness. Assessment of the overall significance of viral agents to the epidemiology of food-borne and waterborne illness is hampered by the lack of surveillance throughout much of the world. In areas where food-borne and waterborne illness surveillance is conducted, outbreaks of viral gastroenteritis are underreported because of the lack of availability of routine laboratory services to confirm the viral etiology. Routine use of epidemiologic criteria as an alternative to laboratory confirmation will allow better assessments of the importance of viral gastroenteritis until effective laboratory methods can be widely implemented. Outbreaks of viral gastroenteritis have been propagated by contamination of water supplies, raw foods, and ill food handlers. Controlling an outbreak depends on identifying and removing the source of contamination. The demonstrated occurrence of person-to-person transmission and the likely occurrence of transmission of Norwalk-like viruses by aerosol make it necessary to evaluate the potential for transmission by food handlers and servers in every outbreak, regardless of primary source.","DOI":"10.1128/CMR.6.3.199","ISSN":"0893-8512, 1098-6618","note":"PMID: 8395330","journalAbbreviation":"Clin. Microbiol. Rev.","language":"en","author":[{"family":"Hedberg","given":"C. W."},{"family":"Osterholm","given":"M. T."}],"issued":{"date-parts":[["1993",7,1]]}}},{"id":91,"uris":["http://zotero.org/users/local/vi17aXd7/items/DPPIFRGZ"],"uri":["http://zotero.org/users/local/vi17aXd7/items/DPPIFRGZ"],"itemData":{"id":91,"type":"article-journal","title":"Outbreaks of enterotoxigenic Escherichia coli infection in American adults: a clinical and epidemiologic profile","container-title":"Epidemiology &amp; Infection","page":"9-16","volume":"123","issue":"1","source":"Cambridge Core","abstract":"Because enterotoxigenic Escherichia coli (ETEC) is not identified by routine stool culture\nmethods, ETEC outbreaks may go unrecognized, and opportunities for treatment and\nprevention may be missed. To improve recognition of adult ETEC outbreaks, we compared\nthem with reported outbreaks of viral gastroenteritis. During 1975–95, we identified 14 ETEC\noutbreaks in the United States and 7 on cruise ships, caused by 17 different serotypes and\naffecting 5683 persons. Median symptom prevalences were: diarrhoea 99%, abdominal cramps\n82%, nausea 49%, fever 22%, vomiting 14%. The median incubation period was 42 h, and\nfor 8 of 10 outbreaks, the mean or median duration of illness was &gt;72 h (range 24–264). For\n17 (81%) ETEC outbreaks, but for only 2 (8%) viral outbreaks, the prevalence of diarrhoea\nwas [ges ]2·5 times the prevalence of vomiting. ETEC outbreaks may be differentiated from viral\ngastroenteritis outbreaks by a diarrhoea-to-vomiting prevalence ratio of [ges ]2·5 and a longer\nduration of illness.","ISSN":"1469-4409, 0950-2688","shortTitle":"Outbreaks of enterotoxigenic Escherichia coli infection in American adults","language":"en","author":[{"family":"Dalton","given":"C. B."},{"family":"Mintz","given":"E. D."},{"family":"Wells","given":"J. G."},{"family":"Bopp","given":"C. A."},{"family":"Tauxe","given":"R. V."}],"issued":{"date-parts":[["1999",8]]}}}],"schema":"https://github.com/citation-style-language/schema/raw/master/csl-citation.json"} </w:instrText>
      </w:r>
      <w:r w:rsidR="0039555D">
        <w:fldChar w:fldCharType="separate"/>
      </w:r>
      <w:r w:rsidR="00963D9C" w:rsidRPr="00963D9C">
        <w:rPr>
          <w:rFonts w:ascii="Calibri" w:hAnsi="Calibri" w:cs="Calibri"/>
          <w:szCs w:val="24"/>
        </w:rPr>
        <w:t>[8–11]</w:t>
      </w:r>
      <w:r w:rsidR="0039555D">
        <w:fldChar w:fldCharType="end"/>
      </w:r>
      <w:r w:rsidR="005736F0">
        <w:t>.</w:t>
      </w:r>
      <w:r w:rsidR="0039555D">
        <w:t xml:space="preserve"> This study </w:t>
      </w:r>
      <w:r w:rsidR="00082E61">
        <w:t xml:space="preserve">is largely consistent with these criteria, identifying similar associations between these symptoms and the </w:t>
      </w:r>
      <w:r w:rsidR="00A0323F">
        <w:t xml:space="preserve">class of the </w:t>
      </w:r>
      <w:r w:rsidR="00082E61">
        <w:t>underlying pathogen. However, our analysis would suggest that vomiting and a short duration of symptoms are better ascribed to viral IID than any single viral pathogen</w:t>
      </w:r>
      <w:r w:rsidR="00A0323F">
        <w:t xml:space="preserve">. </w:t>
      </w:r>
      <w:r w:rsidR="004E5A44">
        <w:t>Furthermore, t</w:t>
      </w:r>
      <w:r w:rsidR="0019351B">
        <w:t xml:space="preserve">he </w:t>
      </w:r>
      <w:r w:rsidR="004E5A44">
        <w:t xml:space="preserve">duration of norovirus </w:t>
      </w:r>
      <w:r w:rsidR="003A63FC">
        <w:t xml:space="preserve">symptoms </w:t>
      </w:r>
      <w:r w:rsidR="00630D24">
        <w:t>is known to</w:t>
      </w:r>
      <w:r w:rsidR="004E5A44">
        <w:t xml:space="preserve"> be affected by individual risk factors, such as hospitalisation and age </w:t>
      </w:r>
      <w:r w:rsidR="004E5A44" w:rsidRPr="0019351B">
        <w:fldChar w:fldCharType="begin"/>
      </w:r>
      <w:r w:rsidR="00963D9C">
        <w:instrText xml:space="preserve"> ADDIN ZOTERO_ITEM CSL_CITATION {"citationID":"qipcfY5R","properties":{"formattedCitation":"[18,19]","plainCitation":"[18,19]","noteIndex":0},"citationItems":[{"id":129,"uris":["http://zotero.org/users/local/vi17aXd7/items/FMXNULMV"],"uri":["http://zotero.org/users/local/vi17aXd7/items/FMXNULMV"],"itemData":{"id":129,"type":"webpage","title":"Molecular Epidemiology and Clinical Manifestations of Viral Gastroenteritis in Hospitalized Pediatric Patients in Northern Taiwan","URL":"http://jcm.asm.org/content/45/6/2054.short","accessed":{"date-parts":[["2018",6,14]]}}},{"id":114,"uris":["http://zotero.org/users/local/vi17aXd7/items/A4L8G3SD"],"uri":["http://zotero.org/users/local/vi17aXd7/items/A4L8G3SD"],"itemData":{"id":114,"type":"article-journal","title":"Clinical Manifestation of Norovirus Gastroenteritis in Health Care Settings","container-title":"Clinical Infectious Diseases","page":"318-324","volume":"39","issue":"3","source":"academic.oup.com","abstract":"Abstract.  Noroviruses are generally believed to cause relatively mild gastroenteritis of short duration in otherwise healthy adults. However, outbreaks in heal","DOI":"10.1086/421948","ISSN":"1058-4838","journalAbbreviation":"Clin Infect Dis","language":"en","author":[{"family":"Lopman","given":"Ben A."},{"family":"Reacher","given":"Mark H."},{"family":"Vipond","given":"Ian B."},{"family":"Sarangi","given":"Joyshri"},{"family":"Brown","given":"David W. G."}],"issued":{"date-parts":[["2004",8,1]]}}}],"schema":"https://github.com/citation-style-language/schema/raw/master/csl-citation.json"} </w:instrText>
      </w:r>
      <w:r w:rsidR="004E5A44" w:rsidRPr="0019351B">
        <w:fldChar w:fldCharType="separate"/>
      </w:r>
      <w:r w:rsidR="00963D9C" w:rsidRPr="00963D9C">
        <w:rPr>
          <w:rFonts w:ascii="Calibri" w:hAnsi="Calibri" w:cs="Calibri"/>
        </w:rPr>
        <w:t>[18,19]</w:t>
      </w:r>
      <w:r w:rsidR="004E5A44" w:rsidRPr="0019351B">
        <w:fldChar w:fldCharType="end"/>
      </w:r>
      <w:r w:rsidR="004E5A44">
        <w:t xml:space="preserve">. Therefore, the </w:t>
      </w:r>
      <w:r w:rsidR="00DA4980">
        <w:t xml:space="preserve">12-60 hour </w:t>
      </w:r>
      <w:r w:rsidR="004E5A44">
        <w:t xml:space="preserve">duration </w:t>
      </w:r>
      <w:r w:rsidR="0019351B">
        <w:t>used in the Kaplan criteria may</w:t>
      </w:r>
      <w:r w:rsidR="003A63FC">
        <w:t xml:space="preserve"> be less</w:t>
      </w:r>
      <w:r w:rsidR="004E5A44">
        <w:t xml:space="preserve"> applicable when considering individual cases of </w:t>
      </w:r>
      <w:r w:rsidR="00DA4980">
        <w:t xml:space="preserve">norovirus </w:t>
      </w:r>
      <w:r w:rsidR="004E5A44">
        <w:t xml:space="preserve">illness. </w:t>
      </w:r>
      <w:r w:rsidR="00BB6A6D">
        <w:t>This</w:t>
      </w:r>
      <w:r w:rsidR="0019351B">
        <w:t xml:space="preserve"> study </w:t>
      </w:r>
      <w:r w:rsidR="0002709A">
        <w:t xml:space="preserve">used less than or equal to 3 days to categorise </w:t>
      </w:r>
      <w:r w:rsidR="00DB069A">
        <w:t xml:space="preserve">symptom </w:t>
      </w:r>
      <w:r w:rsidR="0002709A">
        <w:t>duration</w:t>
      </w:r>
      <w:r w:rsidR="00533541">
        <w:t xml:space="preserve">, which provided good discrimination between </w:t>
      </w:r>
      <w:r w:rsidR="0019351B">
        <w:t xml:space="preserve">bacterial and viral causes of IID. </w:t>
      </w:r>
    </w:p>
    <w:p w14:paraId="6FD57FD8" w14:textId="77777777" w:rsidR="00BB16F8" w:rsidRDefault="00BB16F8" w:rsidP="00F54E4D">
      <w:pPr>
        <w:spacing w:after="0" w:line="480" w:lineRule="auto"/>
      </w:pPr>
    </w:p>
    <w:p w14:paraId="0772617D" w14:textId="3383986A" w:rsidR="00157982" w:rsidRDefault="00BB6A6D" w:rsidP="00F54E4D">
      <w:pPr>
        <w:spacing w:after="0" w:line="480" w:lineRule="auto"/>
      </w:pPr>
      <w:r>
        <w:t>This</w:t>
      </w:r>
      <w:r w:rsidR="00424AE7">
        <w:t xml:space="preserve"> analysis</w:t>
      </w:r>
      <w:r w:rsidR="00491DBE">
        <w:t xml:space="preserve"> </w:t>
      </w:r>
      <w:r w:rsidR="00491DBE" w:rsidRPr="00424AE7">
        <w:t>did not identify symptoms which could be used to adequately differe</w:t>
      </w:r>
      <w:r w:rsidR="00835FF7">
        <w:t>ntiate individual IID pathogens</w:t>
      </w:r>
      <w:r w:rsidR="006C55C3">
        <w:t xml:space="preserve">. This should act as a caution against making assumptions about the underlying organism </w:t>
      </w:r>
      <w:r w:rsidR="00C36A84">
        <w:t xml:space="preserve">on the basis of symptoms alone. However, this dataset did not contain sufficient numbers of some organisms to generate the statistical power necessary to model </w:t>
      </w:r>
      <w:r w:rsidR="00782E70">
        <w:t>at the level</w:t>
      </w:r>
      <w:r w:rsidR="00C36A84">
        <w:t xml:space="preserve"> of individual pathogens. </w:t>
      </w:r>
      <w:r w:rsidR="00157982">
        <w:t xml:space="preserve">Furthermore, the mild to moderate correlations identified between certain symptoms could make it harder for statistical models to distinguish individual pathogens on the basis of these symptoms alone. </w:t>
      </w:r>
    </w:p>
    <w:p w14:paraId="674BB899" w14:textId="046692B0" w:rsidR="00491DBE" w:rsidRDefault="00491DBE" w:rsidP="00F54E4D">
      <w:pPr>
        <w:spacing w:after="0" w:line="480" w:lineRule="auto"/>
      </w:pPr>
    </w:p>
    <w:p w14:paraId="4756BFCC" w14:textId="77777777" w:rsidR="006C55C3" w:rsidRDefault="006C55C3" w:rsidP="00F54E4D">
      <w:pPr>
        <w:spacing w:after="0" w:line="480" w:lineRule="auto"/>
      </w:pPr>
    </w:p>
    <w:p w14:paraId="2B64BCB3" w14:textId="031A378F" w:rsidR="00E24DB9" w:rsidRDefault="00F9461F" w:rsidP="00F54E4D">
      <w:pPr>
        <w:spacing w:after="0" w:line="480" w:lineRule="auto"/>
      </w:pPr>
      <w:r>
        <w:t>The</w:t>
      </w:r>
      <w:r w:rsidR="00C12C5F">
        <w:t xml:space="preserve"> finding</w:t>
      </w:r>
      <w:r w:rsidR="0039555D">
        <w:t>s</w:t>
      </w:r>
      <w:r>
        <w:t xml:space="preserve"> of this study</w:t>
      </w:r>
      <w:r w:rsidR="0039555D">
        <w:t xml:space="preserve"> have application</w:t>
      </w:r>
      <w:r w:rsidR="00C12C5F">
        <w:t xml:space="preserve"> for clinicians, public health profession</w:t>
      </w:r>
      <w:r w:rsidR="00AA3FF3">
        <w:t>als and epidemiologists, who</w:t>
      </w:r>
      <w:r w:rsidR="00C12C5F">
        <w:t xml:space="preserve"> use symptoms to generate hypotheses </w:t>
      </w:r>
      <w:r w:rsidR="00AA3FF3">
        <w:t>regarding</w:t>
      </w:r>
      <w:r w:rsidR="00C12C5F">
        <w:t xml:space="preserve"> causative organism</w:t>
      </w:r>
      <w:r w:rsidR="00AA3FF3">
        <w:t>s</w:t>
      </w:r>
      <w:r w:rsidR="00CA7814">
        <w:t xml:space="preserve"> when managing</w:t>
      </w:r>
      <w:r w:rsidR="00C12C5F">
        <w:t xml:space="preserve"> cases and outbreaks of IID. This analysis would suggest that assumptio</w:t>
      </w:r>
      <w:r w:rsidR="00F75735">
        <w:t>ns should not be made as to the individual</w:t>
      </w:r>
      <w:r w:rsidR="00C12C5F">
        <w:t xml:space="preserve"> pathogen </w:t>
      </w:r>
      <w:r w:rsidR="00C12C5F" w:rsidRPr="00DA170C">
        <w:t>in the absence of microbiological confirmation</w:t>
      </w:r>
      <w:r w:rsidR="00C12C5F">
        <w:t>. However, g</w:t>
      </w:r>
      <w:r w:rsidR="00C12C5F" w:rsidRPr="00DA170C">
        <w:t>iven the different transmission patterns</w:t>
      </w:r>
      <w:r w:rsidR="00C12C5F">
        <w:t xml:space="preserve"> and natural histories</w:t>
      </w:r>
      <w:r w:rsidR="00C12C5F" w:rsidRPr="00DA170C">
        <w:t xml:space="preserve"> of bacterial and viral IID</w:t>
      </w:r>
      <w:r w:rsidR="005736F0">
        <w:t xml:space="preserve"> </w:t>
      </w:r>
      <w:r w:rsidR="00C12C5F" w:rsidRPr="00DA170C">
        <w:fldChar w:fldCharType="begin"/>
      </w:r>
      <w:r w:rsidR="00963D9C">
        <w:instrText xml:space="preserve"> ADDIN ZOTERO_ITEM CSL_CITATION {"citationID":"a1m3fv0aq62","properties":{"formattedCitation":"[20]","plainCitation":"[20]","noteIndex":0},"citationItems":[{"id":50,"uris":["http://zotero.org/users/local/vi17aXd7/items/LMAHXRW6"],"uri":["http://zotero.org/users/local/vi17aXd7/items/LMAHXRW6"],"itemData":{"id":50,"type":"article-journal","title":"Acute Gastroenteritis Surveillance through the National Outbreak Reporting System, United States","container-title":"Emerging Infectious Diseases","page":"1305-1309","volume":"19","issue":"8","source":"PubMed Central","abstract":"Implemented in 2009, the National Outbreak Reporting System provides surveillance for acute gastroenteritis outbreaks in the United States resulting from any transmission mode. Data from the first 2 years of surveillance highlight the predominant role of norovirus. The pathogen-specific transmission pathways and exposure settings identified can help inform prevention efforts.","DOI":"10.3201/eid1908.130482","ISSN":"1080-6040","note":"PMID: 23876187\nPMCID: PMC3739540","journalAbbreviation":"Emerg Infect Dis","author":[{"family":"Hall","given":"Aron J."},{"family":"Wikswo","given":"Mary E."},{"family":"Manikonda","given":"Karunya"},{"family":"Roberts","given":"Virginia A."},{"family":"Yoder","given":"Jonathan S."},{"family":"Gould","given":"L. Hannah"}],"issued":{"date-parts":[["2013",8]]}}}],"schema":"https://github.com/citation-style-language/schema/raw/master/csl-citation.json"} </w:instrText>
      </w:r>
      <w:r w:rsidR="00C12C5F" w:rsidRPr="00DA170C">
        <w:fldChar w:fldCharType="separate"/>
      </w:r>
      <w:r w:rsidR="00963D9C" w:rsidRPr="00963D9C">
        <w:rPr>
          <w:rFonts w:ascii="Calibri" w:hAnsi="Calibri" w:cs="Calibri"/>
        </w:rPr>
        <w:t>[20]</w:t>
      </w:r>
      <w:r w:rsidR="00C12C5F" w:rsidRPr="00DA170C">
        <w:fldChar w:fldCharType="end"/>
      </w:r>
      <w:r w:rsidR="005736F0">
        <w:t>,</w:t>
      </w:r>
      <w:r w:rsidR="00C12C5F" w:rsidRPr="00DA170C">
        <w:t xml:space="preserve"> </w:t>
      </w:r>
      <w:r w:rsidR="00C12C5F">
        <w:t xml:space="preserve">using </w:t>
      </w:r>
      <w:r w:rsidR="00C12C5F" w:rsidRPr="00DA170C">
        <w:t>symptom profiles</w:t>
      </w:r>
      <w:r w:rsidR="00C12C5F">
        <w:t xml:space="preserve"> to indicate a likely bacterial or viral cause</w:t>
      </w:r>
      <w:r w:rsidR="00C12C5F" w:rsidRPr="00DA170C">
        <w:t xml:space="preserve"> could assist the early stages of outbreak investigations when microbiology is not yet available</w:t>
      </w:r>
      <w:r w:rsidR="00C12C5F">
        <w:t>. This c</w:t>
      </w:r>
      <w:r w:rsidR="00C12C5F" w:rsidRPr="00DA170C">
        <w:t>ould help guide infection</w:t>
      </w:r>
      <w:r w:rsidR="00C12C5F">
        <w:t xml:space="preserve"> prevention and</w:t>
      </w:r>
      <w:r w:rsidR="00C12C5F" w:rsidRPr="00DA170C">
        <w:t xml:space="preserve"> control</w:t>
      </w:r>
      <w:r w:rsidR="00AC1AFE">
        <w:t>;</w:t>
      </w:r>
      <w:r w:rsidR="003A7134">
        <w:t xml:space="preserve"> </w:t>
      </w:r>
      <w:r w:rsidR="00782E70">
        <w:t xml:space="preserve">for example, </w:t>
      </w:r>
      <w:r w:rsidR="00AC1AFE">
        <w:t>viral</w:t>
      </w:r>
      <w:r w:rsidR="00C12C5F" w:rsidRPr="00DA170C">
        <w:t xml:space="preserve"> causes </w:t>
      </w:r>
      <w:r w:rsidR="00AC1AFE">
        <w:t>are more likely to be spread person to person, whereas bacterial IID</w:t>
      </w:r>
      <w:r w:rsidR="00C12C5F" w:rsidRPr="00DA170C">
        <w:t xml:space="preserve"> would rouse suspicion of a food or animal contact.</w:t>
      </w:r>
      <w:r w:rsidR="000A49D1">
        <w:t xml:space="preserve"> Given the large diagnostic gap for IID, </w:t>
      </w:r>
      <w:r w:rsidR="00C12C5F">
        <w:t xml:space="preserve">the role of symptoms is still of vital importance to guide clinical and public health action. </w:t>
      </w:r>
      <w:r w:rsidR="00C12C5F" w:rsidRPr="00DA170C">
        <w:t xml:space="preserve">These findings could </w:t>
      </w:r>
      <w:r w:rsidR="00E621B9">
        <w:t>have</w:t>
      </w:r>
      <w:r w:rsidR="00F75735">
        <w:t xml:space="preserve"> further</w:t>
      </w:r>
      <w:r w:rsidR="00E621B9">
        <w:t xml:space="preserve"> application</w:t>
      </w:r>
      <w:r w:rsidR="00C12C5F">
        <w:t xml:space="preserve"> for</w:t>
      </w:r>
      <w:r w:rsidR="00C12C5F" w:rsidRPr="00DA170C">
        <w:t xml:space="preserve"> syndromic surveillance systems, enabling symptomatic cases to be categorised as either suspected bacterial or viral</w:t>
      </w:r>
      <w:r w:rsidR="00276CD4">
        <w:t xml:space="preserve"> IID</w:t>
      </w:r>
      <w:r w:rsidR="00C12C5F" w:rsidRPr="00DA170C">
        <w:t xml:space="preserve">. </w:t>
      </w:r>
      <w:r w:rsidR="00E24DB9">
        <w:t xml:space="preserve">However, the benefits of this would have to be weighed against the practical challenges of developing sensitive and specific case definitions that would be compatible with the level of symptom detail gathered and recorded by syndromic surveillance systems </w:t>
      </w:r>
      <w:r w:rsidR="00E24DB9">
        <w:fldChar w:fldCharType="begin"/>
      </w:r>
      <w:r w:rsidR="00963D9C">
        <w:instrText xml:space="preserve"> ADDIN ZOTERO_ITEM CSL_CITATION {"citationID":"sXBsAdAT","properties":{"formattedCitation":"[21]","plainCitation":"[21]","noteIndex":0},"citationItems":[{"id":144,"uris":["http://zotero.org/users/local/vi17aXd7/items/YWKW5CEM"],"uri":["http://zotero.org/users/local/vi17aXd7/items/YWKW5CEM"],"itemData":{"id":144,"type":"article-journal","title":"Syndromic surveillance: sensitivity and positive predictive value of the case definitions","container-title":"Epidemiology and Infection","page":"662","volume":"137","issue":"05","source":"Crossref","abstract":"The aim of the study was to measure the positive predictive value (PPV) and sensitivity of operational case deﬁnitions of 13 syndromes in a surveillance system based on the Emergency online database of the Lazio region. The PPVs were calculated using electronic emergency department (ED) medical records and subsequent hospitalizations to ascertain the cases. Sensitivity was calculated using a modiﬁed capture–recapture method. The number of cases that fulﬁlled the case deﬁnition criteria in the 2004 database ranged from 27 320 for gastroenteritis to three for haemorrhagic diarrhoea. The PPVs ranged from 99.3 to 20 ; sepsis, meningitis-like and coma were below 50 %. The estimated sensitivity ranged from 90 % for coma to 22 % for haemorrhagic diarrhoea. Syndromes such as gastroenteritis, where the signs, symptoms, and exposure history provide immediate diagnostic implications ﬁt this surveillance system better than others such as haemorrhagic diarrhoea, where symptoms are not evident and a more precise diagnosis is needed.","DOI":"10.1017/S0950268808001374","ISSN":"0950-2688, 1469-4409","shortTitle":"Syndromic surveillance","language":"en","author":[{"family":"Guasticchi","given":"G."},{"family":"Giorgi Rossi","given":"P."},{"family":"Lori","given":"G."},{"family":"Genio","given":"S."},{"family":"Biagetti","given":"F."},{"family":"Gabriele","given":"S."},{"family":"Pezzotti","given":"P."},{"family":"Borgia","given":"P."}],"issued":{"date-parts":[["2009",5]]}}}],"schema":"https://github.com/citation-style-language/schema/raw/master/csl-citation.json"} </w:instrText>
      </w:r>
      <w:r w:rsidR="00E24DB9">
        <w:fldChar w:fldCharType="separate"/>
      </w:r>
      <w:r w:rsidR="00963D9C" w:rsidRPr="00963D9C">
        <w:rPr>
          <w:rFonts w:ascii="Calibri" w:hAnsi="Calibri" w:cs="Calibri"/>
        </w:rPr>
        <w:t>[21]</w:t>
      </w:r>
      <w:r w:rsidR="00E24DB9">
        <w:fldChar w:fldCharType="end"/>
      </w:r>
      <w:r w:rsidR="00E24DB9">
        <w:t>.</w:t>
      </w:r>
    </w:p>
    <w:p w14:paraId="77A7C837" w14:textId="77777777" w:rsidR="00C12C5F" w:rsidRDefault="00C12C5F" w:rsidP="00F54E4D">
      <w:pPr>
        <w:spacing w:after="0" w:line="480" w:lineRule="auto"/>
      </w:pPr>
    </w:p>
    <w:p w14:paraId="67532D44" w14:textId="77777777" w:rsidR="00C144B1" w:rsidRDefault="00C144B1" w:rsidP="00F54E4D">
      <w:pPr>
        <w:spacing w:after="0" w:line="480" w:lineRule="auto"/>
      </w:pPr>
    </w:p>
    <w:p w14:paraId="7AB8DD6A" w14:textId="77777777" w:rsidR="00C12C5F" w:rsidRPr="004110E7" w:rsidRDefault="00C12C5F" w:rsidP="00F54E4D">
      <w:pPr>
        <w:spacing w:after="0" w:line="480" w:lineRule="auto"/>
        <w:rPr>
          <w:b/>
          <w:i/>
        </w:rPr>
      </w:pPr>
      <w:r w:rsidRPr="004110E7">
        <w:rPr>
          <w:b/>
          <w:i/>
        </w:rPr>
        <w:t>Strengths and limitations</w:t>
      </w:r>
    </w:p>
    <w:p w14:paraId="29BCF190" w14:textId="3E2C8C2B" w:rsidR="008C29B0" w:rsidRDefault="00AC619B" w:rsidP="00F54E4D">
      <w:pPr>
        <w:spacing w:after="0" w:line="480" w:lineRule="auto"/>
      </w:pPr>
      <w:r>
        <w:t>This study utilised</w:t>
      </w:r>
      <w:r w:rsidR="00C12C5F">
        <w:t xml:space="preserve"> data from a large prospective cohort study</w:t>
      </w:r>
      <w:r w:rsidR="005736F0">
        <w:t xml:space="preserve"> </w:t>
      </w:r>
      <w:r w:rsidR="00C12C5F">
        <w:fldChar w:fldCharType="begin"/>
      </w:r>
      <w:r w:rsidR="00963D9C">
        <w:instrText xml:space="preserve"> ADDIN ZOTERO_ITEM CSL_CITATION {"citationID":"a25q2gda8j3","properties":{"formattedCitation":"[12]","plainCitation":"[12]","noteIndex":0},"citationItems":[{"id":2,"uris":["http://zotero.org/users/local/vi17aXd7/items/RUWDLGVH"],"uri":["http://zotero.org/users/local/vi17aXd7/items/RUWDLGVH"],"itemData":{"id":2,"type":"article-journal","title":"Longitudinal study of infectious intestinal disease in the UK (IID2 study): incidence in the community and presenting to general practice","container-title":"Gut","abstract":"Objectives To estimate, overall and by organism, the incidence of infectious intestinal disease (IID) in the community, presenting to general practice (GP) and reported to national surveillance.Design Prospective, community cohort study and prospective study of GP presentation conducted between April 2008 and August 2009.Setting Eighty-eight GPs across the UK recruited from the Medical Research Council General Practice Research Framework and the Primary Care Research Networks.Participants 6836 participants registered with the 88 participating practices in the community study; 991 patients with UK-acquired IID presenting to one of 37 practices taking part in the GP presentation study.Main outcome measures IID rates in the community, presenting to GP and reported to national surveillance, overall and by organism; annual IID cases and GP consultations by organism.Results The overall rate of IID in the community was 274 cases per 1000 person-years (95% CI 254 to 296); the rate of GP consultations was 17.7 per 1000 person-years (95% CI 14.4 to 21.8). There were 147 community cases and 10 GP consultations for every case reported to national surveillance. Norovirus was the most common organism, with incidence rates of 47 community cases per 1000 person-years and 2.1 GP consultations per 1000 person-years. Campylobacter was the most common bacterial pathogen, with a rate of 9.3 cases per 1000 person-years in the community, and 1.3 GP consultations per 1000 person-years. We estimate that there are up to 17 million sporadic, community cases of IID and 1 million GP consultations annually in the UK. Of these, norovirus accounts for 3 million cases and 130 000 GP consultations, and Campylobacter is responsible for 500 000 cases and 80 000 GP consultations.Conclusions IID poses a substantial community and healthcare burden in the UK. Control efforts must focus particularly on reducing the burden due to Campylobacter and enteric viruses.","URL":"http://gut.bmj.com/content/early/2011/07/05/gut.2011.238386.abstract","DOI":"10.1136/gut.2011.238386","journalAbbreviation":"Gut","author":[{"family":"Tam","given":"Clarence C"},{"family":"Rodrigues","given":"Laura C"},{"family":"Viviani","given":"Laura"},{"family":"Dodds","given":"Julie P"},{"family":"Evans","given":"Meirion R"},{"family":"Hunter","given":"Paul R"},{"family":"Gray","given":"Jim J"},{"family":"Letley","given":"Louise H"},{"family":"Rait","given":"Greta"},{"family":"Tompkins","given":"David S"},{"family":"O'Brien","given":"Sarah J"}],"issued":{"date-parts":[["2011",1,1]]}}}],"schema":"https://github.com/citation-style-language/schema/raw/master/csl-citation.json"} </w:instrText>
      </w:r>
      <w:r w:rsidR="00C12C5F">
        <w:fldChar w:fldCharType="separate"/>
      </w:r>
      <w:r w:rsidR="00963D9C" w:rsidRPr="00963D9C">
        <w:rPr>
          <w:rFonts w:ascii="Calibri" w:hAnsi="Calibri" w:cs="Calibri"/>
        </w:rPr>
        <w:t>[12]</w:t>
      </w:r>
      <w:r w:rsidR="00C12C5F">
        <w:fldChar w:fldCharType="end"/>
      </w:r>
      <w:r w:rsidR="005736F0">
        <w:t>,</w:t>
      </w:r>
      <w:r w:rsidR="00C12C5F">
        <w:t xml:space="preserve"> removing some of the reporting biases inherent within national surveillance data</w:t>
      </w:r>
      <w:r w:rsidR="005736F0">
        <w:t xml:space="preserve"> </w:t>
      </w:r>
      <w:r w:rsidR="004F46F5">
        <w:fldChar w:fldCharType="begin"/>
      </w:r>
      <w:r w:rsidR="00963D9C">
        <w:instrText xml:space="preserve"> ADDIN ZOTERO_ITEM CSL_CITATION {"citationID":"xN7T1Yxt","properties":{"formattedCitation":"[22]","plainCitation":"[22]","noteIndex":0},"citationItems":[{"id":3,"uris":["http://zotero.org/users/local/vi17aXd7/items/UXYJU6YT"],"uri":["http://zotero.org/users/local/vi17aXd7/items/UXYJU6YT"],"itemData":{"id":3,"type":"article-journal","title":"Factors Associated with Seeking Medical Care and Submitting a Stool Sample in Estimating the Burden of Foodborne Illness","container-title":"Foodborne Pathogens and Disease","page":"432-438","volume":"3","issue":"4","source":"online.liebertpub.com (Atypon)","abstract":"Laboratory-based surveillance is a foundation for public health and is essential for determining the incidence of most foodborne diseases caused by bacterial pathogens; however, reported cases represent a subset of infections in the community. To identify the factors associated with seeking medical care and submitting a stool specimen among persons with acute diarrheal illness, we used multivariate logistic regression to analyze data from two 12- month population-based telephone surveys conducted in the Foodborne Diseases Active Surveillance Network (FoodNet) from 2000 to 2003. Of 31,082 persons interviewed, 5% reported an acute diarrheal illness in the four weeks prior to the interview; of these, 20% sought medical care. On multivariate analysis, among persons with an acute diarrheal illness, factors associated with seeking medical care included: male sex; age &lt;5 or ≥65 years; household income &lt;$25,000; having health insurance; diarrhea duration ≥3 days; having bloody diarrhea, fever, vomiting, sore throat, or cough. Of those seeking medical care, 19% provided a stool sample. Bloody diarrhea (odds ratio [OR] 3.35; 95% confidence interval [CI] 1.18–9.51) and diarrhea duration ≥3 days (OR 3.81; 95% CI: 1.50–9.69) were the most important factors associated with submission of a stool specimen. Cases of acute diarrheal illness ascertained through laboratory-based public health surveillance are likely to differ systematically from unreported cases and likely over-represent those with bloody diarrhea and longer diarrhea duration.","DOI":"10.1089/fpd.2006.3.432","ISSN":"1535-3141","journalAbbreviation":"Foodborne Pathogens and Disease","author":[{"family":"Scallan","given":"Elaine"},{"family":"Jones","given":"Timothy F."},{"family":"Cronquist","given":"Alicia"},{"family":"Thomas","given":"Stepy"},{"family":"Frenzen","given":"Paul"},{"family":"Hoefer","given":"Dina"},{"family":"Medus","given":"Carlota"},{"family":"Angulo","given":"Fredrick J."}],"issued":{"date-parts":[["2006",12,1]]}}}],"schema":"https://github.com/citation-style-language/schema/raw/master/csl-citation.json"} </w:instrText>
      </w:r>
      <w:r w:rsidR="004F46F5">
        <w:fldChar w:fldCharType="separate"/>
      </w:r>
      <w:r w:rsidR="00963D9C" w:rsidRPr="00963D9C">
        <w:rPr>
          <w:rFonts w:ascii="Calibri" w:hAnsi="Calibri" w:cs="Calibri"/>
        </w:rPr>
        <w:t>[22]</w:t>
      </w:r>
      <w:r w:rsidR="004F46F5">
        <w:fldChar w:fldCharType="end"/>
      </w:r>
      <w:r w:rsidR="005736F0">
        <w:t>.</w:t>
      </w:r>
      <w:r w:rsidR="00C12C5F">
        <w:t xml:space="preserve"> </w:t>
      </w:r>
      <w:r w:rsidR="00F9461F">
        <w:t>However, given</w:t>
      </w:r>
      <w:r w:rsidR="00BB6A6D">
        <w:t xml:space="preserve"> that</w:t>
      </w:r>
      <w:r w:rsidR="00F9461F">
        <w:t xml:space="preserve"> the severity and duration of illness is known to affect health-seeking behaviour and stool sample </w:t>
      </w:r>
      <w:r w:rsidR="00F9461F" w:rsidRPr="00F9461F">
        <w:t xml:space="preserve">submission </w:t>
      </w:r>
      <w:r w:rsidR="00F9461F" w:rsidRPr="00F9461F">
        <w:fldChar w:fldCharType="begin"/>
      </w:r>
      <w:r w:rsidR="00963D9C">
        <w:instrText xml:space="preserve"> ADDIN ZOTERO_ITEM CSL_CITATION {"citationID":"tY7Pe9Zr","properties":{"formattedCitation":"[22]","plainCitation":"[22]","noteIndex":0},"citationItems":[{"id":3,"uris":["http://zotero.org/users/local/vi17aXd7/items/UXYJU6YT"],"uri":["http://zotero.org/users/local/vi17aXd7/items/UXYJU6YT"],"itemData":{"id":3,"type":"article-journal","title":"Factors Associated with Seeking Medical Care and Submitting a Stool Sample in Estimating the Burden of Foodborne Illness","container-title":"Foodborne Pathogens and Disease","page":"432-438","volume":"3","issue":"4","source":"online.liebertpub.com (Atypon)","abstract":"Laboratory-based surveillance is a foundation for public health and is essential for determining the incidence of most foodborne diseases caused by bacterial pathogens; however, reported cases represent a subset of infections in the community. To identify the factors associated with seeking medical care and submitting a stool specimen among persons with acute diarrheal illness, we used multivariate logistic regression to analyze data from two 12- month population-based telephone surveys conducted in the Foodborne Diseases Active Surveillance Network (FoodNet) from 2000 to 2003. Of 31,082 persons interviewed, 5% reported an acute diarrheal illness in the four weeks prior to the interview; of these, 20% sought medical care. On multivariate analysis, among persons with an acute diarrheal illness, factors associated with seeking medical care included: male sex; age &lt;5 or ≥65 years; household income &lt;$25,000; having health insurance; diarrhea duration ≥3 days; having bloody diarrhea, fever, vomiting, sore throat, or cough. Of those seeking medical care, 19% provided a stool sample. Bloody diarrhea (odds ratio [OR] 3.35; 95% confidence interval [CI] 1.18–9.51) and diarrhea duration ≥3 days (OR 3.81; 95% CI: 1.50–9.69) were the most important factors associated with submission of a stool specimen. Cases of acute diarrheal illness ascertained through laboratory-based public health surveillance are likely to differ systematically from unreported cases and likely over-represent those with bloody diarrhea and longer diarrhea duration.","DOI":"10.1089/fpd.2006.3.432","ISSN":"1535-3141","journalAbbreviation":"Foodborne Pathogens and Disease","author":[{"family":"Scallan","given":"Elaine"},{"family":"Jones","given":"Timothy F."},{"family":"Cronquist","given":"Alicia"},{"family":"Thomas","given":"Stepy"},{"family":"Frenzen","given":"Paul"},{"family":"Hoefer","given":"Dina"},{"family":"Medus","given":"Carlota"},{"family":"Angulo","given":"Fredrick J."}],"issued":{"date-parts":[["2006",12,1]]}}}],"schema":"https://github.com/citation-style-language/schema/raw/master/csl-citation.json"} </w:instrText>
      </w:r>
      <w:r w:rsidR="00F9461F" w:rsidRPr="00F9461F">
        <w:fldChar w:fldCharType="separate"/>
      </w:r>
      <w:r w:rsidR="00963D9C" w:rsidRPr="00963D9C">
        <w:rPr>
          <w:rFonts w:ascii="Calibri" w:hAnsi="Calibri" w:cs="Calibri"/>
        </w:rPr>
        <w:t>[22]</w:t>
      </w:r>
      <w:r w:rsidR="00F9461F" w:rsidRPr="00F9461F">
        <w:fldChar w:fldCharType="end"/>
      </w:r>
      <w:r w:rsidR="00F9461F" w:rsidRPr="00F9461F">
        <w:t>,</w:t>
      </w:r>
      <w:r w:rsidR="00F9461F">
        <w:t xml:space="preserve"> mild short-lived illness is still likely to be underrepresented in this data. D</w:t>
      </w:r>
      <w:r w:rsidR="00C12C5F">
        <w:t>espite the large size of the dataset, the total numbers of some of the organisms were too low to allow organism-specific models to be developed for all but the four most common causes.</w:t>
      </w:r>
      <w:r w:rsidR="00903497">
        <w:t xml:space="preserve"> Furthermore, protozoa could not be examined as a separate class</w:t>
      </w:r>
      <w:r w:rsidR="009D1C63">
        <w:t xml:space="preserve"> of pathogen</w:t>
      </w:r>
      <w:r w:rsidR="00903497">
        <w:t xml:space="preserve"> due to </w:t>
      </w:r>
      <w:r w:rsidR="009D1C63">
        <w:t>small</w:t>
      </w:r>
      <w:r w:rsidR="00903497">
        <w:t xml:space="preserve"> numbers. In this analysis, </w:t>
      </w:r>
      <w:r w:rsidR="003A7134">
        <w:t>protozoa were</w:t>
      </w:r>
      <w:r w:rsidR="00903497">
        <w:t xml:space="preserve"> included in the comparison group for both the bacterial and viral models.</w:t>
      </w:r>
      <w:r w:rsidR="007F2855">
        <w:t xml:space="preserve"> </w:t>
      </w:r>
      <w:r w:rsidR="009D1C63">
        <w:t>To explore the impact this could have had on the modelling, t</w:t>
      </w:r>
      <w:r w:rsidR="00903497">
        <w:t>he</w:t>
      </w:r>
      <w:r w:rsidR="009D1C63">
        <w:t xml:space="preserve"> analysis was repeated with protozoa assigned </w:t>
      </w:r>
      <w:r w:rsidR="000B7EFD">
        <w:t xml:space="preserve">to the bacterial group. </w:t>
      </w:r>
      <w:r w:rsidR="009D1C63">
        <w:t xml:space="preserve">The resulting viral and bacterial/protozoal models </w:t>
      </w:r>
      <w:r w:rsidR="000B7EFD">
        <w:t xml:space="preserve">did not differ </w:t>
      </w:r>
      <w:r w:rsidR="00903497">
        <w:t>significantly</w:t>
      </w:r>
      <w:r w:rsidR="009D1C63">
        <w:t xml:space="preserve"> </w:t>
      </w:r>
      <w:r w:rsidR="000B7EFD">
        <w:t>from</w:t>
      </w:r>
      <w:r w:rsidR="009D1C63">
        <w:t xml:space="preserve"> the original models</w:t>
      </w:r>
      <w:r w:rsidR="007F2855">
        <w:t xml:space="preserve"> indicating that the group allocation of the protozoa had litt</w:t>
      </w:r>
      <w:r w:rsidR="002E0B09">
        <w:t>le impact on the findings of this</w:t>
      </w:r>
      <w:r w:rsidR="007F2855">
        <w:t xml:space="preserve"> analysis. </w:t>
      </w:r>
    </w:p>
    <w:p w14:paraId="310D85AF" w14:textId="77777777" w:rsidR="007F2855" w:rsidRDefault="007F2855" w:rsidP="00F54E4D">
      <w:pPr>
        <w:spacing w:after="0" w:line="480" w:lineRule="auto"/>
      </w:pPr>
    </w:p>
    <w:p w14:paraId="74DA5562" w14:textId="04F17D1E" w:rsidR="00C12C5F" w:rsidRDefault="00AC619B" w:rsidP="00F54E4D">
      <w:pPr>
        <w:spacing w:after="0" w:line="480" w:lineRule="auto"/>
      </w:pPr>
      <w:r>
        <w:t>It should be considered that t</w:t>
      </w:r>
      <w:r w:rsidR="00C12C5F">
        <w:t>h</w:t>
      </w:r>
      <w:r w:rsidR="00D5260D">
        <w:t>e grouped organism profiles will be</w:t>
      </w:r>
      <w:r w:rsidR="00C12C5F">
        <w:t xml:space="preserve"> naturally weighted by the relative prevalence of different organisms</w:t>
      </w:r>
      <w:r w:rsidR="00D5260D">
        <w:t xml:space="preserve"> within each class</w:t>
      </w:r>
      <w:r w:rsidR="00D07FE8">
        <w:t>;</w:t>
      </w:r>
      <w:r w:rsidR="00C12C5F">
        <w:t xml:space="preserve"> </w:t>
      </w:r>
      <w:r w:rsidR="00E6052C">
        <w:t>c</w:t>
      </w:r>
      <w:r w:rsidR="00D5260D" w:rsidRPr="00E6052C">
        <w:t>ampylobacter</w:t>
      </w:r>
      <w:r w:rsidR="00D07FE8">
        <w:t xml:space="preserve"> accounted</w:t>
      </w:r>
      <w:r w:rsidR="00C12C5F">
        <w:t xml:space="preserve"> for almost two thirds of all the bacteria</w:t>
      </w:r>
      <w:r w:rsidR="00D07FE8">
        <w:t>l cases and norovirus accounted</w:t>
      </w:r>
      <w:r w:rsidR="00C12C5F">
        <w:t xml:space="preserve"> for over 40% of viral cases. Consequently, the bacterial and viral models will disproportionality reflect the symptoms associated with these pathogens. </w:t>
      </w:r>
      <w:r w:rsidR="007C3C97">
        <w:t>H</w:t>
      </w:r>
      <w:r w:rsidR="00F32725">
        <w:t>owever,</w:t>
      </w:r>
      <w:r w:rsidR="007C3C97">
        <w:t xml:space="preserve"> this</w:t>
      </w:r>
      <w:r w:rsidR="00D07FE8">
        <w:t xml:space="preserve"> reflects</w:t>
      </w:r>
      <w:r w:rsidR="00D5260D">
        <w:t xml:space="preserve"> </w:t>
      </w:r>
      <w:r w:rsidR="00C12C5F">
        <w:t>real-life</w:t>
      </w:r>
      <w:r w:rsidR="00D5260D">
        <w:t xml:space="preserve"> diagnostics</w:t>
      </w:r>
      <w:r w:rsidR="00C12C5F">
        <w:t xml:space="preserve"> where certain symptoms or organisms are more likely simply because they occur more commonly. Whilst this analysis could not identify symptom profiles which disc</w:t>
      </w:r>
      <w:r w:rsidR="00B5690D">
        <w:t xml:space="preserve">riminated individual pathogens, </w:t>
      </w:r>
      <w:r w:rsidR="009165F7">
        <w:t>this is an area that warrants further exploration</w:t>
      </w:r>
      <w:r w:rsidR="00B5690D">
        <w:t>.</w:t>
      </w:r>
      <w:r w:rsidR="009165F7">
        <w:t xml:space="preserve"> Future studies </w:t>
      </w:r>
      <w:r w:rsidR="00777FBC">
        <w:t>coul</w:t>
      </w:r>
      <w:r w:rsidR="00EA4199">
        <w:t xml:space="preserve">d also consider the </w:t>
      </w:r>
      <w:r w:rsidR="00777FBC">
        <w:t>role of co-infections</w:t>
      </w:r>
      <w:r w:rsidR="00F606D6">
        <w:t>, as</w:t>
      </w:r>
      <w:r w:rsidR="00EA4199">
        <w:t xml:space="preserve"> co-infections have</w:t>
      </w:r>
      <w:r w:rsidR="00777FBC">
        <w:t xml:space="preserve"> been found to </w:t>
      </w:r>
      <w:r w:rsidR="00EA4199">
        <w:t>affect the pathogenicity of organisms</w:t>
      </w:r>
      <w:r w:rsidR="005736F0">
        <w:t xml:space="preserve"> </w:t>
      </w:r>
      <w:r w:rsidR="00777FBC" w:rsidRPr="00777FBC">
        <w:fldChar w:fldCharType="begin"/>
      </w:r>
      <w:r w:rsidR="00963D9C">
        <w:instrText xml:space="preserve"> ADDIN ZOTERO_ITEM CSL_CITATION {"citationID":"65gZeX7m","properties":{"formattedCitation":"[23]","plainCitation":"[23]","noteIndex":0},"citationItems":[{"id":121,"uris":["http://zotero.org/users/local/vi17aXd7/items/9SX2HQGG"],"uri":["http://zotero.org/users/local/vi17aXd7/items/9SX2HQGG"],"itemData":{"id":121,"type":"article-journal","title":"Comprehensive Analysis of Prevalence, Epidemiologic Characteristics, and Clinical Characteristics of Monoinfection and Coinfection in Diarrheal Diseases in Children in Tanzania","container-title":"American Journal of Epidemiology","page":"1074-1083","volume":"186","issue":"9","source":"academic.oup.com","abstract":"Abstract.  The role of interactions between intestinal pathogens in diarrheal disease is uncertain. From August 2010 to July 2011, we collected stool samples fr","DOI":"10.1093/aje/kwx173","ISSN":"0002-9262","journalAbbreviation":"Am J Epidemiol","language":"en","author":[{"family":"Moyo","given":"Sabrina J."},{"family":"Kommedal","given":"Øyvind"},{"family":"Blomberg","given":"Bjorn"},{"family":"Hanevik","given":"Kurt"},{"family":"Tellevik","given":"Marit Gjerde"},{"family":"Maselle","given":"Samuel Y."},{"family":"Langeland","given":"Nina"}],"issued":{"date-parts":[["2017",11,1]]}}}],"schema":"https://github.com/citation-style-language/schema/raw/master/csl-citation.json"} </w:instrText>
      </w:r>
      <w:r w:rsidR="00777FBC" w:rsidRPr="00777FBC">
        <w:fldChar w:fldCharType="separate"/>
      </w:r>
      <w:r w:rsidR="00963D9C" w:rsidRPr="00963D9C">
        <w:rPr>
          <w:rFonts w:ascii="Calibri" w:hAnsi="Calibri" w:cs="Calibri"/>
        </w:rPr>
        <w:t>[23]</w:t>
      </w:r>
      <w:r w:rsidR="00777FBC" w:rsidRPr="00777FBC">
        <w:fldChar w:fldCharType="end"/>
      </w:r>
      <w:r w:rsidR="005736F0">
        <w:t>.</w:t>
      </w:r>
    </w:p>
    <w:p w14:paraId="11FA39DE" w14:textId="77777777" w:rsidR="003D32B4" w:rsidRDefault="003D32B4" w:rsidP="00F54E4D">
      <w:pPr>
        <w:spacing w:after="0" w:line="480" w:lineRule="auto"/>
        <w:rPr>
          <w:b/>
        </w:rPr>
      </w:pPr>
    </w:p>
    <w:p w14:paraId="30C9C03F" w14:textId="77777777" w:rsidR="00A43529" w:rsidRDefault="004F28F9" w:rsidP="00F54E4D">
      <w:pPr>
        <w:spacing w:after="0" w:line="480" w:lineRule="auto"/>
      </w:pPr>
      <w:r w:rsidRPr="004F28F9">
        <w:rPr>
          <w:b/>
        </w:rPr>
        <w:t>Conclusion</w:t>
      </w:r>
    </w:p>
    <w:p w14:paraId="1AE8199E" w14:textId="7DE3EB0E" w:rsidR="0091243F" w:rsidRDefault="00BB5BB4" w:rsidP="00F54E4D">
      <w:pPr>
        <w:spacing w:after="0" w:line="480" w:lineRule="auto"/>
      </w:pPr>
      <w:r>
        <w:t>Symptom profiles could be used to help dissociate between bacterial and viral</w:t>
      </w:r>
      <w:r w:rsidR="001F7BA9">
        <w:t xml:space="preserve"> causes of IID however,</w:t>
      </w:r>
      <w:r w:rsidR="00C12C5F">
        <w:t xml:space="preserve"> </w:t>
      </w:r>
      <w:r>
        <w:t>symptoms</w:t>
      </w:r>
      <w:r w:rsidR="001F7BA9">
        <w:t xml:space="preserve"> do</w:t>
      </w:r>
      <w:r w:rsidR="00C12C5F">
        <w:t xml:space="preserve"> not</w:t>
      </w:r>
      <w:r>
        <w:t xml:space="preserve"> allow further discrimination of individual organisms. </w:t>
      </w:r>
      <w:r w:rsidR="00C12C5F">
        <w:t>Microbiology remains the gold standard and where possible, microbiological confirmation is recommended. However, in situations where microbiology is not available or re</w:t>
      </w:r>
      <w:r w:rsidR="001F7BA9">
        <w:t>sults are inconclusive, symptom</w:t>
      </w:r>
      <w:r w:rsidR="00C12C5F">
        <w:t xml:space="preserve"> profiling could be of value for clinicians, </w:t>
      </w:r>
      <w:r w:rsidR="001F7BA9">
        <w:t xml:space="preserve">public health professionals and epidemiologists </w:t>
      </w:r>
      <w:r w:rsidR="00C12C5F">
        <w:t>to</w:t>
      </w:r>
      <w:r w:rsidR="00955BB4">
        <w:t xml:space="preserve"> distinguish likely bacterial and viral </w:t>
      </w:r>
      <w:r w:rsidR="00694420">
        <w:t>pathogens</w:t>
      </w:r>
      <w:r w:rsidR="00955BB4">
        <w:t xml:space="preserve"> to</w:t>
      </w:r>
      <w:r w:rsidR="00C12C5F">
        <w:t xml:space="preserve"> guide the management of cases and outbreaks of IID. </w:t>
      </w:r>
    </w:p>
    <w:p w14:paraId="12BE0AEA" w14:textId="77777777" w:rsidR="00EA3F51" w:rsidRDefault="00EA3F51" w:rsidP="00F54E4D">
      <w:pPr>
        <w:spacing w:after="0" w:line="480" w:lineRule="auto"/>
      </w:pPr>
    </w:p>
    <w:p w14:paraId="4ADC2815" w14:textId="50AC19A5" w:rsidR="0091243F" w:rsidRPr="0091243F" w:rsidRDefault="0091243F" w:rsidP="00F54E4D">
      <w:pPr>
        <w:spacing w:after="0" w:line="480" w:lineRule="auto"/>
        <w:rPr>
          <w:b/>
        </w:rPr>
      </w:pPr>
      <w:r w:rsidRPr="0091243F">
        <w:rPr>
          <w:b/>
        </w:rPr>
        <w:t>Financial support</w:t>
      </w:r>
    </w:p>
    <w:p w14:paraId="227DD6F4" w14:textId="70EDF96A" w:rsidR="0091243F" w:rsidRDefault="0091243F" w:rsidP="00F54E4D">
      <w:pPr>
        <w:spacing w:after="0" w:line="480" w:lineRule="auto"/>
      </w:pPr>
      <w:r>
        <w:t>This research was funded by the National Institute for Health Research Health Protection Research Unit (NIHR HPRU) in Gastrointestinal Infections at University of Liverpool in partnership with Public Health England (PHE), in collaboration with University of East Anglia, University of Oxford and the Quadram Institute [Grant number NIHR HPRU 2012-10038].</w:t>
      </w:r>
    </w:p>
    <w:p w14:paraId="27D9FD67" w14:textId="77777777" w:rsidR="0091243F" w:rsidRDefault="0091243F" w:rsidP="00F54E4D">
      <w:pPr>
        <w:spacing w:after="0" w:line="480" w:lineRule="auto"/>
      </w:pPr>
    </w:p>
    <w:p w14:paraId="156058B6" w14:textId="57E33C1B" w:rsidR="0091243F" w:rsidRPr="0091243F" w:rsidRDefault="0091243F" w:rsidP="00F54E4D">
      <w:pPr>
        <w:spacing w:after="0" w:line="480" w:lineRule="auto"/>
        <w:rPr>
          <w:b/>
        </w:rPr>
      </w:pPr>
      <w:r w:rsidRPr="0091243F">
        <w:rPr>
          <w:b/>
        </w:rPr>
        <w:t>Declaration of interest</w:t>
      </w:r>
    </w:p>
    <w:p w14:paraId="1979273E" w14:textId="3A40548E" w:rsidR="0091243F" w:rsidRDefault="0091243F" w:rsidP="00F54E4D">
      <w:pPr>
        <w:spacing w:after="0" w:line="480" w:lineRule="auto"/>
      </w:pPr>
      <w:r>
        <w:t>None.</w:t>
      </w:r>
    </w:p>
    <w:p w14:paraId="079B3C29" w14:textId="77777777" w:rsidR="0091243F" w:rsidRDefault="0091243F" w:rsidP="00F54E4D">
      <w:pPr>
        <w:spacing w:after="0" w:line="480" w:lineRule="auto"/>
        <w:rPr>
          <w:b/>
        </w:rPr>
      </w:pPr>
    </w:p>
    <w:p w14:paraId="2C332C96" w14:textId="52BCB152" w:rsidR="00CC5316" w:rsidRDefault="0025252D" w:rsidP="00F54E4D">
      <w:pPr>
        <w:spacing w:after="0" w:line="480" w:lineRule="auto"/>
        <w:rPr>
          <w:b/>
        </w:rPr>
      </w:pPr>
      <w:r w:rsidRPr="00BF234A">
        <w:rPr>
          <w:b/>
        </w:rPr>
        <w:t>References</w:t>
      </w:r>
    </w:p>
    <w:p w14:paraId="21A17F51" w14:textId="6D861C78" w:rsidR="00963D9C" w:rsidRPr="00963D9C" w:rsidRDefault="0086180D" w:rsidP="00963D9C">
      <w:pPr>
        <w:pStyle w:val="Bibliography"/>
        <w:rPr>
          <w:rFonts w:ascii="Calibri" w:hAnsi="Calibri" w:cs="Calibri"/>
          <w:szCs w:val="24"/>
        </w:rPr>
      </w:pPr>
      <w:r>
        <w:fldChar w:fldCharType="begin"/>
      </w:r>
      <w:r w:rsidR="00963D9C">
        <w:instrText xml:space="preserve"> ADDIN ZOTERO_BIBL {"uncited":[],"omitted":[],"custom":[]} CSL_BIBLIOGRAPHY </w:instrText>
      </w:r>
      <w:r>
        <w:fldChar w:fldCharType="separate"/>
      </w:r>
      <w:r w:rsidR="00963D9C" w:rsidRPr="00963D9C">
        <w:rPr>
          <w:rFonts w:ascii="Calibri" w:hAnsi="Calibri" w:cs="Calibri"/>
          <w:szCs w:val="24"/>
        </w:rPr>
        <w:t>1.</w:t>
      </w:r>
      <w:r w:rsidR="00963D9C" w:rsidRPr="00963D9C">
        <w:rPr>
          <w:rFonts w:ascii="Calibri" w:hAnsi="Calibri" w:cs="Calibri"/>
          <w:szCs w:val="24"/>
        </w:rPr>
        <w:tab/>
      </w:r>
      <w:r w:rsidR="00963D9C" w:rsidRPr="00EA49F8">
        <w:rPr>
          <w:rFonts w:ascii="Calibri" w:hAnsi="Calibri" w:cs="Calibri"/>
          <w:b/>
          <w:szCs w:val="24"/>
        </w:rPr>
        <w:t>Tam C</w:t>
      </w:r>
      <w:r w:rsidR="00963D9C">
        <w:rPr>
          <w:rFonts w:ascii="Calibri" w:hAnsi="Calibri" w:cs="Calibri"/>
          <w:b/>
          <w:szCs w:val="24"/>
        </w:rPr>
        <w:t>C</w:t>
      </w:r>
      <w:r w:rsidR="00963D9C" w:rsidRPr="00EA49F8">
        <w:rPr>
          <w:rFonts w:ascii="Calibri" w:hAnsi="Calibri" w:cs="Calibri"/>
          <w:b/>
          <w:szCs w:val="24"/>
        </w:rPr>
        <w:t xml:space="preserve">, </w:t>
      </w:r>
      <w:r w:rsidR="00963D9C" w:rsidRPr="00EA49F8">
        <w:rPr>
          <w:rFonts w:ascii="Calibri" w:hAnsi="Calibri" w:cs="Calibri"/>
          <w:b/>
          <w:i/>
          <w:szCs w:val="24"/>
        </w:rPr>
        <w:t>et al</w:t>
      </w:r>
      <w:r w:rsidR="00963D9C" w:rsidRPr="00EA49F8">
        <w:rPr>
          <w:rFonts w:ascii="Calibri" w:hAnsi="Calibri" w:cs="Calibri"/>
          <w:b/>
          <w:szCs w:val="24"/>
        </w:rPr>
        <w:t>.</w:t>
      </w:r>
      <w:r w:rsidR="00963D9C">
        <w:rPr>
          <w:rFonts w:ascii="Calibri" w:hAnsi="Calibri" w:cs="Calibri"/>
          <w:szCs w:val="24"/>
        </w:rPr>
        <w:t xml:space="preserve"> The second study of infectious intestinal disease in the community (IID2 study). UK Food Standards Agency, 2012; project no B18021</w:t>
      </w:r>
      <w:r w:rsidR="00963D9C" w:rsidRPr="00E77220">
        <w:rPr>
          <w:rFonts w:ascii="Calibri" w:hAnsi="Calibri" w:cs="Calibri"/>
          <w:szCs w:val="24"/>
        </w:rPr>
        <w:t>.</w:t>
      </w:r>
      <w:r w:rsidR="00963D9C" w:rsidRPr="00963D9C">
        <w:rPr>
          <w:rFonts w:ascii="Calibri" w:hAnsi="Calibri" w:cs="Calibri"/>
          <w:szCs w:val="24"/>
        </w:rPr>
        <w:t xml:space="preserve"> </w:t>
      </w:r>
    </w:p>
    <w:p w14:paraId="4B9DFCF9" w14:textId="77777777" w:rsidR="00963D9C" w:rsidRDefault="00963D9C" w:rsidP="00963D9C">
      <w:pPr>
        <w:pStyle w:val="Bibliography"/>
        <w:rPr>
          <w:rFonts w:ascii="Calibri" w:hAnsi="Calibri" w:cs="Calibri"/>
          <w:szCs w:val="24"/>
        </w:rPr>
      </w:pPr>
      <w:r w:rsidRPr="00963D9C">
        <w:rPr>
          <w:rFonts w:ascii="Calibri" w:hAnsi="Calibri" w:cs="Calibri"/>
          <w:szCs w:val="24"/>
        </w:rPr>
        <w:t>2.</w:t>
      </w:r>
      <w:r w:rsidRPr="00963D9C">
        <w:rPr>
          <w:rFonts w:ascii="Calibri" w:hAnsi="Calibri" w:cs="Calibri"/>
          <w:szCs w:val="24"/>
        </w:rPr>
        <w:tab/>
      </w:r>
      <w:r w:rsidRPr="00963D9C">
        <w:rPr>
          <w:rFonts w:ascii="Calibri" w:hAnsi="Calibri" w:cs="Calibri"/>
          <w:b/>
          <w:bCs/>
          <w:szCs w:val="24"/>
        </w:rPr>
        <w:t xml:space="preserve">Wall PG, </w:t>
      </w:r>
      <w:r w:rsidRPr="00963D9C">
        <w:rPr>
          <w:rFonts w:ascii="Calibri" w:hAnsi="Calibri" w:cs="Calibri"/>
          <w:b/>
          <w:bCs/>
          <w:i/>
          <w:iCs/>
          <w:szCs w:val="24"/>
        </w:rPr>
        <w:t>et al.</w:t>
      </w:r>
      <w:r w:rsidRPr="00963D9C">
        <w:rPr>
          <w:rFonts w:ascii="Calibri" w:hAnsi="Calibri" w:cs="Calibri"/>
          <w:szCs w:val="24"/>
        </w:rPr>
        <w:t xml:space="preserve"> Food poisoning: notifications, laboratory reports, and outbreaks--where do the statistics come from and what do they mean? </w:t>
      </w:r>
      <w:r w:rsidRPr="00963D9C">
        <w:rPr>
          <w:rFonts w:ascii="Calibri" w:hAnsi="Calibri" w:cs="Calibri"/>
          <w:i/>
          <w:iCs/>
          <w:szCs w:val="24"/>
        </w:rPr>
        <w:t>Communicable disease report. CDR review</w:t>
      </w:r>
      <w:r w:rsidRPr="00963D9C">
        <w:rPr>
          <w:rFonts w:ascii="Calibri" w:hAnsi="Calibri" w:cs="Calibri"/>
          <w:szCs w:val="24"/>
        </w:rPr>
        <w:t xml:space="preserve"> 1996; </w:t>
      </w:r>
      <w:r w:rsidRPr="00963D9C">
        <w:rPr>
          <w:rFonts w:ascii="Calibri" w:hAnsi="Calibri" w:cs="Calibri"/>
          <w:b/>
          <w:bCs/>
          <w:szCs w:val="24"/>
        </w:rPr>
        <w:t>6</w:t>
      </w:r>
      <w:r w:rsidRPr="00963D9C">
        <w:rPr>
          <w:rFonts w:ascii="Calibri" w:hAnsi="Calibri" w:cs="Calibri"/>
          <w:szCs w:val="24"/>
        </w:rPr>
        <w:t xml:space="preserve">: R93-100. </w:t>
      </w:r>
    </w:p>
    <w:p w14:paraId="0993DACB" w14:textId="0BD22004" w:rsidR="00963D9C" w:rsidRDefault="00963D9C" w:rsidP="00963D9C">
      <w:pPr>
        <w:pStyle w:val="Bibliography"/>
        <w:rPr>
          <w:rFonts w:ascii="Calibri" w:hAnsi="Calibri" w:cs="Calibri"/>
          <w:szCs w:val="24"/>
        </w:rPr>
      </w:pPr>
      <w:r w:rsidRPr="00963D9C">
        <w:rPr>
          <w:rFonts w:ascii="Calibri" w:hAnsi="Calibri" w:cs="Calibri"/>
          <w:szCs w:val="24"/>
        </w:rPr>
        <w:t>3.</w:t>
      </w:r>
      <w:r w:rsidRPr="00963D9C">
        <w:rPr>
          <w:rFonts w:ascii="Calibri" w:hAnsi="Calibri" w:cs="Calibri"/>
          <w:b/>
          <w:szCs w:val="24"/>
        </w:rPr>
        <w:tab/>
        <w:t xml:space="preserve">Elliot AJ, </w:t>
      </w:r>
      <w:r w:rsidRPr="00963D9C">
        <w:rPr>
          <w:rFonts w:ascii="Calibri" w:hAnsi="Calibri" w:cs="Calibri"/>
          <w:b/>
          <w:i/>
          <w:szCs w:val="24"/>
        </w:rPr>
        <w:t>et al</w:t>
      </w:r>
      <w:r w:rsidRPr="00963D9C">
        <w:rPr>
          <w:rFonts w:ascii="Calibri" w:hAnsi="Calibri" w:cs="Calibri"/>
          <w:b/>
          <w:szCs w:val="24"/>
        </w:rPr>
        <w:t>.</w:t>
      </w:r>
      <w:r>
        <w:rPr>
          <w:rFonts w:ascii="Calibri" w:hAnsi="Calibri" w:cs="Calibri"/>
          <w:szCs w:val="24"/>
        </w:rPr>
        <w:t xml:space="preserve"> </w:t>
      </w:r>
      <w:r w:rsidRPr="00963D9C">
        <w:rPr>
          <w:rFonts w:ascii="Calibri" w:hAnsi="Calibri" w:cs="Calibri"/>
          <w:iCs/>
          <w:szCs w:val="24"/>
        </w:rPr>
        <w:t>Syndromic surveillance – a public health legacy of the London 20</w:t>
      </w:r>
      <w:r>
        <w:rPr>
          <w:rFonts w:ascii="Calibri" w:hAnsi="Calibri" w:cs="Calibri"/>
          <w:iCs/>
          <w:szCs w:val="24"/>
        </w:rPr>
        <w:t xml:space="preserve">12 Olympic and Paralympic Games. </w:t>
      </w:r>
      <w:r w:rsidRPr="00963D9C">
        <w:rPr>
          <w:rFonts w:ascii="Calibri" w:hAnsi="Calibri" w:cs="Calibri"/>
          <w:i/>
          <w:iCs/>
          <w:szCs w:val="24"/>
        </w:rPr>
        <w:t>Public Health</w:t>
      </w:r>
      <w:r>
        <w:rPr>
          <w:rFonts w:ascii="Calibri" w:hAnsi="Calibri" w:cs="Calibri"/>
          <w:iCs/>
          <w:szCs w:val="24"/>
        </w:rPr>
        <w:t xml:space="preserve"> 2013; </w:t>
      </w:r>
      <w:r w:rsidRPr="00963D9C">
        <w:rPr>
          <w:rFonts w:ascii="Calibri" w:hAnsi="Calibri" w:cs="Calibri"/>
          <w:b/>
          <w:iCs/>
          <w:szCs w:val="24"/>
        </w:rPr>
        <w:t>127</w:t>
      </w:r>
      <w:r>
        <w:rPr>
          <w:rFonts w:ascii="Calibri" w:hAnsi="Calibri" w:cs="Calibri"/>
          <w:iCs/>
          <w:szCs w:val="24"/>
        </w:rPr>
        <w:t>: 777-781.</w:t>
      </w:r>
    </w:p>
    <w:p w14:paraId="75FD43C2" w14:textId="47EBE720" w:rsidR="00963D9C" w:rsidRPr="00963D9C" w:rsidRDefault="00963D9C" w:rsidP="00963D9C">
      <w:pPr>
        <w:pStyle w:val="Bibliography"/>
        <w:rPr>
          <w:rFonts w:ascii="Calibri" w:hAnsi="Calibri" w:cs="Calibri"/>
          <w:szCs w:val="24"/>
        </w:rPr>
      </w:pPr>
      <w:r w:rsidRPr="00963D9C">
        <w:rPr>
          <w:rFonts w:ascii="Calibri" w:hAnsi="Calibri" w:cs="Calibri"/>
          <w:szCs w:val="24"/>
        </w:rPr>
        <w:t>4.</w:t>
      </w:r>
      <w:r w:rsidRPr="00963D9C">
        <w:rPr>
          <w:rFonts w:ascii="Calibri" w:hAnsi="Calibri" w:cs="Calibri"/>
          <w:szCs w:val="24"/>
        </w:rPr>
        <w:tab/>
      </w:r>
      <w:r w:rsidR="00C254F5">
        <w:rPr>
          <w:rFonts w:ascii="Calibri" w:hAnsi="Calibri" w:cs="Calibri"/>
          <w:b/>
          <w:bCs/>
          <w:szCs w:val="24"/>
        </w:rPr>
        <w:t>UK</w:t>
      </w:r>
      <w:r w:rsidR="00C254F5" w:rsidRPr="00E77220">
        <w:rPr>
          <w:rFonts w:ascii="Calibri" w:hAnsi="Calibri" w:cs="Calibri"/>
          <w:b/>
          <w:bCs/>
          <w:szCs w:val="24"/>
        </w:rPr>
        <w:t xml:space="preserve"> Food Standards Agency</w:t>
      </w:r>
      <w:r w:rsidR="00C254F5" w:rsidRPr="00E77220">
        <w:rPr>
          <w:rFonts w:ascii="Calibri" w:hAnsi="Calibri" w:cs="Calibri"/>
          <w:szCs w:val="24"/>
        </w:rPr>
        <w:t xml:space="preserve">. </w:t>
      </w:r>
      <w:r w:rsidR="00C254F5" w:rsidRPr="00EA49F8">
        <w:rPr>
          <w:rFonts w:ascii="Calibri" w:hAnsi="Calibri" w:cs="Calibri"/>
          <w:iCs/>
          <w:szCs w:val="24"/>
        </w:rPr>
        <w:t>A report of the study of infectious intestinal disease in England.</w:t>
      </w:r>
      <w:r w:rsidR="00C254F5" w:rsidRPr="00EA49F8">
        <w:rPr>
          <w:rFonts w:ascii="Calibri" w:hAnsi="Calibri" w:cs="Calibri"/>
          <w:szCs w:val="24"/>
        </w:rPr>
        <w:t xml:space="preserve"> </w:t>
      </w:r>
      <w:r w:rsidR="00C254F5" w:rsidRPr="00E77220">
        <w:rPr>
          <w:rFonts w:ascii="Calibri" w:hAnsi="Calibri" w:cs="Calibri"/>
          <w:szCs w:val="24"/>
        </w:rPr>
        <w:t>London: Stationery Office, 2000.</w:t>
      </w:r>
      <w:r w:rsidRPr="00963D9C">
        <w:rPr>
          <w:rFonts w:ascii="Calibri" w:hAnsi="Calibri" w:cs="Calibri"/>
          <w:szCs w:val="24"/>
        </w:rPr>
        <w:t xml:space="preserve"> </w:t>
      </w:r>
    </w:p>
    <w:p w14:paraId="101D6D6E" w14:textId="7DF47623" w:rsidR="00963D9C" w:rsidRPr="00963D9C" w:rsidRDefault="00963D9C" w:rsidP="00963D9C">
      <w:pPr>
        <w:pStyle w:val="Bibliography"/>
        <w:rPr>
          <w:rFonts w:ascii="Calibri" w:hAnsi="Calibri" w:cs="Calibri"/>
          <w:szCs w:val="24"/>
        </w:rPr>
      </w:pPr>
      <w:r w:rsidRPr="00963D9C">
        <w:rPr>
          <w:rFonts w:ascii="Calibri" w:hAnsi="Calibri" w:cs="Calibri"/>
          <w:szCs w:val="24"/>
        </w:rPr>
        <w:t>5.</w:t>
      </w:r>
      <w:r w:rsidRPr="00963D9C">
        <w:rPr>
          <w:rFonts w:ascii="Calibri" w:hAnsi="Calibri" w:cs="Calibri"/>
          <w:szCs w:val="24"/>
        </w:rPr>
        <w:tab/>
      </w:r>
      <w:r w:rsidR="00C254F5" w:rsidRPr="00D232EC">
        <w:rPr>
          <w:rFonts w:ascii="Calibri" w:hAnsi="Calibri" w:cs="Calibri"/>
          <w:b/>
          <w:szCs w:val="24"/>
        </w:rPr>
        <w:t xml:space="preserve">De </w:t>
      </w:r>
      <w:r w:rsidR="00C254F5">
        <w:rPr>
          <w:rFonts w:ascii="Calibri" w:hAnsi="Calibri" w:cs="Calibri"/>
          <w:b/>
          <w:bCs/>
          <w:szCs w:val="24"/>
        </w:rPr>
        <w:t>Wit MA</w:t>
      </w:r>
      <w:r w:rsidR="00C254F5" w:rsidRPr="00E77220">
        <w:rPr>
          <w:rFonts w:ascii="Calibri" w:hAnsi="Calibri" w:cs="Calibri"/>
          <w:b/>
          <w:bCs/>
          <w:szCs w:val="24"/>
        </w:rPr>
        <w:t xml:space="preserve">, </w:t>
      </w:r>
      <w:r w:rsidR="00C254F5" w:rsidRPr="00E77220">
        <w:rPr>
          <w:rFonts w:ascii="Calibri" w:hAnsi="Calibri" w:cs="Calibri"/>
          <w:b/>
          <w:bCs/>
          <w:i/>
          <w:iCs/>
          <w:szCs w:val="24"/>
        </w:rPr>
        <w:t>et al.</w:t>
      </w:r>
      <w:r w:rsidR="00C254F5">
        <w:rPr>
          <w:rFonts w:ascii="Calibri" w:hAnsi="Calibri" w:cs="Calibri"/>
          <w:szCs w:val="24"/>
        </w:rPr>
        <w:t xml:space="preserve"> Sensor, a population-based cohort study on g</w:t>
      </w:r>
      <w:r w:rsidR="00C254F5" w:rsidRPr="00E77220">
        <w:rPr>
          <w:rFonts w:ascii="Calibri" w:hAnsi="Calibri" w:cs="Calibri"/>
          <w:szCs w:val="24"/>
        </w:rPr>
        <w:t>astr</w:t>
      </w:r>
      <w:r w:rsidR="00C254F5">
        <w:rPr>
          <w:rFonts w:ascii="Calibri" w:hAnsi="Calibri" w:cs="Calibri"/>
          <w:szCs w:val="24"/>
        </w:rPr>
        <w:t>oenteritis in the Netherlands: incidence and e</w:t>
      </w:r>
      <w:r w:rsidR="00C254F5" w:rsidRPr="00E77220">
        <w:rPr>
          <w:rFonts w:ascii="Calibri" w:hAnsi="Calibri" w:cs="Calibri"/>
          <w:szCs w:val="24"/>
        </w:rPr>
        <w:t xml:space="preserve">tiology. </w:t>
      </w:r>
      <w:r w:rsidR="00C254F5" w:rsidRPr="00E77220">
        <w:rPr>
          <w:rFonts w:ascii="Calibri" w:hAnsi="Calibri" w:cs="Calibri"/>
          <w:i/>
          <w:iCs/>
          <w:szCs w:val="24"/>
        </w:rPr>
        <w:t>American Journal of Epidemiology</w:t>
      </w:r>
      <w:r w:rsidR="00C254F5" w:rsidRPr="00E77220">
        <w:rPr>
          <w:rFonts w:ascii="Calibri" w:hAnsi="Calibri" w:cs="Calibri"/>
          <w:szCs w:val="24"/>
        </w:rPr>
        <w:t xml:space="preserve"> 2001; </w:t>
      </w:r>
      <w:r w:rsidR="00C254F5" w:rsidRPr="00E77220">
        <w:rPr>
          <w:rFonts w:ascii="Calibri" w:hAnsi="Calibri" w:cs="Calibri"/>
          <w:b/>
          <w:bCs/>
          <w:szCs w:val="24"/>
        </w:rPr>
        <w:t>154</w:t>
      </w:r>
      <w:r w:rsidR="00C254F5" w:rsidRPr="00E77220">
        <w:rPr>
          <w:rFonts w:ascii="Calibri" w:hAnsi="Calibri" w:cs="Calibri"/>
          <w:szCs w:val="24"/>
        </w:rPr>
        <w:t>: 666–674.</w:t>
      </w:r>
      <w:r w:rsidRPr="00963D9C">
        <w:rPr>
          <w:rFonts w:ascii="Calibri" w:hAnsi="Calibri" w:cs="Calibri"/>
          <w:szCs w:val="24"/>
        </w:rPr>
        <w:t xml:space="preserve"> </w:t>
      </w:r>
    </w:p>
    <w:p w14:paraId="53FBC37E" w14:textId="27D809C2" w:rsidR="00963D9C" w:rsidRPr="00963D9C" w:rsidRDefault="00963D9C" w:rsidP="00963D9C">
      <w:pPr>
        <w:pStyle w:val="Bibliography"/>
        <w:rPr>
          <w:rFonts w:ascii="Calibri" w:hAnsi="Calibri" w:cs="Calibri"/>
          <w:szCs w:val="24"/>
        </w:rPr>
      </w:pPr>
      <w:r w:rsidRPr="00963D9C">
        <w:rPr>
          <w:rFonts w:ascii="Calibri" w:hAnsi="Calibri" w:cs="Calibri"/>
          <w:szCs w:val="24"/>
        </w:rPr>
        <w:t>6.</w:t>
      </w:r>
      <w:r w:rsidRPr="00963D9C">
        <w:rPr>
          <w:rFonts w:ascii="Calibri" w:hAnsi="Calibri" w:cs="Calibri"/>
          <w:szCs w:val="24"/>
        </w:rPr>
        <w:tab/>
      </w:r>
      <w:r w:rsidR="00C254F5" w:rsidRPr="00E77220">
        <w:rPr>
          <w:rFonts w:ascii="Calibri" w:hAnsi="Calibri" w:cs="Calibri"/>
          <w:b/>
          <w:bCs/>
          <w:szCs w:val="24"/>
        </w:rPr>
        <w:t xml:space="preserve">Atchison CJ, </w:t>
      </w:r>
      <w:r w:rsidR="00C254F5" w:rsidRPr="00E77220">
        <w:rPr>
          <w:rFonts w:ascii="Calibri" w:hAnsi="Calibri" w:cs="Calibri"/>
          <w:b/>
          <w:bCs/>
          <w:i/>
          <w:iCs/>
          <w:szCs w:val="24"/>
        </w:rPr>
        <w:t>et al.</w:t>
      </w:r>
      <w:r w:rsidR="00C254F5" w:rsidRPr="00E77220">
        <w:rPr>
          <w:rFonts w:ascii="Calibri" w:hAnsi="Calibri" w:cs="Calibri"/>
          <w:szCs w:val="24"/>
        </w:rPr>
        <w:t xml:space="preserve"> Clinical laboratory practices for the detection of rotavirus in England and Wales: can surveillance based on routine laboratory testing data be used to evaluate the impact of vaccination? </w:t>
      </w:r>
      <w:r w:rsidR="00C254F5">
        <w:rPr>
          <w:rFonts w:ascii="Calibri" w:hAnsi="Calibri" w:cs="Calibri"/>
          <w:i/>
          <w:iCs/>
          <w:szCs w:val="24"/>
        </w:rPr>
        <w:t>Euro</w:t>
      </w:r>
      <w:r w:rsidR="00C254F5" w:rsidRPr="00E77220">
        <w:rPr>
          <w:rFonts w:ascii="Calibri" w:hAnsi="Calibri" w:cs="Calibri"/>
          <w:i/>
          <w:iCs/>
          <w:szCs w:val="24"/>
        </w:rPr>
        <w:t>surveillance</w:t>
      </w:r>
      <w:r w:rsidR="00C254F5">
        <w:rPr>
          <w:rFonts w:ascii="Calibri" w:hAnsi="Calibri" w:cs="Calibri"/>
          <w:i/>
          <w:iCs/>
          <w:szCs w:val="24"/>
        </w:rPr>
        <w:t>.</w:t>
      </w:r>
      <w:r w:rsidR="00C254F5">
        <w:rPr>
          <w:rFonts w:ascii="Calibri" w:hAnsi="Calibri" w:cs="Calibri"/>
          <w:b/>
          <w:bCs/>
          <w:szCs w:val="24"/>
        </w:rPr>
        <w:t xml:space="preserve"> </w:t>
      </w:r>
      <w:r w:rsidR="00C254F5">
        <w:rPr>
          <w:rFonts w:ascii="Calibri" w:hAnsi="Calibri" w:cs="Calibri"/>
          <w:szCs w:val="24"/>
        </w:rPr>
        <w:t>Published online: 21 May 2009</w:t>
      </w:r>
      <w:r w:rsidR="00C254F5" w:rsidRPr="00E77220">
        <w:rPr>
          <w:rFonts w:ascii="Calibri" w:hAnsi="Calibri" w:cs="Calibri"/>
          <w:szCs w:val="24"/>
        </w:rPr>
        <w:t>.</w:t>
      </w:r>
      <w:r w:rsidR="00C254F5">
        <w:rPr>
          <w:rFonts w:ascii="Calibri" w:hAnsi="Calibri" w:cs="Calibri"/>
          <w:szCs w:val="24"/>
        </w:rPr>
        <w:t xml:space="preserve"> </w:t>
      </w:r>
      <w:r w:rsidR="00C254F5" w:rsidRPr="00C254F5">
        <w:t>doi.org/10.2807/ese.14.20.19217-en</w:t>
      </w:r>
    </w:p>
    <w:p w14:paraId="7C878AE4" w14:textId="5D9CEE60" w:rsidR="00963D9C" w:rsidRPr="00963D9C" w:rsidRDefault="00963D9C" w:rsidP="00963D9C">
      <w:pPr>
        <w:pStyle w:val="Bibliography"/>
        <w:rPr>
          <w:rFonts w:ascii="Calibri" w:hAnsi="Calibri" w:cs="Calibri"/>
          <w:szCs w:val="24"/>
        </w:rPr>
      </w:pPr>
      <w:r w:rsidRPr="00963D9C">
        <w:rPr>
          <w:rFonts w:ascii="Calibri" w:hAnsi="Calibri" w:cs="Calibri"/>
          <w:szCs w:val="24"/>
        </w:rPr>
        <w:t>7.</w:t>
      </w:r>
      <w:r w:rsidRPr="00963D9C">
        <w:rPr>
          <w:rFonts w:ascii="Calibri" w:hAnsi="Calibri" w:cs="Calibri"/>
          <w:szCs w:val="24"/>
        </w:rPr>
        <w:tab/>
      </w:r>
      <w:r w:rsidR="00C254F5" w:rsidRPr="00E77220">
        <w:rPr>
          <w:rFonts w:ascii="Calibri" w:hAnsi="Calibri" w:cs="Calibri"/>
          <w:b/>
          <w:bCs/>
          <w:szCs w:val="24"/>
        </w:rPr>
        <w:t>Humphries RM, Linscott AJ</w:t>
      </w:r>
      <w:r w:rsidR="00C254F5">
        <w:rPr>
          <w:rFonts w:ascii="Calibri" w:hAnsi="Calibri" w:cs="Calibri"/>
          <w:szCs w:val="24"/>
        </w:rPr>
        <w:t>. Laboratory d</w:t>
      </w:r>
      <w:r w:rsidR="00C254F5" w:rsidRPr="00E77220">
        <w:rPr>
          <w:rFonts w:ascii="Calibri" w:hAnsi="Calibri" w:cs="Calibri"/>
          <w:szCs w:val="24"/>
        </w:rPr>
        <w:t xml:space="preserve">iagnosis of </w:t>
      </w:r>
      <w:r w:rsidR="00C254F5">
        <w:rPr>
          <w:rFonts w:ascii="Calibri" w:hAnsi="Calibri" w:cs="Calibri"/>
          <w:szCs w:val="24"/>
        </w:rPr>
        <w:t>bacterial g</w:t>
      </w:r>
      <w:r w:rsidR="00C254F5" w:rsidRPr="00E77220">
        <w:rPr>
          <w:rFonts w:ascii="Calibri" w:hAnsi="Calibri" w:cs="Calibri"/>
          <w:szCs w:val="24"/>
        </w:rPr>
        <w:t xml:space="preserve">astroenteritis. </w:t>
      </w:r>
      <w:r w:rsidR="00C254F5" w:rsidRPr="00E77220">
        <w:rPr>
          <w:rFonts w:ascii="Calibri" w:hAnsi="Calibri" w:cs="Calibri"/>
          <w:i/>
          <w:iCs/>
          <w:szCs w:val="24"/>
        </w:rPr>
        <w:t>Clinical Microbiology Reviews</w:t>
      </w:r>
      <w:r w:rsidR="00C254F5" w:rsidRPr="00E77220">
        <w:rPr>
          <w:rFonts w:ascii="Calibri" w:hAnsi="Calibri" w:cs="Calibri"/>
          <w:szCs w:val="24"/>
        </w:rPr>
        <w:t xml:space="preserve"> 2015; </w:t>
      </w:r>
      <w:r w:rsidR="00C254F5" w:rsidRPr="00E77220">
        <w:rPr>
          <w:rFonts w:ascii="Calibri" w:hAnsi="Calibri" w:cs="Calibri"/>
          <w:b/>
          <w:bCs/>
          <w:szCs w:val="24"/>
        </w:rPr>
        <w:t>28</w:t>
      </w:r>
      <w:r w:rsidR="00C254F5" w:rsidRPr="00E77220">
        <w:rPr>
          <w:rFonts w:ascii="Calibri" w:hAnsi="Calibri" w:cs="Calibri"/>
          <w:szCs w:val="24"/>
        </w:rPr>
        <w:t>: 3–31.</w:t>
      </w:r>
      <w:r w:rsidRPr="00963D9C">
        <w:rPr>
          <w:rFonts w:ascii="Calibri" w:hAnsi="Calibri" w:cs="Calibri"/>
          <w:szCs w:val="24"/>
        </w:rPr>
        <w:t xml:space="preserve"> </w:t>
      </w:r>
    </w:p>
    <w:p w14:paraId="76E85006" w14:textId="21EE1C2B" w:rsidR="00963D9C" w:rsidRPr="00963D9C" w:rsidRDefault="00963D9C" w:rsidP="00963D9C">
      <w:pPr>
        <w:pStyle w:val="Bibliography"/>
        <w:rPr>
          <w:rFonts w:ascii="Calibri" w:hAnsi="Calibri" w:cs="Calibri"/>
          <w:szCs w:val="24"/>
        </w:rPr>
      </w:pPr>
      <w:r w:rsidRPr="00963D9C">
        <w:rPr>
          <w:rFonts w:ascii="Calibri" w:hAnsi="Calibri" w:cs="Calibri"/>
          <w:szCs w:val="24"/>
        </w:rPr>
        <w:t>8.</w:t>
      </w:r>
      <w:r w:rsidRPr="00963D9C">
        <w:rPr>
          <w:rFonts w:ascii="Calibri" w:hAnsi="Calibri" w:cs="Calibri"/>
          <w:szCs w:val="24"/>
        </w:rPr>
        <w:tab/>
      </w:r>
      <w:r w:rsidR="00C254F5" w:rsidRPr="00E77220">
        <w:rPr>
          <w:rFonts w:ascii="Calibri" w:hAnsi="Calibri" w:cs="Calibri"/>
          <w:b/>
          <w:bCs/>
          <w:szCs w:val="24"/>
        </w:rPr>
        <w:t>Kaplan JE</w:t>
      </w:r>
      <w:r w:rsidR="00C254F5">
        <w:rPr>
          <w:rFonts w:ascii="Calibri" w:hAnsi="Calibri" w:cs="Calibri"/>
          <w:szCs w:val="24"/>
        </w:rPr>
        <w:t>. Epidemiology of Norwalk gastroenteritis and the role of Norwalk virus in outbreaks of acute nonbacterial g</w:t>
      </w:r>
      <w:r w:rsidR="00C254F5" w:rsidRPr="00E77220">
        <w:rPr>
          <w:rFonts w:ascii="Calibri" w:hAnsi="Calibri" w:cs="Calibri"/>
          <w:szCs w:val="24"/>
        </w:rPr>
        <w:t xml:space="preserve">astroenteritis. </w:t>
      </w:r>
      <w:r w:rsidR="00C254F5" w:rsidRPr="00E77220">
        <w:rPr>
          <w:rFonts w:ascii="Calibri" w:hAnsi="Calibri" w:cs="Calibri"/>
          <w:i/>
          <w:iCs/>
          <w:szCs w:val="24"/>
        </w:rPr>
        <w:t>Annals of Internal Medicine</w:t>
      </w:r>
      <w:r w:rsidR="00C254F5" w:rsidRPr="00E77220">
        <w:rPr>
          <w:rFonts w:ascii="Calibri" w:hAnsi="Calibri" w:cs="Calibri"/>
          <w:szCs w:val="24"/>
        </w:rPr>
        <w:t xml:space="preserve"> 1982; </w:t>
      </w:r>
      <w:r w:rsidR="00C254F5" w:rsidRPr="00E77220">
        <w:rPr>
          <w:rFonts w:ascii="Calibri" w:hAnsi="Calibri" w:cs="Calibri"/>
          <w:b/>
          <w:bCs/>
          <w:szCs w:val="24"/>
        </w:rPr>
        <w:t>96</w:t>
      </w:r>
      <w:r w:rsidR="00C254F5" w:rsidRPr="00E77220">
        <w:rPr>
          <w:rFonts w:ascii="Calibri" w:hAnsi="Calibri" w:cs="Calibri"/>
          <w:szCs w:val="24"/>
        </w:rPr>
        <w:t>: 756</w:t>
      </w:r>
      <w:r w:rsidR="00993B89">
        <w:rPr>
          <w:rFonts w:ascii="Calibri" w:hAnsi="Calibri" w:cs="Calibri"/>
          <w:szCs w:val="24"/>
        </w:rPr>
        <w:t>-761</w:t>
      </w:r>
      <w:r w:rsidR="00C254F5" w:rsidRPr="00E77220">
        <w:rPr>
          <w:rFonts w:ascii="Calibri" w:hAnsi="Calibri" w:cs="Calibri"/>
          <w:szCs w:val="24"/>
        </w:rPr>
        <w:t>.</w:t>
      </w:r>
      <w:r w:rsidRPr="00963D9C">
        <w:rPr>
          <w:rFonts w:ascii="Calibri" w:hAnsi="Calibri" w:cs="Calibri"/>
          <w:szCs w:val="24"/>
        </w:rPr>
        <w:t xml:space="preserve"> </w:t>
      </w:r>
    </w:p>
    <w:p w14:paraId="4952F87B" w14:textId="0CD00F3B" w:rsidR="00963D9C" w:rsidRPr="00963D9C" w:rsidRDefault="00963D9C" w:rsidP="00963D9C">
      <w:pPr>
        <w:pStyle w:val="Bibliography"/>
        <w:rPr>
          <w:rFonts w:ascii="Calibri" w:hAnsi="Calibri" w:cs="Calibri"/>
          <w:szCs w:val="24"/>
        </w:rPr>
      </w:pPr>
      <w:r w:rsidRPr="00963D9C">
        <w:rPr>
          <w:rFonts w:ascii="Calibri" w:hAnsi="Calibri" w:cs="Calibri"/>
          <w:szCs w:val="24"/>
        </w:rPr>
        <w:t>9.</w:t>
      </w:r>
      <w:r w:rsidRPr="00963D9C">
        <w:rPr>
          <w:rFonts w:ascii="Calibri" w:hAnsi="Calibri" w:cs="Calibri"/>
          <w:szCs w:val="24"/>
        </w:rPr>
        <w:tab/>
      </w:r>
      <w:r w:rsidR="00C254F5" w:rsidRPr="00E77220">
        <w:rPr>
          <w:rFonts w:ascii="Calibri" w:hAnsi="Calibri" w:cs="Calibri"/>
          <w:b/>
          <w:bCs/>
          <w:szCs w:val="24"/>
        </w:rPr>
        <w:t xml:space="preserve">Turcios RM, </w:t>
      </w:r>
      <w:r w:rsidR="00C254F5" w:rsidRPr="00E77220">
        <w:rPr>
          <w:rFonts w:ascii="Calibri" w:hAnsi="Calibri" w:cs="Calibri"/>
          <w:b/>
          <w:bCs/>
          <w:i/>
          <w:iCs/>
          <w:szCs w:val="24"/>
        </w:rPr>
        <w:t>et al.</w:t>
      </w:r>
      <w:r w:rsidR="00C254F5">
        <w:rPr>
          <w:rFonts w:ascii="Calibri" w:hAnsi="Calibri" w:cs="Calibri"/>
          <w:szCs w:val="24"/>
        </w:rPr>
        <w:t xml:space="preserve"> Reevaluation of epidemiological criteria for identifying outbreaks of acute gastroenteritis due to n</w:t>
      </w:r>
      <w:r w:rsidR="00C254F5" w:rsidRPr="00E77220">
        <w:rPr>
          <w:rFonts w:ascii="Calibri" w:hAnsi="Calibri" w:cs="Calibri"/>
          <w:szCs w:val="24"/>
        </w:rPr>
        <w:t xml:space="preserve">orovirus: United States, 1998–2000. </w:t>
      </w:r>
      <w:r w:rsidR="00C254F5" w:rsidRPr="00E77220">
        <w:rPr>
          <w:rFonts w:ascii="Calibri" w:hAnsi="Calibri" w:cs="Calibri"/>
          <w:i/>
          <w:iCs/>
          <w:szCs w:val="24"/>
        </w:rPr>
        <w:t>Clinical Infectious Diseases</w:t>
      </w:r>
      <w:r w:rsidR="00C254F5" w:rsidRPr="00E77220">
        <w:rPr>
          <w:rFonts w:ascii="Calibri" w:hAnsi="Calibri" w:cs="Calibri"/>
          <w:szCs w:val="24"/>
        </w:rPr>
        <w:t xml:space="preserve"> 2006; </w:t>
      </w:r>
      <w:r w:rsidR="00C254F5" w:rsidRPr="00E77220">
        <w:rPr>
          <w:rFonts w:ascii="Calibri" w:hAnsi="Calibri" w:cs="Calibri"/>
          <w:b/>
          <w:bCs/>
          <w:szCs w:val="24"/>
        </w:rPr>
        <w:t>42</w:t>
      </w:r>
      <w:r w:rsidR="00C254F5" w:rsidRPr="00E77220">
        <w:rPr>
          <w:rFonts w:ascii="Calibri" w:hAnsi="Calibri" w:cs="Calibri"/>
          <w:szCs w:val="24"/>
        </w:rPr>
        <w:t>: 964–969.</w:t>
      </w:r>
      <w:r w:rsidRPr="00963D9C">
        <w:rPr>
          <w:rFonts w:ascii="Calibri" w:hAnsi="Calibri" w:cs="Calibri"/>
          <w:szCs w:val="24"/>
        </w:rPr>
        <w:t xml:space="preserve"> </w:t>
      </w:r>
    </w:p>
    <w:p w14:paraId="0F135BBB" w14:textId="07F293DC" w:rsidR="00963D9C" w:rsidRPr="00963D9C" w:rsidRDefault="00963D9C" w:rsidP="00963D9C">
      <w:pPr>
        <w:pStyle w:val="Bibliography"/>
        <w:rPr>
          <w:rFonts w:ascii="Calibri" w:hAnsi="Calibri" w:cs="Calibri"/>
          <w:szCs w:val="24"/>
        </w:rPr>
      </w:pPr>
      <w:r w:rsidRPr="00963D9C">
        <w:rPr>
          <w:rFonts w:ascii="Calibri" w:hAnsi="Calibri" w:cs="Calibri"/>
          <w:szCs w:val="24"/>
        </w:rPr>
        <w:t>10.</w:t>
      </w:r>
      <w:r w:rsidRPr="00963D9C">
        <w:rPr>
          <w:rFonts w:ascii="Calibri" w:hAnsi="Calibri" w:cs="Calibri"/>
          <w:szCs w:val="24"/>
        </w:rPr>
        <w:tab/>
      </w:r>
      <w:r w:rsidR="00C254F5" w:rsidRPr="00E77220">
        <w:rPr>
          <w:rFonts w:ascii="Calibri" w:hAnsi="Calibri" w:cs="Calibri"/>
          <w:b/>
          <w:bCs/>
          <w:szCs w:val="24"/>
        </w:rPr>
        <w:t>Hedberg CW, Osterholm MT</w:t>
      </w:r>
      <w:r w:rsidR="00C254F5" w:rsidRPr="00E77220">
        <w:rPr>
          <w:rFonts w:ascii="Calibri" w:hAnsi="Calibri" w:cs="Calibri"/>
          <w:szCs w:val="24"/>
        </w:rPr>
        <w:t xml:space="preserve">. Outbreaks of food-borne and waterborne viral gastroenteritis. </w:t>
      </w:r>
      <w:r w:rsidR="00C254F5" w:rsidRPr="00E77220">
        <w:rPr>
          <w:rFonts w:ascii="Calibri" w:hAnsi="Calibri" w:cs="Calibri"/>
          <w:i/>
          <w:iCs/>
          <w:szCs w:val="24"/>
        </w:rPr>
        <w:t>Clinical Microbiology Reviews</w:t>
      </w:r>
      <w:r w:rsidR="00C254F5" w:rsidRPr="00E77220">
        <w:rPr>
          <w:rFonts w:ascii="Calibri" w:hAnsi="Calibri" w:cs="Calibri"/>
          <w:szCs w:val="24"/>
        </w:rPr>
        <w:t xml:space="preserve"> 1993; </w:t>
      </w:r>
      <w:r w:rsidR="00C254F5" w:rsidRPr="00E77220">
        <w:rPr>
          <w:rFonts w:ascii="Calibri" w:hAnsi="Calibri" w:cs="Calibri"/>
          <w:b/>
          <w:bCs/>
          <w:szCs w:val="24"/>
        </w:rPr>
        <w:t>6</w:t>
      </w:r>
      <w:r w:rsidR="00C254F5" w:rsidRPr="00E77220">
        <w:rPr>
          <w:rFonts w:ascii="Calibri" w:hAnsi="Calibri" w:cs="Calibri"/>
          <w:szCs w:val="24"/>
        </w:rPr>
        <w:t>: 199–210.</w:t>
      </w:r>
      <w:r w:rsidRPr="00963D9C">
        <w:rPr>
          <w:rFonts w:ascii="Calibri" w:hAnsi="Calibri" w:cs="Calibri"/>
          <w:szCs w:val="24"/>
        </w:rPr>
        <w:t xml:space="preserve"> </w:t>
      </w:r>
    </w:p>
    <w:p w14:paraId="74B2CEA0" w14:textId="613CCF77" w:rsidR="00963D9C" w:rsidRPr="00963D9C" w:rsidRDefault="00963D9C" w:rsidP="00963D9C">
      <w:pPr>
        <w:pStyle w:val="Bibliography"/>
        <w:rPr>
          <w:rFonts w:ascii="Calibri" w:hAnsi="Calibri" w:cs="Calibri"/>
          <w:szCs w:val="24"/>
        </w:rPr>
      </w:pPr>
      <w:r w:rsidRPr="00963D9C">
        <w:rPr>
          <w:rFonts w:ascii="Calibri" w:hAnsi="Calibri" w:cs="Calibri"/>
          <w:szCs w:val="24"/>
        </w:rPr>
        <w:t>11.</w:t>
      </w:r>
      <w:r w:rsidRPr="00963D9C">
        <w:rPr>
          <w:rFonts w:ascii="Calibri" w:hAnsi="Calibri" w:cs="Calibri"/>
          <w:szCs w:val="24"/>
        </w:rPr>
        <w:tab/>
      </w:r>
      <w:r w:rsidR="00C254F5" w:rsidRPr="00E77220">
        <w:rPr>
          <w:rFonts w:ascii="Calibri" w:hAnsi="Calibri" w:cs="Calibri"/>
          <w:b/>
          <w:bCs/>
          <w:szCs w:val="24"/>
        </w:rPr>
        <w:t xml:space="preserve">Dalton CB, </w:t>
      </w:r>
      <w:r w:rsidR="00C254F5" w:rsidRPr="00E77220">
        <w:rPr>
          <w:rFonts w:ascii="Calibri" w:hAnsi="Calibri" w:cs="Calibri"/>
          <w:b/>
          <w:bCs/>
          <w:i/>
          <w:iCs/>
          <w:szCs w:val="24"/>
        </w:rPr>
        <w:t>et al.</w:t>
      </w:r>
      <w:r w:rsidR="00C254F5" w:rsidRPr="00E77220">
        <w:rPr>
          <w:rFonts w:ascii="Calibri" w:hAnsi="Calibri" w:cs="Calibri"/>
          <w:szCs w:val="24"/>
        </w:rPr>
        <w:t xml:space="preserve"> Outbreaks of enterotoxigenic Escherichia coli infection in American adults: a clinical and epidemiologic profile. </w:t>
      </w:r>
      <w:r w:rsidR="00C254F5" w:rsidRPr="00E77220">
        <w:rPr>
          <w:rFonts w:ascii="Calibri" w:hAnsi="Calibri" w:cs="Calibri"/>
          <w:i/>
          <w:iCs/>
          <w:szCs w:val="24"/>
        </w:rPr>
        <w:t>Epidemiology &amp; Infection</w:t>
      </w:r>
      <w:r w:rsidR="00C254F5" w:rsidRPr="00E77220">
        <w:rPr>
          <w:rFonts w:ascii="Calibri" w:hAnsi="Calibri" w:cs="Calibri"/>
          <w:szCs w:val="24"/>
        </w:rPr>
        <w:t xml:space="preserve"> 1999; </w:t>
      </w:r>
      <w:r w:rsidR="00C254F5" w:rsidRPr="00E77220">
        <w:rPr>
          <w:rFonts w:ascii="Calibri" w:hAnsi="Calibri" w:cs="Calibri"/>
          <w:b/>
          <w:bCs/>
          <w:szCs w:val="24"/>
        </w:rPr>
        <w:t>123</w:t>
      </w:r>
      <w:r w:rsidR="00C254F5" w:rsidRPr="00E77220">
        <w:rPr>
          <w:rFonts w:ascii="Calibri" w:hAnsi="Calibri" w:cs="Calibri"/>
          <w:szCs w:val="24"/>
        </w:rPr>
        <w:t>: 9–16.</w:t>
      </w:r>
      <w:r w:rsidRPr="00963D9C">
        <w:rPr>
          <w:rFonts w:ascii="Calibri" w:hAnsi="Calibri" w:cs="Calibri"/>
          <w:szCs w:val="24"/>
        </w:rPr>
        <w:t xml:space="preserve"> </w:t>
      </w:r>
    </w:p>
    <w:p w14:paraId="0AADCB16" w14:textId="30E3A100" w:rsidR="00963D9C" w:rsidRPr="00963D9C" w:rsidRDefault="00963D9C" w:rsidP="00963D9C">
      <w:pPr>
        <w:pStyle w:val="Bibliography"/>
        <w:rPr>
          <w:rFonts w:ascii="Calibri" w:hAnsi="Calibri" w:cs="Calibri"/>
          <w:szCs w:val="24"/>
        </w:rPr>
      </w:pPr>
      <w:r w:rsidRPr="00963D9C">
        <w:rPr>
          <w:rFonts w:ascii="Calibri" w:hAnsi="Calibri" w:cs="Calibri"/>
          <w:szCs w:val="24"/>
        </w:rPr>
        <w:t>12.</w:t>
      </w:r>
      <w:r w:rsidRPr="00963D9C">
        <w:rPr>
          <w:rFonts w:ascii="Calibri" w:hAnsi="Calibri" w:cs="Calibri"/>
          <w:szCs w:val="24"/>
        </w:rPr>
        <w:tab/>
      </w:r>
      <w:r w:rsidR="00C254F5" w:rsidRPr="00E77220">
        <w:rPr>
          <w:rFonts w:ascii="Calibri" w:hAnsi="Calibri" w:cs="Calibri"/>
          <w:b/>
          <w:bCs/>
          <w:szCs w:val="24"/>
        </w:rPr>
        <w:t xml:space="preserve">Tam CC, </w:t>
      </w:r>
      <w:r w:rsidR="00C254F5" w:rsidRPr="00E77220">
        <w:rPr>
          <w:rFonts w:ascii="Calibri" w:hAnsi="Calibri" w:cs="Calibri"/>
          <w:b/>
          <w:bCs/>
          <w:i/>
          <w:iCs/>
          <w:szCs w:val="24"/>
        </w:rPr>
        <w:t>et al.</w:t>
      </w:r>
      <w:r w:rsidR="00C254F5" w:rsidRPr="00E77220">
        <w:rPr>
          <w:rFonts w:ascii="Calibri" w:hAnsi="Calibri" w:cs="Calibri"/>
          <w:szCs w:val="24"/>
        </w:rPr>
        <w:t xml:space="preserve"> Longitudinal study of infectious intestinal disease in the UK (IID2 study): incidence in the community and presenting to general practice. </w:t>
      </w:r>
      <w:r w:rsidR="00C254F5" w:rsidRPr="00E77220">
        <w:rPr>
          <w:rFonts w:ascii="Calibri" w:hAnsi="Calibri" w:cs="Calibri"/>
          <w:i/>
          <w:iCs/>
          <w:szCs w:val="24"/>
        </w:rPr>
        <w:t>Gut</w:t>
      </w:r>
      <w:r w:rsidR="00C254F5">
        <w:rPr>
          <w:rFonts w:ascii="Calibri" w:hAnsi="Calibri" w:cs="Calibri"/>
          <w:szCs w:val="24"/>
        </w:rPr>
        <w:t>.</w:t>
      </w:r>
      <w:r w:rsidR="00C254F5" w:rsidRPr="00E77220">
        <w:rPr>
          <w:rFonts w:ascii="Calibri" w:hAnsi="Calibri" w:cs="Calibri"/>
          <w:szCs w:val="24"/>
        </w:rPr>
        <w:t xml:space="preserve"> Published online: 1 January 2011.</w:t>
      </w:r>
      <w:r w:rsidR="00C254F5">
        <w:rPr>
          <w:rFonts w:ascii="Calibri" w:hAnsi="Calibri" w:cs="Calibri"/>
          <w:szCs w:val="24"/>
        </w:rPr>
        <w:t xml:space="preserve"> </w:t>
      </w:r>
      <w:r w:rsidR="00C254F5" w:rsidRPr="00E77220">
        <w:rPr>
          <w:rFonts w:ascii="Calibri" w:hAnsi="Calibri" w:cs="Calibri"/>
          <w:szCs w:val="24"/>
        </w:rPr>
        <w:t>doi:10.1136/gut.2011.238386.</w:t>
      </w:r>
      <w:r w:rsidRPr="00963D9C">
        <w:rPr>
          <w:rFonts w:ascii="Calibri" w:hAnsi="Calibri" w:cs="Calibri"/>
          <w:szCs w:val="24"/>
        </w:rPr>
        <w:t xml:space="preserve"> </w:t>
      </w:r>
    </w:p>
    <w:p w14:paraId="4854C151" w14:textId="47B69745" w:rsidR="00963D9C" w:rsidRPr="00963D9C" w:rsidRDefault="00963D9C" w:rsidP="00963D9C">
      <w:pPr>
        <w:pStyle w:val="Bibliography"/>
        <w:rPr>
          <w:rFonts w:ascii="Calibri" w:hAnsi="Calibri" w:cs="Calibri"/>
          <w:szCs w:val="24"/>
        </w:rPr>
      </w:pPr>
      <w:r w:rsidRPr="00963D9C">
        <w:rPr>
          <w:rFonts w:ascii="Calibri" w:hAnsi="Calibri" w:cs="Calibri"/>
          <w:szCs w:val="24"/>
        </w:rPr>
        <w:t>13.</w:t>
      </w:r>
      <w:r w:rsidRPr="00963D9C">
        <w:rPr>
          <w:rFonts w:ascii="Calibri" w:hAnsi="Calibri" w:cs="Calibri"/>
          <w:szCs w:val="24"/>
        </w:rPr>
        <w:tab/>
      </w:r>
      <w:r w:rsidR="00AF1F79" w:rsidRPr="008D6FCE">
        <w:rPr>
          <w:rFonts w:ascii="Calibri" w:hAnsi="Calibri" w:cs="Calibri"/>
          <w:b/>
          <w:iCs/>
          <w:szCs w:val="24"/>
        </w:rPr>
        <w:t>The R Project for Statistical Computing</w:t>
      </w:r>
      <w:r w:rsidR="00AF1F79" w:rsidRPr="008D6FCE">
        <w:rPr>
          <w:rFonts w:ascii="Calibri" w:hAnsi="Calibri" w:cs="Calibri"/>
          <w:b/>
          <w:szCs w:val="24"/>
        </w:rPr>
        <w:t xml:space="preserve">. </w:t>
      </w:r>
      <w:r w:rsidR="00AF1F79" w:rsidRPr="00E77220">
        <w:rPr>
          <w:rFonts w:ascii="Calibri" w:hAnsi="Calibri" w:cs="Calibri"/>
          <w:szCs w:val="24"/>
        </w:rPr>
        <w:t>(https://www.r-project.org/). Accessed 14 June 2018.</w:t>
      </w:r>
      <w:r w:rsidRPr="00963D9C">
        <w:rPr>
          <w:rFonts w:ascii="Calibri" w:hAnsi="Calibri" w:cs="Calibri"/>
          <w:szCs w:val="24"/>
        </w:rPr>
        <w:t xml:space="preserve">. </w:t>
      </w:r>
    </w:p>
    <w:p w14:paraId="76890E59" w14:textId="71F1E63A" w:rsidR="00963D9C" w:rsidRPr="00963D9C" w:rsidRDefault="00963D9C" w:rsidP="00963D9C">
      <w:pPr>
        <w:pStyle w:val="Bibliography"/>
        <w:rPr>
          <w:rFonts w:ascii="Calibri" w:hAnsi="Calibri" w:cs="Calibri"/>
          <w:szCs w:val="24"/>
        </w:rPr>
      </w:pPr>
      <w:r w:rsidRPr="00963D9C">
        <w:rPr>
          <w:rFonts w:ascii="Calibri" w:hAnsi="Calibri" w:cs="Calibri"/>
          <w:szCs w:val="24"/>
        </w:rPr>
        <w:t>14.</w:t>
      </w:r>
      <w:r w:rsidRPr="00963D9C">
        <w:rPr>
          <w:rFonts w:ascii="Calibri" w:hAnsi="Calibri" w:cs="Calibri"/>
          <w:szCs w:val="24"/>
        </w:rPr>
        <w:tab/>
      </w:r>
      <w:r w:rsidR="00AF1F79" w:rsidRPr="00E77220">
        <w:rPr>
          <w:rFonts w:ascii="Calibri" w:hAnsi="Calibri" w:cs="Calibri"/>
          <w:b/>
          <w:bCs/>
          <w:szCs w:val="24"/>
        </w:rPr>
        <w:t xml:space="preserve">Liu L-J, </w:t>
      </w:r>
      <w:r w:rsidR="00AF1F79" w:rsidRPr="00E77220">
        <w:rPr>
          <w:rFonts w:ascii="Calibri" w:hAnsi="Calibri" w:cs="Calibri"/>
          <w:b/>
          <w:bCs/>
          <w:i/>
          <w:iCs/>
          <w:szCs w:val="24"/>
        </w:rPr>
        <w:t>et al.</w:t>
      </w:r>
      <w:r w:rsidR="00AF1F79" w:rsidRPr="00E77220">
        <w:rPr>
          <w:rFonts w:ascii="Calibri" w:hAnsi="Calibri" w:cs="Calibri"/>
          <w:szCs w:val="24"/>
        </w:rPr>
        <w:t xml:space="preserve"> Diagnostic value of bacterial stool cultures and viral antigen tests based on clinical manifestations of acute gastroenteritis in pediatric patients. </w:t>
      </w:r>
      <w:r w:rsidR="00AF1F79" w:rsidRPr="00E77220">
        <w:rPr>
          <w:rFonts w:ascii="Calibri" w:hAnsi="Calibri" w:cs="Calibri"/>
          <w:i/>
          <w:iCs/>
          <w:szCs w:val="24"/>
        </w:rPr>
        <w:t>European Journal of Clinical Microbiology and Infectious Diseases</w:t>
      </w:r>
      <w:r w:rsidR="00AF1F79" w:rsidRPr="00E77220">
        <w:rPr>
          <w:rFonts w:ascii="Calibri" w:hAnsi="Calibri" w:cs="Calibri"/>
          <w:szCs w:val="24"/>
        </w:rPr>
        <w:t xml:space="preserve"> 2005; </w:t>
      </w:r>
      <w:r w:rsidR="00AF1F79" w:rsidRPr="00E77220">
        <w:rPr>
          <w:rFonts w:ascii="Calibri" w:hAnsi="Calibri" w:cs="Calibri"/>
          <w:b/>
          <w:bCs/>
          <w:szCs w:val="24"/>
        </w:rPr>
        <w:t>24</w:t>
      </w:r>
      <w:r w:rsidR="00AF1F79" w:rsidRPr="00E77220">
        <w:rPr>
          <w:rFonts w:ascii="Calibri" w:hAnsi="Calibri" w:cs="Calibri"/>
          <w:szCs w:val="24"/>
        </w:rPr>
        <w:t>: 559–561.</w:t>
      </w:r>
      <w:r w:rsidRPr="00963D9C">
        <w:rPr>
          <w:rFonts w:ascii="Calibri" w:hAnsi="Calibri" w:cs="Calibri"/>
          <w:szCs w:val="24"/>
        </w:rPr>
        <w:t xml:space="preserve"> </w:t>
      </w:r>
    </w:p>
    <w:p w14:paraId="02F868F1" w14:textId="47AF33FB" w:rsidR="00963D9C" w:rsidRPr="00963D9C" w:rsidRDefault="00963D9C" w:rsidP="00963D9C">
      <w:pPr>
        <w:pStyle w:val="Bibliography"/>
        <w:rPr>
          <w:rFonts w:ascii="Calibri" w:hAnsi="Calibri" w:cs="Calibri"/>
          <w:szCs w:val="24"/>
        </w:rPr>
      </w:pPr>
      <w:r w:rsidRPr="00963D9C">
        <w:rPr>
          <w:rFonts w:ascii="Calibri" w:hAnsi="Calibri" w:cs="Calibri"/>
          <w:szCs w:val="24"/>
        </w:rPr>
        <w:t>15.</w:t>
      </w:r>
      <w:r w:rsidRPr="00963D9C">
        <w:rPr>
          <w:rFonts w:ascii="Calibri" w:hAnsi="Calibri" w:cs="Calibri"/>
          <w:szCs w:val="24"/>
        </w:rPr>
        <w:tab/>
      </w:r>
      <w:r w:rsidR="00AF1F79" w:rsidRPr="00E77220">
        <w:rPr>
          <w:rFonts w:ascii="Calibri" w:hAnsi="Calibri" w:cs="Calibri"/>
          <w:b/>
          <w:bCs/>
          <w:szCs w:val="24"/>
        </w:rPr>
        <w:t>Uhnoo I, Olding-Stenkvist E, Kreuger A</w:t>
      </w:r>
      <w:r w:rsidR="00AF1F79" w:rsidRPr="00E77220">
        <w:rPr>
          <w:rFonts w:ascii="Calibri" w:hAnsi="Calibri" w:cs="Calibri"/>
          <w:szCs w:val="24"/>
        </w:rPr>
        <w:t xml:space="preserve">. Clinical features of acute gastroenteritis associated with rotavirus, enteric adenoviruses, and bacteria. </w:t>
      </w:r>
      <w:r w:rsidR="00AF1F79" w:rsidRPr="00E77220">
        <w:rPr>
          <w:rFonts w:ascii="Calibri" w:hAnsi="Calibri" w:cs="Calibri"/>
          <w:i/>
          <w:iCs/>
          <w:szCs w:val="24"/>
        </w:rPr>
        <w:t>Archives of Disease in Childhood</w:t>
      </w:r>
      <w:r w:rsidR="00AF1F79" w:rsidRPr="00E77220">
        <w:rPr>
          <w:rFonts w:ascii="Calibri" w:hAnsi="Calibri" w:cs="Calibri"/>
          <w:szCs w:val="24"/>
        </w:rPr>
        <w:t xml:space="preserve"> 1986; </w:t>
      </w:r>
      <w:r w:rsidR="00AF1F79" w:rsidRPr="00E77220">
        <w:rPr>
          <w:rFonts w:ascii="Calibri" w:hAnsi="Calibri" w:cs="Calibri"/>
          <w:b/>
          <w:bCs/>
          <w:szCs w:val="24"/>
        </w:rPr>
        <w:t>61</w:t>
      </w:r>
      <w:r w:rsidR="00AF1F79" w:rsidRPr="00E77220">
        <w:rPr>
          <w:rFonts w:ascii="Calibri" w:hAnsi="Calibri" w:cs="Calibri"/>
          <w:szCs w:val="24"/>
        </w:rPr>
        <w:t xml:space="preserve">: 732–738. </w:t>
      </w:r>
      <w:r w:rsidRPr="00963D9C">
        <w:rPr>
          <w:rFonts w:ascii="Calibri" w:hAnsi="Calibri" w:cs="Calibri"/>
          <w:szCs w:val="24"/>
        </w:rPr>
        <w:t xml:space="preserve"> </w:t>
      </w:r>
    </w:p>
    <w:p w14:paraId="0EDE9BBA" w14:textId="7E6D1080" w:rsidR="00963D9C" w:rsidRPr="00963D9C" w:rsidRDefault="00963D9C" w:rsidP="00963D9C">
      <w:pPr>
        <w:pStyle w:val="Bibliography"/>
        <w:rPr>
          <w:rFonts w:ascii="Calibri" w:hAnsi="Calibri" w:cs="Calibri"/>
          <w:szCs w:val="24"/>
        </w:rPr>
      </w:pPr>
      <w:r w:rsidRPr="00963D9C">
        <w:rPr>
          <w:rFonts w:ascii="Calibri" w:hAnsi="Calibri" w:cs="Calibri"/>
          <w:szCs w:val="24"/>
        </w:rPr>
        <w:t>16.</w:t>
      </w:r>
      <w:r w:rsidRPr="00963D9C">
        <w:rPr>
          <w:rFonts w:ascii="Calibri" w:hAnsi="Calibri" w:cs="Calibri"/>
          <w:szCs w:val="24"/>
        </w:rPr>
        <w:tab/>
      </w:r>
      <w:r w:rsidR="00AF1F79">
        <w:rPr>
          <w:rFonts w:ascii="Calibri" w:hAnsi="Calibri" w:cs="Calibri"/>
          <w:b/>
          <w:bCs/>
          <w:szCs w:val="24"/>
        </w:rPr>
        <w:t>De Wit MA</w:t>
      </w:r>
      <w:r w:rsidR="00AF1F79" w:rsidRPr="00E77220">
        <w:rPr>
          <w:rFonts w:ascii="Calibri" w:hAnsi="Calibri" w:cs="Calibri"/>
          <w:b/>
          <w:bCs/>
          <w:szCs w:val="24"/>
        </w:rPr>
        <w:t xml:space="preserve">, </w:t>
      </w:r>
      <w:r w:rsidR="00AF1F79" w:rsidRPr="00E77220">
        <w:rPr>
          <w:rFonts w:ascii="Calibri" w:hAnsi="Calibri" w:cs="Calibri"/>
          <w:b/>
          <w:bCs/>
          <w:i/>
          <w:iCs/>
          <w:szCs w:val="24"/>
        </w:rPr>
        <w:t>et al.</w:t>
      </w:r>
      <w:r w:rsidR="00AF1F79" w:rsidRPr="00E77220">
        <w:rPr>
          <w:rFonts w:ascii="Calibri" w:hAnsi="Calibri" w:cs="Calibri"/>
          <w:szCs w:val="24"/>
        </w:rPr>
        <w:t xml:space="preserve"> Etiology of Gastroenteritis in Sentinel General Practices in The Netherlands. </w:t>
      </w:r>
      <w:r w:rsidR="00AF1F79" w:rsidRPr="00E77220">
        <w:rPr>
          <w:rFonts w:ascii="Calibri" w:hAnsi="Calibri" w:cs="Calibri"/>
          <w:i/>
          <w:iCs/>
          <w:szCs w:val="24"/>
        </w:rPr>
        <w:t>Clinical Infectious Diseases</w:t>
      </w:r>
      <w:r w:rsidR="00AF1F79" w:rsidRPr="00E77220">
        <w:rPr>
          <w:rFonts w:ascii="Calibri" w:hAnsi="Calibri" w:cs="Calibri"/>
          <w:szCs w:val="24"/>
        </w:rPr>
        <w:t xml:space="preserve"> 2001; </w:t>
      </w:r>
      <w:r w:rsidR="00AF1F79" w:rsidRPr="00E77220">
        <w:rPr>
          <w:rFonts w:ascii="Calibri" w:hAnsi="Calibri" w:cs="Calibri"/>
          <w:b/>
          <w:bCs/>
          <w:szCs w:val="24"/>
        </w:rPr>
        <w:t>33</w:t>
      </w:r>
      <w:r w:rsidR="00AF1F79" w:rsidRPr="00E77220">
        <w:rPr>
          <w:rFonts w:ascii="Calibri" w:hAnsi="Calibri" w:cs="Calibri"/>
          <w:szCs w:val="24"/>
        </w:rPr>
        <w:t>: 280–288.</w:t>
      </w:r>
      <w:r w:rsidRPr="00963D9C">
        <w:rPr>
          <w:rFonts w:ascii="Calibri" w:hAnsi="Calibri" w:cs="Calibri"/>
          <w:szCs w:val="24"/>
        </w:rPr>
        <w:t xml:space="preserve"> </w:t>
      </w:r>
    </w:p>
    <w:p w14:paraId="0D08EE91" w14:textId="0A18B39A" w:rsidR="00963D9C" w:rsidRPr="00963D9C" w:rsidRDefault="00963D9C" w:rsidP="00963D9C">
      <w:pPr>
        <w:pStyle w:val="Bibliography"/>
        <w:rPr>
          <w:rFonts w:ascii="Calibri" w:hAnsi="Calibri" w:cs="Calibri"/>
          <w:szCs w:val="24"/>
        </w:rPr>
      </w:pPr>
      <w:r w:rsidRPr="00963D9C">
        <w:rPr>
          <w:rFonts w:ascii="Calibri" w:hAnsi="Calibri" w:cs="Calibri"/>
          <w:szCs w:val="24"/>
        </w:rPr>
        <w:t>17.</w:t>
      </w:r>
      <w:r w:rsidRPr="00963D9C">
        <w:rPr>
          <w:rFonts w:ascii="Calibri" w:hAnsi="Calibri" w:cs="Calibri"/>
          <w:szCs w:val="24"/>
        </w:rPr>
        <w:tab/>
      </w:r>
      <w:r w:rsidR="00AF1F79" w:rsidRPr="00E77220">
        <w:rPr>
          <w:rFonts w:ascii="Calibri" w:hAnsi="Calibri" w:cs="Calibri"/>
          <w:b/>
          <w:bCs/>
          <w:szCs w:val="24"/>
        </w:rPr>
        <w:t xml:space="preserve">Wiegering V, </w:t>
      </w:r>
      <w:r w:rsidR="00AF1F79" w:rsidRPr="00E77220">
        <w:rPr>
          <w:rFonts w:ascii="Calibri" w:hAnsi="Calibri" w:cs="Calibri"/>
          <w:b/>
          <w:bCs/>
          <w:i/>
          <w:iCs/>
          <w:szCs w:val="24"/>
        </w:rPr>
        <w:t>et al.</w:t>
      </w:r>
      <w:r w:rsidR="00AF1F79" w:rsidRPr="00E77220">
        <w:rPr>
          <w:rFonts w:ascii="Calibri" w:hAnsi="Calibri" w:cs="Calibri"/>
          <w:szCs w:val="24"/>
        </w:rPr>
        <w:t xml:space="preserve"> Gastroenteritis in childhood: a retrospective study of 650 hospitalized pediatric patients. </w:t>
      </w:r>
      <w:r w:rsidR="00AF1F79" w:rsidRPr="00E77220">
        <w:rPr>
          <w:rFonts w:ascii="Calibri" w:hAnsi="Calibri" w:cs="Calibri"/>
          <w:i/>
          <w:iCs/>
          <w:szCs w:val="24"/>
        </w:rPr>
        <w:t>International Journal of Infectious Diseases</w:t>
      </w:r>
      <w:r w:rsidR="00AF1F79" w:rsidRPr="00E77220">
        <w:rPr>
          <w:rFonts w:ascii="Calibri" w:hAnsi="Calibri" w:cs="Calibri"/>
          <w:szCs w:val="24"/>
        </w:rPr>
        <w:t xml:space="preserve"> 2011; </w:t>
      </w:r>
      <w:r w:rsidR="00AF1F79" w:rsidRPr="00E77220">
        <w:rPr>
          <w:rFonts w:ascii="Calibri" w:hAnsi="Calibri" w:cs="Calibri"/>
          <w:b/>
          <w:bCs/>
          <w:szCs w:val="24"/>
        </w:rPr>
        <w:t>15</w:t>
      </w:r>
      <w:r w:rsidR="00AF1F79" w:rsidRPr="00E77220">
        <w:rPr>
          <w:rFonts w:ascii="Calibri" w:hAnsi="Calibri" w:cs="Calibri"/>
          <w:szCs w:val="24"/>
        </w:rPr>
        <w:t>: e401–e407.</w:t>
      </w:r>
    </w:p>
    <w:p w14:paraId="2AB4D970" w14:textId="11999913" w:rsidR="00963D9C" w:rsidRPr="00963D9C" w:rsidRDefault="00963D9C" w:rsidP="00963D9C">
      <w:pPr>
        <w:pStyle w:val="Bibliography"/>
        <w:rPr>
          <w:rFonts w:ascii="Calibri" w:hAnsi="Calibri" w:cs="Calibri"/>
          <w:szCs w:val="24"/>
        </w:rPr>
      </w:pPr>
      <w:r w:rsidRPr="00963D9C">
        <w:rPr>
          <w:rFonts w:ascii="Calibri" w:hAnsi="Calibri" w:cs="Calibri"/>
          <w:szCs w:val="24"/>
        </w:rPr>
        <w:t>18.</w:t>
      </w:r>
      <w:r w:rsidRPr="00963D9C">
        <w:rPr>
          <w:rFonts w:ascii="Calibri" w:hAnsi="Calibri" w:cs="Calibri"/>
          <w:szCs w:val="24"/>
        </w:rPr>
        <w:tab/>
      </w:r>
      <w:r w:rsidR="00AF1F79" w:rsidRPr="00683E1A">
        <w:rPr>
          <w:rFonts w:ascii="Calibri" w:hAnsi="Calibri" w:cs="Calibri"/>
          <w:b/>
          <w:szCs w:val="24"/>
        </w:rPr>
        <w:t>Chen SY, et al.</w:t>
      </w:r>
      <w:r w:rsidR="00AF1F79">
        <w:rPr>
          <w:rFonts w:ascii="Calibri" w:hAnsi="Calibri" w:cs="Calibri"/>
          <w:szCs w:val="24"/>
        </w:rPr>
        <w:t xml:space="preserve"> </w:t>
      </w:r>
      <w:r w:rsidR="00AF1F79">
        <w:rPr>
          <w:rFonts w:ascii="Calibri" w:hAnsi="Calibri" w:cs="Calibri"/>
          <w:iCs/>
          <w:szCs w:val="24"/>
        </w:rPr>
        <w:t>Molecular epidemiology and clinical manifestations of viral gastroenteritis in hospitalized pediatric patients in N</w:t>
      </w:r>
      <w:r w:rsidR="00AF1F79" w:rsidRPr="00683E1A">
        <w:rPr>
          <w:rFonts w:ascii="Calibri" w:hAnsi="Calibri" w:cs="Calibri"/>
          <w:iCs/>
          <w:szCs w:val="24"/>
        </w:rPr>
        <w:t>orthern Taiwan</w:t>
      </w:r>
      <w:r w:rsidR="00AF1F79" w:rsidRPr="00683E1A">
        <w:rPr>
          <w:rFonts w:ascii="Calibri" w:hAnsi="Calibri" w:cs="Calibri"/>
          <w:szCs w:val="24"/>
        </w:rPr>
        <w:t>.</w:t>
      </w:r>
      <w:r w:rsidR="00AF1F79">
        <w:rPr>
          <w:rFonts w:ascii="Calibri" w:hAnsi="Calibri" w:cs="Calibri"/>
          <w:szCs w:val="24"/>
        </w:rPr>
        <w:t xml:space="preserve"> </w:t>
      </w:r>
      <w:r w:rsidR="00AF1F79" w:rsidRPr="00683E1A">
        <w:rPr>
          <w:rFonts w:ascii="Calibri" w:hAnsi="Calibri" w:cs="Calibri"/>
          <w:i/>
          <w:szCs w:val="24"/>
        </w:rPr>
        <w:t>Journal of Clinical Microbiology</w:t>
      </w:r>
      <w:r w:rsidR="00AF1F79">
        <w:rPr>
          <w:rFonts w:ascii="Calibri" w:hAnsi="Calibri" w:cs="Calibri"/>
          <w:szCs w:val="24"/>
        </w:rPr>
        <w:t xml:space="preserve"> 2007; </w:t>
      </w:r>
      <w:r w:rsidR="00AF1F79" w:rsidRPr="00683E1A">
        <w:rPr>
          <w:rFonts w:ascii="Calibri" w:hAnsi="Calibri" w:cs="Calibri"/>
          <w:b/>
          <w:szCs w:val="24"/>
        </w:rPr>
        <w:t>45</w:t>
      </w:r>
      <w:r w:rsidR="00AF1F79">
        <w:rPr>
          <w:rFonts w:ascii="Calibri" w:hAnsi="Calibri" w:cs="Calibri"/>
          <w:szCs w:val="24"/>
        </w:rPr>
        <w:t>: 2054-2057.</w:t>
      </w:r>
      <w:r w:rsidR="00AF1F79" w:rsidRPr="00E77220">
        <w:rPr>
          <w:rFonts w:ascii="Calibri" w:hAnsi="Calibri" w:cs="Calibri"/>
          <w:szCs w:val="24"/>
        </w:rPr>
        <w:t xml:space="preserve"> </w:t>
      </w:r>
      <w:r w:rsidRPr="00963D9C">
        <w:rPr>
          <w:rFonts w:ascii="Calibri" w:hAnsi="Calibri" w:cs="Calibri"/>
          <w:szCs w:val="24"/>
        </w:rPr>
        <w:t xml:space="preserve"> </w:t>
      </w:r>
    </w:p>
    <w:p w14:paraId="77067055" w14:textId="1CA17EFC" w:rsidR="00963D9C" w:rsidRPr="00963D9C" w:rsidRDefault="00963D9C" w:rsidP="00963D9C">
      <w:pPr>
        <w:pStyle w:val="Bibliography"/>
        <w:rPr>
          <w:rFonts w:ascii="Calibri" w:hAnsi="Calibri" w:cs="Calibri"/>
          <w:szCs w:val="24"/>
        </w:rPr>
      </w:pPr>
      <w:r w:rsidRPr="00963D9C">
        <w:rPr>
          <w:rFonts w:ascii="Calibri" w:hAnsi="Calibri" w:cs="Calibri"/>
          <w:szCs w:val="24"/>
        </w:rPr>
        <w:t>19.</w:t>
      </w:r>
      <w:r w:rsidRPr="00963D9C">
        <w:rPr>
          <w:rFonts w:ascii="Calibri" w:hAnsi="Calibri" w:cs="Calibri"/>
          <w:szCs w:val="24"/>
        </w:rPr>
        <w:tab/>
      </w:r>
      <w:r w:rsidR="00AF1F79" w:rsidRPr="00E77220">
        <w:rPr>
          <w:rFonts w:ascii="Calibri" w:hAnsi="Calibri" w:cs="Calibri"/>
          <w:b/>
          <w:bCs/>
          <w:szCs w:val="24"/>
        </w:rPr>
        <w:t xml:space="preserve">Lopman BA, </w:t>
      </w:r>
      <w:r w:rsidR="00AF1F79" w:rsidRPr="00E77220">
        <w:rPr>
          <w:rFonts w:ascii="Calibri" w:hAnsi="Calibri" w:cs="Calibri"/>
          <w:b/>
          <w:bCs/>
          <w:i/>
          <w:iCs/>
          <w:szCs w:val="24"/>
        </w:rPr>
        <w:t>et al.</w:t>
      </w:r>
      <w:r w:rsidR="00AF1F79">
        <w:rPr>
          <w:rFonts w:ascii="Calibri" w:hAnsi="Calibri" w:cs="Calibri"/>
          <w:szCs w:val="24"/>
        </w:rPr>
        <w:t xml:space="preserve"> Clinical manifestation of norovirus gastroenteritis in health care s</w:t>
      </w:r>
      <w:r w:rsidR="00AF1F79" w:rsidRPr="00E77220">
        <w:rPr>
          <w:rFonts w:ascii="Calibri" w:hAnsi="Calibri" w:cs="Calibri"/>
          <w:szCs w:val="24"/>
        </w:rPr>
        <w:t xml:space="preserve">ettings. </w:t>
      </w:r>
      <w:r w:rsidR="00AF1F79" w:rsidRPr="00E77220">
        <w:rPr>
          <w:rFonts w:ascii="Calibri" w:hAnsi="Calibri" w:cs="Calibri"/>
          <w:i/>
          <w:iCs/>
          <w:szCs w:val="24"/>
        </w:rPr>
        <w:t>Clinical Infectious Diseases</w:t>
      </w:r>
      <w:r w:rsidR="00AF1F79" w:rsidRPr="00E77220">
        <w:rPr>
          <w:rFonts w:ascii="Calibri" w:hAnsi="Calibri" w:cs="Calibri"/>
          <w:szCs w:val="24"/>
        </w:rPr>
        <w:t xml:space="preserve"> 2004; </w:t>
      </w:r>
      <w:r w:rsidR="00AF1F79" w:rsidRPr="00E77220">
        <w:rPr>
          <w:rFonts w:ascii="Calibri" w:hAnsi="Calibri" w:cs="Calibri"/>
          <w:b/>
          <w:bCs/>
          <w:szCs w:val="24"/>
        </w:rPr>
        <w:t>39</w:t>
      </w:r>
      <w:r w:rsidR="00AF1F79" w:rsidRPr="00E77220">
        <w:rPr>
          <w:rFonts w:ascii="Calibri" w:hAnsi="Calibri" w:cs="Calibri"/>
          <w:szCs w:val="24"/>
        </w:rPr>
        <w:t xml:space="preserve">: 318–324. </w:t>
      </w:r>
      <w:r w:rsidRPr="00963D9C">
        <w:rPr>
          <w:rFonts w:ascii="Calibri" w:hAnsi="Calibri" w:cs="Calibri"/>
          <w:szCs w:val="24"/>
        </w:rPr>
        <w:t xml:space="preserve"> </w:t>
      </w:r>
    </w:p>
    <w:p w14:paraId="4D105421" w14:textId="4C9BE767" w:rsidR="00963D9C" w:rsidRPr="00963D9C" w:rsidRDefault="00963D9C" w:rsidP="00963D9C">
      <w:pPr>
        <w:pStyle w:val="Bibliography"/>
        <w:rPr>
          <w:rFonts w:ascii="Calibri" w:hAnsi="Calibri" w:cs="Calibri"/>
          <w:szCs w:val="24"/>
        </w:rPr>
      </w:pPr>
      <w:r w:rsidRPr="00963D9C">
        <w:rPr>
          <w:rFonts w:ascii="Calibri" w:hAnsi="Calibri" w:cs="Calibri"/>
          <w:szCs w:val="24"/>
        </w:rPr>
        <w:t>20.</w:t>
      </w:r>
      <w:r w:rsidRPr="00963D9C">
        <w:rPr>
          <w:rFonts w:ascii="Calibri" w:hAnsi="Calibri" w:cs="Calibri"/>
          <w:szCs w:val="24"/>
        </w:rPr>
        <w:tab/>
      </w:r>
      <w:r w:rsidR="00AF1F79" w:rsidRPr="00E77220">
        <w:rPr>
          <w:rFonts w:ascii="Calibri" w:hAnsi="Calibri" w:cs="Calibri"/>
          <w:b/>
          <w:bCs/>
          <w:szCs w:val="24"/>
        </w:rPr>
        <w:t xml:space="preserve">Hall AJ, </w:t>
      </w:r>
      <w:r w:rsidR="00AF1F79" w:rsidRPr="00E77220">
        <w:rPr>
          <w:rFonts w:ascii="Calibri" w:hAnsi="Calibri" w:cs="Calibri"/>
          <w:b/>
          <w:bCs/>
          <w:i/>
          <w:iCs/>
          <w:szCs w:val="24"/>
        </w:rPr>
        <w:t>et al.</w:t>
      </w:r>
      <w:r w:rsidR="00AF1F79" w:rsidRPr="00E77220">
        <w:rPr>
          <w:rFonts w:ascii="Calibri" w:hAnsi="Calibri" w:cs="Calibri"/>
          <w:szCs w:val="24"/>
        </w:rPr>
        <w:t xml:space="preserve"> Ac</w:t>
      </w:r>
      <w:r w:rsidR="00AF1F79">
        <w:rPr>
          <w:rFonts w:ascii="Calibri" w:hAnsi="Calibri" w:cs="Calibri"/>
          <w:szCs w:val="24"/>
        </w:rPr>
        <w:t>ute gastroenteritis s</w:t>
      </w:r>
      <w:r w:rsidR="00AF1F79" w:rsidRPr="00E77220">
        <w:rPr>
          <w:rFonts w:ascii="Calibri" w:hAnsi="Calibri" w:cs="Calibri"/>
          <w:szCs w:val="24"/>
        </w:rPr>
        <w:t xml:space="preserve">urveillance through the National Outbreak Reporting System, United States. </w:t>
      </w:r>
      <w:r w:rsidR="00AF1F79" w:rsidRPr="00E77220">
        <w:rPr>
          <w:rFonts w:ascii="Calibri" w:hAnsi="Calibri" w:cs="Calibri"/>
          <w:i/>
          <w:iCs/>
          <w:szCs w:val="24"/>
        </w:rPr>
        <w:t>Emerging Infectious Diseases</w:t>
      </w:r>
      <w:r w:rsidR="00AF1F79" w:rsidRPr="00E77220">
        <w:rPr>
          <w:rFonts w:ascii="Calibri" w:hAnsi="Calibri" w:cs="Calibri"/>
          <w:szCs w:val="24"/>
        </w:rPr>
        <w:t xml:space="preserve"> 2013; </w:t>
      </w:r>
      <w:r w:rsidR="00AF1F79" w:rsidRPr="00E77220">
        <w:rPr>
          <w:rFonts w:ascii="Calibri" w:hAnsi="Calibri" w:cs="Calibri"/>
          <w:b/>
          <w:bCs/>
          <w:szCs w:val="24"/>
        </w:rPr>
        <w:t>19</w:t>
      </w:r>
      <w:r w:rsidR="00AF1F79" w:rsidRPr="00E77220">
        <w:rPr>
          <w:rFonts w:ascii="Calibri" w:hAnsi="Calibri" w:cs="Calibri"/>
          <w:szCs w:val="24"/>
        </w:rPr>
        <w:t xml:space="preserve">: 1305–1309. </w:t>
      </w:r>
      <w:r w:rsidRPr="00963D9C">
        <w:rPr>
          <w:rFonts w:ascii="Calibri" w:hAnsi="Calibri" w:cs="Calibri"/>
          <w:szCs w:val="24"/>
        </w:rPr>
        <w:t xml:space="preserve"> </w:t>
      </w:r>
    </w:p>
    <w:p w14:paraId="06785B5F" w14:textId="33AB7605" w:rsidR="00963D9C" w:rsidRPr="00963D9C" w:rsidRDefault="00963D9C" w:rsidP="00963D9C">
      <w:pPr>
        <w:pStyle w:val="Bibliography"/>
        <w:rPr>
          <w:rFonts w:ascii="Calibri" w:hAnsi="Calibri" w:cs="Calibri"/>
          <w:szCs w:val="24"/>
        </w:rPr>
      </w:pPr>
      <w:r w:rsidRPr="00963D9C">
        <w:rPr>
          <w:rFonts w:ascii="Calibri" w:hAnsi="Calibri" w:cs="Calibri"/>
          <w:szCs w:val="24"/>
        </w:rPr>
        <w:t>21.</w:t>
      </w:r>
      <w:r w:rsidRPr="00963D9C">
        <w:rPr>
          <w:rFonts w:ascii="Calibri" w:hAnsi="Calibri" w:cs="Calibri"/>
          <w:szCs w:val="24"/>
        </w:rPr>
        <w:tab/>
      </w:r>
      <w:r w:rsidRPr="00963D9C">
        <w:rPr>
          <w:rFonts w:ascii="Calibri" w:hAnsi="Calibri" w:cs="Calibri"/>
          <w:b/>
          <w:bCs/>
          <w:szCs w:val="24"/>
        </w:rPr>
        <w:t xml:space="preserve">Guasticchi G, </w:t>
      </w:r>
      <w:r w:rsidRPr="00963D9C">
        <w:rPr>
          <w:rFonts w:ascii="Calibri" w:hAnsi="Calibri" w:cs="Calibri"/>
          <w:b/>
          <w:bCs/>
          <w:i/>
          <w:iCs/>
          <w:szCs w:val="24"/>
        </w:rPr>
        <w:t>et al.</w:t>
      </w:r>
      <w:r w:rsidRPr="00963D9C">
        <w:rPr>
          <w:rFonts w:ascii="Calibri" w:hAnsi="Calibri" w:cs="Calibri"/>
          <w:szCs w:val="24"/>
        </w:rPr>
        <w:t xml:space="preserve"> Syndromic surveillance: sensitivity and positive predictive value of the case definitions. </w:t>
      </w:r>
      <w:r w:rsidRPr="00963D9C">
        <w:rPr>
          <w:rFonts w:ascii="Calibri" w:hAnsi="Calibri" w:cs="Calibri"/>
          <w:i/>
          <w:iCs/>
          <w:szCs w:val="24"/>
        </w:rPr>
        <w:t>Epidemiology and Infection</w:t>
      </w:r>
      <w:r w:rsidRPr="00963D9C">
        <w:rPr>
          <w:rFonts w:ascii="Calibri" w:hAnsi="Calibri" w:cs="Calibri"/>
          <w:szCs w:val="24"/>
        </w:rPr>
        <w:t xml:space="preserve"> 2009; </w:t>
      </w:r>
      <w:r w:rsidRPr="00963D9C">
        <w:rPr>
          <w:rFonts w:ascii="Calibri" w:hAnsi="Calibri" w:cs="Calibri"/>
          <w:b/>
          <w:bCs/>
          <w:szCs w:val="24"/>
        </w:rPr>
        <w:t>137</w:t>
      </w:r>
      <w:r w:rsidRPr="00963D9C">
        <w:rPr>
          <w:rFonts w:ascii="Calibri" w:hAnsi="Calibri" w:cs="Calibri"/>
          <w:szCs w:val="24"/>
        </w:rPr>
        <w:t>: 662</w:t>
      </w:r>
      <w:r w:rsidR="00993B89">
        <w:rPr>
          <w:rFonts w:ascii="Calibri" w:hAnsi="Calibri" w:cs="Calibri"/>
          <w:szCs w:val="24"/>
        </w:rPr>
        <w:t>-671</w:t>
      </w:r>
      <w:r w:rsidRPr="00963D9C">
        <w:rPr>
          <w:rFonts w:ascii="Calibri" w:hAnsi="Calibri" w:cs="Calibri"/>
          <w:szCs w:val="24"/>
        </w:rPr>
        <w:t xml:space="preserve">. </w:t>
      </w:r>
    </w:p>
    <w:p w14:paraId="5255F5C5" w14:textId="2D024DBC" w:rsidR="00963D9C" w:rsidRPr="00963D9C" w:rsidRDefault="00963D9C" w:rsidP="00963D9C">
      <w:pPr>
        <w:pStyle w:val="Bibliography"/>
        <w:rPr>
          <w:rFonts w:ascii="Calibri" w:hAnsi="Calibri" w:cs="Calibri"/>
          <w:szCs w:val="24"/>
        </w:rPr>
      </w:pPr>
      <w:r w:rsidRPr="00963D9C">
        <w:rPr>
          <w:rFonts w:ascii="Calibri" w:hAnsi="Calibri" w:cs="Calibri"/>
          <w:szCs w:val="24"/>
        </w:rPr>
        <w:t>22.</w:t>
      </w:r>
      <w:r w:rsidRPr="00963D9C">
        <w:rPr>
          <w:rFonts w:ascii="Calibri" w:hAnsi="Calibri" w:cs="Calibri"/>
          <w:szCs w:val="24"/>
        </w:rPr>
        <w:tab/>
      </w:r>
      <w:r w:rsidR="00AF1F79" w:rsidRPr="00E77220">
        <w:rPr>
          <w:rFonts w:ascii="Calibri" w:hAnsi="Calibri" w:cs="Calibri"/>
          <w:b/>
          <w:bCs/>
          <w:szCs w:val="24"/>
        </w:rPr>
        <w:t xml:space="preserve">Scallan E, </w:t>
      </w:r>
      <w:r w:rsidR="00AF1F79" w:rsidRPr="00E77220">
        <w:rPr>
          <w:rFonts w:ascii="Calibri" w:hAnsi="Calibri" w:cs="Calibri"/>
          <w:b/>
          <w:bCs/>
          <w:i/>
          <w:iCs/>
          <w:szCs w:val="24"/>
        </w:rPr>
        <w:t>et al.</w:t>
      </w:r>
      <w:r w:rsidR="00AF1F79">
        <w:rPr>
          <w:rFonts w:ascii="Calibri" w:hAnsi="Calibri" w:cs="Calibri"/>
          <w:szCs w:val="24"/>
        </w:rPr>
        <w:t xml:space="preserve"> Factors associated with seeking medical care and submitting a stool sample in estimating the burden of foodborne i</w:t>
      </w:r>
      <w:r w:rsidR="00AF1F79" w:rsidRPr="00E77220">
        <w:rPr>
          <w:rFonts w:ascii="Calibri" w:hAnsi="Calibri" w:cs="Calibri"/>
          <w:szCs w:val="24"/>
        </w:rPr>
        <w:t xml:space="preserve">llness. </w:t>
      </w:r>
      <w:r w:rsidR="00AF1F79" w:rsidRPr="00E77220">
        <w:rPr>
          <w:rFonts w:ascii="Calibri" w:hAnsi="Calibri" w:cs="Calibri"/>
          <w:i/>
          <w:iCs/>
          <w:szCs w:val="24"/>
        </w:rPr>
        <w:t>Foodborne Pathogens and Disease</w:t>
      </w:r>
      <w:r w:rsidR="00AF1F79" w:rsidRPr="00E77220">
        <w:rPr>
          <w:rFonts w:ascii="Calibri" w:hAnsi="Calibri" w:cs="Calibri"/>
          <w:szCs w:val="24"/>
        </w:rPr>
        <w:t xml:space="preserve"> 2006; </w:t>
      </w:r>
      <w:r w:rsidR="00AF1F79" w:rsidRPr="00E77220">
        <w:rPr>
          <w:rFonts w:ascii="Calibri" w:hAnsi="Calibri" w:cs="Calibri"/>
          <w:b/>
          <w:bCs/>
          <w:szCs w:val="24"/>
        </w:rPr>
        <w:t>3</w:t>
      </w:r>
      <w:r w:rsidR="00AF1F79" w:rsidRPr="00E77220">
        <w:rPr>
          <w:rFonts w:ascii="Calibri" w:hAnsi="Calibri" w:cs="Calibri"/>
          <w:szCs w:val="24"/>
        </w:rPr>
        <w:t>: 432–438.</w:t>
      </w:r>
    </w:p>
    <w:p w14:paraId="46C2717D" w14:textId="750F1A9B" w:rsidR="00963D9C" w:rsidRPr="00963D9C" w:rsidRDefault="00963D9C" w:rsidP="00963D9C">
      <w:pPr>
        <w:pStyle w:val="Bibliography"/>
        <w:rPr>
          <w:rFonts w:ascii="Calibri" w:hAnsi="Calibri" w:cs="Calibri"/>
          <w:szCs w:val="24"/>
        </w:rPr>
      </w:pPr>
      <w:r w:rsidRPr="00963D9C">
        <w:rPr>
          <w:rFonts w:ascii="Calibri" w:hAnsi="Calibri" w:cs="Calibri"/>
          <w:szCs w:val="24"/>
        </w:rPr>
        <w:t>23.</w:t>
      </w:r>
      <w:r w:rsidRPr="00963D9C">
        <w:rPr>
          <w:rFonts w:ascii="Calibri" w:hAnsi="Calibri" w:cs="Calibri"/>
          <w:szCs w:val="24"/>
        </w:rPr>
        <w:tab/>
      </w:r>
      <w:r w:rsidR="00AF1F79" w:rsidRPr="00E77220">
        <w:rPr>
          <w:rFonts w:ascii="Calibri" w:hAnsi="Calibri" w:cs="Calibri"/>
          <w:b/>
          <w:bCs/>
          <w:szCs w:val="24"/>
        </w:rPr>
        <w:t xml:space="preserve">Moyo SJ, </w:t>
      </w:r>
      <w:r w:rsidR="00AF1F79" w:rsidRPr="00E77220">
        <w:rPr>
          <w:rFonts w:ascii="Calibri" w:hAnsi="Calibri" w:cs="Calibri"/>
          <w:b/>
          <w:bCs/>
          <w:i/>
          <w:iCs/>
          <w:szCs w:val="24"/>
        </w:rPr>
        <w:t>et al.</w:t>
      </w:r>
      <w:r w:rsidR="00AF1F79">
        <w:rPr>
          <w:rFonts w:ascii="Calibri" w:hAnsi="Calibri" w:cs="Calibri"/>
          <w:szCs w:val="24"/>
        </w:rPr>
        <w:t xml:space="preserve"> Comprehensive analysis of prevalence, epidemiologic characteristics, and clinical characteristics of monoinfection and coinfection in diarrheal diseases in c</w:t>
      </w:r>
      <w:r w:rsidR="00AF1F79" w:rsidRPr="00E77220">
        <w:rPr>
          <w:rFonts w:ascii="Calibri" w:hAnsi="Calibri" w:cs="Calibri"/>
          <w:szCs w:val="24"/>
        </w:rPr>
        <w:t xml:space="preserve">hildren in Tanzania. </w:t>
      </w:r>
      <w:r w:rsidR="00AF1F79" w:rsidRPr="00E77220">
        <w:rPr>
          <w:rFonts w:ascii="Calibri" w:hAnsi="Calibri" w:cs="Calibri"/>
          <w:i/>
          <w:iCs/>
          <w:szCs w:val="24"/>
        </w:rPr>
        <w:t>American Journal of Epidemiology</w:t>
      </w:r>
      <w:r w:rsidR="00AF1F79" w:rsidRPr="00E77220">
        <w:rPr>
          <w:rFonts w:ascii="Calibri" w:hAnsi="Calibri" w:cs="Calibri"/>
          <w:szCs w:val="24"/>
        </w:rPr>
        <w:t xml:space="preserve"> 2017; </w:t>
      </w:r>
      <w:r w:rsidR="00AF1F79" w:rsidRPr="00E77220">
        <w:rPr>
          <w:rFonts w:ascii="Calibri" w:hAnsi="Calibri" w:cs="Calibri"/>
          <w:b/>
          <w:bCs/>
          <w:szCs w:val="24"/>
        </w:rPr>
        <w:t>186</w:t>
      </w:r>
      <w:r w:rsidR="00AF1F79" w:rsidRPr="00E77220">
        <w:rPr>
          <w:rFonts w:ascii="Calibri" w:hAnsi="Calibri" w:cs="Calibri"/>
          <w:szCs w:val="24"/>
        </w:rPr>
        <w:t>: 1074–1083.</w:t>
      </w:r>
      <w:r w:rsidRPr="00963D9C">
        <w:rPr>
          <w:rFonts w:ascii="Calibri" w:hAnsi="Calibri" w:cs="Calibri"/>
          <w:szCs w:val="24"/>
        </w:rPr>
        <w:t xml:space="preserve"> </w:t>
      </w:r>
    </w:p>
    <w:p w14:paraId="511500B2" w14:textId="44F9AF9F" w:rsidR="00593A4C" w:rsidRDefault="0086180D" w:rsidP="00F54E4D">
      <w:pPr>
        <w:spacing w:after="0" w:line="480" w:lineRule="auto"/>
        <w:rPr>
          <w:b/>
        </w:rPr>
      </w:pPr>
      <w:r>
        <w:rPr>
          <w:b/>
        </w:rPr>
        <w:fldChar w:fldCharType="end"/>
      </w:r>
    </w:p>
    <w:p w14:paraId="098D7DAE" w14:textId="77777777" w:rsidR="003A5FCD" w:rsidRDefault="003A5FCD">
      <w:pPr>
        <w:rPr>
          <w:b/>
        </w:rPr>
      </w:pPr>
      <w:r>
        <w:rPr>
          <w:b/>
        </w:rPr>
        <w:br w:type="page"/>
      </w:r>
    </w:p>
    <w:p w14:paraId="54786C60" w14:textId="45DEA5DA" w:rsidR="00DC215C" w:rsidRPr="009D1C63" w:rsidRDefault="0086066E" w:rsidP="00593A4C">
      <w:pPr>
        <w:spacing w:after="0" w:line="480" w:lineRule="auto"/>
        <w:rPr>
          <w:rStyle w:val="CommentReference"/>
          <w:b/>
        </w:rPr>
      </w:pPr>
      <w:r w:rsidRPr="009D1C63">
        <w:rPr>
          <w:b/>
        </w:rPr>
        <w:t>Table 1. Explanatory variables</w:t>
      </w:r>
      <w:r w:rsidR="00E8487E" w:rsidRPr="009D1C63">
        <w:rPr>
          <w:b/>
        </w:rPr>
        <w:t xml:space="preserve"> included in the multivariate analysis</w:t>
      </w:r>
      <w:r w:rsidRPr="009D1C63">
        <w:rPr>
          <w:b/>
        </w:rPr>
        <w:t xml:space="preserve"> and </w:t>
      </w:r>
      <w:r w:rsidR="00E8487E" w:rsidRPr="009D1C63">
        <w:rPr>
          <w:b/>
        </w:rPr>
        <w:t xml:space="preserve">their </w:t>
      </w:r>
      <w:r w:rsidRPr="009D1C63">
        <w:rPr>
          <w:b/>
        </w:rPr>
        <w:t>coding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423"/>
      </w:tblGrid>
      <w:tr w:rsidR="00DC215C" w14:paraId="43A8CC6C" w14:textId="77777777" w:rsidTr="00EA55BE">
        <w:tc>
          <w:tcPr>
            <w:tcW w:w="4508" w:type="dxa"/>
            <w:tcBorders>
              <w:top w:val="single" w:sz="4" w:space="0" w:color="auto"/>
              <w:bottom w:val="single" w:sz="4" w:space="0" w:color="auto"/>
            </w:tcBorders>
          </w:tcPr>
          <w:p w14:paraId="1F90BA44" w14:textId="20340238" w:rsidR="00DC215C" w:rsidRPr="00BD6ABA" w:rsidRDefault="00DC215C" w:rsidP="00593A4C">
            <w:pPr>
              <w:spacing w:line="480" w:lineRule="auto"/>
              <w:rPr>
                <w:rStyle w:val="CommentReference"/>
                <w:b/>
                <w:sz w:val="22"/>
                <w:szCs w:val="22"/>
              </w:rPr>
            </w:pPr>
            <w:r w:rsidRPr="00BD6ABA">
              <w:rPr>
                <w:rStyle w:val="CommentReference"/>
                <w:b/>
                <w:sz w:val="22"/>
                <w:szCs w:val="22"/>
              </w:rPr>
              <w:t>Explanatory variables</w:t>
            </w:r>
          </w:p>
        </w:tc>
        <w:tc>
          <w:tcPr>
            <w:tcW w:w="4423" w:type="dxa"/>
            <w:tcBorders>
              <w:top w:val="single" w:sz="4" w:space="0" w:color="auto"/>
              <w:bottom w:val="single" w:sz="4" w:space="0" w:color="auto"/>
            </w:tcBorders>
          </w:tcPr>
          <w:p w14:paraId="0E468D56" w14:textId="27DE0391" w:rsidR="00DC215C" w:rsidRPr="00BD6ABA" w:rsidRDefault="00DC215C" w:rsidP="00593A4C">
            <w:pPr>
              <w:spacing w:line="480" w:lineRule="auto"/>
              <w:rPr>
                <w:rStyle w:val="CommentReference"/>
                <w:b/>
                <w:sz w:val="22"/>
                <w:szCs w:val="22"/>
              </w:rPr>
            </w:pPr>
            <w:r w:rsidRPr="00BD6ABA">
              <w:rPr>
                <w:rStyle w:val="CommentReference"/>
                <w:b/>
                <w:sz w:val="22"/>
                <w:szCs w:val="22"/>
              </w:rPr>
              <w:t>Coding</w:t>
            </w:r>
          </w:p>
        </w:tc>
      </w:tr>
      <w:tr w:rsidR="00DC215C" w14:paraId="4E4B4146" w14:textId="77777777" w:rsidTr="00EA55BE">
        <w:tc>
          <w:tcPr>
            <w:tcW w:w="4508" w:type="dxa"/>
            <w:tcBorders>
              <w:top w:val="single" w:sz="4" w:space="0" w:color="auto"/>
              <w:bottom w:val="single" w:sz="4" w:space="0" w:color="auto"/>
            </w:tcBorders>
          </w:tcPr>
          <w:p w14:paraId="096F7E6E" w14:textId="4EC9CFF4" w:rsidR="00DC215C" w:rsidRPr="00813C16" w:rsidRDefault="00DC215C" w:rsidP="00593A4C">
            <w:pPr>
              <w:spacing w:line="480" w:lineRule="auto"/>
              <w:rPr>
                <w:rStyle w:val="CommentReference"/>
                <w:sz w:val="22"/>
                <w:szCs w:val="22"/>
                <w:vertAlign w:val="superscript"/>
              </w:rPr>
            </w:pPr>
            <w:r w:rsidRPr="00BD6ABA">
              <w:rPr>
                <w:rStyle w:val="CommentReference"/>
                <w:b/>
                <w:sz w:val="22"/>
                <w:szCs w:val="22"/>
              </w:rPr>
              <w:t>Symptoms</w:t>
            </w:r>
            <w:r w:rsidR="00BD6ABA">
              <w:rPr>
                <w:rStyle w:val="CommentReference"/>
                <w:b/>
                <w:sz w:val="22"/>
                <w:szCs w:val="22"/>
              </w:rPr>
              <w:t xml:space="preserve"> from IID2 questionnaire</w:t>
            </w:r>
            <w:r w:rsidR="00813C16">
              <w:rPr>
                <w:rStyle w:val="CommentReference"/>
                <w:b/>
                <w:sz w:val="22"/>
                <w:szCs w:val="22"/>
              </w:rPr>
              <w:t xml:space="preserve"> </w:t>
            </w:r>
            <w:r w:rsidR="00813C16" w:rsidRPr="00D744F8">
              <w:rPr>
                <w:rStyle w:val="CommentReference"/>
                <w:sz w:val="22"/>
                <w:szCs w:val="22"/>
                <w:vertAlign w:val="superscript"/>
              </w:rPr>
              <w:t>a</w:t>
            </w:r>
          </w:p>
          <w:p w14:paraId="1F018B6D" w14:textId="77777777" w:rsidR="00DC215C" w:rsidRDefault="00DC215C" w:rsidP="00897611">
            <w:pPr>
              <w:spacing w:line="480" w:lineRule="auto"/>
              <w:ind w:left="357"/>
            </w:pPr>
            <w:r>
              <w:t>Diarrhoea days</w:t>
            </w:r>
          </w:p>
          <w:p w14:paraId="188DD2A8" w14:textId="77777777" w:rsidR="00DC215C" w:rsidRDefault="00DC215C" w:rsidP="00897611">
            <w:pPr>
              <w:spacing w:line="480" w:lineRule="auto"/>
              <w:ind w:left="357"/>
            </w:pPr>
            <w:r>
              <w:t xml:space="preserve">Bloody diarrhoea </w:t>
            </w:r>
            <w:r>
              <w:tab/>
            </w:r>
            <w:r>
              <w:tab/>
            </w:r>
          </w:p>
          <w:p w14:paraId="38D15B29" w14:textId="3FBB5013" w:rsidR="00DC215C" w:rsidRDefault="00744F04" w:rsidP="00897611">
            <w:pPr>
              <w:spacing w:line="480" w:lineRule="auto"/>
              <w:ind w:left="357"/>
            </w:pPr>
            <w:r>
              <w:t>V</w:t>
            </w:r>
            <w:r w:rsidR="00DC215C">
              <w:t>omiting days</w:t>
            </w:r>
            <w:r w:rsidR="00DC215C">
              <w:tab/>
            </w:r>
            <w:r w:rsidR="00DC215C">
              <w:tab/>
              <w:t xml:space="preserve"> </w:t>
            </w:r>
          </w:p>
          <w:p w14:paraId="4568667E" w14:textId="77777777" w:rsidR="00DC215C" w:rsidRDefault="00DC215C" w:rsidP="00897611">
            <w:pPr>
              <w:spacing w:line="480" w:lineRule="auto"/>
              <w:ind w:left="357"/>
            </w:pPr>
            <w:r>
              <w:t>Nausea</w:t>
            </w:r>
            <w:r>
              <w:tab/>
            </w:r>
            <w:r>
              <w:tab/>
            </w:r>
            <w:r>
              <w:tab/>
            </w:r>
          </w:p>
          <w:p w14:paraId="5B291434" w14:textId="77777777" w:rsidR="00DC215C" w:rsidRDefault="00DC215C" w:rsidP="00897611">
            <w:pPr>
              <w:spacing w:line="480" w:lineRule="auto"/>
              <w:ind w:left="357"/>
            </w:pPr>
            <w:r>
              <w:t>Nausea days</w:t>
            </w:r>
            <w:r>
              <w:tab/>
            </w:r>
            <w:r>
              <w:tab/>
              <w:t xml:space="preserve"> </w:t>
            </w:r>
          </w:p>
          <w:p w14:paraId="3E0A8837" w14:textId="77777777" w:rsidR="00DC215C" w:rsidRDefault="00DC215C" w:rsidP="00897611">
            <w:pPr>
              <w:spacing w:line="480" w:lineRule="auto"/>
              <w:ind w:left="357"/>
            </w:pPr>
            <w:r>
              <w:t>Abdominal pain</w:t>
            </w:r>
            <w:r>
              <w:tab/>
            </w:r>
            <w:r>
              <w:tab/>
            </w:r>
          </w:p>
          <w:p w14:paraId="0B838A1D" w14:textId="77777777" w:rsidR="00DC215C" w:rsidRDefault="00DC215C" w:rsidP="00897611">
            <w:pPr>
              <w:spacing w:line="480" w:lineRule="auto"/>
              <w:ind w:left="357"/>
            </w:pPr>
            <w:r>
              <w:t>Loss of appetite</w:t>
            </w:r>
            <w:r>
              <w:tab/>
            </w:r>
            <w:r>
              <w:tab/>
            </w:r>
          </w:p>
          <w:p w14:paraId="16E49A8C" w14:textId="77777777" w:rsidR="00DC215C" w:rsidRDefault="00DC215C" w:rsidP="00897611">
            <w:pPr>
              <w:spacing w:line="480" w:lineRule="auto"/>
              <w:ind w:left="357"/>
            </w:pPr>
            <w:r>
              <w:t>Fever</w:t>
            </w:r>
            <w:r>
              <w:tab/>
            </w:r>
            <w:r>
              <w:tab/>
            </w:r>
            <w:r>
              <w:tab/>
            </w:r>
          </w:p>
          <w:p w14:paraId="7F87FF92" w14:textId="77777777" w:rsidR="00DC215C" w:rsidRDefault="00DC215C" w:rsidP="00897611">
            <w:pPr>
              <w:spacing w:line="480" w:lineRule="auto"/>
              <w:ind w:left="357"/>
            </w:pPr>
            <w:r>
              <w:t>Headache</w:t>
            </w:r>
            <w:r>
              <w:tab/>
            </w:r>
            <w:r>
              <w:tab/>
            </w:r>
            <w:r>
              <w:tab/>
            </w:r>
          </w:p>
          <w:p w14:paraId="3DB71D35" w14:textId="7E8301E0" w:rsidR="00DC215C" w:rsidRPr="00DC215C" w:rsidRDefault="00DC215C" w:rsidP="00897611">
            <w:pPr>
              <w:spacing w:line="480" w:lineRule="auto"/>
              <w:ind w:left="357"/>
              <w:rPr>
                <w:rStyle w:val="CommentReference"/>
                <w:sz w:val="22"/>
                <w:szCs w:val="22"/>
              </w:rPr>
            </w:pPr>
            <w:r>
              <w:t>Cough/nose/throat</w:t>
            </w:r>
            <w:r>
              <w:tab/>
            </w:r>
            <w:r>
              <w:tab/>
            </w:r>
          </w:p>
        </w:tc>
        <w:tc>
          <w:tcPr>
            <w:tcW w:w="4423" w:type="dxa"/>
            <w:tcBorders>
              <w:top w:val="single" w:sz="4" w:space="0" w:color="auto"/>
              <w:bottom w:val="single" w:sz="4" w:space="0" w:color="auto"/>
            </w:tcBorders>
          </w:tcPr>
          <w:p w14:paraId="5500547A" w14:textId="77777777" w:rsidR="00DC215C" w:rsidRDefault="00DC215C" w:rsidP="00593A4C">
            <w:pPr>
              <w:spacing w:line="480" w:lineRule="auto"/>
            </w:pPr>
          </w:p>
          <w:p w14:paraId="36F9D9B2" w14:textId="77777777" w:rsidR="00DC215C" w:rsidRDefault="00DC215C" w:rsidP="00593A4C">
            <w:pPr>
              <w:spacing w:line="480" w:lineRule="auto"/>
            </w:pPr>
            <w:r>
              <w:t xml:space="preserve">&gt;3 days = 1  &lt;=3 days = 0  </w:t>
            </w:r>
          </w:p>
          <w:p w14:paraId="2A216193" w14:textId="38E2E4C9" w:rsidR="00DC215C" w:rsidRDefault="00DC215C" w:rsidP="00593A4C">
            <w:pPr>
              <w:spacing w:line="480" w:lineRule="auto"/>
            </w:pPr>
            <w:r>
              <w:t>Yes = 1</w:t>
            </w:r>
            <w:r>
              <w:tab/>
              <w:t>No = 0</w:t>
            </w:r>
          </w:p>
          <w:p w14:paraId="391A234E" w14:textId="22D05143" w:rsidR="00DC215C" w:rsidRDefault="00DC215C" w:rsidP="00593A4C">
            <w:pPr>
              <w:spacing w:line="480" w:lineRule="auto"/>
            </w:pPr>
            <w:r>
              <w:t xml:space="preserve">&gt;3 days = 1  &lt;=3 days = 0  </w:t>
            </w:r>
          </w:p>
          <w:p w14:paraId="3AC92D8B" w14:textId="3AD3ACA7" w:rsidR="00DC215C" w:rsidRDefault="00DC215C" w:rsidP="00593A4C">
            <w:pPr>
              <w:spacing w:line="480" w:lineRule="auto"/>
            </w:pPr>
            <w:r>
              <w:t>Yes = 1</w:t>
            </w:r>
            <w:r>
              <w:tab/>
              <w:t>No = 0</w:t>
            </w:r>
          </w:p>
          <w:p w14:paraId="52E50EE7" w14:textId="41A57C3F" w:rsidR="00DC215C" w:rsidRDefault="00DC215C" w:rsidP="00593A4C">
            <w:pPr>
              <w:spacing w:line="480" w:lineRule="auto"/>
            </w:pPr>
            <w:r>
              <w:t xml:space="preserve">&gt;3 days = 1  &lt;=3 days = 0  </w:t>
            </w:r>
          </w:p>
          <w:p w14:paraId="387992DA" w14:textId="7D839598" w:rsidR="00DC215C" w:rsidRDefault="00DC215C" w:rsidP="00593A4C">
            <w:pPr>
              <w:spacing w:line="480" w:lineRule="auto"/>
            </w:pPr>
            <w:r>
              <w:t>Yes = 1</w:t>
            </w:r>
            <w:r>
              <w:tab/>
              <w:t>No = 0</w:t>
            </w:r>
          </w:p>
          <w:p w14:paraId="2B03945B" w14:textId="0650EC41" w:rsidR="00DC215C" w:rsidRDefault="00DC215C" w:rsidP="00593A4C">
            <w:pPr>
              <w:spacing w:line="480" w:lineRule="auto"/>
            </w:pPr>
            <w:r>
              <w:t>Yes = 1</w:t>
            </w:r>
            <w:r>
              <w:tab/>
              <w:t>No = 0</w:t>
            </w:r>
          </w:p>
          <w:p w14:paraId="5AF79BB4" w14:textId="77777777" w:rsidR="00DC215C" w:rsidRDefault="00DC215C" w:rsidP="00593A4C">
            <w:pPr>
              <w:spacing w:line="480" w:lineRule="auto"/>
            </w:pPr>
            <w:r>
              <w:t>Yes = 1</w:t>
            </w:r>
            <w:r>
              <w:tab/>
              <w:t>No = 0</w:t>
            </w:r>
          </w:p>
          <w:p w14:paraId="681D3DBA" w14:textId="1464CBDB" w:rsidR="00DC215C" w:rsidRDefault="00DC215C" w:rsidP="00593A4C">
            <w:pPr>
              <w:spacing w:line="480" w:lineRule="auto"/>
            </w:pPr>
            <w:r>
              <w:t>Yes = 1</w:t>
            </w:r>
            <w:r>
              <w:tab/>
              <w:t>No = 0</w:t>
            </w:r>
          </w:p>
          <w:p w14:paraId="34E84928" w14:textId="68B0CF92" w:rsidR="00DC215C" w:rsidRPr="00DC215C" w:rsidRDefault="00DC215C" w:rsidP="00593A4C">
            <w:pPr>
              <w:spacing w:line="480" w:lineRule="auto"/>
              <w:rPr>
                <w:rStyle w:val="CommentReference"/>
                <w:sz w:val="22"/>
                <w:szCs w:val="22"/>
              </w:rPr>
            </w:pPr>
            <w:r>
              <w:t>Yes = 1</w:t>
            </w:r>
            <w:r>
              <w:tab/>
              <w:t>No = 0</w:t>
            </w:r>
          </w:p>
        </w:tc>
      </w:tr>
      <w:tr w:rsidR="00DC215C" w14:paraId="531BCA6B" w14:textId="77777777" w:rsidTr="00EA55BE">
        <w:tc>
          <w:tcPr>
            <w:tcW w:w="4508" w:type="dxa"/>
            <w:tcBorders>
              <w:top w:val="single" w:sz="4" w:space="0" w:color="auto"/>
              <w:bottom w:val="single" w:sz="4" w:space="0" w:color="auto"/>
            </w:tcBorders>
          </w:tcPr>
          <w:p w14:paraId="2A56935D" w14:textId="4781E667" w:rsidR="00BD6ABA" w:rsidRPr="00744F04" w:rsidRDefault="00BD6ABA" w:rsidP="00744F04">
            <w:pPr>
              <w:spacing w:line="480" w:lineRule="auto"/>
              <w:rPr>
                <w:b/>
              </w:rPr>
            </w:pPr>
            <w:r>
              <w:rPr>
                <w:rStyle w:val="CommentReference"/>
                <w:b/>
                <w:sz w:val="22"/>
                <w:szCs w:val="22"/>
              </w:rPr>
              <w:t>Combined symptom variables</w:t>
            </w:r>
            <w:r>
              <w:tab/>
            </w:r>
          </w:p>
          <w:p w14:paraId="362506A3" w14:textId="77777777" w:rsidR="00BD6ABA" w:rsidRDefault="00BD6ABA" w:rsidP="00BD6ABA">
            <w:pPr>
              <w:spacing w:line="480" w:lineRule="auto"/>
              <w:ind w:left="360"/>
            </w:pPr>
            <w:r>
              <w:t>Diarrhoea but no vomiting</w:t>
            </w:r>
            <w:r>
              <w:tab/>
            </w:r>
            <w:r>
              <w:tab/>
            </w:r>
          </w:p>
          <w:p w14:paraId="3813E7AE" w14:textId="0799EA55" w:rsidR="00BD6ABA" w:rsidRPr="00DC215C" w:rsidRDefault="00744F04" w:rsidP="00744F04">
            <w:pPr>
              <w:spacing w:line="480" w:lineRule="auto"/>
              <w:ind w:left="360"/>
              <w:rPr>
                <w:rStyle w:val="CommentReference"/>
                <w:sz w:val="22"/>
                <w:szCs w:val="22"/>
              </w:rPr>
            </w:pPr>
            <w:r>
              <w:t>Vomiting but no diarrhoea</w:t>
            </w:r>
            <w:r>
              <w:tab/>
            </w:r>
            <w:r>
              <w:tab/>
            </w:r>
          </w:p>
        </w:tc>
        <w:tc>
          <w:tcPr>
            <w:tcW w:w="4423" w:type="dxa"/>
            <w:tcBorders>
              <w:top w:val="single" w:sz="4" w:space="0" w:color="auto"/>
              <w:bottom w:val="single" w:sz="4" w:space="0" w:color="auto"/>
            </w:tcBorders>
          </w:tcPr>
          <w:p w14:paraId="32F66A5B" w14:textId="77777777" w:rsidR="00DC215C" w:rsidRDefault="00DC215C" w:rsidP="00593A4C">
            <w:pPr>
              <w:spacing w:line="480" w:lineRule="auto"/>
              <w:rPr>
                <w:rStyle w:val="CommentReference"/>
                <w:sz w:val="22"/>
                <w:szCs w:val="22"/>
              </w:rPr>
            </w:pPr>
          </w:p>
          <w:p w14:paraId="325AF562" w14:textId="48650582" w:rsidR="00BD6ABA" w:rsidRDefault="00BD6ABA" w:rsidP="00593A4C">
            <w:pPr>
              <w:spacing w:line="480" w:lineRule="auto"/>
              <w:rPr>
                <w:rStyle w:val="CommentReference"/>
                <w:sz w:val="22"/>
                <w:szCs w:val="22"/>
              </w:rPr>
            </w:pPr>
            <w:r>
              <w:t>Yes = 1</w:t>
            </w:r>
            <w:r>
              <w:tab/>
              <w:t>No = 0</w:t>
            </w:r>
          </w:p>
          <w:p w14:paraId="6EABE276" w14:textId="3A9D6671" w:rsidR="00BD6ABA" w:rsidRPr="00DC215C" w:rsidRDefault="00BD6ABA" w:rsidP="00593A4C">
            <w:pPr>
              <w:spacing w:line="480" w:lineRule="auto"/>
              <w:rPr>
                <w:rStyle w:val="CommentReference"/>
                <w:sz w:val="22"/>
                <w:szCs w:val="22"/>
              </w:rPr>
            </w:pPr>
            <w:r>
              <w:t>Yes = 1</w:t>
            </w:r>
            <w:r>
              <w:tab/>
              <w:t>No = 0</w:t>
            </w:r>
          </w:p>
        </w:tc>
      </w:tr>
      <w:tr w:rsidR="00DC215C" w14:paraId="6648467D" w14:textId="77777777" w:rsidTr="00EA55BE">
        <w:tc>
          <w:tcPr>
            <w:tcW w:w="4508" w:type="dxa"/>
            <w:tcBorders>
              <w:top w:val="single" w:sz="4" w:space="0" w:color="auto"/>
              <w:bottom w:val="single" w:sz="4" w:space="0" w:color="auto"/>
            </w:tcBorders>
          </w:tcPr>
          <w:p w14:paraId="5667D38D" w14:textId="482AC354" w:rsidR="00BD6ABA" w:rsidRPr="00BD6ABA" w:rsidRDefault="00DC215C" w:rsidP="00BD6ABA">
            <w:pPr>
              <w:tabs>
                <w:tab w:val="left" w:pos="2865"/>
              </w:tabs>
              <w:spacing w:line="480" w:lineRule="auto"/>
              <w:rPr>
                <w:rStyle w:val="CommentReference"/>
                <w:b/>
                <w:sz w:val="22"/>
                <w:szCs w:val="22"/>
              </w:rPr>
            </w:pPr>
            <w:r w:rsidRPr="00BD6ABA">
              <w:rPr>
                <w:rStyle w:val="CommentReference"/>
                <w:b/>
                <w:sz w:val="22"/>
                <w:szCs w:val="22"/>
              </w:rPr>
              <w:t>Participant characteristics</w:t>
            </w:r>
            <w:r w:rsidR="00BD6ABA" w:rsidRPr="00BD6ABA">
              <w:rPr>
                <w:rStyle w:val="CommentReference"/>
                <w:b/>
                <w:sz w:val="22"/>
                <w:szCs w:val="22"/>
              </w:rPr>
              <w:tab/>
            </w:r>
          </w:p>
          <w:p w14:paraId="1DD44CA1" w14:textId="30B204DD" w:rsidR="00BD6ABA" w:rsidRDefault="00BD6ABA" w:rsidP="00BD6ABA">
            <w:pPr>
              <w:spacing w:line="480" w:lineRule="auto"/>
              <w:ind w:left="360"/>
            </w:pPr>
            <w:r>
              <w:t>Age</w:t>
            </w:r>
            <w:r>
              <w:tab/>
            </w:r>
            <w:r w:rsidR="00813C16">
              <w:rPr>
                <w:vertAlign w:val="superscript"/>
              </w:rPr>
              <w:t>b</w:t>
            </w:r>
            <w:r>
              <w:tab/>
            </w:r>
            <w:r>
              <w:tab/>
            </w:r>
            <w:r>
              <w:tab/>
            </w:r>
          </w:p>
          <w:p w14:paraId="6C3146F5" w14:textId="75C2541A" w:rsidR="00BD6ABA" w:rsidRPr="00DC215C" w:rsidRDefault="00BD6ABA" w:rsidP="00BD6ABA">
            <w:pPr>
              <w:spacing w:line="480" w:lineRule="auto"/>
              <w:ind w:left="360"/>
              <w:rPr>
                <w:rStyle w:val="CommentReference"/>
                <w:sz w:val="22"/>
                <w:szCs w:val="22"/>
              </w:rPr>
            </w:pPr>
            <w:r>
              <w:t>Date of onset</w:t>
            </w:r>
            <w:r w:rsidR="00D744F8">
              <w:t xml:space="preserve"> </w:t>
            </w:r>
            <w:r w:rsidR="00813C16" w:rsidRPr="00813C16">
              <w:rPr>
                <w:vertAlign w:val="superscript"/>
              </w:rPr>
              <w:t>b</w:t>
            </w:r>
            <w:r>
              <w:tab/>
            </w:r>
            <w:r>
              <w:tab/>
            </w:r>
          </w:p>
        </w:tc>
        <w:tc>
          <w:tcPr>
            <w:tcW w:w="4423" w:type="dxa"/>
            <w:tcBorders>
              <w:top w:val="single" w:sz="4" w:space="0" w:color="auto"/>
              <w:bottom w:val="single" w:sz="4" w:space="0" w:color="auto"/>
            </w:tcBorders>
          </w:tcPr>
          <w:p w14:paraId="6820375D" w14:textId="77777777" w:rsidR="00DC215C" w:rsidRDefault="00DC215C" w:rsidP="00593A4C">
            <w:pPr>
              <w:spacing w:line="480" w:lineRule="auto"/>
              <w:rPr>
                <w:rStyle w:val="CommentReference"/>
                <w:sz w:val="22"/>
                <w:szCs w:val="22"/>
              </w:rPr>
            </w:pPr>
          </w:p>
          <w:p w14:paraId="36F8D0C3" w14:textId="3E39BD4F" w:rsidR="00BD6ABA" w:rsidRDefault="00BD6ABA" w:rsidP="00593A4C">
            <w:pPr>
              <w:spacing w:line="480" w:lineRule="auto"/>
              <w:rPr>
                <w:rStyle w:val="CommentReference"/>
                <w:sz w:val="22"/>
                <w:szCs w:val="22"/>
              </w:rPr>
            </w:pPr>
            <w:r>
              <w:t>&gt;16yrs = 0, 5-16yrs = 1, &lt;5yrs = 2</w:t>
            </w:r>
          </w:p>
          <w:p w14:paraId="397C07E9" w14:textId="0AD26C00" w:rsidR="00BD6ABA" w:rsidRPr="00813C16" w:rsidRDefault="00BD6ABA" w:rsidP="00593A4C">
            <w:pPr>
              <w:spacing w:line="480" w:lineRule="auto"/>
              <w:rPr>
                <w:rStyle w:val="CommentReference"/>
                <w:sz w:val="22"/>
                <w:szCs w:val="22"/>
                <w:vertAlign w:val="superscript"/>
              </w:rPr>
            </w:pPr>
            <w:r>
              <w:t>Autumn(0), Winter(1), Spring(2), Summer(3)</w:t>
            </w:r>
            <w:r w:rsidR="00813C16">
              <w:t xml:space="preserve"> </w:t>
            </w:r>
            <w:r w:rsidR="00813C16">
              <w:rPr>
                <w:vertAlign w:val="superscript"/>
              </w:rPr>
              <w:t>c</w:t>
            </w:r>
          </w:p>
        </w:tc>
      </w:tr>
    </w:tbl>
    <w:p w14:paraId="3558CB27" w14:textId="5E303779" w:rsidR="00BD6ABA" w:rsidRPr="00BD6ABA" w:rsidRDefault="00813C16" w:rsidP="00BD6ABA">
      <w:pPr>
        <w:spacing w:after="0" w:line="480" w:lineRule="auto"/>
      </w:pPr>
      <w:r>
        <w:rPr>
          <w:vertAlign w:val="superscript"/>
        </w:rPr>
        <w:t>a</w:t>
      </w:r>
      <w:r w:rsidR="00BD6ABA">
        <w:t xml:space="preserve"> ‘</w:t>
      </w:r>
      <w:r w:rsidR="00BD6ABA" w:rsidRPr="00BD6ABA">
        <w:t>Not sure’ responses from the original questionnaires were left blank and treated as missing data</w:t>
      </w:r>
    </w:p>
    <w:p w14:paraId="01EBE76D" w14:textId="476FE071" w:rsidR="00813C16" w:rsidRDefault="00813C16" w:rsidP="00593A4C">
      <w:pPr>
        <w:spacing w:after="0" w:line="480" w:lineRule="auto"/>
      </w:pPr>
      <w:r>
        <w:rPr>
          <w:vertAlign w:val="superscript"/>
        </w:rPr>
        <w:t>b</w:t>
      </w:r>
      <w:r w:rsidR="00EA55BE" w:rsidRPr="00EA55BE">
        <w:t xml:space="preserve"> </w:t>
      </w:r>
      <w:r>
        <w:t>Coded as factors for analysis</w:t>
      </w:r>
    </w:p>
    <w:p w14:paraId="32804EFF" w14:textId="7418F78F" w:rsidR="0086066E" w:rsidRPr="00EA55BE" w:rsidRDefault="00813C16" w:rsidP="00593A4C">
      <w:pPr>
        <w:spacing w:after="0" w:line="480" w:lineRule="auto"/>
        <w:rPr>
          <w:sz w:val="24"/>
          <w:szCs w:val="24"/>
          <w:u w:val="single"/>
        </w:rPr>
      </w:pPr>
      <w:r>
        <w:rPr>
          <w:vertAlign w:val="superscript"/>
        </w:rPr>
        <w:t xml:space="preserve">c </w:t>
      </w:r>
      <w:r w:rsidRPr="00EA55BE">
        <w:t>Seasons de</w:t>
      </w:r>
      <w:r>
        <w:t>fined by</w:t>
      </w:r>
      <w:r w:rsidRPr="00EA55BE">
        <w:t xml:space="preserve"> meteorological calendar </w:t>
      </w:r>
      <w:r w:rsidR="0086066E" w:rsidRPr="00EA55BE">
        <w:br w:type="page"/>
      </w:r>
    </w:p>
    <w:p w14:paraId="2759F69D" w14:textId="1D85297D" w:rsidR="00593A4C" w:rsidRPr="009D1C63" w:rsidRDefault="0086066E" w:rsidP="00593A4C">
      <w:pPr>
        <w:spacing w:after="0" w:line="480" w:lineRule="auto"/>
        <w:rPr>
          <w:b/>
        </w:rPr>
      </w:pPr>
      <w:r w:rsidRPr="009D1C63">
        <w:rPr>
          <w:b/>
        </w:rPr>
        <w:t>Table 2</w:t>
      </w:r>
      <w:r w:rsidR="00593A4C" w:rsidRPr="009D1C63">
        <w:rPr>
          <w:b/>
        </w:rPr>
        <w:t xml:space="preserve">. Organisms, and the associated number of cases, </w:t>
      </w:r>
      <w:r w:rsidR="00E8487E" w:rsidRPr="009D1C63">
        <w:rPr>
          <w:b/>
        </w:rPr>
        <w:t xml:space="preserve">as </w:t>
      </w:r>
      <w:r w:rsidR="00593A4C" w:rsidRPr="009D1C63">
        <w:rPr>
          <w:b/>
        </w:rPr>
        <w:t>included in the analysis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2126"/>
      </w:tblGrid>
      <w:tr w:rsidR="00897611" w14:paraId="51A1BA77" w14:textId="77777777" w:rsidTr="00D744F8">
        <w:trPr>
          <w:trHeight w:val="618"/>
        </w:trPr>
        <w:tc>
          <w:tcPr>
            <w:tcW w:w="3256" w:type="dxa"/>
            <w:tcBorders>
              <w:top w:val="single" w:sz="4" w:space="0" w:color="auto"/>
              <w:bottom w:val="single" w:sz="4" w:space="0" w:color="auto"/>
            </w:tcBorders>
            <w:shd w:val="clear" w:color="auto" w:fill="auto"/>
            <w:vAlign w:val="center"/>
          </w:tcPr>
          <w:p w14:paraId="4156BC54" w14:textId="77777777" w:rsidR="00593A4C" w:rsidRPr="00190F06" w:rsidRDefault="00593A4C" w:rsidP="00491DBE">
            <w:pPr>
              <w:spacing w:line="480" w:lineRule="auto"/>
              <w:rPr>
                <w:b/>
              </w:rPr>
            </w:pPr>
            <w:r w:rsidRPr="00190F06">
              <w:rPr>
                <w:b/>
              </w:rPr>
              <w:t>Pathogen</w:t>
            </w:r>
          </w:p>
        </w:tc>
        <w:tc>
          <w:tcPr>
            <w:tcW w:w="2126" w:type="dxa"/>
            <w:tcBorders>
              <w:top w:val="single" w:sz="4" w:space="0" w:color="auto"/>
              <w:bottom w:val="single" w:sz="4" w:space="0" w:color="auto"/>
            </w:tcBorders>
            <w:shd w:val="clear" w:color="auto" w:fill="auto"/>
            <w:vAlign w:val="center"/>
          </w:tcPr>
          <w:p w14:paraId="3783AD72" w14:textId="77777777" w:rsidR="00593A4C" w:rsidRPr="00190F06" w:rsidRDefault="00593A4C" w:rsidP="00491DBE">
            <w:pPr>
              <w:spacing w:line="480" w:lineRule="auto"/>
              <w:rPr>
                <w:b/>
              </w:rPr>
            </w:pPr>
            <w:r w:rsidRPr="00190F06">
              <w:rPr>
                <w:b/>
              </w:rPr>
              <w:t>No. cases identified</w:t>
            </w:r>
          </w:p>
        </w:tc>
      </w:tr>
      <w:tr w:rsidR="00593A4C" w14:paraId="52DFFE65" w14:textId="77777777" w:rsidTr="004F7D2C">
        <w:trPr>
          <w:trHeight w:val="397"/>
        </w:trPr>
        <w:tc>
          <w:tcPr>
            <w:tcW w:w="3256" w:type="dxa"/>
            <w:tcBorders>
              <w:top w:val="single" w:sz="4" w:space="0" w:color="auto"/>
            </w:tcBorders>
            <w:vAlign w:val="center"/>
          </w:tcPr>
          <w:p w14:paraId="447B4F15" w14:textId="77777777" w:rsidR="00593A4C" w:rsidRPr="00A220A6" w:rsidRDefault="00593A4C" w:rsidP="00491DBE">
            <w:pPr>
              <w:spacing w:line="480" w:lineRule="auto"/>
              <w:rPr>
                <w:b/>
              </w:rPr>
            </w:pPr>
            <w:r w:rsidRPr="00A220A6">
              <w:rPr>
                <w:b/>
              </w:rPr>
              <w:t>Bacteria</w:t>
            </w:r>
          </w:p>
          <w:p w14:paraId="4995A907" w14:textId="77777777" w:rsidR="00593A4C" w:rsidRDefault="00593A4C" w:rsidP="00897611">
            <w:pPr>
              <w:spacing w:line="480" w:lineRule="auto"/>
              <w:ind w:left="357"/>
            </w:pPr>
            <w:r w:rsidRPr="00152803">
              <w:rPr>
                <w:i/>
              </w:rPr>
              <w:t>C.</w:t>
            </w:r>
            <w:r>
              <w:rPr>
                <w:i/>
              </w:rPr>
              <w:t xml:space="preserve"> </w:t>
            </w:r>
            <w:r w:rsidRPr="00152803">
              <w:rPr>
                <w:i/>
              </w:rPr>
              <w:t>difficile</w:t>
            </w:r>
            <w:r>
              <w:t xml:space="preserve"> </w:t>
            </w:r>
          </w:p>
        </w:tc>
        <w:tc>
          <w:tcPr>
            <w:tcW w:w="2126" w:type="dxa"/>
            <w:tcBorders>
              <w:top w:val="single" w:sz="4" w:space="0" w:color="auto"/>
            </w:tcBorders>
            <w:vAlign w:val="center"/>
          </w:tcPr>
          <w:p w14:paraId="0D824790" w14:textId="77777777" w:rsidR="00593A4C" w:rsidRPr="004F7D2C" w:rsidRDefault="00593A4C" w:rsidP="00491DBE">
            <w:pPr>
              <w:spacing w:line="480" w:lineRule="auto"/>
              <w:jc w:val="center"/>
              <w:rPr>
                <w:b/>
              </w:rPr>
            </w:pPr>
            <w:r w:rsidRPr="004F7D2C">
              <w:rPr>
                <w:b/>
              </w:rPr>
              <w:t>238</w:t>
            </w:r>
          </w:p>
          <w:p w14:paraId="5A0026DE" w14:textId="77777777" w:rsidR="00593A4C" w:rsidRPr="004F7D2C" w:rsidRDefault="00593A4C" w:rsidP="00491DBE">
            <w:pPr>
              <w:spacing w:line="480" w:lineRule="auto"/>
              <w:jc w:val="center"/>
            </w:pPr>
            <w:r w:rsidRPr="004F7D2C">
              <w:t>11</w:t>
            </w:r>
          </w:p>
        </w:tc>
      </w:tr>
      <w:tr w:rsidR="00593A4C" w14:paraId="40946281" w14:textId="77777777" w:rsidTr="004F7D2C">
        <w:trPr>
          <w:trHeight w:val="397"/>
        </w:trPr>
        <w:tc>
          <w:tcPr>
            <w:tcW w:w="3256" w:type="dxa"/>
            <w:vAlign w:val="center"/>
          </w:tcPr>
          <w:p w14:paraId="762F4A2C" w14:textId="77777777" w:rsidR="00593A4C" w:rsidRPr="00152803" w:rsidRDefault="00593A4C" w:rsidP="00897611">
            <w:pPr>
              <w:spacing w:line="480" w:lineRule="auto"/>
              <w:ind w:left="357"/>
            </w:pPr>
            <w:r w:rsidRPr="00152803">
              <w:rPr>
                <w:i/>
              </w:rPr>
              <w:t>C. perfringens</w:t>
            </w:r>
            <w:r>
              <w:t xml:space="preserve"> </w:t>
            </w:r>
          </w:p>
        </w:tc>
        <w:tc>
          <w:tcPr>
            <w:tcW w:w="2126" w:type="dxa"/>
            <w:vAlign w:val="center"/>
          </w:tcPr>
          <w:p w14:paraId="0F3D5FE4" w14:textId="77777777" w:rsidR="00593A4C" w:rsidRPr="004F7D2C" w:rsidRDefault="00593A4C" w:rsidP="00491DBE">
            <w:pPr>
              <w:spacing w:line="480" w:lineRule="auto"/>
              <w:jc w:val="center"/>
            </w:pPr>
            <w:r w:rsidRPr="004F7D2C">
              <w:t>25</w:t>
            </w:r>
          </w:p>
        </w:tc>
      </w:tr>
      <w:tr w:rsidR="00593A4C" w14:paraId="1527155F" w14:textId="77777777" w:rsidTr="004F7D2C">
        <w:trPr>
          <w:trHeight w:val="397"/>
        </w:trPr>
        <w:tc>
          <w:tcPr>
            <w:tcW w:w="3256" w:type="dxa"/>
            <w:shd w:val="clear" w:color="auto" w:fill="FFFFFF" w:themeFill="background1"/>
            <w:vAlign w:val="center"/>
          </w:tcPr>
          <w:p w14:paraId="1793BCF1" w14:textId="64A8F875" w:rsidR="00593A4C" w:rsidRPr="00152803" w:rsidRDefault="00593A4C" w:rsidP="00897611">
            <w:pPr>
              <w:spacing w:line="480" w:lineRule="auto"/>
              <w:ind w:left="357"/>
              <w:rPr>
                <w:i/>
              </w:rPr>
            </w:pPr>
            <w:r>
              <w:rPr>
                <w:i/>
              </w:rPr>
              <w:t>Campylobacter</w:t>
            </w:r>
            <w:r w:rsidR="00E6052C">
              <w:rPr>
                <w:i/>
              </w:rPr>
              <w:t xml:space="preserve"> </w:t>
            </w:r>
            <w:r w:rsidR="00E6052C" w:rsidRPr="00E6052C">
              <w:t>sp.</w:t>
            </w:r>
          </w:p>
        </w:tc>
        <w:tc>
          <w:tcPr>
            <w:tcW w:w="2126" w:type="dxa"/>
            <w:shd w:val="clear" w:color="auto" w:fill="FFFFFF" w:themeFill="background1"/>
            <w:vAlign w:val="center"/>
          </w:tcPr>
          <w:p w14:paraId="19C4275F" w14:textId="77777777" w:rsidR="00593A4C" w:rsidRPr="004F7D2C" w:rsidRDefault="00593A4C" w:rsidP="00491DBE">
            <w:pPr>
              <w:spacing w:line="480" w:lineRule="auto"/>
              <w:jc w:val="center"/>
            </w:pPr>
            <w:r w:rsidRPr="004F7D2C">
              <w:t>150</w:t>
            </w:r>
          </w:p>
        </w:tc>
      </w:tr>
      <w:tr w:rsidR="00593A4C" w14:paraId="7031EB55" w14:textId="77777777" w:rsidTr="004F7D2C">
        <w:trPr>
          <w:trHeight w:val="397"/>
        </w:trPr>
        <w:tc>
          <w:tcPr>
            <w:tcW w:w="3256" w:type="dxa"/>
            <w:shd w:val="clear" w:color="auto" w:fill="FFFFFF" w:themeFill="background1"/>
            <w:vAlign w:val="center"/>
          </w:tcPr>
          <w:p w14:paraId="176B9749" w14:textId="77777777" w:rsidR="00593A4C" w:rsidRDefault="00593A4C" w:rsidP="00897611">
            <w:pPr>
              <w:spacing w:line="480" w:lineRule="auto"/>
              <w:ind w:left="357"/>
            </w:pPr>
            <w:r w:rsidRPr="00152803">
              <w:rPr>
                <w:i/>
              </w:rPr>
              <w:t>E.coli</w:t>
            </w:r>
            <w:r>
              <w:t xml:space="preserve"> VTEC </w:t>
            </w:r>
          </w:p>
        </w:tc>
        <w:tc>
          <w:tcPr>
            <w:tcW w:w="2126" w:type="dxa"/>
            <w:shd w:val="clear" w:color="auto" w:fill="FFFFFF" w:themeFill="background1"/>
            <w:vAlign w:val="center"/>
          </w:tcPr>
          <w:p w14:paraId="159780B9" w14:textId="77777777" w:rsidR="00593A4C" w:rsidRPr="004F7D2C" w:rsidRDefault="00593A4C" w:rsidP="00491DBE">
            <w:pPr>
              <w:spacing w:line="480" w:lineRule="auto"/>
              <w:jc w:val="center"/>
            </w:pPr>
            <w:r w:rsidRPr="004F7D2C">
              <w:t>15</w:t>
            </w:r>
          </w:p>
        </w:tc>
      </w:tr>
      <w:tr w:rsidR="00593A4C" w14:paraId="14EEEF5F" w14:textId="77777777" w:rsidTr="004F7D2C">
        <w:trPr>
          <w:trHeight w:val="397"/>
        </w:trPr>
        <w:tc>
          <w:tcPr>
            <w:tcW w:w="3256" w:type="dxa"/>
            <w:shd w:val="clear" w:color="auto" w:fill="FFFFFF" w:themeFill="background1"/>
            <w:vAlign w:val="center"/>
          </w:tcPr>
          <w:p w14:paraId="461E0993" w14:textId="77777777" w:rsidR="00593A4C" w:rsidRDefault="00593A4C" w:rsidP="00897611">
            <w:pPr>
              <w:spacing w:line="480" w:lineRule="auto"/>
              <w:ind w:left="357"/>
            </w:pPr>
            <w:r>
              <w:t xml:space="preserve">Enteroaggregative </w:t>
            </w:r>
            <w:r w:rsidRPr="00152803">
              <w:rPr>
                <w:i/>
              </w:rPr>
              <w:t>E.coli</w:t>
            </w:r>
            <w:r>
              <w:t xml:space="preserve"> </w:t>
            </w:r>
          </w:p>
        </w:tc>
        <w:tc>
          <w:tcPr>
            <w:tcW w:w="2126" w:type="dxa"/>
            <w:shd w:val="clear" w:color="auto" w:fill="FFFFFF" w:themeFill="background1"/>
            <w:vAlign w:val="center"/>
          </w:tcPr>
          <w:p w14:paraId="0962233F" w14:textId="77777777" w:rsidR="00593A4C" w:rsidRPr="004F7D2C" w:rsidRDefault="00593A4C" w:rsidP="00491DBE">
            <w:pPr>
              <w:spacing w:line="480" w:lineRule="auto"/>
              <w:jc w:val="center"/>
            </w:pPr>
            <w:r w:rsidRPr="004F7D2C">
              <w:t>27</w:t>
            </w:r>
          </w:p>
        </w:tc>
      </w:tr>
      <w:tr w:rsidR="00593A4C" w14:paraId="7476D28D" w14:textId="77777777" w:rsidTr="004F7D2C">
        <w:trPr>
          <w:trHeight w:val="397"/>
        </w:trPr>
        <w:tc>
          <w:tcPr>
            <w:tcW w:w="3256" w:type="dxa"/>
            <w:shd w:val="clear" w:color="auto" w:fill="FFFFFF" w:themeFill="background1"/>
            <w:vAlign w:val="center"/>
          </w:tcPr>
          <w:p w14:paraId="2D61CDEE" w14:textId="4150A01B" w:rsidR="00593A4C" w:rsidRDefault="00593A4C" w:rsidP="00897611">
            <w:pPr>
              <w:spacing w:line="480" w:lineRule="auto"/>
              <w:ind w:left="357"/>
            </w:pPr>
            <w:r w:rsidRPr="00152803">
              <w:rPr>
                <w:i/>
              </w:rPr>
              <w:t>Salmonella</w:t>
            </w:r>
            <w:r>
              <w:t xml:space="preserve"> </w:t>
            </w:r>
            <w:r w:rsidR="00E6052C">
              <w:t>sp.</w:t>
            </w:r>
          </w:p>
        </w:tc>
        <w:tc>
          <w:tcPr>
            <w:tcW w:w="2126" w:type="dxa"/>
            <w:shd w:val="clear" w:color="auto" w:fill="FFFFFF" w:themeFill="background1"/>
            <w:vAlign w:val="center"/>
          </w:tcPr>
          <w:p w14:paraId="1C25E2B4" w14:textId="77777777" w:rsidR="00593A4C" w:rsidRPr="004F7D2C" w:rsidRDefault="00593A4C" w:rsidP="00491DBE">
            <w:pPr>
              <w:spacing w:line="480" w:lineRule="auto"/>
              <w:jc w:val="center"/>
            </w:pPr>
            <w:r w:rsidRPr="004F7D2C">
              <w:t>9</w:t>
            </w:r>
          </w:p>
        </w:tc>
      </w:tr>
      <w:tr w:rsidR="00593A4C" w14:paraId="3B5D2D4F" w14:textId="77777777" w:rsidTr="004F7D2C">
        <w:trPr>
          <w:trHeight w:val="397"/>
        </w:trPr>
        <w:tc>
          <w:tcPr>
            <w:tcW w:w="3256" w:type="dxa"/>
            <w:shd w:val="clear" w:color="auto" w:fill="FFFFFF" w:themeFill="background1"/>
            <w:vAlign w:val="center"/>
          </w:tcPr>
          <w:p w14:paraId="0D787026" w14:textId="4D1B1276" w:rsidR="00593A4C" w:rsidRDefault="00593A4C" w:rsidP="00897611">
            <w:pPr>
              <w:spacing w:line="480" w:lineRule="auto"/>
              <w:ind w:left="357"/>
            </w:pPr>
            <w:r w:rsidRPr="00152803">
              <w:rPr>
                <w:i/>
              </w:rPr>
              <w:t>Yersinia</w:t>
            </w:r>
            <w:r>
              <w:t xml:space="preserve"> </w:t>
            </w:r>
            <w:r w:rsidR="00E6052C">
              <w:t>sp.</w:t>
            </w:r>
          </w:p>
        </w:tc>
        <w:tc>
          <w:tcPr>
            <w:tcW w:w="2126" w:type="dxa"/>
            <w:shd w:val="clear" w:color="auto" w:fill="FFFFFF" w:themeFill="background1"/>
            <w:vAlign w:val="center"/>
          </w:tcPr>
          <w:p w14:paraId="60731E45" w14:textId="77777777" w:rsidR="00593A4C" w:rsidRPr="004F7D2C" w:rsidRDefault="00593A4C" w:rsidP="00491DBE">
            <w:pPr>
              <w:spacing w:line="480" w:lineRule="auto"/>
              <w:jc w:val="center"/>
            </w:pPr>
            <w:r w:rsidRPr="004F7D2C">
              <w:t>1</w:t>
            </w:r>
          </w:p>
        </w:tc>
      </w:tr>
      <w:tr w:rsidR="00593A4C" w14:paraId="3A35EAEC" w14:textId="77777777" w:rsidTr="004F7D2C">
        <w:trPr>
          <w:trHeight w:val="397"/>
        </w:trPr>
        <w:tc>
          <w:tcPr>
            <w:tcW w:w="3256" w:type="dxa"/>
            <w:shd w:val="clear" w:color="auto" w:fill="FFFFFF" w:themeFill="background1"/>
            <w:vAlign w:val="center"/>
          </w:tcPr>
          <w:p w14:paraId="00A00D4A" w14:textId="77777777" w:rsidR="00593A4C" w:rsidRPr="00A220A6" w:rsidRDefault="00593A4C" w:rsidP="00491DBE">
            <w:pPr>
              <w:spacing w:line="480" w:lineRule="auto"/>
              <w:rPr>
                <w:b/>
              </w:rPr>
            </w:pPr>
            <w:r w:rsidRPr="00A220A6">
              <w:rPr>
                <w:b/>
              </w:rPr>
              <w:t>Viruses</w:t>
            </w:r>
          </w:p>
          <w:p w14:paraId="172A7E57" w14:textId="77777777" w:rsidR="00593A4C" w:rsidRDefault="00593A4C" w:rsidP="00897611">
            <w:pPr>
              <w:spacing w:line="480" w:lineRule="auto"/>
              <w:ind w:left="357"/>
            </w:pPr>
            <w:r w:rsidRPr="00F22BB1">
              <w:t>Adenovirus</w:t>
            </w:r>
          </w:p>
        </w:tc>
        <w:tc>
          <w:tcPr>
            <w:tcW w:w="2126" w:type="dxa"/>
            <w:shd w:val="clear" w:color="auto" w:fill="FFFFFF" w:themeFill="background1"/>
            <w:vAlign w:val="center"/>
          </w:tcPr>
          <w:p w14:paraId="543D9AC2" w14:textId="77777777" w:rsidR="00593A4C" w:rsidRPr="004F7D2C" w:rsidRDefault="00593A4C" w:rsidP="00491DBE">
            <w:pPr>
              <w:spacing w:line="480" w:lineRule="auto"/>
              <w:jc w:val="center"/>
              <w:rPr>
                <w:b/>
              </w:rPr>
            </w:pPr>
            <w:r w:rsidRPr="004F7D2C">
              <w:rPr>
                <w:b/>
              </w:rPr>
              <w:t>576</w:t>
            </w:r>
          </w:p>
          <w:p w14:paraId="5A66F0EF" w14:textId="77777777" w:rsidR="00593A4C" w:rsidRPr="004F7D2C" w:rsidRDefault="00593A4C" w:rsidP="00491DBE">
            <w:pPr>
              <w:spacing w:line="480" w:lineRule="auto"/>
              <w:jc w:val="center"/>
            </w:pPr>
            <w:r w:rsidRPr="004F7D2C">
              <w:t>58</w:t>
            </w:r>
          </w:p>
        </w:tc>
      </w:tr>
      <w:tr w:rsidR="00593A4C" w14:paraId="09DD4CED" w14:textId="77777777" w:rsidTr="004F7D2C">
        <w:trPr>
          <w:trHeight w:val="397"/>
        </w:trPr>
        <w:tc>
          <w:tcPr>
            <w:tcW w:w="3256" w:type="dxa"/>
            <w:shd w:val="clear" w:color="auto" w:fill="FFFFFF" w:themeFill="background1"/>
            <w:vAlign w:val="center"/>
          </w:tcPr>
          <w:p w14:paraId="4182415E" w14:textId="77777777" w:rsidR="00593A4C" w:rsidRDefault="00593A4C" w:rsidP="00897611">
            <w:pPr>
              <w:spacing w:line="480" w:lineRule="auto"/>
              <w:ind w:left="357"/>
            </w:pPr>
            <w:r w:rsidRPr="00F22BB1">
              <w:t>Astrovirus</w:t>
            </w:r>
            <w:r>
              <w:t xml:space="preserve"> </w:t>
            </w:r>
          </w:p>
        </w:tc>
        <w:tc>
          <w:tcPr>
            <w:tcW w:w="2126" w:type="dxa"/>
            <w:shd w:val="clear" w:color="auto" w:fill="FFFFFF" w:themeFill="background1"/>
            <w:vAlign w:val="center"/>
          </w:tcPr>
          <w:p w14:paraId="3D1280A0" w14:textId="77777777" w:rsidR="00593A4C" w:rsidRPr="004F7D2C" w:rsidRDefault="00593A4C" w:rsidP="00491DBE">
            <w:pPr>
              <w:spacing w:line="480" w:lineRule="auto"/>
              <w:jc w:val="center"/>
            </w:pPr>
            <w:r w:rsidRPr="004F7D2C">
              <w:t>36</w:t>
            </w:r>
          </w:p>
        </w:tc>
      </w:tr>
      <w:tr w:rsidR="00593A4C" w14:paraId="03A8645E" w14:textId="77777777" w:rsidTr="004F7D2C">
        <w:trPr>
          <w:trHeight w:val="397"/>
        </w:trPr>
        <w:tc>
          <w:tcPr>
            <w:tcW w:w="3256" w:type="dxa"/>
            <w:shd w:val="clear" w:color="auto" w:fill="FFFFFF" w:themeFill="background1"/>
            <w:vAlign w:val="center"/>
          </w:tcPr>
          <w:p w14:paraId="09DCC890" w14:textId="77777777" w:rsidR="00593A4C" w:rsidRPr="00593A4C" w:rsidRDefault="00593A4C" w:rsidP="00897611">
            <w:pPr>
              <w:spacing w:line="480" w:lineRule="auto"/>
              <w:ind w:left="357"/>
            </w:pPr>
            <w:r>
              <w:t>Norovirus</w:t>
            </w:r>
          </w:p>
        </w:tc>
        <w:tc>
          <w:tcPr>
            <w:tcW w:w="2126" w:type="dxa"/>
            <w:shd w:val="clear" w:color="auto" w:fill="FFFFFF" w:themeFill="background1"/>
            <w:vAlign w:val="center"/>
          </w:tcPr>
          <w:p w14:paraId="7606F315" w14:textId="77777777" w:rsidR="00593A4C" w:rsidRPr="004F7D2C" w:rsidRDefault="00593A4C" w:rsidP="00491DBE">
            <w:pPr>
              <w:spacing w:line="480" w:lineRule="auto"/>
              <w:jc w:val="center"/>
            </w:pPr>
            <w:r w:rsidRPr="004F7D2C">
              <w:t>237</w:t>
            </w:r>
          </w:p>
        </w:tc>
      </w:tr>
      <w:tr w:rsidR="00593A4C" w14:paraId="14EA30C8" w14:textId="77777777" w:rsidTr="004F7D2C">
        <w:trPr>
          <w:trHeight w:val="397"/>
        </w:trPr>
        <w:tc>
          <w:tcPr>
            <w:tcW w:w="3256" w:type="dxa"/>
            <w:shd w:val="clear" w:color="auto" w:fill="FFFFFF" w:themeFill="background1"/>
            <w:vAlign w:val="center"/>
          </w:tcPr>
          <w:p w14:paraId="6E1F27D0" w14:textId="77777777" w:rsidR="00593A4C" w:rsidRDefault="00593A4C" w:rsidP="00897611">
            <w:pPr>
              <w:spacing w:line="480" w:lineRule="auto"/>
              <w:ind w:left="357"/>
            </w:pPr>
            <w:r w:rsidRPr="00F22BB1">
              <w:t>Rotavirus</w:t>
            </w:r>
            <w:r>
              <w:t xml:space="preserve"> </w:t>
            </w:r>
          </w:p>
        </w:tc>
        <w:tc>
          <w:tcPr>
            <w:tcW w:w="2126" w:type="dxa"/>
            <w:shd w:val="clear" w:color="auto" w:fill="FFFFFF" w:themeFill="background1"/>
            <w:vAlign w:val="center"/>
          </w:tcPr>
          <w:p w14:paraId="3C474336" w14:textId="77777777" w:rsidR="00593A4C" w:rsidRPr="004F7D2C" w:rsidRDefault="00593A4C" w:rsidP="00491DBE">
            <w:pPr>
              <w:spacing w:line="480" w:lineRule="auto"/>
              <w:jc w:val="center"/>
            </w:pPr>
            <w:r w:rsidRPr="004F7D2C">
              <w:t>96</w:t>
            </w:r>
          </w:p>
        </w:tc>
      </w:tr>
      <w:tr w:rsidR="00593A4C" w14:paraId="69980DE2" w14:textId="77777777" w:rsidTr="004F7D2C">
        <w:trPr>
          <w:trHeight w:val="397"/>
        </w:trPr>
        <w:tc>
          <w:tcPr>
            <w:tcW w:w="3256" w:type="dxa"/>
            <w:shd w:val="clear" w:color="auto" w:fill="FFFFFF" w:themeFill="background1"/>
            <w:vAlign w:val="center"/>
          </w:tcPr>
          <w:p w14:paraId="775E2B0A" w14:textId="77777777" w:rsidR="00593A4C" w:rsidRDefault="00593A4C" w:rsidP="00897611">
            <w:pPr>
              <w:spacing w:line="480" w:lineRule="auto"/>
              <w:ind w:left="357"/>
            </w:pPr>
            <w:r w:rsidRPr="00F22BB1">
              <w:t>Sapovirus</w:t>
            </w:r>
            <w:r>
              <w:t xml:space="preserve"> </w:t>
            </w:r>
          </w:p>
        </w:tc>
        <w:tc>
          <w:tcPr>
            <w:tcW w:w="2126" w:type="dxa"/>
            <w:shd w:val="clear" w:color="auto" w:fill="FFFFFF" w:themeFill="background1"/>
            <w:vAlign w:val="center"/>
          </w:tcPr>
          <w:p w14:paraId="72A61C49" w14:textId="77777777" w:rsidR="00593A4C" w:rsidRPr="004F7D2C" w:rsidRDefault="00593A4C" w:rsidP="00491DBE">
            <w:pPr>
              <w:spacing w:line="480" w:lineRule="auto"/>
              <w:jc w:val="center"/>
            </w:pPr>
            <w:r w:rsidRPr="004F7D2C">
              <w:t>149</w:t>
            </w:r>
          </w:p>
        </w:tc>
      </w:tr>
      <w:tr w:rsidR="00593A4C" w14:paraId="5A8D8051" w14:textId="77777777" w:rsidTr="004F7D2C">
        <w:trPr>
          <w:trHeight w:val="397"/>
        </w:trPr>
        <w:tc>
          <w:tcPr>
            <w:tcW w:w="3256" w:type="dxa"/>
            <w:vAlign w:val="center"/>
          </w:tcPr>
          <w:p w14:paraId="09599090" w14:textId="77777777" w:rsidR="00593A4C" w:rsidRPr="00A220A6" w:rsidRDefault="00593A4C" w:rsidP="00491DBE">
            <w:pPr>
              <w:spacing w:line="480" w:lineRule="auto"/>
              <w:rPr>
                <w:b/>
              </w:rPr>
            </w:pPr>
            <w:r w:rsidRPr="00A220A6">
              <w:rPr>
                <w:b/>
              </w:rPr>
              <w:t>Protozoa</w:t>
            </w:r>
          </w:p>
          <w:p w14:paraId="4C0BA8A6" w14:textId="711A4583" w:rsidR="00593A4C" w:rsidRPr="00E6052C" w:rsidRDefault="00593A4C" w:rsidP="00897611">
            <w:pPr>
              <w:spacing w:line="480" w:lineRule="auto"/>
              <w:ind w:left="357"/>
            </w:pPr>
            <w:r w:rsidRPr="00152803">
              <w:rPr>
                <w:i/>
              </w:rPr>
              <w:t>Cryptosporidium</w:t>
            </w:r>
            <w:r w:rsidR="00E6052C">
              <w:rPr>
                <w:i/>
              </w:rPr>
              <w:t xml:space="preserve"> </w:t>
            </w:r>
            <w:r w:rsidR="00E6052C">
              <w:t>sp.</w:t>
            </w:r>
          </w:p>
        </w:tc>
        <w:tc>
          <w:tcPr>
            <w:tcW w:w="2126" w:type="dxa"/>
            <w:vAlign w:val="center"/>
          </w:tcPr>
          <w:p w14:paraId="7651B4F4" w14:textId="77777777" w:rsidR="00593A4C" w:rsidRPr="004F7D2C" w:rsidRDefault="00593A4C" w:rsidP="00491DBE">
            <w:pPr>
              <w:spacing w:line="480" w:lineRule="auto"/>
              <w:jc w:val="center"/>
              <w:rPr>
                <w:b/>
              </w:rPr>
            </w:pPr>
            <w:r w:rsidRPr="004F7D2C">
              <w:rPr>
                <w:b/>
              </w:rPr>
              <w:t>30</w:t>
            </w:r>
          </w:p>
          <w:p w14:paraId="3797EDE0" w14:textId="77777777" w:rsidR="00593A4C" w:rsidRPr="004F7D2C" w:rsidRDefault="00593A4C" w:rsidP="00491DBE">
            <w:pPr>
              <w:spacing w:line="480" w:lineRule="auto"/>
              <w:jc w:val="center"/>
            </w:pPr>
            <w:r w:rsidRPr="004F7D2C">
              <w:t>15</w:t>
            </w:r>
          </w:p>
        </w:tc>
      </w:tr>
      <w:tr w:rsidR="00593A4C" w14:paraId="0C107E23" w14:textId="77777777" w:rsidTr="004F7D2C">
        <w:trPr>
          <w:trHeight w:val="397"/>
        </w:trPr>
        <w:tc>
          <w:tcPr>
            <w:tcW w:w="3256" w:type="dxa"/>
            <w:tcBorders>
              <w:bottom w:val="single" w:sz="4" w:space="0" w:color="auto"/>
            </w:tcBorders>
            <w:vAlign w:val="center"/>
          </w:tcPr>
          <w:p w14:paraId="01808A62" w14:textId="17E99A85" w:rsidR="00593A4C" w:rsidRDefault="00593A4C" w:rsidP="00897611">
            <w:pPr>
              <w:spacing w:line="480" w:lineRule="auto"/>
              <w:ind w:left="357"/>
            </w:pPr>
            <w:r w:rsidRPr="00152803">
              <w:rPr>
                <w:i/>
              </w:rPr>
              <w:t>Giardia</w:t>
            </w:r>
            <w:r>
              <w:t xml:space="preserve"> </w:t>
            </w:r>
            <w:r w:rsidR="00E6052C">
              <w:t>sp.</w:t>
            </w:r>
          </w:p>
        </w:tc>
        <w:tc>
          <w:tcPr>
            <w:tcW w:w="2126" w:type="dxa"/>
            <w:tcBorders>
              <w:bottom w:val="single" w:sz="4" w:space="0" w:color="auto"/>
            </w:tcBorders>
            <w:vAlign w:val="center"/>
          </w:tcPr>
          <w:p w14:paraId="3B4974BE" w14:textId="77777777" w:rsidR="00593A4C" w:rsidRPr="004F7D2C" w:rsidRDefault="00593A4C" w:rsidP="00491DBE">
            <w:pPr>
              <w:spacing w:line="480" w:lineRule="auto"/>
              <w:jc w:val="center"/>
            </w:pPr>
            <w:r w:rsidRPr="004F7D2C">
              <w:t>15</w:t>
            </w:r>
          </w:p>
        </w:tc>
      </w:tr>
      <w:tr w:rsidR="00593A4C" w14:paraId="6B82E2EE" w14:textId="77777777" w:rsidTr="004F7D2C">
        <w:trPr>
          <w:trHeight w:val="670"/>
        </w:trPr>
        <w:tc>
          <w:tcPr>
            <w:tcW w:w="3256" w:type="dxa"/>
            <w:tcBorders>
              <w:top w:val="single" w:sz="4" w:space="0" w:color="auto"/>
              <w:bottom w:val="single" w:sz="4" w:space="0" w:color="auto"/>
            </w:tcBorders>
            <w:vAlign w:val="center"/>
          </w:tcPr>
          <w:p w14:paraId="6FC3ACE0" w14:textId="77777777" w:rsidR="00593A4C" w:rsidRPr="004F7D2C" w:rsidRDefault="00593A4C" w:rsidP="00491DBE">
            <w:pPr>
              <w:spacing w:line="480" w:lineRule="auto"/>
              <w:rPr>
                <w:b/>
              </w:rPr>
            </w:pPr>
            <w:r w:rsidRPr="004F7D2C">
              <w:rPr>
                <w:b/>
              </w:rPr>
              <w:t>Total organisms identified</w:t>
            </w:r>
          </w:p>
        </w:tc>
        <w:tc>
          <w:tcPr>
            <w:tcW w:w="2126" w:type="dxa"/>
            <w:tcBorders>
              <w:top w:val="single" w:sz="4" w:space="0" w:color="auto"/>
              <w:bottom w:val="single" w:sz="4" w:space="0" w:color="auto"/>
            </w:tcBorders>
            <w:vAlign w:val="center"/>
          </w:tcPr>
          <w:p w14:paraId="40CBF500" w14:textId="77777777" w:rsidR="00593A4C" w:rsidRPr="004F7D2C" w:rsidRDefault="00593A4C" w:rsidP="00491DBE">
            <w:pPr>
              <w:spacing w:line="480" w:lineRule="auto"/>
              <w:jc w:val="center"/>
              <w:rPr>
                <w:b/>
              </w:rPr>
            </w:pPr>
            <w:r w:rsidRPr="004F7D2C">
              <w:rPr>
                <w:b/>
              </w:rPr>
              <w:t>844</w:t>
            </w:r>
          </w:p>
        </w:tc>
      </w:tr>
    </w:tbl>
    <w:p w14:paraId="189518C5" w14:textId="3181C217" w:rsidR="00AE52D8" w:rsidRDefault="00AE52D8" w:rsidP="00F54E4D">
      <w:pPr>
        <w:spacing w:after="0" w:line="480" w:lineRule="auto"/>
        <w:rPr>
          <w:b/>
        </w:rPr>
      </w:pPr>
      <w:r>
        <w:rPr>
          <w:b/>
        </w:rPr>
        <w:br w:type="page"/>
      </w:r>
    </w:p>
    <w:p w14:paraId="2C43513F" w14:textId="48310A8A" w:rsidR="00B812BA" w:rsidRPr="00AE52D8" w:rsidRDefault="00B812BA" w:rsidP="00B812BA">
      <w:pPr>
        <w:spacing w:after="0" w:line="480" w:lineRule="auto"/>
        <w:rPr>
          <w:b/>
          <w:color w:val="FF0000"/>
        </w:rPr>
      </w:pPr>
      <w:r w:rsidRPr="00AE52D8">
        <w:rPr>
          <w:b/>
        </w:rPr>
        <w:t>Table 3. Grouped organism multivariate model output</w:t>
      </w:r>
      <w:r w:rsidR="0091115F">
        <w:rPr>
          <w:b/>
        </w:rPr>
        <w:t>s</w:t>
      </w:r>
      <w:r w:rsidRPr="00AE52D8">
        <w:rPr>
          <w:b/>
        </w:rPr>
        <w:t xml:space="preserve"> (OR with 95% confidence intervals)</w:t>
      </w:r>
      <w:r w:rsidR="0091115F">
        <w:rPr>
          <w:b/>
        </w:rPr>
        <w:t xml:space="preserve"> for bacterial and viral pathogens</w:t>
      </w:r>
      <w:r w:rsidR="009D1C63">
        <w:rPr>
          <w:b/>
        </w:rPr>
        <w:t>, as compared to any other pathogen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B812BA" w14:paraId="1A0C6DDF" w14:textId="77777777" w:rsidTr="00491DBE">
        <w:trPr>
          <w:trHeight w:val="339"/>
        </w:trPr>
        <w:tc>
          <w:tcPr>
            <w:tcW w:w="3005" w:type="dxa"/>
            <w:vMerge w:val="restart"/>
            <w:tcBorders>
              <w:top w:val="single" w:sz="4" w:space="0" w:color="auto"/>
            </w:tcBorders>
            <w:vAlign w:val="center"/>
          </w:tcPr>
          <w:p w14:paraId="2D90BA80" w14:textId="77777777" w:rsidR="00B812BA" w:rsidRPr="00AE52D8" w:rsidRDefault="00B812BA" w:rsidP="00491DBE">
            <w:pPr>
              <w:spacing w:line="480" w:lineRule="auto"/>
            </w:pPr>
            <w:r w:rsidRPr="00AE52D8">
              <w:t>Explanatory variable</w:t>
            </w:r>
          </w:p>
        </w:tc>
        <w:tc>
          <w:tcPr>
            <w:tcW w:w="6011" w:type="dxa"/>
            <w:gridSpan w:val="2"/>
            <w:tcBorders>
              <w:top w:val="single" w:sz="4" w:space="0" w:color="auto"/>
              <w:bottom w:val="single" w:sz="4" w:space="0" w:color="auto"/>
            </w:tcBorders>
            <w:vAlign w:val="center"/>
          </w:tcPr>
          <w:p w14:paraId="244F8776" w14:textId="77777777" w:rsidR="00B812BA" w:rsidRPr="00AE52D8" w:rsidRDefault="00B812BA" w:rsidP="00491DBE">
            <w:pPr>
              <w:spacing w:line="480" w:lineRule="auto"/>
              <w:jc w:val="center"/>
            </w:pPr>
            <w:r w:rsidRPr="00AE52D8">
              <w:t>Odds Ratio (95% confidence intervals)</w:t>
            </w:r>
          </w:p>
        </w:tc>
      </w:tr>
      <w:tr w:rsidR="00B812BA" w14:paraId="29DDDF20" w14:textId="77777777" w:rsidTr="00491DBE">
        <w:trPr>
          <w:trHeight w:val="343"/>
        </w:trPr>
        <w:tc>
          <w:tcPr>
            <w:tcW w:w="3005" w:type="dxa"/>
            <w:vMerge/>
            <w:tcBorders>
              <w:bottom w:val="single" w:sz="4" w:space="0" w:color="auto"/>
            </w:tcBorders>
          </w:tcPr>
          <w:p w14:paraId="69DFB9BC" w14:textId="77777777" w:rsidR="00B812BA" w:rsidRPr="00AE52D8" w:rsidRDefault="00B812BA" w:rsidP="00491DBE">
            <w:pPr>
              <w:spacing w:line="480" w:lineRule="auto"/>
            </w:pPr>
          </w:p>
        </w:tc>
        <w:tc>
          <w:tcPr>
            <w:tcW w:w="3005" w:type="dxa"/>
            <w:tcBorders>
              <w:top w:val="single" w:sz="4" w:space="0" w:color="auto"/>
              <w:bottom w:val="single" w:sz="4" w:space="0" w:color="auto"/>
            </w:tcBorders>
            <w:vAlign w:val="center"/>
          </w:tcPr>
          <w:p w14:paraId="46E54434" w14:textId="344A3D75" w:rsidR="009D1C63" w:rsidRPr="00AE52D8" w:rsidRDefault="009D1C63" w:rsidP="009D1C63">
            <w:pPr>
              <w:spacing w:line="480" w:lineRule="auto"/>
              <w:jc w:val="center"/>
            </w:pPr>
            <w:r>
              <w:t>Bacterial</w:t>
            </w:r>
          </w:p>
        </w:tc>
        <w:tc>
          <w:tcPr>
            <w:tcW w:w="3006" w:type="dxa"/>
            <w:tcBorders>
              <w:top w:val="single" w:sz="4" w:space="0" w:color="auto"/>
              <w:bottom w:val="single" w:sz="4" w:space="0" w:color="auto"/>
            </w:tcBorders>
            <w:vAlign w:val="center"/>
          </w:tcPr>
          <w:p w14:paraId="64764FBD" w14:textId="1D2BCC53" w:rsidR="00B812BA" w:rsidRPr="00AE52D8" w:rsidRDefault="009D1C63" w:rsidP="009D1C63">
            <w:pPr>
              <w:spacing w:line="480" w:lineRule="auto"/>
              <w:jc w:val="center"/>
            </w:pPr>
            <w:r>
              <w:t>Viral</w:t>
            </w:r>
          </w:p>
        </w:tc>
      </w:tr>
      <w:tr w:rsidR="00B812BA" w14:paraId="2240115B" w14:textId="77777777" w:rsidTr="00491DBE">
        <w:tc>
          <w:tcPr>
            <w:tcW w:w="3005" w:type="dxa"/>
            <w:tcBorders>
              <w:top w:val="single" w:sz="4" w:space="0" w:color="auto"/>
            </w:tcBorders>
            <w:shd w:val="clear" w:color="auto" w:fill="auto"/>
          </w:tcPr>
          <w:p w14:paraId="3FC5A3D2" w14:textId="77777777" w:rsidR="00B812BA" w:rsidRPr="00AE52D8" w:rsidRDefault="00B812BA" w:rsidP="00491DBE">
            <w:pPr>
              <w:spacing w:line="480" w:lineRule="auto"/>
            </w:pPr>
            <w:r w:rsidRPr="00AE52D8">
              <w:t>Aged &lt;5 years</w:t>
            </w:r>
          </w:p>
        </w:tc>
        <w:tc>
          <w:tcPr>
            <w:tcW w:w="3005" w:type="dxa"/>
            <w:tcBorders>
              <w:top w:val="single" w:sz="4" w:space="0" w:color="auto"/>
            </w:tcBorders>
            <w:shd w:val="clear" w:color="auto" w:fill="auto"/>
          </w:tcPr>
          <w:p w14:paraId="1C2A76EC" w14:textId="3A157BC9" w:rsidR="00B812BA" w:rsidRPr="00AE52D8" w:rsidRDefault="009B28B7" w:rsidP="00491DBE">
            <w:pPr>
              <w:spacing w:line="480" w:lineRule="auto"/>
              <w:jc w:val="center"/>
            </w:pPr>
            <w:r>
              <w:t>0.25</w:t>
            </w:r>
            <w:r w:rsidR="00524B35">
              <w:t xml:space="preserve"> (0.14-0.41</w:t>
            </w:r>
            <w:r w:rsidR="00B812BA" w:rsidRPr="00AE52D8">
              <w:t>)</w:t>
            </w:r>
          </w:p>
        </w:tc>
        <w:tc>
          <w:tcPr>
            <w:tcW w:w="3006" w:type="dxa"/>
            <w:tcBorders>
              <w:top w:val="single" w:sz="4" w:space="0" w:color="auto"/>
            </w:tcBorders>
            <w:shd w:val="clear" w:color="auto" w:fill="auto"/>
          </w:tcPr>
          <w:p w14:paraId="24210817" w14:textId="1F7E167A" w:rsidR="00B812BA" w:rsidRPr="00AE52D8" w:rsidRDefault="007519FB" w:rsidP="00491DBE">
            <w:pPr>
              <w:spacing w:line="480" w:lineRule="auto"/>
              <w:jc w:val="center"/>
            </w:pPr>
            <w:r>
              <w:t>3.63 (2.24-6.03</w:t>
            </w:r>
            <w:r w:rsidR="00B812BA" w:rsidRPr="00AE52D8">
              <w:t>)</w:t>
            </w:r>
          </w:p>
        </w:tc>
      </w:tr>
      <w:tr w:rsidR="007519FB" w14:paraId="30D7D6F0" w14:textId="77777777" w:rsidTr="00491DBE">
        <w:tc>
          <w:tcPr>
            <w:tcW w:w="3005" w:type="dxa"/>
            <w:shd w:val="clear" w:color="auto" w:fill="auto"/>
          </w:tcPr>
          <w:p w14:paraId="0EE68FFA" w14:textId="77777777" w:rsidR="007519FB" w:rsidRPr="00AE52D8" w:rsidRDefault="007519FB" w:rsidP="007519FB">
            <w:pPr>
              <w:spacing w:line="480" w:lineRule="auto"/>
            </w:pPr>
            <w:r>
              <w:t>Onset in winter</w:t>
            </w:r>
          </w:p>
        </w:tc>
        <w:tc>
          <w:tcPr>
            <w:tcW w:w="3005" w:type="dxa"/>
            <w:shd w:val="clear" w:color="auto" w:fill="auto"/>
          </w:tcPr>
          <w:p w14:paraId="3E2E1AF9" w14:textId="6B1EC036" w:rsidR="007519FB" w:rsidRPr="00AE52D8" w:rsidRDefault="007519FB" w:rsidP="007519FB">
            <w:pPr>
              <w:spacing w:line="480" w:lineRule="auto"/>
              <w:jc w:val="center"/>
            </w:pPr>
            <w:r>
              <w:t>0.65 (0.35-1.19)</w:t>
            </w:r>
          </w:p>
        </w:tc>
        <w:tc>
          <w:tcPr>
            <w:tcW w:w="3006" w:type="dxa"/>
            <w:shd w:val="clear" w:color="auto" w:fill="auto"/>
          </w:tcPr>
          <w:p w14:paraId="09CDA24B" w14:textId="07583523" w:rsidR="007519FB" w:rsidRPr="00AE52D8" w:rsidRDefault="007519FB" w:rsidP="007519FB">
            <w:pPr>
              <w:spacing w:line="480" w:lineRule="auto"/>
              <w:jc w:val="center"/>
            </w:pPr>
            <w:r>
              <w:t>2.08 (1.16-3.75</w:t>
            </w:r>
            <w:r w:rsidRPr="00AE52D8">
              <w:t>)</w:t>
            </w:r>
          </w:p>
        </w:tc>
      </w:tr>
      <w:tr w:rsidR="007519FB" w14:paraId="171A5FE2" w14:textId="77777777" w:rsidTr="00491DBE">
        <w:tc>
          <w:tcPr>
            <w:tcW w:w="3005" w:type="dxa"/>
            <w:shd w:val="clear" w:color="auto" w:fill="auto"/>
          </w:tcPr>
          <w:p w14:paraId="635D77CC" w14:textId="77777777" w:rsidR="007519FB" w:rsidRDefault="007519FB" w:rsidP="007519FB">
            <w:pPr>
              <w:spacing w:line="480" w:lineRule="auto"/>
            </w:pPr>
            <w:r>
              <w:t>Onset in spring</w:t>
            </w:r>
          </w:p>
        </w:tc>
        <w:tc>
          <w:tcPr>
            <w:tcW w:w="3005" w:type="dxa"/>
            <w:shd w:val="clear" w:color="auto" w:fill="auto"/>
          </w:tcPr>
          <w:p w14:paraId="13C9B94F" w14:textId="21B16A36" w:rsidR="007519FB" w:rsidRPr="00AE52D8" w:rsidRDefault="007519FB" w:rsidP="007519FB">
            <w:pPr>
              <w:spacing w:line="480" w:lineRule="auto"/>
              <w:jc w:val="center"/>
            </w:pPr>
            <w:r>
              <w:t>0.70 (0.40-1.23</w:t>
            </w:r>
            <w:r w:rsidRPr="00AE52D8">
              <w:t>)</w:t>
            </w:r>
          </w:p>
        </w:tc>
        <w:tc>
          <w:tcPr>
            <w:tcW w:w="3006" w:type="dxa"/>
            <w:shd w:val="clear" w:color="auto" w:fill="auto"/>
          </w:tcPr>
          <w:p w14:paraId="3CD6CA44" w14:textId="7A5D1A92" w:rsidR="007519FB" w:rsidRDefault="007519FB" w:rsidP="007519FB">
            <w:pPr>
              <w:spacing w:line="480" w:lineRule="auto"/>
              <w:jc w:val="center"/>
            </w:pPr>
            <w:r>
              <w:t>1.92 (1.11-3.33)</w:t>
            </w:r>
          </w:p>
        </w:tc>
      </w:tr>
      <w:tr w:rsidR="007519FB" w14:paraId="1D44ABD2" w14:textId="77777777" w:rsidTr="00491DBE">
        <w:tc>
          <w:tcPr>
            <w:tcW w:w="3005" w:type="dxa"/>
            <w:shd w:val="clear" w:color="auto" w:fill="auto"/>
          </w:tcPr>
          <w:p w14:paraId="69DD1806" w14:textId="77777777" w:rsidR="007519FB" w:rsidRPr="00AE52D8" w:rsidRDefault="007519FB" w:rsidP="007519FB">
            <w:pPr>
              <w:spacing w:line="480" w:lineRule="auto"/>
            </w:pPr>
            <w:r w:rsidRPr="00AE52D8">
              <w:t>Diarrhoea but no vomiting</w:t>
            </w:r>
          </w:p>
        </w:tc>
        <w:tc>
          <w:tcPr>
            <w:tcW w:w="3005" w:type="dxa"/>
            <w:shd w:val="clear" w:color="auto" w:fill="auto"/>
          </w:tcPr>
          <w:p w14:paraId="61EF7D7D" w14:textId="526D717E" w:rsidR="007519FB" w:rsidRPr="00AE52D8" w:rsidRDefault="007519FB" w:rsidP="007519FB">
            <w:pPr>
              <w:spacing w:line="480" w:lineRule="auto"/>
              <w:jc w:val="center"/>
            </w:pPr>
            <w:r>
              <w:t>3.54 (2.37-5.32</w:t>
            </w:r>
            <w:r w:rsidRPr="00AE52D8">
              <w:t>)</w:t>
            </w:r>
          </w:p>
        </w:tc>
        <w:tc>
          <w:tcPr>
            <w:tcW w:w="3006" w:type="dxa"/>
            <w:shd w:val="clear" w:color="auto" w:fill="auto"/>
          </w:tcPr>
          <w:p w14:paraId="3BAE000C" w14:textId="6DFB93F9" w:rsidR="007519FB" w:rsidRPr="00AE52D8" w:rsidRDefault="007519FB" w:rsidP="007519FB">
            <w:pPr>
              <w:spacing w:line="480" w:lineRule="auto"/>
              <w:jc w:val="center"/>
            </w:pPr>
            <w:r>
              <w:t>0.27 (0.18-0.39)</w:t>
            </w:r>
          </w:p>
        </w:tc>
      </w:tr>
      <w:tr w:rsidR="007519FB" w14:paraId="3D3D9C02" w14:textId="77777777" w:rsidTr="00491DBE">
        <w:tc>
          <w:tcPr>
            <w:tcW w:w="3005" w:type="dxa"/>
            <w:shd w:val="clear" w:color="auto" w:fill="auto"/>
          </w:tcPr>
          <w:p w14:paraId="6E805A7F" w14:textId="77777777" w:rsidR="007519FB" w:rsidRPr="00AE52D8" w:rsidRDefault="007519FB" w:rsidP="007519FB">
            <w:pPr>
              <w:spacing w:line="480" w:lineRule="auto"/>
            </w:pPr>
            <w:r w:rsidRPr="00AE52D8">
              <w:t>Bloody diarrhoea</w:t>
            </w:r>
          </w:p>
        </w:tc>
        <w:tc>
          <w:tcPr>
            <w:tcW w:w="3005" w:type="dxa"/>
            <w:shd w:val="clear" w:color="auto" w:fill="auto"/>
          </w:tcPr>
          <w:p w14:paraId="4D1CB7B7" w14:textId="4188D493" w:rsidR="007519FB" w:rsidRPr="00AE52D8" w:rsidRDefault="007519FB" w:rsidP="007519FB">
            <w:pPr>
              <w:spacing w:line="480" w:lineRule="auto"/>
              <w:jc w:val="center"/>
            </w:pPr>
            <w:r>
              <w:t>4.17 (1.63-11.83</w:t>
            </w:r>
            <w:r w:rsidRPr="00AE52D8">
              <w:t>)</w:t>
            </w:r>
          </w:p>
        </w:tc>
        <w:tc>
          <w:tcPr>
            <w:tcW w:w="3006" w:type="dxa"/>
            <w:shd w:val="clear" w:color="auto" w:fill="auto"/>
          </w:tcPr>
          <w:p w14:paraId="61C0D1CD" w14:textId="44A1D660" w:rsidR="007519FB" w:rsidRPr="00AE52D8" w:rsidRDefault="007519FB" w:rsidP="007519FB">
            <w:pPr>
              <w:spacing w:line="480" w:lineRule="auto"/>
              <w:jc w:val="center"/>
            </w:pPr>
            <w:r>
              <w:t>0.30</w:t>
            </w:r>
            <w:r w:rsidRPr="00AE52D8">
              <w:t xml:space="preserve"> (</w:t>
            </w:r>
            <w:r>
              <w:t>0.11-0.79</w:t>
            </w:r>
            <w:r w:rsidRPr="00AE52D8">
              <w:t>)</w:t>
            </w:r>
          </w:p>
        </w:tc>
      </w:tr>
      <w:tr w:rsidR="007519FB" w14:paraId="5A64A556" w14:textId="77777777" w:rsidTr="00491DBE">
        <w:tc>
          <w:tcPr>
            <w:tcW w:w="3005" w:type="dxa"/>
            <w:shd w:val="clear" w:color="auto" w:fill="auto"/>
          </w:tcPr>
          <w:p w14:paraId="7F96E033" w14:textId="77777777" w:rsidR="007519FB" w:rsidRPr="00AE52D8" w:rsidRDefault="007519FB" w:rsidP="007519FB">
            <w:pPr>
              <w:spacing w:line="480" w:lineRule="auto"/>
            </w:pPr>
            <w:r w:rsidRPr="00AE52D8">
              <w:t>Diarrhoea lasting &gt;3 days</w:t>
            </w:r>
          </w:p>
        </w:tc>
        <w:tc>
          <w:tcPr>
            <w:tcW w:w="3005" w:type="dxa"/>
            <w:shd w:val="clear" w:color="auto" w:fill="auto"/>
          </w:tcPr>
          <w:p w14:paraId="5A23FECF" w14:textId="714F3DC1" w:rsidR="007519FB" w:rsidRPr="00AE52D8" w:rsidRDefault="007519FB" w:rsidP="007519FB">
            <w:pPr>
              <w:spacing w:line="480" w:lineRule="auto"/>
              <w:jc w:val="center"/>
            </w:pPr>
            <w:r>
              <w:t>2.69 (1.82-3.99</w:t>
            </w:r>
            <w:r w:rsidRPr="00AE52D8">
              <w:t>)</w:t>
            </w:r>
          </w:p>
        </w:tc>
        <w:tc>
          <w:tcPr>
            <w:tcW w:w="3006" w:type="dxa"/>
            <w:shd w:val="clear" w:color="auto" w:fill="auto"/>
          </w:tcPr>
          <w:p w14:paraId="31F335D3" w14:textId="563C3FD4" w:rsidR="007519FB" w:rsidRPr="00AE52D8" w:rsidRDefault="00E74D9E" w:rsidP="007519FB">
            <w:pPr>
              <w:spacing w:line="480" w:lineRule="auto"/>
              <w:jc w:val="center"/>
            </w:pPr>
            <w:r>
              <w:t>0.33 (0.22-0.48</w:t>
            </w:r>
            <w:r w:rsidR="007519FB" w:rsidRPr="00AE52D8">
              <w:t>)</w:t>
            </w:r>
          </w:p>
        </w:tc>
      </w:tr>
      <w:tr w:rsidR="007519FB" w14:paraId="3AEF224E" w14:textId="77777777" w:rsidTr="001E6A5C">
        <w:tc>
          <w:tcPr>
            <w:tcW w:w="3005" w:type="dxa"/>
            <w:shd w:val="clear" w:color="auto" w:fill="auto"/>
          </w:tcPr>
          <w:p w14:paraId="6227AB3B" w14:textId="77777777" w:rsidR="007519FB" w:rsidRPr="00AE52D8" w:rsidRDefault="007519FB" w:rsidP="007519FB">
            <w:pPr>
              <w:spacing w:line="480" w:lineRule="auto"/>
            </w:pPr>
            <w:r w:rsidRPr="00AE52D8">
              <w:t>Loss of appetite</w:t>
            </w:r>
          </w:p>
        </w:tc>
        <w:tc>
          <w:tcPr>
            <w:tcW w:w="3005" w:type="dxa"/>
            <w:shd w:val="clear" w:color="auto" w:fill="auto"/>
          </w:tcPr>
          <w:p w14:paraId="26E0F238" w14:textId="2D4EAA43" w:rsidR="007519FB" w:rsidRPr="00AE52D8" w:rsidRDefault="007519FB" w:rsidP="007519FB">
            <w:pPr>
              <w:spacing w:line="480" w:lineRule="auto"/>
              <w:jc w:val="center"/>
            </w:pPr>
            <w:r>
              <w:t>0.44 (0.26</w:t>
            </w:r>
            <w:r w:rsidRPr="00AE52D8">
              <w:t>-</w:t>
            </w:r>
            <w:r>
              <w:t>0.75</w:t>
            </w:r>
            <w:r w:rsidRPr="00AE52D8">
              <w:t>)</w:t>
            </w:r>
          </w:p>
        </w:tc>
        <w:tc>
          <w:tcPr>
            <w:tcW w:w="3006" w:type="dxa"/>
            <w:shd w:val="clear" w:color="auto" w:fill="auto"/>
          </w:tcPr>
          <w:p w14:paraId="1EB90485" w14:textId="41D64681" w:rsidR="007519FB" w:rsidRPr="00AE52D8" w:rsidRDefault="00E74D9E" w:rsidP="007519FB">
            <w:pPr>
              <w:spacing w:line="480" w:lineRule="auto"/>
              <w:jc w:val="center"/>
            </w:pPr>
            <w:r>
              <w:t>2.19 (1.29-3.72</w:t>
            </w:r>
            <w:r w:rsidR="007519FB" w:rsidRPr="00AE52D8">
              <w:t>)</w:t>
            </w:r>
          </w:p>
        </w:tc>
      </w:tr>
      <w:tr w:rsidR="007519FB" w14:paraId="69165C0D" w14:textId="77777777" w:rsidTr="001E6A5C">
        <w:tc>
          <w:tcPr>
            <w:tcW w:w="3005" w:type="dxa"/>
            <w:tcBorders>
              <w:bottom w:val="single" w:sz="4" w:space="0" w:color="auto"/>
            </w:tcBorders>
            <w:shd w:val="clear" w:color="auto" w:fill="auto"/>
          </w:tcPr>
          <w:p w14:paraId="0303E8D3" w14:textId="77777777" w:rsidR="007519FB" w:rsidRPr="00AE52D8" w:rsidRDefault="007519FB" w:rsidP="007519FB">
            <w:pPr>
              <w:spacing w:line="480" w:lineRule="auto"/>
            </w:pPr>
            <w:r w:rsidRPr="00AE52D8">
              <w:t>Fever</w:t>
            </w:r>
          </w:p>
        </w:tc>
        <w:tc>
          <w:tcPr>
            <w:tcW w:w="3005" w:type="dxa"/>
            <w:tcBorders>
              <w:bottom w:val="single" w:sz="4" w:space="0" w:color="auto"/>
            </w:tcBorders>
            <w:shd w:val="clear" w:color="auto" w:fill="auto"/>
          </w:tcPr>
          <w:p w14:paraId="48079C00" w14:textId="702594C4" w:rsidR="007519FB" w:rsidRPr="00AE52D8" w:rsidRDefault="007519FB" w:rsidP="007519FB">
            <w:pPr>
              <w:spacing w:line="480" w:lineRule="auto"/>
              <w:jc w:val="center"/>
            </w:pPr>
            <w:r>
              <w:t>1.67 (1.11-2.53</w:t>
            </w:r>
            <w:r w:rsidRPr="00AE52D8">
              <w:t>)</w:t>
            </w:r>
          </w:p>
        </w:tc>
        <w:tc>
          <w:tcPr>
            <w:tcW w:w="3006" w:type="dxa"/>
            <w:tcBorders>
              <w:bottom w:val="single" w:sz="4" w:space="0" w:color="auto"/>
            </w:tcBorders>
            <w:shd w:val="clear" w:color="auto" w:fill="auto"/>
          </w:tcPr>
          <w:p w14:paraId="66F8926D" w14:textId="7150A543" w:rsidR="007519FB" w:rsidRPr="00AE52D8" w:rsidRDefault="00E74D9E" w:rsidP="007519FB">
            <w:pPr>
              <w:spacing w:line="480" w:lineRule="auto"/>
              <w:jc w:val="center"/>
            </w:pPr>
            <w:r>
              <w:t>0.59 (0.39-0.88</w:t>
            </w:r>
            <w:r w:rsidR="007519FB" w:rsidRPr="00AE52D8">
              <w:t>)</w:t>
            </w:r>
          </w:p>
        </w:tc>
      </w:tr>
    </w:tbl>
    <w:p w14:paraId="6448C85A" w14:textId="0B842E33" w:rsidR="002C5512" w:rsidRDefault="002C5512">
      <w:pPr>
        <w:rPr>
          <w:b/>
        </w:rPr>
      </w:pPr>
    </w:p>
    <w:sectPr w:rsidR="002C5512" w:rsidSect="00E85445">
      <w:footerReference w:type="default" r:id="rId8"/>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E33C" w14:textId="77777777" w:rsidR="00491DBE" w:rsidRDefault="00491DBE" w:rsidP="00DF5752">
      <w:pPr>
        <w:spacing w:after="0" w:line="240" w:lineRule="auto"/>
      </w:pPr>
      <w:r>
        <w:separator/>
      </w:r>
    </w:p>
  </w:endnote>
  <w:endnote w:type="continuationSeparator" w:id="0">
    <w:p w14:paraId="19AF0A3B" w14:textId="77777777" w:rsidR="00491DBE" w:rsidRDefault="00491DBE" w:rsidP="00DF5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861463"/>
      <w:docPartObj>
        <w:docPartGallery w:val="Page Numbers (Bottom of Page)"/>
        <w:docPartUnique/>
      </w:docPartObj>
    </w:sdtPr>
    <w:sdtEndPr>
      <w:rPr>
        <w:noProof/>
      </w:rPr>
    </w:sdtEndPr>
    <w:sdtContent>
      <w:p w14:paraId="22165DE5" w14:textId="3244E4EB" w:rsidR="00491DBE" w:rsidRDefault="00491DBE">
        <w:pPr>
          <w:pStyle w:val="Footer"/>
          <w:jc w:val="right"/>
        </w:pPr>
        <w:r>
          <w:fldChar w:fldCharType="begin"/>
        </w:r>
        <w:r>
          <w:instrText xml:space="preserve"> PAGE   \* MERGEFORMAT </w:instrText>
        </w:r>
        <w:r>
          <w:fldChar w:fldCharType="separate"/>
        </w:r>
        <w:r w:rsidR="00E600B2">
          <w:rPr>
            <w:noProof/>
          </w:rPr>
          <w:t>2</w:t>
        </w:r>
        <w:r>
          <w:rPr>
            <w:noProof/>
          </w:rPr>
          <w:fldChar w:fldCharType="end"/>
        </w:r>
      </w:p>
    </w:sdtContent>
  </w:sdt>
  <w:p w14:paraId="4F1CD84E" w14:textId="77777777" w:rsidR="00491DBE" w:rsidRDefault="00491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9FE2A" w14:textId="77777777" w:rsidR="00491DBE" w:rsidRDefault="00491DBE" w:rsidP="00DF5752">
      <w:pPr>
        <w:spacing w:after="0" w:line="240" w:lineRule="auto"/>
      </w:pPr>
      <w:r>
        <w:separator/>
      </w:r>
    </w:p>
  </w:footnote>
  <w:footnote w:type="continuationSeparator" w:id="0">
    <w:p w14:paraId="736E3F03" w14:textId="77777777" w:rsidR="00491DBE" w:rsidRDefault="00491DBE" w:rsidP="00DF57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D15F6"/>
    <w:multiLevelType w:val="hybridMultilevel"/>
    <w:tmpl w:val="309E8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662C90"/>
    <w:multiLevelType w:val="hybridMultilevel"/>
    <w:tmpl w:val="C160F6E2"/>
    <w:lvl w:ilvl="0" w:tplc="887226D2">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723992"/>
    <w:multiLevelType w:val="hybridMultilevel"/>
    <w:tmpl w:val="BFB2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860FA3"/>
    <w:multiLevelType w:val="hybridMultilevel"/>
    <w:tmpl w:val="1C728DB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520F83"/>
    <w:multiLevelType w:val="hybridMultilevel"/>
    <w:tmpl w:val="0BA03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3066E6"/>
    <w:multiLevelType w:val="hybridMultilevel"/>
    <w:tmpl w:val="969A063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BF57309"/>
    <w:multiLevelType w:val="hybridMultilevel"/>
    <w:tmpl w:val="F3BE647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E176B2"/>
    <w:multiLevelType w:val="hybridMultilevel"/>
    <w:tmpl w:val="19007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522979"/>
    <w:multiLevelType w:val="hybridMultilevel"/>
    <w:tmpl w:val="27788CDE"/>
    <w:lvl w:ilvl="0" w:tplc="6EECF25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CF69E2"/>
    <w:multiLevelType w:val="hybridMultilevel"/>
    <w:tmpl w:val="BC1C0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2"/>
  </w:num>
  <w:num w:numId="5">
    <w:abstractNumId w:val="4"/>
  </w:num>
  <w:num w:numId="6">
    <w:abstractNumId w:val="9"/>
  </w:num>
  <w:num w:numId="7">
    <w:abstractNumId w:val="1"/>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2D"/>
    <w:rsid w:val="000002D8"/>
    <w:rsid w:val="00002071"/>
    <w:rsid w:val="00005CC2"/>
    <w:rsid w:val="0000765E"/>
    <w:rsid w:val="00010944"/>
    <w:rsid w:val="00012837"/>
    <w:rsid w:val="00013416"/>
    <w:rsid w:val="00014E3D"/>
    <w:rsid w:val="00024C94"/>
    <w:rsid w:val="0002709A"/>
    <w:rsid w:val="0003007F"/>
    <w:rsid w:val="00030A60"/>
    <w:rsid w:val="00030A65"/>
    <w:rsid w:val="00031307"/>
    <w:rsid w:val="00031740"/>
    <w:rsid w:val="00031AF6"/>
    <w:rsid w:val="000344E3"/>
    <w:rsid w:val="000414F1"/>
    <w:rsid w:val="00041D24"/>
    <w:rsid w:val="000436BB"/>
    <w:rsid w:val="00044027"/>
    <w:rsid w:val="00045066"/>
    <w:rsid w:val="00046533"/>
    <w:rsid w:val="00047C8D"/>
    <w:rsid w:val="0005378F"/>
    <w:rsid w:val="00056560"/>
    <w:rsid w:val="00060E61"/>
    <w:rsid w:val="00065083"/>
    <w:rsid w:val="00065E63"/>
    <w:rsid w:val="00066862"/>
    <w:rsid w:val="00076019"/>
    <w:rsid w:val="00081180"/>
    <w:rsid w:val="00082E61"/>
    <w:rsid w:val="00083F44"/>
    <w:rsid w:val="0009647F"/>
    <w:rsid w:val="00097650"/>
    <w:rsid w:val="000A059D"/>
    <w:rsid w:val="000A1E2C"/>
    <w:rsid w:val="000A25FB"/>
    <w:rsid w:val="000A3684"/>
    <w:rsid w:val="000A449F"/>
    <w:rsid w:val="000A49D1"/>
    <w:rsid w:val="000A55DE"/>
    <w:rsid w:val="000A7D4D"/>
    <w:rsid w:val="000B2F14"/>
    <w:rsid w:val="000B5731"/>
    <w:rsid w:val="000B5A1A"/>
    <w:rsid w:val="000B5E12"/>
    <w:rsid w:val="000B5ED4"/>
    <w:rsid w:val="000B781F"/>
    <w:rsid w:val="000B7A73"/>
    <w:rsid w:val="000B7EFD"/>
    <w:rsid w:val="000C0E96"/>
    <w:rsid w:val="000C127B"/>
    <w:rsid w:val="000C28BB"/>
    <w:rsid w:val="000C398B"/>
    <w:rsid w:val="000C5D86"/>
    <w:rsid w:val="000C7691"/>
    <w:rsid w:val="000D23E5"/>
    <w:rsid w:val="000D4C57"/>
    <w:rsid w:val="000D5C15"/>
    <w:rsid w:val="000E0A1D"/>
    <w:rsid w:val="000E370A"/>
    <w:rsid w:val="000E447E"/>
    <w:rsid w:val="000E6C25"/>
    <w:rsid w:val="000F5E15"/>
    <w:rsid w:val="0011029C"/>
    <w:rsid w:val="001117A9"/>
    <w:rsid w:val="001158F3"/>
    <w:rsid w:val="00126F88"/>
    <w:rsid w:val="001411A9"/>
    <w:rsid w:val="00141698"/>
    <w:rsid w:val="00142855"/>
    <w:rsid w:val="00142AB2"/>
    <w:rsid w:val="00145FD9"/>
    <w:rsid w:val="0014770A"/>
    <w:rsid w:val="00152803"/>
    <w:rsid w:val="00156A40"/>
    <w:rsid w:val="00157982"/>
    <w:rsid w:val="00164F2E"/>
    <w:rsid w:val="001652AF"/>
    <w:rsid w:val="00166265"/>
    <w:rsid w:val="00166C86"/>
    <w:rsid w:val="0017196E"/>
    <w:rsid w:val="00172F82"/>
    <w:rsid w:val="001866BE"/>
    <w:rsid w:val="00190F06"/>
    <w:rsid w:val="00191F4F"/>
    <w:rsid w:val="0019351B"/>
    <w:rsid w:val="00194ED3"/>
    <w:rsid w:val="00194FE0"/>
    <w:rsid w:val="001A1EE9"/>
    <w:rsid w:val="001A3035"/>
    <w:rsid w:val="001A3D8C"/>
    <w:rsid w:val="001A4A48"/>
    <w:rsid w:val="001A5BEC"/>
    <w:rsid w:val="001A75C0"/>
    <w:rsid w:val="001B0055"/>
    <w:rsid w:val="001B33B1"/>
    <w:rsid w:val="001B3413"/>
    <w:rsid w:val="001B5308"/>
    <w:rsid w:val="001B565B"/>
    <w:rsid w:val="001B5C99"/>
    <w:rsid w:val="001C2975"/>
    <w:rsid w:val="001C42F3"/>
    <w:rsid w:val="001D06D8"/>
    <w:rsid w:val="001D1DC1"/>
    <w:rsid w:val="001D2C00"/>
    <w:rsid w:val="001D3EC2"/>
    <w:rsid w:val="001D5BA9"/>
    <w:rsid w:val="001D5DCD"/>
    <w:rsid w:val="001D6628"/>
    <w:rsid w:val="001E10AE"/>
    <w:rsid w:val="001E2C9A"/>
    <w:rsid w:val="001E4F84"/>
    <w:rsid w:val="001E6A5C"/>
    <w:rsid w:val="001F630D"/>
    <w:rsid w:val="001F7BA9"/>
    <w:rsid w:val="002000E7"/>
    <w:rsid w:val="00200A93"/>
    <w:rsid w:val="0020293D"/>
    <w:rsid w:val="00204D5E"/>
    <w:rsid w:val="00211245"/>
    <w:rsid w:val="00213E8F"/>
    <w:rsid w:val="00215668"/>
    <w:rsid w:val="00215B42"/>
    <w:rsid w:val="00215C60"/>
    <w:rsid w:val="002167C0"/>
    <w:rsid w:val="00216FC1"/>
    <w:rsid w:val="00217A94"/>
    <w:rsid w:val="00226A0B"/>
    <w:rsid w:val="00231FAD"/>
    <w:rsid w:val="0023312E"/>
    <w:rsid w:val="00234174"/>
    <w:rsid w:val="00237256"/>
    <w:rsid w:val="00240C97"/>
    <w:rsid w:val="00241B59"/>
    <w:rsid w:val="00246C8A"/>
    <w:rsid w:val="0025252D"/>
    <w:rsid w:val="0025797C"/>
    <w:rsid w:val="00260725"/>
    <w:rsid w:val="002706BE"/>
    <w:rsid w:val="002746E8"/>
    <w:rsid w:val="00275351"/>
    <w:rsid w:val="00276CD4"/>
    <w:rsid w:val="002820D0"/>
    <w:rsid w:val="002829E6"/>
    <w:rsid w:val="002922CF"/>
    <w:rsid w:val="00293FFA"/>
    <w:rsid w:val="002957C9"/>
    <w:rsid w:val="00296A56"/>
    <w:rsid w:val="002A0D6E"/>
    <w:rsid w:val="002A21CD"/>
    <w:rsid w:val="002A696C"/>
    <w:rsid w:val="002A6B9A"/>
    <w:rsid w:val="002B29C4"/>
    <w:rsid w:val="002B3D75"/>
    <w:rsid w:val="002B54BC"/>
    <w:rsid w:val="002C07F4"/>
    <w:rsid w:val="002C10A6"/>
    <w:rsid w:val="002C206D"/>
    <w:rsid w:val="002C4244"/>
    <w:rsid w:val="002C5512"/>
    <w:rsid w:val="002C702E"/>
    <w:rsid w:val="002D0759"/>
    <w:rsid w:val="002E0429"/>
    <w:rsid w:val="002E0B09"/>
    <w:rsid w:val="002E0EC9"/>
    <w:rsid w:val="002E3705"/>
    <w:rsid w:val="002E71F1"/>
    <w:rsid w:val="002F0ACB"/>
    <w:rsid w:val="002F0E1F"/>
    <w:rsid w:val="002F0F4B"/>
    <w:rsid w:val="002F5209"/>
    <w:rsid w:val="003004E8"/>
    <w:rsid w:val="0030099B"/>
    <w:rsid w:val="00302799"/>
    <w:rsid w:val="00303EAB"/>
    <w:rsid w:val="00305EF9"/>
    <w:rsid w:val="0030681D"/>
    <w:rsid w:val="00310B34"/>
    <w:rsid w:val="00313B42"/>
    <w:rsid w:val="003160D2"/>
    <w:rsid w:val="00317FB2"/>
    <w:rsid w:val="003216F0"/>
    <w:rsid w:val="00326272"/>
    <w:rsid w:val="00326BA7"/>
    <w:rsid w:val="00327269"/>
    <w:rsid w:val="00332780"/>
    <w:rsid w:val="00336569"/>
    <w:rsid w:val="003415A0"/>
    <w:rsid w:val="00341630"/>
    <w:rsid w:val="00346368"/>
    <w:rsid w:val="0034674D"/>
    <w:rsid w:val="00346C6C"/>
    <w:rsid w:val="003476A0"/>
    <w:rsid w:val="00350FD2"/>
    <w:rsid w:val="00352E11"/>
    <w:rsid w:val="00353499"/>
    <w:rsid w:val="00353891"/>
    <w:rsid w:val="00355281"/>
    <w:rsid w:val="003647DB"/>
    <w:rsid w:val="00364DD4"/>
    <w:rsid w:val="0036657D"/>
    <w:rsid w:val="00370E61"/>
    <w:rsid w:val="003717EA"/>
    <w:rsid w:val="003769C0"/>
    <w:rsid w:val="00377FD3"/>
    <w:rsid w:val="003803C1"/>
    <w:rsid w:val="003914D4"/>
    <w:rsid w:val="003921E8"/>
    <w:rsid w:val="003924A3"/>
    <w:rsid w:val="0039555D"/>
    <w:rsid w:val="00395681"/>
    <w:rsid w:val="003A3EA6"/>
    <w:rsid w:val="003A4637"/>
    <w:rsid w:val="003A5FCD"/>
    <w:rsid w:val="003A63FC"/>
    <w:rsid w:val="003A7134"/>
    <w:rsid w:val="003B242E"/>
    <w:rsid w:val="003B5231"/>
    <w:rsid w:val="003C1502"/>
    <w:rsid w:val="003C62CB"/>
    <w:rsid w:val="003C672A"/>
    <w:rsid w:val="003C6F86"/>
    <w:rsid w:val="003D0685"/>
    <w:rsid w:val="003D1803"/>
    <w:rsid w:val="003D32B4"/>
    <w:rsid w:val="003D4CEC"/>
    <w:rsid w:val="003D6E42"/>
    <w:rsid w:val="003D7A31"/>
    <w:rsid w:val="003E194B"/>
    <w:rsid w:val="003E1B72"/>
    <w:rsid w:val="003E3532"/>
    <w:rsid w:val="003F241D"/>
    <w:rsid w:val="003F2470"/>
    <w:rsid w:val="003F34E9"/>
    <w:rsid w:val="003F3944"/>
    <w:rsid w:val="003F5854"/>
    <w:rsid w:val="003F6450"/>
    <w:rsid w:val="00407B71"/>
    <w:rsid w:val="00407D2F"/>
    <w:rsid w:val="004110E7"/>
    <w:rsid w:val="004118C0"/>
    <w:rsid w:val="00412DFB"/>
    <w:rsid w:val="00415E9E"/>
    <w:rsid w:val="00424AE7"/>
    <w:rsid w:val="004255D1"/>
    <w:rsid w:val="004256E6"/>
    <w:rsid w:val="004258EF"/>
    <w:rsid w:val="0042614C"/>
    <w:rsid w:val="0044168F"/>
    <w:rsid w:val="00441D68"/>
    <w:rsid w:val="00443729"/>
    <w:rsid w:val="00450A0D"/>
    <w:rsid w:val="004524B3"/>
    <w:rsid w:val="00453210"/>
    <w:rsid w:val="004555E2"/>
    <w:rsid w:val="00456589"/>
    <w:rsid w:val="00462855"/>
    <w:rsid w:val="004633CB"/>
    <w:rsid w:val="00464F25"/>
    <w:rsid w:val="0047311B"/>
    <w:rsid w:val="00475891"/>
    <w:rsid w:val="00480CB3"/>
    <w:rsid w:val="004826BE"/>
    <w:rsid w:val="00482745"/>
    <w:rsid w:val="00482A51"/>
    <w:rsid w:val="00482D6A"/>
    <w:rsid w:val="004876CB"/>
    <w:rsid w:val="0049129B"/>
    <w:rsid w:val="00491DBE"/>
    <w:rsid w:val="004957DE"/>
    <w:rsid w:val="00495DF8"/>
    <w:rsid w:val="004969DC"/>
    <w:rsid w:val="004A12FC"/>
    <w:rsid w:val="004A4A3D"/>
    <w:rsid w:val="004B2172"/>
    <w:rsid w:val="004B2E58"/>
    <w:rsid w:val="004C6746"/>
    <w:rsid w:val="004C6BAC"/>
    <w:rsid w:val="004C7E76"/>
    <w:rsid w:val="004D4DE5"/>
    <w:rsid w:val="004D732D"/>
    <w:rsid w:val="004E4868"/>
    <w:rsid w:val="004E5A44"/>
    <w:rsid w:val="004E70F4"/>
    <w:rsid w:val="004F28F9"/>
    <w:rsid w:val="004F46F5"/>
    <w:rsid w:val="004F58D7"/>
    <w:rsid w:val="004F73B0"/>
    <w:rsid w:val="004F7D2C"/>
    <w:rsid w:val="005011C4"/>
    <w:rsid w:val="00504413"/>
    <w:rsid w:val="005129A9"/>
    <w:rsid w:val="005138A6"/>
    <w:rsid w:val="00513920"/>
    <w:rsid w:val="005145E6"/>
    <w:rsid w:val="005208E2"/>
    <w:rsid w:val="00524B35"/>
    <w:rsid w:val="005254FD"/>
    <w:rsid w:val="005303D8"/>
    <w:rsid w:val="00530DF6"/>
    <w:rsid w:val="00533541"/>
    <w:rsid w:val="00533A5F"/>
    <w:rsid w:val="0053511B"/>
    <w:rsid w:val="00542DA5"/>
    <w:rsid w:val="005521AF"/>
    <w:rsid w:val="0055224E"/>
    <w:rsid w:val="00556B46"/>
    <w:rsid w:val="005577E6"/>
    <w:rsid w:val="00565A33"/>
    <w:rsid w:val="0057085D"/>
    <w:rsid w:val="005712D4"/>
    <w:rsid w:val="00571351"/>
    <w:rsid w:val="00571E69"/>
    <w:rsid w:val="00571FD9"/>
    <w:rsid w:val="005736F0"/>
    <w:rsid w:val="00573703"/>
    <w:rsid w:val="00576664"/>
    <w:rsid w:val="00576E8E"/>
    <w:rsid w:val="00577402"/>
    <w:rsid w:val="005804EA"/>
    <w:rsid w:val="005845C8"/>
    <w:rsid w:val="00593A4C"/>
    <w:rsid w:val="00595FA6"/>
    <w:rsid w:val="005A02AB"/>
    <w:rsid w:val="005A0D86"/>
    <w:rsid w:val="005A21CE"/>
    <w:rsid w:val="005A236C"/>
    <w:rsid w:val="005A4CE5"/>
    <w:rsid w:val="005A6A5E"/>
    <w:rsid w:val="005B0122"/>
    <w:rsid w:val="005B033C"/>
    <w:rsid w:val="005B2FD3"/>
    <w:rsid w:val="005B4814"/>
    <w:rsid w:val="005C0DEA"/>
    <w:rsid w:val="005C7078"/>
    <w:rsid w:val="005D2BB2"/>
    <w:rsid w:val="005D4939"/>
    <w:rsid w:val="005D53BA"/>
    <w:rsid w:val="005D64C2"/>
    <w:rsid w:val="005D6676"/>
    <w:rsid w:val="005E3AAF"/>
    <w:rsid w:val="005E4B16"/>
    <w:rsid w:val="005E7546"/>
    <w:rsid w:val="005F0F9E"/>
    <w:rsid w:val="005F15AE"/>
    <w:rsid w:val="005F1ACD"/>
    <w:rsid w:val="005F21F7"/>
    <w:rsid w:val="00600910"/>
    <w:rsid w:val="00604733"/>
    <w:rsid w:val="00611488"/>
    <w:rsid w:val="006114BF"/>
    <w:rsid w:val="006216FA"/>
    <w:rsid w:val="00622BD7"/>
    <w:rsid w:val="00622EF3"/>
    <w:rsid w:val="006234A6"/>
    <w:rsid w:val="006247C3"/>
    <w:rsid w:val="00630D24"/>
    <w:rsid w:val="00632DA5"/>
    <w:rsid w:val="00636737"/>
    <w:rsid w:val="0064114E"/>
    <w:rsid w:val="006412A8"/>
    <w:rsid w:val="00642ABD"/>
    <w:rsid w:val="00642CB8"/>
    <w:rsid w:val="00644377"/>
    <w:rsid w:val="006576DC"/>
    <w:rsid w:val="00657F43"/>
    <w:rsid w:val="00662BA2"/>
    <w:rsid w:val="00663E44"/>
    <w:rsid w:val="00666367"/>
    <w:rsid w:val="00670CD6"/>
    <w:rsid w:val="0067622A"/>
    <w:rsid w:val="00680236"/>
    <w:rsid w:val="00682A55"/>
    <w:rsid w:val="00683E1A"/>
    <w:rsid w:val="0068404E"/>
    <w:rsid w:val="00685DE9"/>
    <w:rsid w:val="006877EC"/>
    <w:rsid w:val="00687D0A"/>
    <w:rsid w:val="00690CA3"/>
    <w:rsid w:val="00690FA6"/>
    <w:rsid w:val="0069423B"/>
    <w:rsid w:val="00694420"/>
    <w:rsid w:val="00696B70"/>
    <w:rsid w:val="006B6ED3"/>
    <w:rsid w:val="006C149D"/>
    <w:rsid w:val="006C1C61"/>
    <w:rsid w:val="006C29B1"/>
    <w:rsid w:val="006C3B07"/>
    <w:rsid w:val="006C55C3"/>
    <w:rsid w:val="006D4042"/>
    <w:rsid w:val="006D4EF9"/>
    <w:rsid w:val="006D5EBC"/>
    <w:rsid w:val="006E13B0"/>
    <w:rsid w:val="006E27A8"/>
    <w:rsid w:val="006E2CB9"/>
    <w:rsid w:val="006E5249"/>
    <w:rsid w:val="006E5B99"/>
    <w:rsid w:val="006E5C62"/>
    <w:rsid w:val="006E63B9"/>
    <w:rsid w:val="006E755C"/>
    <w:rsid w:val="006F2DBE"/>
    <w:rsid w:val="006F32F3"/>
    <w:rsid w:val="006F6FA2"/>
    <w:rsid w:val="006F72BC"/>
    <w:rsid w:val="006F7F28"/>
    <w:rsid w:val="0070006D"/>
    <w:rsid w:val="00700896"/>
    <w:rsid w:val="0070189D"/>
    <w:rsid w:val="0070202E"/>
    <w:rsid w:val="0070734C"/>
    <w:rsid w:val="00712FDD"/>
    <w:rsid w:val="0071468E"/>
    <w:rsid w:val="00715F56"/>
    <w:rsid w:val="007165B3"/>
    <w:rsid w:val="00722AC2"/>
    <w:rsid w:val="00723356"/>
    <w:rsid w:val="00725FC8"/>
    <w:rsid w:val="00727C63"/>
    <w:rsid w:val="00730D37"/>
    <w:rsid w:val="00731426"/>
    <w:rsid w:val="007315BD"/>
    <w:rsid w:val="00732A98"/>
    <w:rsid w:val="00737579"/>
    <w:rsid w:val="0074130F"/>
    <w:rsid w:val="007434B5"/>
    <w:rsid w:val="00744F04"/>
    <w:rsid w:val="007454C4"/>
    <w:rsid w:val="00746B0C"/>
    <w:rsid w:val="00746DE8"/>
    <w:rsid w:val="00747E3A"/>
    <w:rsid w:val="007519FB"/>
    <w:rsid w:val="00753CC5"/>
    <w:rsid w:val="00756BF7"/>
    <w:rsid w:val="007628C4"/>
    <w:rsid w:val="00766960"/>
    <w:rsid w:val="00771BF7"/>
    <w:rsid w:val="007720DB"/>
    <w:rsid w:val="00773F31"/>
    <w:rsid w:val="00777FBC"/>
    <w:rsid w:val="00780A95"/>
    <w:rsid w:val="00782E70"/>
    <w:rsid w:val="00785249"/>
    <w:rsid w:val="00790878"/>
    <w:rsid w:val="00795051"/>
    <w:rsid w:val="007A4237"/>
    <w:rsid w:val="007B0BA7"/>
    <w:rsid w:val="007B10F9"/>
    <w:rsid w:val="007B3049"/>
    <w:rsid w:val="007B3AD2"/>
    <w:rsid w:val="007B4C42"/>
    <w:rsid w:val="007B578F"/>
    <w:rsid w:val="007B72FB"/>
    <w:rsid w:val="007C166E"/>
    <w:rsid w:val="007C3C97"/>
    <w:rsid w:val="007D3320"/>
    <w:rsid w:val="007E0363"/>
    <w:rsid w:val="007E27C3"/>
    <w:rsid w:val="007E396A"/>
    <w:rsid w:val="007E45ED"/>
    <w:rsid w:val="007E507D"/>
    <w:rsid w:val="007E72E5"/>
    <w:rsid w:val="007E7A39"/>
    <w:rsid w:val="007F0369"/>
    <w:rsid w:val="007F2855"/>
    <w:rsid w:val="007F3457"/>
    <w:rsid w:val="007F53DE"/>
    <w:rsid w:val="007F552A"/>
    <w:rsid w:val="007F7CBC"/>
    <w:rsid w:val="00806670"/>
    <w:rsid w:val="00810288"/>
    <w:rsid w:val="0081181F"/>
    <w:rsid w:val="0081242D"/>
    <w:rsid w:val="00813C16"/>
    <w:rsid w:val="00815CAA"/>
    <w:rsid w:val="00816254"/>
    <w:rsid w:val="008213F2"/>
    <w:rsid w:val="00824AED"/>
    <w:rsid w:val="00825E8E"/>
    <w:rsid w:val="00827231"/>
    <w:rsid w:val="00827842"/>
    <w:rsid w:val="00831C32"/>
    <w:rsid w:val="008348F9"/>
    <w:rsid w:val="00835FF7"/>
    <w:rsid w:val="008365B5"/>
    <w:rsid w:val="0083666B"/>
    <w:rsid w:val="00837A27"/>
    <w:rsid w:val="00840D9B"/>
    <w:rsid w:val="008461FD"/>
    <w:rsid w:val="008506CF"/>
    <w:rsid w:val="00855535"/>
    <w:rsid w:val="0086066E"/>
    <w:rsid w:val="0086180D"/>
    <w:rsid w:val="0086204E"/>
    <w:rsid w:val="00865771"/>
    <w:rsid w:val="008679E4"/>
    <w:rsid w:val="00872EE8"/>
    <w:rsid w:val="00880301"/>
    <w:rsid w:val="00880481"/>
    <w:rsid w:val="00881FD3"/>
    <w:rsid w:val="008829F7"/>
    <w:rsid w:val="008831D8"/>
    <w:rsid w:val="008835C8"/>
    <w:rsid w:val="008838FE"/>
    <w:rsid w:val="00883FF3"/>
    <w:rsid w:val="00891CD4"/>
    <w:rsid w:val="008929DB"/>
    <w:rsid w:val="0089429B"/>
    <w:rsid w:val="0089516D"/>
    <w:rsid w:val="00896890"/>
    <w:rsid w:val="00896F2A"/>
    <w:rsid w:val="00897611"/>
    <w:rsid w:val="008A7B5D"/>
    <w:rsid w:val="008B0F6E"/>
    <w:rsid w:val="008B2448"/>
    <w:rsid w:val="008B2856"/>
    <w:rsid w:val="008B74D7"/>
    <w:rsid w:val="008B760E"/>
    <w:rsid w:val="008C1227"/>
    <w:rsid w:val="008C29B0"/>
    <w:rsid w:val="008C7FD5"/>
    <w:rsid w:val="008D0999"/>
    <w:rsid w:val="008D23B7"/>
    <w:rsid w:val="008D2EB8"/>
    <w:rsid w:val="008D6FCE"/>
    <w:rsid w:val="008E5B80"/>
    <w:rsid w:val="008F1F34"/>
    <w:rsid w:val="008F61FC"/>
    <w:rsid w:val="008F7A45"/>
    <w:rsid w:val="00900621"/>
    <w:rsid w:val="00901D54"/>
    <w:rsid w:val="00903497"/>
    <w:rsid w:val="009042FB"/>
    <w:rsid w:val="009061A2"/>
    <w:rsid w:val="00906765"/>
    <w:rsid w:val="00907BEF"/>
    <w:rsid w:val="0091115F"/>
    <w:rsid w:val="0091243F"/>
    <w:rsid w:val="009128E8"/>
    <w:rsid w:val="0091334E"/>
    <w:rsid w:val="00915985"/>
    <w:rsid w:val="00915E77"/>
    <w:rsid w:val="009165F7"/>
    <w:rsid w:val="009217D5"/>
    <w:rsid w:val="009238E5"/>
    <w:rsid w:val="00925EA7"/>
    <w:rsid w:val="009311DA"/>
    <w:rsid w:val="00931725"/>
    <w:rsid w:val="00934595"/>
    <w:rsid w:val="00934B0B"/>
    <w:rsid w:val="009373AE"/>
    <w:rsid w:val="0094480E"/>
    <w:rsid w:val="009469D9"/>
    <w:rsid w:val="00946BEA"/>
    <w:rsid w:val="009515B9"/>
    <w:rsid w:val="009538FB"/>
    <w:rsid w:val="009550A0"/>
    <w:rsid w:val="00955BB4"/>
    <w:rsid w:val="00963104"/>
    <w:rsid w:val="00963D9C"/>
    <w:rsid w:val="009647FD"/>
    <w:rsid w:val="009653E4"/>
    <w:rsid w:val="00966D41"/>
    <w:rsid w:val="009718A8"/>
    <w:rsid w:val="009844A5"/>
    <w:rsid w:val="00986946"/>
    <w:rsid w:val="009912E2"/>
    <w:rsid w:val="00992DB6"/>
    <w:rsid w:val="00993B89"/>
    <w:rsid w:val="00993C80"/>
    <w:rsid w:val="00994FB2"/>
    <w:rsid w:val="00996127"/>
    <w:rsid w:val="009A2778"/>
    <w:rsid w:val="009A3D99"/>
    <w:rsid w:val="009A6DD3"/>
    <w:rsid w:val="009A7BDD"/>
    <w:rsid w:val="009B28B7"/>
    <w:rsid w:val="009B44A2"/>
    <w:rsid w:val="009B5A3A"/>
    <w:rsid w:val="009B674D"/>
    <w:rsid w:val="009C405E"/>
    <w:rsid w:val="009C73ED"/>
    <w:rsid w:val="009D1C63"/>
    <w:rsid w:val="009D2E27"/>
    <w:rsid w:val="009D3B75"/>
    <w:rsid w:val="009D449B"/>
    <w:rsid w:val="009D47A7"/>
    <w:rsid w:val="009D597A"/>
    <w:rsid w:val="009E1DB5"/>
    <w:rsid w:val="009E4183"/>
    <w:rsid w:val="009F0A4C"/>
    <w:rsid w:val="009F4B4D"/>
    <w:rsid w:val="009F4F50"/>
    <w:rsid w:val="009F6754"/>
    <w:rsid w:val="00A005B6"/>
    <w:rsid w:val="00A0088B"/>
    <w:rsid w:val="00A02149"/>
    <w:rsid w:val="00A0323F"/>
    <w:rsid w:val="00A041AE"/>
    <w:rsid w:val="00A0430C"/>
    <w:rsid w:val="00A0610F"/>
    <w:rsid w:val="00A11F17"/>
    <w:rsid w:val="00A14B7B"/>
    <w:rsid w:val="00A17F02"/>
    <w:rsid w:val="00A220A6"/>
    <w:rsid w:val="00A22201"/>
    <w:rsid w:val="00A234F6"/>
    <w:rsid w:val="00A246AC"/>
    <w:rsid w:val="00A24807"/>
    <w:rsid w:val="00A24D09"/>
    <w:rsid w:val="00A31AB3"/>
    <w:rsid w:val="00A3400E"/>
    <w:rsid w:val="00A3767D"/>
    <w:rsid w:val="00A37B46"/>
    <w:rsid w:val="00A43529"/>
    <w:rsid w:val="00A43A1F"/>
    <w:rsid w:val="00A503DE"/>
    <w:rsid w:val="00A56184"/>
    <w:rsid w:val="00A61B4E"/>
    <w:rsid w:val="00A621C7"/>
    <w:rsid w:val="00A6374D"/>
    <w:rsid w:val="00A73D72"/>
    <w:rsid w:val="00A84D78"/>
    <w:rsid w:val="00A85BD5"/>
    <w:rsid w:val="00A9377C"/>
    <w:rsid w:val="00A9424A"/>
    <w:rsid w:val="00A95233"/>
    <w:rsid w:val="00AA106B"/>
    <w:rsid w:val="00AA3FF3"/>
    <w:rsid w:val="00AB081F"/>
    <w:rsid w:val="00AB0894"/>
    <w:rsid w:val="00AB20E7"/>
    <w:rsid w:val="00AB5859"/>
    <w:rsid w:val="00AC1956"/>
    <w:rsid w:val="00AC1AFE"/>
    <w:rsid w:val="00AC51B6"/>
    <w:rsid w:val="00AC6195"/>
    <w:rsid w:val="00AC619B"/>
    <w:rsid w:val="00AE0C86"/>
    <w:rsid w:val="00AE2CDE"/>
    <w:rsid w:val="00AE52D8"/>
    <w:rsid w:val="00AE73F1"/>
    <w:rsid w:val="00AF0653"/>
    <w:rsid w:val="00AF164F"/>
    <w:rsid w:val="00AF1F79"/>
    <w:rsid w:val="00AF2AC7"/>
    <w:rsid w:val="00AF300E"/>
    <w:rsid w:val="00AF46A3"/>
    <w:rsid w:val="00AF4D31"/>
    <w:rsid w:val="00B00A03"/>
    <w:rsid w:val="00B00CEF"/>
    <w:rsid w:val="00B026B6"/>
    <w:rsid w:val="00B07506"/>
    <w:rsid w:val="00B10004"/>
    <w:rsid w:val="00B1046F"/>
    <w:rsid w:val="00B11E91"/>
    <w:rsid w:val="00B1327B"/>
    <w:rsid w:val="00B143F9"/>
    <w:rsid w:val="00B20D2C"/>
    <w:rsid w:val="00B233E6"/>
    <w:rsid w:val="00B24262"/>
    <w:rsid w:val="00B30618"/>
    <w:rsid w:val="00B307F0"/>
    <w:rsid w:val="00B31F9D"/>
    <w:rsid w:val="00B32E7B"/>
    <w:rsid w:val="00B36729"/>
    <w:rsid w:val="00B46EC5"/>
    <w:rsid w:val="00B5690D"/>
    <w:rsid w:val="00B61270"/>
    <w:rsid w:val="00B644A7"/>
    <w:rsid w:val="00B663DE"/>
    <w:rsid w:val="00B67850"/>
    <w:rsid w:val="00B72473"/>
    <w:rsid w:val="00B812BA"/>
    <w:rsid w:val="00B82FDA"/>
    <w:rsid w:val="00B95F4D"/>
    <w:rsid w:val="00B9716A"/>
    <w:rsid w:val="00BA4E6E"/>
    <w:rsid w:val="00BB144E"/>
    <w:rsid w:val="00BB16F8"/>
    <w:rsid w:val="00BB54C5"/>
    <w:rsid w:val="00BB5BB4"/>
    <w:rsid w:val="00BB6A6D"/>
    <w:rsid w:val="00BC0167"/>
    <w:rsid w:val="00BC360C"/>
    <w:rsid w:val="00BC5B21"/>
    <w:rsid w:val="00BC638E"/>
    <w:rsid w:val="00BD45FA"/>
    <w:rsid w:val="00BD4BB1"/>
    <w:rsid w:val="00BD6ABA"/>
    <w:rsid w:val="00BD6BBF"/>
    <w:rsid w:val="00BD7ED8"/>
    <w:rsid w:val="00BE4900"/>
    <w:rsid w:val="00BE5C50"/>
    <w:rsid w:val="00BE692A"/>
    <w:rsid w:val="00BE6A51"/>
    <w:rsid w:val="00BF234A"/>
    <w:rsid w:val="00BF36E7"/>
    <w:rsid w:val="00BF561C"/>
    <w:rsid w:val="00C0017A"/>
    <w:rsid w:val="00C01D5E"/>
    <w:rsid w:val="00C03DD8"/>
    <w:rsid w:val="00C10167"/>
    <w:rsid w:val="00C10756"/>
    <w:rsid w:val="00C12C5F"/>
    <w:rsid w:val="00C144B1"/>
    <w:rsid w:val="00C166BE"/>
    <w:rsid w:val="00C17EB2"/>
    <w:rsid w:val="00C20957"/>
    <w:rsid w:val="00C2511D"/>
    <w:rsid w:val="00C254F5"/>
    <w:rsid w:val="00C347C6"/>
    <w:rsid w:val="00C36A84"/>
    <w:rsid w:val="00C53DC8"/>
    <w:rsid w:val="00C55C0D"/>
    <w:rsid w:val="00C6285A"/>
    <w:rsid w:val="00C650ED"/>
    <w:rsid w:val="00C667A0"/>
    <w:rsid w:val="00C70145"/>
    <w:rsid w:val="00C72A13"/>
    <w:rsid w:val="00C77D92"/>
    <w:rsid w:val="00C8210C"/>
    <w:rsid w:val="00C822FA"/>
    <w:rsid w:val="00C84130"/>
    <w:rsid w:val="00C85824"/>
    <w:rsid w:val="00C923B8"/>
    <w:rsid w:val="00C92E6C"/>
    <w:rsid w:val="00CA4D49"/>
    <w:rsid w:val="00CA7814"/>
    <w:rsid w:val="00CA7D8C"/>
    <w:rsid w:val="00CB1A97"/>
    <w:rsid w:val="00CB27B9"/>
    <w:rsid w:val="00CB4938"/>
    <w:rsid w:val="00CB4A4E"/>
    <w:rsid w:val="00CB728D"/>
    <w:rsid w:val="00CC3D07"/>
    <w:rsid w:val="00CC4F17"/>
    <w:rsid w:val="00CC5316"/>
    <w:rsid w:val="00CD595C"/>
    <w:rsid w:val="00CD5ECD"/>
    <w:rsid w:val="00CE2293"/>
    <w:rsid w:val="00CE2A75"/>
    <w:rsid w:val="00CE42CB"/>
    <w:rsid w:val="00CE7974"/>
    <w:rsid w:val="00CF15F4"/>
    <w:rsid w:val="00D00BF8"/>
    <w:rsid w:val="00D01C96"/>
    <w:rsid w:val="00D02913"/>
    <w:rsid w:val="00D030C1"/>
    <w:rsid w:val="00D0667C"/>
    <w:rsid w:val="00D07FE8"/>
    <w:rsid w:val="00D10190"/>
    <w:rsid w:val="00D11B29"/>
    <w:rsid w:val="00D11FB5"/>
    <w:rsid w:val="00D15CE0"/>
    <w:rsid w:val="00D2181C"/>
    <w:rsid w:val="00D232EC"/>
    <w:rsid w:val="00D2389C"/>
    <w:rsid w:val="00D24429"/>
    <w:rsid w:val="00D27B5C"/>
    <w:rsid w:val="00D307AD"/>
    <w:rsid w:val="00D30B6B"/>
    <w:rsid w:val="00D31BCC"/>
    <w:rsid w:val="00D37217"/>
    <w:rsid w:val="00D37FF9"/>
    <w:rsid w:val="00D441A3"/>
    <w:rsid w:val="00D50882"/>
    <w:rsid w:val="00D511F7"/>
    <w:rsid w:val="00D5260D"/>
    <w:rsid w:val="00D53DA5"/>
    <w:rsid w:val="00D541A4"/>
    <w:rsid w:val="00D5427B"/>
    <w:rsid w:val="00D54E83"/>
    <w:rsid w:val="00D55639"/>
    <w:rsid w:val="00D56892"/>
    <w:rsid w:val="00D6233C"/>
    <w:rsid w:val="00D627D4"/>
    <w:rsid w:val="00D64334"/>
    <w:rsid w:val="00D72318"/>
    <w:rsid w:val="00D744F8"/>
    <w:rsid w:val="00D81D1A"/>
    <w:rsid w:val="00D81D68"/>
    <w:rsid w:val="00D82910"/>
    <w:rsid w:val="00D831C3"/>
    <w:rsid w:val="00D86A75"/>
    <w:rsid w:val="00D87698"/>
    <w:rsid w:val="00D92867"/>
    <w:rsid w:val="00D962E0"/>
    <w:rsid w:val="00D9784E"/>
    <w:rsid w:val="00DA073A"/>
    <w:rsid w:val="00DA34E7"/>
    <w:rsid w:val="00DA4980"/>
    <w:rsid w:val="00DB069A"/>
    <w:rsid w:val="00DB0ACE"/>
    <w:rsid w:val="00DB1156"/>
    <w:rsid w:val="00DB1F89"/>
    <w:rsid w:val="00DB32D9"/>
    <w:rsid w:val="00DC215C"/>
    <w:rsid w:val="00DC4FC7"/>
    <w:rsid w:val="00DD57A0"/>
    <w:rsid w:val="00DD6334"/>
    <w:rsid w:val="00DD75CA"/>
    <w:rsid w:val="00DE34CD"/>
    <w:rsid w:val="00DE5592"/>
    <w:rsid w:val="00DE7910"/>
    <w:rsid w:val="00DF3A39"/>
    <w:rsid w:val="00DF5752"/>
    <w:rsid w:val="00E00B7B"/>
    <w:rsid w:val="00E02B7A"/>
    <w:rsid w:val="00E06E13"/>
    <w:rsid w:val="00E10862"/>
    <w:rsid w:val="00E14478"/>
    <w:rsid w:val="00E1545A"/>
    <w:rsid w:val="00E1651F"/>
    <w:rsid w:val="00E16669"/>
    <w:rsid w:val="00E202B5"/>
    <w:rsid w:val="00E211DA"/>
    <w:rsid w:val="00E21314"/>
    <w:rsid w:val="00E22A67"/>
    <w:rsid w:val="00E24DB9"/>
    <w:rsid w:val="00E33967"/>
    <w:rsid w:val="00E33F8A"/>
    <w:rsid w:val="00E359F5"/>
    <w:rsid w:val="00E40EF1"/>
    <w:rsid w:val="00E445A6"/>
    <w:rsid w:val="00E4601B"/>
    <w:rsid w:val="00E51E06"/>
    <w:rsid w:val="00E532AB"/>
    <w:rsid w:val="00E600B2"/>
    <w:rsid w:val="00E60163"/>
    <w:rsid w:val="00E6052C"/>
    <w:rsid w:val="00E621B9"/>
    <w:rsid w:val="00E64F85"/>
    <w:rsid w:val="00E6576A"/>
    <w:rsid w:val="00E7021B"/>
    <w:rsid w:val="00E71211"/>
    <w:rsid w:val="00E7122C"/>
    <w:rsid w:val="00E71385"/>
    <w:rsid w:val="00E71C98"/>
    <w:rsid w:val="00E7287A"/>
    <w:rsid w:val="00E72D5A"/>
    <w:rsid w:val="00E742D1"/>
    <w:rsid w:val="00E74D9E"/>
    <w:rsid w:val="00E77220"/>
    <w:rsid w:val="00E77279"/>
    <w:rsid w:val="00E82BAB"/>
    <w:rsid w:val="00E84414"/>
    <w:rsid w:val="00E8487E"/>
    <w:rsid w:val="00E85445"/>
    <w:rsid w:val="00E85C18"/>
    <w:rsid w:val="00E91BFB"/>
    <w:rsid w:val="00E91CF1"/>
    <w:rsid w:val="00E92435"/>
    <w:rsid w:val="00EA3A12"/>
    <w:rsid w:val="00EA3F51"/>
    <w:rsid w:val="00EA4199"/>
    <w:rsid w:val="00EA49F8"/>
    <w:rsid w:val="00EA55BE"/>
    <w:rsid w:val="00EB08D1"/>
    <w:rsid w:val="00EB5A09"/>
    <w:rsid w:val="00EC15BA"/>
    <w:rsid w:val="00EC1D69"/>
    <w:rsid w:val="00EC2501"/>
    <w:rsid w:val="00EC402C"/>
    <w:rsid w:val="00EC58AF"/>
    <w:rsid w:val="00ED439A"/>
    <w:rsid w:val="00ED4672"/>
    <w:rsid w:val="00ED4D40"/>
    <w:rsid w:val="00ED74D4"/>
    <w:rsid w:val="00EE1032"/>
    <w:rsid w:val="00EE3006"/>
    <w:rsid w:val="00EF2031"/>
    <w:rsid w:val="00EF4ECF"/>
    <w:rsid w:val="00EF535D"/>
    <w:rsid w:val="00EF5B61"/>
    <w:rsid w:val="00EF6C13"/>
    <w:rsid w:val="00F01630"/>
    <w:rsid w:val="00F01C25"/>
    <w:rsid w:val="00F04843"/>
    <w:rsid w:val="00F1153B"/>
    <w:rsid w:val="00F20D6E"/>
    <w:rsid w:val="00F21BC1"/>
    <w:rsid w:val="00F22BB1"/>
    <w:rsid w:val="00F25316"/>
    <w:rsid w:val="00F3091C"/>
    <w:rsid w:val="00F32725"/>
    <w:rsid w:val="00F3329E"/>
    <w:rsid w:val="00F37DDE"/>
    <w:rsid w:val="00F40D70"/>
    <w:rsid w:val="00F40F37"/>
    <w:rsid w:val="00F42CBC"/>
    <w:rsid w:val="00F4540D"/>
    <w:rsid w:val="00F46ED9"/>
    <w:rsid w:val="00F504F5"/>
    <w:rsid w:val="00F51E78"/>
    <w:rsid w:val="00F54E4D"/>
    <w:rsid w:val="00F55EAD"/>
    <w:rsid w:val="00F5705D"/>
    <w:rsid w:val="00F606D6"/>
    <w:rsid w:val="00F61E6D"/>
    <w:rsid w:val="00F63C69"/>
    <w:rsid w:val="00F65649"/>
    <w:rsid w:val="00F71922"/>
    <w:rsid w:val="00F734A7"/>
    <w:rsid w:val="00F7499D"/>
    <w:rsid w:val="00F75735"/>
    <w:rsid w:val="00F8088F"/>
    <w:rsid w:val="00F84F8C"/>
    <w:rsid w:val="00F930F7"/>
    <w:rsid w:val="00F93FF7"/>
    <w:rsid w:val="00F9461F"/>
    <w:rsid w:val="00F94925"/>
    <w:rsid w:val="00F95007"/>
    <w:rsid w:val="00FA1C68"/>
    <w:rsid w:val="00FA37AF"/>
    <w:rsid w:val="00FA5D0C"/>
    <w:rsid w:val="00FA6567"/>
    <w:rsid w:val="00FA7990"/>
    <w:rsid w:val="00FB3039"/>
    <w:rsid w:val="00FB39C7"/>
    <w:rsid w:val="00FB4E60"/>
    <w:rsid w:val="00FB59F8"/>
    <w:rsid w:val="00FD1E7D"/>
    <w:rsid w:val="00FE08EF"/>
    <w:rsid w:val="00FE78A9"/>
    <w:rsid w:val="00FF2D9B"/>
    <w:rsid w:val="00FF4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D2728"/>
  <w15:docId w15:val="{0466BFFA-15E5-4431-9A27-85BD9D0BC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52D"/>
  </w:style>
  <w:style w:type="paragraph" w:styleId="Heading1">
    <w:name w:val="heading 1"/>
    <w:basedOn w:val="Normal"/>
    <w:next w:val="Normal"/>
    <w:link w:val="Heading1Char"/>
    <w:uiPriority w:val="9"/>
    <w:qFormat/>
    <w:rsid w:val="0025252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5252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5252D"/>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25252D"/>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25252D"/>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25252D"/>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5252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5252D"/>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25252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252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25252D"/>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25252D"/>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25252D"/>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25252D"/>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25252D"/>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25252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5252D"/>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25252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5252D"/>
    <w:pPr>
      <w:spacing w:line="240" w:lineRule="auto"/>
    </w:pPr>
    <w:rPr>
      <w:b/>
      <w:bCs/>
      <w:color w:val="5B9BD5" w:themeColor="accent1"/>
      <w:sz w:val="18"/>
      <w:szCs w:val="18"/>
    </w:rPr>
  </w:style>
  <w:style w:type="paragraph" w:styleId="Title">
    <w:name w:val="Title"/>
    <w:basedOn w:val="Normal"/>
    <w:next w:val="Normal"/>
    <w:link w:val="TitleChar"/>
    <w:uiPriority w:val="10"/>
    <w:qFormat/>
    <w:rsid w:val="0025252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25252D"/>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25252D"/>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25252D"/>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25252D"/>
    <w:rPr>
      <w:b/>
      <w:bCs/>
    </w:rPr>
  </w:style>
  <w:style w:type="character" w:styleId="Emphasis">
    <w:name w:val="Emphasis"/>
    <w:basedOn w:val="DefaultParagraphFont"/>
    <w:uiPriority w:val="20"/>
    <w:qFormat/>
    <w:rsid w:val="0025252D"/>
    <w:rPr>
      <w:i/>
      <w:iCs/>
    </w:rPr>
  </w:style>
  <w:style w:type="paragraph" w:styleId="NoSpacing">
    <w:name w:val="No Spacing"/>
    <w:uiPriority w:val="1"/>
    <w:qFormat/>
    <w:rsid w:val="0025252D"/>
    <w:pPr>
      <w:spacing w:after="0" w:line="240" w:lineRule="auto"/>
    </w:pPr>
  </w:style>
  <w:style w:type="paragraph" w:styleId="Quote">
    <w:name w:val="Quote"/>
    <w:basedOn w:val="Normal"/>
    <w:next w:val="Normal"/>
    <w:link w:val="QuoteChar"/>
    <w:uiPriority w:val="29"/>
    <w:qFormat/>
    <w:rsid w:val="0025252D"/>
    <w:rPr>
      <w:i/>
      <w:iCs/>
      <w:color w:val="000000" w:themeColor="text1"/>
    </w:rPr>
  </w:style>
  <w:style w:type="character" w:customStyle="1" w:styleId="QuoteChar">
    <w:name w:val="Quote Char"/>
    <w:basedOn w:val="DefaultParagraphFont"/>
    <w:link w:val="Quote"/>
    <w:uiPriority w:val="29"/>
    <w:rsid w:val="0025252D"/>
    <w:rPr>
      <w:i/>
      <w:iCs/>
      <w:color w:val="000000" w:themeColor="text1"/>
    </w:rPr>
  </w:style>
  <w:style w:type="paragraph" w:styleId="IntenseQuote">
    <w:name w:val="Intense Quote"/>
    <w:basedOn w:val="Normal"/>
    <w:next w:val="Normal"/>
    <w:link w:val="IntenseQuoteChar"/>
    <w:uiPriority w:val="30"/>
    <w:qFormat/>
    <w:rsid w:val="0025252D"/>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25252D"/>
    <w:rPr>
      <w:b/>
      <w:bCs/>
      <w:i/>
      <w:iCs/>
      <w:color w:val="5B9BD5" w:themeColor="accent1"/>
    </w:rPr>
  </w:style>
  <w:style w:type="character" w:styleId="SubtleEmphasis">
    <w:name w:val="Subtle Emphasis"/>
    <w:basedOn w:val="DefaultParagraphFont"/>
    <w:uiPriority w:val="19"/>
    <w:qFormat/>
    <w:rsid w:val="0025252D"/>
    <w:rPr>
      <w:i/>
      <w:iCs/>
      <w:color w:val="808080" w:themeColor="text1" w:themeTint="7F"/>
    </w:rPr>
  </w:style>
  <w:style w:type="character" w:styleId="IntenseEmphasis">
    <w:name w:val="Intense Emphasis"/>
    <w:basedOn w:val="DefaultParagraphFont"/>
    <w:uiPriority w:val="21"/>
    <w:qFormat/>
    <w:rsid w:val="0025252D"/>
    <w:rPr>
      <w:b/>
      <w:bCs/>
      <w:i/>
      <w:iCs/>
      <w:color w:val="5B9BD5" w:themeColor="accent1"/>
    </w:rPr>
  </w:style>
  <w:style w:type="character" w:styleId="SubtleReference">
    <w:name w:val="Subtle Reference"/>
    <w:basedOn w:val="DefaultParagraphFont"/>
    <w:uiPriority w:val="31"/>
    <w:qFormat/>
    <w:rsid w:val="0025252D"/>
    <w:rPr>
      <w:smallCaps/>
      <w:color w:val="ED7D31" w:themeColor="accent2"/>
      <w:u w:val="single"/>
    </w:rPr>
  </w:style>
  <w:style w:type="character" w:styleId="IntenseReference">
    <w:name w:val="Intense Reference"/>
    <w:basedOn w:val="DefaultParagraphFont"/>
    <w:uiPriority w:val="32"/>
    <w:qFormat/>
    <w:rsid w:val="0025252D"/>
    <w:rPr>
      <w:b/>
      <w:bCs/>
      <w:smallCaps/>
      <w:color w:val="ED7D31" w:themeColor="accent2"/>
      <w:spacing w:val="5"/>
      <w:u w:val="single"/>
    </w:rPr>
  </w:style>
  <w:style w:type="character" w:styleId="BookTitle">
    <w:name w:val="Book Title"/>
    <w:basedOn w:val="DefaultParagraphFont"/>
    <w:uiPriority w:val="33"/>
    <w:qFormat/>
    <w:rsid w:val="0025252D"/>
    <w:rPr>
      <w:b/>
      <w:bCs/>
      <w:smallCaps/>
      <w:spacing w:val="5"/>
    </w:rPr>
  </w:style>
  <w:style w:type="paragraph" w:styleId="TOCHeading">
    <w:name w:val="TOC Heading"/>
    <w:basedOn w:val="Heading1"/>
    <w:next w:val="Normal"/>
    <w:uiPriority w:val="39"/>
    <w:semiHidden/>
    <w:unhideWhenUsed/>
    <w:qFormat/>
    <w:rsid w:val="0025252D"/>
    <w:pPr>
      <w:outlineLvl w:val="9"/>
    </w:pPr>
  </w:style>
  <w:style w:type="table" w:styleId="TableGrid">
    <w:name w:val="Table Grid"/>
    <w:basedOn w:val="TableNormal"/>
    <w:uiPriority w:val="59"/>
    <w:rsid w:val="000D2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6E13"/>
    <w:pPr>
      <w:ind w:left="720"/>
      <w:contextualSpacing/>
    </w:pPr>
  </w:style>
  <w:style w:type="paragraph" w:styleId="HTMLPreformatted">
    <w:name w:val="HTML Preformatted"/>
    <w:basedOn w:val="Normal"/>
    <w:link w:val="HTMLPreformattedChar"/>
    <w:uiPriority w:val="99"/>
    <w:semiHidden/>
    <w:unhideWhenUsed/>
    <w:rsid w:val="00737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37579"/>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341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5A0"/>
    <w:rPr>
      <w:rFonts w:ascii="Tahoma" w:hAnsi="Tahoma" w:cs="Tahoma"/>
      <w:sz w:val="16"/>
      <w:szCs w:val="16"/>
    </w:rPr>
  </w:style>
  <w:style w:type="character" w:styleId="LineNumber">
    <w:name w:val="line number"/>
    <w:basedOn w:val="DefaultParagraphFont"/>
    <w:uiPriority w:val="99"/>
    <w:semiHidden/>
    <w:unhideWhenUsed/>
    <w:rsid w:val="00896F2A"/>
  </w:style>
  <w:style w:type="paragraph" w:styleId="Header">
    <w:name w:val="header"/>
    <w:basedOn w:val="Normal"/>
    <w:link w:val="HeaderChar"/>
    <w:uiPriority w:val="99"/>
    <w:unhideWhenUsed/>
    <w:rsid w:val="00DF57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752"/>
  </w:style>
  <w:style w:type="paragraph" w:styleId="Footer">
    <w:name w:val="footer"/>
    <w:basedOn w:val="Normal"/>
    <w:link w:val="FooterChar"/>
    <w:uiPriority w:val="99"/>
    <w:unhideWhenUsed/>
    <w:rsid w:val="00DF57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752"/>
  </w:style>
  <w:style w:type="character" w:styleId="Hyperlink">
    <w:name w:val="Hyperlink"/>
    <w:basedOn w:val="DefaultParagraphFont"/>
    <w:uiPriority w:val="99"/>
    <w:unhideWhenUsed/>
    <w:rsid w:val="009718A8"/>
    <w:rPr>
      <w:color w:val="0563C1" w:themeColor="hyperlink"/>
      <w:u w:val="single"/>
    </w:rPr>
  </w:style>
  <w:style w:type="character" w:styleId="FollowedHyperlink">
    <w:name w:val="FollowedHyperlink"/>
    <w:basedOn w:val="DefaultParagraphFont"/>
    <w:uiPriority w:val="99"/>
    <w:semiHidden/>
    <w:unhideWhenUsed/>
    <w:rsid w:val="00060E61"/>
    <w:rPr>
      <w:color w:val="954F72" w:themeColor="followedHyperlink"/>
      <w:u w:val="single"/>
    </w:rPr>
  </w:style>
  <w:style w:type="paragraph" w:styleId="NormalWeb">
    <w:name w:val="Normal (Web)"/>
    <w:basedOn w:val="Normal"/>
    <w:uiPriority w:val="99"/>
    <w:semiHidden/>
    <w:unhideWhenUsed/>
    <w:rsid w:val="007720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llowtextselection">
    <w:name w:val="allowtextselection"/>
    <w:basedOn w:val="DefaultParagraphFont"/>
    <w:rsid w:val="006E63B9"/>
  </w:style>
  <w:style w:type="paragraph" w:styleId="Bibliography">
    <w:name w:val="Bibliography"/>
    <w:basedOn w:val="Normal"/>
    <w:next w:val="Normal"/>
    <w:uiPriority w:val="37"/>
    <w:unhideWhenUsed/>
    <w:rsid w:val="00076019"/>
    <w:pPr>
      <w:tabs>
        <w:tab w:val="left" w:pos="384"/>
      </w:tabs>
      <w:spacing w:after="240" w:line="240" w:lineRule="auto"/>
      <w:ind w:left="384" w:hanging="384"/>
    </w:pPr>
  </w:style>
  <w:style w:type="character" w:styleId="CommentReference">
    <w:name w:val="annotation reference"/>
    <w:basedOn w:val="DefaultParagraphFont"/>
    <w:uiPriority w:val="99"/>
    <w:semiHidden/>
    <w:unhideWhenUsed/>
    <w:rsid w:val="009B674D"/>
    <w:rPr>
      <w:sz w:val="16"/>
      <w:szCs w:val="16"/>
    </w:rPr>
  </w:style>
  <w:style w:type="paragraph" w:styleId="CommentText">
    <w:name w:val="annotation text"/>
    <w:basedOn w:val="Normal"/>
    <w:link w:val="CommentTextChar"/>
    <w:uiPriority w:val="99"/>
    <w:semiHidden/>
    <w:unhideWhenUsed/>
    <w:rsid w:val="009B674D"/>
    <w:pPr>
      <w:spacing w:line="240" w:lineRule="auto"/>
    </w:pPr>
    <w:rPr>
      <w:sz w:val="20"/>
      <w:szCs w:val="20"/>
    </w:rPr>
  </w:style>
  <w:style w:type="character" w:customStyle="1" w:styleId="CommentTextChar">
    <w:name w:val="Comment Text Char"/>
    <w:basedOn w:val="DefaultParagraphFont"/>
    <w:link w:val="CommentText"/>
    <w:uiPriority w:val="99"/>
    <w:semiHidden/>
    <w:rsid w:val="009B674D"/>
    <w:rPr>
      <w:sz w:val="20"/>
      <w:szCs w:val="20"/>
    </w:rPr>
  </w:style>
  <w:style w:type="paragraph" w:styleId="CommentSubject">
    <w:name w:val="annotation subject"/>
    <w:basedOn w:val="CommentText"/>
    <w:next w:val="CommentText"/>
    <w:link w:val="CommentSubjectChar"/>
    <w:uiPriority w:val="99"/>
    <w:semiHidden/>
    <w:unhideWhenUsed/>
    <w:rsid w:val="009B674D"/>
    <w:rPr>
      <w:b/>
      <w:bCs/>
    </w:rPr>
  </w:style>
  <w:style w:type="character" w:customStyle="1" w:styleId="CommentSubjectChar">
    <w:name w:val="Comment Subject Char"/>
    <w:basedOn w:val="CommentTextChar"/>
    <w:link w:val="CommentSubject"/>
    <w:uiPriority w:val="99"/>
    <w:semiHidden/>
    <w:rsid w:val="009B674D"/>
    <w:rPr>
      <w:b/>
      <w:bCs/>
      <w:sz w:val="20"/>
      <w:szCs w:val="20"/>
    </w:rPr>
  </w:style>
  <w:style w:type="character" w:customStyle="1" w:styleId="aceconstant">
    <w:name w:val="ace_constant"/>
    <w:basedOn w:val="DefaultParagraphFont"/>
    <w:rsid w:val="004E7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92772">
      <w:bodyDiv w:val="1"/>
      <w:marLeft w:val="0"/>
      <w:marRight w:val="0"/>
      <w:marTop w:val="0"/>
      <w:marBottom w:val="0"/>
      <w:divBdr>
        <w:top w:val="none" w:sz="0" w:space="0" w:color="auto"/>
        <w:left w:val="none" w:sz="0" w:space="0" w:color="auto"/>
        <w:bottom w:val="none" w:sz="0" w:space="0" w:color="auto"/>
        <w:right w:val="none" w:sz="0" w:space="0" w:color="auto"/>
      </w:divBdr>
    </w:div>
    <w:div w:id="98912806">
      <w:bodyDiv w:val="1"/>
      <w:marLeft w:val="0"/>
      <w:marRight w:val="0"/>
      <w:marTop w:val="0"/>
      <w:marBottom w:val="0"/>
      <w:divBdr>
        <w:top w:val="none" w:sz="0" w:space="0" w:color="auto"/>
        <w:left w:val="none" w:sz="0" w:space="0" w:color="auto"/>
        <w:bottom w:val="none" w:sz="0" w:space="0" w:color="auto"/>
        <w:right w:val="none" w:sz="0" w:space="0" w:color="auto"/>
      </w:divBdr>
    </w:div>
    <w:div w:id="249119710">
      <w:bodyDiv w:val="1"/>
      <w:marLeft w:val="0"/>
      <w:marRight w:val="0"/>
      <w:marTop w:val="0"/>
      <w:marBottom w:val="0"/>
      <w:divBdr>
        <w:top w:val="none" w:sz="0" w:space="0" w:color="auto"/>
        <w:left w:val="none" w:sz="0" w:space="0" w:color="auto"/>
        <w:bottom w:val="none" w:sz="0" w:space="0" w:color="auto"/>
        <w:right w:val="none" w:sz="0" w:space="0" w:color="auto"/>
      </w:divBdr>
      <w:divsChild>
        <w:div w:id="1054157014">
          <w:marLeft w:val="0"/>
          <w:marRight w:val="0"/>
          <w:marTop w:val="0"/>
          <w:marBottom w:val="0"/>
          <w:divBdr>
            <w:top w:val="none" w:sz="0" w:space="0" w:color="auto"/>
            <w:left w:val="none" w:sz="0" w:space="0" w:color="auto"/>
            <w:bottom w:val="none" w:sz="0" w:space="0" w:color="auto"/>
            <w:right w:val="none" w:sz="0" w:space="0" w:color="auto"/>
          </w:divBdr>
        </w:div>
        <w:div w:id="1090396188">
          <w:marLeft w:val="0"/>
          <w:marRight w:val="0"/>
          <w:marTop w:val="0"/>
          <w:marBottom w:val="0"/>
          <w:divBdr>
            <w:top w:val="none" w:sz="0" w:space="0" w:color="auto"/>
            <w:left w:val="none" w:sz="0" w:space="0" w:color="auto"/>
            <w:bottom w:val="none" w:sz="0" w:space="0" w:color="auto"/>
            <w:right w:val="none" w:sz="0" w:space="0" w:color="auto"/>
          </w:divBdr>
        </w:div>
        <w:div w:id="1401053084">
          <w:marLeft w:val="0"/>
          <w:marRight w:val="0"/>
          <w:marTop w:val="0"/>
          <w:marBottom w:val="0"/>
          <w:divBdr>
            <w:top w:val="none" w:sz="0" w:space="0" w:color="auto"/>
            <w:left w:val="none" w:sz="0" w:space="0" w:color="auto"/>
            <w:bottom w:val="none" w:sz="0" w:space="0" w:color="auto"/>
            <w:right w:val="none" w:sz="0" w:space="0" w:color="auto"/>
          </w:divBdr>
        </w:div>
      </w:divsChild>
    </w:div>
    <w:div w:id="278607946">
      <w:bodyDiv w:val="1"/>
      <w:marLeft w:val="0"/>
      <w:marRight w:val="0"/>
      <w:marTop w:val="0"/>
      <w:marBottom w:val="0"/>
      <w:divBdr>
        <w:top w:val="none" w:sz="0" w:space="0" w:color="auto"/>
        <w:left w:val="none" w:sz="0" w:space="0" w:color="auto"/>
        <w:bottom w:val="none" w:sz="0" w:space="0" w:color="auto"/>
        <w:right w:val="none" w:sz="0" w:space="0" w:color="auto"/>
      </w:divBdr>
    </w:div>
    <w:div w:id="343750239">
      <w:bodyDiv w:val="1"/>
      <w:marLeft w:val="0"/>
      <w:marRight w:val="0"/>
      <w:marTop w:val="0"/>
      <w:marBottom w:val="0"/>
      <w:divBdr>
        <w:top w:val="none" w:sz="0" w:space="0" w:color="auto"/>
        <w:left w:val="none" w:sz="0" w:space="0" w:color="auto"/>
        <w:bottom w:val="none" w:sz="0" w:space="0" w:color="auto"/>
        <w:right w:val="none" w:sz="0" w:space="0" w:color="auto"/>
      </w:divBdr>
      <w:divsChild>
        <w:div w:id="770859122">
          <w:marLeft w:val="0"/>
          <w:marRight w:val="0"/>
          <w:marTop w:val="0"/>
          <w:marBottom w:val="0"/>
          <w:divBdr>
            <w:top w:val="none" w:sz="0" w:space="0" w:color="auto"/>
            <w:left w:val="none" w:sz="0" w:space="0" w:color="auto"/>
            <w:bottom w:val="none" w:sz="0" w:space="0" w:color="auto"/>
            <w:right w:val="none" w:sz="0" w:space="0" w:color="auto"/>
          </w:divBdr>
        </w:div>
        <w:div w:id="485168134">
          <w:marLeft w:val="0"/>
          <w:marRight w:val="0"/>
          <w:marTop w:val="0"/>
          <w:marBottom w:val="0"/>
          <w:divBdr>
            <w:top w:val="none" w:sz="0" w:space="0" w:color="auto"/>
            <w:left w:val="none" w:sz="0" w:space="0" w:color="auto"/>
            <w:bottom w:val="none" w:sz="0" w:space="0" w:color="auto"/>
            <w:right w:val="none" w:sz="0" w:space="0" w:color="auto"/>
          </w:divBdr>
        </w:div>
        <w:div w:id="1028217250">
          <w:marLeft w:val="0"/>
          <w:marRight w:val="0"/>
          <w:marTop w:val="0"/>
          <w:marBottom w:val="0"/>
          <w:divBdr>
            <w:top w:val="none" w:sz="0" w:space="0" w:color="auto"/>
            <w:left w:val="none" w:sz="0" w:space="0" w:color="auto"/>
            <w:bottom w:val="none" w:sz="0" w:space="0" w:color="auto"/>
            <w:right w:val="none" w:sz="0" w:space="0" w:color="auto"/>
          </w:divBdr>
        </w:div>
        <w:div w:id="917787681">
          <w:marLeft w:val="0"/>
          <w:marRight w:val="0"/>
          <w:marTop w:val="0"/>
          <w:marBottom w:val="0"/>
          <w:divBdr>
            <w:top w:val="none" w:sz="0" w:space="0" w:color="auto"/>
            <w:left w:val="none" w:sz="0" w:space="0" w:color="auto"/>
            <w:bottom w:val="none" w:sz="0" w:space="0" w:color="auto"/>
            <w:right w:val="none" w:sz="0" w:space="0" w:color="auto"/>
          </w:divBdr>
        </w:div>
        <w:div w:id="445464470">
          <w:marLeft w:val="0"/>
          <w:marRight w:val="0"/>
          <w:marTop w:val="0"/>
          <w:marBottom w:val="0"/>
          <w:divBdr>
            <w:top w:val="none" w:sz="0" w:space="0" w:color="auto"/>
            <w:left w:val="none" w:sz="0" w:space="0" w:color="auto"/>
            <w:bottom w:val="none" w:sz="0" w:space="0" w:color="auto"/>
            <w:right w:val="none" w:sz="0" w:space="0" w:color="auto"/>
          </w:divBdr>
        </w:div>
        <w:div w:id="1964649947">
          <w:marLeft w:val="0"/>
          <w:marRight w:val="0"/>
          <w:marTop w:val="0"/>
          <w:marBottom w:val="0"/>
          <w:divBdr>
            <w:top w:val="none" w:sz="0" w:space="0" w:color="auto"/>
            <w:left w:val="none" w:sz="0" w:space="0" w:color="auto"/>
            <w:bottom w:val="none" w:sz="0" w:space="0" w:color="auto"/>
            <w:right w:val="none" w:sz="0" w:space="0" w:color="auto"/>
          </w:divBdr>
        </w:div>
        <w:div w:id="1067385084">
          <w:marLeft w:val="0"/>
          <w:marRight w:val="0"/>
          <w:marTop w:val="0"/>
          <w:marBottom w:val="0"/>
          <w:divBdr>
            <w:top w:val="none" w:sz="0" w:space="0" w:color="auto"/>
            <w:left w:val="none" w:sz="0" w:space="0" w:color="auto"/>
            <w:bottom w:val="none" w:sz="0" w:space="0" w:color="auto"/>
            <w:right w:val="none" w:sz="0" w:space="0" w:color="auto"/>
          </w:divBdr>
        </w:div>
        <w:div w:id="1388452376">
          <w:marLeft w:val="0"/>
          <w:marRight w:val="0"/>
          <w:marTop w:val="0"/>
          <w:marBottom w:val="0"/>
          <w:divBdr>
            <w:top w:val="none" w:sz="0" w:space="0" w:color="auto"/>
            <w:left w:val="none" w:sz="0" w:space="0" w:color="auto"/>
            <w:bottom w:val="none" w:sz="0" w:space="0" w:color="auto"/>
            <w:right w:val="none" w:sz="0" w:space="0" w:color="auto"/>
          </w:divBdr>
        </w:div>
      </w:divsChild>
    </w:div>
    <w:div w:id="406002092">
      <w:bodyDiv w:val="1"/>
      <w:marLeft w:val="0"/>
      <w:marRight w:val="0"/>
      <w:marTop w:val="0"/>
      <w:marBottom w:val="0"/>
      <w:divBdr>
        <w:top w:val="none" w:sz="0" w:space="0" w:color="auto"/>
        <w:left w:val="none" w:sz="0" w:space="0" w:color="auto"/>
        <w:bottom w:val="none" w:sz="0" w:space="0" w:color="auto"/>
        <w:right w:val="none" w:sz="0" w:space="0" w:color="auto"/>
      </w:divBdr>
      <w:divsChild>
        <w:div w:id="1416705842">
          <w:marLeft w:val="0"/>
          <w:marRight w:val="0"/>
          <w:marTop w:val="0"/>
          <w:marBottom w:val="0"/>
          <w:divBdr>
            <w:top w:val="none" w:sz="0" w:space="0" w:color="auto"/>
            <w:left w:val="none" w:sz="0" w:space="0" w:color="auto"/>
            <w:bottom w:val="none" w:sz="0" w:space="0" w:color="auto"/>
            <w:right w:val="none" w:sz="0" w:space="0" w:color="auto"/>
          </w:divBdr>
          <w:divsChild>
            <w:div w:id="706833004">
              <w:marLeft w:val="0"/>
              <w:marRight w:val="0"/>
              <w:marTop w:val="0"/>
              <w:marBottom w:val="0"/>
              <w:divBdr>
                <w:top w:val="none" w:sz="0" w:space="0" w:color="auto"/>
                <w:left w:val="none" w:sz="0" w:space="0" w:color="auto"/>
                <w:bottom w:val="none" w:sz="0" w:space="0" w:color="auto"/>
                <w:right w:val="none" w:sz="0" w:space="0" w:color="auto"/>
              </w:divBdr>
              <w:divsChild>
                <w:div w:id="2057967408">
                  <w:marLeft w:val="0"/>
                  <w:marRight w:val="0"/>
                  <w:marTop w:val="0"/>
                  <w:marBottom w:val="0"/>
                  <w:divBdr>
                    <w:top w:val="none" w:sz="0" w:space="0" w:color="auto"/>
                    <w:left w:val="none" w:sz="0" w:space="0" w:color="auto"/>
                    <w:bottom w:val="none" w:sz="0" w:space="0" w:color="auto"/>
                    <w:right w:val="none" w:sz="0" w:space="0" w:color="auto"/>
                  </w:divBdr>
                </w:div>
                <w:div w:id="578713806">
                  <w:marLeft w:val="0"/>
                  <w:marRight w:val="0"/>
                  <w:marTop w:val="0"/>
                  <w:marBottom w:val="0"/>
                  <w:divBdr>
                    <w:top w:val="none" w:sz="0" w:space="0" w:color="auto"/>
                    <w:left w:val="none" w:sz="0" w:space="0" w:color="auto"/>
                    <w:bottom w:val="none" w:sz="0" w:space="0" w:color="auto"/>
                    <w:right w:val="none" w:sz="0" w:space="0" w:color="auto"/>
                  </w:divBdr>
                </w:div>
              </w:divsChild>
            </w:div>
            <w:div w:id="683553322">
              <w:marLeft w:val="0"/>
              <w:marRight w:val="0"/>
              <w:marTop w:val="0"/>
              <w:marBottom w:val="0"/>
              <w:divBdr>
                <w:top w:val="none" w:sz="0" w:space="0" w:color="auto"/>
                <w:left w:val="none" w:sz="0" w:space="0" w:color="auto"/>
                <w:bottom w:val="none" w:sz="0" w:space="0" w:color="auto"/>
                <w:right w:val="none" w:sz="0" w:space="0" w:color="auto"/>
              </w:divBdr>
              <w:divsChild>
                <w:div w:id="1668634538">
                  <w:marLeft w:val="0"/>
                  <w:marRight w:val="0"/>
                  <w:marTop w:val="0"/>
                  <w:marBottom w:val="0"/>
                  <w:divBdr>
                    <w:top w:val="none" w:sz="0" w:space="0" w:color="auto"/>
                    <w:left w:val="none" w:sz="0" w:space="0" w:color="auto"/>
                    <w:bottom w:val="none" w:sz="0" w:space="0" w:color="auto"/>
                    <w:right w:val="none" w:sz="0" w:space="0" w:color="auto"/>
                  </w:divBdr>
                </w:div>
                <w:div w:id="888494331">
                  <w:marLeft w:val="0"/>
                  <w:marRight w:val="0"/>
                  <w:marTop w:val="0"/>
                  <w:marBottom w:val="0"/>
                  <w:divBdr>
                    <w:top w:val="none" w:sz="0" w:space="0" w:color="auto"/>
                    <w:left w:val="none" w:sz="0" w:space="0" w:color="auto"/>
                    <w:bottom w:val="none" w:sz="0" w:space="0" w:color="auto"/>
                    <w:right w:val="none" w:sz="0" w:space="0" w:color="auto"/>
                  </w:divBdr>
                </w:div>
              </w:divsChild>
            </w:div>
            <w:div w:id="123699148">
              <w:marLeft w:val="0"/>
              <w:marRight w:val="0"/>
              <w:marTop w:val="0"/>
              <w:marBottom w:val="0"/>
              <w:divBdr>
                <w:top w:val="none" w:sz="0" w:space="0" w:color="auto"/>
                <w:left w:val="none" w:sz="0" w:space="0" w:color="auto"/>
                <w:bottom w:val="none" w:sz="0" w:space="0" w:color="auto"/>
                <w:right w:val="none" w:sz="0" w:space="0" w:color="auto"/>
              </w:divBdr>
              <w:divsChild>
                <w:div w:id="2069067210">
                  <w:marLeft w:val="0"/>
                  <w:marRight w:val="0"/>
                  <w:marTop w:val="0"/>
                  <w:marBottom w:val="0"/>
                  <w:divBdr>
                    <w:top w:val="none" w:sz="0" w:space="0" w:color="auto"/>
                    <w:left w:val="none" w:sz="0" w:space="0" w:color="auto"/>
                    <w:bottom w:val="none" w:sz="0" w:space="0" w:color="auto"/>
                    <w:right w:val="none" w:sz="0" w:space="0" w:color="auto"/>
                  </w:divBdr>
                </w:div>
                <w:div w:id="17014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7033">
          <w:marLeft w:val="0"/>
          <w:marRight w:val="0"/>
          <w:marTop w:val="0"/>
          <w:marBottom w:val="0"/>
          <w:divBdr>
            <w:top w:val="none" w:sz="0" w:space="0" w:color="auto"/>
            <w:left w:val="none" w:sz="0" w:space="0" w:color="auto"/>
            <w:bottom w:val="none" w:sz="0" w:space="0" w:color="auto"/>
            <w:right w:val="none" w:sz="0" w:space="0" w:color="auto"/>
          </w:divBdr>
        </w:div>
        <w:div w:id="1486774900">
          <w:marLeft w:val="0"/>
          <w:marRight w:val="0"/>
          <w:marTop w:val="0"/>
          <w:marBottom w:val="0"/>
          <w:divBdr>
            <w:top w:val="none" w:sz="0" w:space="0" w:color="auto"/>
            <w:left w:val="none" w:sz="0" w:space="0" w:color="auto"/>
            <w:bottom w:val="none" w:sz="0" w:space="0" w:color="auto"/>
            <w:right w:val="none" w:sz="0" w:space="0" w:color="auto"/>
          </w:divBdr>
        </w:div>
        <w:div w:id="854879163">
          <w:marLeft w:val="0"/>
          <w:marRight w:val="0"/>
          <w:marTop w:val="0"/>
          <w:marBottom w:val="0"/>
          <w:divBdr>
            <w:top w:val="none" w:sz="0" w:space="0" w:color="auto"/>
            <w:left w:val="none" w:sz="0" w:space="0" w:color="auto"/>
            <w:bottom w:val="none" w:sz="0" w:space="0" w:color="auto"/>
            <w:right w:val="none" w:sz="0" w:space="0" w:color="auto"/>
          </w:divBdr>
        </w:div>
        <w:div w:id="384329609">
          <w:marLeft w:val="0"/>
          <w:marRight w:val="0"/>
          <w:marTop w:val="0"/>
          <w:marBottom w:val="0"/>
          <w:divBdr>
            <w:top w:val="none" w:sz="0" w:space="0" w:color="auto"/>
            <w:left w:val="none" w:sz="0" w:space="0" w:color="auto"/>
            <w:bottom w:val="none" w:sz="0" w:space="0" w:color="auto"/>
            <w:right w:val="none" w:sz="0" w:space="0" w:color="auto"/>
          </w:divBdr>
        </w:div>
        <w:div w:id="481704196">
          <w:marLeft w:val="0"/>
          <w:marRight w:val="0"/>
          <w:marTop w:val="0"/>
          <w:marBottom w:val="0"/>
          <w:divBdr>
            <w:top w:val="none" w:sz="0" w:space="0" w:color="auto"/>
            <w:left w:val="none" w:sz="0" w:space="0" w:color="auto"/>
            <w:bottom w:val="none" w:sz="0" w:space="0" w:color="auto"/>
            <w:right w:val="none" w:sz="0" w:space="0" w:color="auto"/>
          </w:divBdr>
        </w:div>
        <w:div w:id="1944411483">
          <w:marLeft w:val="0"/>
          <w:marRight w:val="0"/>
          <w:marTop w:val="0"/>
          <w:marBottom w:val="0"/>
          <w:divBdr>
            <w:top w:val="none" w:sz="0" w:space="0" w:color="auto"/>
            <w:left w:val="none" w:sz="0" w:space="0" w:color="auto"/>
            <w:bottom w:val="none" w:sz="0" w:space="0" w:color="auto"/>
            <w:right w:val="none" w:sz="0" w:space="0" w:color="auto"/>
          </w:divBdr>
        </w:div>
      </w:divsChild>
    </w:div>
    <w:div w:id="520510870">
      <w:bodyDiv w:val="1"/>
      <w:marLeft w:val="0"/>
      <w:marRight w:val="0"/>
      <w:marTop w:val="0"/>
      <w:marBottom w:val="0"/>
      <w:divBdr>
        <w:top w:val="none" w:sz="0" w:space="0" w:color="auto"/>
        <w:left w:val="none" w:sz="0" w:space="0" w:color="auto"/>
        <w:bottom w:val="none" w:sz="0" w:space="0" w:color="auto"/>
        <w:right w:val="none" w:sz="0" w:space="0" w:color="auto"/>
      </w:divBdr>
    </w:div>
    <w:div w:id="620191676">
      <w:bodyDiv w:val="1"/>
      <w:marLeft w:val="0"/>
      <w:marRight w:val="0"/>
      <w:marTop w:val="0"/>
      <w:marBottom w:val="0"/>
      <w:divBdr>
        <w:top w:val="none" w:sz="0" w:space="0" w:color="auto"/>
        <w:left w:val="none" w:sz="0" w:space="0" w:color="auto"/>
        <w:bottom w:val="none" w:sz="0" w:space="0" w:color="auto"/>
        <w:right w:val="none" w:sz="0" w:space="0" w:color="auto"/>
      </w:divBdr>
    </w:div>
    <w:div w:id="658850211">
      <w:bodyDiv w:val="1"/>
      <w:marLeft w:val="0"/>
      <w:marRight w:val="0"/>
      <w:marTop w:val="0"/>
      <w:marBottom w:val="0"/>
      <w:divBdr>
        <w:top w:val="none" w:sz="0" w:space="0" w:color="auto"/>
        <w:left w:val="none" w:sz="0" w:space="0" w:color="auto"/>
        <w:bottom w:val="none" w:sz="0" w:space="0" w:color="auto"/>
        <w:right w:val="none" w:sz="0" w:space="0" w:color="auto"/>
      </w:divBdr>
    </w:div>
    <w:div w:id="786696690">
      <w:bodyDiv w:val="1"/>
      <w:marLeft w:val="0"/>
      <w:marRight w:val="0"/>
      <w:marTop w:val="0"/>
      <w:marBottom w:val="0"/>
      <w:divBdr>
        <w:top w:val="none" w:sz="0" w:space="0" w:color="auto"/>
        <w:left w:val="none" w:sz="0" w:space="0" w:color="auto"/>
        <w:bottom w:val="none" w:sz="0" w:space="0" w:color="auto"/>
        <w:right w:val="none" w:sz="0" w:space="0" w:color="auto"/>
      </w:divBdr>
    </w:div>
    <w:div w:id="893929294">
      <w:bodyDiv w:val="1"/>
      <w:marLeft w:val="0"/>
      <w:marRight w:val="0"/>
      <w:marTop w:val="0"/>
      <w:marBottom w:val="0"/>
      <w:divBdr>
        <w:top w:val="none" w:sz="0" w:space="0" w:color="auto"/>
        <w:left w:val="none" w:sz="0" w:space="0" w:color="auto"/>
        <w:bottom w:val="none" w:sz="0" w:space="0" w:color="auto"/>
        <w:right w:val="none" w:sz="0" w:space="0" w:color="auto"/>
      </w:divBdr>
      <w:divsChild>
        <w:div w:id="345063857">
          <w:marLeft w:val="547"/>
          <w:marRight w:val="0"/>
          <w:marTop w:val="0"/>
          <w:marBottom w:val="0"/>
          <w:divBdr>
            <w:top w:val="none" w:sz="0" w:space="0" w:color="auto"/>
            <w:left w:val="none" w:sz="0" w:space="0" w:color="auto"/>
            <w:bottom w:val="none" w:sz="0" w:space="0" w:color="auto"/>
            <w:right w:val="none" w:sz="0" w:space="0" w:color="auto"/>
          </w:divBdr>
        </w:div>
      </w:divsChild>
    </w:div>
    <w:div w:id="974528167">
      <w:bodyDiv w:val="1"/>
      <w:marLeft w:val="0"/>
      <w:marRight w:val="0"/>
      <w:marTop w:val="0"/>
      <w:marBottom w:val="0"/>
      <w:divBdr>
        <w:top w:val="none" w:sz="0" w:space="0" w:color="auto"/>
        <w:left w:val="none" w:sz="0" w:space="0" w:color="auto"/>
        <w:bottom w:val="none" w:sz="0" w:space="0" w:color="auto"/>
        <w:right w:val="none" w:sz="0" w:space="0" w:color="auto"/>
      </w:divBdr>
      <w:divsChild>
        <w:div w:id="1486631644">
          <w:marLeft w:val="0"/>
          <w:marRight w:val="0"/>
          <w:marTop w:val="0"/>
          <w:marBottom w:val="0"/>
          <w:divBdr>
            <w:top w:val="none" w:sz="0" w:space="0" w:color="auto"/>
            <w:left w:val="none" w:sz="0" w:space="0" w:color="auto"/>
            <w:bottom w:val="none" w:sz="0" w:space="0" w:color="auto"/>
            <w:right w:val="none" w:sz="0" w:space="0" w:color="auto"/>
          </w:divBdr>
          <w:divsChild>
            <w:div w:id="16534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46045">
      <w:bodyDiv w:val="1"/>
      <w:marLeft w:val="0"/>
      <w:marRight w:val="0"/>
      <w:marTop w:val="0"/>
      <w:marBottom w:val="0"/>
      <w:divBdr>
        <w:top w:val="none" w:sz="0" w:space="0" w:color="auto"/>
        <w:left w:val="none" w:sz="0" w:space="0" w:color="auto"/>
        <w:bottom w:val="none" w:sz="0" w:space="0" w:color="auto"/>
        <w:right w:val="none" w:sz="0" w:space="0" w:color="auto"/>
      </w:divBdr>
    </w:div>
    <w:div w:id="1055004692">
      <w:bodyDiv w:val="1"/>
      <w:marLeft w:val="0"/>
      <w:marRight w:val="0"/>
      <w:marTop w:val="0"/>
      <w:marBottom w:val="0"/>
      <w:divBdr>
        <w:top w:val="none" w:sz="0" w:space="0" w:color="auto"/>
        <w:left w:val="none" w:sz="0" w:space="0" w:color="auto"/>
        <w:bottom w:val="none" w:sz="0" w:space="0" w:color="auto"/>
        <w:right w:val="none" w:sz="0" w:space="0" w:color="auto"/>
      </w:divBdr>
    </w:div>
    <w:div w:id="1240604525">
      <w:bodyDiv w:val="1"/>
      <w:marLeft w:val="0"/>
      <w:marRight w:val="0"/>
      <w:marTop w:val="0"/>
      <w:marBottom w:val="0"/>
      <w:divBdr>
        <w:top w:val="none" w:sz="0" w:space="0" w:color="auto"/>
        <w:left w:val="none" w:sz="0" w:space="0" w:color="auto"/>
        <w:bottom w:val="none" w:sz="0" w:space="0" w:color="auto"/>
        <w:right w:val="none" w:sz="0" w:space="0" w:color="auto"/>
      </w:divBdr>
    </w:div>
    <w:div w:id="1356543684">
      <w:bodyDiv w:val="1"/>
      <w:marLeft w:val="0"/>
      <w:marRight w:val="0"/>
      <w:marTop w:val="0"/>
      <w:marBottom w:val="0"/>
      <w:divBdr>
        <w:top w:val="none" w:sz="0" w:space="0" w:color="auto"/>
        <w:left w:val="none" w:sz="0" w:space="0" w:color="auto"/>
        <w:bottom w:val="none" w:sz="0" w:space="0" w:color="auto"/>
        <w:right w:val="none" w:sz="0" w:space="0" w:color="auto"/>
      </w:divBdr>
    </w:div>
    <w:div w:id="1493447901">
      <w:bodyDiv w:val="1"/>
      <w:marLeft w:val="0"/>
      <w:marRight w:val="0"/>
      <w:marTop w:val="0"/>
      <w:marBottom w:val="0"/>
      <w:divBdr>
        <w:top w:val="none" w:sz="0" w:space="0" w:color="auto"/>
        <w:left w:val="none" w:sz="0" w:space="0" w:color="auto"/>
        <w:bottom w:val="none" w:sz="0" w:space="0" w:color="auto"/>
        <w:right w:val="none" w:sz="0" w:space="0" w:color="auto"/>
      </w:divBdr>
    </w:div>
    <w:div w:id="2044474672">
      <w:bodyDiv w:val="1"/>
      <w:marLeft w:val="0"/>
      <w:marRight w:val="0"/>
      <w:marTop w:val="0"/>
      <w:marBottom w:val="0"/>
      <w:divBdr>
        <w:top w:val="none" w:sz="0" w:space="0" w:color="auto"/>
        <w:left w:val="none" w:sz="0" w:space="0" w:color="auto"/>
        <w:bottom w:val="none" w:sz="0" w:space="0" w:color="auto"/>
        <w:right w:val="none" w:sz="0" w:space="0" w:color="auto"/>
      </w:divBdr>
      <w:divsChild>
        <w:div w:id="8457285">
          <w:marLeft w:val="0"/>
          <w:marRight w:val="0"/>
          <w:marTop w:val="0"/>
          <w:marBottom w:val="0"/>
          <w:divBdr>
            <w:top w:val="none" w:sz="0" w:space="0" w:color="auto"/>
            <w:left w:val="none" w:sz="0" w:space="0" w:color="auto"/>
            <w:bottom w:val="none" w:sz="0" w:space="0" w:color="auto"/>
            <w:right w:val="none" w:sz="0" w:space="0" w:color="auto"/>
          </w:divBdr>
        </w:div>
        <w:div w:id="11802041">
          <w:marLeft w:val="0"/>
          <w:marRight w:val="0"/>
          <w:marTop w:val="0"/>
          <w:marBottom w:val="0"/>
          <w:divBdr>
            <w:top w:val="none" w:sz="0" w:space="0" w:color="auto"/>
            <w:left w:val="none" w:sz="0" w:space="0" w:color="auto"/>
            <w:bottom w:val="none" w:sz="0" w:space="0" w:color="auto"/>
            <w:right w:val="none" w:sz="0" w:space="0" w:color="auto"/>
          </w:divBdr>
        </w:div>
        <w:div w:id="19550502">
          <w:marLeft w:val="0"/>
          <w:marRight w:val="0"/>
          <w:marTop w:val="0"/>
          <w:marBottom w:val="0"/>
          <w:divBdr>
            <w:top w:val="none" w:sz="0" w:space="0" w:color="auto"/>
            <w:left w:val="none" w:sz="0" w:space="0" w:color="auto"/>
            <w:bottom w:val="none" w:sz="0" w:space="0" w:color="auto"/>
            <w:right w:val="none" w:sz="0" w:space="0" w:color="auto"/>
          </w:divBdr>
        </w:div>
        <w:div w:id="41684606">
          <w:marLeft w:val="0"/>
          <w:marRight w:val="0"/>
          <w:marTop w:val="0"/>
          <w:marBottom w:val="0"/>
          <w:divBdr>
            <w:top w:val="none" w:sz="0" w:space="0" w:color="auto"/>
            <w:left w:val="none" w:sz="0" w:space="0" w:color="auto"/>
            <w:bottom w:val="none" w:sz="0" w:space="0" w:color="auto"/>
            <w:right w:val="none" w:sz="0" w:space="0" w:color="auto"/>
          </w:divBdr>
        </w:div>
        <w:div w:id="75323830">
          <w:marLeft w:val="0"/>
          <w:marRight w:val="0"/>
          <w:marTop w:val="0"/>
          <w:marBottom w:val="0"/>
          <w:divBdr>
            <w:top w:val="none" w:sz="0" w:space="0" w:color="auto"/>
            <w:left w:val="none" w:sz="0" w:space="0" w:color="auto"/>
            <w:bottom w:val="none" w:sz="0" w:space="0" w:color="auto"/>
            <w:right w:val="none" w:sz="0" w:space="0" w:color="auto"/>
          </w:divBdr>
        </w:div>
        <w:div w:id="81487924">
          <w:marLeft w:val="0"/>
          <w:marRight w:val="0"/>
          <w:marTop w:val="0"/>
          <w:marBottom w:val="0"/>
          <w:divBdr>
            <w:top w:val="none" w:sz="0" w:space="0" w:color="auto"/>
            <w:left w:val="none" w:sz="0" w:space="0" w:color="auto"/>
            <w:bottom w:val="none" w:sz="0" w:space="0" w:color="auto"/>
            <w:right w:val="none" w:sz="0" w:space="0" w:color="auto"/>
          </w:divBdr>
        </w:div>
        <w:div w:id="93332956">
          <w:marLeft w:val="0"/>
          <w:marRight w:val="0"/>
          <w:marTop w:val="0"/>
          <w:marBottom w:val="0"/>
          <w:divBdr>
            <w:top w:val="none" w:sz="0" w:space="0" w:color="auto"/>
            <w:left w:val="none" w:sz="0" w:space="0" w:color="auto"/>
            <w:bottom w:val="none" w:sz="0" w:space="0" w:color="auto"/>
            <w:right w:val="none" w:sz="0" w:space="0" w:color="auto"/>
          </w:divBdr>
        </w:div>
        <w:div w:id="166793744">
          <w:marLeft w:val="0"/>
          <w:marRight w:val="0"/>
          <w:marTop w:val="0"/>
          <w:marBottom w:val="0"/>
          <w:divBdr>
            <w:top w:val="none" w:sz="0" w:space="0" w:color="auto"/>
            <w:left w:val="none" w:sz="0" w:space="0" w:color="auto"/>
            <w:bottom w:val="none" w:sz="0" w:space="0" w:color="auto"/>
            <w:right w:val="none" w:sz="0" w:space="0" w:color="auto"/>
          </w:divBdr>
        </w:div>
        <w:div w:id="178543898">
          <w:marLeft w:val="0"/>
          <w:marRight w:val="0"/>
          <w:marTop w:val="0"/>
          <w:marBottom w:val="0"/>
          <w:divBdr>
            <w:top w:val="none" w:sz="0" w:space="0" w:color="auto"/>
            <w:left w:val="none" w:sz="0" w:space="0" w:color="auto"/>
            <w:bottom w:val="none" w:sz="0" w:space="0" w:color="auto"/>
            <w:right w:val="none" w:sz="0" w:space="0" w:color="auto"/>
          </w:divBdr>
        </w:div>
        <w:div w:id="179249118">
          <w:marLeft w:val="0"/>
          <w:marRight w:val="0"/>
          <w:marTop w:val="0"/>
          <w:marBottom w:val="0"/>
          <w:divBdr>
            <w:top w:val="none" w:sz="0" w:space="0" w:color="auto"/>
            <w:left w:val="none" w:sz="0" w:space="0" w:color="auto"/>
            <w:bottom w:val="none" w:sz="0" w:space="0" w:color="auto"/>
            <w:right w:val="none" w:sz="0" w:space="0" w:color="auto"/>
          </w:divBdr>
        </w:div>
        <w:div w:id="185215601">
          <w:marLeft w:val="0"/>
          <w:marRight w:val="0"/>
          <w:marTop w:val="0"/>
          <w:marBottom w:val="0"/>
          <w:divBdr>
            <w:top w:val="none" w:sz="0" w:space="0" w:color="auto"/>
            <w:left w:val="none" w:sz="0" w:space="0" w:color="auto"/>
            <w:bottom w:val="none" w:sz="0" w:space="0" w:color="auto"/>
            <w:right w:val="none" w:sz="0" w:space="0" w:color="auto"/>
          </w:divBdr>
        </w:div>
        <w:div w:id="196160970">
          <w:marLeft w:val="0"/>
          <w:marRight w:val="0"/>
          <w:marTop w:val="0"/>
          <w:marBottom w:val="0"/>
          <w:divBdr>
            <w:top w:val="none" w:sz="0" w:space="0" w:color="auto"/>
            <w:left w:val="none" w:sz="0" w:space="0" w:color="auto"/>
            <w:bottom w:val="none" w:sz="0" w:space="0" w:color="auto"/>
            <w:right w:val="none" w:sz="0" w:space="0" w:color="auto"/>
          </w:divBdr>
        </w:div>
        <w:div w:id="239406956">
          <w:marLeft w:val="0"/>
          <w:marRight w:val="0"/>
          <w:marTop w:val="0"/>
          <w:marBottom w:val="0"/>
          <w:divBdr>
            <w:top w:val="none" w:sz="0" w:space="0" w:color="auto"/>
            <w:left w:val="none" w:sz="0" w:space="0" w:color="auto"/>
            <w:bottom w:val="none" w:sz="0" w:space="0" w:color="auto"/>
            <w:right w:val="none" w:sz="0" w:space="0" w:color="auto"/>
          </w:divBdr>
        </w:div>
        <w:div w:id="282275654">
          <w:marLeft w:val="0"/>
          <w:marRight w:val="0"/>
          <w:marTop w:val="0"/>
          <w:marBottom w:val="0"/>
          <w:divBdr>
            <w:top w:val="none" w:sz="0" w:space="0" w:color="auto"/>
            <w:left w:val="none" w:sz="0" w:space="0" w:color="auto"/>
            <w:bottom w:val="none" w:sz="0" w:space="0" w:color="auto"/>
            <w:right w:val="none" w:sz="0" w:space="0" w:color="auto"/>
          </w:divBdr>
        </w:div>
        <w:div w:id="300383368">
          <w:marLeft w:val="0"/>
          <w:marRight w:val="0"/>
          <w:marTop w:val="0"/>
          <w:marBottom w:val="0"/>
          <w:divBdr>
            <w:top w:val="none" w:sz="0" w:space="0" w:color="auto"/>
            <w:left w:val="none" w:sz="0" w:space="0" w:color="auto"/>
            <w:bottom w:val="none" w:sz="0" w:space="0" w:color="auto"/>
            <w:right w:val="none" w:sz="0" w:space="0" w:color="auto"/>
          </w:divBdr>
        </w:div>
        <w:div w:id="346521177">
          <w:marLeft w:val="0"/>
          <w:marRight w:val="0"/>
          <w:marTop w:val="0"/>
          <w:marBottom w:val="0"/>
          <w:divBdr>
            <w:top w:val="none" w:sz="0" w:space="0" w:color="auto"/>
            <w:left w:val="none" w:sz="0" w:space="0" w:color="auto"/>
            <w:bottom w:val="none" w:sz="0" w:space="0" w:color="auto"/>
            <w:right w:val="none" w:sz="0" w:space="0" w:color="auto"/>
          </w:divBdr>
        </w:div>
        <w:div w:id="358043652">
          <w:marLeft w:val="0"/>
          <w:marRight w:val="0"/>
          <w:marTop w:val="0"/>
          <w:marBottom w:val="0"/>
          <w:divBdr>
            <w:top w:val="none" w:sz="0" w:space="0" w:color="auto"/>
            <w:left w:val="none" w:sz="0" w:space="0" w:color="auto"/>
            <w:bottom w:val="none" w:sz="0" w:space="0" w:color="auto"/>
            <w:right w:val="none" w:sz="0" w:space="0" w:color="auto"/>
          </w:divBdr>
        </w:div>
        <w:div w:id="428431908">
          <w:marLeft w:val="0"/>
          <w:marRight w:val="0"/>
          <w:marTop w:val="0"/>
          <w:marBottom w:val="0"/>
          <w:divBdr>
            <w:top w:val="none" w:sz="0" w:space="0" w:color="auto"/>
            <w:left w:val="none" w:sz="0" w:space="0" w:color="auto"/>
            <w:bottom w:val="none" w:sz="0" w:space="0" w:color="auto"/>
            <w:right w:val="none" w:sz="0" w:space="0" w:color="auto"/>
          </w:divBdr>
        </w:div>
        <w:div w:id="439496127">
          <w:marLeft w:val="0"/>
          <w:marRight w:val="0"/>
          <w:marTop w:val="0"/>
          <w:marBottom w:val="0"/>
          <w:divBdr>
            <w:top w:val="none" w:sz="0" w:space="0" w:color="auto"/>
            <w:left w:val="none" w:sz="0" w:space="0" w:color="auto"/>
            <w:bottom w:val="none" w:sz="0" w:space="0" w:color="auto"/>
            <w:right w:val="none" w:sz="0" w:space="0" w:color="auto"/>
          </w:divBdr>
        </w:div>
        <w:div w:id="465245236">
          <w:marLeft w:val="0"/>
          <w:marRight w:val="0"/>
          <w:marTop w:val="0"/>
          <w:marBottom w:val="0"/>
          <w:divBdr>
            <w:top w:val="none" w:sz="0" w:space="0" w:color="auto"/>
            <w:left w:val="none" w:sz="0" w:space="0" w:color="auto"/>
            <w:bottom w:val="none" w:sz="0" w:space="0" w:color="auto"/>
            <w:right w:val="none" w:sz="0" w:space="0" w:color="auto"/>
          </w:divBdr>
        </w:div>
        <w:div w:id="505748333">
          <w:marLeft w:val="0"/>
          <w:marRight w:val="0"/>
          <w:marTop w:val="0"/>
          <w:marBottom w:val="0"/>
          <w:divBdr>
            <w:top w:val="none" w:sz="0" w:space="0" w:color="auto"/>
            <w:left w:val="none" w:sz="0" w:space="0" w:color="auto"/>
            <w:bottom w:val="none" w:sz="0" w:space="0" w:color="auto"/>
            <w:right w:val="none" w:sz="0" w:space="0" w:color="auto"/>
          </w:divBdr>
        </w:div>
        <w:div w:id="524444656">
          <w:marLeft w:val="0"/>
          <w:marRight w:val="0"/>
          <w:marTop w:val="0"/>
          <w:marBottom w:val="0"/>
          <w:divBdr>
            <w:top w:val="none" w:sz="0" w:space="0" w:color="auto"/>
            <w:left w:val="none" w:sz="0" w:space="0" w:color="auto"/>
            <w:bottom w:val="none" w:sz="0" w:space="0" w:color="auto"/>
            <w:right w:val="none" w:sz="0" w:space="0" w:color="auto"/>
          </w:divBdr>
        </w:div>
        <w:div w:id="554659786">
          <w:marLeft w:val="0"/>
          <w:marRight w:val="0"/>
          <w:marTop w:val="0"/>
          <w:marBottom w:val="0"/>
          <w:divBdr>
            <w:top w:val="none" w:sz="0" w:space="0" w:color="auto"/>
            <w:left w:val="none" w:sz="0" w:space="0" w:color="auto"/>
            <w:bottom w:val="none" w:sz="0" w:space="0" w:color="auto"/>
            <w:right w:val="none" w:sz="0" w:space="0" w:color="auto"/>
          </w:divBdr>
        </w:div>
        <w:div w:id="560677225">
          <w:marLeft w:val="0"/>
          <w:marRight w:val="0"/>
          <w:marTop w:val="0"/>
          <w:marBottom w:val="0"/>
          <w:divBdr>
            <w:top w:val="none" w:sz="0" w:space="0" w:color="auto"/>
            <w:left w:val="none" w:sz="0" w:space="0" w:color="auto"/>
            <w:bottom w:val="none" w:sz="0" w:space="0" w:color="auto"/>
            <w:right w:val="none" w:sz="0" w:space="0" w:color="auto"/>
          </w:divBdr>
        </w:div>
        <w:div w:id="562373238">
          <w:marLeft w:val="0"/>
          <w:marRight w:val="0"/>
          <w:marTop w:val="0"/>
          <w:marBottom w:val="0"/>
          <w:divBdr>
            <w:top w:val="none" w:sz="0" w:space="0" w:color="auto"/>
            <w:left w:val="none" w:sz="0" w:space="0" w:color="auto"/>
            <w:bottom w:val="none" w:sz="0" w:space="0" w:color="auto"/>
            <w:right w:val="none" w:sz="0" w:space="0" w:color="auto"/>
          </w:divBdr>
        </w:div>
        <w:div w:id="599291062">
          <w:marLeft w:val="0"/>
          <w:marRight w:val="0"/>
          <w:marTop w:val="0"/>
          <w:marBottom w:val="0"/>
          <w:divBdr>
            <w:top w:val="none" w:sz="0" w:space="0" w:color="auto"/>
            <w:left w:val="none" w:sz="0" w:space="0" w:color="auto"/>
            <w:bottom w:val="none" w:sz="0" w:space="0" w:color="auto"/>
            <w:right w:val="none" w:sz="0" w:space="0" w:color="auto"/>
          </w:divBdr>
        </w:div>
        <w:div w:id="647327053">
          <w:marLeft w:val="0"/>
          <w:marRight w:val="0"/>
          <w:marTop w:val="0"/>
          <w:marBottom w:val="0"/>
          <w:divBdr>
            <w:top w:val="none" w:sz="0" w:space="0" w:color="auto"/>
            <w:left w:val="none" w:sz="0" w:space="0" w:color="auto"/>
            <w:bottom w:val="none" w:sz="0" w:space="0" w:color="auto"/>
            <w:right w:val="none" w:sz="0" w:space="0" w:color="auto"/>
          </w:divBdr>
        </w:div>
        <w:div w:id="648635939">
          <w:marLeft w:val="0"/>
          <w:marRight w:val="0"/>
          <w:marTop w:val="0"/>
          <w:marBottom w:val="0"/>
          <w:divBdr>
            <w:top w:val="none" w:sz="0" w:space="0" w:color="auto"/>
            <w:left w:val="none" w:sz="0" w:space="0" w:color="auto"/>
            <w:bottom w:val="none" w:sz="0" w:space="0" w:color="auto"/>
            <w:right w:val="none" w:sz="0" w:space="0" w:color="auto"/>
          </w:divBdr>
        </w:div>
        <w:div w:id="676150185">
          <w:marLeft w:val="0"/>
          <w:marRight w:val="0"/>
          <w:marTop w:val="0"/>
          <w:marBottom w:val="0"/>
          <w:divBdr>
            <w:top w:val="none" w:sz="0" w:space="0" w:color="auto"/>
            <w:left w:val="none" w:sz="0" w:space="0" w:color="auto"/>
            <w:bottom w:val="none" w:sz="0" w:space="0" w:color="auto"/>
            <w:right w:val="none" w:sz="0" w:space="0" w:color="auto"/>
          </w:divBdr>
        </w:div>
        <w:div w:id="684328554">
          <w:marLeft w:val="0"/>
          <w:marRight w:val="0"/>
          <w:marTop w:val="0"/>
          <w:marBottom w:val="0"/>
          <w:divBdr>
            <w:top w:val="none" w:sz="0" w:space="0" w:color="auto"/>
            <w:left w:val="none" w:sz="0" w:space="0" w:color="auto"/>
            <w:bottom w:val="none" w:sz="0" w:space="0" w:color="auto"/>
            <w:right w:val="none" w:sz="0" w:space="0" w:color="auto"/>
          </w:divBdr>
        </w:div>
        <w:div w:id="690765339">
          <w:marLeft w:val="0"/>
          <w:marRight w:val="0"/>
          <w:marTop w:val="0"/>
          <w:marBottom w:val="0"/>
          <w:divBdr>
            <w:top w:val="none" w:sz="0" w:space="0" w:color="auto"/>
            <w:left w:val="none" w:sz="0" w:space="0" w:color="auto"/>
            <w:bottom w:val="none" w:sz="0" w:space="0" w:color="auto"/>
            <w:right w:val="none" w:sz="0" w:space="0" w:color="auto"/>
          </w:divBdr>
        </w:div>
        <w:div w:id="711075031">
          <w:marLeft w:val="0"/>
          <w:marRight w:val="0"/>
          <w:marTop w:val="0"/>
          <w:marBottom w:val="0"/>
          <w:divBdr>
            <w:top w:val="none" w:sz="0" w:space="0" w:color="auto"/>
            <w:left w:val="none" w:sz="0" w:space="0" w:color="auto"/>
            <w:bottom w:val="none" w:sz="0" w:space="0" w:color="auto"/>
            <w:right w:val="none" w:sz="0" w:space="0" w:color="auto"/>
          </w:divBdr>
        </w:div>
        <w:div w:id="771171702">
          <w:marLeft w:val="0"/>
          <w:marRight w:val="0"/>
          <w:marTop w:val="0"/>
          <w:marBottom w:val="0"/>
          <w:divBdr>
            <w:top w:val="none" w:sz="0" w:space="0" w:color="auto"/>
            <w:left w:val="none" w:sz="0" w:space="0" w:color="auto"/>
            <w:bottom w:val="none" w:sz="0" w:space="0" w:color="auto"/>
            <w:right w:val="none" w:sz="0" w:space="0" w:color="auto"/>
          </w:divBdr>
        </w:div>
        <w:div w:id="842359094">
          <w:marLeft w:val="0"/>
          <w:marRight w:val="0"/>
          <w:marTop w:val="0"/>
          <w:marBottom w:val="0"/>
          <w:divBdr>
            <w:top w:val="none" w:sz="0" w:space="0" w:color="auto"/>
            <w:left w:val="none" w:sz="0" w:space="0" w:color="auto"/>
            <w:bottom w:val="none" w:sz="0" w:space="0" w:color="auto"/>
            <w:right w:val="none" w:sz="0" w:space="0" w:color="auto"/>
          </w:divBdr>
        </w:div>
        <w:div w:id="847644729">
          <w:marLeft w:val="0"/>
          <w:marRight w:val="0"/>
          <w:marTop w:val="0"/>
          <w:marBottom w:val="0"/>
          <w:divBdr>
            <w:top w:val="none" w:sz="0" w:space="0" w:color="auto"/>
            <w:left w:val="none" w:sz="0" w:space="0" w:color="auto"/>
            <w:bottom w:val="none" w:sz="0" w:space="0" w:color="auto"/>
            <w:right w:val="none" w:sz="0" w:space="0" w:color="auto"/>
          </w:divBdr>
        </w:div>
        <w:div w:id="872310367">
          <w:marLeft w:val="0"/>
          <w:marRight w:val="0"/>
          <w:marTop w:val="0"/>
          <w:marBottom w:val="0"/>
          <w:divBdr>
            <w:top w:val="none" w:sz="0" w:space="0" w:color="auto"/>
            <w:left w:val="none" w:sz="0" w:space="0" w:color="auto"/>
            <w:bottom w:val="none" w:sz="0" w:space="0" w:color="auto"/>
            <w:right w:val="none" w:sz="0" w:space="0" w:color="auto"/>
          </w:divBdr>
        </w:div>
        <w:div w:id="902374754">
          <w:marLeft w:val="0"/>
          <w:marRight w:val="0"/>
          <w:marTop w:val="0"/>
          <w:marBottom w:val="0"/>
          <w:divBdr>
            <w:top w:val="none" w:sz="0" w:space="0" w:color="auto"/>
            <w:left w:val="none" w:sz="0" w:space="0" w:color="auto"/>
            <w:bottom w:val="none" w:sz="0" w:space="0" w:color="auto"/>
            <w:right w:val="none" w:sz="0" w:space="0" w:color="auto"/>
          </w:divBdr>
        </w:div>
        <w:div w:id="963268581">
          <w:marLeft w:val="0"/>
          <w:marRight w:val="0"/>
          <w:marTop w:val="0"/>
          <w:marBottom w:val="0"/>
          <w:divBdr>
            <w:top w:val="none" w:sz="0" w:space="0" w:color="auto"/>
            <w:left w:val="none" w:sz="0" w:space="0" w:color="auto"/>
            <w:bottom w:val="none" w:sz="0" w:space="0" w:color="auto"/>
            <w:right w:val="none" w:sz="0" w:space="0" w:color="auto"/>
          </w:divBdr>
        </w:div>
        <w:div w:id="969016745">
          <w:marLeft w:val="0"/>
          <w:marRight w:val="0"/>
          <w:marTop w:val="0"/>
          <w:marBottom w:val="0"/>
          <w:divBdr>
            <w:top w:val="none" w:sz="0" w:space="0" w:color="auto"/>
            <w:left w:val="none" w:sz="0" w:space="0" w:color="auto"/>
            <w:bottom w:val="none" w:sz="0" w:space="0" w:color="auto"/>
            <w:right w:val="none" w:sz="0" w:space="0" w:color="auto"/>
          </w:divBdr>
        </w:div>
        <w:div w:id="1011836040">
          <w:marLeft w:val="0"/>
          <w:marRight w:val="0"/>
          <w:marTop w:val="0"/>
          <w:marBottom w:val="0"/>
          <w:divBdr>
            <w:top w:val="none" w:sz="0" w:space="0" w:color="auto"/>
            <w:left w:val="none" w:sz="0" w:space="0" w:color="auto"/>
            <w:bottom w:val="none" w:sz="0" w:space="0" w:color="auto"/>
            <w:right w:val="none" w:sz="0" w:space="0" w:color="auto"/>
          </w:divBdr>
        </w:div>
        <w:div w:id="1043404911">
          <w:marLeft w:val="0"/>
          <w:marRight w:val="0"/>
          <w:marTop w:val="0"/>
          <w:marBottom w:val="0"/>
          <w:divBdr>
            <w:top w:val="none" w:sz="0" w:space="0" w:color="auto"/>
            <w:left w:val="none" w:sz="0" w:space="0" w:color="auto"/>
            <w:bottom w:val="none" w:sz="0" w:space="0" w:color="auto"/>
            <w:right w:val="none" w:sz="0" w:space="0" w:color="auto"/>
          </w:divBdr>
        </w:div>
        <w:div w:id="1052071001">
          <w:marLeft w:val="0"/>
          <w:marRight w:val="0"/>
          <w:marTop w:val="0"/>
          <w:marBottom w:val="0"/>
          <w:divBdr>
            <w:top w:val="none" w:sz="0" w:space="0" w:color="auto"/>
            <w:left w:val="none" w:sz="0" w:space="0" w:color="auto"/>
            <w:bottom w:val="none" w:sz="0" w:space="0" w:color="auto"/>
            <w:right w:val="none" w:sz="0" w:space="0" w:color="auto"/>
          </w:divBdr>
        </w:div>
        <w:div w:id="1105492903">
          <w:marLeft w:val="0"/>
          <w:marRight w:val="0"/>
          <w:marTop w:val="0"/>
          <w:marBottom w:val="0"/>
          <w:divBdr>
            <w:top w:val="none" w:sz="0" w:space="0" w:color="auto"/>
            <w:left w:val="none" w:sz="0" w:space="0" w:color="auto"/>
            <w:bottom w:val="none" w:sz="0" w:space="0" w:color="auto"/>
            <w:right w:val="none" w:sz="0" w:space="0" w:color="auto"/>
          </w:divBdr>
        </w:div>
        <w:div w:id="1106192753">
          <w:marLeft w:val="0"/>
          <w:marRight w:val="0"/>
          <w:marTop w:val="0"/>
          <w:marBottom w:val="0"/>
          <w:divBdr>
            <w:top w:val="none" w:sz="0" w:space="0" w:color="auto"/>
            <w:left w:val="none" w:sz="0" w:space="0" w:color="auto"/>
            <w:bottom w:val="none" w:sz="0" w:space="0" w:color="auto"/>
            <w:right w:val="none" w:sz="0" w:space="0" w:color="auto"/>
          </w:divBdr>
        </w:div>
        <w:div w:id="1124927676">
          <w:marLeft w:val="0"/>
          <w:marRight w:val="0"/>
          <w:marTop w:val="0"/>
          <w:marBottom w:val="0"/>
          <w:divBdr>
            <w:top w:val="none" w:sz="0" w:space="0" w:color="auto"/>
            <w:left w:val="none" w:sz="0" w:space="0" w:color="auto"/>
            <w:bottom w:val="none" w:sz="0" w:space="0" w:color="auto"/>
            <w:right w:val="none" w:sz="0" w:space="0" w:color="auto"/>
          </w:divBdr>
        </w:div>
        <w:div w:id="1146121422">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166625451">
          <w:marLeft w:val="0"/>
          <w:marRight w:val="0"/>
          <w:marTop w:val="0"/>
          <w:marBottom w:val="0"/>
          <w:divBdr>
            <w:top w:val="none" w:sz="0" w:space="0" w:color="auto"/>
            <w:left w:val="none" w:sz="0" w:space="0" w:color="auto"/>
            <w:bottom w:val="none" w:sz="0" w:space="0" w:color="auto"/>
            <w:right w:val="none" w:sz="0" w:space="0" w:color="auto"/>
          </w:divBdr>
        </w:div>
        <w:div w:id="1187522132">
          <w:marLeft w:val="0"/>
          <w:marRight w:val="0"/>
          <w:marTop w:val="0"/>
          <w:marBottom w:val="0"/>
          <w:divBdr>
            <w:top w:val="none" w:sz="0" w:space="0" w:color="auto"/>
            <w:left w:val="none" w:sz="0" w:space="0" w:color="auto"/>
            <w:bottom w:val="none" w:sz="0" w:space="0" w:color="auto"/>
            <w:right w:val="none" w:sz="0" w:space="0" w:color="auto"/>
          </w:divBdr>
        </w:div>
        <w:div w:id="1209995847">
          <w:marLeft w:val="0"/>
          <w:marRight w:val="0"/>
          <w:marTop w:val="0"/>
          <w:marBottom w:val="0"/>
          <w:divBdr>
            <w:top w:val="none" w:sz="0" w:space="0" w:color="auto"/>
            <w:left w:val="none" w:sz="0" w:space="0" w:color="auto"/>
            <w:bottom w:val="none" w:sz="0" w:space="0" w:color="auto"/>
            <w:right w:val="none" w:sz="0" w:space="0" w:color="auto"/>
          </w:divBdr>
        </w:div>
        <w:div w:id="1225721496">
          <w:marLeft w:val="0"/>
          <w:marRight w:val="0"/>
          <w:marTop w:val="0"/>
          <w:marBottom w:val="0"/>
          <w:divBdr>
            <w:top w:val="none" w:sz="0" w:space="0" w:color="auto"/>
            <w:left w:val="none" w:sz="0" w:space="0" w:color="auto"/>
            <w:bottom w:val="none" w:sz="0" w:space="0" w:color="auto"/>
            <w:right w:val="none" w:sz="0" w:space="0" w:color="auto"/>
          </w:divBdr>
        </w:div>
        <w:div w:id="1241866507">
          <w:marLeft w:val="0"/>
          <w:marRight w:val="0"/>
          <w:marTop w:val="0"/>
          <w:marBottom w:val="0"/>
          <w:divBdr>
            <w:top w:val="none" w:sz="0" w:space="0" w:color="auto"/>
            <w:left w:val="none" w:sz="0" w:space="0" w:color="auto"/>
            <w:bottom w:val="none" w:sz="0" w:space="0" w:color="auto"/>
            <w:right w:val="none" w:sz="0" w:space="0" w:color="auto"/>
          </w:divBdr>
        </w:div>
        <w:div w:id="1242253094">
          <w:marLeft w:val="0"/>
          <w:marRight w:val="0"/>
          <w:marTop w:val="0"/>
          <w:marBottom w:val="0"/>
          <w:divBdr>
            <w:top w:val="none" w:sz="0" w:space="0" w:color="auto"/>
            <w:left w:val="none" w:sz="0" w:space="0" w:color="auto"/>
            <w:bottom w:val="none" w:sz="0" w:space="0" w:color="auto"/>
            <w:right w:val="none" w:sz="0" w:space="0" w:color="auto"/>
          </w:divBdr>
        </w:div>
        <w:div w:id="1261332273">
          <w:marLeft w:val="0"/>
          <w:marRight w:val="0"/>
          <w:marTop w:val="0"/>
          <w:marBottom w:val="0"/>
          <w:divBdr>
            <w:top w:val="none" w:sz="0" w:space="0" w:color="auto"/>
            <w:left w:val="none" w:sz="0" w:space="0" w:color="auto"/>
            <w:bottom w:val="none" w:sz="0" w:space="0" w:color="auto"/>
            <w:right w:val="none" w:sz="0" w:space="0" w:color="auto"/>
          </w:divBdr>
        </w:div>
        <w:div w:id="1297876782">
          <w:marLeft w:val="0"/>
          <w:marRight w:val="0"/>
          <w:marTop w:val="0"/>
          <w:marBottom w:val="0"/>
          <w:divBdr>
            <w:top w:val="none" w:sz="0" w:space="0" w:color="auto"/>
            <w:left w:val="none" w:sz="0" w:space="0" w:color="auto"/>
            <w:bottom w:val="none" w:sz="0" w:space="0" w:color="auto"/>
            <w:right w:val="none" w:sz="0" w:space="0" w:color="auto"/>
          </w:divBdr>
        </w:div>
        <w:div w:id="1342394778">
          <w:marLeft w:val="0"/>
          <w:marRight w:val="0"/>
          <w:marTop w:val="0"/>
          <w:marBottom w:val="0"/>
          <w:divBdr>
            <w:top w:val="none" w:sz="0" w:space="0" w:color="auto"/>
            <w:left w:val="none" w:sz="0" w:space="0" w:color="auto"/>
            <w:bottom w:val="none" w:sz="0" w:space="0" w:color="auto"/>
            <w:right w:val="none" w:sz="0" w:space="0" w:color="auto"/>
          </w:divBdr>
        </w:div>
        <w:div w:id="1348481545">
          <w:marLeft w:val="0"/>
          <w:marRight w:val="0"/>
          <w:marTop w:val="0"/>
          <w:marBottom w:val="0"/>
          <w:divBdr>
            <w:top w:val="none" w:sz="0" w:space="0" w:color="auto"/>
            <w:left w:val="none" w:sz="0" w:space="0" w:color="auto"/>
            <w:bottom w:val="none" w:sz="0" w:space="0" w:color="auto"/>
            <w:right w:val="none" w:sz="0" w:space="0" w:color="auto"/>
          </w:divBdr>
        </w:div>
        <w:div w:id="1392848064">
          <w:marLeft w:val="0"/>
          <w:marRight w:val="0"/>
          <w:marTop w:val="0"/>
          <w:marBottom w:val="0"/>
          <w:divBdr>
            <w:top w:val="none" w:sz="0" w:space="0" w:color="auto"/>
            <w:left w:val="none" w:sz="0" w:space="0" w:color="auto"/>
            <w:bottom w:val="none" w:sz="0" w:space="0" w:color="auto"/>
            <w:right w:val="none" w:sz="0" w:space="0" w:color="auto"/>
          </w:divBdr>
        </w:div>
        <w:div w:id="1437944761">
          <w:marLeft w:val="0"/>
          <w:marRight w:val="0"/>
          <w:marTop w:val="0"/>
          <w:marBottom w:val="0"/>
          <w:divBdr>
            <w:top w:val="none" w:sz="0" w:space="0" w:color="auto"/>
            <w:left w:val="none" w:sz="0" w:space="0" w:color="auto"/>
            <w:bottom w:val="none" w:sz="0" w:space="0" w:color="auto"/>
            <w:right w:val="none" w:sz="0" w:space="0" w:color="auto"/>
          </w:divBdr>
        </w:div>
        <w:div w:id="1450465291">
          <w:marLeft w:val="0"/>
          <w:marRight w:val="0"/>
          <w:marTop w:val="0"/>
          <w:marBottom w:val="0"/>
          <w:divBdr>
            <w:top w:val="none" w:sz="0" w:space="0" w:color="auto"/>
            <w:left w:val="none" w:sz="0" w:space="0" w:color="auto"/>
            <w:bottom w:val="none" w:sz="0" w:space="0" w:color="auto"/>
            <w:right w:val="none" w:sz="0" w:space="0" w:color="auto"/>
          </w:divBdr>
        </w:div>
        <w:div w:id="1451240294">
          <w:marLeft w:val="0"/>
          <w:marRight w:val="0"/>
          <w:marTop w:val="0"/>
          <w:marBottom w:val="0"/>
          <w:divBdr>
            <w:top w:val="none" w:sz="0" w:space="0" w:color="auto"/>
            <w:left w:val="none" w:sz="0" w:space="0" w:color="auto"/>
            <w:bottom w:val="none" w:sz="0" w:space="0" w:color="auto"/>
            <w:right w:val="none" w:sz="0" w:space="0" w:color="auto"/>
          </w:divBdr>
        </w:div>
        <w:div w:id="1464033201">
          <w:marLeft w:val="0"/>
          <w:marRight w:val="0"/>
          <w:marTop w:val="0"/>
          <w:marBottom w:val="0"/>
          <w:divBdr>
            <w:top w:val="none" w:sz="0" w:space="0" w:color="auto"/>
            <w:left w:val="none" w:sz="0" w:space="0" w:color="auto"/>
            <w:bottom w:val="none" w:sz="0" w:space="0" w:color="auto"/>
            <w:right w:val="none" w:sz="0" w:space="0" w:color="auto"/>
          </w:divBdr>
        </w:div>
        <w:div w:id="1521117218">
          <w:marLeft w:val="0"/>
          <w:marRight w:val="0"/>
          <w:marTop w:val="0"/>
          <w:marBottom w:val="0"/>
          <w:divBdr>
            <w:top w:val="none" w:sz="0" w:space="0" w:color="auto"/>
            <w:left w:val="none" w:sz="0" w:space="0" w:color="auto"/>
            <w:bottom w:val="none" w:sz="0" w:space="0" w:color="auto"/>
            <w:right w:val="none" w:sz="0" w:space="0" w:color="auto"/>
          </w:divBdr>
        </w:div>
        <w:div w:id="1535581203">
          <w:marLeft w:val="0"/>
          <w:marRight w:val="0"/>
          <w:marTop w:val="0"/>
          <w:marBottom w:val="0"/>
          <w:divBdr>
            <w:top w:val="none" w:sz="0" w:space="0" w:color="auto"/>
            <w:left w:val="none" w:sz="0" w:space="0" w:color="auto"/>
            <w:bottom w:val="none" w:sz="0" w:space="0" w:color="auto"/>
            <w:right w:val="none" w:sz="0" w:space="0" w:color="auto"/>
          </w:divBdr>
        </w:div>
        <w:div w:id="1548372778">
          <w:marLeft w:val="0"/>
          <w:marRight w:val="0"/>
          <w:marTop w:val="0"/>
          <w:marBottom w:val="0"/>
          <w:divBdr>
            <w:top w:val="none" w:sz="0" w:space="0" w:color="auto"/>
            <w:left w:val="none" w:sz="0" w:space="0" w:color="auto"/>
            <w:bottom w:val="none" w:sz="0" w:space="0" w:color="auto"/>
            <w:right w:val="none" w:sz="0" w:space="0" w:color="auto"/>
          </w:divBdr>
        </w:div>
        <w:div w:id="1622149546">
          <w:marLeft w:val="0"/>
          <w:marRight w:val="0"/>
          <w:marTop w:val="0"/>
          <w:marBottom w:val="0"/>
          <w:divBdr>
            <w:top w:val="none" w:sz="0" w:space="0" w:color="auto"/>
            <w:left w:val="none" w:sz="0" w:space="0" w:color="auto"/>
            <w:bottom w:val="none" w:sz="0" w:space="0" w:color="auto"/>
            <w:right w:val="none" w:sz="0" w:space="0" w:color="auto"/>
          </w:divBdr>
        </w:div>
        <w:div w:id="1631283262">
          <w:marLeft w:val="0"/>
          <w:marRight w:val="0"/>
          <w:marTop w:val="0"/>
          <w:marBottom w:val="0"/>
          <w:divBdr>
            <w:top w:val="none" w:sz="0" w:space="0" w:color="auto"/>
            <w:left w:val="none" w:sz="0" w:space="0" w:color="auto"/>
            <w:bottom w:val="none" w:sz="0" w:space="0" w:color="auto"/>
            <w:right w:val="none" w:sz="0" w:space="0" w:color="auto"/>
          </w:divBdr>
        </w:div>
        <w:div w:id="1642538896">
          <w:marLeft w:val="0"/>
          <w:marRight w:val="0"/>
          <w:marTop w:val="0"/>
          <w:marBottom w:val="0"/>
          <w:divBdr>
            <w:top w:val="none" w:sz="0" w:space="0" w:color="auto"/>
            <w:left w:val="none" w:sz="0" w:space="0" w:color="auto"/>
            <w:bottom w:val="none" w:sz="0" w:space="0" w:color="auto"/>
            <w:right w:val="none" w:sz="0" w:space="0" w:color="auto"/>
          </w:divBdr>
        </w:div>
        <w:div w:id="1659458058">
          <w:marLeft w:val="0"/>
          <w:marRight w:val="0"/>
          <w:marTop w:val="0"/>
          <w:marBottom w:val="0"/>
          <w:divBdr>
            <w:top w:val="none" w:sz="0" w:space="0" w:color="auto"/>
            <w:left w:val="none" w:sz="0" w:space="0" w:color="auto"/>
            <w:bottom w:val="none" w:sz="0" w:space="0" w:color="auto"/>
            <w:right w:val="none" w:sz="0" w:space="0" w:color="auto"/>
          </w:divBdr>
        </w:div>
        <w:div w:id="1719277519">
          <w:marLeft w:val="0"/>
          <w:marRight w:val="0"/>
          <w:marTop w:val="0"/>
          <w:marBottom w:val="0"/>
          <w:divBdr>
            <w:top w:val="none" w:sz="0" w:space="0" w:color="auto"/>
            <w:left w:val="none" w:sz="0" w:space="0" w:color="auto"/>
            <w:bottom w:val="none" w:sz="0" w:space="0" w:color="auto"/>
            <w:right w:val="none" w:sz="0" w:space="0" w:color="auto"/>
          </w:divBdr>
        </w:div>
        <w:div w:id="1728870604">
          <w:marLeft w:val="0"/>
          <w:marRight w:val="0"/>
          <w:marTop w:val="0"/>
          <w:marBottom w:val="0"/>
          <w:divBdr>
            <w:top w:val="none" w:sz="0" w:space="0" w:color="auto"/>
            <w:left w:val="none" w:sz="0" w:space="0" w:color="auto"/>
            <w:bottom w:val="none" w:sz="0" w:space="0" w:color="auto"/>
            <w:right w:val="none" w:sz="0" w:space="0" w:color="auto"/>
          </w:divBdr>
        </w:div>
        <w:div w:id="1743483240">
          <w:marLeft w:val="0"/>
          <w:marRight w:val="0"/>
          <w:marTop w:val="0"/>
          <w:marBottom w:val="0"/>
          <w:divBdr>
            <w:top w:val="none" w:sz="0" w:space="0" w:color="auto"/>
            <w:left w:val="none" w:sz="0" w:space="0" w:color="auto"/>
            <w:bottom w:val="none" w:sz="0" w:space="0" w:color="auto"/>
            <w:right w:val="none" w:sz="0" w:space="0" w:color="auto"/>
          </w:divBdr>
        </w:div>
        <w:div w:id="1769807070">
          <w:marLeft w:val="0"/>
          <w:marRight w:val="0"/>
          <w:marTop w:val="0"/>
          <w:marBottom w:val="0"/>
          <w:divBdr>
            <w:top w:val="none" w:sz="0" w:space="0" w:color="auto"/>
            <w:left w:val="none" w:sz="0" w:space="0" w:color="auto"/>
            <w:bottom w:val="none" w:sz="0" w:space="0" w:color="auto"/>
            <w:right w:val="none" w:sz="0" w:space="0" w:color="auto"/>
          </w:divBdr>
        </w:div>
        <w:div w:id="1781683006">
          <w:marLeft w:val="0"/>
          <w:marRight w:val="0"/>
          <w:marTop w:val="0"/>
          <w:marBottom w:val="0"/>
          <w:divBdr>
            <w:top w:val="none" w:sz="0" w:space="0" w:color="auto"/>
            <w:left w:val="none" w:sz="0" w:space="0" w:color="auto"/>
            <w:bottom w:val="none" w:sz="0" w:space="0" w:color="auto"/>
            <w:right w:val="none" w:sz="0" w:space="0" w:color="auto"/>
          </w:divBdr>
        </w:div>
        <w:div w:id="1792942749">
          <w:marLeft w:val="0"/>
          <w:marRight w:val="0"/>
          <w:marTop w:val="0"/>
          <w:marBottom w:val="0"/>
          <w:divBdr>
            <w:top w:val="none" w:sz="0" w:space="0" w:color="auto"/>
            <w:left w:val="none" w:sz="0" w:space="0" w:color="auto"/>
            <w:bottom w:val="none" w:sz="0" w:space="0" w:color="auto"/>
            <w:right w:val="none" w:sz="0" w:space="0" w:color="auto"/>
          </w:divBdr>
        </w:div>
        <w:div w:id="1796869221">
          <w:marLeft w:val="0"/>
          <w:marRight w:val="0"/>
          <w:marTop w:val="0"/>
          <w:marBottom w:val="0"/>
          <w:divBdr>
            <w:top w:val="none" w:sz="0" w:space="0" w:color="auto"/>
            <w:left w:val="none" w:sz="0" w:space="0" w:color="auto"/>
            <w:bottom w:val="none" w:sz="0" w:space="0" w:color="auto"/>
            <w:right w:val="none" w:sz="0" w:space="0" w:color="auto"/>
          </w:divBdr>
        </w:div>
        <w:div w:id="1800688735">
          <w:marLeft w:val="0"/>
          <w:marRight w:val="0"/>
          <w:marTop w:val="0"/>
          <w:marBottom w:val="0"/>
          <w:divBdr>
            <w:top w:val="none" w:sz="0" w:space="0" w:color="auto"/>
            <w:left w:val="none" w:sz="0" w:space="0" w:color="auto"/>
            <w:bottom w:val="none" w:sz="0" w:space="0" w:color="auto"/>
            <w:right w:val="none" w:sz="0" w:space="0" w:color="auto"/>
          </w:divBdr>
        </w:div>
        <w:div w:id="1848135402">
          <w:marLeft w:val="0"/>
          <w:marRight w:val="0"/>
          <w:marTop w:val="0"/>
          <w:marBottom w:val="0"/>
          <w:divBdr>
            <w:top w:val="none" w:sz="0" w:space="0" w:color="auto"/>
            <w:left w:val="none" w:sz="0" w:space="0" w:color="auto"/>
            <w:bottom w:val="none" w:sz="0" w:space="0" w:color="auto"/>
            <w:right w:val="none" w:sz="0" w:space="0" w:color="auto"/>
          </w:divBdr>
        </w:div>
        <w:div w:id="1893998237">
          <w:marLeft w:val="0"/>
          <w:marRight w:val="0"/>
          <w:marTop w:val="0"/>
          <w:marBottom w:val="0"/>
          <w:divBdr>
            <w:top w:val="none" w:sz="0" w:space="0" w:color="auto"/>
            <w:left w:val="none" w:sz="0" w:space="0" w:color="auto"/>
            <w:bottom w:val="none" w:sz="0" w:space="0" w:color="auto"/>
            <w:right w:val="none" w:sz="0" w:space="0" w:color="auto"/>
          </w:divBdr>
        </w:div>
        <w:div w:id="1901936752">
          <w:marLeft w:val="0"/>
          <w:marRight w:val="0"/>
          <w:marTop w:val="0"/>
          <w:marBottom w:val="0"/>
          <w:divBdr>
            <w:top w:val="none" w:sz="0" w:space="0" w:color="auto"/>
            <w:left w:val="none" w:sz="0" w:space="0" w:color="auto"/>
            <w:bottom w:val="none" w:sz="0" w:space="0" w:color="auto"/>
            <w:right w:val="none" w:sz="0" w:space="0" w:color="auto"/>
          </w:divBdr>
        </w:div>
        <w:div w:id="1907523018">
          <w:marLeft w:val="0"/>
          <w:marRight w:val="0"/>
          <w:marTop w:val="0"/>
          <w:marBottom w:val="0"/>
          <w:divBdr>
            <w:top w:val="none" w:sz="0" w:space="0" w:color="auto"/>
            <w:left w:val="none" w:sz="0" w:space="0" w:color="auto"/>
            <w:bottom w:val="none" w:sz="0" w:space="0" w:color="auto"/>
            <w:right w:val="none" w:sz="0" w:space="0" w:color="auto"/>
          </w:divBdr>
        </w:div>
        <w:div w:id="1945116630">
          <w:marLeft w:val="0"/>
          <w:marRight w:val="0"/>
          <w:marTop w:val="0"/>
          <w:marBottom w:val="0"/>
          <w:divBdr>
            <w:top w:val="none" w:sz="0" w:space="0" w:color="auto"/>
            <w:left w:val="none" w:sz="0" w:space="0" w:color="auto"/>
            <w:bottom w:val="none" w:sz="0" w:space="0" w:color="auto"/>
            <w:right w:val="none" w:sz="0" w:space="0" w:color="auto"/>
          </w:divBdr>
        </w:div>
        <w:div w:id="1946113828">
          <w:marLeft w:val="0"/>
          <w:marRight w:val="0"/>
          <w:marTop w:val="0"/>
          <w:marBottom w:val="0"/>
          <w:divBdr>
            <w:top w:val="none" w:sz="0" w:space="0" w:color="auto"/>
            <w:left w:val="none" w:sz="0" w:space="0" w:color="auto"/>
            <w:bottom w:val="none" w:sz="0" w:space="0" w:color="auto"/>
            <w:right w:val="none" w:sz="0" w:space="0" w:color="auto"/>
          </w:divBdr>
        </w:div>
        <w:div w:id="2016036310">
          <w:marLeft w:val="0"/>
          <w:marRight w:val="0"/>
          <w:marTop w:val="0"/>
          <w:marBottom w:val="0"/>
          <w:divBdr>
            <w:top w:val="none" w:sz="0" w:space="0" w:color="auto"/>
            <w:left w:val="none" w:sz="0" w:space="0" w:color="auto"/>
            <w:bottom w:val="none" w:sz="0" w:space="0" w:color="auto"/>
            <w:right w:val="none" w:sz="0" w:space="0" w:color="auto"/>
          </w:divBdr>
        </w:div>
        <w:div w:id="2029090845">
          <w:marLeft w:val="0"/>
          <w:marRight w:val="0"/>
          <w:marTop w:val="0"/>
          <w:marBottom w:val="0"/>
          <w:divBdr>
            <w:top w:val="none" w:sz="0" w:space="0" w:color="auto"/>
            <w:left w:val="none" w:sz="0" w:space="0" w:color="auto"/>
            <w:bottom w:val="none" w:sz="0" w:space="0" w:color="auto"/>
            <w:right w:val="none" w:sz="0" w:space="0" w:color="auto"/>
          </w:divBdr>
        </w:div>
        <w:div w:id="2046589692">
          <w:marLeft w:val="0"/>
          <w:marRight w:val="0"/>
          <w:marTop w:val="0"/>
          <w:marBottom w:val="0"/>
          <w:divBdr>
            <w:top w:val="none" w:sz="0" w:space="0" w:color="auto"/>
            <w:left w:val="none" w:sz="0" w:space="0" w:color="auto"/>
            <w:bottom w:val="none" w:sz="0" w:space="0" w:color="auto"/>
            <w:right w:val="none" w:sz="0" w:space="0" w:color="auto"/>
          </w:divBdr>
        </w:div>
        <w:div w:id="2068258310">
          <w:marLeft w:val="0"/>
          <w:marRight w:val="0"/>
          <w:marTop w:val="0"/>
          <w:marBottom w:val="0"/>
          <w:divBdr>
            <w:top w:val="none" w:sz="0" w:space="0" w:color="auto"/>
            <w:left w:val="none" w:sz="0" w:space="0" w:color="auto"/>
            <w:bottom w:val="none" w:sz="0" w:space="0" w:color="auto"/>
            <w:right w:val="none" w:sz="0" w:space="0" w:color="auto"/>
          </w:divBdr>
        </w:div>
        <w:div w:id="2082748108">
          <w:marLeft w:val="0"/>
          <w:marRight w:val="0"/>
          <w:marTop w:val="0"/>
          <w:marBottom w:val="0"/>
          <w:divBdr>
            <w:top w:val="none" w:sz="0" w:space="0" w:color="auto"/>
            <w:left w:val="none" w:sz="0" w:space="0" w:color="auto"/>
            <w:bottom w:val="none" w:sz="0" w:space="0" w:color="auto"/>
            <w:right w:val="none" w:sz="0" w:space="0" w:color="auto"/>
          </w:divBdr>
        </w:div>
        <w:div w:id="2099594531">
          <w:marLeft w:val="0"/>
          <w:marRight w:val="0"/>
          <w:marTop w:val="0"/>
          <w:marBottom w:val="0"/>
          <w:divBdr>
            <w:top w:val="none" w:sz="0" w:space="0" w:color="auto"/>
            <w:left w:val="none" w:sz="0" w:space="0" w:color="auto"/>
            <w:bottom w:val="none" w:sz="0" w:space="0" w:color="auto"/>
            <w:right w:val="none" w:sz="0" w:space="0" w:color="auto"/>
          </w:divBdr>
        </w:div>
        <w:div w:id="2101758022">
          <w:marLeft w:val="0"/>
          <w:marRight w:val="0"/>
          <w:marTop w:val="0"/>
          <w:marBottom w:val="0"/>
          <w:divBdr>
            <w:top w:val="none" w:sz="0" w:space="0" w:color="auto"/>
            <w:left w:val="none" w:sz="0" w:space="0" w:color="auto"/>
            <w:bottom w:val="none" w:sz="0" w:space="0" w:color="auto"/>
            <w:right w:val="none" w:sz="0" w:space="0" w:color="auto"/>
          </w:divBdr>
        </w:div>
        <w:div w:id="2137868236">
          <w:marLeft w:val="0"/>
          <w:marRight w:val="0"/>
          <w:marTop w:val="0"/>
          <w:marBottom w:val="0"/>
          <w:divBdr>
            <w:top w:val="none" w:sz="0" w:space="0" w:color="auto"/>
            <w:left w:val="none" w:sz="0" w:space="0" w:color="auto"/>
            <w:bottom w:val="none" w:sz="0" w:space="0" w:color="auto"/>
            <w:right w:val="none" w:sz="0" w:space="0" w:color="auto"/>
          </w:divBdr>
        </w:div>
        <w:div w:id="2141143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0EFBF-ED11-4816-9555-2EBC0B2D2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11669</Words>
  <Characters>66514</Characters>
  <Application>Microsoft Office Word</Application>
  <DocSecurity>4</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Donaldson, Anna [aldonald]</dc:creator>
  <cp:lastModifiedBy>Harris, John [jpaulh30]</cp:lastModifiedBy>
  <cp:revision>2</cp:revision>
  <cp:lastPrinted>2019-05-03T14:44:00Z</cp:lastPrinted>
  <dcterms:created xsi:type="dcterms:W3CDTF">2019-06-21T07:35:00Z</dcterms:created>
  <dcterms:modified xsi:type="dcterms:W3CDTF">2019-06-21T07:35:00Z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zotero-version="5.0.48"&gt;&lt;session id="MYCtveAq"/&gt;&lt;style id="http://www.zotero.org/styles/epidemiology-and-infection" hasBibliography="1" bibliographyStyleHasBeenSet="1"/&gt;&lt;prefs&gt;&lt;pref name="fieldType" value="Field"/&gt;&lt;pref name="automa</vt:lpwstr>
  </property>
  <property fmtid="{D5CDD505-2E9C-101B-9397-08002B2CF9AE}" pid="3" name="ZOTERO_PREF_2">
    <vt:lpwstr>ticJournalAbbreviations" value="true"/&gt;&lt;/prefs&gt;&lt;/data&gt;</vt:lpwstr>
  </property>
</Properties>
</file>