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D7EC5" w14:textId="023C33A5" w:rsidR="001979AC" w:rsidRPr="008F52E1" w:rsidRDefault="001979AC" w:rsidP="00B22A77">
      <w:pPr>
        <w:spacing w:line="480" w:lineRule="auto"/>
        <w:jc w:val="both"/>
        <w:rPr>
          <w:b/>
        </w:rPr>
      </w:pPr>
      <w:bookmarkStart w:id="0" w:name="_GoBack"/>
      <w:bookmarkEnd w:id="0"/>
      <w:r w:rsidRPr="008F52E1">
        <w:rPr>
          <w:b/>
        </w:rPr>
        <w:t xml:space="preserve">Canine Sterile Steroid-Responsive Lymphadenitis in </w:t>
      </w:r>
      <w:r w:rsidR="007E5821" w:rsidRPr="008F52E1">
        <w:rPr>
          <w:b/>
        </w:rPr>
        <w:t>50</w:t>
      </w:r>
      <w:r w:rsidRPr="008F52E1">
        <w:rPr>
          <w:b/>
        </w:rPr>
        <w:t xml:space="preserve"> dogs</w:t>
      </w:r>
    </w:p>
    <w:p w14:paraId="07E07D44" w14:textId="77777777" w:rsidR="008F52E1" w:rsidRPr="008F52E1" w:rsidRDefault="008F52E1" w:rsidP="00B22A77">
      <w:pPr>
        <w:widowControl w:val="0"/>
        <w:pBdr>
          <w:top w:val="nil"/>
          <w:left w:val="nil"/>
          <w:bottom w:val="nil"/>
          <w:right w:val="nil"/>
          <w:between w:val="nil"/>
          <w:bar w:val="nil"/>
        </w:pBdr>
        <w:spacing w:line="480" w:lineRule="auto"/>
        <w:jc w:val="both"/>
        <w:rPr>
          <w:rFonts w:eastAsia="Tahoma"/>
          <w:color w:val="000000"/>
          <w:u w:color="000000"/>
          <w:bdr w:val="nil"/>
          <w:lang w:val="en-US" w:eastAsia="en-GB"/>
        </w:rPr>
      </w:pPr>
      <w:r w:rsidRPr="008F52E1">
        <w:rPr>
          <w:rFonts w:eastAsia="Cambria"/>
          <w:color w:val="000000"/>
          <w:u w:color="000000"/>
          <w:bdr w:val="nil"/>
          <w:lang w:val="en-US" w:eastAsia="en-GB"/>
        </w:rPr>
        <w:t> </w:t>
      </w:r>
    </w:p>
    <w:p w14:paraId="72DB7F2E" w14:textId="2B87ED8E" w:rsidR="008F52E1" w:rsidRPr="00836BDE" w:rsidRDefault="008F52E1" w:rsidP="00B22A77">
      <w:pPr>
        <w:spacing w:line="480" w:lineRule="auto"/>
        <w:jc w:val="both"/>
      </w:pPr>
      <w:r>
        <w:rPr>
          <w:rFonts w:eastAsia="Cambria"/>
          <w:color w:val="000000"/>
          <w:u w:color="000000"/>
          <w:bdr w:val="nil"/>
          <w:lang w:val="en-US" w:eastAsia="en-GB"/>
        </w:rPr>
        <w:t xml:space="preserve">A. </w:t>
      </w:r>
      <w:proofErr w:type="spellStart"/>
      <w:r>
        <w:rPr>
          <w:rFonts w:eastAsia="Cambria"/>
          <w:color w:val="000000"/>
          <w:u w:color="000000"/>
          <w:bdr w:val="nil"/>
          <w:lang w:val="en-US" w:eastAsia="en-GB"/>
        </w:rPr>
        <w:t>Ribas</w:t>
      </w:r>
      <w:proofErr w:type="spellEnd"/>
      <w:r>
        <w:rPr>
          <w:rFonts w:eastAsia="Cambria"/>
          <w:color w:val="000000"/>
          <w:u w:color="000000"/>
          <w:bdr w:val="nil"/>
          <w:lang w:val="en-US" w:eastAsia="en-GB"/>
        </w:rPr>
        <w:t xml:space="preserve"> Latre</w:t>
      </w:r>
      <w:r w:rsidR="003175D6">
        <w:rPr>
          <w:rFonts w:eastAsia="Cambria"/>
          <w:color w:val="000000"/>
          <w:u w:color="000000"/>
          <w:bdr w:val="nil"/>
          <w:vertAlign w:val="superscript"/>
          <w:lang w:val="en-US" w:eastAsia="en-GB"/>
        </w:rPr>
        <w:t>1</w:t>
      </w:r>
      <w:r w:rsidR="00484109">
        <w:rPr>
          <w:rFonts w:eastAsia="Cambria"/>
          <w:color w:val="000000"/>
          <w:u w:color="000000"/>
          <w:bdr w:val="nil"/>
          <w:lang w:val="en-US" w:eastAsia="en-GB"/>
        </w:rPr>
        <w:t>DVM</w:t>
      </w:r>
      <w:r>
        <w:rPr>
          <w:rFonts w:eastAsia="Cambria"/>
          <w:color w:val="000000"/>
          <w:u w:color="000000"/>
          <w:bdr w:val="nil"/>
          <w:lang w:val="en-US" w:eastAsia="en-GB"/>
        </w:rPr>
        <w:t>,</w:t>
      </w:r>
      <w:r w:rsidRPr="008F52E1">
        <w:rPr>
          <w:rFonts w:eastAsia="Cambria"/>
          <w:color w:val="000000"/>
          <w:u w:color="000000"/>
          <w:bdr w:val="nil"/>
          <w:lang w:val="en-US" w:eastAsia="en-GB"/>
        </w:rPr>
        <w:t> </w:t>
      </w:r>
      <w:r w:rsidRPr="008F52E1">
        <w:t>A. McPartland</w:t>
      </w:r>
      <w:r w:rsidRPr="008F52E1">
        <w:rPr>
          <w:vertAlign w:val="superscript"/>
        </w:rPr>
        <w:t>1</w:t>
      </w:r>
      <w:r w:rsidR="00035539">
        <w:t>MVB</w:t>
      </w:r>
      <w:r>
        <w:t>,</w:t>
      </w:r>
      <w:r w:rsidRPr="008F52E1">
        <w:t xml:space="preserve"> D. Cain</w:t>
      </w:r>
      <w:r w:rsidRPr="008F52E1">
        <w:rPr>
          <w:vertAlign w:val="superscript"/>
        </w:rPr>
        <w:t>2</w:t>
      </w:r>
      <w:r w:rsidRPr="008F52E1">
        <w:t xml:space="preserve">, D. </w:t>
      </w:r>
      <w:r w:rsidRPr="00484109">
        <w:t>Walker</w:t>
      </w:r>
      <w:r w:rsidRPr="00484109">
        <w:rPr>
          <w:vertAlign w:val="superscript"/>
        </w:rPr>
        <w:t>3</w:t>
      </w:r>
      <w:r w:rsidR="00484109">
        <w:t xml:space="preserve">BVetMed(Hons) </w:t>
      </w:r>
      <w:proofErr w:type="spellStart"/>
      <w:r w:rsidR="00484109" w:rsidRPr="00484109">
        <w:t>DipACVIM</w:t>
      </w:r>
      <w:proofErr w:type="spellEnd"/>
      <w:r w:rsidR="00484109">
        <w:t xml:space="preserve"> </w:t>
      </w:r>
      <w:proofErr w:type="spellStart"/>
      <w:r w:rsidR="00484109">
        <w:t>DipECVIM</w:t>
      </w:r>
      <w:proofErr w:type="spellEnd"/>
      <w:r w:rsidR="00484109">
        <w:t>-CA</w:t>
      </w:r>
      <w:r w:rsidRPr="008F52E1">
        <w:t>, V. Black</w:t>
      </w:r>
      <w:r w:rsidRPr="008F52E1">
        <w:rPr>
          <w:vertAlign w:val="superscript"/>
        </w:rPr>
        <w:t>4</w:t>
      </w:r>
      <w:r w:rsidRPr="008F52E1">
        <w:t xml:space="preserve">, N. Van Den </w:t>
      </w:r>
      <w:r w:rsidRPr="00971060">
        <w:t>Steen</w:t>
      </w:r>
      <w:r w:rsidRPr="00971060">
        <w:rPr>
          <w:vertAlign w:val="superscript"/>
        </w:rPr>
        <w:t>5</w:t>
      </w:r>
      <w:r w:rsidR="00971060">
        <w:t xml:space="preserve">CertSAM MSc </w:t>
      </w:r>
      <w:r w:rsidR="00971060" w:rsidRPr="00971060">
        <w:t>EBVS</w:t>
      </w:r>
      <w:r w:rsidR="00971060">
        <w:t xml:space="preserve"> </w:t>
      </w:r>
      <w:proofErr w:type="spellStart"/>
      <w:r w:rsidR="00971060">
        <w:t>DipECVIM</w:t>
      </w:r>
      <w:proofErr w:type="spellEnd"/>
      <w:r w:rsidR="00971060">
        <w:t>-CA</w:t>
      </w:r>
      <w:r w:rsidRPr="008F52E1">
        <w:t>, S. Warman</w:t>
      </w:r>
      <w:r w:rsidRPr="008F52E1">
        <w:rPr>
          <w:vertAlign w:val="superscript"/>
        </w:rPr>
        <w:t>4</w:t>
      </w:r>
      <w:r w:rsidR="00971060">
        <w:t xml:space="preserve">BSc BVMS DSAM </w:t>
      </w:r>
      <w:proofErr w:type="spellStart"/>
      <w:r w:rsidR="00971060">
        <w:t>DipECVIM</w:t>
      </w:r>
      <w:proofErr w:type="spellEnd"/>
      <w:r w:rsidR="00971060">
        <w:t xml:space="preserve">-CA </w:t>
      </w:r>
      <w:proofErr w:type="spellStart"/>
      <w:r w:rsidR="00971060">
        <w:t>PGCert</w:t>
      </w:r>
      <w:proofErr w:type="spellEnd"/>
      <w:r w:rsidR="00971060">
        <w:t>(HE) FHEA</w:t>
      </w:r>
      <w:r w:rsidRPr="008F52E1">
        <w:t>, I. Battersby</w:t>
      </w:r>
      <w:r w:rsidRPr="008F52E1">
        <w:rPr>
          <w:vertAlign w:val="superscript"/>
        </w:rPr>
        <w:t>2</w:t>
      </w:r>
      <w:r w:rsidR="00971060">
        <w:t xml:space="preserve">BVSc FRCVS DSAM </w:t>
      </w:r>
      <w:proofErr w:type="spellStart"/>
      <w:r w:rsidR="00971060">
        <w:t>DipECVIM</w:t>
      </w:r>
      <w:proofErr w:type="spellEnd"/>
      <w:r w:rsidRPr="008F52E1">
        <w:t>,</w:t>
      </w:r>
      <w:r>
        <w:t xml:space="preserve"> </w:t>
      </w:r>
      <w:r w:rsidR="00CE001E">
        <w:t>K. Murtagh</w:t>
      </w:r>
      <w:r w:rsidR="00CE21CF">
        <w:rPr>
          <w:vertAlign w:val="superscript"/>
        </w:rPr>
        <w:t>6</w:t>
      </w:r>
      <w:r w:rsidR="00035539">
        <w:t xml:space="preserve">MVB ECVIM-CA </w:t>
      </w:r>
      <w:proofErr w:type="spellStart"/>
      <w:r w:rsidR="00484109">
        <w:t>CertSAM</w:t>
      </w:r>
      <w:proofErr w:type="spellEnd"/>
      <w:r w:rsidR="00484109">
        <w:t xml:space="preserve"> EBVS</w:t>
      </w:r>
      <w:r w:rsidR="00CE001E">
        <w:t>, P. Silvestrini</w:t>
      </w:r>
      <w:r w:rsidR="00CE001E">
        <w:rPr>
          <w:vertAlign w:val="superscript"/>
        </w:rPr>
        <w:t>6</w:t>
      </w:r>
      <w:r w:rsidR="00484109">
        <w:t xml:space="preserve">DVM SPCAA MSc PhD FHEA </w:t>
      </w:r>
      <w:proofErr w:type="spellStart"/>
      <w:r w:rsidR="00484109">
        <w:t>DipECVIM</w:t>
      </w:r>
      <w:proofErr w:type="spellEnd"/>
      <w:r w:rsidR="00484109">
        <w:t>-CA EBVS</w:t>
      </w:r>
      <w:r w:rsidR="00CE001E">
        <w:t xml:space="preserve">, </w:t>
      </w:r>
      <w:r>
        <w:t>D. Batchelor</w:t>
      </w:r>
      <w:r>
        <w:rPr>
          <w:vertAlign w:val="superscript"/>
        </w:rPr>
        <w:t>6</w:t>
      </w:r>
      <w:r>
        <w:t xml:space="preserve"> </w:t>
      </w:r>
      <w:r w:rsidR="00484109">
        <w:t xml:space="preserve">BVSc PhD DSAM </w:t>
      </w:r>
      <w:proofErr w:type="spellStart"/>
      <w:r w:rsidR="00484109">
        <w:t>DipECVIM</w:t>
      </w:r>
      <w:proofErr w:type="spellEnd"/>
      <w:r w:rsidR="00484109">
        <w:t xml:space="preserve">-CA EBVS </w:t>
      </w:r>
      <w:r>
        <w:t>&amp;</w:t>
      </w:r>
      <w:r w:rsidRPr="008F52E1">
        <w:t xml:space="preserve"> S.</w:t>
      </w:r>
      <w:r>
        <w:t>W.</w:t>
      </w:r>
      <w:r w:rsidRPr="008F52E1">
        <w:t xml:space="preserve"> Tappin</w:t>
      </w:r>
      <w:r w:rsidRPr="008F52E1">
        <w:rPr>
          <w:vertAlign w:val="superscript"/>
        </w:rPr>
        <w:t>1</w:t>
      </w:r>
      <w:r w:rsidR="00035539">
        <w:t xml:space="preserve">VetMB </w:t>
      </w:r>
      <w:proofErr w:type="spellStart"/>
      <w:r w:rsidR="00035539">
        <w:t>DipECVIM</w:t>
      </w:r>
      <w:proofErr w:type="spellEnd"/>
      <w:r w:rsidR="00035539">
        <w:t xml:space="preserve">-CA </w:t>
      </w:r>
      <w:proofErr w:type="spellStart"/>
      <w:r w:rsidR="00035539">
        <w:t>CertSAM</w:t>
      </w:r>
      <w:proofErr w:type="spellEnd"/>
      <w:r w:rsidR="00035539">
        <w:t xml:space="preserve"> </w:t>
      </w:r>
    </w:p>
    <w:p w14:paraId="054C4075" w14:textId="77777777" w:rsidR="008F52E1" w:rsidRPr="008F52E1" w:rsidRDefault="008F52E1" w:rsidP="00B22A77">
      <w:pPr>
        <w:widowControl w:val="0"/>
        <w:pBdr>
          <w:top w:val="nil"/>
          <w:left w:val="nil"/>
          <w:bottom w:val="nil"/>
          <w:right w:val="nil"/>
          <w:between w:val="nil"/>
          <w:bar w:val="nil"/>
        </w:pBdr>
        <w:spacing w:line="480" w:lineRule="auto"/>
        <w:jc w:val="both"/>
        <w:rPr>
          <w:rFonts w:eastAsia="Tahoma"/>
          <w:color w:val="000000"/>
          <w:u w:color="000000"/>
          <w:bdr w:val="nil"/>
          <w:lang w:val="en-US" w:eastAsia="en-GB"/>
        </w:rPr>
      </w:pPr>
    </w:p>
    <w:p w14:paraId="5951826C" w14:textId="109C9B5F" w:rsidR="008F52E1" w:rsidRDefault="008F52E1" w:rsidP="00B22A77">
      <w:pPr>
        <w:widowControl w:val="0"/>
        <w:pBdr>
          <w:top w:val="nil"/>
          <w:left w:val="nil"/>
          <w:bottom w:val="nil"/>
          <w:right w:val="nil"/>
          <w:between w:val="nil"/>
          <w:bar w:val="nil"/>
        </w:pBdr>
        <w:spacing w:line="480" w:lineRule="auto"/>
        <w:jc w:val="both"/>
        <w:rPr>
          <w:rFonts w:eastAsia="Cambria"/>
          <w:color w:val="000000"/>
          <w:u w:color="000000"/>
          <w:bdr w:val="nil"/>
          <w:lang w:val="en-US" w:eastAsia="en-GB"/>
        </w:rPr>
      </w:pPr>
      <w:r w:rsidRPr="008F52E1">
        <w:rPr>
          <w:rFonts w:eastAsia="Cambria"/>
          <w:color w:val="000000"/>
          <w:u w:color="000000"/>
          <w:bdr w:val="nil"/>
          <w:vertAlign w:val="superscript"/>
          <w:lang w:val="en-US" w:eastAsia="en-GB"/>
        </w:rPr>
        <w:t>1</w:t>
      </w:r>
      <w:r w:rsidRPr="008F52E1">
        <w:rPr>
          <w:rFonts w:eastAsia="Cambria"/>
          <w:color w:val="000000"/>
          <w:u w:color="000000"/>
          <w:bdr w:val="nil"/>
          <w:lang w:val="en-US" w:eastAsia="en-GB"/>
        </w:rPr>
        <w:t xml:space="preserve"> Dick White Referrals, Station Farm, London Road, Six Mile Bottom, </w:t>
      </w:r>
      <w:proofErr w:type="spellStart"/>
      <w:r w:rsidRPr="008F52E1">
        <w:rPr>
          <w:rFonts w:eastAsia="Cambria"/>
          <w:color w:val="000000"/>
          <w:u w:color="000000"/>
          <w:bdr w:val="nil"/>
          <w:lang w:val="en-US" w:eastAsia="en-GB"/>
        </w:rPr>
        <w:t>Cambridgeshire</w:t>
      </w:r>
      <w:proofErr w:type="spellEnd"/>
      <w:r w:rsidRPr="008F52E1">
        <w:rPr>
          <w:rFonts w:eastAsia="Cambria"/>
          <w:color w:val="000000"/>
          <w:u w:color="000000"/>
          <w:bdr w:val="nil"/>
          <w:lang w:val="en-US" w:eastAsia="en-GB"/>
        </w:rPr>
        <w:t>, CB8 0UH, United Kingdom</w:t>
      </w:r>
    </w:p>
    <w:p w14:paraId="48A12D1C" w14:textId="77777777" w:rsidR="00B22A77" w:rsidRPr="008F52E1" w:rsidRDefault="00B22A77" w:rsidP="00B22A77">
      <w:pPr>
        <w:widowControl w:val="0"/>
        <w:pBdr>
          <w:top w:val="nil"/>
          <w:left w:val="nil"/>
          <w:bottom w:val="nil"/>
          <w:right w:val="nil"/>
          <w:between w:val="nil"/>
          <w:bar w:val="nil"/>
        </w:pBdr>
        <w:spacing w:line="480" w:lineRule="auto"/>
        <w:jc w:val="both"/>
        <w:rPr>
          <w:rFonts w:eastAsia="Tahoma"/>
          <w:color w:val="000000"/>
          <w:u w:color="000000"/>
          <w:bdr w:val="nil"/>
          <w:lang w:val="en-US" w:eastAsia="en-GB"/>
        </w:rPr>
      </w:pPr>
    </w:p>
    <w:p w14:paraId="178A295A" w14:textId="438DBDB6" w:rsidR="008F52E1" w:rsidRPr="008F52E1" w:rsidRDefault="008F52E1" w:rsidP="00B22A77">
      <w:pPr>
        <w:spacing w:line="480" w:lineRule="auto"/>
        <w:jc w:val="both"/>
      </w:pPr>
      <w:r w:rsidRPr="008F52E1">
        <w:rPr>
          <w:rFonts w:eastAsia="Cambria"/>
          <w:color w:val="000000"/>
          <w:u w:color="000000"/>
          <w:bdr w:val="nil"/>
          <w:vertAlign w:val="superscript"/>
          <w:lang w:val="en-US" w:eastAsia="en-GB"/>
        </w:rPr>
        <w:t>2</w:t>
      </w:r>
      <w:r w:rsidRPr="008F52E1">
        <w:rPr>
          <w:rFonts w:eastAsia="Cambria"/>
          <w:color w:val="000000"/>
          <w:u w:color="000000"/>
          <w:bdr w:val="nil"/>
          <w:lang w:val="en-US" w:eastAsia="en-GB"/>
        </w:rPr>
        <w:t xml:space="preserve"> </w:t>
      </w:r>
      <w:r w:rsidRPr="008F52E1">
        <w:t>Davies Veterinary Specialists, Manor Farm Business Park, Hitchin, Hertfordshire,</w:t>
      </w:r>
      <w:r>
        <w:t xml:space="preserve"> SG5 3HR</w:t>
      </w:r>
      <w:r w:rsidRPr="008F52E1">
        <w:t xml:space="preserve"> U</w:t>
      </w:r>
      <w:r>
        <w:t xml:space="preserve">nited </w:t>
      </w:r>
      <w:r w:rsidRPr="008F52E1">
        <w:t>K</w:t>
      </w:r>
      <w:r>
        <w:t xml:space="preserve">ingdom </w:t>
      </w:r>
    </w:p>
    <w:p w14:paraId="6A4C5606" w14:textId="77777777" w:rsidR="00B22A77" w:rsidRDefault="00B22A77" w:rsidP="00B22A77">
      <w:pPr>
        <w:spacing w:line="480" w:lineRule="auto"/>
        <w:jc w:val="both"/>
        <w:rPr>
          <w:vertAlign w:val="superscript"/>
        </w:rPr>
      </w:pPr>
    </w:p>
    <w:p w14:paraId="2A612FFF" w14:textId="2FB3D133" w:rsidR="008F52E1" w:rsidRPr="008F52E1" w:rsidRDefault="008F52E1" w:rsidP="00B22A77">
      <w:pPr>
        <w:spacing w:line="480" w:lineRule="auto"/>
        <w:jc w:val="both"/>
      </w:pPr>
      <w:r w:rsidRPr="008F52E1">
        <w:rPr>
          <w:vertAlign w:val="superscript"/>
        </w:rPr>
        <w:t xml:space="preserve">3 </w:t>
      </w:r>
      <w:r w:rsidRPr="008F52E1">
        <w:t>Anderson-</w:t>
      </w:r>
      <w:proofErr w:type="spellStart"/>
      <w:r w:rsidRPr="008F52E1">
        <w:t>Moores</w:t>
      </w:r>
      <w:proofErr w:type="spellEnd"/>
      <w:r w:rsidRPr="008F52E1">
        <w:t xml:space="preserve"> Veterinary Specialists, </w:t>
      </w:r>
      <w:proofErr w:type="spellStart"/>
      <w:r w:rsidRPr="008F52E1">
        <w:t>Bunstead</w:t>
      </w:r>
      <w:proofErr w:type="spellEnd"/>
      <w:r w:rsidRPr="008F52E1">
        <w:t xml:space="preserve"> Barns, Poles Lane, </w:t>
      </w:r>
      <w:proofErr w:type="spellStart"/>
      <w:r w:rsidRPr="008F52E1">
        <w:t>Hursley</w:t>
      </w:r>
      <w:proofErr w:type="spellEnd"/>
      <w:r w:rsidRPr="008F52E1">
        <w:t>, Winchester,</w:t>
      </w:r>
      <w:r>
        <w:t xml:space="preserve"> SO21 2LL</w:t>
      </w:r>
      <w:r w:rsidRPr="008F52E1">
        <w:t xml:space="preserve"> U</w:t>
      </w:r>
      <w:r>
        <w:t xml:space="preserve">nited </w:t>
      </w:r>
      <w:r w:rsidRPr="008F52E1">
        <w:t>K</w:t>
      </w:r>
      <w:r>
        <w:t xml:space="preserve">ingdom </w:t>
      </w:r>
    </w:p>
    <w:p w14:paraId="0D8D0FA1" w14:textId="77777777" w:rsidR="00B22A77" w:rsidRDefault="00B22A77" w:rsidP="00B22A77">
      <w:pPr>
        <w:spacing w:line="480" w:lineRule="auto"/>
        <w:jc w:val="both"/>
        <w:rPr>
          <w:vertAlign w:val="superscript"/>
        </w:rPr>
      </w:pPr>
    </w:p>
    <w:p w14:paraId="6D7B1C5B" w14:textId="206D6274" w:rsidR="008F52E1" w:rsidRPr="008F52E1" w:rsidRDefault="008F52E1" w:rsidP="00B22A77">
      <w:pPr>
        <w:spacing w:line="480" w:lineRule="auto"/>
        <w:jc w:val="both"/>
      </w:pPr>
      <w:r w:rsidRPr="008F52E1">
        <w:rPr>
          <w:vertAlign w:val="superscript"/>
        </w:rPr>
        <w:t>4</w:t>
      </w:r>
      <w:r>
        <w:rPr>
          <w:vertAlign w:val="superscript"/>
        </w:rPr>
        <w:t xml:space="preserve"> </w:t>
      </w:r>
      <w:r w:rsidRPr="008F52E1">
        <w:t xml:space="preserve">Langford Veterinary Service, University of Bristol, Langford House, Bristol, </w:t>
      </w:r>
      <w:r>
        <w:t xml:space="preserve">BS40 5DU </w:t>
      </w:r>
      <w:r w:rsidRPr="008F52E1">
        <w:t>U</w:t>
      </w:r>
      <w:r>
        <w:t xml:space="preserve">nited </w:t>
      </w:r>
      <w:r w:rsidRPr="008F52E1">
        <w:t>K</w:t>
      </w:r>
      <w:r>
        <w:t>ingdom</w:t>
      </w:r>
    </w:p>
    <w:p w14:paraId="779D5918" w14:textId="77777777" w:rsidR="00B22A77" w:rsidRDefault="00B22A77" w:rsidP="00B22A77">
      <w:pPr>
        <w:spacing w:line="480" w:lineRule="auto"/>
        <w:jc w:val="both"/>
        <w:rPr>
          <w:vertAlign w:val="superscript"/>
        </w:rPr>
      </w:pPr>
    </w:p>
    <w:p w14:paraId="26FBBD48" w14:textId="6DDC4929" w:rsidR="008F52E1" w:rsidRPr="008F52E1" w:rsidRDefault="008F52E1" w:rsidP="00B22A77">
      <w:pPr>
        <w:spacing w:line="480" w:lineRule="auto"/>
        <w:jc w:val="both"/>
      </w:pPr>
      <w:r w:rsidRPr="008F52E1">
        <w:rPr>
          <w:vertAlign w:val="superscript"/>
        </w:rPr>
        <w:t xml:space="preserve">5 </w:t>
      </w:r>
      <w:r w:rsidRPr="008F52E1">
        <w:t xml:space="preserve">Cave Veterinary Specialists, George’s Farm, West Buckland, Wellington, </w:t>
      </w:r>
      <w:r w:rsidR="003175D6">
        <w:t xml:space="preserve">TA21 9LE </w:t>
      </w:r>
      <w:r w:rsidRPr="008F52E1">
        <w:t>U</w:t>
      </w:r>
      <w:r>
        <w:t xml:space="preserve">nited </w:t>
      </w:r>
      <w:r w:rsidRPr="008F52E1">
        <w:t>K</w:t>
      </w:r>
      <w:r>
        <w:t>ingdom</w:t>
      </w:r>
    </w:p>
    <w:p w14:paraId="6A6FE41A" w14:textId="77777777" w:rsidR="00B22A77" w:rsidRDefault="00B22A77" w:rsidP="00B22A77">
      <w:pPr>
        <w:widowControl w:val="0"/>
        <w:pBdr>
          <w:top w:val="nil"/>
          <w:left w:val="nil"/>
          <w:bottom w:val="nil"/>
          <w:right w:val="nil"/>
          <w:between w:val="nil"/>
          <w:bar w:val="nil"/>
        </w:pBdr>
        <w:spacing w:line="480" w:lineRule="auto"/>
        <w:jc w:val="both"/>
        <w:rPr>
          <w:rFonts w:eastAsia="Tahoma"/>
          <w:color w:val="000000"/>
          <w:u w:color="000000"/>
          <w:bdr w:val="nil"/>
          <w:vertAlign w:val="superscript"/>
          <w:lang w:val="en-US" w:eastAsia="en-GB"/>
        </w:rPr>
      </w:pPr>
    </w:p>
    <w:p w14:paraId="1243C68C" w14:textId="0209F0DB" w:rsidR="008F52E1" w:rsidRDefault="008F52E1" w:rsidP="00B22A77">
      <w:pPr>
        <w:widowControl w:val="0"/>
        <w:pBdr>
          <w:top w:val="nil"/>
          <w:left w:val="nil"/>
          <w:bottom w:val="nil"/>
          <w:right w:val="nil"/>
          <w:between w:val="nil"/>
          <w:bar w:val="nil"/>
        </w:pBdr>
        <w:spacing w:line="480" w:lineRule="auto"/>
        <w:jc w:val="both"/>
        <w:rPr>
          <w:rFonts w:eastAsia="Tahoma"/>
          <w:color w:val="000000"/>
          <w:u w:color="000000"/>
          <w:bdr w:val="nil"/>
          <w:lang w:val="en-US" w:eastAsia="en-GB"/>
        </w:rPr>
      </w:pPr>
      <w:r w:rsidRPr="008F52E1">
        <w:rPr>
          <w:rFonts w:eastAsia="Tahoma"/>
          <w:color w:val="000000"/>
          <w:u w:color="000000"/>
          <w:bdr w:val="nil"/>
          <w:vertAlign w:val="superscript"/>
          <w:lang w:val="en-US" w:eastAsia="en-GB"/>
        </w:rPr>
        <w:lastRenderedPageBreak/>
        <w:t>6</w:t>
      </w:r>
      <w:r w:rsidR="003175D6">
        <w:rPr>
          <w:rFonts w:eastAsia="Tahoma"/>
          <w:color w:val="000000"/>
          <w:u w:color="000000"/>
          <w:bdr w:val="nil"/>
          <w:lang w:val="en-US" w:eastAsia="en-GB"/>
        </w:rPr>
        <w:t xml:space="preserve"> Small Animal Teaching Hospital, University of Liverpool, </w:t>
      </w:r>
      <w:proofErr w:type="spellStart"/>
      <w:r w:rsidR="003175D6">
        <w:rPr>
          <w:rFonts w:eastAsia="Tahoma"/>
          <w:color w:val="000000"/>
          <w:u w:color="000000"/>
          <w:bdr w:val="nil"/>
          <w:lang w:val="en-US" w:eastAsia="en-GB"/>
        </w:rPr>
        <w:t>Leahurst</w:t>
      </w:r>
      <w:proofErr w:type="spellEnd"/>
      <w:r w:rsidR="003175D6">
        <w:rPr>
          <w:rFonts w:eastAsia="Tahoma"/>
          <w:color w:val="000000"/>
          <w:u w:color="000000"/>
          <w:bdr w:val="nil"/>
          <w:lang w:val="en-US" w:eastAsia="en-GB"/>
        </w:rPr>
        <w:t xml:space="preserve"> Campus, Chester High Road, </w:t>
      </w:r>
      <w:proofErr w:type="spellStart"/>
      <w:r w:rsidR="003175D6">
        <w:rPr>
          <w:rFonts w:eastAsia="Tahoma"/>
          <w:color w:val="000000"/>
          <w:u w:color="000000"/>
          <w:bdr w:val="nil"/>
          <w:lang w:val="en-US" w:eastAsia="en-GB"/>
        </w:rPr>
        <w:t>Neston</w:t>
      </w:r>
      <w:proofErr w:type="spellEnd"/>
      <w:r w:rsidR="003175D6">
        <w:rPr>
          <w:rFonts w:eastAsia="Tahoma"/>
          <w:color w:val="000000"/>
          <w:u w:color="000000"/>
          <w:bdr w:val="nil"/>
          <w:lang w:val="en-US" w:eastAsia="en-GB"/>
        </w:rPr>
        <w:t xml:space="preserve">, </w:t>
      </w:r>
      <w:proofErr w:type="spellStart"/>
      <w:r w:rsidR="003175D6">
        <w:rPr>
          <w:rFonts w:eastAsia="Tahoma"/>
          <w:color w:val="000000"/>
          <w:u w:color="000000"/>
          <w:bdr w:val="nil"/>
          <w:lang w:val="en-US" w:eastAsia="en-GB"/>
        </w:rPr>
        <w:t>Wirral</w:t>
      </w:r>
      <w:proofErr w:type="spellEnd"/>
      <w:r w:rsidR="003175D6">
        <w:rPr>
          <w:rFonts w:eastAsia="Tahoma"/>
          <w:color w:val="000000"/>
          <w:u w:color="000000"/>
          <w:bdr w:val="nil"/>
          <w:lang w:val="en-US" w:eastAsia="en-GB"/>
        </w:rPr>
        <w:t xml:space="preserve">, </w:t>
      </w:r>
      <w:r w:rsidR="003175D6" w:rsidRPr="003175D6">
        <w:rPr>
          <w:rFonts w:eastAsia="Tahoma"/>
          <w:color w:val="000000"/>
          <w:u w:color="000000"/>
          <w:bdr w:val="nil"/>
          <w:lang w:val="en-US" w:eastAsia="en-GB"/>
        </w:rPr>
        <w:t>CH64 7TE</w:t>
      </w:r>
      <w:r w:rsidR="003175D6">
        <w:rPr>
          <w:rFonts w:eastAsia="Tahoma"/>
          <w:color w:val="000000"/>
          <w:u w:color="000000"/>
          <w:bdr w:val="nil"/>
          <w:lang w:val="en-US" w:eastAsia="en-GB"/>
        </w:rPr>
        <w:t xml:space="preserve"> United Kingdom </w:t>
      </w:r>
    </w:p>
    <w:p w14:paraId="4D24B0F1" w14:textId="63907F34" w:rsidR="008F52E1" w:rsidRDefault="008F52E1" w:rsidP="00B22A77">
      <w:pPr>
        <w:widowControl w:val="0"/>
        <w:pBdr>
          <w:top w:val="nil"/>
          <w:left w:val="nil"/>
          <w:bottom w:val="nil"/>
          <w:right w:val="nil"/>
          <w:between w:val="nil"/>
          <w:bar w:val="nil"/>
        </w:pBdr>
        <w:spacing w:line="480" w:lineRule="auto"/>
        <w:jc w:val="both"/>
        <w:rPr>
          <w:rFonts w:eastAsia="Cambria"/>
          <w:color w:val="000000"/>
          <w:u w:color="000000"/>
          <w:bdr w:val="nil"/>
          <w:lang w:val="en-US" w:eastAsia="en-GB"/>
        </w:rPr>
      </w:pPr>
      <w:r w:rsidRPr="008F52E1">
        <w:rPr>
          <w:rFonts w:eastAsia="Cambria"/>
          <w:color w:val="000000"/>
          <w:u w:color="000000"/>
          <w:bdr w:val="nil"/>
          <w:lang w:val="en-US" w:eastAsia="en-GB"/>
        </w:rPr>
        <w:t> </w:t>
      </w:r>
    </w:p>
    <w:p w14:paraId="4A7CB0E2" w14:textId="025D0FED" w:rsidR="006464B4" w:rsidRPr="009461F1" w:rsidRDefault="008F52E1" w:rsidP="00B22A77">
      <w:pPr>
        <w:widowControl w:val="0"/>
        <w:pBdr>
          <w:top w:val="nil"/>
          <w:left w:val="nil"/>
          <w:bottom w:val="nil"/>
          <w:right w:val="nil"/>
          <w:between w:val="nil"/>
          <w:bar w:val="nil"/>
        </w:pBdr>
        <w:spacing w:line="480" w:lineRule="auto"/>
        <w:jc w:val="both"/>
        <w:rPr>
          <w:rFonts w:eastAsia="Cambria"/>
          <w:color w:val="000000"/>
          <w:u w:color="000000"/>
          <w:bdr w:val="nil"/>
          <w:lang w:val="en-US" w:eastAsia="en-GB"/>
        </w:rPr>
      </w:pPr>
      <w:r w:rsidRPr="008F52E1">
        <w:rPr>
          <w:rFonts w:eastAsia="Cambria"/>
          <w:b/>
          <w:bCs/>
          <w:color w:val="000000"/>
          <w:u w:color="000000"/>
          <w:bdr w:val="nil"/>
          <w:lang w:val="en-US" w:eastAsia="en-GB"/>
        </w:rPr>
        <w:t>Abbreviations used:</w:t>
      </w:r>
      <w:r w:rsidRPr="008F52E1">
        <w:rPr>
          <w:rFonts w:eastAsia="Cambria"/>
          <w:color w:val="000000"/>
          <w:u w:color="000000"/>
          <w:bdr w:val="nil"/>
          <w:lang w:val="en-US" w:eastAsia="en-GB"/>
        </w:rPr>
        <w:t xml:space="preserve"> </w:t>
      </w:r>
    </w:p>
    <w:p w14:paraId="4E030A71" w14:textId="57EE3BB8" w:rsidR="00467788" w:rsidRDefault="00467788" w:rsidP="006464B4">
      <w:pPr>
        <w:widowControl w:val="0"/>
        <w:pBdr>
          <w:top w:val="nil"/>
          <w:left w:val="nil"/>
          <w:bottom w:val="nil"/>
          <w:right w:val="nil"/>
          <w:between w:val="nil"/>
          <w:bar w:val="nil"/>
        </w:pBdr>
        <w:spacing w:line="480" w:lineRule="auto"/>
        <w:jc w:val="both"/>
      </w:pPr>
      <w:r>
        <w:t>ALP: alkaline phosphatase</w:t>
      </w:r>
    </w:p>
    <w:p w14:paraId="45E4B6CD" w14:textId="77777777" w:rsidR="006464B4" w:rsidRDefault="006464B4" w:rsidP="006464B4">
      <w:pPr>
        <w:widowControl w:val="0"/>
        <w:pBdr>
          <w:top w:val="nil"/>
          <w:left w:val="nil"/>
          <w:bottom w:val="nil"/>
          <w:right w:val="nil"/>
          <w:between w:val="nil"/>
          <w:bar w:val="nil"/>
        </w:pBdr>
        <w:spacing w:line="480" w:lineRule="auto"/>
        <w:jc w:val="both"/>
      </w:pPr>
      <w:r>
        <w:t>CSSRL: canine steroid-responsive lymphadenitis</w:t>
      </w:r>
    </w:p>
    <w:p w14:paraId="5A426A13" w14:textId="62DD438E" w:rsidR="008E154F" w:rsidRDefault="008E154F" w:rsidP="006464B4">
      <w:pPr>
        <w:widowControl w:val="0"/>
        <w:pBdr>
          <w:top w:val="nil"/>
          <w:left w:val="nil"/>
          <w:bottom w:val="nil"/>
          <w:right w:val="nil"/>
          <w:between w:val="nil"/>
          <w:bar w:val="nil"/>
        </w:pBdr>
        <w:spacing w:line="480" w:lineRule="auto"/>
        <w:jc w:val="both"/>
      </w:pPr>
      <w:r>
        <w:t>CRP: C-reactive protein</w:t>
      </w:r>
    </w:p>
    <w:p w14:paraId="18BDD2D9" w14:textId="77777777" w:rsidR="006464B4" w:rsidRDefault="006464B4" w:rsidP="006464B4">
      <w:pPr>
        <w:widowControl w:val="0"/>
        <w:pBdr>
          <w:top w:val="nil"/>
          <w:left w:val="nil"/>
          <w:bottom w:val="nil"/>
          <w:right w:val="nil"/>
          <w:between w:val="nil"/>
          <w:bar w:val="nil"/>
        </w:pBdr>
        <w:spacing w:line="480" w:lineRule="auto"/>
        <w:jc w:val="both"/>
        <w:rPr>
          <w:rFonts w:eastAsia="Tahoma"/>
          <w:color w:val="000000"/>
          <w:u w:color="000000"/>
          <w:bdr w:val="nil"/>
          <w:lang w:val="en-US" w:eastAsia="en-GB"/>
        </w:rPr>
      </w:pPr>
      <w:r>
        <w:rPr>
          <w:rFonts w:eastAsia="Tahoma"/>
          <w:color w:val="000000"/>
          <w:u w:color="000000"/>
          <w:bdr w:val="nil"/>
          <w:lang w:val="en-US" w:eastAsia="en-GB"/>
        </w:rPr>
        <w:t>CT: computed tomography</w:t>
      </w:r>
    </w:p>
    <w:p w14:paraId="113D60BE" w14:textId="7345FE55" w:rsidR="00237495" w:rsidRDefault="00237495" w:rsidP="006464B4">
      <w:pPr>
        <w:widowControl w:val="0"/>
        <w:pBdr>
          <w:top w:val="nil"/>
          <w:left w:val="nil"/>
          <w:bottom w:val="nil"/>
          <w:right w:val="nil"/>
          <w:between w:val="nil"/>
          <w:bar w:val="nil"/>
        </w:pBdr>
        <w:spacing w:line="480" w:lineRule="auto"/>
        <w:jc w:val="both"/>
        <w:rPr>
          <w:rFonts w:eastAsia="Tahoma"/>
          <w:color w:val="000000"/>
          <w:u w:color="000000"/>
          <w:bdr w:val="nil"/>
          <w:lang w:val="en-US" w:eastAsia="en-GB"/>
        </w:rPr>
      </w:pPr>
      <w:r>
        <w:rPr>
          <w:rFonts w:eastAsia="Tahoma"/>
          <w:color w:val="000000"/>
          <w:u w:color="000000"/>
          <w:bdr w:val="nil"/>
          <w:lang w:val="en-US" w:eastAsia="en-GB"/>
        </w:rPr>
        <w:t>FNAs: fine needle aspirates</w:t>
      </w:r>
    </w:p>
    <w:p w14:paraId="06B02291" w14:textId="16CCB1DF" w:rsidR="008C2AF3" w:rsidRDefault="008C2AF3" w:rsidP="00B22A77">
      <w:pPr>
        <w:widowControl w:val="0"/>
        <w:pBdr>
          <w:top w:val="nil"/>
          <w:left w:val="nil"/>
          <w:bottom w:val="nil"/>
          <w:right w:val="nil"/>
          <w:between w:val="nil"/>
          <w:bar w:val="nil"/>
        </w:pBdr>
        <w:spacing w:line="480" w:lineRule="auto"/>
        <w:jc w:val="both"/>
        <w:rPr>
          <w:rFonts w:eastAsia="Tahoma"/>
          <w:color w:val="000000"/>
          <w:u w:color="000000"/>
          <w:bdr w:val="nil"/>
          <w:lang w:val="en-US" w:eastAsia="en-GB"/>
        </w:rPr>
      </w:pPr>
      <w:r>
        <w:rPr>
          <w:rFonts w:eastAsia="Tahoma"/>
          <w:color w:val="000000"/>
          <w:u w:color="000000"/>
          <w:bdr w:val="nil"/>
          <w:lang w:val="en-US" w:eastAsia="en-GB"/>
        </w:rPr>
        <w:t>FNAC: Fine needle aspiration cytology</w:t>
      </w:r>
    </w:p>
    <w:p w14:paraId="7819F4AE" w14:textId="0C188CF2" w:rsidR="008C2AF3" w:rsidRDefault="008C2AF3" w:rsidP="00B22A77">
      <w:pPr>
        <w:widowControl w:val="0"/>
        <w:pBdr>
          <w:top w:val="nil"/>
          <w:left w:val="nil"/>
          <w:bottom w:val="nil"/>
          <w:right w:val="nil"/>
          <w:between w:val="nil"/>
          <w:bar w:val="nil"/>
        </w:pBdr>
        <w:spacing w:line="480" w:lineRule="auto"/>
        <w:jc w:val="both"/>
        <w:rPr>
          <w:rFonts w:eastAsia="Tahoma"/>
          <w:color w:val="000000"/>
          <w:u w:color="000000"/>
          <w:bdr w:val="nil"/>
          <w:lang w:val="en-US" w:eastAsia="en-GB"/>
        </w:rPr>
      </w:pPr>
      <w:r>
        <w:rPr>
          <w:rFonts w:eastAsia="Tahoma"/>
          <w:color w:val="000000"/>
          <w:u w:color="000000"/>
          <w:bdr w:val="nil"/>
          <w:lang w:val="en-US" w:eastAsia="en-GB"/>
        </w:rPr>
        <w:t>FUO: fever of unknown origin</w:t>
      </w:r>
    </w:p>
    <w:p w14:paraId="4A127A86" w14:textId="19267C13" w:rsidR="00D7632D" w:rsidRDefault="00D7632D" w:rsidP="00B22A77">
      <w:pPr>
        <w:widowControl w:val="0"/>
        <w:pBdr>
          <w:top w:val="nil"/>
          <w:left w:val="nil"/>
          <w:bottom w:val="nil"/>
          <w:right w:val="nil"/>
          <w:between w:val="nil"/>
          <w:bar w:val="nil"/>
        </w:pBdr>
        <w:spacing w:line="480" w:lineRule="auto"/>
        <w:jc w:val="both"/>
        <w:rPr>
          <w:rFonts w:eastAsia="Tahoma"/>
          <w:color w:val="000000"/>
          <w:u w:color="000000"/>
          <w:bdr w:val="nil"/>
          <w:lang w:val="en-US" w:eastAsia="en-GB"/>
        </w:rPr>
      </w:pPr>
      <w:r>
        <w:rPr>
          <w:rFonts w:eastAsia="Tahoma"/>
          <w:color w:val="000000"/>
          <w:u w:color="000000"/>
          <w:bdr w:val="nil"/>
          <w:lang w:val="en-US" w:eastAsia="en-GB"/>
        </w:rPr>
        <w:t xml:space="preserve">IMHA: immune mediated </w:t>
      </w:r>
      <w:proofErr w:type="spellStart"/>
      <w:r>
        <w:rPr>
          <w:rFonts w:eastAsia="Tahoma"/>
          <w:color w:val="000000"/>
          <w:u w:color="000000"/>
          <w:bdr w:val="nil"/>
          <w:lang w:val="en-US" w:eastAsia="en-GB"/>
        </w:rPr>
        <w:t>haemolytic</w:t>
      </w:r>
      <w:proofErr w:type="spellEnd"/>
      <w:r>
        <w:rPr>
          <w:rFonts w:eastAsia="Tahoma"/>
          <w:color w:val="000000"/>
          <w:u w:color="000000"/>
          <w:bdr w:val="nil"/>
          <w:lang w:val="en-US" w:eastAsia="en-GB"/>
        </w:rPr>
        <w:t xml:space="preserve"> </w:t>
      </w:r>
      <w:proofErr w:type="spellStart"/>
      <w:r>
        <w:rPr>
          <w:rFonts w:eastAsia="Tahoma"/>
          <w:color w:val="000000"/>
          <w:u w:color="000000"/>
          <w:bdr w:val="nil"/>
          <w:lang w:val="en-US" w:eastAsia="en-GB"/>
        </w:rPr>
        <w:t>anaemia</w:t>
      </w:r>
      <w:proofErr w:type="spellEnd"/>
    </w:p>
    <w:p w14:paraId="43F43494" w14:textId="3F3B5894" w:rsidR="00F346DF" w:rsidRDefault="00F346DF" w:rsidP="00B22A77">
      <w:pPr>
        <w:widowControl w:val="0"/>
        <w:pBdr>
          <w:top w:val="nil"/>
          <w:left w:val="nil"/>
          <w:bottom w:val="nil"/>
          <w:right w:val="nil"/>
          <w:between w:val="nil"/>
          <w:bar w:val="nil"/>
        </w:pBdr>
        <w:spacing w:line="480" w:lineRule="auto"/>
        <w:jc w:val="both"/>
        <w:rPr>
          <w:rFonts w:eastAsia="Tahoma"/>
          <w:color w:val="000000"/>
          <w:u w:color="000000"/>
          <w:bdr w:val="nil"/>
          <w:lang w:val="en-US" w:eastAsia="en-GB"/>
        </w:rPr>
      </w:pPr>
      <w:r>
        <w:rPr>
          <w:rFonts w:eastAsia="Tahoma"/>
          <w:color w:val="000000"/>
          <w:u w:color="000000"/>
          <w:bdr w:val="nil"/>
          <w:lang w:val="en-US" w:eastAsia="en-GB"/>
        </w:rPr>
        <w:t>IMPA: immune mediated polyarthritis</w:t>
      </w:r>
    </w:p>
    <w:p w14:paraId="0D65E59D" w14:textId="5F8DAAA2" w:rsidR="00D7632D" w:rsidRDefault="00D7632D" w:rsidP="00B22A77">
      <w:pPr>
        <w:widowControl w:val="0"/>
        <w:pBdr>
          <w:top w:val="nil"/>
          <w:left w:val="nil"/>
          <w:bottom w:val="nil"/>
          <w:right w:val="nil"/>
          <w:between w:val="nil"/>
          <w:bar w:val="nil"/>
        </w:pBdr>
        <w:spacing w:line="480" w:lineRule="auto"/>
        <w:jc w:val="both"/>
        <w:rPr>
          <w:rFonts w:eastAsia="Tahoma"/>
          <w:color w:val="000000"/>
          <w:u w:color="000000"/>
          <w:bdr w:val="nil"/>
          <w:lang w:val="en-US" w:eastAsia="en-GB"/>
        </w:rPr>
      </w:pPr>
      <w:r>
        <w:rPr>
          <w:rFonts w:eastAsia="Tahoma"/>
          <w:color w:val="000000"/>
          <w:u w:color="000000"/>
          <w:bdr w:val="nil"/>
          <w:lang w:val="en-US" w:eastAsia="en-GB"/>
        </w:rPr>
        <w:t>ITP: immune mediated thrombocytopenia</w:t>
      </w:r>
    </w:p>
    <w:p w14:paraId="5D8B5EF3" w14:textId="34E25DE9" w:rsidR="008C2AF3" w:rsidRDefault="008C2AF3" w:rsidP="00B22A77">
      <w:pPr>
        <w:widowControl w:val="0"/>
        <w:pBdr>
          <w:top w:val="nil"/>
          <w:left w:val="nil"/>
          <w:bottom w:val="nil"/>
          <w:right w:val="nil"/>
          <w:between w:val="nil"/>
          <w:bar w:val="nil"/>
        </w:pBdr>
        <w:spacing w:line="480" w:lineRule="auto"/>
        <w:jc w:val="both"/>
        <w:rPr>
          <w:rFonts w:eastAsia="Tahoma"/>
          <w:color w:val="000000"/>
          <w:u w:color="000000"/>
          <w:bdr w:val="nil"/>
          <w:lang w:val="en-US" w:eastAsia="en-GB"/>
        </w:rPr>
      </w:pPr>
      <w:r>
        <w:rPr>
          <w:rFonts w:eastAsia="Tahoma"/>
          <w:color w:val="000000"/>
          <w:u w:color="000000"/>
          <w:bdr w:val="nil"/>
          <w:lang w:val="en-US" w:eastAsia="en-GB"/>
        </w:rPr>
        <w:t>MRI: magnetic resonance imaging</w:t>
      </w:r>
    </w:p>
    <w:p w14:paraId="7CA77FB6" w14:textId="77777777" w:rsidR="006464B4" w:rsidRDefault="006464B4" w:rsidP="006464B4">
      <w:pPr>
        <w:widowControl w:val="0"/>
        <w:pBdr>
          <w:top w:val="nil"/>
          <w:left w:val="nil"/>
          <w:bottom w:val="nil"/>
          <w:right w:val="nil"/>
          <w:between w:val="nil"/>
          <w:bar w:val="nil"/>
        </w:pBdr>
        <w:spacing w:line="480" w:lineRule="auto"/>
        <w:jc w:val="both"/>
      </w:pPr>
      <w:r>
        <w:t>NSAIDs: Non-steroidal anti-inflammatories</w:t>
      </w:r>
    </w:p>
    <w:p w14:paraId="78BDC24E" w14:textId="2ACF4F2A" w:rsidR="008C2AF3" w:rsidRDefault="008C2AF3" w:rsidP="00B22A77">
      <w:pPr>
        <w:widowControl w:val="0"/>
        <w:pBdr>
          <w:top w:val="nil"/>
          <w:left w:val="nil"/>
          <w:bottom w:val="nil"/>
          <w:right w:val="nil"/>
          <w:between w:val="nil"/>
          <w:bar w:val="nil"/>
        </w:pBdr>
        <w:spacing w:line="480" w:lineRule="auto"/>
        <w:jc w:val="both"/>
      </w:pPr>
      <w:r>
        <w:t>PAS: periodic acid Schiff</w:t>
      </w:r>
    </w:p>
    <w:p w14:paraId="29B54971" w14:textId="6BC96599" w:rsidR="008C2AF3" w:rsidRDefault="008C2AF3" w:rsidP="00B22A77">
      <w:pPr>
        <w:widowControl w:val="0"/>
        <w:pBdr>
          <w:top w:val="nil"/>
          <w:left w:val="nil"/>
          <w:bottom w:val="nil"/>
          <w:right w:val="nil"/>
          <w:between w:val="nil"/>
          <w:bar w:val="nil"/>
        </w:pBdr>
        <w:spacing w:line="480" w:lineRule="auto"/>
        <w:jc w:val="both"/>
      </w:pPr>
      <w:r>
        <w:t>PCR: polymerase chain reaction</w:t>
      </w:r>
    </w:p>
    <w:p w14:paraId="60B5C340" w14:textId="2B8B7119" w:rsidR="008C2AF3" w:rsidRDefault="008C2AF3" w:rsidP="00B22A77">
      <w:pPr>
        <w:widowControl w:val="0"/>
        <w:pBdr>
          <w:top w:val="nil"/>
          <w:left w:val="nil"/>
          <w:bottom w:val="nil"/>
          <w:right w:val="nil"/>
          <w:between w:val="nil"/>
          <w:bar w:val="nil"/>
        </w:pBdr>
        <w:spacing w:line="480" w:lineRule="auto"/>
        <w:jc w:val="both"/>
      </w:pPr>
      <w:r>
        <w:t>TTR: time to referral</w:t>
      </w:r>
    </w:p>
    <w:p w14:paraId="49499001" w14:textId="3749C65E" w:rsidR="006464B4" w:rsidRDefault="006464B4" w:rsidP="00B22A77">
      <w:pPr>
        <w:widowControl w:val="0"/>
        <w:pBdr>
          <w:top w:val="nil"/>
          <w:left w:val="nil"/>
          <w:bottom w:val="nil"/>
          <w:right w:val="nil"/>
          <w:between w:val="nil"/>
          <w:bar w:val="nil"/>
        </w:pBdr>
        <w:spacing w:line="480" w:lineRule="auto"/>
        <w:jc w:val="both"/>
        <w:rPr>
          <w:rFonts w:eastAsia="Tahoma"/>
          <w:color w:val="000000"/>
          <w:u w:color="000000"/>
          <w:bdr w:val="nil"/>
          <w:lang w:val="en-US" w:eastAsia="en-GB"/>
        </w:rPr>
      </w:pPr>
      <w:r>
        <w:t>UK: United Kingdom</w:t>
      </w:r>
    </w:p>
    <w:p w14:paraId="399C1BC6" w14:textId="77777777" w:rsidR="008C2AF3" w:rsidRPr="008F52E1" w:rsidRDefault="008C2AF3" w:rsidP="00B22A77">
      <w:pPr>
        <w:widowControl w:val="0"/>
        <w:pBdr>
          <w:top w:val="nil"/>
          <w:left w:val="nil"/>
          <w:bottom w:val="nil"/>
          <w:right w:val="nil"/>
          <w:between w:val="nil"/>
          <w:bar w:val="nil"/>
        </w:pBdr>
        <w:spacing w:line="480" w:lineRule="auto"/>
        <w:jc w:val="both"/>
        <w:rPr>
          <w:rFonts w:eastAsia="Tahoma"/>
          <w:color w:val="000000"/>
          <w:u w:color="000000"/>
          <w:bdr w:val="nil"/>
          <w:lang w:val="en-US" w:eastAsia="en-GB"/>
        </w:rPr>
      </w:pPr>
    </w:p>
    <w:p w14:paraId="36CC8A55" w14:textId="77777777" w:rsidR="008F52E1" w:rsidRPr="008F52E1" w:rsidRDefault="008F52E1" w:rsidP="00B22A77">
      <w:pPr>
        <w:widowControl w:val="0"/>
        <w:pBdr>
          <w:top w:val="nil"/>
          <w:left w:val="nil"/>
          <w:bottom w:val="nil"/>
          <w:right w:val="nil"/>
          <w:between w:val="nil"/>
          <w:bar w:val="nil"/>
        </w:pBdr>
        <w:spacing w:line="480" w:lineRule="auto"/>
        <w:jc w:val="both"/>
        <w:rPr>
          <w:rFonts w:eastAsia="Tahoma"/>
          <w:color w:val="000000"/>
          <w:u w:color="000000"/>
          <w:bdr w:val="nil"/>
          <w:lang w:val="en-US" w:eastAsia="en-GB"/>
        </w:rPr>
      </w:pPr>
    </w:p>
    <w:p w14:paraId="5FE3A10A" w14:textId="78749684" w:rsidR="008F52E1" w:rsidRPr="008F52E1" w:rsidRDefault="008F52E1" w:rsidP="00B22A77">
      <w:pPr>
        <w:widowControl w:val="0"/>
        <w:pBdr>
          <w:top w:val="nil"/>
          <w:left w:val="nil"/>
          <w:bottom w:val="nil"/>
          <w:right w:val="nil"/>
          <w:between w:val="nil"/>
          <w:bar w:val="nil"/>
        </w:pBdr>
        <w:spacing w:line="480" w:lineRule="auto"/>
        <w:jc w:val="both"/>
        <w:rPr>
          <w:rFonts w:eastAsia="Tahoma"/>
          <w:color w:val="000000"/>
          <w:u w:color="000000"/>
          <w:bdr w:val="nil"/>
          <w:lang w:val="en-US" w:eastAsia="en-GB"/>
        </w:rPr>
      </w:pPr>
      <w:r w:rsidRPr="008F52E1">
        <w:rPr>
          <w:rFonts w:eastAsia="Cambria"/>
          <w:b/>
          <w:bCs/>
          <w:color w:val="000000"/>
          <w:u w:color="000000"/>
          <w:bdr w:val="nil"/>
          <w:lang w:val="en-US" w:eastAsia="en-GB"/>
        </w:rPr>
        <w:t>Corresponding author:</w:t>
      </w:r>
      <w:r>
        <w:rPr>
          <w:rFonts w:eastAsia="Cambria"/>
          <w:color w:val="000000"/>
          <w:u w:color="000000"/>
          <w:bdr w:val="nil"/>
          <w:lang w:val="en-US" w:eastAsia="en-GB"/>
        </w:rPr>
        <w:t xml:space="preserve"> </w:t>
      </w:r>
      <w:proofErr w:type="spellStart"/>
      <w:r w:rsidRPr="008F52E1">
        <w:rPr>
          <w:rFonts w:eastAsia="Cambria"/>
          <w:color w:val="000000"/>
          <w:u w:color="000000"/>
          <w:bdr w:val="nil"/>
          <w:lang w:val="en-US" w:eastAsia="en-GB"/>
        </w:rPr>
        <w:t>Ari</w:t>
      </w:r>
      <w:r>
        <w:rPr>
          <w:rFonts w:eastAsia="Cambria"/>
          <w:color w:val="000000"/>
          <w:u w:color="000000"/>
          <w:bdr w:val="nil"/>
          <w:lang w:val="en-US" w:eastAsia="en-GB"/>
        </w:rPr>
        <w:t>adna</w:t>
      </w:r>
      <w:proofErr w:type="spellEnd"/>
      <w:r>
        <w:rPr>
          <w:rFonts w:eastAsia="Cambria"/>
          <w:color w:val="000000"/>
          <w:u w:color="000000"/>
          <w:bdr w:val="nil"/>
          <w:lang w:val="en-US" w:eastAsia="en-GB"/>
        </w:rPr>
        <w:t xml:space="preserve"> </w:t>
      </w:r>
      <w:proofErr w:type="spellStart"/>
      <w:r>
        <w:rPr>
          <w:rFonts w:eastAsia="Cambria"/>
          <w:color w:val="000000"/>
          <w:u w:color="000000"/>
          <w:bdr w:val="nil"/>
          <w:lang w:val="en-US" w:eastAsia="en-GB"/>
        </w:rPr>
        <w:t>Ribas</w:t>
      </w:r>
      <w:proofErr w:type="spellEnd"/>
      <w:r>
        <w:rPr>
          <w:rFonts w:eastAsia="Cambria"/>
          <w:color w:val="000000"/>
          <w:u w:color="000000"/>
          <w:bdr w:val="nil"/>
          <w:lang w:val="en-US" w:eastAsia="en-GB"/>
        </w:rPr>
        <w:t xml:space="preserve"> </w:t>
      </w:r>
      <w:proofErr w:type="spellStart"/>
      <w:r>
        <w:rPr>
          <w:rFonts w:eastAsia="Cambria"/>
          <w:color w:val="000000"/>
          <w:u w:color="000000"/>
          <w:bdr w:val="nil"/>
          <w:lang w:val="en-US" w:eastAsia="en-GB"/>
        </w:rPr>
        <w:t>Latre</w:t>
      </w:r>
      <w:proofErr w:type="spellEnd"/>
      <w:r w:rsidRPr="008F52E1">
        <w:rPr>
          <w:rFonts w:eastAsia="Cambria"/>
          <w:color w:val="000000"/>
          <w:u w:color="000000"/>
          <w:bdr w:val="nil"/>
          <w:lang w:val="en-US" w:eastAsia="en-GB"/>
        </w:rPr>
        <w:t xml:space="preserve">, Dick White Referrals, Station Farm, London Road, Six Mile Bottom, </w:t>
      </w:r>
      <w:proofErr w:type="spellStart"/>
      <w:r w:rsidRPr="008F52E1">
        <w:rPr>
          <w:rFonts w:eastAsia="Cambria"/>
          <w:color w:val="000000"/>
          <w:u w:color="000000"/>
          <w:bdr w:val="nil"/>
          <w:lang w:val="en-US" w:eastAsia="en-GB"/>
        </w:rPr>
        <w:t>Cambridgeshire</w:t>
      </w:r>
      <w:proofErr w:type="spellEnd"/>
      <w:r w:rsidRPr="008F52E1">
        <w:rPr>
          <w:rFonts w:eastAsia="Cambria"/>
          <w:color w:val="000000"/>
          <w:u w:color="000000"/>
          <w:bdr w:val="nil"/>
          <w:lang w:val="en-US" w:eastAsia="en-GB"/>
        </w:rPr>
        <w:t>, CB8 0UH, U</w:t>
      </w:r>
      <w:r>
        <w:rPr>
          <w:rFonts w:eastAsia="Cambria"/>
          <w:color w:val="000000"/>
          <w:u w:color="000000"/>
          <w:bdr w:val="nil"/>
          <w:lang w:val="en-US" w:eastAsia="en-GB"/>
        </w:rPr>
        <w:t xml:space="preserve">nited </w:t>
      </w:r>
      <w:r w:rsidRPr="008F52E1">
        <w:rPr>
          <w:rFonts w:eastAsia="Cambria"/>
          <w:color w:val="000000"/>
          <w:u w:color="000000"/>
          <w:bdr w:val="nil"/>
          <w:lang w:val="en-US" w:eastAsia="en-GB"/>
        </w:rPr>
        <w:t>K</w:t>
      </w:r>
      <w:r>
        <w:rPr>
          <w:rFonts w:eastAsia="Cambria"/>
          <w:color w:val="000000"/>
          <w:u w:color="000000"/>
          <w:bdr w:val="nil"/>
          <w:lang w:val="en-US" w:eastAsia="en-GB"/>
        </w:rPr>
        <w:t>ingdom</w:t>
      </w:r>
      <w:r w:rsidRPr="008F52E1">
        <w:rPr>
          <w:rFonts w:eastAsia="Cambria"/>
          <w:color w:val="000000"/>
          <w:u w:color="000000"/>
          <w:bdr w:val="nil"/>
          <w:lang w:val="en-US" w:eastAsia="en-GB"/>
        </w:rPr>
        <w:t>.</w:t>
      </w:r>
      <w:r>
        <w:rPr>
          <w:rFonts w:eastAsia="Cambria"/>
          <w:color w:val="000000"/>
          <w:u w:color="000000"/>
          <w:bdr w:val="nil"/>
          <w:lang w:val="en-US" w:eastAsia="en-GB"/>
        </w:rPr>
        <w:t xml:space="preserve"> Tel: 01638 572012</w:t>
      </w:r>
      <w:r w:rsidRPr="008F52E1">
        <w:rPr>
          <w:rFonts w:eastAsia="Cambria"/>
          <w:color w:val="000000"/>
          <w:u w:color="000000"/>
          <w:bdr w:val="nil"/>
          <w:lang w:val="en-US" w:eastAsia="en-GB"/>
        </w:rPr>
        <w:t xml:space="preserve"> email: arl@dwr.co.uk</w:t>
      </w:r>
    </w:p>
    <w:p w14:paraId="03075303" w14:textId="08C4DE73" w:rsidR="004D2532" w:rsidRDefault="008F52E1" w:rsidP="00B22A77">
      <w:pPr>
        <w:widowControl w:val="0"/>
        <w:pBdr>
          <w:top w:val="nil"/>
          <w:left w:val="nil"/>
          <w:bottom w:val="nil"/>
          <w:right w:val="nil"/>
          <w:between w:val="nil"/>
          <w:bar w:val="nil"/>
        </w:pBdr>
        <w:spacing w:line="480" w:lineRule="auto"/>
        <w:jc w:val="both"/>
        <w:rPr>
          <w:rFonts w:eastAsia="Tahoma"/>
          <w:color w:val="000000"/>
          <w:u w:color="000000"/>
          <w:bdr w:val="nil"/>
          <w:lang w:val="en-US" w:eastAsia="en-GB"/>
        </w:rPr>
      </w:pPr>
      <w:r w:rsidRPr="008F52E1">
        <w:rPr>
          <w:rFonts w:eastAsia="Cambria"/>
          <w:color w:val="000000"/>
          <w:u w:color="000000"/>
          <w:bdr w:val="nil"/>
          <w:lang w:val="en-US" w:eastAsia="en-GB"/>
        </w:rPr>
        <w:lastRenderedPageBreak/>
        <w:t> </w:t>
      </w:r>
    </w:p>
    <w:p w14:paraId="76CF5E9D" w14:textId="77777777" w:rsidR="004D2532" w:rsidRDefault="004D2532" w:rsidP="00B22A77">
      <w:pPr>
        <w:widowControl w:val="0"/>
        <w:pBdr>
          <w:top w:val="nil"/>
          <w:left w:val="nil"/>
          <w:bottom w:val="nil"/>
          <w:right w:val="nil"/>
          <w:between w:val="nil"/>
          <w:bar w:val="nil"/>
        </w:pBdr>
        <w:spacing w:line="480" w:lineRule="auto"/>
        <w:jc w:val="both"/>
        <w:rPr>
          <w:rFonts w:eastAsia="Tahoma"/>
          <w:color w:val="000000"/>
          <w:u w:color="000000"/>
          <w:bdr w:val="nil"/>
          <w:lang w:val="en-US" w:eastAsia="en-GB"/>
        </w:rPr>
      </w:pPr>
    </w:p>
    <w:p w14:paraId="0FA040D8" w14:textId="77777777" w:rsidR="004D2532" w:rsidRPr="008F52E1" w:rsidRDefault="004D2532" w:rsidP="00B22A77">
      <w:pPr>
        <w:widowControl w:val="0"/>
        <w:pBdr>
          <w:top w:val="nil"/>
          <w:left w:val="nil"/>
          <w:bottom w:val="nil"/>
          <w:right w:val="nil"/>
          <w:between w:val="nil"/>
          <w:bar w:val="nil"/>
        </w:pBdr>
        <w:spacing w:line="480" w:lineRule="auto"/>
        <w:jc w:val="both"/>
        <w:rPr>
          <w:rFonts w:eastAsia="Tahoma"/>
          <w:color w:val="000000"/>
          <w:u w:color="000000"/>
          <w:bdr w:val="nil"/>
          <w:lang w:val="en-US" w:eastAsia="en-GB"/>
        </w:rPr>
      </w:pPr>
    </w:p>
    <w:p w14:paraId="3B69677F" w14:textId="77777777" w:rsidR="00B22A77" w:rsidRPr="008F52E1" w:rsidRDefault="00B22A77" w:rsidP="00B22A77">
      <w:pPr>
        <w:widowControl w:val="0"/>
        <w:pBdr>
          <w:top w:val="nil"/>
          <w:left w:val="nil"/>
          <w:bottom w:val="nil"/>
          <w:right w:val="nil"/>
          <w:between w:val="nil"/>
          <w:bar w:val="nil"/>
        </w:pBdr>
        <w:spacing w:line="480" w:lineRule="auto"/>
        <w:jc w:val="both"/>
        <w:rPr>
          <w:rFonts w:eastAsia="Tahoma"/>
          <w:color w:val="000000"/>
          <w:u w:color="000000"/>
          <w:bdr w:val="nil"/>
          <w:lang w:val="en-US" w:eastAsia="en-GB"/>
        </w:rPr>
      </w:pPr>
    </w:p>
    <w:p w14:paraId="6B64971E" w14:textId="3FC206B4" w:rsidR="008F52E1" w:rsidRPr="008F52E1" w:rsidRDefault="003175D6" w:rsidP="00B22A77">
      <w:pPr>
        <w:widowControl w:val="0"/>
        <w:pBdr>
          <w:top w:val="nil"/>
          <w:left w:val="nil"/>
          <w:bottom w:val="nil"/>
          <w:right w:val="nil"/>
          <w:between w:val="nil"/>
          <w:bar w:val="nil"/>
        </w:pBdr>
        <w:spacing w:line="480" w:lineRule="auto"/>
        <w:jc w:val="both"/>
        <w:rPr>
          <w:rFonts w:eastAsia="Tahoma"/>
          <w:color w:val="000000"/>
          <w:u w:color="000000"/>
          <w:bdr w:val="nil"/>
          <w:lang w:val="en-US" w:eastAsia="en-GB"/>
        </w:rPr>
      </w:pPr>
      <w:r>
        <w:rPr>
          <w:rFonts w:eastAsia="Cambria"/>
          <w:color w:val="000000"/>
          <w:u w:color="000000"/>
          <w:bdr w:val="nil"/>
          <w:lang w:val="en-US" w:eastAsia="en-GB"/>
        </w:rPr>
        <w:t xml:space="preserve">Cases information was collated from all institutions and reviewed by the lead investigators A. </w:t>
      </w:r>
      <w:proofErr w:type="spellStart"/>
      <w:r>
        <w:rPr>
          <w:rFonts w:eastAsia="Cambria"/>
          <w:color w:val="000000"/>
          <w:u w:color="000000"/>
          <w:bdr w:val="nil"/>
          <w:lang w:val="en-US" w:eastAsia="en-GB"/>
        </w:rPr>
        <w:t>Ribas</w:t>
      </w:r>
      <w:proofErr w:type="spellEnd"/>
      <w:r>
        <w:rPr>
          <w:rFonts w:eastAsia="Cambria"/>
          <w:color w:val="000000"/>
          <w:u w:color="000000"/>
          <w:bdr w:val="nil"/>
          <w:lang w:val="en-US" w:eastAsia="en-GB"/>
        </w:rPr>
        <w:t xml:space="preserve"> and A. McPartland</w:t>
      </w:r>
      <w:r w:rsidR="008F52E1" w:rsidRPr="008F52E1">
        <w:rPr>
          <w:rFonts w:eastAsia="Cambria"/>
          <w:color w:val="000000"/>
          <w:u w:color="000000"/>
          <w:bdr w:val="nil"/>
          <w:lang w:val="en-US" w:eastAsia="en-GB"/>
        </w:rPr>
        <w:t xml:space="preserve"> at Dick White Referrals</w:t>
      </w:r>
      <w:r>
        <w:rPr>
          <w:rFonts w:eastAsia="Cambria"/>
          <w:color w:val="000000"/>
          <w:u w:color="000000"/>
          <w:bdr w:val="nil"/>
          <w:lang w:val="en-US" w:eastAsia="en-GB"/>
        </w:rPr>
        <w:t xml:space="preserve">. </w:t>
      </w:r>
      <w:r w:rsidR="008F52E1" w:rsidRPr="008F52E1">
        <w:rPr>
          <w:rFonts w:eastAsia="Cambria"/>
          <w:color w:val="000000"/>
          <w:u w:color="000000"/>
          <w:bdr w:val="nil"/>
          <w:lang w:val="en-US" w:eastAsia="en-GB"/>
        </w:rPr>
        <w:t>All authors contributed to the construction of the manuscript.  </w:t>
      </w:r>
    </w:p>
    <w:p w14:paraId="2E787AD6" w14:textId="77777777" w:rsidR="008F52E1" w:rsidRPr="008F52E1" w:rsidRDefault="008F52E1" w:rsidP="00B22A77">
      <w:pPr>
        <w:spacing w:line="480" w:lineRule="auto"/>
        <w:rPr>
          <w:b/>
        </w:rPr>
      </w:pPr>
    </w:p>
    <w:p w14:paraId="4B39D69D" w14:textId="77777777" w:rsidR="008F52E1" w:rsidRDefault="008F52E1" w:rsidP="00B22A77">
      <w:pPr>
        <w:spacing w:line="480" w:lineRule="auto"/>
        <w:jc w:val="both"/>
        <w:rPr>
          <w:b/>
        </w:rPr>
      </w:pPr>
    </w:p>
    <w:p w14:paraId="58D5C618" w14:textId="77777777" w:rsidR="008F52E1" w:rsidRDefault="008F52E1" w:rsidP="00B22A77">
      <w:pPr>
        <w:spacing w:line="480" w:lineRule="auto"/>
        <w:rPr>
          <w:b/>
        </w:rPr>
      </w:pPr>
      <w:r>
        <w:rPr>
          <w:b/>
        </w:rPr>
        <w:br w:type="page"/>
      </w:r>
    </w:p>
    <w:p w14:paraId="20C379BE" w14:textId="5341957A" w:rsidR="003175D6" w:rsidRPr="003175D6" w:rsidRDefault="003175D6" w:rsidP="00B22A77">
      <w:pPr>
        <w:spacing w:line="480" w:lineRule="auto"/>
        <w:jc w:val="both"/>
        <w:rPr>
          <w:b/>
          <w:u w:val="single"/>
        </w:rPr>
      </w:pPr>
      <w:r w:rsidRPr="003175D6">
        <w:rPr>
          <w:b/>
          <w:u w:val="single"/>
        </w:rPr>
        <w:lastRenderedPageBreak/>
        <w:t>Canine Sterile Steroid-Responsive Lymphadenitis in 50 dogs</w:t>
      </w:r>
    </w:p>
    <w:p w14:paraId="370935CF" w14:textId="77777777" w:rsidR="00B22A77" w:rsidRDefault="00B22A77" w:rsidP="00B22A77">
      <w:pPr>
        <w:spacing w:line="480" w:lineRule="auto"/>
        <w:jc w:val="both"/>
      </w:pPr>
    </w:p>
    <w:p w14:paraId="7DA14B07" w14:textId="681CE1A4" w:rsidR="00B22A77" w:rsidRPr="00B22A77" w:rsidRDefault="00B22A77" w:rsidP="00B22A77">
      <w:pPr>
        <w:spacing w:line="480" w:lineRule="auto"/>
        <w:jc w:val="both"/>
        <w:rPr>
          <w:b/>
        </w:rPr>
      </w:pPr>
      <w:r w:rsidRPr="00B22A77">
        <w:rPr>
          <w:b/>
        </w:rPr>
        <w:t>Structured Summary</w:t>
      </w:r>
    </w:p>
    <w:p w14:paraId="776208E2" w14:textId="77777777" w:rsidR="00B22A77" w:rsidRDefault="00B22A77" w:rsidP="00B22A77">
      <w:pPr>
        <w:tabs>
          <w:tab w:val="left" w:pos="2268"/>
        </w:tabs>
        <w:spacing w:line="480" w:lineRule="auto"/>
        <w:jc w:val="both"/>
        <w:rPr>
          <w:b/>
        </w:rPr>
      </w:pPr>
    </w:p>
    <w:p w14:paraId="40B07337" w14:textId="6CA29DAE" w:rsidR="003175D6" w:rsidRDefault="003175D6" w:rsidP="00B22A77">
      <w:pPr>
        <w:tabs>
          <w:tab w:val="left" w:pos="2268"/>
        </w:tabs>
        <w:spacing w:line="480" w:lineRule="auto"/>
        <w:jc w:val="both"/>
      </w:pPr>
      <w:r w:rsidRPr="003175D6">
        <w:rPr>
          <w:b/>
        </w:rPr>
        <w:t>Objectives:</w:t>
      </w:r>
      <w:r>
        <w:t xml:space="preserve"> </w:t>
      </w:r>
      <w:r w:rsidR="00430F4D">
        <w:t>To report clinical and laboratory features,</w:t>
      </w:r>
      <w:r w:rsidR="00430F4D" w:rsidRPr="00430F4D">
        <w:t xml:space="preserve"> treatment response</w:t>
      </w:r>
      <w:r w:rsidR="00430F4D">
        <w:t>s</w:t>
      </w:r>
      <w:r w:rsidR="00430F4D" w:rsidRPr="00430F4D">
        <w:t xml:space="preserve"> and outcome </w:t>
      </w:r>
      <w:r w:rsidR="00430F4D">
        <w:t>in dogs diagnosed with c</w:t>
      </w:r>
      <w:r w:rsidRPr="008F52E1">
        <w:t>anine sterile s</w:t>
      </w:r>
      <w:r>
        <w:t>teroid-responsive lymphadenitis</w:t>
      </w:r>
      <w:r w:rsidRPr="008F52E1">
        <w:t xml:space="preserve"> </w:t>
      </w:r>
      <w:r w:rsidR="00430F4D">
        <w:t>in the United Kingdom.</w:t>
      </w:r>
    </w:p>
    <w:p w14:paraId="6FE4ADA1" w14:textId="77777777" w:rsidR="003175D6" w:rsidRDefault="003175D6" w:rsidP="00B22A77">
      <w:pPr>
        <w:tabs>
          <w:tab w:val="left" w:pos="2268"/>
        </w:tabs>
        <w:spacing w:line="480" w:lineRule="auto"/>
        <w:jc w:val="both"/>
      </w:pPr>
    </w:p>
    <w:p w14:paraId="58460F9A" w14:textId="4F6E53A6" w:rsidR="00430F4D" w:rsidRDefault="003175D6" w:rsidP="00B22A77">
      <w:pPr>
        <w:tabs>
          <w:tab w:val="left" w:pos="2268"/>
        </w:tabs>
        <w:spacing w:line="480" w:lineRule="auto"/>
        <w:jc w:val="both"/>
      </w:pPr>
      <w:r w:rsidRPr="003175D6">
        <w:rPr>
          <w:b/>
        </w:rPr>
        <w:t>Methods:</w:t>
      </w:r>
      <w:r w:rsidRPr="003175D6">
        <w:t xml:space="preserve"> </w:t>
      </w:r>
      <w:r w:rsidR="00430F4D">
        <w:t>Medical records of dogs diagnosed with c</w:t>
      </w:r>
      <w:r w:rsidR="00430F4D" w:rsidRPr="00430F4D">
        <w:t>anine sterile steroid-responsive lymphadenitis</w:t>
      </w:r>
      <w:r w:rsidR="00430F4D">
        <w:t xml:space="preserve"> from 2009 to 2016 at six specialist referral centres were evaluated retrospectively. </w:t>
      </w:r>
    </w:p>
    <w:p w14:paraId="6582BAA7" w14:textId="77777777" w:rsidR="003175D6" w:rsidRDefault="003175D6" w:rsidP="00B22A77">
      <w:pPr>
        <w:tabs>
          <w:tab w:val="left" w:pos="2268"/>
        </w:tabs>
        <w:spacing w:line="480" w:lineRule="auto"/>
        <w:jc w:val="both"/>
      </w:pPr>
    </w:p>
    <w:p w14:paraId="0C1CF691" w14:textId="4949DDE8" w:rsidR="00202876" w:rsidRDefault="003175D6" w:rsidP="00B22A77">
      <w:pPr>
        <w:tabs>
          <w:tab w:val="left" w:pos="2268"/>
        </w:tabs>
        <w:spacing w:line="480" w:lineRule="auto"/>
        <w:jc w:val="both"/>
      </w:pPr>
      <w:r w:rsidRPr="003175D6">
        <w:rPr>
          <w:b/>
        </w:rPr>
        <w:t>Results:</w:t>
      </w:r>
      <w:r w:rsidRPr="003175D6">
        <w:t xml:space="preserve"> </w:t>
      </w:r>
      <w:r w:rsidR="00430F4D">
        <w:t xml:space="preserve">The study included 50 dogs. </w:t>
      </w:r>
      <w:r w:rsidR="00430F4D" w:rsidRPr="008F52E1">
        <w:t>Springer Spaniels appeared to be over-rep</w:t>
      </w:r>
      <w:r w:rsidR="00430F4D">
        <w:t>resented</w:t>
      </w:r>
      <w:r w:rsidR="00202876">
        <w:t xml:space="preserve"> (16/50 dogs)</w:t>
      </w:r>
      <w:r w:rsidR="00430F4D">
        <w:t>. Y</w:t>
      </w:r>
      <w:r w:rsidR="00430F4D" w:rsidRPr="008F52E1">
        <w:t>oung dogs</w:t>
      </w:r>
      <w:r w:rsidR="00202876">
        <w:t xml:space="preserve"> (median age 3 years and 9 months)</w:t>
      </w:r>
      <w:r w:rsidR="00430F4D" w:rsidRPr="008F52E1">
        <w:t xml:space="preserve"> and females </w:t>
      </w:r>
      <w:r w:rsidR="00202876">
        <w:t>(31/50) were</w:t>
      </w:r>
      <w:r w:rsidR="00430F4D" w:rsidRPr="008F52E1">
        <w:t xml:space="preserve"> typically affected.</w:t>
      </w:r>
      <w:r w:rsidR="00430F4D">
        <w:t xml:space="preserve"> </w:t>
      </w:r>
      <w:r w:rsidR="00202876" w:rsidRPr="008F52E1">
        <w:t xml:space="preserve">Clinical </w:t>
      </w:r>
      <w:r w:rsidR="00202876">
        <w:t xml:space="preserve">presentation was variable, with </w:t>
      </w:r>
      <w:r w:rsidR="00202876" w:rsidRPr="008F52E1">
        <w:t>pyrexi</w:t>
      </w:r>
      <w:r w:rsidR="00202876">
        <w:t xml:space="preserve">a </w:t>
      </w:r>
      <w:r w:rsidR="009F5821">
        <w:t>(39/50), lethargy (35</w:t>
      </w:r>
      <w:r w:rsidR="00202876">
        <w:t>/50) and anorexia</w:t>
      </w:r>
      <w:r w:rsidR="00202876" w:rsidRPr="008F52E1">
        <w:t xml:space="preserve"> </w:t>
      </w:r>
      <w:r w:rsidR="009F5821">
        <w:t>(21/</w:t>
      </w:r>
      <w:r w:rsidR="00202876">
        <w:t xml:space="preserve">50) </w:t>
      </w:r>
      <w:r w:rsidR="00750B11">
        <w:t xml:space="preserve">being </w:t>
      </w:r>
      <w:r w:rsidR="00202876" w:rsidRPr="008F52E1">
        <w:t>the most common</w:t>
      </w:r>
      <w:r w:rsidR="00202876">
        <w:t>ly reported</w:t>
      </w:r>
      <w:r w:rsidR="00202876" w:rsidRPr="008F52E1">
        <w:t xml:space="preserve"> clinical signs. </w:t>
      </w:r>
      <w:r w:rsidRPr="008F52E1">
        <w:t>Lymph node cytology and/or histopathology demonstrated neutrophilic, pyogranulomatous, granulomatous or necrotizing lymphadenitis without a detectable underlying</w:t>
      </w:r>
      <w:r w:rsidR="00430F4D">
        <w:t xml:space="preserve"> cause in all</w:t>
      </w:r>
      <w:r w:rsidRPr="008F52E1">
        <w:t xml:space="preserve"> cases. </w:t>
      </w:r>
    </w:p>
    <w:p w14:paraId="02F8B230" w14:textId="77777777" w:rsidR="00202876" w:rsidRDefault="00202876" w:rsidP="00B22A77">
      <w:pPr>
        <w:tabs>
          <w:tab w:val="left" w:pos="2268"/>
        </w:tabs>
        <w:spacing w:line="480" w:lineRule="auto"/>
        <w:jc w:val="both"/>
      </w:pPr>
    </w:p>
    <w:p w14:paraId="7C5B8CB5" w14:textId="55B436A5" w:rsidR="00202876" w:rsidRDefault="003175D6" w:rsidP="00B22A77">
      <w:pPr>
        <w:tabs>
          <w:tab w:val="left" w:pos="2268"/>
        </w:tabs>
        <w:spacing w:line="480" w:lineRule="auto"/>
        <w:jc w:val="both"/>
      </w:pPr>
      <w:r w:rsidRPr="00566401">
        <w:t>As a sterile immune-mediated aetiology was suspected, all dogs received prednisolone with a subsequent rapid resolution of clinical signs and the lymphadenopathy in most of the cases.</w:t>
      </w:r>
      <w:r w:rsidRPr="008F52E1">
        <w:t xml:space="preserve"> </w:t>
      </w:r>
    </w:p>
    <w:p w14:paraId="11A65200" w14:textId="77777777" w:rsidR="003175D6" w:rsidRDefault="003175D6" w:rsidP="00B22A77">
      <w:pPr>
        <w:tabs>
          <w:tab w:val="left" w:pos="2268"/>
        </w:tabs>
        <w:spacing w:line="480" w:lineRule="auto"/>
        <w:jc w:val="both"/>
      </w:pPr>
    </w:p>
    <w:p w14:paraId="0F24FFB8" w14:textId="3092D5B3" w:rsidR="00C7799B" w:rsidRPr="003175D6" w:rsidRDefault="003175D6" w:rsidP="00B22A77">
      <w:pPr>
        <w:tabs>
          <w:tab w:val="left" w:pos="2268"/>
        </w:tabs>
        <w:spacing w:line="480" w:lineRule="auto"/>
        <w:jc w:val="both"/>
        <w:rPr>
          <w:b/>
        </w:rPr>
      </w:pPr>
      <w:r>
        <w:rPr>
          <w:b/>
        </w:rPr>
        <w:t xml:space="preserve">Clinical significance: </w:t>
      </w:r>
      <w:r w:rsidR="00202876" w:rsidRPr="003175D6">
        <w:t>Canine sterile steroid-responsive lymphadenitis</w:t>
      </w:r>
      <w:r w:rsidR="00202876" w:rsidRPr="008F52E1">
        <w:t xml:space="preserve"> should be considered in dogs wi</w:t>
      </w:r>
      <w:r w:rsidR="00202876">
        <w:t>th pyrexia of unknown origin with inflammatory</w:t>
      </w:r>
      <w:r w:rsidR="00202876" w:rsidRPr="008F52E1">
        <w:t xml:space="preserve"> lymphadenopathy</w:t>
      </w:r>
      <w:r w:rsidR="00202876">
        <w:t xml:space="preserve"> when no underlying cause can be found and often responds well to therapy with immunosuppressive corticosteroids. </w:t>
      </w:r>
    </w:p>
    <w:p w14:paraId="3D894531" w14:textId="77777777" w:rsidR="003175D6" w:rsidRDefault="003175D6" w:rsidP="00B22A77">
      <w:pPr>
        <w:spacing w:line="480" w:lineRule="auto"/>
        <w:jc w:val="both"/>
      </w:pPr>
    </w:p>
    <w:p w14:paraId="0966E3B2" w14:textId="77777777" w:rsidR="008F52E1" w:rsidRDefault="008F52E1" w:rsidP="00B22A77">
      <w:pPr>
        <w:spacing w:line="480" w:lineRule="auto"/>
        <w:jc w:val="both"/>
      </w:pPr>
    </w:p>
    <w:p w14:paraId="0436A089" w14:textId="2C81426A" w:rsidR="003175D6" w:rsidRDefault="003175D6" w:rsidP="00B22A77">
      <w:pPr>
        <w:spacing w:line="480" w:lineRule="auto"/>
        <w:jc w:val="both"/>
      </w:pPr>
      <w:r w:rsidRPr="003175D6">
        <w:rPr>
          <w:b/>
        </w:rPr>
        <w:t>Keywords:</w:t>
      </w:r>
      <w:r>
        <w:t xml:space="preserve"> </w:t>
      </w:r>
      <w:r w:rsidRPr="003175D6">
        <w:t>Canine sterile steroid-responsive lymphadenitis</w:t>
      </w:r>
      <w:r w:rsidR="00202876">
        <w:t xml:space="preserve">, </w:t>
      </w:r>
      <w:proofErr w:type="spellStart"/>
      <w:r w:rsidR="00202876">
        <w:t>L</w:t>
      </w:r>
      <w:r>
        <w:t>ymphadenome</w:t>
      </w:r>
      <w:r w:rsidR="00202876">
        <w:t>galy</w:t>
      </w:r>
      <w:proofErr w:type="spellEnd"/>
      <w:r w:rsidR="00202876">
        <w:t xml:space="preserve">, </w:t>
      </w:r>
      <w:r w:rsidR="00836BDE">
        <w:t>Fever</w:t>
      </w:r>
      <w:r w:rsidR="00202876">
        <w:t xml:space="preserve"> of unknown origin, Corticosteroids </w:t>
      </w:r>
    </w:p>
    <w:p w14:paraId="3EB9485D" w14:textId="77777777" w:rsidR="003175D6" w:rsidRDefault="003175D6" w:rsidP="00B22A77">
      <w:pPr>
        <w:spacing w:line="480" w:lineRule="auto"/>
        <w:jc w:val="both"/>
      </w:pPr>
    </w:p>
    <w:p w14:paraId="727B6DF7" w14:textId="77777777" w:rsidR="003175D6" w:rsidRPr="008F52E1" w:rsidRDefault="003175D6" w:rsidP="00B22A77">
      <w:pPr>
        <w:spacing w:line="480" w:lineRule="auto"/>
        <w:jc w:val="both"/>
      </w:pPr>
    </w:p>
    <w:p w14:paraId="7EAC1A9A" w14:textId="77777777" w:rsidR="003175D6" w:rsidRDefault="003175D6" w:rsidP="00B22A77">
      <w:pPr>
        <w:spacing w:line="480" w:lineRule="auto"/>
        <w:rPr>
          <w:b/>
        </w:rPr>
      </w:pPr>
      <w:r>
        <w:rPr>
          <w:b/>
        </w:rPr>
        <w:br w:type="page"/>
      </w:r>
    </w:p>
    <w:p w14:paraId="44E3456F" w14:textId="132E1AA8" w:rsidR="00A133AE" w:rsidRPr="00A133AE" w:rsidRDefault="003175D6" w:rsidP="00A133AE">
      <w:pPr>
        <w:spacing w:line="480" w:lineRule="auto"/>
        <w:jc w:val="both"/>
        <w:rPr>
          <w:b/>
        </w:rPr>
      </w:pPr>
      <w:r>
        <w:rPr>
          <w:b/>
        </w:rPr>
        <w:lastRenderedPageBreak/>
        <w:t>Introduction</w:t>
      </w:r>
    </w:p>
    <w:p w14:paraId="2DB936C8" w14:textId="705B3F39" w:rsidR="00A133AE" w:rsidRDefault="00A133AE" w:rsidP="00A133AE">
      <w:pPr>
        <w:pStyle w:val="Normal1"/>
        <w:spacing w:line="480" w:lineRule="auto"/>
        <w:jc w:val="both"/>
        <w:rPr>
          <w:rFonts w:ascii="Times New Roman" w:hAnsi="Times New Roman" w:cs="Times New Roman"/>
          <w:color w:val="000000" w:themeColor="text1"/>
          <w:sz w:val="24"/>
          <w:szCs w:val="24"/>
        </w:rPr>
      </w:pPr>
      <w:r w:rsidRPr="008F52E1">
        <w:rPr>
          <w:rFonts w:ascii="Times New Roman" w:hAnsi="Times New Roman" w:cs="Times New Roman"/>
          <w:color w:val="000000" w:themeColor="text1"/>
          <w:sz w:val="24"/>
          <w:szCs w:val="24"/>
        </w:rPr>
        <w:t xml:space="preserve">Lymph node enlargement or lymphadenopathy is </w:t>
      </w:r>
      <w:r w:rsidR="009041AA">
        <w:rPr>
          <w:rFonts w:ascii="Times New Roman" w:hAnsi="Times New Roman" w:cs="Times New Roman"/>
          <w:color w:val="000000" w:themeColor="text1"/>
          <w:sz w:val="24"/>
          <w:szCs w:val="24"/>
        </w:rPr>
        <w:t>often</w:t>
      </w:r>
      <w:r w:rsidR="009041AA" w:rsidRPr="008F52E1">
        <w:rPr>
          <w:rFonts w:ascii="Times New Roman" w:hAnsi="Times New Roman" w:cs="Times New Roman"/>
          <w:color w:val="000000" w:themeColor="text1"/>
          <w:sz w:val="24"/>
          <w:szCs w:val="24"/>
        </w:rPr>
        <w:t xml:space="preserve"> </w:t>
      </w:r>
      <w:r w:rsidRPr="008F52E1">
        <w:rPr>
          <w:rFonts w:ascii="Times New Roman" w:hAnsi="Times New Roman" w:cs="Times New Roman"/>
          <w:color w:val="000000" w:themeColor="text1"/>
          <w:sz w:val="24"/>
          <w:szCs w:val="24"/>
        </w:rPr>
        <w:t>encountered during physical examination in canine patients (</w:t>
      </w:r>
      <w:proofErr w:type="spellStart"/>
      <w:r w:rsidRPr="008F52E1">
        <w:rPr>
          <w:rFonts w:ascii="Times New Roman" w:hAnsi="Times New Roman" w:cs="Times New Roman"/>
          <w:color w:val="000000" w:themeColor="text1"/>
          <w:sz w:val="24"/>
          <w:szCs w:val="24"/>
        </w:rPr>
        <w:t>Thangapandiyan</w:t>
      </w:r>
      <w:proofErr w:type="spellEnd"/>
      <w:r w:rsidR="00033BB4">
        <w:rPr>
          <w:rFonts w:ascii="Times New Roman" w:hAnsi="Times New Roman" w:cs="Times New Roman"/>
          <w:color w:val="000000" w:themeColor="text1"/>
          <w:sz w:val="24"/>
          <w:szCs w:val="24"/>
        </w:rPr>
        <w:t xml:space="preserve"> </w:t>
      </w:r>
      <w:r w:rsidR="00033BB4">
        <w:rPr>
          <w:rFonts w:ascii="Times New Roman" w:hAnsi="Times New Roman" w:cs="Times New Roman"/>
          <w:i/>
          <w:color w:val="000000" w:themeColor="text1"/>
          <w:sz w:val="24"/>
          <w:szCs w:val="24"/>
        </w:rPr>
        <w:t>et al</w:t>
      </w:r>
      <w:r w:rsidRPr="008F52E1">
        <w:rPr>
          <w:rFonts w:ascii="Times New Roman" w:hAnsi="Times New Roman" w:cs="Times New Roman"/>
          <w:color w:val="000000" w:themeColor="text1"/>
          <w:sz w:val="24"/>
          <w:szCs w:val="24"/>
        </w:rPr>
        <w:t>, 2010). Lymph node enlargement is categorised into solitary (single lymph node), regional (chains of lymphatic nodes draining a specific anatomic region) or generalised (</w:t>
      </w:r>
      <w:proofErr w:type="spellStart"/>
      <w:r w:rsidRPr="008F52E1">
        <w:rPr>
          <w:rFonts w:ascii="Times New Roman" w:hAnsi="Times New Roman" w:cs="Times New Roman"/>
          <w:color w:val="000000" w:themeColor="text1"/>
          <w:sz w:val="24"/>
          <w:szCs w:val="24"/>
        </w:rPr>
        <w:t>multicentric</w:t>
      </w:r>
      <w:proofErr w:type="spellEnd"/>
      <w:r w:rsidRPr="008F52E1">
        <w:rPr>
          <w:rFonts w:ascii="Times New Roman" w:hAnsi="Times New Roman" w:cs="Times New Roman"/>
          <w:color w:val="000000" w:themeColor="text1"/>
          <w:sz w:val="24"/>
          <w:szCs w:val="24"/>
        </w:rPr>
        <w:t xml:space="preserve"> lymph node enlargement affecting multiple anatomic regions). The causes of lymph node enlargement include oedema, reactive hyperplasia, inflammation</w:t>
      </w:r>
      <w:r w:rsidR="0069050F">
        <w:rPr>
          <w:rFonts w:ascii="Times New Roman" w:hAnsi="Times New Roman" w:cs="Times New Roman"/>
          <w:color w:val="000000" w:themeColor="text1"/>
          <w:sz w:val="24"/>
          <w:szCs w:val="24"/>
        </w:rPr>
        <w:t>, infection</w:t>
      </w:r>
      <w:r w:rsidRPr="008F52E1">
        <w:rPr>
          <w:rFonts w:ascii="Times New Roman" w:hAnsi="Times New Roman" w:cs="Times New Roman"/>
          <w:color w:val="000000" w:themeColor="text1"/>
          <w:sz w:val="24"/>
          <w:szCs w:val="24"/>
        </w:rPr>
        <w:t xml:space="preserve"> and neoplasia (</w:t>
      </w:r>
      <w:proofErr w:type="spellStart"/>
      <w:r w:rsidRPr="008F52E1">
        <w:rPr>
          <w:rFonts w:ascii="Times New Roman" w:hAnsi="Times New Roman" w:cs="Times New Roman"/>
          <w:color w:val="000000" w:themeColor="text1"/>
          <w:sz w:val="24"/>
          <w:szCs w:val="24"/>
        </w:rPr>
        <w:t>Sapierzynski</w:t>
      </w:r>
      <w:proofErr w:type="spellEnd"/>
      <w:r w:rsidR="00033BB4">
        <w:rPr>
          <w:rFonts w:ascii="Times New Roman" w:hAnsi="Times New Roman" w:cs="Times New Roman"/>
          <w:color w:val="000000" w:themeColor="text1"/>
          <w:sz w:val="24"/>
          <w:szCs w:val="24"/>
        </w:rPr>
        <w:t xml:space="preserve"> </w:t>
      </w:r>
      <w:r w:rsidR="00033BB4">
        <w:rPr>
          <w:rFonts w:ascii="Times New Roman" w:hAnsi="Times New Roman" w:cs="Times New Roman"/>
          <w:i/>
          <w:color w:val="000000" w:themeColor="text1"/>
          <w:sz w:val="24"/>
          <w:szCs w:val="24"/>
        </w:rPr>
        <w:t>et al</w:t>
      </w:r>
      <w:r w:rsidRPr="008F52E1">
        <w:rPr>
          <w:rFonts w:ascii="Times New Roman" w:hAnsi="Times New Roman" w:cs="Times New Roman"/>
          <w:color w:val="000000" w:themeColor="text1"/>
          <w:sz w:val="24"/>
          <w:szCs w:val="24"/>
        </w:rPr>
        <w:t>, 2009). Fine needle aspiration cytology (FNAC) is a valuable diagnostic test to investigate the cause of lymph node enlargement due to its low cost, simplicity and rapid result</w:t>
      </w:r>
      <w:r w:rsidR="00C61CDD">
        <w:rPr>
          <w:rFonts w:ascii="Times New Roman" w:hAnsi="Times New Roman" w:cs="Times New Roman"/>
          <w:color w:val="000000" w:themeColor="text1"/>
          <w:sz w:val="24"/>
          <w:szCs w:val="24"/>
        </w:rPr>
        <w:t>s</w:t>
      </w:r>
      <w:r w:rsidRPr="008F52E1">
        <w:rPr>
          <w:rFonts w:ascii="Times New Roman" w:hAnsi="Times New Roman" w:cs="Times New Roman"/>
          <w:color w:val="000000" w:themeColor="text1"/>
          <w:sz w:val="24"/>
          <w:szCs w:val="24"/>
        </w:rPr>
        <w:t xml:space="preserve"> (Cowell</w:t>
      </w:r>
      <w:r w:rsidR="00033BB4">
        <w:rPr>
          <w:rFonts w:ascii="Times New Roman" w:hAnsi="Times New Roman" w:cs="Times New Roman"/>
          <w:color w:val="000000" w:themeColor="text1"/>
          <w:sz w:val="24"/>
          <w:szCs w:val="24"/>
        </w:rPr>
        <w:t xml:space="preserve"> </w:t>
      </w:r>
      <w:r w:rsidR="00033BB4">
        <w:rPr>
          <w:rFonts w:ascii="Times New Roman" w:hAnsi="Times New Roman" w:cs="Times New Roman"/>
          <w:i/>
          <w:color w:val="000000" w:themeColor="text1"/>
          <w:sz w:val="24"/>
          <w:szCs w:val="24"/>
        </w:rPr>
        <w:t>et al</w:t>
      </w:r>
      <w:r w:rsidRPr="008F52E1">
        <w:rPr>
          <w:rFonts w:ascii="Times New Roman" w:hAnsi="Times New Roman" w:cs="Times New Roman"/>
          <w:color w:val="000000" w:themeColor="text1"/>
          <w:sz w:val="24"/>
          <w:szCs w:val="24"/>
        </w:rPr>
        <w:t xml:space="preserve">, 2003). </w:t>
      </w:r>
    </w:p>
    <w:p w14:paraId="3DF639EB" w14:textId="2AC057DF" w:rsidR="00A133AE" w:rsidRDefault="00A133AE" w:rsidP="00A133AE">
      <w:pPr>
        <w:pStyle w:val="Normal1"/>
        <w:spacing w:line="480" w:lineRule="auto"/>
        <w:jc w:val="both"/>
        <w:rPr>
          <w:rFonts w:ascii="Times New Roman" w:hAnsi="Times New Roman" w:cs="Times New Roman"/>
          <w:color w:val="000000" w:themeColor="text1"/>
          <w:sz w:val="24"/>
          <w:szCs w:val="24"/>
        </w:rPr>
      </w:pPr>
      <w:r w:rsidRPr="008F52E1">
        <w:rPr>
          <w:rFonts w:ascii="Times New Roman" w:hAnsi="Times New Roman" w:cs="Times New Roman"/>
          <w:color w:val="000000" w:themeColor="text1"/>
          <w:sz w:val="24"/>
          <w:szCs w:val="24"/>
        </w:rPr>
        <w:t xml:space="preserve">The normal </w:t>
      </w:r>
      <w:r w:rsidR="00C61CDD">
        <w:rPr>
          <w:rFonts w:ascii="Times New Roman" w:hAnsi="Times New Roman" w:cs="Times New Roman"/>
          <w:color w:val="000000" w:themeColor="text1"/>
          <w:sz w:val="24"/>
          <w:szCs w:val="24"/>
        </w:rPr>
        <w:t xml:space="preserve">cell </w:t>
      </w:r>
      <w:r w:rsidRPr="008F52E1">
        <w:rPr>
          <w:rFonts w:ascii="Times New Roman" w:hAnsi="Times New Roman" w:cs="Times New Roman"/>
          <w:color w:val="000000" w:themeColor="text1"/>
          <w:sz w:val="24"/>
          <w:szCs w:val="24"/>
        </w:rPr>
        <w:t xml:space="preserve">distribution </w:t>
      </w:r>
      <w:r w:rsidR="00C61CDD">
        <w:rPr>
          <w:rFonts w:ascii="Times New Roman" w:hAnsi="Times New Roman" w:cs="Times New Roman"/>
          <w:color w:val="000000" w:themeColor="text1"/>
          <w:sz w:val="24"/>
          <w:szCs w:val="24"/>
        </w:rPr>
        <w:t xml:space="preserve">on </w:t>
      </w:r>
      <w:r w:rsidR="00C61CDD" w:rsidRPr="008F52E1">
        <w:rPr>
          <w:rFonts w:ascii="Times New Roman" w:hAnsi="Times New Roman" w:cs="Times New Roman"/>
          <w:color w:val="000000" w:themeColor="text1"/>
          <w:sz w:val="24"/>
          <w:szCs w:val="24"/>
        </w:rPr>
        <w:t xml:space="preserve">cytological </w:t>
      </w:r>
      <w:r w:rsidR="00C61CDD">
        <w:rPr>
          <w:rFonts w:ascii="Times New Roman" w:hAnsi="Times New Roman" w:cs="Times New Roman"/>
          <w:color w:val="000000" w:themeColor="text1"/>
          <w:sz w:val="24"/>
          <w:szCs w:val="24"/>
        </w:rPr>
        <w:t xml:space="preserve">evaluation </w:t>
      </w:r>
      <w:r w:rsidRPr="008F52E1">
        <w:rPr>
          <w:rFonts w:ascii="Times New Roman" w:hAnsi="Times New Roman" w:cs="Times New Roman"/>
          <w:color w:val="000000" w:themeColor="text1"/>
          <w:sz w:val="24"/>
          <w:szCs w:val="24"/>
        </w:rPr>
        <w:t>of</w:t>
      </w:r>
      <w:r w:rsidR="004B684E">
        <w:rPr>
          <w:rFonts w:ascii="Times New Roman" w:hAnsi="Times New Roman" w:cs="Times New Roman"/>
          <w:color w:val="000000" w:themeColor="text1"/>
          <w:sz w:val="24"/>
          <w:szCs w:val="24"/>
        </w:rPr>
        <w:t xml:space="preserve"> </w:t>
      </w:r>
      <w:r w:rsidRPr="008F52E1">
        <w:rPr>
          <w:rFonts w:ascii="Times New Roman" w:hAnsi="Times New Roman" w:cs="Times New Roman"/>
          <w:color w:val="000000" w:themeColor="text1"/>
          <w:sz w:val="24"/>
          <w:szCs w:val="24"/>
        </w:rPr>
        <w:t>the lymph node is reported to be 85-90% of small lymphocytes, &lt;10% of medium-sized and large lymphocytes, &lt;3% of plasma cells, and rare neutrophils, eosinophils and macrophages (</w:t>
      </w:r>
      <w:proofErr w:type="spellStart"/>
      <w:r w:rsidRPr="008F52E1">
        <w:rPr>
          <w:rFonts w:ascii="Times New Roman" w:hAnsi="Times New Roman" w:cs="Times New Roman"/>
          <w:color w:val="000000" w:themeColor="text1"/>
          <w:sz w:val="24"/>
          <w:szCs w:val="24"/>
        </w:rPr>
        <w:t>M</w:t>
      </w:r>
      <w:r w:rsidR="001A7337">
        <w:rPr>
          <w:rFonts w:ascii="Times New Roman" w:hAnsi="Times New Roman" w:cs="Times New Roman"/>
          <w:color w:val="000000" w:themeColor="text1"/>
          <w:sz w:val="24"/>
          <w:szCs w:val="24"/>
        </w:rPr>
        <w:t>a</w:t>
      </w:r>
      <w:r w:rsidRPr="008F52E1">
        <w:rPr>
          <w:rFonts w:ascii="Times New Roman" w:hAnsi="Times New Roman" w:cs="Times New Roman"/>
          <w:color w:val="000000" w:themeColor="text1"/>
          <w:sz w:val="24"/>
          <w:szCs w:val="24"/>
        </w:rPr>
        <w:t>cNe</w:t>
      </w:r>
      <w:r w:rsidR="001A7337">
        <w:rPr>
          <w:rFonts w:ascii="Times New Roman" w:hAnsi="Times New Roman" w:cs="Times New Roman"/>
          <w:color w:val="000000" w:themeColor="text1"/>
          <w:sz w:val="24"/>
          <w:szCs w:val="24"/>
        </w:rPr>
        <w:t>ill</w:t>
      </w:r>
      <w:proofErr w:type="spellEnd"/>
      <w:r w:rsidRPr="008F52E1">
        <w:rPr>
          <w:rFonts w:ascii="Times New Roman" w:hAnsi="Times New Roman" w:cs="Times New Roman"/>
          <w:color w:val="000000" w:themeColor="text1"/>
          <w:sz w:val="24"/>
          <w:szCs w:val="24"/>
        </w:rPr>
        <w:t xml:space="preserve">, 2011). </w:t>
      </w:r>
    </w:p>
    <w:p w14:paraId="006C286E" w14:textId="24CA64F3" w:rsidR="00A133AE" w:rsidRDefault="00A133AE" w:rsidP="00A133AE">
      <w:pPr>
        <w:pStyle w:val="Normal1"/>
        <w:spacing w:line="480" w:lineRule="auto"/>
        <w:jc w:val="both"/>
        <w:rPr>
          <w:rFonts w:ascii="Times New Roman" w:hAnsi="Times New Roman" w:cs="Times New Roman"/>
          <w:color w:val="000000" w:themeColor="text1"/>
          <w:sz w:val="24"/>
          <w:szCs w:val="24"/>
        </w:rPr>
      </w:pPr>
      <w:r w:rsidRPr="008F52E1">
        <w:rPr>
          <w:rFonts w:ascii="Times New Roman" w:hAnsi="Times New Roman" w:cs="Times New Roman"/>
          <w:color w:val="000000" w:themeColor="text1"/>
          <w:sz w:val="24"/>
          <w:szCs w:val="24"/>
        </w:rPr>
        <w:t>Lymphadenitis is defined as an infiltration of one or more non-lymphoid inflammatory cells in a lymph node (</w:t>
      </w:r>
      <w:proofErr w:type="spellStart"/>
      <w:r w:rsidRPr="008F52E1">
        <w:rPr>
          <w:rFonts w:ascii="Times New Roman" w:hAnsi="Times New Roman" w:cs="Times New Roman"/>
          <w:color w:val="000000" w:themeColor="text1"/>
          <w:sz w:val="24"/>
          <w:szCs w:val="24"/>
        </w:rPr>
        <w:t>Teske</w:t>
      </w:r>
      <w:proofErr w:type="spellEnd"/>
      <w:r w:rsidRPr="008F52E1">
        <w:rPr>
          <w:rFonts w:ascii="Times New Roman" w:hAnsi="Times New Roman" w:cs="Times New Roman"/>
          <w:color w:val="000000" w:themeColor="text1"/>
          <w:sz w:val="24"/>
          <w:szCs w:val="24"/>
        </w:rPr>
        <w:t xml:space="preserve">, 2014). </w:t>
      </w:r>
      <w:r w:rsidRPr="008F52E1">
        <w:rPr>
          <w:rFonts w:ascii="Times New Roman" w:hAnsi="Times New Roman" w:cs="Times New Roman"/>
          <w:sz w:val="24"/>
          <w:szCs w:val="24"/>
        </w:rPr>
        <w:t xml:space="preserve">Neutrophilic lymphadenitis, also called purulent or </w:t>
      </w:r>
      <w:proofErr w:type="spellStart"/>
      <w:r w:rsidRPr="008F52E1">
        <w:rPr>
          <w:rFonts w:ascii="Times New Roman" w:hAnsi="Times New Roman" w:cs="Times New Roman"/>
          <w:sz w:val="24"/>
          <w:szCs w:val="24"/>
        </w:rPr>
        <w:t>suppurative</w:t>
      </w:r>
      <w:proofErr w:type="spellEnd"/>
      <w:r w:rsidRPr="008F52E1">
        <w:rPr>
          <w:rFonts w:ascii="Times New Roman" w:hAnsi="Times New Roman" w:cs="Times New Roman"/>
          <w:sz w:val="24"/>
          <w:szCs w:val="24"/>
        </w:rPr>
        <w:t xml:space="preserve"> lymphadenitis, is characterised by a neutrophil population exceeding 5% of the cellular population within a lymph node. It may be associated with bacterial, neoplastic or immune-mediated diseases. Granulomatous lymphadenitis is diagnosed when the percentage of histiocytic cells is increased above 2% of the total cell population in a lymph node. Pyogranulomatous lymphadenitis is considered when lymph nodes contain mixed inflammation comprised of increased numbers of neutrophils and macrophages (McNeill, 2011). </w:t>
      </w:r>
      <w:r w:rsidR="00577918">
        <w:rPr>
          <w:rFonts w:ascii="Times New Roman" w:hAnsi="Times New Roman" w:cs="Times New Roman"/>
          <w:sz w:val="24"/>
          <w:szCs w:val="24"/>
        </w:rPr>
        <w:t xml:space="preserve">Pyogranulomatous lymphadenitis can be associated </w:t>
      </w:r>
      <w:r w:rsidR="00C61CDD">
        <w:rPr>
          <w:rFonts w:ascii="Times New Roman" w:hAnsi="Times New Roman" w:cs="Times New Roman"/>
          <w:sz w:val="24"/>
          <w:szCs w:val="24"/>
        </w:rPr>
        <w:t>with</w:t>
      </w:r>
      <w:r w:rsidR="00577918">
        <w:rPr>
          <w:rFonts w:ascii="Times New Roman" w:hAnsi="Times New Roman" w:cs="Times New Roman"/>
          <w:sz w:val="24"/>
          <w:szCs w:val="24"/>
        </w:rPr>
        <w:t xml:space="preserve"> fungal, </w:t>
      </w:r>
      <w:r w:rsidR="00E339CF">
        <w:rPr>
          <w:rFonts w:ascii="Times New Roman" w:hAnsi="Times New Roman" w:cs="Times New Roman"/>
          <w:sz w:val="24"/>
          <w:szCs w:val="24"/>
        </w:rPr>
        <w:t xml:space="preserve">mycobacterial </w:t>
      </w:r>
      <w:r w:rsidR="00C61CDD">
        <w:rPr>
          <w:rFonts w:ascii="Times New Roman" w:hAnsi="Times New Roman" w:cs="Times New Roman"/>
          <w:sz w:val="24"/>
          <w:szCs w:val="24"/>
        </w:rPr>
        <w:t>and</w:t>
      </w:r>
      <w:r w:rsidR="00C61CDD" w:rsidRPr="00C61CDD">
        <w:rPr>
          <w:rFonts w:ascii="Times New Roman" w:hAnsi="Times New Roman" w:cs="Times New Roman"/>
          <w:sz w:val="24"/>
          <w:szCs w:val="24"/>
        </w:rPr>
        <w:t xml:space="preserve"> </w:t>
      </w:r>
      <w:proofErr w:type="spellStart"/>
      <w:r w:rsidR="00C61CDD">
        <w:rPr>
          <w:rFonts w:ascii="Times New Roman" w:hAnsi="Times New Roman" w:cs="Times New Roman"/>
          <w:sz w:val="24"/>
          <w:szCs w:val="24"/>
        </w:rPr>
        <w:t>neorickettsial</w:t>
      </w:r>
      <w:proofErr w:type="spellEnd"/>
      <w:r w:rsidR="00C61CDD">
        <w:rPr>
          <w:rFonts w:ascii="Times New Roman" w:hAnsi="Times New Roman" w:cs="Times New Roman"/>
          <w:sz w:val="24"/>
          <w:szCs w:val="24"/>
        </w:rPr>
        <w:t xml:space="preserve"> infections</w:t>
      </w:r>
      <w:r w:rsidR="00E339CF">
        <w:rPr>
          <w:rFonts w:ascii="Times New Roman" w:hAnsi="Times New Roman" w:cs="Times New Roman"/>
          <w:sz w:val="24"/>
          <w:szCs w:val="24"/>
        </w:rPr>
        <w:t xml:space="preserve">, </w:t>
      </w:r>
      <w:proofErr w:type="spellStart"/>
      <w:r w:rsidR="00C61CDD">
        <w:rPr>
          <w:rFonts w:ascii="Times New Roman" w:hAnsi="Times New Roman" w:cs="Times New Roman"/>
          <w:sz w:val="24"/>
          <w:szCs w:val="24"/>
        </w:rPr>
        <w:t>l</w:t>
      </w:r>
      <w:r w:rsidR="00577918">
        <w:rPr>
          <w:rFonts w:ascii="Times New Roman" w:hAnsi="Times New Roman" w:cs="Times New Roman"/>
          <w:sz w:val="24"/>
          <w:szCs w:val="24"/>
        </w:rPr>
        <w:t>eishmaniasis</w:t>
      </w:r>
      <w:proofErr w:type="spellEnd"/>
      <w:r w:rsidR="00577918">
        <w:rPr>
          <w:rFonts w:ascii="Times New Roman" w:hAnsi="Times New Roman" w:cs="Times New Roman"/>
          <w:sz w:val="24"/>
          <w:szCs w:val="24"/>
        </w:rPr>
        <w:t>,</w:t>
      </w:r>
      <w:r w:rsidR="00B65959">
        <w:rPr>
          <w:rFonts w:ascii="Times New Roman" w:hAnsi="Times New Roman" w:cs="Times New Roman"/>
          <w:sz w:val="24"/>
          <w:szCs w:val="24"/>
        </w:rPr>
        <w:t xml:space="preserve"> </w:t>
      </w:r>
      <w:proofErr w:type="spellStart"/>
      <w:r w:rsidR="00E339CF">
        <w:rPr>
          <w:rFonts w:ascii="Times New Roman" w:hAnsi="Times New Roman" w:cs="Times New Roman"/>
          <w:sz w:val="24"/>
          <w:szCs w:val="24"/>
        </w:rPr>
        <w:t>bartonellosis</w:t>
      </w:r>
      <w:proofErr w:type="spellEnd"/>
      <w:r w:rsidR="00E339CF">
        <w:rPr>
          <w:rFonts w:ascii="Times New Roman" w:hAnsi="Times New Roman" w:cs="Times New Roman"/>
          <w:sz w:val="24"/>
          <w:szCs w:val="24"/>
        </w:rPr>
        <w:t xml:space="preserve">, </w:t>
      </w:r>
      <w:proofErr w:type="spellStart"/>
      <w:r w:rsidR="00E339CF">
        <w:rPr>
          <w:rFonts w:ascii="Times New Roman" w:hAnsi="Times New Roman" w:cs="Times New Roman"/>
          <w:sz w:val="24"/>
          <w:szCs w:val="24"/>
        </w:rPr>
        <w:t>prothotecosis</w:t>
      </w:r>
      <w:proofErr w:type="spellEnd"/>
      <w:r w:rsidR="00E339CF">
        <w:rPr>
          <w:rFonts w:ascii="Times New Roman" w:hAnsi="Times New Roman" w:cs="Times New Roman"/>
          <w:sz w:val="24"/>
          <w:szCs w:val="24"/>
        </w:rPr>
        <w:t>, juvenile cellulitis, vasculitis and idiopathic lymphadenitis</w:t>
      </w:r>
      <w:r w:rsidR="00577918">
        <w:rPr>
          <w:rFonts w:ascii="Times New Roman" w:hAnsi="Times New Roman" w:cs="Times New Roman"/>
          <w:sz w:val="24"/>
          <w:szCs w:val="24"/>
        </w:rPr>
        <w:t xml:space="preserve"> (Ishida, 2017</w:t>
      </w:r>
      <w:r w:rsidR="00E339CF">
        <w:rPr>
          <w:rFonts w:ascii="Times New Roman" w:hAnsi="Times New Roman" w:cs="Times New Roman"/>
          <w:sz w:val="24"/>
          <w:szCs w:val="24"/>
        </w:rPr>
        <w:t xml:space="preserve">; </w:t>
      </w:r>
      <w:proofErr w:type="spellStart"/>
      <w:r w:rsidR="00CF4854">
        <w:rPr>
          <w:rFonts w:ascii="Times New Roman" w:hAnsi="Times New Roman" w:cs="Times New Roman"/>
          <w:sz w:val="24"/>
          <w:szCs w:val="24"/>
        </w:rPr>
        <w:t>Raskin</w:t>
      </w:r>
      <w:proofErr w:type="spellEnd"/>
      <w:r w:rsidR="00CF4854">
        <w:rPr>
          <w:rFonts w:ascii="Times New Roman" w:hAnsi="Times New Roman" w:cs="Times New Roman"/>
          <w:sz w:val="24"/>
          <w:szCs w:val="24"/>
        </w:rPr>
        <w:t xml:space="preserve"> </w:t>
      </w:r>
      <w:r w:rsidR="00CF4854">
        <w:rPr>
          <w:rFonts w:ascii="Times New Roman" w:hAnsi="Times New Roman" w:cs="Times New Roman"/>
          <w:i/>
          <w:sz w:val="24"/>
          <w:szCs w:val="24"/>
        </w:rPr>
        <w:t>et al</w:t>
      </w:r>
      <w:r w:rsidR="00CF4854">
        <w:rPr>
          <w:rFonts w:ascii="Times New Roman" w:hAnsi="Times New Roman" w:cs="Times New Roman"/>
          <w:sz w:val="24"/>
          <w:szCs w:val="24"/>
        </w:rPr>
        <w:t>, 2016</w:t>
      </w:r>
      <w:r w:rsidR="00577918">
        <w:rPr>
          <w:rFonts w:ascii="Times New Roman" w:hAnsi="Times New Roman" w:cs="Times New Roman"/>
          <w:sz w:val="24"/>
          <w:szCs w:val="24"/>
        </w:rPr>
        <w:t>).</w:t>
      </w:r>
      <w:r w:rsidR="00A2701A">
        <w:rPr>
          <w:rFonts w:ascii="Times New Roman" w:hAnsi="Times New Roman" w:cs="Times New Roman"/>
          <w:sz w:val="24"/>
          <w:szCs w:val="24"/>
        </w:rPr>
        <w:t xml:space="preserve"> </w:t>
      </w:r>
      <w:r w:rsidR="0012337C">
        <w:rPr>
          <w:rFonts w:ascii="Times New Roman" w:hAnsi="Times New Roman" w:cs="Times New Roman"/>
          <w:sz w:val="24"/>
          <w:szCs w:val="24"/>
        </w:rPr>
        <w:t xml:space="preserve">There is a small number of cases reported with sterile lymphadenitis but </w:t>
      </w:r>
      <w:r w:rsidR="00C14B5B">
        <w:rPr>
          <w:rFonts w:ascii="Times New Roman" w:hAnsi="Times New Roman" w:cs="Times New Roman"/>
          <w:sz w:val="24"/>
          <w:szCs w:val="24"/>
        </w:rPr>
        <w:t>this disease</w:t>
      </w:r>
      <w:r w:rsidR="00AF7CA7">
        <w:rPr>
          <w:rFonts w:ascii="Times New Roman" w:hAnsi="Times New Roman" w:cs="Times New Roman"/>
          <w:sz w:val="24"/>
          <w:szCs w:val="24"/>
        </w:rPr>
        <w:t xml:space="preserve"> is currently poorly understood. </w:t>
      </w:r>
      <w:r w:rsidR="00AF7CA7">
        <w:rPr>
          <w:rFonts w:ascii="Times New Roman" w:hAnsi="Times New Roman" w:cs="Times New Roman"/>
          <w:color w:val="000000" w:themeColor="text1"/>
          <w:sz w:val="24"/>
          <w:szCs w:val="24"/>
        </w:rPr>
        <w:t>T</w:t>
      </w:r>
      <w:r w:rsidR="0012337C">
        <w:rPr>
          <w:rFonts w:ascii="Times New Roman" w:hAnsi="Times New Roman" w:cs="Times New Roman"/>
          <w:color w:val="000000" w:themeColor="text1"/>
          <w:sz w:val="24"/>
          <w:szCs w:val="24"/>
        </w:rPr>
        <w:t>hese cases can often present with pyrexia.</w:t>
      </w:r>
      <w:r w:rsidR="00274E72">
        <w:rPr>
          <w:rFonts w:ascii="Times New Roman" w:hAnsi="Times New Roman" w:cs="Times New Roman"/>
          <w:color w:val="000000" w:themeColor="text1"/>
          <w:sz w:val="24"/>
          <w:szCs w:val="24"/>
        </w:rPr>
        <w:t xml:space="preserve"> </w:t>
      </w:r>
    </w:p>
    <w:p w14:paraId="148B89D6" w14:textId="77777777" w:rsidR="00A133AE" w:rsidRDefault="00A133AE" w:rsidP="00A133AE">
      <w:pPr>
        <w:pStyle w:val="Normal1"/>
        <w:spacing w:line="480" w:lineRule="auto"/>
        <w:jc w:val="both"/>
        <w:rPr>
          <w:rFonts w:ascii="Times New Roman" w:hAnsi="Times New Roman" w:cs="Times New Roman"/>
          <w:sz w:val="24"/>
          <w:szCs w:val="24"/>
        </w:rPr>
      </w:pPr>
    </w:p>
    <w:p w14:paraId="741FFCE9" w14:textId="0630F565" w:rsidR="00E66CDC" w:rsidRDefault="00E66CDC" w:rsidP="00B22A77">
      <w:pPr>
        <w:pStyle w:val="Normal1"/>
        <w:spacing w:line="480" w:lineRule="auto"/>
        <w:jc w:val="both"/>
        <w:rPr>
          <w:rFonts w:ascii="Times New Roman" w:hAnsi="Times New Roman" w:cs="Times New Roman"/>
          <w:sz w:val="24"/>
          <w:szCs w:val="24"/>
        </w:rPr>
      </w:pPr>
      <w:r w:rsidRPr="008F52E1">
        <w:rPr>
          <w:rFonts w:ascii="Times New Roman" w:hAnsi="Times New Roman" w:cs="Times New Roman"/>
          <w:sz w:val="24"/>
          <w:szCs w:val="24"/>
        </w:rPr>
        <w:t>Pyrexia, or fever, is defined as increased body temperature due to an elevation of the thermal set point in the anterior hypothalamus secondary to pyrogen release (</w:t>
      </w:r>
      <w:r w:rsidR="001248B6">
        <w:rPr>
          <w:rFonts w:ascii="Times New Roman" w:hAnsi="Times New Roman" w:cs="Times New Roman"/>
          <w:sz w:val="24"/>
          <w:szCs w:val="24"/>
        </w:rPr>
        <w:t>Ramsey</w:t>
      </w:r>
      <w:r w:rsidR="00033BB4">
        <w:rPr>
          <w:rFonts w:ascii="Times New Roman" w:hAnsi="Times New Roman" w:cs="Times New Roman"/>
          <w:sz w:val="24"/>
          <w:szCs w:val="24"/>
        </w:rPr>
        <w:t xml:space="preserve"> </w:t>
      </w:r>
      <w:r w:rsidR="00033BB4">
        <w:rPr>
          <w:rFonts w:ascii="Times New Roman" w:hAnsi="Times New Roman" w:cs="Times New Roman"/>
          <w:i/>
          <w:sz w:val="24"/>
          <w:szCs w:val="24"/>
        </w:rPr>
        <w:t>et al</w:t>
      </w:r>
      <w:r w:rsidR="001248B6">
        <w:rPr>
          <w:rFonts w:ascii="Times New Roman" w:hAnsi="Times New Roman" w:cs="Times New Roman"/>
          <w:sz w:val="24"/>
          <w:szCs w:val="24"/>
        </w:rPr>
        <w:t>, 2017</w:t>
      </w:r>
      <w:r w:rsidRPr="008F52E1">
        <w:rPr>
          <w:rFonts w:ascii="Times New Roman" w:hAnsi="Times New Roman" w:cs="Times New Roman"/>
          <w:sz w:val="24"/>
          <w:szCs w:val="24"/>
        </w:rPr>
        <w:t xml:space="preserve">). Fever of unknown origin (FUO) is a major </w:t>
      </w:r>
      <w:r w:rsidR="005D2070">
        <w:rPr>
          <w:rFonts w:ascii="Times New Roman" w:hAnsi="Times New Roman" w:cs="Times New Roman"/>
          <w:sz w:val="24"/>
          <w:szCs w:val="24"/>
        </w:rPr>
        <w:t xml:space="preserve">diagnostic </w:t>
      </w:r>
      <w:r w:rsidRPr="008F52E1">
        <w:rPr>
          <w:rFonts w:ascii="Times New Roman" w:hAnsi="Times New Roman" w:cs="Times New Roman"/>
          <w:sz w:val="24"/>
          <w:szCs w:val="24"/>
        </w:rPr>
        <w:t>challenge in both human and veterinary medicine (</w:t>
      </w:r>
      <w:proofErr w:type="spellStart"/>
      <w:r w:rsidRPr="008F52E1">
        <w:rPr>
          <w:rFonts w:ascii="Times New Roman" w:hAnsi="Times New Roman" w:cs="Times New Roman"/>
          <w:sz w:val="24"/>
          <w:szCs w:val="24"/>
        </w:rPr>
        <w:t>Chervier</w:t>
      </w:r>
      <w:proofErr w:type="spellEnd"/>
      <w:r w:rsidR="007319A2">
        <w:rPr>
          <w:rFonts w:ascii="Times New Roman" w:hAnsi="Times New Roman" w:cs="Times New Roman"/>
          <w:sz w:val="24"/>
          <w:szCs w:val="24"/>
        </w:rPr>
        <w:t xml:space="preserve"> </w:t>
      </w:r>
      <w:r w:rsidR="007319A2">
        <w:rPr>
          <w:rFonts w:ascii="Times New Roman" w:hAnsi="Times New Roman" w:cs="Times New Roman"/>
          <w:i/>
          <w:sz w:val="24"/>
          <w:szCs w:val="24"/>
        </w:rPr>
        <w:t>et al</w:t>
      </w:r>
      <w:r w:rsidRPr="008F52E1">
        <w:rPr>
          <w:rFonts w:ascii="Times New Roman" w:hAnsi="Times New Roman" w:cs="Times New Roman"/>
          <w:sz w:val="24"/>
          <w:szCs w:val="24"/>
        </w:rPr>
        <w:t>, 2012). Although the human literature is relatively complete regarding FUO, there are few studies in the veterinary literature to explore the more common causes of canine FUO (</w:t>
      </w:r>
      <w:proofErr w:type="spellStart"/>
      <w:r w:rsidRPr="008F52E1">
        <w:rPr>
          <w:rFonts w:ascii="Times New Roman" w:hAnsi="Times New Roman" w:cs="Times New Roman"/>
          <w:sz w:val="24"/>
          <w:szCs w:val="24"/>
        </w:rPr>
        <w:t>Battersby</w:t>
      </w:r>
      <w:proofErr w:type="spellEnd"/>
      <w:r w:rsidR="001A7337">
        <w:rPr>
          <w:rFonts w:ascii="Times New Roman" w:hAnsi="Times New Roman" w:cs="Times New Roman"/>
          <w:sz w:val="24"/>
          <w:szCs w:val="24"/>
        </w:rPr>
        <w:t xml:space="preserve"> </w:t>
      </w:r>
      <w:r w:rsidR="001A7337">
        <w:rPr>
          <w:rFonts w:ascii="Times New Roman" w:hAnsi="Times New Roman" w:cs="Times New Roman"/>
          <w:i/>
          <w:sz w:val="24"/>
          <w:szCs w:val="24"/>
        </w:rPr>
        <w:t>et al</w:t>
      </w:r>
      <w:r w:rsidRPr="008F52E1">
        <w:rPr>
          <w:rFonts w:ascii="Times New Roman" w:hAnsi="Times New Roman" w:cs="Times New Roman"/>
          <w:sz w:val="24"/>
          <w:szCs w:val="24"/>
        </w:rPr>
        <w:t xml:space="preserve">, 2006; </w:t>
      </w:r>
      <w:proofErr w:type="spellStart"/>
      <w:r w:rsidRPr="008F52E1">
        <w:rPr>
          <w:rFonts w:ascii="Times New Roman" w:hAnsi="Times New Roman" w:cs="Times New Roman"/>
          <w:sz w:val="24"/>
          <w:szCs w:val="24"/>
        </w:rPr>
        <w:t>Chervier</w:t>
      </w:r>
      <w:proofErr w:type="spellEnd"/>
      <w:r w:rsidR="001A7337">
        <w:rPr>
          <w:rFonts w:ascii="Times New Roman" w:hAnsi="Times New Roman" w:cs="Times New Roman"/>
          <w:sz w:val="24"/>
          <w:szCs w:val="24"/>
        </w:rPr>
        <w:t xml:space="preserve"> </w:t>
      </w:r>
      <w:r w:rsidR="001A7337">
        <w:rPr>
          <w:rFonts w:ascii="Times New Roman" w:hAnsi="Times New Roman" w:cs="Times New Roman"/>
          <w:i/>
          <w:sz w:val="24"/>
          <w:szCs w:val="24"/>
        </w:rPr>
        <w:t>et al</w:t>
      </w:r>
      <w:r w:rsidRPr="008F52E1">
        <w:rPr>
          <w:rFonts w:ascii="Times New Roman" w:hAnsi="Times New Roman" w:cs="Times New Roman"/>
          <w:sz w:val="24"/>
          <w:szCs w:val="24"/>
        </w:rPr>
        <w:t>, 2012; Dunn</w:t>
      </w:r>
      <w:r w:rsidR="001A7337">
        <w:rPr>
          <w:rFonts w:ascii="Times New Roman" w:hAnsi="Times New Roman" w:cs="Times New Roman"/>
          <w:sz w:val="24"/>
          <w:szCs w:val="24"/>
        </w:rPr>
        <w:t xml:space="preserve"> </w:t>
      </w:r>
      <w:r w:rsidR="001A7337">
        <w:rPr>
          <w:rFonts w:ascii="Times New Roman" w:hAnsi="Times New Roman" w:cs="Times New Roman"/>
          <w:i/>
          <w:sz w:val="24"/>
          <w:szCs w:val="24"/>
        </w:rPr>
        <w:t>et al</w:t>
      </w:r>
      <w:r w:rsidRPr="008F52E1">
        <w:rPr>
          <w:rFonts w:ascii="Times New Roman" w:hAnsi="Times New Roman" w:cs="Times New Roman"/>
          <w:sz w:val="24"/>
          <w:szCs w:val="24"/>
        </w:rPr>
        <w:t>, 1998).</w:t>
      </w:r>
    </w:p>
    <w:p w14:paraId="302861EA" w14:textId="46F3C35F" w:rsidR="002312FB" w:rsidRPr="008F52E1" w:rsidRDefault="00926A70" w:rsidP="002312FB">
      <w:pPr>
        <w:pStyle w:val="Normal1"/>
        <w:spacing w:line="480" w:lineRule="auto"/>
        <w:jc w:val="both"/>
        <w:rPr>
          <w:rFonts w:ascii="Times New Roman" w:hAnsi="Times New Roman" w:cs="Times New Roman"/>
          <w:sz w:val="24"/>
          <w:szCs w:val="24"/>
        </w:rPr>
      </w:pPr>
      <w:r w:rsidRPr="008F52E1">
        <w:rPr>
          <w:rFonts w:ascii="Times New Roman" w:hAnsi="Times New Roman" w:cs="Times New Roman"/>
          <w:sz w:val="24"/>
          <w:szCs w:val="24"/>
        </w:rPr>
        <w:t>The aim of this study was to report the clinical presentation, diagnostic testing, treatment response and outcome of canine sterile steroid-re</w:t>
      </w:r>
      <w:r w:rsidR="00EA712B">
        <w:rPr>
          <w:rFonts w:ascii="Times New Roman" w:hAnsi="Times New Roman" w:cs="Times New Roman"/>
          <w:sz w:val="24"/>
          <w:szCs w:val="24"/>
        </w:rPr>
        <w:t xml:space="preserve">sponsive lymphadenitis (CSSRL), </w:t>
      </w:r>
      <w:r w:rsidR="002312FB">
        <w:rPr>
          <w:rFonts w:ascii="Times New Roman" w:hAnsi="Times New Roman" w:cs="Times New Roman"/>
          <w:sz w:val="24"/>
          <w:szCs w:val="24"/>
        </w:rPr>
        <w:t xml:space="preserve">which </w:t>
      </w:r>
      <w:r w:rsidR="00C61CDD">
        <w:rPr>
          <w:rFonts w:ascii="Times New Roman" w:hAnsi="Times New Roman" w:cs="Times New Roman"/>
          <w:sz w:val="24"/>
          <w:szCs w:val="24"/>
        </w:rPr>
        <w:t xml:space="preserve">is not </w:t>
      </w:r>
      <w:r w:rsidR="002312FB">
        <w:rPr>
          <w:rFonts w:ascii="Times New Roman" w:hAnsi="Times New Roman" w:cs="Times New Roman"/>
          <w:sz w:val="24"/>
          <w:szCs w:val="24"/>
        </w:rPr>
        <w:t xml:space="preserve">well described in the veterinary literature. </w:t>
      </w:r>
    </w:p>
    <w:p w14:paraId="75DE62D2" w14:textId="69DAB7BB" w:rsidR="00926A70" w:rsidRPr="008F52E1" w:rsidRDefault="00926A70" w:rsidP="00B22A77">
      <w:pPr>
        <w:pStyle w:val="Normal1"/>
        <w:spacing w:line="480" w:lineRule="auto"/>
        <w:jc w:val="both"/>
        <w:rPr>
          <w:rFonts w:ascii="Times New Roman" w:hAnsi="Times New Roman" w:cs="Times New Roman"/>
          <w:sz w:val="24"/>
          <w:szCs w:val="24"/>
        </w:rPr>
      </w:pPr>
    </w:p>
    <w:p w14:paraId="38EFDF0B" w14:textId="77777777" w:rsidR="002D78F3" w:rsidRPr="008F52E1" w:rsidRDefault="002D78F3" w:rsidP="00B22A77">
      <w:pPr>
        <w:spacing w:line="480" w:lineRule="auto"/>
        <w:jc w:val="both"/>
      </w:pPr>
    </w:p>
    <w:p w14:paraId="0836FCFD" w14:textId="77777777" w:rsidR="00202876" w:rsidRDefault="00202876" w:rsidP="00B22A77">
      <w:pPr>
        <w:spacing w:line="480" w:lineRule="auto"/>
        <w:rPr>
          <w:b/>
        </w:rPr>
      </w:pPr>
      <w:r>
        <w:rPr>
          <w:b/>
        </w:rPr>
        <w:br w:type="page"/>
      </w:r>
    </w:p>
    <w:p w14:paraId="4A5EAE60" w14:textId="1A1A90F0" w:rsidR="009B16BB" w:rsidRPr="008F52E1" w:rsidRDefault="00202876" w:rsidP="00B22A77">
      <w:pPr>
        <w:spacing w:line="480" w:lineRule="auto"/>
        <w:jc w:val="both"/>
        <w:rPr>
          <w:b/>
        </w:rPr>
      </w:pPr>
      <w:r>
        <w:rPr>
          <w:b/>
        </w:rPr>
        <w:lastRenderedPageBreak/>
        <w:t>Materials and Methods</w:t>
      </w:r>
    </w:p>
    <w:p w14:paraId="0BF05924" w14:textId="04657484" w:rsidR="009B16BB" w:rsidRPr="008F52E1" w:rsidRDefault="0026307B" w:rsidP="006F3232">
      <w:pPr>
        <w:spacing w:line="480" w:lineRule="auto"/>
        <w:jc w:val="both"/>
      </w:pPr>
      <w:r>
        <w:t xml:space="preserve">The medical records of dogs diagnosed </w:t>
      </w:r>
      <w:r w:rsidRPr="0026307B">
        <w:t>with canine sterile steroid-responsive lymphadenitis from 2009 to 2016 at six specialist referral centres</w:t>
      </w:r>
      <w:r>
        <w:t xml:space="preserve"> in the United Kingdom</w:t>
      </w:r>
      <w:r w:rsidR="006464B4">
        <w:t xml:space="preserve"> (UK)</w:t>
      </w:r>
      <w:r w:rsidRPr="0026307B">
        <w:t xml:space="preserve"> </w:t>
      </w:r>
      <w:r>
        <w:t>were retrospectively</w:t>
      </w:r>
      <w:r w:rsidR="005D2070" w:rsidRPr="005D2070">
        <w:t xml:space="preserve"> </w:t>
      </w:r>
      <w:r w:rsidR="005D2070">
        <w:t>evaluated</w:t>
      </w:r>
      <w:r>
        <w:t xml:space="preserve">. </w:t>
      </w:r>
      <w:r w:rsidR="009B16BB" w:rsidRPr="008F52E1">
        <w:t>The data from each institution was retrieved via searches of practice management systems with computerised and paper-based records. Collaboration between institutions was ach</w:t>
      </w:r>
      <w:r w:rsidR="002213F4" w:rsidRPr="008F52E1">
        <w:t xml:space="preserve">ieved </w:t>
      </w:r>
      <w:r>
        <w:t>by completing a standardised spreadsheet.</w:t>
      </w:r>
      <w:r w:rsidR="00D13D02" w:rsidRPr="008F52E1">
        <w:t xml:space="preserve"> Data collected included </w:t>
      </w:r>
      <w:proofErr w:type="spellStart"/>
      <w:r w:rsidR="006F3232">
        <w:t>signalment</w:t>
      </w:r>
      <w:proofErr w:type="spellEnd"/>
      <w:r w:rsidR="006F3232">
        <w:t>, history</w:t>
      </w:r>
      <w:r w:rsidR="006F3232" w:rsidRPr="006F3232">
        <w:t xml:space="preserve"> </w:t>
      </w:r>
      <w:r w:rsidR="006F3232">
        <w:t>(including time to referral and</w:t>
      </w:r>
      <w:r w:rsidR="006F3232" w:rsidRPr="008F52E1">
        <w:t xml:space="preserve"> pre-referral treatment</w:t>
      </w:r>
      <w:r w:rsidR="006F3232">
        <w:t xml:space="preserve">), physical examination findings (including lymph node size and distribution), clinical pathology data (including results of </w:t>
      </w:r>
      <w:r w:rsidR="00D13D02" w:rsidRPr="008F52E1">
        <w:t>lymph node cytology and</w:t>
      </w:r>
      <w:r w:rsidR="006F3232">
        <w:t>/or</w:t>
      </w:r>
      <w:r w:rsidR="00D13D02" w:rsidRPr="008F52E1">
        <w:t xml:space="preserve"> histo</w:t>
      </w:r>
      <w:r w:rsidR="006F3232">
        <w:t>patho</w:t>
      </w:r>
      <w:r w:rsidR="00D13D02" w:rsidRPr="008F52E1">
        <w:t>logy</w:t>
      </w:r>
      <w:r w:rsidR="006F3232">
        <w:t xml:space="preserve"> and infectious disease screening)</w:t>
      </w:r>
      <w:r w:rsidR="00D13D02" w:rsidRPr="008F52E1">
        <w:t xml:space="preserve">, </w:t>
      </w:r>
      <w:r w:rsidR="006F3232">
        <w:t xml:space="preserve">diagnostic imaging results, treatment and outcome </w:t>
      </w:r>
      <w:r w:rsidR="00D13D02" w:rsidRPr="008F52E1">
        <w:t>(</w:t>
      </w:r>
      <w:r w:rsidR="006F3232">
        <w:t xml:space="preserve">including </w:t>
      </w:r>
      <w:r w:rsidR="00D13D02" w:rsidRPr="008F52E1">
        <w:t>time to relapse, repeat treatment).</w:t>
      </w:r>
      <w:r w:rsidR="006F3232">
        <w:t xml:space="preserve"> Dogs with incomplete medical records were excluded. The </w:t>
      </w:r>
      <w:r w:rsidR="006F3232" w:rsidRPr="006F3232">
        <w:t>study</w:t>
      </w:r>
      <w:r w:rsidR="005D2070">
        <w:t xml:space="preserve"> </w:t>
      </w:r>
      <w:r w:rsidR="006F3232" w:rsidRPr="006F3232">
        <w:t xml:space="preserve">was approved by the </w:t>
      </w:r>
      <w:r w:rsidR="006F3232">
        <w:t xml:space="preserve">ethics committee of the </w:t>
      </w:r>
      <w:r w:rsidR="006F3232" w:rsidRPr="006F3232">
        <w:t>School of Veterinary Medi</w:t>
      </w:r>
      <w:r w:rsidR="006F3232">
        <w:t>cine and Science,</w:t>
      </w:r>
      <w:r w:rsidR="006F3232" w:rsidRPr="006F3232">
        <w:t xml:space="preserve"> University of Nottingham</w:t>
      </w:r>
      <w:r w:rsidR="006F3232">
        <w:t>.</w:t>
      </w:r>
    </w:p>
    <w:p w14:paraId="1E987FEA" w14:textId="77777777" w:rsidR="009B16BB" w:rsidRPr="008F52E1" w:rsidRDefault="009B16BB" w:rsidP="00B22A77">
      <w:pPr>
        <w:spacing w:line="480" w:lineRule="auto"/>
        <w:jc w:val="both"/>
      </w:pPr>
    </w:p>
    <w:p w14:paraId="5B6FF292" w14:textId="7102FB63" w:rsidR="009B16BB" w:rsidRDefault="006F3232" w:rsidP="00B22A77">
      <w:pPr>
        <w:spacing w:line="480" w:lineRule="auto"/>
        <w:jc w:val="both"/>
      </w:pPr>
      <w:r>
        <w:t xml:space="preserve">Case inclusion criteria </w:t>
      </w:r>
      <w:r w:rsidR="009B16BB" w:rsidRPr="008F52E1">
        <w:t xml:space="preserve">required a diagnosis of </w:t>
      </w:r>
      <w:r w:rsidR="00106738" w:rsidRPr="008F52E1">
        <w:t>lymphadenitis</w:t>
      </w:r>
      <w:r w:rsidR="00937409" w:rsidRPr="008F52E1">
        <w:t xml:space="preserve"> either with cytology,</w:t>
      </w:r>
      <w:r w:rsidR="009B16BB" w:rsidRPr="008F52E1">
        <w:t xml:space="preserve"> </w:t>
      </w:r>
      <w:r w:rsidR="00937409" w:rsidRPr="008F52E1">
        <w:t>histopathology</w:t>
      </w:r>
      <w:r w:rsidR="009B16BB" w:rsidRPr="008F52E1">
        <w:t xml:space="preserve"> </w:t>
      </w:r>
      <w:r w:rsidR="00937409" w:rsidRPr="008F52E1">
        <w:t>or both</w:t>
      </w:r>
      <w:r w:rsidR="00FA17C3">
        <w:t xml:space="preserve"> in which no underlying cause was </w:t>
      </w:r>
      <w:r w:rsidR="005D2070">
        <w:t>discernible</w:t>
      </w:r>
      <w:r w:rsidR="0047797B">
        <w:t xml:space="preserve"> </w:t>
      </w:r>
      <w:r w:rsidR="00C000EC">
        <w:t xml:space="preserve">and </w:t>
      </w:r>
      <w:r w:rsidR="00FA17C3">
        <w:t>a positive response to treatment with glucocorticoids</w:t>
      </w:r>
      <w:r w:rsidR="00F74566">
        <w:t xml:space="preserve"> was seen</w:t>
      </w:r>
      <w:r w:rsidR="009B16BB" w:rsidRPr="008F52E1">
        <w:t xml:space="preserve">. </w:t>
      </w:r>
      <w:r w:rsidR="00B7276B">
        <w:t>Neutrophilic lymphadenitis was diagnosed when the neutrophil population in the lymph node was &gt;5%; granulomatous lymphadenitis was diagnosed when histiocytic cells comprised &gt;2% of the lymph node population and pyogranulomatous lymphadenitis was diagnosed when there was a mixed inflammatory infiltrate with increased numbers of neutrophils and macrophages within the lymph node</w:t>
      </w:r>
      <w:r w:rsidR="00A21465">
        <w:t xml:space="preserve">; necrotizing lymphadenitis was diagnosed when there was neutrophilic or histiocytic inflammation accompanied </w:t>
      </w:r>
      <w:r w:rsidR="005D2070">
        <w:t xml:space="preserve">by </w:t>
      </w:r>
      <w:r w:rsidR="00FC755B">
        <w:t>necrosis</w:t>
      </w:r>
      <w:r w:rsidR="00A21465">
        <w:t xml:space="preserve"> within the lymph node</w:t>
      </w:r>
      <w:r w:rsidR="000014A7">
        <w:t xml:space="preserve">; reactive hyperplasia was </w:t>
      </w:r>
      <w:r w:rsidR="00057CB6">
        <w:t>diagnosed when there were increased numbers (15-30%) of medium and large lymphocytes</w:t>
      </w:r>
      <w:r w:rsidR="00A55900">
        <w:t xml:space="preserve"> with increased numbers of plasma cells</w:t>
      </w:r>
      <w:r w:rsidR="00A21465">
        <w:t xml:space="preserve">. </w:t>
      </w:r>
      <w:r w:rsidR="00B7276B">
        <w:t xml:space="preserve"> </w:t>
      </w:r>
      <w:r w:rsidR="009B16BB" w:rsidRPr="008F52E1">
        <w:t xml:space="preserve">Diagnostic investigations in each case excluded </w:t>
      </w:r>
      <w:r w:rsidR="009B16BB" w:rsidRPr="008F52E1">
        <w:lastRenderedPageBreak/>
        <w:t xml:space="preserve">other potential causes of </w:t>
      </w:r>
      <w:proofErr w:type="spellStart"/>
      <w:r w:rsidR="009B16BB" w:rsidRPr="008F52E1">
        <w:t>lymphadenomegaly</w:t>
      </w:r>
      <w:proofErr w:type="spellEnd"/>
      <w:r w:rsidR="009B16BB" w:rsidRPr="008F52E1">
        <w:t xml:space="preserve"> </w:t>
      </w:r>
      <w:r w:rsidR="001825D3" w:rsidRPr="008F52E1">
        <w:t>such as i</w:t>
      </w:r>
      <w:r w:rsidR="009B16BB" w:rsidRPr="008F52E1">
        <w:t>nfectious, inflammatory and neoplastic</w:t>
      </w:r>
      <w:proofErr w:type="gramStart"/>
      <w:r w:rsidR="009B16BB" w:rsidRPr="008F52E1">
        <w:t>.</w:t>
      </w:r>
      <w:r w:rsidR="00D27061" w:rsidRPr="008F52E1">
        <w:t>.</w:t>
      </w:r>
      <w:proofErr w:type="gramEnd"/>
      <w:r w:rsidR="00D27061" w:rsidRPr="008F52E1">
        <w:t xml:space="preserve"> </w:t>
      </w:r>
      <w:r w:rsidR="002448F8" w:rsidRPr="008F52E1">
        <w:t xml:space="preserve">In all the cases, haematology, biochemistry, urinalysis, urine culture, thoracic radiographs, abdominal ultrasound were performed. </w:t>
      </w:r>
      <w:r w:rsidR="00D27061" w:rsidRPr="008F52E1">
        <w:t xml:space="preserve">When appropriate, echocardiography, </w:t>
      </w:r>
      <w:r w:rsidR="008E1752">
        <w:t xml:space="preserve">abdominal radiographs, </w:t>
      </w:r>
      <w:r w:rsidR="00D27061" w:rsidRPr="008F52E1">
        <w:t>arthrocentesis</w:t>
      </w:r>
      <w:r w:rsidR="0070448E" w:rsidRPr="008F52E1">
        <w:t xml:space="preserve"> with synovial fluid analysis and culture</w:t>
      </w:r>
      <w:r w:rsidR="00D27061" w:rsidRPr="008F52E1">
        <w:t xml:space="preserve">, cerebrospinal fluid analysis, </w:t>
      </w:r>
      <w:r w:rsidR="005D2070">
        <w:t xml:space="preserve">tests for </w:t>
      </w:r>
      <w:r w:rsidR="00D27061" w:rsidRPr="008F52E1">
        <w:t>arthropod borne diseases</w:t>
      </w:r>
      <w:r w:rsidR="001130C4">
        <w:t xml:space="preserve"> including </w:t>
      </w:r>
      <w:proofErr w:type="spellStart"/>
      <w:r w:rsidR="001130C4" w:rsidRPr="00D25166">
        <w:rPr>
          <w:i/>
        </w:rPr>
        <w:t>Ehrlichia</w:t>
      </w:r>
      <w:proofErr w:type="spellEnd"/>
      <w:r w:rsidR="001130C4" w:rsidRPr="00D25166">
        <w:rPr>
          <w:i/>
        </w:rPr>
        <w:t xml:space="preserve"> </w:t>
      </w:r>
      <w:proofErr w:type="spellStart"/>
      <w:r w:rsidR="001130C4" w:rsidRPr="00D25166">
        <w:rPr>
          <w:i/>
        </w:rPr>
        <w:t>canis</w:t>
      </w:r>
      <w:proofErr w:type="spellEnd"/>
      <w:r w:rsidR="001130C4">
        <w:t xml:space="preserve">, </w:t>
      </w:r>
      <w:proofErr w:type="spellStart"/>
      <w:r w:rsidR="001130C4" w:rsidRPr="00D25166">
        <w:rPr>
          <w:i/>
        </w:rPr>
        <w:t>A</w:t>
      </w:r>
      <w:r w:rsidR="000D71CE" w:rsidRPr="00D25166">
        <w:rPr>
          <w:i/>
        </w:rPr>
        <w:t>naplasma</w:t>
      </w:r>
      <w:proofErr w:type="spellEnd"/>
      <w:r w:rsidR="000D71CE" w:rsidRPr="00D25166">
        <w:rPr>
          <w:i/>
        </w:rPr>
        <w:t xml:space="preserve"> </w:t>
      </w:r>
      <w:proofErr w:type="spellStart"/>
      <w:r w:rsidR="000D71CE" w:rsidRPr="00D25166">
        <w:rPr>
          <w:i/>
        </w:rPr>
        <w:t>phagocytophilum</w:t>
      </w:r>
      <w:proofErr w:type="spellEnd"/>
      <w:r w:rsidR="00F74566">
        <w:t xml:space="preserve">, </w:t>
      </w:r>
      <w:proofErr w:type="spellStart"/>
      <w:r w:rsidR="00F74566" w:rsidRPr="00D25166">
        <w:rPr>
          <w:i/>
        </w:rPr>
        <w:t>Borrelia</w:t>
      </w:r>
      <w:proofErr w:type="spellEnd"/>
      <w:r w:rsidR="00F74566" w:rsidRPr="00D25166">
        <w:rPr>
          <w:i/>
        </w:rPr>
        <w:t xml:space="preserve"> </w:t>
      </w:r>
      <w:proofErr w:type="spellStart"/>
      <w:r w:rsidR="00F74566" w:rsidRPr="00D25166">
        <w:rPr>
          <w:i/>
        </w:rPr>
        <w:t>burdorferi</w:t>
      </w:r>
      <w:proofErr w:type="spellEnd"/>
      <w:r w:rsidR="00B4414A">
        <w:t xml:space="preserve">, </w:t>
      </w:r>
      <w:proofErr w:type="spellStart"/>
      <w:r w:rsidR="00B4414A" w:rsidRPr="00D25166">
        <w:rPr>
          <w:i/>
        </w:rPr>
        <w:t>Leishmania</w:t>
      </w:r>
      <w:proofErr w:type="spellEnd"/>
      <w:r w:rsidR="00B4414A" w:rsidRPr="00D25166">
        <w:rPr>
          <w:i/>
        </w:rPr>
        <w:t xml:space="preserve"> </w:t>
      </w:r>
      <w:proofErr w:type="spellStart"/>
      <w:r w:rsidR="00B4414A" w:rsidRPr="00D25166">
        <w:rPr>
          <w:i/>
        </w:rPr>
        <w:t>infantum</w:t>
      </w:r>
      <w:proofErr w:type="spellEnd"/>
      <w:r w:rsidR="00F74566">
        <w:t xml:space="preserve"> and </w:t>
      </w:r>
      <w:proofErr w:type="spellStart"/>
      <w:r w:rsidR="00F74566" w:rsidRPr="00D25166">
        <w:rPr>
          <w:i/>
        </w:rPr>
        <w:t>Bartonella</w:t>
      </w:r>
      <w:proofErr w:type="spellEnd"/>
      <w:r w:rsidR="00B4414A" w:rsidRPr="00D25166">
        <w:rPr>
          <w:i/>
        </w:rPr>
        <w:t xml:space="preserve"> </w:t>
      </w:r>
      <w:proofErr w:type="spellStart"/>
      <w:r w:rsidR="00B4414A" w:rsidRPr="00D25166">
        <w:rPr>
          <w:i/>
        </w:rPr>
        <w:t>henselae</w:t>
      </w:r>
      <w:proofErr w:type="spellEnd"/>
      <w:r w:rsidR="00D27061" w:rsidRPr="008F52E1">
        <w:t xml:space="preserve">, lymph node culture, </w:t>
      </w:r>
      <w:proofErr w:type="spellStart"/>
      <w:r w:rsidR="003E5D4D">
        <w:t>Ziehl</w:t>
      </w:r>
      <w:proofErr w:type="spellEnd"/>
      <w:r w:rsidR="003E5D4D">
        <w:t xml:space="preserve"> </w:t>
      </w:r>
      <w:proofErr w:type="spellStart"/>
      <w:r w:rsidR="003E5D4D">
        <w:t>Neelsen</w:t>
      </w:r>
      <w:proofErr w:type="spellEnd"/>
      <w:r w:rsidR="0039649F" w:rsidRPr="008F52E1">
        <w:t xml:space="preserve"> </w:t>
      </w:r>
      <w:r w:rsidR="005D2070">
        <w:t xml:space="preserve">and </w:t>
      </w:r>
      <w:r w:rsidR="005D2070" w:rsidRPr="008F52E1">
        <w:t xml:space="preserve">Periodic acid-Schiff (PAS) </w:t>
      </w:r>
      <w:r w:rsidR="0039649F" w:rsidRPr="008F52E1">
        <w:t>staining</w:t>
      </w:r>
      <w:r w:rsidR="005E45E0">
        <w:t xml:space="preserve"> </w:t>
      </w:r>
      <w:r w:rsidR="005D2070">
        <w:t xml:space="preserve">of </w:t>
      </w:r>
      <w:r w:rsidR="005E45E0">
        <w:t xml:space="preserve">lymph node </w:t>
      </w:r>
      <w:r w:rsidR="005D2070">
        <w:t>FNAC</w:t>
      </w:r>
      <w:r w:rsidR="00D25166">
        <w:t xml:space="preserve"> </w:t>
      </w:r>
      <w:r w:rsidR="005E45E0">
        <w:t>aspirates</w:t>
      </w:r>
      <w:r w:rsidR="0039649F" w:rsidRPr="008F52E1">
        <w:t xml:space="preserve">, </w:t>
      </w:r>
      <w:r w:rsidR="00D27061" w:rsidRPr="008F52E1">
        <w:t>bronchoscopy</w:t>
      </w:r>
      <w:r w:rsidR="00C52996">
        <w:t xml:space="preserve"> and </w:t>
      </w:r>
      <w:proofErr w:type="spellStart"/>
      <w:r w:rsidR="00C52996">
        <w:t>bronchoalveolar</w:t>
      </w:r>
      <w:proofErr w:type="spellEnd"/>
      <w:r w:rsidR="00C52996">
        <w:t xml:space="preserve"> lavage cytological analysis and culture</w:t>
      </w:r>
      <w:r w:rsidR="00D27061" w:rsidRPr="008F52E1">
        <w:t>, computed tomography (CT)</w:t>
      </w:r>
      <w:r w:rsidR="0070448E" w:rsidRPr="008F52E1">
        <w:t>,</w:t>
      </w:r>
      <w:r w:rsidR="00D27061" w:rsidRPr="008F52E1">
        <w:t xml:space="preserve"> magnetic reson</w:t>
      </w:r>
      <w:r w:rsidR="0070448E" w:rsidRPr="008F52E1">
        <w:t>ance imaging (MRI)</w:t>
      </w:r>
      <w:r w:rsidR="008E1752">
        <w:t>, C-reactive protein</w:t>
      </w:r>
      <w:r w:rsidR="008E154F">
        <w:t xml:space="preserve"> (CRP)</w:t>
      </w:r>
      <w:r w:rsidR="008E1752">
        <w:t xml:space="preserve">, pleural or peritoneal fluid cytological analysis, </w:t>
      </w:r>
      <w:r w:rsidR="005D2070">
        <w:t xml:space="preserve">FNAC of </w:t>
      </w:r>
      <w:r w:rsidR="008E1752">
        <w:t>liver or spleen</w:t>
      </w:r>
      <w:r w:rsidR="00467788">
        <w:t>, skin biopsies</w:t>
      </w:r>
      <w:r w:rsidR="00AA5384">
        <w:t xml:space="preserve">, </w:t>
      </w:r>
      <w:r w:rsidR="000D717D">
        <w:t xml:space="preserve">faecal analysis, </w:t>
      </w:r>
      <w:r w:rsidR="00AA5384">
        <w:t>exploratory laparotomy</w:t>
      </w:r>
      <w:r w:rsidR="00D27061" w:rsidRPr="008F52E1">
        <w:t xml:space="preserve"> and </w:t>
      </w:r>
      <w:proofErr w:type="spellStart"/>
      <w:r w:rsidR="00D27061" w:rsidRPr="008F52E1">
        <w:t>haemoculture</w:t>
      </w:r>
      <w:proofErr w:type="spellEnd"/>
      <w:r w:rsidR="00D27061" w:rsidRPr="008F52E1">
        <w:t xml:space="preserve"> were also performed. </w:t>
      </w:r>
    </w:p>
    <w:p w14:paraId="79B1F90C" w14:textId="06DD6166" w:rsidR="00CA34F6" w:rsidRDefault="002E1520" w:rsidP="00B22A77">
      <w:pPr>
        <w:spacing w:line="480" w:lineRule="auto"/>
        <w:jc w:val="both"/>
      </w:pPr>
      <w:r>
        <w:t>All the cases were treated with glucocorticoids</w:t>
      </w:r>
      <w:r w:rsidR="00C57AAD">
        <w:t>,</w:t>
      </w:r>
      <w:r w:rsidR="005D2070">
        <w:t xml:space="preserve"> with</w:t>
      </w:r>
      <w:r w:rsidR="00C57AAD">
        <w:t xml:space="preserve"> gradual </w:t>
      </w:r>
      <w:r w:rsidR="002D07CE">
        <w:t xml:space="preserve">dose </w:t>
      </w:r>
      <w:r w:rsidR="00C57AAD">
        <w:t>decrease</w:t>
      </w:r>
      <w:r w:rsidR="005D2070">
        <w:t>s</w:t>
      </w:r>
      <w:r w:rsidR="00C57AAD">
        <w:t xml:space="preserve"> over the following weeks </w:t>
      </w:r>
      <w:r w:rsidR="005D2070">
        <w:t>depending on response</w:t>
      </w:r>
      <w:r w:rsidR="00687E0E">
        <w:t>.</w:t>
      </w:r>
      <w:r w:rsidR="00D25166">
        <w:t xml:space="preserve"> </w:t>
      </w:r>
      <w:r w:rsidR="00BE48C1">
        <w:t>Clinical reassessment</w:t>
      </w:r>
      <w:r w:rsidR="008A79A7">
        <w:t xml:space="preserve"> was performed</w:t>
      </w:r>
      <w:r w:rsidR="004D45C4">
        <w:t xml:space="preserve"> </w:t>
      </w:r>
      <w:r w:rsidR="00687E0E">
        <w:t>regularly and r</w:t>
      </w:r>
      <w:r w:rsidR="004D45C4">
        <w:t>esponse to treatment</w:t>
      </w:r>
      <w:r w:rsidR="00687E0E">
        <w:t xml:space="preserve"> assessed on the </w:t>
      </w:r>
      <w:r w:rsidR="004D45C4">
        <w:t>bas</w:t>
      </w:r>
      <w:r w:rsidR="00687E0E">
        <w:t>is</w:t>
      </w:r>
      <w:r w:rsidR="004D45C4">
        <w:t xml:space="preserve"> o</w:t>
      </w:r>
      <w:r w:rsidR="00687E0E">
        <w:t>f</w:t>
      </w:r>
      <w:r w:rsidR="004D45C4">
        <w:t xml:space="preserve"> owner’s perception of clinical signs, physical examination (resolution of the pyrexia if present, resolution </w:t>
      </w:r>
      <w:r w:rsidR="008C5AF6">
        <w:t xml:space="preserve">or improvement </w:t>
      </w:r>
      <w:r w:rsidR="004D45C4">
        <w:t>of the lymphadenopathy</w:t>
      </w:r>
      <w:r w:rsidR="008C5AF6">
        <w:t xml:space="preserve"> by more than a 50% reduction</w:t>
      </w:r>
      <w:r w:rsidR="005E45E0">
        <w:t xml:space="preserve"> of the lymph node size</w:t>
      </w:r>
      <w:r w:rsidR="004D45C4">
        <w:t xml:space="preserve"> if assessable or improvement of the dog’s demeanour)</w:t>
      </w:r>
      <w:r w:rsidR="00687E0E">
        <w:t>.</w:t>
      </w:r>
      <w:r w:rsidR="00805487">
        <w:t xml:space="preserve"> </w:t>
      </w:r>
      <w:r w:rsidR="00687E0E">
        <w:t>I</w:t>
      </w:r>
      <w:r w:rsidR="004D45C4">
        <w:t xml:space="preserve">n some cases </w:t>
      </w:r>
      <w:r w:rsidR="00E14615">
        <w:t>diagnostic imaging was repeated to assess for resolution of lymphadenopathy (if not externally assessable) or measurement of C-reactive protein</w:t>
      </w:r>
      <w:r w:rsidR="002B1364">
        <w:t xml:space="preserve"> if </w:t>
      </w:r>
      <w:r w:rsidR="001130C4">
        <w:t xml:space="preserve">it </w:t>
      </w:r>
      <w:r w:rsidR="002B1364">
        <w:t>was measured initially and was elevated</w:t>
      </w:r>
      <w:r w:rsidR="00E14615">
        <w:t>.</w:t>
      </w:r>
      <w:r w:rsidR="00ED0A83">
        <w:t xml:space="preserve"> </w:t>
      </w:r>
    </w:p>
    <w:p w14:paraId="6214ACB0" w14:textId="36513317" w:rsidR="00A7721E" w:rsidRDefault="00CE4F14" w:rsidP="00B22A77">
      <w:pPr>
        <w:spacing w:line="480" w:lineRule="auto"/>
        <w:jc w:val="both"/>
      </w:pPr>
      <w:r>
        <w:t xml:space="preserve">Statistics were performed using a chi square </w:t>
      </w:r>
      <w:r w:rsidR="00687E0E">
        <w:t xml:space="preserve">test </w:t>
      </w:r>
      <w:r w:rsidR="00136D30">
        <w:t>and the result was considered significant at p&lt;0.05</w:t>
      </w:r>
      <w:r w:rsidR="00DA1B00">
        <w:t xml:space="preserve"> and outcome was defined as being dead or alive three months after diagnosis</w:t>
      </w:r>
      <w:r w:rsidR="00136D30">
        <w:t>.</w:t>
      </w:r>
      <w:r>
        <w:t xml:space="preserve"> </w:t>
      </w:r>
    </w:p>
    <w:p w14:paraId="3D1E3235" w14:textId="77777777" w:rsidR="00162286" w:rsidRPr="008F52E1" w:rsidRDefault="00162286" w:rsidP="00B22A77">
      <w:pPr>
        <w:spacing w:line="480" w:lineRule="auto"/>
        <w:jc w:val="both"/>
      </w:pPr>
    </w:p>
    <w:p w14:paraId="73CE70B1" w14:textId="77777777" w:rsidR="00B22A77" w:rsidRDefault="00B22A77">
      <w:pPr>
        <w:rPr>
          <w:b/>
        </w:rPr>
      </w:pPr>
      <w:r>
        <w:rPr>
          <w:b/>
        </w:rPr>
        <w:br w:type="page"/>
      </w:r>
    </w:p>
    <w:p w14:paraId="19B1FE99" w14:textId="12D44101" w:rsidR="00162286" w:rsidRPr="00B22A77" w:rsidRDefault="00B22A77" w:rsidP="00B22A77">
      <w:pPr>
        <w:spacing w:line="480" w:lineRule="auto"/>
        <w:jc w:val="both"/>
        <w:rPr>
          <w:b/>
        </w:rPr>
      </w:pPr>
      <w:r>
        <w:rPr>
          <w:b/>
        </w:rPr>
        <w:lastRenderedPageBreak/>
        <w:t>Results</w:t>
      </w:r>
    </w:p>
    <w:p w14:paraId="3A3FCE5D" w14:textId="1156F033" w:rsidR="003739F2" w:rsidRPr="008F52E1" w:rsidRDefault="00550A47" w:rsidP="00B22A77">
      <w:pPr>
        <w:spacing w:line="480" w:lineRule="auto"/>
        <w:jc w:val="both"/>
        <w:rPr>
          <w:b/>
          <w:i/>
        </w:rPr>
      </w:pPr>
      <w:r>
        <w:t>C</w:t>
      </w:r>
      <w:r w:rsidRPr="00550A47">
        <w:t xml:space="preserve">anine sterile steroid-responsive lymphadenitis </w:t>
      </w:r>
      <w:r>
        <w:t>was diagnosed in fifty dogs</w:t>
      </w:r>
      <w:r w:rsidR="00162286" w:rsidRPr="008F52E1">
        <w:t xml:space="preserve"> enrolled in this study. </w:t>
      </w:r>
      <w:r w:rsidR="007604DF" w:rsidRPr="008F52E1">
        <w:t>Twenty</w:t>
      </w:r>
      <w:r w:rsidR="00162286" w:rsidRPr="008F52E1">
        <w:t xml:space="preserve"> breeds featured</w:t>
      </w:r>
      <w:r w:rsidR="00687E0E">
        <w:t xml:space="preserve"> 7</w:t>
      </w:r>
      <w:r>
        <w:t xml:space="preserve"> mixed-breed</w:t>
      </w:r>
      <w:r w:rsidR="00687E0E">
        <w:t xml:space="preserve"> dogs</w:t>
      </w:r>
      <w:r>
        <w:t>. English Springer spaniels (</w:t>
      </w:r>
      <w:r w:rsidR="00687E0E">
        <w:t>16/50</w:t>
      </w:r>
      <w:r>
        <w:t>) were the most common breed followed by Cocker spaniel</w:t>
      </w:r>
      <w:r w:rsidR="00F6207C">
        <w:t>s (</w:t>
      </w:r>
      <w:r w:rsidR="00687E0E">
        <w:t>4/50</w:t>
      </w:r>
      <w:r w:rsidR="00F6207C">
        <w:t>), Border collies (</w:t>
      </w:r>
      <w:r w:rsidR="00687E0E">
        <w:t>3/50)</w:t>
      </w:r>
      <w:r w:rsidR="00F6207C">
        <w:t>, German Shepherds (</w:t>
      </w:r>
      <w:r w:rsidR="00687E0E">
        <w:t>2/50</w:t>
      </w:r>
      <w:r w:rsidR="00F6207C">
        <w:t>) and Beagles (</w:t>
      </w:r>
      <w:r w:rsidR="00687E0E">
        <w:t>2/50</w:t>
      </w:r>
      <w:r w:rsidR="00F6207C">
        <w:t xml:space="preserve">). </w:t>
      </w:r>
      <w:r w:rsidR="00162286" w:rsidRPr="008F52E1">
        <w:t xml:space="preserve"> </w:t>
      </w:r>
    </w:p>
    <w:p w14:paraId="2E7FA2AB" w14:textId="3BE59FDF" w:rsidR="000C3FF6" w:rsidRDefault="00F6207C" w:rsidP="000C3FF6">
      <w:pPr>
        <w:spacing w:line="480" w:lineRule="auto"/>
        <w:jc w:val="both"/>
      </w:pPr>
      <w:r>
        <w:t xml:space="preserve">The age at </w:t>
      </w:r>
      <w:r w:rsidRPr="008F52E1">
        <w:t xml:space="preserve">presentation ranged from </w:t>
      </w:r>
      <w:r>
        <w:t xml:space="preserve">6 months to 10 years (median, 3 years and 9 months). </w:t>
      </w:r>
      <w:r w:rsidRPr="008F52E1">
        <w:t xml:space="preserve"> </w:t>
      </w:r>
      <w:r>
        <w:t xml:space="preserve">Thirty-one of the dogs were female (62%; 40% neutered) and 19 were male (38%; 20% neutered). </w:t>
      </w:r>
      <w:r w:rsidR="000C3FF6">
        <w:t xml:space="preserve">There were </w:t>
      </w:r>
      <w:r w:rsidR="000C3FF6" w:rsidRPr="002C5965">
        <w:t>no significant differences between</w:t>
      </w:r>
      <w:r w:rsidR="000C3FF6">
        <w:t xml:space="preserve"> English Springer spaniels and other breeds with regard to age (median 4</w:t>
      </w:r>
      <w:r w:rsidR="0044348C">
        <w:t>3.8</w:t>
      </w:r>
      <w:r w:rsidR="000C3FF6">
        <w:t xml:space="preserve"> months </w:t>
      </w:r>
      <w:r w:rsidR="000C3FF6" w:rsidRPr="000C3FF6">
        <w:rPr>
          <w:i/>
        </w:rPr>
        <w:t>versus</w:t>
      </w:r>
      <w:r w:rsidR="000C3FF6">
        <w:t xml:space="preserve"> </w:t>
      </w:r>
      <w:r w:rsidR="00AD34A2">
        <w:t>44</w:t>
      </w:r>
      <w:r w:rsidR="0044348C">
        <w:t>.8 months</w:t>
      </w:r>
      <w:r w:rsidR="00967D50">
        <w:t>)</w:t>
      </w:r>
      <w:r w:rsidR="000C3FF6">
        <w:t xml:space="preserve"> and sex (female </w:t>
      </w:r>
      <w:r w:rsidR="005B5A6D" w:rsidRPr="00783316">
        <w:t>58.82</w:t>
      </w:r>
      <w:r w:rsidR="000C3FF6" w:rsidRPr="00783316">
        <w:t xml:space="preserve">%, </w:t>
      </w:r>
      <w:r w:rsidR="005B5A6D" w:rsidRPr="00783316">
        <w:t>60</w:t>
      </w:r>
      <w:r w:rsidR="000C3FF6" w:rsidRPr="00783316">
        <w:t xml:space="preserve">% neutered </w:t>
      </w:r>
      <w:r w:rsidR="000C3FF6" w:rsidRPr="00783316">
        <w:rPr>
          <w:i/>
        </w:rPr>
        <w:t>versus</w:t>
      </w:r>
      <w:r w:rsidR="000C3FF6" w:rsidRPr="00783316">
        <w:t xml:space="preserve"> </w:t>
      </w:r>
      <w:r w:rsidR="00AD34A2" w:rsidRPr="00783316">
        <w:t>68.75</w:t>
      </w:r>
      <w:r w:rsidR="000C3FF6" w:rsidRPr="00783316">
        <w:t xml:space="preserve">%; </w:t>
      </w:r>
      <w:r w:rsidR="00AD34A2" w:rsidRPr="00783316">
        <w:t>72.7</w:t>
      </w:r>
      <w:r w:rsidR="000C3FF6" w:rsidRPr="00783316">
        <w:t>%</w:t>
      </w:r>
      <w:r w:rsidR="00AD34A2" w:rsidRPr="00783316">
        <w:t xml:space="preserve"> neutered</w:t>
      </w:r>
      <w:r w:rsidR="000C3FF6">
        <w:t xml:space="preserve">). </w:t>
      </w:r>
    </w:p>
    <w:p w14:paraId="0857B079" w14:textId="1C64DA50" w:rsidR="00B94ACE" w:rsidRDefault="00687E0E" w:rsidP="000C3FF6">
      <w:pPr>
        <w:spacing w:line="480" w:lineRule="auto"/>
        <w:jc w:val="both"/>
      </w:pPr>
      <w:r>
        <w:t>Previous history included</w:t>
      </w:r>
      <w:r w:rsidR="00B94ACE">
        <w:t xml:space="preserve"> idiopathic epilepsy in 2 dogs, intervertebral disc disease in one dog, </w:t>
      </w:r>
      <w:r w:rsidR="007C7FAB" w:rsidRPr="002C5965">
        <w:t xml:space="preserve">previous </w:t>
      </w:r>
      <w:r w:rsidR="00B94ACE" w:rsidRPr="002C5965">
        <w:t xml:space="preserve">septic peritonitis </w:t>
      </w:r>
      <w:r w:rsidR="007C7FAB" w:rsidRPr="002C5965">
        <w:t xml:space="preserve">in </w:t>
      </w:r>
      <w:r w:rsidR="00B94ACE" w:rsidRPr="002C5965">
        <w:t xml:space="preserve">one dog, hamartoma in </w:t>
      </w:r>
      <w:r w:rsidR="00D1275E" w:rsidRPr="002C5965">
        <w:t xml:space="preserve">the </w:t>
      </w:r>
      <w:r w:rsidR="00B94ACE" w:rsidRPr="002C5965">
        <w:t>right hip and otitis in</w:t>
      </w:r>
      <w:r w:rsidR="00B94ACE">
        <w:t xml:space="preserve"> one dog and protein losing nephropathy and spontaneous (resolved) </w:t>
      </w:r>
      <w:proofErr w:type="spellStart"/>
      <w:r w:rsidR="00B94ACE">
        <w:t>haemothorax</w:t>
      </w:r>
      <w:proofErr w:type="spellEnd"/>
      <w:r w:rsidR="00B94ACE">
        <w:t xml:space="preserve"> in another dog.</w:t>
      </w:r>
    </w:p>
    <w:p w14:paraId="52A1C69A" w14:textId="4E2BC9A1" w:rsidR="001C4E2D" w:rsidRPr="008F52E1" w:rsidRDefault="001C4E2D" w:rsidP="00B22A77">
      <w:pPr>
        <w:spacing w:line="480" w:lineRule="auto"/>
        <w:jc w:val="both"/>
        <w:rPr>
          <w:b/>
          <w:i/>
        </w:rPr>
      </w:pPr>
    </w:p>
    <w:p w14:paraId="263E7215" w14:textId="5F6E5867" w:rsidR="00DD39A7" w:rsidRPr="008F52E1" w:rsidRDefault="00687E0E" w:rsidP="00B22A77">
      <w:pPr>
        <w:spacing w:line="480" w:lineRule="auto"/>
        <w:jc w:val="both"/>
      </w:pPr>
      <w:r>
        <w:t xml:space="preserve">Prior to referral most dogs received </w:t>
      </w:r>
      <w:r w:rsidR="001D4ECB" w:rsidRPr="008F52E1">
        <w:t>anti</w:t>
      </w:r>
      <w:r>
        <w:t>microbial</w:t>
      </w:r>
      <w:r w:rsidR="001D4ECB" w:rsidRPr="008F52E1">
        <w:t xml:space="preserve"> and/or anti-inflammator</w:t>
      </w:r>
      <w:r>
        <w:t xml:space="preserve">y therapy </w:t>
      </w:r>
      <w:r w:rsidR="00AB60F3">
        <w:t>without a significant clinical response</w:t>
      </w:r>
      <w:r w:rsidR="00330ADD">
        <w:t xml:space="preserve">. </w:t>
      </w:r>
      <w:r w:rsidR="00A012A1">
        <w:t>Forty-one dogs were treated with antimicrobials which</w:t>
      </w:r>
      <w:r w:rsidR="00DC1F1D">
        <w:t xml:space="preserve"> included</w:t>
      </w:r>
      <w:r w:rsidR="00BA190D">
        <w:t xml:space="preserve"> </w:t>
      </w:r>
      <w:r>
        <w:t>co-</w:t>
      </w:r>
      <w:proofErr w:type="spellStart"/>
      <w:r>
        <w:t>amoxiclav</w:t>
      </w:r>
      <w:proofErr w:type="spellEnd"/>
      <w:r w:rsidR="00DC1F1D">
        <w:t xml:space="preserve"> (31/41) </w:t>
      </w:r>
      <w:r w:rsidR="00A012A1">
        <w:t>metronidazole</w:t>
      </w:r>
      <w:r w:rsidR="00DC1F1D">
        <w:t xml:space="preserve"> (7/41)</w:t>
      </w:r>
      <w:r w:rsidR="00A012A1">
        <w:t xml:space="preserve">, </w:t>
      </w:r>
      <w:proofErr w:type="spellStart"/>
      <w:r w:rsidR="00A012A1">
        <w:t>enrofloxacin</w:t>
      </w:r>
      <w:proofErr w:type="spellEnd"/>
      <w:r w:rsidR="00DC1F1D">
        <w:t xml:space="preserve"> (6/41)</w:t>
      </w:r>
      <w:r w:rsidR="00A012A1">
        <w:t>, doxycycline</w:t>
      </w:r>
      <w:r w:rsidR="00DC1F1D">
        <w:t xml:space="preserve"> (6/41)</w:t>
      </w:r>
      <w:r w:rsidR="00A012A1">
        <w:t xml:space="preserve">, </w:t>
      </w:r>
      <w:proofErr w:type="spellStart"/>
      <w:r w:rsidR="00A012A1">
        <w:t>marbofloxacin</w:t>
      </w:r>
      <w:proofErr w:type="spellEnd"/>
      <w:r w:rsidR="00DC1F1D">
        <w:t xml:space="preserve"> (5/41)</w:t>
      </w:r>
      <w:r w:rsidR="00A012A1">
        <w:t>, 4 cases with cephalexin</w:t>
      </w:r>
      <w:r w:rsidR="00DC1F1D">
        <w:t xml:space="preserve"> (4/41)</w:t>
      </w:r>
      <w:r w:rsidR="00A012A1">
        <w:t xml:space="preserve">, clindamycin </w:t>
      </w:r>
      <w:r w:rsidR="00DC1F1D">
        <w:t xml:space="preserve">(1/41) </w:t>
      </w:r>
      <w:proofErr w:type="gramStart"/>
      <w:r w:rsidR="00A012A1">
        <w:t xml:space="preserve">and  </w:t>
      </w:r>
      <w:proofErr w:type="spellStart"/>
      <w:r w:rsidR="00A012A1">
        <w:t>pradofloxacin</w:t>
      </w:r>
      <w:proofErr w:type="spellEnd"/>
      <w:proofErr w:type="gramEnd"/>
      <w:r w:rsidR="00DC1F1D">
        <w:t xml:space="preserve"> (1/41)</w:t>
      </w:r>
      <w:r w:rsidR="00A012A1">
        <w:t xml:space="preserve">. Twenty-eight dogs </w:t>
      </w:r>
      <w:r w:rsidR="00DC1F1D">
        <w:t xml:space="preserve">received </w:t>
      </w:r>
      <w:r w:rsidR="00A012A1">
        <w:t xml:space="preserve">non-steroidal anti-inflammatories (NSAIDs) </w:t>
      </w:r>
      <w:r w:rsidR="00DC1F1D">
        <w:t xml:space="preserve">which </w:t>
      </w:r>
      <w:r w:rsidR="00A012A1">
        <w:t>includ</w:t>
      </w:r>
      <w:r w:rsidR="00DC1F1D">
        <w:t xml:space="preserve">ed </w:t>
      </w:r>
      <w:r w:rsidR="00571C9F">
        <w:t>meloxicam</w:t>
      </w:r>
      <w:r w:rsidR="00DC1F1D">
        <w:t xml:space="preserve"> (20/28)</w:t>
      </w:r>
      <w:r w:rsidR="00571C9F">
        <w:t>,</w:t>
      </w:r>
      <w:r w:rsidR="00A012A1">
        <w:t xml:space="preserve"> </w:t>
      </w:r>
      <w:proofErr w:type="spellStart"/>
      <w:r w:rsidR="00A012A1">
        <w:t>carprofen</w:t>
      </w:r>
      <w:proofErr w:type="spellEnd"/>
      <w:r w:rsidR="00DC1F1D">
        <w:t xml:space="preserve"> (7/28)</w:t>
      </w:r>
      <w:r w:rsidR="00A012A1">
        <w:t xml:space="preserve"> and </w:t>
      </w:r>
      <w:proofErr w:type="spellStart"/>
      <w:r w:rsidR="00A012A1">
        <w:t>firocoxib</w:t>
      </w:r>
      <w:proofErr w:type="spellEnd"/>
      <w:r w:rsidR="00DC1F1D">
        <w:t xml:space="preserve"> (1/28)</w:t>
      </w:r>
      <w:r w:rsidR="00A012A1">
        <w:t>.</w:t>
      </w:r>
      <w:r w:rsidR="00571C9F">
        <w:t xml:space="preserve"> </w:t>
      </w:r>
      <w:r w:rsidR="00A012A1">
        <w:t xml:space="preserve">Five dogs were treated with </w:t>
      </w:r>
      <w:r w:rsidR="00AE0AF5">
        <w:t>anti</w:t>
      </w:r>
      <w:r w:rsidR="00DC1F1D">
        <w:t>-</w:t>
      </w:r>
      <w:r w:rsidR="00AE0AF5">
        <w:t xml:space="preserve">inflammatory dose of </w:t>
      </w:r>
      <w:r w:rsidR="00A012A1">
        <w:t xml:space="preserve">glucocorticoids </w:t>
      </w:r>
      <w:r w:rsidR="00AB60F3">
        <w:t xml:space="preserve">(0.5-1mg/kg/once a day) </w:t>
      </w:r>
      <w:r w:rsidR="00A012A1">
        <w:t xml:space="preserve">including </w:t>
      </w:r>
      <w:r w:rsidR="00571C9F">
        <w:t>4 cases (8</w:t>
      </w:r>
      <w:r w:rsidR="00A012A1">
        <w:t>0</w:t>
      </w:r>
      <w:r w:rsidR="00571C9F">
        <w:t xml:space="preserve">%) </w:t>
      </w:r>
      <w:r w:rsidR="00A012A1">
        <w:t xml:space="preserve">treated </w:t>
      </w:r>
      <w:r w:rsidR="00571C9F">
        <w:t xml:space="preserve">with prednisolone, </w:t>
      </w:r>
      <w:r w:rsidR="00330ADD">
        <w:t>and 1 case (2</w:t>
      </w:r>
      <w:r w:rsidR="00A012A1">
        <w:t>0</w:t>
      </w:r>
      <w:r w:rsidR="00330ADD">
        <w:t xml:space="preserve">%) </w:t>
      </w:r>
      <w:r w:rsidR="00A012A1">
        <w:t xml:space="preserve">treated </w:t>
      </w:r>
      <w:r w:rsidR="00330ADD">
        <w:t>with methylprednisolone.</w:t>
      </w:r>
      <w:r w:rsidR="00505441" w:rsidRPr="008F52E1">
        <w:t xml:space="preserve"> </w:t>
      </w:r>
      <w:r w:rsidR="005478E2">
        <w:t xml:space="preserve">Nine </w:t>
      </w:r>
      <w:r w:rsidR="00DC1F1D">
        <w:t>of the</w:t>
      </w:r>
      <w:r w:rsidR="005478E2">
        <w:t xml:space="preserve"> 45 dogs</w:t>
      </w:r>
      <w:r w:rsidR="00CE1455">
        <w:t xml:space="preserve"> that received treatment</w:t>
      </w:r>
      <w:r w:rsidR="005478E2">
        <w:t xml:space="preserve"> </w:t>
      </w:r>
      <w:r w:rsidR="00DC1F1D">
        <w:t xml:space="preserve">prior to referral presentation had </w:t>
      </w:r>
      <w:r w:rsidR="005478E2">
        <w:t>a partial clinical response</w:t>
      </w:r>
      <w:r w:rsidR="00DC1F1D">
        <w:rPr>
          <w:rStyle w:val="CommentReference"/>
        </w:rPr>
        <w:t>,</w:t>
      </w:r>
      <w:r w:rsidR="00DC1F1D">
        <w:t xml:space="preserve"> this included</w:t>
      </w:r>
      <w:r w:rsidR="005478E2">
        <w:t xml:space="preserve"> </w:t>
      </w:r>
      <w:r w:rsidR="0027433E">
        <w:t>3 dogs</w:t>
      </w:r>
      <w:r w:rsidR="005478E2">
        <w:t xml:space="preserve"> treated with antimicrobials and NSAIDs, 3</w:t>
      </w:r>
      <w:r w:rsidR="002C4D3E">
        <w:t xml:space="preserve"> dogs</w:t>
      </w:r>
      <w:r w:rsidR="00DC1F1D">
        <w:t xml:space="preserve"> receiving</w:t>
      </w:r>
      <w:r w:rsidR="005478E2">
        <w:t xml:space="preserve"> antimicrobials and glucocorticoids</w:t>
      </w:r>
      <w:r w:rsidR="0027433E">
        <w:t>, 2</w:t>
      </w:r>
      <w:r w:rsidR="00D03E73">
        <w:t xml:space="preserve"> </w:t>
      </w:r>
      <w:r w:rsidR="002C4D3E">
        <w:t xml:space="preserve">dogs </w:t>
      </w:r>
      <w:r w:rsidR="00DC1F1D">
        <w:t>only receiving</w:t>
      </w:r>
      <w:r w:rsidR="00D03E73">
        <w:t xml:space="preserve"> antimicrobials and 1 </w:t>
      </w:r>
      <w:r w:rsidR="002C4D3E">
        <w:t>dog</w:t>
      </w:r>
      <w:r w:rsidR="00D03E73">
        <w:t xml:space="preserve"> </w:t>
      </w:r>
      <w:r w:rsidR="00DC1F1D">
        <w:t xml:space="preserve">receiving </w:t>
      </w:r>
      <w:r w:rsidR="00D03E73">
        <w:lastRenderedPageBreak/>
        <w:t>glucocorticoids.</w:t>
      </w:r>
      <w:r w:rsidR="005478E2">
        <w:t xml:space="preserve"> </w:t>
      </w:r>
      <w:r w:rsidR="001D4ECB" w:rsidRPr="008F52E1">
        <w:t xml:space="preserve">Five </w:t>
      </w:r>
      <w:r w:rsidR="0054577C">
        <w:t>o</w:t>
      </w:r>
      <w:r w:rsidR="00F97BF8">
        <w:t>f</w:t>
      </w:r>
      <w:r w:rsidR="0054577C">
        <w:t xml:space="preserve"> </w:t>
      </w:r>
      <w:r w:rsidR="00F97BF8">
        <w:t>the</w:t>
      </w:r>
      <w:r w:rsidR="001D4ECB" w:rsidRPr="008F52E1">
        <w:t xml:space="preserve"> fifty </w:t>
      </w:r>
      <w:r w:rsidR="0054577C">
        <w:t xml:space="preserve">dogs </w:t>
      </w:r>
      <w:r w:rsidR="00F97BF8">
        <w:t>did not receive any</w:t>
      </w:r>
      <w:r w:rsidR="001D4ECB" w:rsidRPr="008F52E1">
        <w:t xml:space="preserve"> medication prior to referral.</w:t>
      </w:r>
      <w:r w:rsidR="001B6106" w:rsidRPr="008F52E1">
        <w:t xml:space="preserve"> </w:t>
      </w:r>
      <w:r w:rsidR="00296A49">
        <w:t>Median</w:t>
      </w:r>
      <w:r w:rsidR="00296A49" w:rsidRPr="008F52E1">
        <w:t xml:space="preserve"> </w:t>
      </w:r>
      <w:r w:rsidR="00DD39A7" w:rsidRPr="008F52E1">
        <w:t>time to referral (TTR) was 29.8 days</w:t>
      </w:r>
      <w:r w:rsidR="00D56583" w:rsidRPr="008F52E1">
        <w:t xml:space="preserve"> (range from 2 to 90 days).</w:t>
      </w:r>
      <w:r w:rsidR="002E56E5" w:rsidRPr="008F52E1">
        <w:t xml:space="preserve"> </w:t>
      </w:r>
    </w:p>
    <w:p w14:paraId="2B56D8CA" w14:textId="77777777" w:rsidR="00A5780C" w:rsidRPr="008F52E1" w:rsidRDefault="00A5780C" w:rsidP="00B22A77">
      <w:pPr>
        <w:spacing w:line="480" w:lineRule="auto"/>
        <w:jc w:val="both"/>
        <w:rPr>
          <w:b/>
          <w:i/>
        </w:rPr>
      </w:pPr>
    </w:p>
    <w:p w14:paraId="51EE7D1C" w14:textId="5BDAE473" w:rsidR="00FE601E" w:rsidRDefault="001F413C" w:rsidP="00B22A77">
      <w:pPr>
        <w:spacing w:line="480" w:lineRule="auto"/>
        <w:jc w:val="both"/>
      </w:pPr>
      <w:r w:rsidRPr="008F52E1">
        <w:t xml:space="preserve">Clinical presentation varied widely between animals </w:t>
      </w:r>
      <w:r w:rsidR="00B9505F" w:rsidRPr="008F52E1">
        <w:t xml:space="preserve">but the most common complaints were </w:t>
      </w:r>
      <w:r w:rsidRPr="008F52E1">
        <w:t xml:space="preserve">clinical signs such as </w:t>
      </w:r>
      <w:r w:rsidR="00676A81" w:rsidRPr="008F52E1">
        <w:t>pyrexia (</w:t>
      </w:r>
      <w:r w:rsidR="00F97BF8">
        <w:t>39/50</w:t>
      </w:r>
      <w:r w:rsidR="00676A81" w:rsidRPr="008F52E1">
        <w:t xml:space="preserve">), </w:t>
      </w:r>
      <w:r w:rsidR="00325CEC" w:rsidRPr="008F52E1">
        <w:t>letha</w:t>
      </w:r>
      <w:r w:rsidR="00676A81" w:rsidRPr="008F52E1">
        <w:t>rgy (</w:t>
      </w:r>
      <w:r w:rsidR="00F97BF8">
        <w:t>30/50</w:t>
      </w:r>
      <w:r w:rsidRPr="008F52E1">
        <w:t>) and anorexia (</w:t>
      </w:r>
      <w:r w:rsidR="00CA488B">
        <w:t>21/50</w:t>
      </w:r>
      <w:r w:rsidRPr="008F52E1">
        <w:t>)</w:t>
      </w:r>
      <w:r w:rsidR="00B9505F" w:rsidRPr="008F52E1">
        <w:t xml:space="preserve">. Other clinical </w:t>
      </w:r>
      <w:r w:rsidR="00CD167F">
        <w:t xml:space="preserve">signs are </w:t>
      </w:r>
      <w:r w:rsidR="00D86D19">
        <w:t>summari</w:t>
      </w:r>
      <w:r w:rsidR="00F97BF8">
        <w:t>s</w:t>
      </w:r>
      <w:r w:rsidR="00D86D19">
        <w:t>ed</w:t>
      </w:r>
      <w:r w:rsidR="00CD167F">
        <w:t xml:space="preserve"> in table 1.</w:t>
      </w:r>
      <w:r w:rsidR="00D35EDA">
        <w:t xml:space="preserve"> </w:t>
      </w:r>
      <w:r w:rsidR="00590ACB" w:rsidRPr="008F52E1">
        <w:t xml:space="preserve">Thirty-three animals were </w:t>
      </w:r>
      <w:proofErr w:type="spellStart"/>
      <w:r w:rsidR="00590ACB" w:rsidRPr="008F52E1">
        <w:t>pyrexic</w:t>
      </w:r>
      <w:proofErr w:type="spellEnd"/>
      <w:r w:rsidR="00590ACB" w:rsidRPr="008F52E1">
        <w:t xml:space="preserve"> at presentation, with a </w:t>
      </w:r>
      <w:r w:rsidR="008905FB">
        <w:t>median</w:t>
      </w:r>
      <w:r w:rsidR="008905FB" w:rsidRPr="008F52E1">
        <w:t xml:space="preserve"> </w:t>
      </w:r>
      <w:r w:rsidR="00CA488B">
        <w:t>rectal temperature</w:t>
      </w:r>
      <w:r w:rsidR="00590ACB" w:rsidRPr="008F52E1">
        <w:t xml:space="preserve"> of 39.9°C</w:t>
      </w:r>
      <w:r w:rsidR="00CA488B">
        <w:t xml:space="preserve"> (</w:t>
      </w:r>
      <w:r w:rsidR="00590ACB" w:rsidRPr="008F52E1">
        <w:t>range of 39.1°C-40.9°C</w:t>
      </w:r>
      <w:r w:rsidR="00CA488B">
        <w:t>)</w:t>
      </w:r>
      <w:r w:rsidR="00590ACB" w:rsidRPr="008F52E1">
        <w:t xml:space="preserve">. </w:t>
      </w:r>
    </w:p>
    <w:p w14:paraId="720A367D" w14:textId="77777777" w:rsidR="00D86D19" w:rsidRDefault="00D86D19" w:rsidP="00B22A77">
      <w:pPr>
        <w:spacing w:line="480" w:lineRule="auto"/>
        <w:jc w:val="both"/>
      </w:pPr>
    </w:p>
    <w:p w14:paraId="6BB7CCAB" w14:textId="77777777" w:rsidR="00D86D19" w:rsidRDefault="00D86D19" w:rsidP="00B22A77">
      <w:pPr>
        <w:spacing w:line="480" w:lineRule="auto"/>
        <w:jc w:val="both"/>
      </w:pPr>
    </w:p>
    <w:tbl>
      <w:tblPr>
        <w:tblStyle w:val="TableGrid"/>
        <w:tblW w:w="0" w:type="auto"/>
        <w:tblLook w:val="04A0" w:firstRow="1" w:lastRow="0" w:firstColumn="1" w:lastColumn="0" w:noHBand="0" w:noVBand="1"/>
      </w:tblPr>
      <w:tblGrid>
        <w:gridCol w:w="3078"/>
        <w:gridCol w:w="3079"/>
      </w:tblGrid>
      <w:tr w:rsidR="00C83656" w14:paraId="10AD49C7" w14:textId="77777777" w:rsidTr="00FE601E">
        <w:tc>
          <w:tcPr>
            <w:tcW w:w="3078" w:type="dxa"/>
          </w:tcPr>
          <w:p w14:paraId="2D30ED55" w14:textId="0CD0B64D" w:rsidR="00C83656" w:rsidRDefault="00C83656" w:rsidP="00B22A77">
            <w:pPr>
              <w:spacing w:line="480" w:lineRule="auto"/>
              <w:jc w:val="both"/>
            </w:pPr>
            <w:r>
              <w:t>Clinical sign</w:t>
            </w:r>
          </w:p>
        </w:tc>
        <w:tc>
          <w:tcPr>
            <w:tcW w:w="3079" w:type="dxa"/>
          </w:tcPr>
          <w:p w14:paraId="490DA108" w14:textId="3931E500" w:rsidR="00C83656" w:rsidRDefault="00C83656" w:rsidP="00B22A77">
            <w:pPr>
              <w:spacing w:line="480" w:lineRule="auto"/>
              <w:jc w:val="both"/>
            </w:pPr>
            <w:r>
              <w:t>Number of dogs</w:t>
            </w:r>
          </w:p>
        </w:tc>
      </w:tr>
      <w:tr w:rsidR="00C83656" w14:paraId="1BA392F1" w14:textId="77777777" w:rsidTr="00FE601E">
        <w:tc>
          <w:tcPr>
            <w:tcW w:w="3078" w:type="dxa"/>
          </w:tcPr>
          <w:p w14:paraId="62F40273" w14:textId="71514002" w:rsidR="00C83656" w:rsidRDefault="00C83656" w:rsidP="00B22A77">
            <w:pPr>
              <w:spacing w:line="480" w:lineRule="auto"/>
              <w:jc w:val="both"/>
            </w:pPr>
            <w:r>
              <w:t>Pyrexia</w:t>
            </w:r>
          </w:p>
        </w:tc>
        <w:tc>
          <w:tcPr>
            <w:tcW w:w="3079" w:type="dxa"/>
          </w:tcPr>
          <w:p w14:paraId="460EE798" w14:textId="0B4B84DB" w:rsidR="00C83656" w:rsidRDefault="00C83656" w:rsidP="00B22A77">
            <w:pPr>
              <w:spacing w:line="480" w:lineRule="auto"/>
              <w:jc w:val="both"/>
            </w:pPr>
            <w:r>
              <w:t>39</w:t>
            </w:r>
          </w:p>
        </w:tc>
      </w:tr>
      <w:tr w:rsidR="00C83656" w14:paraId="2AFEBFF9" w14:textId="77777777" w:rsidTr="00FE601E">
        <w:tc>
          <w:tcPr>
            <w:tcW w:w="3078" w:type="dxa"/>
          </w:tcPr>
          <w:p w14:paraId="6D48FA92" w14:textId="55116EBB" w:rsidR="00C83656" w:rsidRDefault="00C83656" w:rsidP="00B22A77">
            <w:pPr>
              <w:spacing w:line="480" w:lineRule="auto"/>
              <w:jc w:val="both"/>
            </w:pPr>
            <w:r>
              <w:t>Lethargy</w:t>
            </w:r>
          </w:p>
        </w:tc>
        <w:tc>
          <w:tcPr>
            <w:tcW w:w="3079" w:type="dxa"/>
          </w:tcPr>
          <w:p w14:paraId="23C196C5" w14:textId="6B348219" w:rsidR="00C83656" w:rsidRDefault="00C83656" w:rsidP="00B22A77">
            <w:pPr>
              <w:spacing w:line="480" w:lineRule="auto"/>
              <w:jc w:val="both"/>
            </w:pPr>
            <w:r>
              <w:t>35</w:t>
            </w:r>
          </w:p>
        </w:tc>
      </w:tr>
      <w:tr w:rsidR="00C83656" w14:paraId="282EF184" w14:textId="77777777" w:rsidTr="00FE601E">
        <w:tc>
          <w:tcPr>
            <w:tcW w:w="3078" w:type="dxa"/>
          </w:tcPr>
          <w:p w14:paraId="0A1788A7" w14:textId="18D1EC41" w:rsidR="00C83656" w:rsidRDefault="00C83656" w:rsidP="00B22A77">
            <w:pPr>
              <w:spacing w:line="480" w:lineRule="auto"/>
              <w:jc w:val="both"/>
            </w:pPr>
            <w:r>
              <w:t>Anorexia</w:t>
            </w:r>
          </w:p>
        </w:tc>
        <w:tc>
          <w:tcPr>
            <w:tcW w:w="3079" w:type="dxa"/>
          </w:tcPr>
          <w:p w14:paraId="43E2364D" w14:textId="586FF04B" w:rsidR="00C83656" w:rsidRDefault="00C83656" w:rsidP="00B22A77">
            <w:pPr>
              <w:spacing w:line="480" w:lineRule="auto"/>
              <w:jc w:val="both"/>
            </w:pPr>
            <w:r>
              <w:t>21</w:t>
            </w:r>
          </w:p>
        </w:tc>
      </w:tr>
      <w:tr w:rsidR="00C83656" w14:paraId="16AD5769" w14:textId="77777777" w:rsidTr="00FE601E">
        <w:tc>
          <w:tcPr>
            <w:tcW w:w="3078" w:type="dxa"/>
          </w:tcPr>
          <w:p w14:paraId="2BF414DE" w14:textId="486137CE" w:rsidR="00C83656" w:rsidRDefault="00C83656" w:rsidP="00B22A77">
            <w:pPr>
              <w:spacing w:line="480" w:lineRule="auto"/>
              <w:jc w:val="both"/>
            </w:pPr>
            <w:r>
              <w:t>Cough</w:t>
            </w:r>
          </w:p>
        </w:tc>
        <w:tc>
          <w:tcPr>
            <w:tcW w:w="3079" w:type="dxa"/>
          </w:tcPr>
          <w:p w14:paraId="4DD1602A" w14:textId="331CCD3D" w:rsidR="00C83656" w:rsidRDefault="00C83656" w:rsidP="00B22A77">
            <w:pPr>
              <w:spacing w:line="480" w:lineRule="auto"/>
              <w:jc w:val="both"/>
            </w:pPr>
            <w:r>
              <w:t>7</w:t>
            </w:r>
          </w:p>
        </w:tc>
      </w:tr>
      <w:tr w:rsidR="00C83656" w14:paraId="4B519212" w14:textId="77777777" w:rsidTr="00FE601E">
        <w:tc>
          <w:tcPr>
            <w:tcW w:w="3078" w:type="dxa"/>
          </w:tcPr>
          <w:p w14:paraId="12FF19E9" w14:textId="18E9154D" w:rsidR="00C83656" w:rsidRDefault="00C83656" w:rsidP="00B22A77">
            <w:pPr>
              <w:spacing w:line="480" w:lineRule="auto"/>
              <w:jc w:val="both"/>
            </w:pPr>
            <w:proofErr w:type="spellStart"/>
            <w:r>
              <w:t>Tachypnoea</w:t>
            </w:r>
            <w:proofErr w:type="spellEnd"/>
          </w:p>
        </w:tc>
        <w:tc>
          <w:tcPr>
            <w:tcW w:w="3079" w:type="dxa"/>
          </w:tcPr>
          <w:p w14:paraId="5F91AD0D" w14:textId="72FA5C9F" w:rsidR="00C83656" w:rsidRDefault="00C83656" w:rsidP="00B22A77">
            <w:pPr>
              <w:spacing w:line="480" w:lineRule="auto"/>
              <w:jc w:val="both"/>
            </w:pPr>
            <w:r>
              <w:t>1</w:t>
            </w:r>
          </w:p>
        </w:tc>
      </w:tr>
      <w:tr w:rsidR="00C83656" w14:paraId="546BAA59" w14:textId="77777777" w:rsidTr="00FE601E">
        <w:tc>
          <w:tcPr>
            <w:tcW w:w="3078" w:type="dxa"/>
          </w:tcPr>
          <w:p w14:paraId="205B390B" w14:textId="533E5D0B" w:rsidR="00C83656" w:rsidRDefault="00C83656" w:rsidP="00B22A77">
            <w:pPr>
              <w:spacing w:line="480" w:lineRule="auto"/>
              <w:jc w:val="both"/>
            </w:pPr>
            <w:r>
              <w:t>Dyspnoea</w:t>
            </w:r>
          </w:p>
        </w:tc>
        <w:tc>
          <w:tcPr>
            <w:tcW w:w="3079" w:type="dxa"/>
          </w:tcPr>
          <w:p w14:paraId="02401653" w14:textId="29F172BB" w:rsidR="00C83656" w:rsidRDefault="00C83656" w:rsidP="00F90B53">
            <w:pPr>
              <w:pStyle w:val="ListParagraph"/>
              <w:numPr>
                <w:ilvl w:val="0"/>
                <w:numId w:val="2"/>
              </w:numPr>
              <w:spacing w:line="480" w:lineRule="auto"/>
              <w:ind w:left="324"/>
              <w:jc w:val="both"/>
            </w:pPr>
            <w:r>
              <w:t>inspiratory</w:t>
            </w:r>
          </w:p>
          <w:p w14:paraId="66A815E4" w14:textId="0FA2BC08" w:rsidR="00C83656" w:rsidRDefault="00C83656" w:rsidP="00F90B53">
            <w:pPr>
              <w:spacing w:line="480" w:lineRule="auto"/>
              <w:ind w:left="-36"/>
              <w:jc w:val="both"/>
            </w:pPr>
            <w:r>
              <w:t>1- mixed</w:t>
            </w:r>
          </w:p>
        </w:tc>
      </w:tr>
      <w:tr w:rsidR="00C83656" w14:paraId="624A0F07" w14:textId="77777777" w:rsidTr="00FE601E">
        <w:tc>
          <w:tcPr>
            <w:tcW w:w="3078" w:type="dxa"/>
          </w:tcPr>
          <w:p w14:paraId="171FE4C2" w14:textId="6FA50D05" w:rsidR="00C83656" w:rsidRDefault="00C83656" w:rsidP="00B22A77">
            <w:pPr>
              <w:spacing w:line="480" w:lineRule="auto"/>
              <w:jc w:val="both"/>
            </w:pPr>
            <w:r>
              <w:t>Vomiting</w:t>
            </w:r>
          </w:p>
        </w:tc>
        <w:tc>
          <w:tcPr>
            <w:tcW w:w="3079" w:type="dxa"/>
          </w:tcPr>
          <w:p w14:paraId="3D97B706" w14:textId="2E856283" w:rsidR="00C83656" w:rsidRDefault="00C83656" w:rsidP="00B22A77">
            <w:pPr>
              <w:spacing w:line="480" w:lineRule="auto"/>
              <w:jc w:val="both"/>
            </w:pPr>
            <w:r>
              <w:t>3</w:t>
            </w:r>
          </w:p>
        </w:tc>
      </w:tr>
      <w:tr w:rsidR="00C83656" w14:paraId="30E0E3AE" w14:textId="77777777" w:rsidTr="00FE601E">
        <w:tc>
          <w:tcPr>
            <w:tcW w:w="3078" w:type="dxa"/>
          </w:tcPr>
          <w:p w14:paraId="613F5E32" w14:textId="2C6B185F" w:rsidR="00C83656" w:rsidRDefault="00C83656" w:rsidP="00B22A77">
            <w:pPr>
              <w:spacing w:line="480" w:lineRule="auto"/>
              <w:jc w:val="both"/>
            </w:pPr>
            <w:r>
              <w:t>Diarrhoea</w:t>
            </w:r>
          </w:p>
        </w:tc>
        <w:tc>
          <w:tcPr>
            <w:tcW w:w="3079" w:type="dxa"/>
          </w:tcPr>
          <w:p w14:paraId="570D8844" w14:textId="4E2106F8" w:rsidR="00C83656" w:rsidRDefault="00C83656" w:rsidP="00B22A77">
            <w:pPr>
              <w:spacing w:line="480" w:lineRule="auto"/>
              <w:jc w:val="both"/>
            </w:pPr>
            <w:r>
              <w:t>4</w:t>
            </w:r>
          </w:p>
        </w:tc>
      </w:tr>
      <w:tr w:rsidR="00C83656" w14:paraId="0C5FF04D" w14:textId="77777777" w:rsidTr="00FE601E">
        <w:tc>
          <w:tcPr>
            <w:tcW w:w="3078" w:type="dxa"/>
          </w:tcPr>
          <w:p w14:paraId="2D26F726" w14:textId="79F318D2" w:rsidR="00C83656" w:rsidRDefault="00C83656" w:rsidP="00B22A77">
            <w:pPr>
              <w:spacing w:line="480" w:lineRule="auto"/>
              <w:jc w:val="both"/>
            </w:pPr>
            <w:r>
              <w:t>Haematochezia</w:t>
            </w:r>
          </w:p>
        </w:tc>
        <w:tc>
          <w:tcPr>
            <w:tcW w:w="3079" w:type="dxa"/>
          </w:tcPr>
          <w:p w14:paraId="4AE42527" w14:textId="64152797" w:rsidR="00C83656" w:rsidRDefault="00C83656" w:rsidP="00B22A77">
            <w:pPr>
              <w:spacing w:line="480" w:lineRule="auto"/>
              <w:jc w:val="both"/>
            </w:pPr>
            <w:r>
              <w:t>1</w:t>
            </w:r>
          </w:p>
        </w:tc>
      </w:tr>
      <w:tr w:rsidR="00C83656" w14:paraId="7309765B" w14:textId="77777777" w:rsidTr="00FE601E">
        <w:tc>
          <w:tcPr>
            <w:tcW w:w="3078" w:type="dxa"/>
          </w:tcPr>
          <w:p w14:paraId="7C13595B" w14:textId="3CE896FA" w:rsidR="00C83656" w:rsidRDefault="00C83656" w:rsidP="00B22A77">
            <w:pPr>
              <w:spacing w:line="480" w:lineRule="auto"/>
              <w:jc w:val="both"/>
            </w:pPr>
            <w:r>
              <w:t>dysphagia</w:t>
            </w:r>
          </w:p>
        </w:tc>
        <w:tc>
          <w:tcPr>
            <w:tcW w:w="3079" w:type="dxa"/>
          </w:tcPr>
          <w:p w14:paraId="0D57E528" w14:textId="3AD0FBE4" w:rsidR="00C83656" w:rsidRDefault="00C83656" w:rsidP="00B22A77">
            <w:pPr>
              <w:spacing w:line="480" w:lineRule="auto"/>
              <w:jc w:val="both"/>
            </w:pPr>
            <w:r>
              <w:t>2</w:t>
            </w:r>
          </w:p>
        </w:tc>
      </w:tr>
      <w:tr w:rsidR="00C83656" w14:paraId="7E3EB0BE" w14:textId="77777777" w:rsidTr="00FE601E">
        <w:tc>
          <w:tcPr>
            <w:tcW w:w="3078" w:type="dxa"/>
          </w:tcPr>
          <w:p w14:paraId="0815750B" w14:textId="54565C36" w:rsidR="00C83656" w:rsidRDefault="00C83656" w:rsidP="00B22A77">
            <w:pPr>
              <w:spacing w:line="480" w:lineRule="auto"/>
              <w:jc w:val="both"/>
            </w:pPr>
            <w:r>
              <w:t>Neck pain</w:t>
            </w:r>
          </w:p>
        </w:tc>
        <w:tc>
          <w:tcPr>
            <w:tcW w:w="3079" w:type="dxa"/>
          </w:tcPr>
          <w:p w14:paraId="3A37CB7D" w14:textId="27D34925" w:rsidR="00C83656" w:rsidRDefault="00C83656" w:rsidP="00B22A77">
            <w:pPr>
              <w:spacing w:line="480" w:lineRule="auto"/>
              <w:jc w:val="both"/>
            </w:pPr>
            <w:r>
              <w:t>3</w:t>
            </w:r>
          </w:p>
        </w:tc>
      </w:tr>
      <w:tr w:rsidR="00C83656" w14:paraId="09DD2C7D" w14:textId="77777777" w:rsidTr="00FE601E">
        <w:tc>
          <w:tcPr>
            <w:tcW w:w="3078" w:type="dxa"/>
          </w:tcPr>
          <w:p w14:paraId="03643638" w14:textId="755982E1" w:rsidR="00C83656" w:rsidRDefault="00C83656" w:rsidP="00B22A77">
            <w:pPr>
              <w:spacing w:line="480" w:lineRule="auto"/>
              <w:jc w:val="both"/>
            </w:pPr>
            <w:r>
              <w:t>Spinal pain</w:t>
            </w:r>
          </w:p>
        </w:tc>
        <w:tc>
          <w:tcPr>
            <w:tcW w:w="3079" w:type="dxa"/>
          </w:tcPr>
          <w:p w14:paraId="10BA5F47" w14:textId="455DDA7C" w:rsidR="00C83656" w:rsidRDefault="00C83656" w:rsidP="00B22A77">
            <w:pPr>
              <w:spacing w:line="480" w:lineRule="auto"/>
              <w:jc w:val="both"/>
            </w:pPr>
            <w:r>
              <w:t>2 – thoracolumbar</w:t>
            </w:r>
          </w:p>
          <w:p w14:paraId="3680C674" w14:textId="4672BF75" w:rsidR="00C83656" w:rsidRDefault="00C83656" w:rsidP="00B22A77">
            <w:pPr>
              <w:spacing w:line="480" w:lineRule="auto"/>
              <w:jc w:val="both"/>
            </w:pPr>
            <w:r>
              <w:t>2 - lumbosacral</w:t>
            </w:r>
          </w:p>
        </w:tc>
      </w:tr>
      <w:tr w:rsidR="00C83656" w14:paraId="1F314029" w14:textId="77777777" w:rsidTr="00FE601E">
        <w:tc>
          <w:tcPr>
            <w:tcW w:w="3078" w:type="dxa"/>
          </w:tcPr>
          <w:p w14:paraId="07C932C2" w14:textId="66755905" w:rsidR="00C83656" w:rsidRDefault="00C83656" w:rsidP="00B22A77">
            <w:pPr>
              <w:spacing w:line="480" w:lineRule="auto"/>
              <w:jc w:val="both"/>
            </w:pPr>
            <w:r>
              <w:t>Joint pain</w:t>
            </w:r>
          </w:p>
        </w:tc>
        <w:tc>
          <w:tcPr>
            <w:tcW w:w="3079" w:type="dxa"/>
          </w:tcPr>
          <w:p w14:paraId="4CACF652" w14:textId="58AD3641" w:rsidR="00C83656" w:rsidRDefault="00C83656" w:rsidP="00B22A77">
            <w:pPr>
              <w:spacing w:line="480" w:lineRule="auto"/>
              <w:jc w:val="both"/>
            </w:pPr>
            <w:r>
              <w:t>2</w:t>
            </w:r>
          </w:p>
        </w:tc>
      </w:tr>
      <w:tr w:rsidR="00C83656" w14:paraId="6CE3A77A" w14:textId="77777777" w:rsidTr="00FE601E">
        <w:tc>
          <w:tcPr>
            <w:tcW w:w="3078" w:type="dxa"/>
          </w:tcPr>
          <w:p w14:paraId="0E0E6351" w14:textId="2FE36AE9" w:rsidR="00C83656" w:rsidRDefault="00C83656" w:rsidP="00B22A77">
            <w:pPr>
              <w:spacing w:line="480" w:lineRule="auto"/>
              <w:jc w:val="both"/>
            </w:pPr>
            <w:r>
              <w:lastRenderedPageBreak/>
              <w:t>Abdominal pain</w:t>
            </w:r>
          </w:p>
        </w:tc>
        <w:tc>
          <w:tcPr>
            <w:tcW w:w="3079" w:type="dxa"/>
          </w:tcPr>
          <w:p w14:paraId="5904CE6D" w14:textId="5072D680" w:rsidR="00C83656" w:rsidRDefault="00C83656" w:rsidP="00B22A77">
            <w:pPr>
              <w:spacing w:line="480" w:lineRule="auto"/>
              <w:jc w:val="both"/>
            </w:pPr>
            <w:r>
              <w:t>3</w:t>
            </w:r>
          </w:p>
        </w:tc>
      </w:tr>
      <w:tr w:rsidR="00C83656" w14:paraId="466F2C44" w14:textId="77777777" w:rsidTr="00FE601E">
        <w:tc>
          <w:tcPr>
            <w:tcW w:w="3078" w:type="dxa"/>
          </w:tcPr>
          <w:p w14:paraId="271875B0" w14:textId="7CAB853C" w:rsidR="00C83656" w:rsidRDefault="00C83656" w:rsidP="00B22A77">
            <w:pPr>
              <w:spacing w:line="480" w:lineRule="auto"/>
              <w:jc w:val="both"/>
            </w:pPr>
            <w:r>
              <w:t>Joint effusion</w:t>
            </w:r>
          </w:p>
        </w:tc>
        <w:tc>
          <w:tcPr>
            <w:tcW w:w="3079" w:type="dxa"/>
          </w:tcPr>
          <w:p w14:paraId="42A8EB73" w14:textId="5415041D" w:rsidR="00C83656" w:rsidRDefault="00C83656" w:rsidP="00B22A77">
            <w:pPr>
              <w:spacing w:line="480" w:lineRule="auto"/>
              <w:jc w:val="both"/>
            </w:pPr>
            <w:r>
              <w:t>2 – carpus</w:t>
            </w:r>
          </w:p>
          <w:p w14:paraId="454BA1A7" w14:textId="190CF48B" w:rsidR="00C83656" w:rsidRDefault="00C83656" w:rsidP="00127009">
            <w:pPr>
              <w:spacing w:line="480" w:lineRule="auto"/>
              <w:jc w:val="both"/>
            </w:pPr>
            <w:r>
              <w:t>1- stifles</w:t>
            </w:r>
          </w:p>
          <w:p w14:paraId="7067B12F" w14:textId="4403B0A8" w:rsidR="00C83656" w:rsidRDefault="00C83656" w:rsidP="00127009">
            <w:pPr>
              <w:spacing w:line="480" w:lineRule="auto"/>
              <w:jc w:val="both"/>
            </w:pPr>
            <w:r>
              <w:t>1 - Tarsus</w:t>
            </w:r>
          </w:p>
        </w:tc>
      </w:tr>
      <w:tr w:rsidR="00C83656" w14:paraId="59EE946E" w14:textId="77777777" w:rsidTr="00FE601E">
        <w:tc>
          <w:tcPr>
            <w:tcW w:w="3078" w:type="dxa"/>
          </w:tcPr>
          <w:p w14:paraId="3AB0CCD7" w14:textId="31DAE1CD" w:rsidR="00C83656" w:rsidRDefault="00C83656" w:rsidP="00B22A77">
            <w:pPr>
              <w:spacing w:line="480" w:lineRule="auto"/>
              <w:jc w:val="both"/>
            </w:pPr>
            <w:r>
              <w:t xml:space="preserve">Arrhythmia (accelerated </w:t>
            </w:r>
            <w:proofErr w:type="spellStart"/>
            <w:r>
              <w:t>idioventricular</w:t>
            </w:r>
            <w:proofErr w:type="spellEnd"/>
            <w:r>
              <w:t xml:space="preserve"> rhythm)</w:t>
            </w:r>
          </w:p>
        </w:tc>
        <w:tc>
          <w:tcPr>
            <w:tcW w:w="3079" w:type="dxa"/>
          </w:tcPr>
          <w:p w14:paraId="2BAF1645" w14:textId="1E7AAF41" w:rsidR="00C83656" w:rsidRDefault="00C83656" w:rsidP="00B22A77">
            <w:pPr>
              <w:spacing w:line="480" w:lineRule="auto"/>
              <w:jc w:val="both"/>
            </w:pPr>
            <w:r>
              <w:t>1</w:t>
            </w:r>
          </w:p>
        </w:tc>
      </w:tr>
      <w:tr w:rsidR="00C83656" w14:paraId="57A37B57" w14:textId="77777777" w:rsidTr="00FE601E">
        <w:tc>
          <w:tcPr>
            <w:tcW w:w="3078" w:type="dxa"/>
          </w:tcPr>
          <w:p w14:paraId="279DFB92" w14:textId="712C50F5" w:rsidR="00C83656" w:rsidRDefault="00C83656" w:rsidP="00950C44">
            <w:pPr>
              <w:spacing w:line="480" w:lineRule="auto"/>
              <w:jc w:val="both"/>
            </w:pPr>
            <w:r>
              <w:t xml:space="preserve">Dermatological signs </w:t>
            </w:r>
          </w:p>
        </w:tc>
        <w:tc>
          <w:tcPr>
            <w:tcW w:w="3079" w:type="dxa"/>
          </w:tcPr>
          <w:p w14:paraId="0F5CA8E1" w14:textId="77777777" w:rsidR="00C83656" w:rsidRDefault="00C83656" w:rsidP="00B22A77">
            <w:pPr>
              <w:spacing w:line="480" w:lineRule="auto"/>
              <w:jc w:val="both"/>
            </w:pPr>
            <w:r>
              <w:t>1 – gingival ulcerations</w:t>
            </w:r>
          </w:p>
          <w:p w14:paraId="7001120D" w14:textId="4D024C01" w:rsidR="00C83656" w:rsidRDefault="00C83656" w:rsidP="00B22A77">
            <w:pPr>
              <w:spacing w:line="480" w:lineRule="auto"/>
              <w:jc w:val="both"/>
            </w:pPr>
            <w:r>
              <w:t>1 – pustules</w:t>
            </w:r>
          </w:p>
          <w:p w14:paraId="72C8E335" w14:textId="6C2AA38B" w:rsidR="00C83656" w:rsidRDefault="00C83656" w:rsidP="00B22A77">
            <w:pPr>
              <w:spacing w:line="480" w:lineRule="auto"/>
              <w:jc w:val="both"/>
            </w:pPr>
            <w:r>
              <w:t>1- ulcers in pinnae and face</w:t>
            </w:r>
          </w:p>
        </w:tc>
      </w:tr>
      <w:tr w:rsidR="00C83656" w14:paraId="6A3C44FE" w14:textId="77777777" w:rsidTr="00FE601E">
        <w:tc>
          <w:tcPr>
            <w:tcW w:w="3078" w:type="dxa"/>
          </w:tcPr>
          <w:p w14:paraId="27F4A0E2" w14:textId="757D6B61" w:rsidR="00C83656" w:rsidRDefault="00C83656" w:rsidP="00B22A77">
            <w:pPr>
              <w:spacing w:line="480" w:lineRule="auto"/>
              <w:jc w:val="both"/>
            </w:pPr>
            <w:r>
              <w:t>Ventral cervical swelling</w:t>
            </w:r>
          </w:p>
        </w:tc>
        <w:tc>
          <w:tcPr>
            <w:tcW w:w="3079" w:type="dxa"/>
          </w:tcPr>
          <w:p w14:paraId="6ECCC581" w14:textId="2A5B0D68" w:rsidR="00C83656" w:rsidRDefault="00C83656" w:rsidP="00B22A77">
            <w:pPr>
              <w:spacing w:line="480" w:lineRule="auto"/>
              <w:jc w:val="both"/>
            </w:pPr>
            <w:r>
              <w:t>7</w:t>
            </w:r>
          </w:p>
        </w:tc>
      </w:tr>
      <w:tr w:rsidR="00C83656" w14:paraId="2E83524C" w14:textId="77777777" w:rsidTr="00FE601E">
        <w:tc>
          <w:tcPr>
            <w:tcW w:w="3078" w:type="dxa"/>
          </w:tcPr>
          <w:p w14:paraId="02520293" w14:textId="2DF5E5E6" w:rsidR="00C83656" w:rsidRDefault="00C83656" w:rsidP="00B22A77">
            <w:pPr>
              <w:spacing w:line="480" w:lineRule="auto"/>
              <w:jc w:val="both"/>
            </w:pPr>
            <w:r>
              <w:t>Facial swelling</w:t>
            </w:r>
          </w:p>
        </w:tc>
        <w:tc>
          <w:tcPr>
            <w:tcW w:w="3079" w:type="dxa"/>
          </w:tcPr>
          <w:p w14:paraId="1F398211" w14:textId="60C24144" w:rsidR="00C83656" w:rsidRDefault="00C83656" w:rsidP="00B22A77">
            <w:pPr>
              <w:spacing w:line="480" w:lineRule="auto"/>
              <w:jc w:val="both"/>
            </w:pPr>
            <w:r>
              <w:t>2</w:t>
            </w:r>
          </w:p>
        </w:tc>
      </w:tr>
      <w:tr w:rsidR="00C83656" w14:paraId="130CD7E2" w14:textId="77777777" w:rsidTr="00FE601E">
        <w:tc>
          <w:tcPr>
            <w:tcW w:w="3078" w:type="dxa"/>
          </w:tcPr>
          <w:p w14:paraId="4D407BC4" w14:textId="7FC3AB17" w:rsidR="00C83656" w:rsidRDefault="00C83656" w:rsidP="00B22A77">
            <w:pPr>
              <w:spacing w:line="480" w:lineRule="auto"/>
              <w:jc w:val="both"/>
            </w:pPr>
            <w:r>
              <w:t>Epistaxis (bilateral)</w:t>
            </w:r>
          </w:p>
        </w:tc>
        <w:tc>
          <w:tcPr>
            <w:tcW w:w="3079" w:type="dxa"/>
          </w:tcPr>
          <w:p w14:paraId="3DD8E040" w14:textId="13F62224" w:rsidR="00C83656" w:rsidRDefault="00C83656" w:rsidP="00B22A77">
            <w:pPr>
              <w:spacing w:line="480" w:lineRule="auto"/>
              <w:jc w:val="both"/>
            </w:pPr>
            <w:r>
              <w:t>2</w:t>
            </w:r>
          </w:p>
        </w:tc>
      </w:tr>
    </w:tbl>
    <w:p w14:paraId="02C446A6" w14:textId="6B69A5C1" w:rsidR="00FE601E" w:rsidRDefault="00D86D19" w:rsidP="00B22A77">
      <w:pPr>
        <w:spacing w:line="480" w:lineRule="auto"/>
        <w:jc w:val="both"/>
      </w:pPr>
      <w:r>
        <w:t xml:space="preserve">Table 1: </w:t>
      </w:r>
      <w:r w:rsidR="00F97BF8">
        <w:t>S</w:t>
      </w:r>
      <w:r>
        <w:t xml:space="preserve">ummary of clinical signs </w:t>
      </w:r>
      <w:r w:rsidR="005E49AA">
        <w:t>including numbers of dogs.</w:t>
      </w:r>
    </w:p>
    <w:p w14:paraId="204F4253" w14:textId="77777777" w:rsidR="00FE601E" w:rsidRDefault="00FE601E" w:rsidP="00B22A77">
      <w:pPr>
        <w:spacing w:line="480" w:lineRule="auto"/>
        <w:jc w:val="both"/>
      </w:pPr>
    </w:p>
    <w:p w14:paraId="1D658639" w14:textId="41B3B2BE" w:rsidR="000C5D8F" w:rsidRDefault="00A5780C" w:rsidP="00F340DE">
      <w:pPr>
        <w:spacing w:line="480" w:lineRule="auto"/>
        <w:jc w:val="both"/>
      </w:pPr>
      <w:r w:rsidRPr="008F52E1">
        <w:t xml:space="preserve">Although </w:t>
      </w:r>
      <w:proofErr w:type="spellStart"/>
      <w:r w:rsidRPr="008F52E1">
        <w:t>lymphadenomegaly</w:t>
      </w:r>
      <w:proofErr w:type="spellEnd"/>
      <w:r w:rsidRPr="008F52E1">
        <w:t xml:space="preserve"> was g</w:t>
      </w:r>
      <w:r w:rsidR="00F1366B" w:rsidRPr="008F52E1">
        <w:t>rossly palpable in most cases, eleven</w:t>
      </w:r>
      <w:r w:rsidRPr="008F52E1">
        <w:t xml:space="preserve"> animals presented without any external sign of </w:t>
      </w:r>
      <w:proofErr w:type="spellStart"/>
      <w:r w:rsidRPr="008F52E1">
        <w:t>lymphadenomegaly</w:t>
      </w:r>
      <w:proofErr w:type="spellEnd"/>
      <w:r w:rsidRPr="008F52E1">
        <w:t xml:space="preserve">, but </w:t>
      </w:r>
      <w:r w:rsidR="002327D8" w:rsidRPr="008F52E1">
        <w:t>thoracic and intraabdominal lymphadenopathy was</w:t>
      </w:r>
      <w:r w:rsidRPr="008F52E1">
        <w:t xml:space="preserve"> later diagnosed </w:t>
      </w:r>
      <w:r w:rsidR="002327D8" w:rsidRPr="008F52E1">
        <w:t>through</w:t>
      </w:r>
      <w:r w:rsidR="005A5E37" w:rsidRPr="008F52E1">
        <w:t xml:space="preserve"> further investigation. </w:t>
      </w:r>
      <w:r w:rsidR="0093225E" w:rsidRPr="008F52E1">
        <w:t xml:space="preserve"> </w:t>
      </w:r>
      <w:r w:rsidR="00CA488B">
        <w:t xml:space="preserve">The </w:t>
      </w:r>
      <w:r w:rsidR="006A7688">
        <w:t>m</w:t>
      </w:r>
      <w:r w:rsidR="0093225E" w:rsidRPr="008F52E1">
        <w:t xml:space="preserve">andibular </w:t>
      </w:r>
      <w:r w:rsidR="00CA488B">
        <w:t>(32/50)</w:t>
      </w:r>
      <w:r w:rsidR="0093225E" w:rsidRPr="008F52E1">
        <w:t xml:space="preserve">, </w:t>
      </w:r>
      <w:r w:rsidR="006A7688">
        <w:t>superficial cervical</w:t>
      </w:r>
      <w:r w:rsidR="006A7688" w:rsidRPr="008F52E1">
        <w:t xml:space="preserve"> </w:t>
      </w:r>
      <w:r w:rsidR="00CA488B">
        <w:t>(23/50 and</w:t>
      </w:r>
      <w:r w:rsidR="00D53501">
        <w:t xml:space="preserve"> </w:t>
      </w:r>
      <w:r w:rsidR="0093225E" w:rsidRPr="008F52E1">
        <w:t>popliteal</w:t>
      </w:r>
      <w:r w:rsidR="00CA488B">
        <w:t xml:space="preserve"> (21/50) lymph nodes were most commonly affected.</w:t>
      </w:r>
      <w:r w:rsidR="0093225E" w:rsidRPr="008F52E1">
        <w:t xml:space="preserve"> </w:t>
      </w:r>
      <w:r w:rsidR="00865012">
        <w:t>Objective measurements of the lymph nodes were not available in many cases; however subjectively l</w:t>
      </w:r>
      <w:r w:rsidR="004B0005">
        <w:t xml:space="preserve">ymphadenopathy ranged from mild to marked. </w:t>
      </w:r>
      <w:r w:rsidR="005A5E37" w:rsidRPr="008F52E1">
        <w:t xml:space="preserve">Intra-thoracic and intra-abdominal </w:t>
      </w:r>
      <w:proofErr w:type="spellStart"/>
      <w:r w:rsidR="005A5E37" w:rsidRPr="008F52E1">
        <w:t>lymphadenomegaly</w:t>
      </w:r>
      <w:proofErr w:type="spellEnd"/>
      <w:r w:rsidR="005A5E37" w:rsidRPr="008F52E1">
        <w:t xml:space="preserve"> was </w:t>
      </w:r>
      <w:r w:rsidR="001002EA" w:rsidRPr="008F52E1">
        <w:t xml:space="preserve">documented with diagnostic imaging (thoracic radiographs, </w:t>
      </w:r>
      <w:r w:rsidR="00442149">
        <w:t xml:space="preserve">abdominal radiographs, </w:t>
      </w:r>
      <w:r w:rsidR="001002EA" w:rsidRPr="008F52E1">
        <w:t>abdominal ultrasound, CT or MRI) performed</w:t>
      </w:r>
      <w:r w:rsidR="00C821A9">
        <w:t xml:space="preserve"> or interpreted</w:t>
      </w:r>
      <w:r w:rsidR="001002EA" w:rsidRPr="008F52E1">
        <w:t xml:space="preserve"> by boarded radiologists</w:t>
      </w:r>
      <w:r w:rsidR="001002EA">
        <w:t>. Intrathoracic lymphadenopathy was</w:t>
      </w:r>
      <w:r w:rsidR="001002EA" w:rsidRPr="008F52E1">
        <w:t xml:space="preserve"> </w:t>
      </w:r>
      <w:r w:rsidR="005A5E37" w:rsidRPr="008F52E1">
        <w:t xml:space="preserve">noted in </w:t>
      </w:r>
      <w:r w:rsidR="00CC0B4E">
        <w:t>4 of the 50 cases affect</w:t>
      </w:r>
      <w:r w:rsidR="00CA488B">
        <w:t xml:space="preserve">ing the </w:t>
      </w:r>
      <w:r w:rsidR="001002EA">
        <w:t>sternal</w:t>
      </w:r>
      <w:r w:rsidR="00CA488B">
        <w:t xml:space="preserve"> (2/50)</w:t>
      </w:r>
      <w:r w:rsidR="00400361">
        <w:t xml:space="preserve"> </w:t>
      </w:r>
      <w:r w:rsidR="001002EA">
        <w:t>and tracheobronchial</w:t>
      </w:r>
      <w:r w:rsidR="00CA488B">
        <w:t xml:space="preserve"> (2/50)</w:t>
      </w:r>
      <w:r w:rsidR="001002EA">
        <w:t xml:space="preserve"> lymph nodes. </w:t>
      </w:r>
      <w:r w:rsidR="000C5D8F">
        <w:t>Other changes on thoracic imaging included the presence of a mild to moderate bronchoint</w:t>
      </w:r>
      <w:r w:rsidR="000D717D">
        <w:t xml:space="preserve">erstitial pattern in 3 </w:t>
      </w:r>
      <w:r w:rsidR="00CA488B">
        <w:lastRenderedPageBreak/>
        <w:t>dogs</w:t>
      </w:r>
      <w:r w:rsidR="000D717D">
        <w:t>,</w:t>
      </w:r>
      <w:r w:rsidR="000C5D8F">
        <w:t xml:space="preserve"> focal alveolar infiltrate in 2 </w:t>
      </w:r>
      <w:r w:rsidR="00CA488B">
        <w:t>dogs</w:t>
      </w:r>
      <w:r w:rsidR="000D717D">
        <w:t xml:space="preserve"> and nodular pattern in one </w:t>
      </w:r>
      <w:r w:rsidR="00CA488B">
        <w:t>dogs</w:t>
      </w:r>
      <w:r w:rsidR="000C5D8F">
        <w:t xml:space="preserve">. </w:t>
      </w:r>
      <w:proofErr w:type="spellStart"/>
      <w:r w:rsidR="000C5D8F">
        <w:t>Bronchoalveolar</w:t>
      </w:r>
      <w:proofErr w:type="spellEnd"/>
      <w:r w:rsidR="000C5D8F">
        <w:t xml:space="preserve"> lavage cytological analysis included mixed inflammation with a negative culture in all </w:t>
      </w:r>
      <w:r w:rsidR="00CA488B">
        <w:t>dogs</w:t>
      </w:r>
      <w:r w:rsidR="008565F9">
        <w:t xml:space="preserve"> that presented with radiographic changes on thoracic imaging</w:t>
      </w:r>
      <w:r w:rsidR="000C5D8F">
        <w:t xml:space="preserve">. </w:t>
      </w:r>
      <w:r w:rsidR="001002EA">
        <w:t xml:space="preserve">Intraabdominal lymphadenopathy was </w:t>
      </w:r>
      <w:r w:rsidR="00CA488B">
        <w:t>documented</w:t>
      </w:r>
      <w:r w:rsidR="001002EA">
        <w:t xml:space="preserve"> in</w:t>
      </w:r>
      <w:r w:rsidR="005A5E37" w:rsidRPr="008F52E1">
        <w:t xml:space="preserve"> </w:t>
      </w:r>
      <w:r w:rsidR="00CC0B4E">
        <w:t>25</w:t>
      </w:r>
      <w:r w:rsidR="00CA488B">
        <w:t xml:space="preserve"> of the 50 dogs</w:t>
      </w:r>
      <w:r w:rsidR="006C3AC2">
        <w:t xml:space="preserve"> </w:t>
      </w:r>
      <w:r w:rsidR="00CA488B">
        <w:t>a</w:t>
      </w:r>
      <w:r w:rsidR="001002EA">
        <w:t>ffect</w:t>
      </w:r>
      <w:r w:rsidR="00CA488B">
        <w:t>ing the</w:t>
      </w:r>
      <w:r w:rsidR="001002EA">
        <w:t xml:space="preserve"> mesenteric</w:t>
      </w:r>
      <w:r w:rsidR="00CA488B">
        <w:t xml:space="preserve"> (15/25)</w:t>
      </w:r>
      <w:r w:rsidR="001002EA">
        <w:t>,</w:t>
      </w:r>
      <w:r w:rsidR="006C3AC2">
        <w:t xml:space="preserve"> </w:t>
      </w:r>
      <w:r w:rsidR="001002EA">
        <w:t>medial ilia</w:t>
      </w:r>
      <w:r w:rsidR="00CA488B">
        <w:t>c</w:t>
      </w:r>
      <w:r w:rsidR="008565F9">
        <w:t xml:space="preserve"> (9/25)</w:t>
      </w:r>
      <w:r w:rsidR="006C3AC2">
        <w:t xml:space="preserve"> </w:t>
      </w:r>
      <w:r w:rsidR="001002EA">
        <w:t xml:space="preserve">and </w:t>
      </w:r>
      <w:proofErr w:type="spellStart"/>
      <w:r w:rsidR="00C23D7B">
        <w:t>sublumbar</w:t>
      </w:r>
      <w:proofErr w:type="spellEnd"/>
      <w:r w:rsidR="00CA488B">
        <w:t xml:space="preserve"> (1/25)</w:t>
      </w:r>
      <w:r w:rsidR="001002EA">
        <w:t xml:space="preserve"> lymph nodes</w:t>
      </w:r>
      <w:r w:rsidR="005A5E37" w:rsidRPr="008F52E1">
        <w:t xml:space="preserve">. </w:t>
      </w:r>
      <w:r w:rsidR="00194E08">
        <w:t>Other changes on abdominal imaging included the presence of minimal</w:t>
      </w:r>
      <w:r w:rsidR="00CA488B">
        <w:t xml:space="preserve"> volume</w:t>
      </w:r>
      <w:r w:rsidR="00194E08">
        <w:t xml:space="preserve"> abdominal effusion in </w:t>
      </w:r>
      <w:r w:rsidR="00237495">
        <w:t xml:space="preserve">5 </w:t>
      </w:r>
      <w:r w:rsidR="00CA488B">
        <w:t>dogs,</w:t>
      </w:r>
      <w:r w:rsidR="00237495">
        <w:t xml:space="preserve"> </w:t>
      </w:r>
      <w:r w:rsidR="00CA488B">
        <w:t xml:space="preserve">mild splenomegaly in 4 dogs and </w:t>
      </w:r>
      <w:r w:rsidR="00237495">
        <w:t xml:space="preserve">hepatomegaly in 3 </w:t>
      </w:r>
      <w:r w:rsidR="00CA488B">
        <w:t>dogs</w:t>
      </w:r>
      <w:r w:rsidR="00237495">
        <w:t xml:space="preserve">. In 2 </w:t>
      </w:r>
      <w:r w:rsidR="00CA488B">
        <w:t xml:space="preserve">dogs analysis of the </w:t>
      </w:r>
      <w:r w:rsidR="00237495">
        <w:t>peritoneal fluid</w:t>
      </w:r>
      <w:r w:rsidR="00CA488B">
        <w:t xml:space="preserve"> </w:t>
      </w:r>
      <w:r w:rsidR="00237495">
        <w:t xml:space="preserve">revealed the presence of </w:t>
      </w:r>
      <w:r w:rsidR="00CA488B">
        <w:t xml:space="preserve">a </w:t>
      </w:r>
      <w:r w:rsidR="00237495">
        <w:t xml:space="preserve">neutrophilic transudate with negative culture. </w:t>
      </w:r>
      <w:r w:rsidR="00F340DE">
        <w:t xml:space="preserve">Splenic </w:t>
      </w:r>
      <w:r w:rsidR="00237495">
        <w:t>FNA</w:t>
      </w:r>
      <w:r w:rsidR="00F340DE">
        <w:t>C</w:t>
      </w:r>
      <w:r w:rsidR="000C5D8F">
        <w:t xml:space="preserve"> revealed reactive hyperplasia</w:t>
      </w:r>
      <w:r w:rsidR="00F340DE">
        <w:t xml:space="preserve"> in 3 of the 4 dogs with splenomegaly</w:t>
      </w:r>
      <w:r w:rsidR="000C5D8F">
        <w:t xml:space="preserve"> and </w:t>
      </w:r>
      <w:r w:rsidR="00F340DE">
        <w:t xml:space="preserve">hepatic </w:t>
      </w:r>
      <w:r w:rsidR="000C5D8F">
        <w:t>FNA</w:t>
      </w:r>
      <w:r w:rsidR="00F340DE">
        <w:t xml:space="preserve">C documented mild </w:t>
      </w:r>
      <w:proofErr w:type="spellStart"/>
      <w:r w:rsidR="00F340DE">
        <w:t>vacuolar</w:t>
      </w:r>
      <w:proofErr w:type="spellEnd"/>
      <w:r w:rsidR="00F340DE">
        <w:t xml:space="preserve"> change and mild neutrophilic inflammation in one dog.</w:t>
      </w:r>
    </w:p>
    <w:p w14:paraId="50D52147" w14:textId="77777777" w:rsidR="00DF6861" w:rsidRDefault="00DF6861" w:rsidP="00B22A77">
      <w:pPr>
        <w:spacing w:line="480" w:lineRule="auto"/>
        <w:jc w:val="both"/>
      </w:pPr>
    </w:p>
    <w:p w14:paraId="789BCFE4" w14:textId="46514BF6" w:rsidR="008B3CCD" w:rsidRPr="00933967" w:rsidRDefault="00D8100D" w:rsidP="00B22A77">
      <w:pPr>
        <w:spacing w:line="480" w:lineRule="auto"/>
        <w:jc w:val="both"/>
      </w:pPr>
      <w:r w:rsidRPr="00933967">
        <w:t xml:space="preserve">Main </w:t>
      </w:r>
      <w:proofErr w:type="spellStart"/>
      <w:r w:rsidRPr="00933967">
        <w:t>clinicopathological</w:t>
      </w:r>
      <w:proofErr w:type="spellEnd"/>
      <w:r w:rsidRPr="00933967">
        <w:t xml:space="preserve"> findings included mild non-regenerative anaemia </w:t>
      </w:r>
      <w:r w:rsidR="00BF2F3B">
        <w:t xml:space="preserve">(haematocrit 0.31-0.35L/L; RI: 0.37-0.55) </w:t>
      </w:r>
      <w:r w:rsidRPr="00933967">
        <w:t xml:space="preserve">in </w:t>
      </w:r>
      <w:r w:rsidR="00525877" w:rsidRPr="00933967">
        <w:t>5 cases (</w:t>
      </w:r>
      <w:r w:rsidRPr="00933967">
        <w:t>10%</w:t>
      </w:r>
      <w:r w:rsidR="00525877" w:rsidRPr="00933967">
        <w:t>)</w:t>
      </w:r>
      <w:r w:rsidRPr="00933967">
        <w:t>, mild to moderate neutrophilic leucocytosis</w:t>
      </w:r>
      <w:r w:rsidR="00BF2F3B">
        <w:t xml:space="preserve"> (neutrophil count 20-</w:t>
      </w:r>
      <w:r w:rsidR="002D1E13">
        <w:t>35</w:t>
      </w:r>
      <w:r w:rsidR="00BF2F3B" w:rsidRPr="00BF2F3B">
        <w:t>x10</w:t>
      </w:r>
      <w:r w:rsidR="00BF2F3B" w:rsidRPr="00BF2F3B">
        <w:rPr>
          <w:vertAlign w:val="superscript"/>
        </w:rPr>
        <w:t>9</w:t>
      </w:r>
      <w:r w:rsidR="00BF2F3B">
        <w:t xml:space="preserve">/L; </w:t>
      </w:r>
      <w:r w:rsidR="00BF2F3B" w:rsidRPr="00BF2F3B">
        <w:t>RI</w:t>
      </w:r>
      <w:r w:rsidR="00BF2F3B">
        <w:t>: 3-11.5x10</w:t>
      </w:r>
      <w:r w:rsidR="00BF2F3B">
        <w:rPr>
          <w:vertAlign w:val="superscript"/>
        </w:rPr>
        <w:t>9</w:t>
      </w:r>
      <w:r w:rsidR="00BF2F3B">
        <w:t>/L)</w:t>
      </w:r>
      <w:r w:rsidRPr="00933967">
        <w:t xml:space="preserve"> in </w:t>
      </w:r>
      <w:r w:rsidR="00525877" w:rsidRPr="00933967">
        <w:t>11 cases (</w:t>
      </w:r>
      <w:r w:rsidRPr="00933967">
        <w:t>22%</w:t>
      </w:r>
      <w:r w:rsidR="00525877" w:rsidRPr="00933967">
        <w:t>)</w:t>
      </w:r>
      <w:r w:rsidRPr="00933967">
        <w:t xml:space="preserve">, </w:t>
      </w:r>
      <w:proofErr w:type="spellStart"/>
      <w:r w:rsidRPr="00933967">
        <w:t>monocytic</w:t>
      </w:r>
      <w:proofErr w:type="spellEnd"/>
      <w:r w:rsidRPr="00933967">
        <w:t xml:space="preserve"> leucocytosis </w:t>
      </w:r>
      <w:r w:rsidR="009E5AEF">
        <w:t>(monocyte count 1.7-6.7</w:t>
      </w:r>
      <w:r w:rsidR="009E5AEF" w:rsidRPr="009E5AEF">
        <w:t>x10</w:t>
      </w:r>
      <w:r w:rsidR="009E5AEF" w:rsidRPr="009E5AEF">
        <w:rPr>
          <w:vertAlign w:val="superscript"/>
        </w:rPr>
        <w:t>9</w:t>
      </w:r>
      <w:r w:rsidR="009E5AEF">
        <w:t xml:space="preserve">/L; RI: 0.2-1.4) </w:t>
      </w:r>
      <w:r w:rsidRPr="009E5AEF">
        <w:t>in</w:t>
      </w:r>
      <w:r w:rsidRPr="00933967">
        <w:t xml:space="preserve"> </w:t>
      </w:r>
      <w:r w:rsidR="00525877" w:rsidRPr="00933967">
        <w:t>4 cases (</w:t>
      </w:r>
      <w:r w:rsidRPr="00933967">
        <w:t>8%</w:t>
      </w:r>
      <w:r w:rsidR="00525877" w:rsidRPr="00933967">
        <w:t>)</w:t>
      </w:r>
      <w:r w:rsidRPr="00933967">
        <w:t xml:space="preserve"> and </w:t>
      </w:r>
      <w:r w:rsidR="009E1385" w:rsidRPr="00933967">
        <w:t>neutrophilic</w:t>
      </w:r>
      <w:r w:rsidR="00525877" w:rsidRPr="00933967">
        <w:t xml:space="preserve"> and </w:t>
      </w:r>
      <w:proofErr w:type="spellStart"/>
      <w:r w:rsidRPr="00933967">
        <w:t>monocytic</w:t>
      </w:r>
      <w:proofErr w:type="spellEnd"/>
      <w:r w:rsidRPr="00933967">
        <w:t xml:space="preserve"> leucocytosis in </w:t>
      </w:r>
      <w:r w:rsidR="00525877" w:rsidRPr="00933967">
        <w:t>4 cases (</w:t>
      </w:r>
      <w:r w:rsidRPr="00933967">
        <w:t>8%</w:t>
      </w:r>
      <w:r w:rsidR="00525877" w:rsidRPr="00933967">
        <w:t xml:space="preserve">) </w:t>
      </w:r>
      <w:r w:rsidR="009E1385" w:rsidRPr="00933967">
        <w:t xml:space="preserve">and moderate regenerative anaemia </w:t>
      </w:r>
      <w:r w:rsidR="00FF788C">
        <w:t xml:space="preserve">(HCT: 0.17L/L; RI: 0.37-0.55) </w:t>
      </w:r>
      <w:r w:rsidR="009E1385" w:rsidRPr="00933967">
        <w:t xml:space="preserve">and </w:t>
      </w:r>
      <w:r w:rsidR="00F64299" w:rsidRPr="00933967">
        <w:t xml:space="preserve">severe </w:t>
      </w:r>
      <w:r w:rsidR="009E1385" w:rsidRPr="00933967">
        <w:t xml:space="preserve">thrombocytopenia in </w:t>
      </w:r>
      <w:r w:rsidR="00525877" w:rsidRPr="00933967">
        <w:t>one case (2%)</w:t>
      </w:r>
      <w:r w:rsidRPr="00933967">
        <w:t>.</w:t>
      </w:r>
      <w:r w:rsidR="008B3CCD" w:rsidRPr="00933967">
        <w:t xml:space="preserve"> </w:t>
      </w:r>
      <w:r w:rsidR="00942F76" w:rsidRPr="00933967">
        <w:t xml:space="preserve">Main biochemical abnormalities included mild </w:t>
      </w:r>
      <w:r w:rsidR="009E5AEF">
        <w:t xml:space="preserve">to moderate </w:t>
      </w:r>
      <w:r w:rsidR="00942F76" w:rsidRPr="00933967">
        <w:t>elevation in alka</w:t>
      </w:r>
      <w:r w:rsidR="008F01F5" w:rsidRPr="00933967">
        <w:t>line phosphatase (ALP</w:t>
      </w:r>
      <w:r w:rsidR="009E5AEF">
        <w:t>: 154-600IU/L; RI: 14-105</w:t>
      </w:r>
      <w:r w:rsidR="008F01F5" w:rsidRPr="00933967">
        <w:t xml:space="preserve">) in </w:t>
      </w:r>
      <w:r w:rsidR="00B15E3E" w:rsidRPr="00933967">
        <w:t>8 cases (</w:t>
      </w:r>
      <w:r w:rsidR="008F01F5" w:rsidRPr="00933967">
        <w:t>16</w:t>
      </w:r>
      <w:r w:rsidR="00942F76" w:rsidRPr="00933967">
        <w:t>%</w:t>
      </w:r>
      <w:r w:rsidR="00B15E3E" w:rsidRPr="00933967">
        <w:t>),</w:t>
      </w:r>
      <w:r w:rsidR="00942F76" w:rsidRPr="00933967">
        <w:t xml:space="preserve"> </w:t>
      </w:r>
      <w:r w:rsidR="008F01F5" w:rsidRPr="00933967">
        <w:t xml:space="preserve">mild to </w:t>
      </w:r>
      <w:r w:rsidR="00942F76" w:rsidRPr="00933967">
        <w:t xml:space="preserve">moderate </w:t>
      </w:r>
      <w:proofErr w:type="spellStart"/>
      <w:r w:rsidR="00942F76" w:rsidRPr="00933967">
        <w:t>hypoalbuminaem</w:t>
      </w:r>
      <w:r w:rsidR="008F01F5" w:rsidRPr="00933967">
        <w:t>ia</w:t>
      </w:r>
      <w:proofErr w:type="spellEnd"/>
      <w:r w:rsidR="008F01F5" w:rsidRPr="00933967">
        <w:t xml:space="preserve"> </w:t>
      </w:r>
      <w:r w:rsidR="009E5AEF">
        <w:t xml:space="preserve">(albumin values 16-21g/l; RI: 25-40) </w:t>
      </w:r>
      <w:r w:rsidR="008F01F5" w:rsidRPr="00933967">
        <w:t xml:space="preserve">in </w:t>
      </w:r>
      <w:r w:rsidR="00B15E3E" w:rsidRPr="00933967">
        <w:t>4 cases (</w:t>
      </w:r>
      <w:r w:rsidR="008F01F5" w:rsidRPr="00933967">
        <w:t>8</w:t>
      </w:r>
      <w:r w:rsidR="00942F76" w:rsidRPr="00933967">
        <w:t>%</w:t>
      </w:r>
      <w:r w:rsidR="00B15E3E" w:rsidRPr="00933967">
        <w:t>)</w:t>
      </w:r>
      <w:r w:rsidR="00942F76" w:rsidRPr="00933967">
        <w:t xml:space="preserve"> </w:t>
      </w:r>
      <w:r w:rsidR="008F01F5" w:rsidRPr="00933967">
        <w:t xml:space="preserve">and mild hyperglobulinaemia </w:t>
      </w:r>
      <w:r w:rsidR="009E5AEF">
        <w:t xml:space="preserve">(globulin values 47-52g/l; RI: 23-45) </w:t>
      </w:r>
      <w:r w:rsidR="008F01F5" w:rsidRPr="00933967">
        <w:t xml:space="preserve">in </w:t>
      </w:r>
      <w:r w:rsidR="00B15E3E" w:rsidRPr="00933967">
        <w:t>2 cases (</w:t>
      </w:r>
      <w:r w:rsidR="008F01F5" w:rsidRPr="00933967">
        <w:t>4</w:t>
      </w:r>
      <w:r w:rsidR="00942F76" w:rsidRPr="00933967">
        <w:t>%</w:t>
      </w:r>
      <w:r w:rsidR="00B15E3E" w:rsidRPr="00933967">
        <w:t>)</w:t>
      </w:r>
      <w:r w:rsidR="00970EC5" w:rsidRPr="00933967">
        <w:t>.</w:t>
      </w:r>
      <w:r w:rsidR="008B3CCD" w:rsidRPr="00933967">
        <w:t xml:space="preserve"> </w:t>
      </w:r>
    </w:p>
    <w:p w14:paraId="20B403C3" w14:textId="3049027A" w:rsidR="00184808" w:rsidRPr="00AF49B8" w:rsidRDefault="00184808" w:rsidP="00B22A77">
      <w:pPr>
        <w:spacing w:line="480" w:lineRule="auto"/>
        <w:jc w:val="both"/>
      </w:pPr>
      <w:r w:rsidRPr="00AF49B8">
        <w:t>Arthropod-borne diseases were tested in 37 of the cases (74%)</w:t>
      </w:r>
      <w:r w:rsidR="004B408E" w:rsidRPr="00AF49B8">
        <w:t xml:space="preserve"> and of these, 100% of the cases were tested for </w:t>
      </w:r>
      <w:proofErr w:type="spellStart"/>
      <w:r w:rsidR="004B408E" w:rsidRPr="00AF49B8">
        <w:rPr>
          <w:i/>
        </w:rPr>
        <w:t>Borrelia</w:t>
      </w:r>
      <w:proofErr w:type="spellEnd"/>
      <w:r w:rsidR="004B408E" w:rsidRPr="00AF49B8">
        <w:rPr>
          <w:i/>
        </w:rPr>
        <w:t xml:space="preserve"> </w:t>
      </w:r>
      <w:proofErr w:type="spellStart"/>
      <w:r w:rsidR="004B408E" w:rsidRPr="00AF49B8">
        <w:rPr>
          <w:i/>
        </w:rPr>
        <w:t>burgdorferi</w:t>
      </w:r>
      <w:proofErr w:type="spellEnd"/>
      <w:r w:rsidR="00006FF3" w:rsidRPr="00AF49B8">
        <w:t xml:space="preserve"> </w:t>
      </w:r>
      <w:r w:rsidR="00D105A6" w:rsidRPr="00AF49B8">
        <w:t xml:space="preserve">with </w:t>
      </w:r>
      <w:r w:rsidR="00006FF3" w:rsidRPr="00AF49B8">
        <w:t xml:space="preserve">serology, 34 cases (91.9%) were tested for </w:t>
      </w:r>
      <w:proofErr w:type="spellStart"/>
      <w:r w:rsidR="00006FF3" w:rsidRPr="00AF49B8">
        <w:rPr>
          <w:i/>
        </w:rPr>
        <w:t>Bartonella</w:t>
      </w:r>
      <w:proofErr w:type="spellEnd"/>
      <w:r w:rsidR="00006FF3" w:rsidRPr="00AF49B8">
        <w:rPr>
          <w:i/>
        </w:rPr>
        <w:t xml:space="preserve"> </w:t>
      </w:r>
      <w:proofErr w:type="spellStart"/>
      <w:r w:rsidR="00006FF3" w:rsidRPr="00AF49B8">
        <w:rPr>
          <w:i/>
        </w:rPr>
        <w:t>henselae</w:t>
      </w:r>
      <w:proofErr w:type="spellEnd"/>
      <w:r w:rsidR="00006FF3" w:rsidRPr="00AF49B8">
        <w:t xml:space="preserve"> </w:t>
      </w:r>
      <w:r w:rsidR="00D105A6" w:rsidRPr="00AF49B8">
        <w:t xml:space="preserve">with </w:t>
      </w:r>
      <w:r w:rsidR="00006FF3" w:rsidRPr="00AF49B8">
        <w:t>PCR</w:t>
      </w:r>
      <w:r w:rsidR="00D105A6" w:rsidRPr="00AF49B8">
        <w:t xml:space="preserve"> from blood</w:t>
      </w:r>
      <w:r w:rsidR="00006FF3" w:rsidRPr="00AF49B8">
        <w:t xml:space="preserve">, 9 cases (24.3%) were tested for </w:t>
      </w:r>
      <w:proofErr w:type="spellStart"/>
      <w:r w:rsidR="00006FF3" w:rsidRPr="00AF49B8">
        <w:rPr>
          <w:i/>
        </w:rPr>
        <w:t>Anaplasma</w:t>
      </w:r>
      <w:proofErr w:type="spellEnd"/>
      <w:r w:rsidR="00006FF3" w:rsidRPr="00AF49B8">
        <w:rPr>
          <w:i/>
        </w:rPr>
        <w:t xml:space="preserve"> </w:t>
      </w:r>
      <w:proofErr w:type="spellStart"/>
      <w:r w:rsidR="00006FF3" w:rsidRPr="00AF49B8">
        <w:rPr>
          <w:i/>
        </w:rPr>
        <w:t>p</w:t>
      </w:r>
      <w:r w:rsidR="000D71CE" w:rsidRPr="00AF49B8">
        <w:rPr>
          <w:i/>
        </w:rPr>
        <w:t>hagocytophilum</w:t>
      </w:r>
      <w:proofErr w:type="spellEnd"/>
      <w:r w:rsidR="00006FF3" w:rsidRPr="00AF49B8">
        <w:rPr>
          <w:i/>
        </w:rPr>
        <w:t xml:space="preserve"> </w:t>
      </w:r>
      <w:r w:rsidR="00D105A6" w:rsidRPr="00AF49B8">
        <w:t xml:space="preserve">with </w:t>
      </w:r>
      <w:r w:rsidR="00006FF3" w:rsidRPr="00AF49B8">
        <w:t>PCR</w:t>
      </w:r>
      <w:r w:rsidR="00D105A6" w:rsidRPr="00AF49B8">
        <w:t xml:space="preserve"> from blood</w:t>
      </w:r>
      <w:r w:rsidR="00006FF3" w:rsidRPr="00AF49B8">
        <w:t xml:space="preserve">, 4 cases (10.8%) were tested for </w:t>
      </w:r>
      <w:proofErr w:type="spellStart"/>
      <w:r w:rsidR="00006FF3" w:rsidRPr="00AF49B8">
        <w:rPr>
          <w:i/>
        </w:rPr>
        <w:t>Ehrlichia</w:t>
      </w:r>
      <w:proofErr w:type="spellEnd"/>
      <w:r w:rsidR="00006FF3" w:rsidRPr="00AF49B8">
        <w:rPr>
          <w:i/>
        </w:rPr>
        <w:t xml:space="preserve"> </w:t>
      </w:r>
      <w:proofErr w:type="spellStart"/>
      <w:r w:rsidR="00006FF3" w:rsidRPr="00AF49B8">
        <w:rPr>
          <w:i/>
        </w:rPr>
        <w:t>canis</w:t>
      </w:r>
      <w:proofErr w:type="spellEnd"/>
      <w:r w:rsidR="00006FF3" w:rsidRPr="00AF49B8">
        <w:t xml:space="preserve"> </w:t>
      </w:r>
      <w:r w:rsidR="00D105A6" w:rsidRPr="00AF49B8">
        <w:t xml:space="preserve">with </w:t>
      </w:r>
      <w:r w:rsidR="00006FF3" w:rsidRPr="00AF49B8">
        <w:lastRenderedPageBreak/>
        <w:t xml:space="preserve">PCR </w:t>
      </w:r>
      <w:r w:rsidR="00D105A6" w:rsidRPr="00AF49B8">
        <w:t xml:space="preserve">of blood </w:t>
      </w:r>
      <w:r w:rsidR="00006FF3" w:rsidRPr="00AF49B8">
        <w:t xml:space="preserve">and 1 case (2.7%) was tested for </w:t>
      </w:r>
      <w:proofErr w:type="spellStart"/>
      <w:r w:rsidR="00006FF3" w:rsidRPr="00AF49B8">
        <w:rPr>
          <w:i/>
        </w:rPr>
        <w:t>Leishmania</w:t>
      </w:r>
      <w:proofErr w:type="spellEnd"/>
      <w:r w:rsidR="00006FF3" w:rsidRPr="00AF49B8">
        <w:rPr>
          <w:i/>
        </w:rPr>
        <w:t xml:space="preserve"> </w:t>
      </w:r>
      <w:proofErr w:type="spellStart"/>
      <w:r w:rsidR="00006FF3" w:rsidRPr="00AF49B8">
        <w:rPr>
          <w:i/>
        </w:rPr>
        <w:t>infantum</w:t>
      </w:r>
      <w:proofErr w:type="spellEnd"/>
      <w:r w:rsidR="00006FF3" w:rsidRPr="00AF49B8">
        <w:t xml:space="preserve"> </w:t>
      </w:r>
      <w:r w:rsidR="00D105A6" w:rsidRPr="00AF49B8">
        <w:t xml:space="preserve">with </w:t>
      </w:r>
      <w:r w:rsidR="00006FF3" w:rsidRPr="00AF49B8">
        <w:t>serology. All the results were negative.</w:t>
      </w:r>
    </w:p>
    <w:p w14:paraId="0E4656B8" w14:textId="58205CAC" w:rsidR="00595E30" w:rsidRPr="00AF49B8" w:rsidRDefault="00595E30" w:rsidP="00B22A77">
      <w:pPr>
        <w:spacing w:line="480" w:lineRule="auto"/>
        <w:jc w:val="both"/>
      </w:pPr>
      <w:r w:rsidRPr="00AF49B8">
        <w:t>Arthrocentesis and subsequent synovial fluid cytological analysis and culture was performed in 9 out of 50 cases (18%) from which 4</w:t>
      </w:r>
      <w:r w:rsidR="00002257">
        <w:t xml:space="preserve"> </w:t>
      </w:r>
      <w:r w:rsidRPr="00AF49B8">
        <w:t>(44.44%) were considered normal, 4 (44.44%) showed marked neutrophilic inflammation and 1 (11.11%) showed mild neutrophilic inflammation. All the cultures were negative.</w:t>
      </w:r>
    </w:p>
    <w:p w14:paraId="1E50F90F" w14:textId="6EDC1F44" w:rsidR="00045DC2" w:rsidRPr="00692D83" w:rsidRDefault="00045DC2" w:rsidP="00B22A77">
      <w:pPr>
        <w:spacing w:line="480" w:lineRule="auto"/>
        <w:jc w:val="both"/>
      </w:pPr>
      <w:r w:rsidRPr="00692D83">
        <w:t xml:space="preserve">Cerebrospinal fluid analysis was performed in </w:t>
      </w:r>
      <w:r w:rsidR="003C750C" w:rsidRPr="00692D83">
        <w:t xml:space="preserve">7 out of 50 cases (14%) from which 6 (85.71%) was </w:t>
      </w:r>
      <w:proofErr w:type="spellStart"/>
      <w:r w:rsidR="003C750C" w:rsidRPr="00692D83">
        <w:t>cytologically</w:t>
      </w:r>
      <w:proofErr w:type="spellEnd"/>
      <w:r w:rsidR="003C750C" w:rsidRPr="00692D83">
        <w:t xml:space="preserve"> normal and 1 (14.28%) showed neutrophilic and lymphocytic inflammation. </w:t>
      </w:r>
    </w:p>
    <w:p w14:paraId="53713CDF" w14:textId="3A21F5B8" w:rsidR="008E154F" w:rsidRPr="00692D83" w:rsidRDefault="008E154F" w:rsidP="00B22A77">
      <w:pPr>
        <w:spacing w:line="480" w:lineRule="auto"/>
        <w:jc w:val="both"/>
      </w:pPr>
      <w:r w:rsidRPr="00692D83">
        <w:t>CRP was assessed in 6 out of 50 cases and was elevated in all of them (range 84.1-689mg/L; reference interval &gt;10mg/L).</w:t>
      </w:r>
    </w:p>
    <w:p w14:paraId="20159FAF" w14:textId="77777777" w:rsidR="008B3CCD" w:rsidRPr="008F52E1" w:rsidRDefault="008B3CCD" w:rsidP="00B22A77">
      <w:pPr>
        <w:spacing w:line="480" w:lineRule="auto"/>
        <w:jc w:val="both"/>
      </w:pPr>
    </w:p>
    <w:p w14:paraId="70D1FE5C" w14:textId="75A4F068" w:rsidR="00146AFF" w:rsidRDefault="00146AFF" w:rsidP="00B22A77">
      <w:pPr>
        <w:widowControl w:val="0"/>
        <w:autoSpaceDE w:val="0"/>
        <w:autoSpaceDN w:val="0"/>
        <w:adjustRightInd w:val="0"/>
        <w:spacing w:after="240" w:line="480" w:lineRule="auto"/>
        <w:jc w:val="both"/>
      </w:pPr>
      <w:r w:rsidRPr="008F52E1">
        <w:t xml:space="preserve">In all </w:t>
      </w:r>
      <w:r w:rsidR="000B6887">
        <w:t>dogs</w:t>
      </w:r>
      <w:r w:rsidRPr="008F52E1">
        <w:t>, a diagnosis of lymphadenitis was reached with cytolog</w:t>
      </w:r>
      <w:r w:rsidR="000B6887">
        <w:t>y</w:t>
      </w:r>
      <w:r w:rsidRPr="008F52E1">
        <w:t xml:space="preserve"> and/or histopatholog</w:t>
      </w:r>
      <w:r w:rsidR="000B6887">
        <w:t>y</w:t>
      </w:r>
      <w:r w:rsidRPr="008F52E1">
        <w:t xml:space="preserve">. Cytological assessment was performed in 45 of the 50 </w:t>
      </w:r>
      <w:r w:rsidR="000B6887">
        <w:t>dogs</w:t>
      </w:r>
      <w:r w:rsidRPr="008F52E1">
        <w:t xml:space="preserve">, histological assessment </w:t>
      </w:r>
      <w:r w:rsidR="000B6887">
        <w:t xml:space="preserve">in </w:t>
      </w:r>
      <w:r w:rsidRPr="008F52E1">
        <w:t xml:space="preserve">28 of the 50 </w:t>
      </w:r>
      <w:r w:rsidR="000B6887">
        <w:t xml:space="preserve">dogs </w:t>
      </w:r>
      <w:r w:rsidRPr="008F52E1">
        <w:t xml:space="preserve">and both in 22 </w:t>
      </w:r>
      <w:r w:rsidR="000B6887">
        <w:t>dogs</w:t>
      </w:r>
      <w:r w:rsidRPr="008F52E1">
        <w:t xml:space="preserve">. </w:t>
      </w:r>
      <w:r w:rsidR="00D62454">
        <w:t>The predominant type of lymphadenitis diagnosed on cytology was neutrophilic</w:t>
      </w:r>
      <w:r w:rsidR="00DF3781">
        <w:t xml:space="preserve"> </w:t>
      </w:r>
      <w:r w:rsidR="000B6887">
        <w:t>(</w:t>
      </w:r>
      <w:r w:rsidR="004A4B11">
        <w:t>29</w:t>
      </w:r>
      <w:r w:rsidR="000B6887">
        <w:t>/45)</w:t>
      </w:r>
      <w:r w:rsidR="004A4B11">
        <w:t xml:space="preserve">, </w:t>
      </w:r>
      <w:r w:rsidR="00D62454">
        <w:t>followed by pyogranulomatous</w:t>
      </w:r>
      <w:r w:rsidR="00062159">
        <w:t xml:space="preserve"> (</w:t>
      </w:r>
      <w:r w:rsidR="004A4B11">
        <w:t>6</w:t>
      </w:r>
      <w:r w:rsidR="000B6887">
        <w:t>/45</w:t>
      </w:r>
      <w:r w:rsidR="00062159">
        <w:t>)</w:t>
      </w:r>
      <w:r w:rsidR="004A4B11">
        <w:t>,</w:t>
      </w:r>
      <w:r w:rsidR="00D62454">
        <w:t xml:space="preserve"> granulomatous </w:t>
      </w:r>
      <w:r w:rsidR="000B6887">
        <w:t>(</w:t>
      </w:r>
      <w:r w:rsidR="004A4B11">
        <w:t>5</w:t>
      </w:r>
      <w:r w:rsidR="000B6887">
        <w:t>/45)</w:t>
      </w:r>
      <w:r w:rsidR="004A4B11">
        <w:t xml:space="preserve"> </w:t>
      </w:r>
      <w:r w:rsidR="00D62454">
        <w:t xml:space="preserve">and reactive hyperplasia </w:t>
      </w:r>
      <w:r w:rsidR="000B6887">
        <w:t>(5/45)</w:t>
      </w:r>
      <w:r w:rsidR="004A4B11">
        <w:t xml:space="preserve">. </w:t>
      </w:r>
      <w:r w:rsidR="00BB4872">
        <w:t>Conversely, the predominant type of lymphadenitis diagnosed o</w:t>
      </w:r>
      <w:r w:rsidR="004A4B11">
        <w:t xml:space="preserve">n </w:t>
      </w:r>
      <w:r w:rsidR="00BB4872">
        <w:t xml:space="preserve">histology was pyogranulomatous </w:t>
      </w:r>
      <w:r w:rsidR="000B6887">
        <w:t>(</w:t>
      </w:r>
      <w:r w:rsidR="004A4B11">
        <w:t>13</w:t>
      </w:r>
      <w:r w:rsidR="000B6887">
        <w:t>/28)</w:t>
      </w:r>
      <w:r w:rsidR="00BB4872">
        <w:t xml:space="preserve"> followed by neutrophilic</w:t>
      </w:r>
      <w:r w:rsidR="000B6887">
        <w:t xml:space="preserve"> (9/28)</w:t>
      </w:r>
      <w:r w:rsidR="00BB4872">
        <w:t>, necrotizing</w:t>
      </w:r>
      <w:r w:rsidR="004A4B11">
        <w:t xml:space="preserve"> </w:t>
      </w:r>
      <w:r w:rsidR="000B6887">
        <w:t>(</w:t>
      </w:r>
      <w:r w:rsidR="004A4B11">
        <w:t>4</w:t>
      </w:r>
      <w:r w:rsidR="000B6887">
        <w:t>/28)</w:t>
      </w:r>
      <w:r w:rsidR="00B73CE9">
        <w:t xml:space="preserve"> </w:t>
      </w:r>
      <w:r w:rsidR="00BB4872">
        <w:t xml:space="preserve">and granulomatous </w:t>
      </w:r>
      <w:r w:rsidR="000B6887">
        <w:t>(2/28)</w:t>
      </w:r>
      <w:r w:rsidR="00BB4872">
        <w:t>.</w:t>
      </w:r>
      <w:r w:rsidR="00B73CE9">
        <w:t xml:space="preserve"> </w:t>
      </w:r>
      <w:r w:rsidR="008B0DBE">
        <w:t xml:space="preserve">In the cases in which </w:t>
      </w:r>
      <w:r w:rsidR="00BB03DE">
        <w:t xml:space="preserve">both </w:t>
      </w:r>
      <w:r w:rsidR="008B0DBE">
        <w:t xml:space="preserve">cytology and histopathology was performed, good agreement was found in </w:t>
      </w:r>
      <w:r w:rsidR="000B6887">
        <w:t>seven</w:t>
      </w:r>
      <w:r w:rsidR="00AD616A">
        <w:t xml:space="preserve"> of the </w:t>
      </w:r>
      <w:r w:rsidR="00D271E8">
        <w:t>22 cases, whereas in the remaining 15 cases</w:t>
      </w:r>
      <w:r w:rsidR="000B6887">
        <w:t xml:space="preserve"> </w:t>
      </w:r>
      <w:r w:rsidR="00AD616A">
        <w:t xml:space="preserve">cytological diagnosis differed from histological diagnosis. </w:t>
      </w:r>
      <w:r w:rsidR="00C06313">
        <w:t xml:space="preserve">In </w:t>
      </w:r>
      <w:r w:rsidR="000B6887">
        <w:t>eight</w:t>
      </w:r>
      <w:r w:rsidR="00C06313">
        <w:t xml:space="preserve"> cases with a cytological </w:t>
      </w:r>
      <w:r w:rsidR="005E0344">
        <w:t xml:space="preserve">classification </w:t>
      </w:r>
      <w:r w:rsidR="00C06313">
        <w:t xml:space="preserve">of neutrophilic lymphadenitis, </w:t>
      </w:r>
      <w:r w:rsidR="005E0344">
        <w:t>five</w:t>
      </w:r>
      <w:r w:rsidR="00C06313">
        <w:t xml:space="preserve"> were </w:t>
      </w:r>
      <w:r w:rsidR="005E0344">
        <w:t>classified</w:t>
      </w:r>
      <w:r w:rsidR="00C06313">
        <w:t xml:space="preserve"> as pyogranulomatous lymphadenitis and </w:t>
      </w:r>
      <w:r w:rsidR="000B6887">
        <w:t>three</w:t>
      </w:r>
      <w:r w:rsidR="00BC580D">
        <w:t xml:space="preserve"> </w:t>
      </w:r>
      <w:r w:rsidR="00C06313">
        <w:t>as necrotizing lymphadenitis on histology.</w:t>
      </w:r>
      <w:r w:rsidR="00AE3A50">
        <w:t xml:space="preserve"> In the </w:t>
      </w:r>
      <w:r w:rsidR="000B6887">
        <w:t>five</w:t>
      </w:r>
      <w:r w:rsidR="00AE3A50">
        <w:t xml:space="preserve"> dogs </w:t>
      </w:r>
      <w:r w:rsidR="005E0344">
        <w:t>classified</w:t>
      </w:r>
      <w:r w:rsidR="00AE3A50">
        <w:t xml:space="preserve"> </w:t>
      </w:r>
      <w:r w:rsidR="005E0344">
        <w:t xml:space="preserve">as </w:t>
      </w:r>
      <w:r w:rsidR="00AE3A50">
        <w:t xml:space="preserve">reactive hyperplasia based on cytology, </w:t>
      </w:r>
      <w:r w:rsidR="000B6887">
        <w:t>two</w:t>
      </w:r>
      <w:r w:rsidR="00AE3A50">
        <w:t xml:space="preserve"> were </w:t>
      </w:r>
      <w:r w:rsidR="005E0344">
        <w:t>classified</w:t>
      </w:r>
      <w:r w:rsidR="00692D83">
        <w:t xml:space="preserve"> </w:t>
      </w:r>
      <w:r w:rsidR="005E0344">
        <w:t>as</w:t>
      </w:r>
      <w:r w:rsidR="00AE3A50">
        <w:t xml:space="preserve"> neutrophilic lymphadenitis, </w:t>
      </w:r>
      <w:r w:rsidR="000B6887">
        <w:t>one</w:t>
      </w:r>
      <w:r w:rsidR="00AE3A50">
        <w:t xml:space="preserve"> </w:t>
      </w:r>
      <w:r w:rsidR="005E0344">
        <w:t>as</w:t>
      </w:r>
      <w:r w:rsidR="00AE3A50">
        <w:t xml:space="preserve"> </w:t>
      </w:r>
      <w:proofErr w:type="spellStart"/>
      <w:r w:rsidR="00AE3A50">
        <w:t>pyogranulomatus</w:t>
      </w:r>
      <w:proofErr w:type="spellEnd"/>
      <w:r w:rsidR="00AE3A50">
        <w:t xml:space="preserve"> lymphadenitis, </w:t>
      </w:r>
      <w:r w:rsidR="000B6887">
        <w:t>one</w:t>
      </w:r>
      <w:r w:rsidR="005E0344">
        <w:t xml:space="preserve"> as</w:t>
      </w:r>
      <w:r w:rsidR="00AE3A50">
        <w:t xml:space="preserve"> granulomatous </w:t>
      </w:r>
      <w:r w:rsidR="00AE3A50">
        <w:lastRenderedPageBreak/>
        <w:t xml:space="preserve">lymphadenitis and </w:t>
      </w:r>
      <w:r w:rsidR="000B6887">
        <w:t>one</w:t>
      </w:r>
      <w:r w:rsidR="005E0344">
        <w:t xml:space="preserve"> as</w:t>
      </w:r>
      <w:r w:rsidR="00AE3A50">
        <w:t xml:space="preserve"> necrotizing lymphadenitis on histology.</w:t>
      </w:r>
      <w:r w:rsidR="002A49EC">
        <w:t xml:space="preserve"> In </w:t>
      </w:r>
      <w:r w:rsidR="000B6887">
        <w:t>one</w:t>
      </w:r>
      <w:r w:rsidR="00D271E8">
        <w:t xml:space="preserve"> </w:t>
      </w:r>
      <w:r w:rsidR="00C74E14">
        <w:t xml:space="preserve">case </w:t>
      </w:r>
      <w:r w:rsidR="005E0344">
        <w:t>classified as having</w:t>
      </w:r>
      <w:r w:rsidR="00C74E14">
        <w:t xml:space="preserve"> pyogranulomatous lymphadenitis on cytology was </w:t>
      </w:r>
      <w:r w:rsidR="005E0344">
        <w:t>classified as having</w:t>
      </w:r>
      <w:r w:rsidR="00692D83">
        <w:t xml:space="preserve"> </w:t>
      </w:r>
      <w:r w:rsidR="00C74E14">
        <w:t>neutrophilic lymphadenitis on histology and</w:t>
      </w:r>
      <w:r w:rsidR="002A49EC">
        <w:t xml:space="preserve"> </w:t>
      </w:r>
      <w:r w:rsidR="000B6887">
        <w:t>one</w:t>
      </w:r>
      <w:r w:rsidR="005E0344">
        <w:t xml:space="preserve"> dog</w:t>
      </w:r>
      <w:r w:rsidR="00C74E14">
        <w:t xml:space="preserve"> with granulomatous lymphadenitis on cytology was </w:t>
      </w:r>
      <w:r w:rsidR="005E0344">
        <w:t>classified as having</w:t>
      </w:r>
      <w:r w:rsidR="00C74E14">
        <w:t xml:space="preserve"> pyogranulomatous lymphadenitis on histology.</w:t>
      </w:r>
      <w:r w:rsidR="0070290E">
        <w:t xml:space="preserve"> Culture of lymph node tissue or aspirates was performed in 28 </w:t>
      </w:r>
      <w:r w:rsidR="005E0344">
        <w:t xml:space="preserve">dogs and was negative in all instances. </w:t>
      </w:r>
    </w:p>
    <w:p w14:paraId="2161E18E" w14:textId="4EBE96F7" w:rsidR="009D4F0D" w:rsidRPr="008F52E1" w:rsidRDefault="002940C7" w:rsidP="00B22A77">
      <w:pPr>
        <w:widowControl w:val="0"/>
        <w:autoSpaceDE w:val="0"/>
        <w:autoSpaceDN w:val="0"/>
        <w:adjustRightInd w:val="0"/>
        <w:spacing w:after="240" w:line="480" w:lineRule="auto"/>
        <w:jc w:val="both"/>
      </w:pPr>
      <w:r>
        <w:t xml:space="preserve">Four of the 50 cases were diagnosed with other concurrent immune mediated diseases. One </w:t>
      </w:r>
      <w:r w:rsidR="005E0344">
        <w:t xml:space="preserve">dog had Evans syndrome </w:t>
      </w:r>
      <w:r>
        <w:t xml:space="preserve">one </w:t>
      </w:r>
      <w:r w:rsidR="005E0344">
        <w:t>dog had</w:t>
      </w:r>
      <w:r>
        <w:t xml:space="preserve"> concurrent immune mediated polyarthritis (IMPA), one case was diagnosed with concurrent IMPA and meningitis and one case was diagnosed with concurrent IMPA and pyogranulomatous skin nodules.</w:t>
      </w:r>
    </w:p>
    <w:p w14:paraId="06669A03" w14:textId="77777777" w:rsidR="00781E0B" w:rsidRPr="008F52E1" w:rsidRDefault="00781E0B" w:rsidP="00B22A77">
      <w:pPr>
        <w:spacing w:line="480" w:lineRule="auto"/>
        <w:jc w:val="both"/>
      </w:pPr>
    </w:p>
    <w:p w14:paraId="0D8A615B" w14:textId="7030AAF4" w:rsidR="006D4E4A" w:rsidRPr="008F52E1" w:rsidRDefault="00542038" w:rsidP="006D4E4A">
      <w:pPr>
        <w:spacing w:line="480" w:lineRule="auto"/>
        <w:jc w:val="both"/>
      </w:pPr>
      <w:r w:rsidRPr="008F52E1">
        <w:t>All the</w:t>
      </w:r>
      <w:r w:rsidR="003D44F2" w:rsidRPr="008F52E1">
        <w:t xml:space="preserve"> animals were treated with corticosteroids. Prednisolone was the first line treatment chosen in 47 of the 50 </w:t>
      </w:r>
      <w:r w:rsidR="00F26D87">
        <w:t>dogs</w:t>
      </w:r>
      <w:r w:rsidR="003D44F2" w:rsidRPr="008F52E1">
        <w:t xml:space="preserve">, of which </w:t>
      </w:r>
      <w:r w:rsidR="00F26D87">
        <w:t xml:space="preserve">34 dogs </w:t>
      </w:r>
      <w:r w:rsidR="00DF3781">
        <w:t xml:space="preserve">commenced </w:t>
      </w:r>
      <w:r w:rsidR="00DF3781" w:rsidRPr="008F52E1">
        <w:t>1mg</w:t>
      </w:r>
      <w:r w:rsidR="003D44F2" w:rsidRPr="008F52E1">
        <w:t xml:space="preserve">/kg dose per day (dose range 0.5-3mg/kg per day). </w:t>
      </w:r>
      <w:r w:rsidR="00493C62">
        <w:t>Two of the 50 dogs were started with dexamethasone (dose</w:t>
      </w:r>
      <w:r w:rsidR="00C54ED7">
        <w:t xml:space="preserve"> range</w:t>
      </w:r>
      <w:r w:rsidR="00493C62">
        <w:t xml:space="preserve"> 0.2-0.3mg/kg per day) and later were transitioned to prednisolone. </w:t>
      </w:r>
      <w:r w:rsidR="006D4E4A" w:rsidRPr="008F52E1">
        <w:t xml:space="preserve">Only one of the </w:t>
      </w:r>
      <w:r w:rsidR="006D4E4A">
        <w:t>50 dogs</w:t>
      </w:r>
      <w:r w:rsidR="006D4E4A" w:rsidRPr="008F52E1">
        <w:t xml:space="preserve"> initially responded to anti</w:t>
      </w:r>
      <w:r w:rsidR="006D4E4A">
        <w:t>microbial</w:t>
      </w:r>
      <w:r w:rsidR="006D4E4A" w:rsidRPr="008F52E1">
        <w:t xml:space="preserve"> therapy</w:t>
      </w:r>
      <w:r w:rsidR="006D4E4A">
        <w:t xml:space="preserve"> (co-</w:t>
      </w:r>
      <w:proofErr w:type="spellStart"/>
      <w:r w:rsidR="006D4E4A">
        <w:t>amoxiclav</w:t>
      </w:r>
      <w:proofErr w:type="spellEnd"/>
      <w:r w:rsidR="006D4E4A">
        <w:t>)</w:t>
      </w:r>
      <w:r w:rsidR="006D4E4A" w:rsidRPr="008F52E1">
        <w:t xml:space="preserve">, but it relapsed four weeks after stopping therapy, and was subsequently started on prednisolone, which improved immediately it’s clinical signs. </w:t>
      </w:r>
    </w:p>
    <w:p w14:paraId="4F67A445" w14:textId="277C9FDC" w:rsidR="00D70A71" w:rsidRPr="008F52E1" w:rsidRDefault="00450B71" w:rsidP="00B22A77">
      <w:pPr>
        <w:spacing w:line="480" w:lineRule="auto"/>
        <w:jc w:val="both"/>
      </w:pPr>
      <w:r w:rsidRPr="008F52E1">
        <w:t>Forty-seven of the fifty</w:t>
      </w:r>
      <w:r w:rsidR="003D44F2" w:rsidRPr="008F52E1">
        <w:t xml:space="preserve"> animals </w:t>
      </w:r>
      <w:r w:rsidRPr="008F52E1">
        <w:t xml:space="preserve">(94%) </w:t>
      </w:r>
      <w:r w:rsidR="003D44F2" w:rsidRPr="008F52E1">
        <w:t xml:space="preserve">showed marked improvement in clinical condition, decrease in pyrexia and decrease in </w:t>
      </w:r>
      <w:proofErr w:type="spellStart"/>
      <w:r w:rsidR="003D44F2" w:rsidRPr="008F52E1">
        <w:t>lymphadenomegaly</w:t>
      </w:r>
      <w:proofErr w:type="spellEnd"/>
      <w:r w:rsidR="003D44F2" w:rsidRPr="008F52E1">
        <w:t xml:space="preserve"> within 12</w:t>
      </w:r>
      <w:r w:rsidRPr="008F52E1">
        <w:t>-48</w:t>
      </w:r>
      <w:r w:rsidR="003D44F2" w:rsidRPr="008F52E1">
        <w:t xml:space="preserve"> hours of initiation of corticosteroid administration. </w:t>
      </w:r>
      <w:r w:rsidR="00BE2C51" w:rsidRPr="008F52E1">
        <w:t>The treatment protocol followed in each case was different due to the</w:t>
      </w:r>
      <w:r w:rsidR="00F26D87">
        <w:t xml:space="preserve"> </w:t>
      </w:r>
      <w:r w:rsidR="00BE2C51" w:rsidRPr="008F52E1">
        <w:t>multi</w:t>
      </w:r>
      <w:r w:rsidR="00F26D87">
        <w:t xml:space="preserve"> </w:t>
      </w:r>
      <w:r w:rsidR="00F26D87" w:rsidRPr="008F52E1">
        <w:t>cent</w:t>
      </w:r>
      <w:r w:rsidR="00F26D87">
        <w:t>re</w:t>
      </w:r>
      <w:r w:rsidR="00BE2C51" w:rsidRPr="008F52E1">
        <w:t xml:space="preserve"> </w:t>
      </w:r>
      <w:r w:rsidR="00F26D87">
        <w:t>retrospective</w:t>
      </w:r>
      <w:r w:rsidR="00F26D87" w:rsidRPr="008F52E1">
        <w:t xml:space="preserve"> </w:t>
      </w:r>
      <w:r w:rsidR="00BE2C51" w:rsidRPr="008F52E1">
        <w:t>nature of this study, but overall, a decrease of 25-50% of the prednis</w:t>
      </w:r>
      <w:r w:rsidR="00542038" w:rsidRPr="008F52E1">
        <w:t>olone dose was scheduled every 2</w:t>
      </w:r>
      <w:r w:rsidR="00BE2C51" w:rsidRPr="008F52E1">
        <w:t xml:space="preserve">-4 weeks, continuing treatment for at least 3-6 months. </w:t>
      </w:r>
      <w:r w:rsidR="003D44F2" w:rsidRPr="008F52E1">
        <w:t xml:space="preserve">In some of the cases, </w:t>
      </w:r>
      <w:r w:rsidR="00E84CB9">
        <w:t>CRP</w:t>
      </w:r>
      <w:r w:rsidR="003D44F2" w:rsidRPr="008F52E1">
        <w:t xml:space="preserve"> concentration was used for monitoring response to the treatment and the values normalised when there was clinical improvement. </w:t>
      </w:r>
    </w:p>
    <w:p w14:paraId="01CD9F51" w14:textId="2759E017" w:rsidR="006D4A38" w:rsidRDefault="006D4A38" w:rsidP="00B22A77">
      <w:pPr>
        <w:spacing w:line="480" w:lineRule="auto"/>
        <w:jc w:val="both"/>
      </w:pPr>
    </w:p>
    <w:p w14:paraId="4A963455" w14:textId="3A0E088E" w:rsidR="006D4A38" w:rsidRDefault="006D4A38" w:rsidP="00B22A77">
      <w:pPr>
        <w:spacing w:line="480" w:lineRule="auto"/>
        <w:jc w:val="both"/>
      </w:pPr>
      <w:r w:rsidRPr="008F52E1">
        <w:t xml:space="preserve">In </w:t>
      </w:r>
      <w:r w:rsidR="00E1058D">
        <w:t>nine</w:t>
      </w:r>
      <w:r>
        <w:t xml:space="preserve"> of </w:t>
      </w:r>
      <w:r w:rsidR="00E1058D">
        <w:t xml:space="preserve">the </w:t>
      </w:r>
      <w:r>
        <w:t xml:space="preserve">50 </w:t>
      </w:r>
      <w:r w:rsidR="00E1058D">
        <w:t>dogs</w:t>
      </w:r>
      <w:r w:rsidRPr="008F52E1">
        <w:t xml:space="preserve">, </w:t>
      </w:r>
      <w:r w:rsidR="00E1058D">
        <w:t>additional</w:t>
      </w:r>
      <w:r w:rsidRPr="008F52E1">
        <w:t xml:space="preserve"> immun</w:t>
      </w:r>
      <w:r w:rsidR="00E1058D">
        <w:t>o</w:t>
      </w:r>
      <w:r w:rsidRPr="008F52E1">
        <w:t>suppressive treatments</w:t>
      </w:r>
      <w:r w:rsidR="00E1058D">
        <w:t xml:space="preserve"> where used </w:t>
      </w:r>
      <w:r w:rsidRPr="008F52E1">
        <w:t>in combination with prednisolon</w:t>
      </w:r>
      <w:r w:rsidR="00E1058D">
        <w:t>e</w:t>
      </w:r>
      <w:r w:rsidRPr="008F52E1">
        <w:t xml:space="preserve">. </w:t>
      </w:r>
      <w:r>
        <w:t xml:space="preserve">Of these </w:t>
      </w:r>
      <w:r w:rsidR="007970F5">
        <w:t>nine dogs</w:t>
      </w:r>
      <w:r>
        <w:t xml:space="preserve"> cases, </w:t>
      </w:r>
      <w:r w:rsidR="00B7282B">
        <w:t>four</w:t>
      </w:r>
      <w:r>
        <w:t xml:space="preserve"> received azathioprine, </w:t>
      </w:r>
      <w:r w:rsidR="007970F5">
        <w:t>two</w:t>
      </w:r>
      <w:r>
        <w:t xml:space="preserve"> ciclosporin, </w:t>
      </w:r>
      <w:r w:rsidR="007970F5">
        <w:t>one</w:t>
      </w:r>
      <w:r>
        <w:t xml:space="preserve"> cyclophosphamide, </w:t>
      </w:r>
      <w:r w:rsidR="007970F5">
        <w:t>one</w:t>
      </w:r>
      <w:r>
        <w:t xml:space="preserve"> mycophenolate and </w:t>
      </w:r>
      <w:r w:rsidR="007970F5">
        <w:t>one</w:t>
      </w:r>
      <w:r>
        <w:t xml:space="preserve"> </w:t>
      </w:r>
      <w:proofErr w:type="spellStart"/>
      <w:r>
        <w:t>chlorambucil</w:t>
      </w:r>
      <w:proofErr w:type="spellEnd"/>
      <w:r>
        <w:t xml:space="preserve">. Of these </w:t>
      </w:r>
      <w:r w:rsidR="007970F5">
        <w:t>dogs</w:t>
      </w:r>
      <w:r>
        <w:t xml:space="preserve">, there were two beagles, two English springer spaniels, one Border collie, one German shepherd dog, one Cavalier King Charles Spaniel and one Pointer. </w:t>
      </w:r>
      <w:r w:rsidRPr="008F52E1">
        <w:t xml:space="preserve">In </w:t>
      </w:r>
      <w:r>
        <w:t>five of the cases</w:t>
      </w:r>
      <w:r w:rsidRPr="008F52E1">
        <w:t xml:space="preserve">, </w:t>
      </w:r>
      <w:r w:rsidR="007970F5">
        <w:t xml:space="preserve">additional </w:t>
      </w:r>
      <w:proofErr w:type="spellStart"/>
      <w:r w:rsidR="007970F5">
        <w:t>immunosuppressives</w:t>
      </w:r>
      <w:proofErr w:type="spellEnd"/>
      <w:r w:rsidRPr="008F52E1">
        <w:t xml:space="preserve"> were used at the time of </w:t>
      </w:r>
      <w:r w:rsidR="007970F5">
        <w:t>recurrence of clinical signs</w:t>
      </w:r>
      <w:r w:rsidRPr="008F52E1">
        <w:t xml:space="preserve">, whereas in </w:t>
      </w:r>
      <w:r>
        <w:t>four of the cases</w:t>
      </w:r>
      <w:r w:rsidRPr="008F52E1">
        <w:t xml:space="preserve"> they were used initially to decrease the </w:t>
      </w:r>
      <w:r>
        <w:t>side</w:t>
      </w:r>
      <w:r w:rsidRPr="008F52E1">
        <w:t xml:space="preserve"> effects related to the corticosteroids. The most common adverse effects of corticosteroids reported were those commonly attributed to this medication, including polyuria, polydipsia, polyphagia and lethargy. Other less common adverse effects included alopecia, muscle atrophy, gastrointestinal clinical signs and wound infections. </w:t>
      </w:r>
    </w:p>
    <w:p w14:paraId="556AB93D" w14:textId="77777777" w:rsidR="006D0717" w:rsidRPr="008F52E1" w:rsidRDefault="006D0717" w:rsidP="006D0717">
      <w:pPr>
        <w:spacing w:line="480" w:lineRule="auto"/>
        <w:jc w:val="both"/>
      </w:pPr>
    </w:p>
    <w:p w14:paraId="7A5129B4" w14:textId="6066FEF0" w:rsidR="006D0717" w:rsidRDefault="006D0717" w:rsidP="006D0717">
      <w:pPr>
        <w:spacing w:line="480" w:lineRule="auto"/>
        <w:jc w:val="both"/>
      </w:pPr>
      <w:r w:rsidRPr="008F52E1">
        <w:t>In terms of outcome,</w:t>
      </w:r>
      <w:r w:rsidR="00DE6DAD">
        <w:t xml:space="preserve"> 22</w:t>
      </w:r>
      <w:r>
        <w:t xml:space="preserve"> of </w:t>
      </w:r>
      <w:r w:rsidRPr="008F52E1">
        <w:t>5</w:t>
      </w:r>
      <w:r w:rsidR="00DE6DAD">
        <w:t>0 dogs</w:t>
      </w:r>
      <w:r w:rsidRPr="008F52E1">
        <w:t xml:space="preserve"> were not receiving medication and had no</w:t>
      </w:r>
      <w:r w:rsidR="007970F5">
        <w:t xml:space="preserve"> clinical signs</w:t>
      </w:r>
      <w:r>
        <w:t xml:space="preserve"> </w:t>
      </w:r>
      <w:r w:rsidR="00B7282B">
        <w:t>three</w:t>
      </w:r>
      <w:r>
        <w:t xml:space="preserve"> months after </w:t>
      </w:r>
      <w:r w:rsidR="007970F5">
        <w:t xml:space="preserve">stopping </w:t>
      </w:r>
      <w:r>
        <w:t>medication</w:t>
      </w:r>
      <w:r w:rsidR="00716684">
        <w:t>.</w:t>
      </w:r>
      <w:r w:rsidRPr="008F52E1">
        <w:t xml:space="preserve"> </w:t>
      </w:r>
      <w:r w:rsidR="003B5A1F">
        <w:t>Eight</w:t>
      </w:r>
      <w:r w:rsidR="00716684" w:rsidRPr="008F52E1">
        <w:t xml:space="preserve"> of 50 dogs were still receiving tapering doses of prednisolone without a relapse detected</w:t>
      </w:r>
      <w:r w:rsidR="00B7282B">
        <w:t xml:space="preserve"> three months after diagnosis</w:t>
      </w:r>
      <w:r w:rsidR="00716684" w:rsidRPr="008F52E1">
        <w:t xml:space="preserve">. </w:t>
      </w:r>
      <w:r w:rsidR="003B5A1F">
        <w:t xml:space="preserve">One of 50 dogs remained on 0.35mg/kg of prednisolone every other day. </w:t>
      </w:r>
      <w:r w:rsidR="00716684">
        <w:t>D</w:t>
      </w:r>
      <w:r w:rsidR="00716684" w:rsidRPr="008F52E1">
        <w:t xml:space="preserve">ue to the </w:t>
      </w:r>
      <w:r w:rsidR="007970F5">
        <w:t xml:space="preserve">multi centre </w:t>
      </w:r>
      <w:r w:rsidR="00716684" w:rsidRPr="008F52E1">
        <w:t xml:space="preserve">nature of the study, and the fact that many </w:t>
      </w:r>
      <w:r w:rsidR="007970F5">
        <w:t xml:space="preserve">dogs </w:t>
      </w:r>
      <w:r w:rsidR="00716684" w:rsidRPr="008F52E1">
        <w:t>continued their care at the</w:t>
      </w:r>
      <w:r w:rsidR="007970F5">
        <w:t>ir primary</w:t>
      </w:r>
      <w:r w:rsidR="00716684" w:rsidRPr="008F52E1">
        <w:t xml:space="preserve"> veterinary clinic, 1</w:t>
      </w:r>
      <w:r w:rsidR="003B5A1F">
        <w:t>3</w:t>
      </w:r>
      <w:r w:rsidR="00716684">
        <w:t xml:space="preserve"> </w:t>
      </w:r>
      <w:r w:rsidR="007970F5">
        <w:t xml:space="preserve">dogs </w:t>
      </w:r>
      <w:r w:rsidR="00716684" w:rsidRPr="008F52E1">
        <w:t xml:space="preserve">were lost </w:t>
      </w:r>
      <w:r w:rsidR="007970F5">
        <w:t>to</w:t>
      </w:r>
      <w:r w:rsidR="00716684" w:rsidRPr="008F52E1">
        <w:t xml:space="preserve"> follow-up whilst </w:t>
      </w:r>
      <w:r w:rsidR="007970F5">
        <w:t>receiving</w:t>
      </w:r>
      <w:r w:rsidR="00716684" w:rsidRPr="008F52E1">
        <w:t xml:space="preserve"> decreasing doses of prednisolone</w:t>
      </w:r>
      <w:r w:rsidR="00817C38">
        <w:t xml:space="preserve">. </w:t>
      </w:r>
      <w:r w:rsidR="004E5010">
        <w:t>Six</w:t>
      </w:r>
      <w:r>
        <w:t xml:space="preserve"> of </w:t>
      </w:r>
      <w:r w:rsidRPr="008F52E1">
        <w:t xml:space="preserve">50 </w:t>
      </w:r>
      <w:r w:rsidR="002B1455">
        <w:t xml:space="preserve">dogs </w:t>
      </w:r>
      <w:r w:rsidRPr="008F52E1">
        <w:t>were euthanized due to deterioration or lack of response to the treatment</w:t>
      </w:r>
      <w:r>
        <w:t xml:space="preserve"> and </w:t>
      </w:r>
      <w:r w:rsidR="007970F5">
        <w:t>one</w:t>
      </w:r>
      <w:r>
        <w:t xml:space="preserve"> died acutely while the medication was being reduced</w:t>
      </w:r>
      <w:r w:rsidRPr="008F52E1">
        <w:t xml:space="preserve">. </w:t>
      </w:r>
      <w:r w:rsidR="0044414B">
        <w:t>The cause of death was unknown and no post-mortem examination was available.</w:t>
      </w:r>
    </w:p>
    <w:p w14:paraId="0C69CDEE" w14:textId="77777777" w:rsidR="00DF6861" w:rsidRPr="008F52E1" w:rsidRDefault="00DF6861" w:rsidP="00B22A77">
      <w:pPr>
        <w:spacing w:line="480" w:lineRule="auto"/>
        <w:jc w:val="both"/>
      </w:pPr>
    </w:p>
    <w:p w14:paraId="7B22CFD3" w14:textId="24FF76CC" w:rsidR="00FD318E" w:rsidRDefault="00B4484A" w:rsidP="00B22A77">
      <w:pPr>
        <w:spacing w:line="480" w:lineRule="auto"/>
        <w:jc w:val="both"/>
      </w:pPr>
      <w:r w:rsidRPr="008F52E1">
        <w:t xml:space="preserve">Eighteen dogs </w:t>
      </w:r>
      <w:r w:rsidR="007970F5">
        <w:t xml:space="preserve">had a recurrence of their clinical signs </w:t>
      </w:r>
      <w:r w:rsidRPr="008F52E1">
        <w:t xml:space="preserve">during the study period of which 13 were Springer Spaniels. </w:t>
      </w:r>
      <w:r w:rsidR="00EA205F" w:rsidRPr="008F52E1">
        <w:t xml:space="preserve">The average time to </w:t>
      </w:r>
      <w:r w:rsidR="007970F5">
        <w:t xml:space="preserve">return of clinical signs </w:t>
      </w:r>
      <w:r w:rsidR="00EA205F" w:rsidRPr="008F52E1">
        <w:t xml:space="preserve">was </w:t>
      </w:r>
      <w:r w:rsidR="00E141AC" w:rsidRPr="008F52E1">
        <w:t xml:space="preserve">19 weeks </w:t>
      </w:r>
      <w:r w:rsidR="00370BEC">
        <w:t xml:space="preserve">after </w:t>
      </w:r>
      <w:r w:rsidR="00370BEC">
        <w:lastRenderedPageBreak/>
        <w:t>diagnosis</w:t>
      </w:r>
      <w:r w:rsidR="00E141AC" w:rsidRPr="008F52E1">
        <w:t>. In 12 o</w:t>
      </w:r>
      <w:r w:rsidR="007970F5">
        <w:t>f</w:t>
      </w:r>
      <w:r w:rsidR="00E141AC" w:rsidRPr="008F52E1">
        <w:t xml:space="preserve"> the 18 cases</w:t>
      </w:r>
      <w:r w:rsidR="007970F5">
        <w:t xml:space="preserve"> </w:t>
      </w:r>
      <w:r w:rsidR="00E141AC" w:rsidRPr="008F52E1">
        <w:t xml:space="preserve">prednisolone </w:t>
      </w:r>
      <w:r w:rsidR="007970F5">
        <w:t xml:space="preserve">had been withdrawn </w:t>
      </w:r>
      <w:r w:rsidR="00E141AC" w:rsidRPr="008F52E1">
        <w:t xml:space="preserve">at the time of </w:t>
      </w:r>
      <w:r w:rsidR="007970F5">
        <w:t>recurrence of clinical signs</w:t>
      </w:r>
      <w:r w:rsidR="00421A33">
        <w:t xml:space="preserve"> </w:t>
      </w:r>
      <w:r w:rsidR="002F2C15" w:rsidRPr="008F52E1">
        <w:t>whereas the rest were still on tapering doses of corticosteroids</w:t>
      </w:r>
      <w:r w:rsidR="00E141AC" w:rsidRPr="008F52E1">
        <w:t>.</w:t>
      </w:r>
      <w:r w:rsidR="00A55A62" w:rsidRPr="008F52E1">
        <w:t xml:space="preserve"> </w:t>
      </w:r>
      <w:r w:rsidR="007970F5">
        <w:t xml:space="preserve">Two </w:t>
      </w:r>
      <w:r w:rsidR="001F1F93" w:rsidRPr="008F52E1">
        <w:t xml:space="preserve">dogs were monitored without adding further treatment and they did not show further </w:t>
      </w:r>
      <w:r w:rsidR="007970F5">
        <w:t>progression of signs</w:t>
      </w:r>
      <w:r w:rsidR="001F1F93" w:rsidRPr="008F52E1">
        <w:t xml:space="preserve">. </w:t>
      </w:r>
      <w:r w:rsidR="00D23DA6" w:rsidRPr="008F52E1">
        <w:t>Fourteen</w:t>
      </w:r>
      <w:r w:rsidR="001F1F93" w:rsidRPr="008F52E1">
        <w:t xml:space="preserve"> </w:t>
      </w:r>
      <w:r w:rsidR="007970F5">
        <w:t xml:space="preserve">dogs recommenced </w:t>
      </w:r>
      <w:r w:rsidR="001F1F93" w:rsidRPr="008F52E1">
        <w:t>increased doses of prednisolone</w:t>
      </w:r>
      <w:r w:rsidR="00421A33">
        <w:t xml:space="preserve">, </w:t>
      </w:r>
      <w:r w:rsidR="001F1F93" w:rsidRPr="008F52E1">
        <w:t xml:space="preserve">which resulted in resolution of the clinical signs and the lymphadenopathy. Two other </w:t>
      </w:r>
      <w:r w:rsidR="00667FEB">
        <w:t>dogs</w:t>
      </w:r>
      <w:r w:rsidR="001F1F93" w:rsidRPr="008F52E1">
        <w:t xml:space="preserve"> had </w:t>
      </w:r>
      <w:r w:rsidR="00667FEB">
        <w:t>two</w:t>
      </w:r>
      <w:r w:rsidR="001F1F93" w:rsidRPr="008F52E1">
        <w:t xml:space="preserve"> episodes of re</w:t>
      </w:r>
      <w:r w:rsidR="00667FEB">
        <w:t>turn of clinical signs</w:t>
      </w:r>
      <w:r w:rsidR="001F1F93" w:rsidRPr="008F52E1">
        <w:t xml:space="preserve"> of which one responded well to re-treatment with prednisolone </w:t>
      </w:r>
      <w:r w:rsidR="00667FEB">
        <w:t>on each occasion</w:t>
      </w:r>
      <w:r w:rsidR="001F1F93" w:rsidRPr="008F52E1">
        <w:t xml:space="preserve"> while the other responded well </w:t>
      </w:r>
      <w:r w:rsidR="00667FEB">
        <w:t>on the first occasion</w:t>
      </w:r>
      <w:r w:rsidR="00421A33">
        <w:t xml:space="preserve"> </w:t>
      </w:r>
      <w:r w:rsidR="001F1F93" w:rsidRPr="008F52E1">
        <w:t>but not the second.</w:t>
      </w:r>
      <w:r w:rsidR="00E772BE">
        <w:t xml:space="preserve"> </w:t>
      </w:r>
      <w:r w:rsidR="00D55D60">
        <w:t xml:space="preserve">In </w:t>
      </w:r>
      <w:r w:rsidR="00667FEB">
        <w:t>one</w:t>
      </w:r>
      <w:r w:rsidR="00E772BE">
        <w:t xml:space="preserve"> of the </w:t>
      </w:r>
      <w:r w:rsidR="00D55D60">
        <w:t xml:space="preserve">18 </w:t>
      </w:r>
      <w:r w:rsidR="00E772BE">
        <w:t>case</w:t>
      </w:r>
      <w:r w:rsidR="00667FEB">
        <w:t xml:space="preserve">s with recurrence of clinical signs </w:t>
      </w:r>
      <w:r w:rsidR="00E772BE">
        <w:t>the</w:t>
      </w:r>
      <w:r w:rsidR="00667FEB">
        <w:t>re was a rapid</w:t>
      </w:r>
      <w:r w:rsidR="00E772BE">
        <w:t xml:space="preserve"> decrease in prednisolone </w:t>
      </w:r>
      <w:r w:rsidR="00667FEB">
        <w:t>dose over</w:t>
      </w:r>
      <w:r w:rsidR="00E772BE">
        <w:t xml:space="preserve"> 3-4 weeks </w:t>
      </w:r>
      <w:r w:rsidR="00667FEB">
        <w:t>the rest has a reduction over</w:t>
      </w:r>
      <w:r w:rsidR="00E772BE">
        <w:t xml:space="preserve"> 3-6 months. </w:t>
      </w:r>
    </w:p>
    <w:p w14:paraId="302E45C2" w14:textId="77777777" w:rsidR="00900EAB" w:rsidRDefault="00900EAB" w:rsidP="00B22A77">
      <w:pPr>
        <w:spacing w:line="480" w:lineRule="auto"/>
        <w:jc w:val="both"/>
      </w:pPr>
    </w:p>
    <w:p w14:paraId="40BA9523" w14:textId="21B86C81" w:rsidR="00277FD1" w:rsidRDefault="008561E6" w:rsidP="00B22A77">
      <w:pPr>
        <w:spacing w:line="480" w:lineRule="auto"/>
        <w:jc w:val="both"/>
      </w:pPr>
      <w:r>
        <w:t>Relating outcome with diagnosis, of the dogs that were clinically well without treatment</w:t>
      </w:r>
      <w:r w:rsidR="006940EA">
        <w:t xml:space="preserve"> (3 months after treatment withdrawal)</w:t>
      </w:r>
      <w:r>
        <w:t xml:space="preserve">, 10 out of 22 had neutrophilic lymphadenitis, 10 out of 22 had pyogranulomatous lymphadenitis, </w:t>
      </w:r>
      <w:r w:rsidR="00667FEB">
        <w:t>one</w:t>
      </w:r>
      <w:r>
        <w:t xml:space="preserve"> out of 22 had granulomatous lymphadenitis and </w:t>
      </w:r>
      <w:r w:rsidR="006940EA">
        <w:t>one</w:t>
      </w:r>
      <w:r>
        <w:t xml:space="preserve"> out of 22 had necrotizing lymphadenitis.</w:t>
      </w:r>
      <w:r w:rsidR="004D13F0">
        <w:t xml:space="preserve"> Of the cases that were euthanized or died, </w:t>
      </w:r>
      <w:r w:rsidR="005B479D">
        <w:t>three</w:t>
      </w:r>
      <w:r w:rsidR="004D13F0">
        <w:t xml:space="preserve"> out of 6 had neutrophilic lymphadenitis and </w:t>
      </w:r>
      <w:r w:rsidR="006E3AA4">
        <w:t>three</w:t>
      </w:r>
      <w:r w:rsidR="004D13F0">
        <w:t xml:space="preserve"> out of 6 (50%) had pyogranulomatous lymphadenitis. </w:t>
      </w:r>
      <w:r w:rsidR="009471A4">
        <w:t xml:space="preserve">There wasn’t a statistically significant relationship between the type of lymphadenopathy and the </w:t>
      </w:r>
      <w:r w:rsidR="009471A4" w:rsidRPr="00DA1B00">
        <w:t xml:space="preserve">outcome </w:t>
      </w:r>
      <w:r w:rsidR="00136D30" w:rsidRPr="00DA1B00">
        <w:t>(p-value 0.1</w:t>
      </w:r>
      <w:r w:rsidR="00DA1B00" w:rsidRPr="00DA1B00">
        <w:t>3)</w:t>
      </w:r>
      <w:r w:rsidR="009471A4" w:rsidRPr="00DA1B00">
        <w:t>.</w:t>
      </w:r>
    </w:p>
    <w:p w14:paraId="55942E16" w14:textId="77777777" w:rsidR="006339AF" w:rsidRDefault="006339AF" w:rsidP="00B22A77">
      <w:pPr>
        <w:spacing w:line="480" w:lineRule="auto"/>
        <w:jc w:val="both"/>
      </w:pPr>
    </w:p>
    <w:p w14:paraId="0A041875" w14:textId="1CECA39F" w:rsidR="00F64DCE" w:rsidRPr="008F52E1" w:rsidRDefault="0026187C" w:rsidP="00B22A77">
      <w:pPr>
        <w:spacing w:line="480" w:lineRule="auto"/>
        <w:jc w:val="both"/>
      </w:pPr>
      <w:r>
        <w:t xml:space="preserve">Twelve of the </w:t>
      </w:r>
      <w:r w:rsidR="00F64DCE">
        <w:t xml:space="preserve">22 </w:t>
      </w:r>
      <w:r>
        <w:t xml:space="preserve">dogs that were well </w:t>
      </w:r>
      <w:r w:rsidR="006E3AA4">
        <w:t>three months after discontinuing treatment</w:t>
      </w:r>
      <w:r>
        <w:t xml:space="preserve"> </w:t>
      </w:r>
      <w:r w:rsidR="00F64DCE">
        <w:t xml:space="preserve">had external lymphadenopathy, </w:t>
      </w:r>
      <w:r w:rsidR="006E3AA4">
        <w:t>six</w:t>
      </w:r>
      <w:r w:rsidR="00F64DCE">
        <w:t xml:space="preserve"> </w:t>
      </w:r>
      <w:r>
        <w:t xml:space="preserve">dogs </w:t>
      </w:r>
      <w:r w:rsidR="00F64DCE">
        <w:t xml:space="preserve">had internal lymphadenopathy and </w:t>
      </w:r>
      <w:r>
        <w:t>four</w:t>
      </w:r>
      <w:r w:rsidR="00F64DCE">
        <w:t xml:space="preserve"> had both internal and external lymphadenopathy.</w:t>
      </w:r>
      <w:r w:rsidR="00CD1522">
        <w:t xml:space="preserve"> Of the </w:t>
      </w:r>
      <w:r>
        <w:t>six dogs</w:t>
      </w:r>
      <w:r w:rsidR="00CD1522">
        <w:t xml:space="preserve"> that were euthanized or died, </w:t>
      </w:r>
      <w:r>
        <w:t>five</w:t>
      </w:r>
      <w:r w:rsidR="00CD1522">
        <w:t xml:space="preserve"> had external lymphadenopathy and 1 had </w:t>
      </w:r>
      <w:r>
        <w:t xml:space="preserve">documented </w:t>
      </w:r>
      <w:r w:rsidR="00CD1522">
        <w:t>internal and external lymphadenopathy.</w:t>
      </w:r>
      <w:r w:rsidR="009471A4">
        <w:t xml:space="preserve"> There wasn’t a statistically significant relationship between the location of the lymphadenopathy and </w:t>
      </w:r>
      <w:r w:rsidR="009471A4" w:rsidRPr="00DA1B00">
        <w:t>outcome (p-value 0.</w:t>
      </w:r>
      <w:r w:rsidR="00DA1B00" w:rsidRPr="00DA1B00">
        <w:t>27</w:t>
      </w:r>
      <w:r w:rsidR="009471A4" w:rsidRPr="00DA1B00">
        <w:t>).</w:t>
      </w:r>
    </w:p>
    <w:p w14:paraId="5AE98484" w14:textId="77777777" w:rsidR="00325DCD" w:rsidRDefault="00325DCD" w:rsidP="00325DCD">
      <w:pPr>
        <w:spacing w:line="480" w:lineRule="auto"/>
        <w:jc w:val="both"/>
      </w:pPr>
    </w:p>
    <w:p w14:paraId="60D177ED" w14:textId="6A46F7C3" w:rsidR="00DF6861" w:rsidRPr="008F52E1" w:rsidRDefault="00B22A77" w:rsidP="00B22A77">
      <w:pPr>
        <w:spacing w:line="480" w:lineRule="auto"/>
        <w:jc w:val="both"/>
        <w:rPr>
          <w:b/>
        </w:rPr>
      </w:pPr>
      <w:r>
        <w:rPr>
          <w:b/>
        </w:rPr>
        <w:lastRenderedPageBreak/>
        <w:t>Discussion</w:t>
      </w:r>
    </w:p>
    <w:p w14:paraId="2E0CDD17" w14:textId="250D4543" w:rsidR="00B22A77" w:rsidRDefault="00DF6861" w:rsidP="0016417A">
      <w:pPr>
        <w:pStyle w:val="Normal1"/>
        <w:spacing w:line="480" w:lineRule="auto"/>
        <w:jc w:val="both"/>
      </w:pPr>
      <w:r w:rsidRPr="008F52E1">
        <w:rPr>
          <w:rFonts w:ascii="Times New Roman" w:hAnsi="Times New Roman" w:cs="Times New Roman"/>
          <w:color w:val="000000" w:themeColor="text1"/>
          <w:sz w:val="24"/>
          <w:szCs w:val="24"/>
        </w:rPr>
        <w:t xml:space="preserve">This study describes </w:t>
      </w:r>
      <w:r w:rsidR="00F31D03" w:rsidRPr="008F52E1">
        <w:rPr>
          <w:rFonts w:ascii="Times New Roman" w:hAnsi="Times New Roman" w:cs="Times New Roman"/>
          <w:color w:val="000000" w:themeColor="text1"/>
          <w:sz w:val="24"/>
          <w:szCs w:val="24"/>
        </w:rPr>
        <w:t>canine</w:t>
      </w:r>
      <w:r w:rsidRPr="008F52E1">
        <w:rPr>
          <w:rFonts w:ascii="Times New Roman" w:hAnsi="Times New Roman" w:cs="Times New Roman"/>
          <w:color w:val="000000" w:themeColor="text1"/>
          <w:sz w:val="24"/>
          <w:szCs w:val="24"/>
        </w:rPr>
        <w:t xml:space="preserve"> sterile steroid-responsive lymphadenitis </w:t>
      </w:r>
      <w:r w:rsidR="00A51759" w:rsidRPr="008F52E1">
        <w:rPr>
          <w:rFonts w:ascii="Times New Roman" w:hAnsi="Times New Roman" w:cs="Times New Roman"/>
          <w:color w:val="000000" w:themeColor="text1"/>
          <w:sz w:val="24"/>
          <w:szCs w:val="24"/>
        </w:rPr>
        <w:t xml:space="preserve">(CSSRL) </w:t>
      </w:r>
      <w:r w:rsidRPr="008F52E1">
        <w:rPr>
          <w:rFonts w:ascii="Times New Roman" w:hAnsi="Times New Roman" w:cs="Times New Roman"/>
          <w:color w:val="000000" w:themeColor="text1"/>
          <w:sz w:val="24"/>
          <w:szCs w:val="24"/>
        </w:rPr>
        <w:t xml:space="preserve">as a cause of </w:t>
      </w:r>
      <w:r w:rsidR="00192618" w:rsidRPr="008F52E1">
        <w:rPr>
          <w:rFonts w:ascii="Times New Roman" w:hAnsi="Times New Roman" w:cs="Times New Roman"/>
          <w:color w:val="000000" w:themeColor="text1"/>
          <w:sz w:val="24"/>
          <w:szCs w:val="24"/>
        </w:rPr>
        <w:t xml:space="preserve">lymphadenopathy and </w:t>
      </w:r>
      <w:r w:rsidRPr="008F52E1">
        <w:rPr>
          <w:rFonts w:ascii="Times New Roman" w:hAnsi="Times New Roman" w:cs="Times New Roman"/>
          <w:color w:val="000000" w:themeColor="text1"/>
          <w:sz w:val="24"/>
          <w:szCs w:val="24"/>
        </w:rPr>
        <w:t>FUO in dogs, its medical management</w:t>
      </w:r>
      <w:r w:rsidR="00342C3C">
        <w:rPr>
          <w:rFonts w:ascii="Times New Roman" w:hAnsi="Times New Roman" w:cs="Times New Roman"/>
          <w:color w:val="000000" w:themeColor="text1"/>
          <w:sz w:val="24"/>
          <w:szCs w:val="24"/>
        </w:rPr>
        <w:t xml:space="preserve"> and treatment outcomes</w:t>
      </w:r>
      <w:r w:rsidRPr="008F52E1">
        <w:rPr>
          <w:rFonts w:ascii="Times New Roman" w:hAnsi="Times New Roman" w:cs="Times New Roman"/>
          <w:color w:val="000000" w:themeColor="text1"/>
          <w:sz w:val="24"/>
          <w:szCs w:val="24"/>
        </w:rPr>
        <w:t xml:space="preserve">. </w:t>
      </w:r>
      <w:r w:rsidR="00F31D03" w:rsidRPr="008F52E1">
        <w:rPr>
          <w:rFonts w:ascii="Times New Roman" w:hAnsi="Times New Roman" w:cs="Times New Roman"/>
          <w:color w:val="000000" w:themeColor="text1"/>
          <w:sz w:val="24"/>
          <w:szCs w:val="24"/>
        </w:rPr>
        <w:t xml:space="preserve">To the authors’ knowledge, primary sterile lymphadenitis without evidence of other diseases </w:t>
      </w:r>
      <w:r w:rsidR="00783316">
        <w:rPr>
          <w:rFonts w:ascii="Times New Roman" w:hAnsi="Times New Roman" w:cs="Times New Roman"/>
          <w:color w:val="000000" w:themeColor="text1"/>
          <w:sz w:val="24"/>
          <w:szCs w:val="24"/>
        </w:rPr>
        <w:t>has not been well described in the veterinary literature</w:t>
      </w:r>
      <w:r w:rsidR="00F31D03" w:rsidRPr="008F52E1">
        <w:rPr>
          <w:rFonts w:ascii="Times New Roman" w:hAnsi="Times New Roman" w:cs="Times New Roman"/>
          <w:color w:val="000000" w:themeColor="text1"/>
          <w:sz w:val="24"/>
          <w:szCs w:val="24"/>
        </w:rPr>
        <w:t xml:space="preserve">. </w:t>
      </w:r>
    </w:p>
    <w:p w14:paraId="05A70261" w14:textId="50E1CCB5" w:rsidR="00CB2807" w:rsidRPr="008F52E1" w:rsidRDefault="0026187C" w:rsidP="00B22A77">
      <w:pPr>
        <w:spacing w:line="480" w:lineRule="auto"/>
        <w:jc w:val="both"/>
      </w:pPr>
      <w:r>
        <w:t>D</w:t>
      </w:r>
      <w:r w:rsidR="00DF6861" w:rsidRPr="008F52E1">
        <w:t xml:space="preserve">ogs </w:t>
      </w:r>
      <w:r>
        <w:t>in</w:t>
      </w:r>
      <w:r w:rsidR="00DF6861" w:rsidRPr="008F52E1">
        <w:t xml:space="preserve"> this </w:t>
      </w:r>
      <w:r w:rsidR="00FC625B" w:rsidRPr="008F52E1">
        <w:t>study</w:t>
      </w:r>
      <w:r w:rsidR="00DF6861" w:rsidRPr="008F52E1">
        <w:t xml:space="preserve"> were </w:t>
      </w:r>
      <w:r w:rsidR="008C09DE" w:rsidRPr="008F52E1">
        <w:t>mainly</w:t>
      </w:r>
      <w:r w:rsidR="00DF6861" w:rsidRPr="008F52E1">
        <w:t xml:space="preserve"> presented for pyrexia</w:t>
      </w:r>
      <w:r w:rsidR="00FC625B" w:rsidRPr="008F52E1">
        <w:t xml:space="preserve">, lethargy, </w:t>
      </w:r>
      <w:proofErr w:type="spellStart"/>
      <w:r w:rsidR="00FC625B" w:rsidRPr="008F52E1">
        <w:t>inappetence</w:t>
      </w:r>
      <w:proofErr w:type="spellEnd"/>
      <w:r w:rsidR="00DF6861" w:rsidRPr="008F52E1">
        <w:t xml:space="preserve"> and varying degrees of peripheral or internal lymphadenopathy</w:t>
      </w:r>
      <w:r w:rsidR="00FC625B" w:rsidRPr="008F52E1">
        <w:t xml:space="preserve"> were subsequently </w:t>
      </w:r>
      <w:r>
        <w:t>documented</w:t>
      </w:r>
      <w:r w:rsidR="00DF6861" w:rsidRPr="008F52E1">
        <w:t xml:space="preserve">.  </w:t>
      </w:r>
      <w:r w:rsidR="00FC625B" w:rsidRPr="008F52E1">
        <w:t xml:space="preserve">Lymphadenopathy is encountered in many diseases processes and determining the cause of lymphadenopathy can require time-consuming and expensive investigations. Thorough diagnostic </w:t>
      </w:r>
      <w:r w:rsidR="006A6C9B" w:rsidRPr="008F52E1">
        <w:t>investigations were performed in</w:t>
      </w:r>
      <w:r w:rsidR="00FC625B" w:rsidRPr="008F52E1">
        <w:t xml:space="preserve"> all </w:t>
      </w:r>
      <w:r w:rsidR="006A6C9B" w:rsidRPr="008F52E1">
        <w:t xml:space="preserve">the </w:t>
      </w:r>
      <w:r w:rsidR="00FC625B" w:rsidRPr="008F52E1">
        <w:t>patients that</w:t>
      </w:r>
      <w:r w:rsidR="00AE2A80" w:rsidRPr="008F52E1">
        <w:t xml:space="preserve"> were recruited for this study</w:t>
      </w:r>
      <w:r w:rsidR="000C76A8" w:rsidRPr="008F52E1">
        <w:t>;</w:t>
      </w:r>
      <w:r w:rsidR="00AE2A80" w:rsidRPr="008F52E1">
        <w:t xml:space="preserve"> </w:t>
      </w:r>
      <w:r w:rsidR="000C76A8" w:rsidRPr="008F52E1">
        <w:t>however</w:t>
      </w:r>
      <w:r w:rsidR="00AE2A80" w:rsidRPr="008F52E1">
        <w:t xml:space="preserve"> </w:t>
      </w:r>
      <w:r w:rsidR="008755C7">
        <w:t xml:space="preserve">several diagnostic evaluations performed were different between cases </w:t>
      </w:r>
      <w:r w:rsidR="000C76A8" w:rsidRPr="008F52E1">
        <w:t>due to the different clinical presentations and clinicians</w:t>
      </w:r>
      <w:r w:rsidR="008C09DE" w:rsidRPr="008F52E1">
        <w:t xml:space="preserve"> involved in the study</w:t>
      </w:r>
      <w:r w:rsidR="00FC625B" w:rsidRPr="008F52E1">
        <w:t xml:space="preserve">. </w:t>
      </w:r>
      <w:r w:rsidR="00C329D6" w:rsidRPr="008F52E1">
        <w:t>I</w:t>
      </w:r>
      <w:r w:rsidR="007B6329" w:rsidRPr="008F52E1">
        <w:t>nvestigations in all the cases failed to find an underlying infectious</w:t>
      </w:r>
      <w:r w:rsidR="00CB2807" w:rsidRPr="008F52E1">
        <w:t xml:space="preserve"> (bacterial, protozoal or fungal)</w:t>
      </w:r>
      <w:r w:rsidR="007B6329" w:rsidRPr="008F52E1">
        <w:t xml:space="preserve">, inflammatory or neoplastic condition. </w:t>
      </w:r>
      <w:r w:rsidR="00CB2807" w:rsidRPr="008F52E1">
        <w:t xml:space="preserve">All </w:t>
      </w:r>
      <w:r w:rsidR="007E76A1" w:rsidRPr="008F52E1">
        <w:t xml:space="preserve">the </w:t>
      </w:r>
      <w:r w:rsidR="00CB2807" w:rsidRPr="008F52E1">
        <w:t xml:space="preserve">animals that had </w:t>
      </w:r>
      <w:r w:rsidR="007E76A1" w:rsidRPr="008F52E1">
        <w:t>tissue samples submitted for culture (</w:t>
      </w:r>
      <w:r w:rsidR="00CB2807" w:rsidRPr="008F52E1">
        <w:t>lymph node</w:t>
      </w:r>
      <w:r w:rsidR="007E76A1" w:rsidRPr="008F52E1">
        <w:t>,</w:t>
      </w:r>
      <w:r w:rsidR="00CB2807" w:rsidRPr="008F52E1">
        <w:t xml:space="preserve"> </w:t>
      </w:r>
      <w:r w:rsidR="00C329D6" w:rsidRPr="008F52E1">
        <w:t>blood</w:t>
      </w:r>
      <w:r w:rsidR="007E76A1" w:rsidRPr="008F52E1">
        <w:t xml:space="preserve">, urine, </w:t>
      </w:r>
      <w:proofErr w:type="spellStart"/>
      <w:r w:rsidR="004B396E">
        <w:t>bronchoalveolar</w:t>
      </w:r>
      <w:proofErr w:type="spellEnd"/>
      <w:r w:rsidR="004B396E">
        <w:t xml:space="preserve"> lavage fluid, </w:t>
      </w:r>
      <w:r w:rsidR="007E76A1" w:rsidRPr="008F52E1">
        <w:t>synovial fluid or cerebrospinal fluid)</w:t>
      </w:r>
      <w:r w:rsidR="00C329D6" w:rsidRPr="008F52E1">
        <w:t xml:space="preserve"> </w:t>
      </w:r>
      <w:r w:rsidR="007E76A1" w:rsidRPr="008F52E1">
        <w:t>showed no bacterial growth</w:t>
      </w:r>
      <w:r w:rsidR="00A3562B" w:rsidRPr="008F52E1">
        <w:t>; however t</w:t>
      </w:r>
      <w:r w:rsidR="00CB2807" w:rsidRPr="008F52E1">
        <w:t>his particular point is difficult to fully characterise, as many animals were pre-</w:t>
      </w:r>
      <w:r w:rsidR="00A3562B" w:rsidRPr="008F52E1">
        <w:t xml:space="preserve">treated with </w:t>
      </w:r>
      <w:r w:rsidR="0047797B">
        <w:t>antimicrobials</w:t>
      </w:r>
      <w:r w:rsidR="00A3562B" w:rsidRPr="008F52E1">
        <w:t>,</w:t>
      </w:r>
      <w:r w:rsidR="0021614A" w:rsidRPr="008F52E1">
        <w:t xml:space="preserve"> which could preclude the growth or bacterial organisms</w:t>
      </w:r>
      <w:r w:rsidR="00CB2807" w:rsidRPr="008F52E1">
        <w:t xml:space="preserve">. </w:t>
      </w:r>
      <w:r w:rsidR="0096358B" w:rsidRPr="008F52E1">
        <w:t xml:space="preserve">On the other hand, the fact that many </w:t>
      </w:r>
      <w:r w:rsidR="008A2018" w:rsidRPr="008F52E1">
        <w:t xml:space="preserve">of these </w:t>
      </w:r>
      <w:r w:rsidR="0096358B" w:rsidRPr="008F52E1">
        <w:t xml:space="preserve">animals were treated with </w:t>
      </w:r>
      <w:r w:rsidR="0047797B">
        <w:t>antimicrobials</w:t>
      </w:r>
      <w:r w:rsidR="0047797B" w:rsidRPr="008F52E1">
        <w:t xml:space="preserve"> </w:t>
      </w:r>
      <w:r w:rsidR="0096358B" w:rsidRPr="008F52E1">
        <w:t xml:space="preserve">and showed no clinical improvement could suggest that the disease </w:t>
      </w:r>
      <w:r w:rsidR="00DA1175" w:rsidRPr="008F52E1">
        <w:t xml:space="preserve">process </w:t>
      </w:r>
      <w:r w:rsidR="0096358B" w:rsidRPr="008F52E1">
        <w:t xml:space="preserve">was unlikely to be bacterial </w:t>
      </w:r>
      <w:r w:rsidR="00DA1175" w:rsidRPr="008F52E1">
        <w:t xml:space="preserve">in </w:t>
      </w:r>
      <w:r w:rsidR="0096358B" w:rsidRPr="008F52E1">
        <w:t>origin.</w:t>
      </w:r>
    </w:p>
    <w:p w14:paraId="3E8A8888" w14:textId="77777777" w:rsidR="00B22A77" w:rsidRDefault="00B22A77" w:rsidP="00B22A77">
      <w:pPr>
        <w:spacing w:after="200" w:line="480" w:lineRule="auto"/>
        <w:jc w:val="both"/>
      </w:pPr>
    </w:p>
    <w:p w14:paraId="6ED0CB3F" w14:textId="0B5DC551" w:rsidR="00FB5F4F" w:rsidRPr="008F52E1" w:rsidRDefault="00561216" w:rsidP="00B22A77">
      <w:pPr>
        <w:spacing w:after="200" w:line="480" w:lineRule="auto"/>
        <w:jc w:val="both"/>
      </w:pPr>
      <w:r>
        <w:t>In th</w:t>
      </w:r>
      <w:r w:rsidR="00982176">
        <w:t>ese</w:t>
      </w:r>
      <w:r>
        <w:t xml:space="preserve"> groups of dogs with CSSRL it appears</w:t>
      </w:r>
      <w:r w:rsidR="00E25DC5">
        <w:t xml:space="preserve"> more common</w:t>
      </w:r>
      <w:r w:rsidR="00FB5F4F" w:rsidRPr="008F52E1">
        <w:t xml:space="preserve"> in female</w:t>
      </w:r>
      <w:r>
        <w:t>s</w:t>
      </w:r>
      <w:r w:rsidR="00FB5F4F" w:rsidRPr="008F52E1">
        <w:t xml:space="preserve"> </w:t>
      </w:r>
      <w:r>
        <w:t>compared to males (</w:t>
      </w:r>
      <w:r w:rsidR="00FB5F4F" w:rsidRPr="008F52E1">
        <w:t>31 females and 19 males</w:t>
      </w:r>
      <w:r>
        <w:t>)</w:t>
      </w:r>
      <w:r w:rsidR="00FB5F4F" w:rsidRPr="008F52E1">
        <w:t xml:space="preserve">. </w:t>
      </w:r>
      <w:r w:rsidR="00AD31E3">
        <w:t>T</w:t>
      </w:r>
      <w:r>
        <w:t xml:space="preserve">his finding is similar </w:t>
      </w:r>
      <w:r w:rsidR="00AD31E3">
        <w:t xml:space="preserve">to findings </w:t>
      </w:r>
      <w:r>
        <w:t>in</w:t>
      </w:r>
      <w:r w:rsidR="00AD31E3">
        <w:t xml:space="preserve"> other immune mediated diseases such as </w:t>
      </w:r>
      <w:r w:rsidR="00227DF8">
        <w:t>IMHA or ITP</w:t>
      </w:r>
      <w:r w:rsidR="00AD31E3">
        <w:t xml:space="preserve"> being </w:t>
      </w:r>
      <w:r w:rsidR="0082624F">
        <w:t xml:space="preserve">also </w:t>
      </w:r>
      <w:r w:rsidR="00AD31E3">
        <w:t xml:space="preserve">overrepresented in female dogs </w:t>
      </w:r>
      <w:r>
        <w:t xml:space="preserve">in </w:t>
      </w:r>
      <w:r w:rsidR="00F8093C">
        <w:t xml:space="preserve">some studies </w:t>
      </w:r>
      <w:r w:rsidR="00AD31E3">
        <w:t>(</w:t>
      </w:r>
      <w:proofErr w:type="spellStart"/>
      <w:r w:rsidR="0024075B">
        <w:t>Carr</w:t>
      </w:r>
      <w:proofErr w:type="spellEnd"/>
      <w:r w:rsidR="0024075B">
        <w:t xml:space="preserve"> </w:t>
      </w:r>
      <w:r w:rsidR="0024075B" w:rsidRPr="00D02A4C">
        <w:rPr>
          <w:i/>
        </w:rPr>
        <w:t xml:space="preserve">et </w:t>
      </w:r>
      <w:r w:rsidR="0024075B" w:rsidRPr="00431A60">
        <w:rPr>
          <w:i/>
        </w:rPr>
        <w:t>al</w:t>
      </w:r>
      <w:r w:rsidR="0024075B">
        <w:t xml:space="preserve">, 2002; </w:t>
      </w:r>
      <w:proofErr w:type="spellStart"/>
      <w:r w:rsidR="00D02A4C">
        <w:t>O’Marra</w:t>
      </w:r>
      <w:proofErr w:type="spellEnd"/>
      <w:r w:rsidR="00D02A4C">
        <w:t xml:space="preserve"> </w:t>
      </w:r>
      <w:r w:rsidR="00D02A4C" w:rsidRPr="00D02A4C">
        <w:rPr>
          <w:i/>
        </w:rPr>
        <w:t xml:space="preserve">et </w:t>
      </w:r>
      <w:r w:rsidR="00D02A4C" w:rsidRPr="0082624F">
        <w:rPr>
          <w:i/>
        </w:rPr>
        <w:t>a</w:t>
      </w:r>
      <w:r w:rsidR="00D02A4C" w:rsidRPr="00D02A4C">
        <w:rPr>
          <w:i/>
        </w:rPr>
        <w:t>l</w:t>
      </w:r>
      <w:r w:rsidR="00D02A4C">
        <w:t xml:space="preserve">, 2011; </w:t>
      </w:r>
      <w:proofErr w:type="spellStart"/>
      <w:r w:rsidR="00134A2F">
        <w:t>Putsche</w:t>
      </w:r>
      <w:proofErr w:type="spellEnd"/>
      <w:r w:rsidR="00134A2F">
        <w:t xml:space="preserve"> &amp; Kohn, 2008; </w:t>
      </w:r>
      <w:proofErr w:type="spellStart"/>
      <w:r w:rsidR="0024075B" w:rsidRPr="00D02A4C">
        <w:t>W</w:t>
      </w:r>
      <w:r w:rsidR="00AD31E3" w:rsidRPr="00D02A4C">
        <w:t>einkle</w:t>
      </w:r>
      <w:proofErr w:type="spellEnd"/>
      <w:r w:rsidR="00AD31E3">
        <w:t xml:space="preserve"> </w:t>
      </w:r>
      <w:r w:rsidR="00AD31E3" w:rsidRPr="0024075B">
        <w:rPr>
          <w:i/>
        </w:rPr>
        <w:t>et al</w:t>
      </w:r>
      <w:r w:rsidR="00AD31E3">
        <w:t>, 2005)</w:t>
      </w:r>
      <w:r w:rsidR="00E25DC5">
        <w:t>.</w:t>
      </w:r>
      <w:r w:rsidR="00FB5F4F" w:rsidRPr="008F52E1">
        <w:t xml:space="preserve"> </w:t>
      </w:r>
    </w:p>
    <w:p w14:paraId="63A4A6B1" w14:textId="77777777" w:rsidR="00B22A77" w:rsidRDefault="00B22A77" w:rsidP="00B22A77">
      <w:pPr>
        <w:spacing w:line="480" w:lineRule="auto"/>
        <w:jc w:val="both"/>
      </w:pPr>
    </w:p>
    <w:p w14:paraId="5B1226DF" w14:textId="2420E95C" w:rsidR="00FB5F4F" w:rsidRPr="008F52E1" w:rsidRDefault="003D36AC" w:rsidP="00B22A77">
      <w:pPr>
        <w:spacing w:line="480" w:lineRule="auto"/>
        <w:jc w:val="both"/>
      </w:pPr>
      <w:r>
        <w:t>Median</w:t>
      </w:r>
      <w:r w:rsidRPr="008F52E1">
        <w:t xml:space="preserve"> </w:t>
      </w:r>
      <w:r w:rsidR="00FB5F4F" w:rsidRPr="008F52E1">
        <w:t xml:space="preserve">age at initial presentation was 3 years and 9 months, with ages ranging from 6 months to 10 years old. Anecdotal evidence had suggested that CSSRL occurred more frequently in younger animals and the findings of this research support this hypothesis. </w:t>
      </w:r>
      <w:r w:rsidR="00F8093C">
        <w:t xml:space="preserve">This </w:t>
      </w:r>
      <w:r w:rsidR="00561216">
        <w:t xml:space="preserve">is </w:t>
      </w:r>
      <w:r w:rsidR="00F8093C">
        <w:t>similar to</w:t>
      </w:r>
      <w:r w:rsidR="00561216">
        <w:t xml:space="preserve"> the age incidence of</w:t>
      </w:r>
      <w:r w:rsidR="00F8093C">
        <w:t xml:space="preserve"> other</w:t>
      </w:r>
      <w:r w:rsidR="00561216">
        <w:t xml:space="preserve"> primary</w:t>
      </w:r>
      <w:r w:rsidR="00F8093C">
        <w:t xml:space="preserve"> immune mediated diseases</w:t>
      </w:r>
      <w:r w:rsidR="00561216">
        <w:t>, for example</w:t>
      </w:r>
      <w:r w:rsidR="00F8093C">
        <w:t xml:space="preserve"> </w:t>
      </w:r>
      <w:r w:rsidR="00227DF8">
        <w:t>IMPA</w:t>
      </w:r>
      <w:r w:rsidR="00561216">
        <w:t>,</w:t>
      </w:r>
      <w:r w:rsidR="00F8093C">
        <w:t xml:space="preserve"> being more prevalent in young adult dogs </w:t>
      </w:r>
      <w:r w:rsidR="0054401A">
        <w:t xml:space="preserve">(Johnson &amp; </w:t>
      </w:r>
      <w:proofErr w:type="spellStart"/>
      <w:r w:rsidR="0054401A">
        <w:t>Mackin</w:t>
      </w:r>
      <w:proofErr w:type="spellEnd"/>
      <w:r w:rsidR="0054401A">
        <w:t>, 2012)</w:t>
      </w:r>
    </w:p>
    <w:p w14:paraId="440DE6C1" w14:textId="77777777" w:rsidR="00C2584D" w:rsidRPr="008F52E1" w:rsidRDefault="00C2584D" w:rsidP="00B22A77">
      <w:pPr>
        <w:spacing w:line="480" w:lineRule="auto"/>
        <w:jc w:val="both"/>
      </w:pPr>
    </w:p>
    <w:p w14:paraId="75B8B153" w14:textId="7507EC30" w:rsidR="00021B0E" w:rsidRPr="004D3A0D" w:rsidRDefault="00561216" w:rsidP="00B22A77">
      <w:pPr>
        <w:spacing w:line="480" w:lineRule="auto"/>
        <w:jc w:val="both"/>
      </w:pPr>
      <w:r>
        <w:t>T</w:t>
      </w:r>
      <w:r w:rsidR="00021B0E" w:rsidRPr="008F52E1">
        <w:t xml:space="preserve">he </w:t>
      </w:r>
      <w:r>
        <w:t xml:space="preserve">most frequent </w:t>
      </w:r>
      <w:r w:rsidR="00021B0E" w:rsidRPr="008F52E1">
        <w:t>clinical signs,</w:t>
      </w:r>
      <w:r>
        <w:t xml:space="preserve"> documented were</w:t>
      </w:r>
      <w:r w:rsidR="00906FB3">
        <w:t xml:space="preserve"> </w:t>
      </w:r>
      <w:r w:rsidR="00021B0E" w:rsidRPr="008F52E1">
        <w:t xml:space="preserve">lethargy, pyrexia and </w:t>
      </w:r>
      <w:proofErr w:type="spellStart"/>
      <w:r w:rsidR="00021B0E" w:rsidRPr="008F52E1">
        <w:t>inappetence</w:t>
      </w:r>
      <w:proofErr w:type="spellEnd"/>
      <w:r>
        <w:t>.</w:t>
      </w:r>
      <w:r w:rsidR="00906FB3">
        <w:t xml:space="preserve"> </w:t>
      </w:r>
      <w:r>
        <w:t>I</w:t>
      </w:r>
      <w:r w:rsidR="00021B0E" w:rsidRPr="008F52E1">
        <w:t xml:space="preserve">mmune-mediated disease is frequently responsible for causing vague and non-specific signs. The pyrexia, which was present in the 78% of the cases, may have been a contributing factor causing lethargy and </w:t>
      </w:r>
      <w:proofErr w:type="spellStart"/>
      <w:r w:rsidR="00021B0E" w:rsidRPr="008F52E1">
        <w:t>inappetence</w:t>
      </w:r>
      <w:proofErr w:type="spellEnd"/>
      <w:r w:rsidR="00021B0E" w:rsidRPr="008F52E1">
        <w:t>. Other factors that may also have contributed to animals being unwilling to eat may have resulted from lymphadenopathy in the area of the neck and head</w:t>
      </w:r>
      <w:r w:rsidR="00A560E6" w:rsidRPr="008F52E1">
        <w:t>,</w:t>
      </w:r>
      <w:r w:rsidR="00021B0E" w:rsidRPr="008F52E1">
        <w:t xml:space="preserve"> which was preventing them from eating. In addition, a small number of dogs presented with neck pain and abdominal </w:t>
      </w:r>
      <w:r w:rsidR="000153AC">
        <w:t>pain,</w:t>
      </w:r>
      <w:r w:rsidR="00021B0E" w:rsidRPr="008F52E1">
        <w:t xml:space="preserve"> both of which these conditions could account for anorexia. Respiratory signs were present in </w:t>
      </w:r>
      <w:r w:rsidR="005C5362" w:rsidRPr="008F52E1">
        <w:t xml:space="preserve">several cases, </w:t>
      </w:r>
      <w:r w:rsidR="00021B0E" w:rsidRPr="008F52E1">
        <w:t xml:space="preserve">7 animals presented with cough and 2 animals were dyspnoeic. Thoracic radiographs were obtained </w:t>
      </w:r>
      <w:r w:rsidR="00633F1F" w:rsidRPr="008F52E1">
        <w:t>in all the cases and s</w:t>
      </w:r>
      <w:r w:rsidR="00021B0E" w:rsidRPr="008F52E1">
        <w:t>ternal or tracheobronchial lymphadenopathy, diff</w:t>
      </w:r>
      <w:r w:rsidR="00633F1F" w:rsidRPr="008F52E1">
        <w:t>use bronchointerstitial pattern, focal or diffuse alveolar pattern</w:t>
      </w:r>
      <w:r w:rsidR="00021B0E" w:rsidRPr="008F52E1">
        <w:t xml:space="preserve"> </w:t>
      </w:r>
      <w:r w:rsidR="00633F1F" w:rsidRPr="008F52E1">
        <w:t xml:space="preserve">and </w:t>
      </w:r>
      <w:r w:rsidR="00021B0E" w:rsidRPr="008F52E1">
        <w:t xml:space="preserve">nodular lung patterns were present in some animals. </w:t>
      </w:r>
      <w:r w:rsidR="00EE6AD2" w:rsidRPr="008F52E1">
        <w:t>A few</w:t>
      </w:r>
      <w:r w:rsidR="00021B0E" w:rsidRPr="008F52E1">
        <w:t xml:space="preserve"> animals developed severe respiratory complications soon after initiating treatment with corticosteroids</w:t>
      </w:r>
      <w:r w:rsidR="00A95B42" w:rsidRPr="008F52E1">
        <w:t xml:space="preserve"> but in most of them the thoracic abnormalities resolved after starting treatment</w:t>
      </w:r>
      <w:r w:rsidR="00021B0E" w:rsidRPr="008F52E1">
        <w:t>. This also remains uncertain, but some of the changes noted could be vasculitis-related or pot</w:t>
      </w:r>
      <w:r w:rsidR="00EE6AD2" w:rsidRPr="008F52E1">
        <w:t>entially a secondary sequelae of</w:t>
      </w:r>
      <w:r w:rsidR="00021B0E" w:rsidRPr="008F52E1">
        <w:t xml:space="preserve"> the underlying primary immune-mediated disease process</w:t>
      </w:r>
      <w:r w:rsidR="00021B0E" w:rsidRPr="008F52E1">
        <w:rPr>
          <w:color w:val="9BBB59" w:themeColor="accent3"/>
        </w:rPr>
        <w:t xml:space="preserve">. </w:t>
      </w:r>
      <w:r w:rsidR="00406686" w:rsidRPr="004D3A0D">
        <w:t xml:space="preserve">Therefore, even if pyrexia, </w:t>
      </w:r>
      <w:proofErr w:type="spellStart"/>
      <w:r w:rsidR="00406686" w:rsidRPr="004D3A0D">
        <w:t>inappetence</w:t>
      </w:r>
      <w:proofErr w:type="spellEnd"/>
      <w:r w:rsidR="00406686" w:rsidRPr="004D3A0D">
        <w:t xml:space="preserve"> and lethargy are the more common clinical signs according to the cases studied here, a variety of other clinical signs can be present with this condition. </w:t>
      </w:r>
      <w:r w:rsidR="00CD79E6" w:rsidRPr="004D3A0D">
        <w:t>Additionally, c</w:t>
      </w:r>
      <w:r w:rsidR="0055242A" w:rsidRPr="004D3A0D">
        <w:t xml:space="preserve">oncurrent immune mediated conditions such as </w:t>
      </w:r>
      <w:r w:rsidR="0055242A" w:rsidRPr="004D3A0D">
        <w:lastRenderedPageBreak/>
        <w:t>IMHA, ITP, IMPA and meningitis were detected in 4 cases</w:t>
      </w:r>
      <w:r w:rsidR="00CC2E7F" w:rsidRPr="004D3A0D">
        <w:t xml:space="preserve">. </w:t>
      </w:r>
      <w:r w:rsidR="004A54A1" w:rsidRPr="004D3A0D">
        <w:t>It is uncertain if t</w:t>
      </w:r>
      <w:r w:rsidR="00CC2E7F" w:rsidRPr="004D3A0D">
        <w:t xml:space="preserve">his could be part of a </w:t>
      </w:r>
      <w:r w:rsidR="006023FF" w:rsidRPr="004D3A0D">
        <w:t xml:space="preserve">reactive process due to the primary immune mediated that we would consider </w:t>
      </w:r>
      <w:r w:rsidR="007B234E" w:rsidRPr="004D3A0D">
        <w:t>being</w:t>
      </w:r>
      <w:r w:rsidR="006023FF" w:rsidRPr="004D3A0D">
        <w:t xml:space="preserve"> the lymphadenitis or part of a multi</w:t>
      </w:r>
      <w:r w:rsidRPr="004D3A0D">
        <w:t>-</w:t>
      </w:r>
      <w:r w:rsidR="006023FF" w:rsidRPr="004D3A0D">
        <w:t>systemic immune mediated condition.</w:t>
      </w:r>
      <w:r w:rsidR="00885C7D">
        <w:t xml:space="preserve"> </w:t>
      </w:r>
      <w:r w:rsidR="002C5965">
        <w:t xml:space="preserve">This would be further supported by the fact that </w:t>
      </w:r>
      <w:r w:rsidR="0019735D">
        <w:t xml:space="preserve">these dogs had generalised external and even internal lymphadenopathy </w:t>
      </w:r>
      <w:r w:rsidR="004C21C9">
        <w:t xml:space="preserve">rather than local lymphadenopathy </w:t>
      </w:r>
      <w:r w:rsidR="0019735D">
        <w:t>from the affected</w:t>
      </w:r>
      <w:r w:rsidR="004C21C9">
        <w:t xml:space="preserve"> areas.</w:t>
      </w:r>
    </w:p>
    <w:p w14:paraId="5693C3A7" w14:textId="77777777" w:rsidR="0050449B" w:rsidRPr="008F52E1" w:rsidRDefault="0050449B" w:rsidP="00B22A77">
      <w:pPr>
        <w:spacing w:line="480" w:lineRule="auto"/>
        <w:jc w:val="both"/>
      </w:pPr>
    </w:p>
    <w:p w14:paraId="19D4EDC3" w14:textId="17402FF4" w:rsidR="00D9663B" w:rsidRDefault="00021B0E" w:rsidP="00B22A77">
      <w:pPr>
        <w:spacing w:line="480" w:lineRule="auto"/>
        <w:jc w:val="both"/>
      </w:pPr>
      <w:r w:rsidRPr="008F52E1">
        <w:t xml:space="preserve">Regarding the lymphadenopathy, </w:t>
      </w:r>
      <w:r w:rsidR="002F7218">
        <w:t>it</w:t>
      </w:r>
      <w:r w:rsidR="003D5520" w:rsidRPr="008F52E1">
        <w:t xml:space="preserve"> was not restricted to peripheral lymph nodes, and in certain cases there were no signs of peripheral</w:t>
      </w:r>
      <w:r w:rsidR="002F7218">
        <w:t xml:space="preserve"> or external</w:t>
      </w:r>
      <w:r w:rsidR="003D5520" w:rsidRPr="008F52E1">
        <w:t xml:space="preserve"> lymphadenopathy. </w:t>
      </w:r>
      <w:r w:rsidR="0010291B" w:rsidRPr="008F52E1">
        <w:t xml:space="preserve">From the results we obtained, </w:t>
      </w:r>
      <w:r w:rsidR="00962410" w:rsidRPr="008F52E1">
        <w:t>mandibular</w:t>
      </w:r>
      <w:r w:rsidR="00D34A32" w:rsidRPr="008F52E1">
        <w:t>,</w:t>
      </w:r>
      <w:r w:rsidR="00962410" w:rsidRPr="008F52E1">
        <w:t xml:space="preserve"> </w:t>
      </w:r>
      <w:r w:rsidR="006E0990">
        <w:t>superficial cervical</w:t>
      </w:r>
      <w:r w:rsidR="006E0990" w:rsidRPr="008F52E1">
        <w:t xml:space="preserve"> </w:t>
      </w:r>
      <w:r w:rsidR="00D34A32" w:rsidRPr="008F52E1">
        <w:t xml:space="preserve">and popliteal </w:t>
      </w:r>
      <w:r w:rsidR="00962410" w:rsidRPr="008F52E1">
        <w:t>lymph nodes</w:t>
      </w:r>
      <w:r w:rsidR="0010291B" w:rsidRPr="008F52E1">
        <w:t xml:space="preserve"> were the lymph nodes that were most frequently affected. This finding </w:t>
      </w:r>
      <w:r w:rsidR="00962410" w:rsidRPr="008F52E1">
        <w:t>i</w:t>
      </w:r>
      <w:r w:rsidR="0010291B" w:rsidRPr="008F52E1">
        <w:t xml:space="preserve">tself could highlight some controversy with the argument that these are the lymph nodes that are </w:t>
      </w:r>
      <w:proofErr w:type="spellStart"/>
      <w:r w:rsidR="0010291B" w:rsidRPr="008F52E1">
        <w:t>immunogenically</w:t>
      </w:r>
      <w:proofErr w:type="spellEnd"/>
      <w:r w:rsidR="0010291B" w:rsidRPr="008F52E1">
        <w:t xml:space="preserve"> challenged the most due to the anatomic regions from which they drain. </w:t>
      </w:r>
      <w:r w:rsidR="005B1E76">
        <w:t xml:space="preserve">Also, these are the lymph nodes more readily </w:t>
      </w:r>
      <w:r w:rsidR="005B1E76" w:rsidRPr="004936D7">
        <w:t xml:space="preserve">palpated on general physical examination. </w:t>
      </w:r>
      <w:r w:rsidR="00AF6F6B" w:rsidRPr="004936D7">
        <w:t>Regarding outcome</w:t>
      </w:r>
      <w:r w:rsidR="00014F9C" w:rsidRPr="004936D7">
        <w:t>, t</w:t>
      </w:r>
      <w:r w:rsidR="0010291B" w:rsidRPr="004936D7">
        <w:t>here was no relationship noted between the number of nodes affected or their location as to outcome or response to treatment.</w:t>
      </w:r>
      <w:r w:rsidR="0010291B" w:rsidRPr="008F52E1">
        <w:t xml:space="preserve"> </w:t>
      </w:r>
    </w:p>
    <w:p w14:paraId="21BDFD08" w14:textId="77777777" w:rsidR="00F26D87" w:rsidRPr="008F52E1" w:rsidRDefault="00F26D87" w:rsidP="00B22A77">
      <w:pPr>
        <w:spacing w:line="480" w:lineRule="auto"/>
        <w:jc w:val="both"/>
        <w:rPr>
          <w:color w:val="9BBB59" w:themeColor="accent3"/>
        </w:rPr>
      </w:pPr>
    </w:p>
    <w:p w14:paraId="103A1001" w14:textId="26EC5399" w:rsidR="00366BEC" w:rsidRPr="008F52E1" w:rsidRDefault="00D9663B" w:rsidP="00366BEC">
      <w:pPr>
        <w:spacing w:line="480" w:lineRule="auto"/>
        <w:jc w:val="both"/>
      </w:pPr>
      <w:r w:rsidRPr="008F52E1">
        <w:t xml:space="preserve">In all </w:t>
      </w:r>
      <w:r w:rsidR="00F26D87">
        <w:t>dogs</w:t>
      </w:r>
      <w:r w:rsidRPr="008F52E1">
        <w:t xml:space="preserve">, a diagnosis of lymphadenitis was reached with </w:t>
      </w:r>
      <w:r w:rsidR="00245AE1">
        <w:t xml:space="preserve">lymph node </w:t>
      </w:r>
      <w:r w:rsidRPr="008F52E1">
        <w:t>cytolog</w:t>
      </w:r>
      <w:r w:rsidR="00245AE1">
        <w:t>y</w:t>
      </w:r>
      <w:r w:rsidRPr="008F52E1">
        <w:t xml:space="preserve"> and/or histopatholog</w:t>
      </w:r>
      <w:r w:rsidR="00245AE1">
        <w:t>y</w:t>
      </w:r>
      <w:r w:rsidRPr="008F52E1">
        <w:t xml:space="preserve">. Based </w:t>
      </w:r>
      <w:r w:rsidR="00DA5E18" w:rsidRPr="008F52E1">
        <w:t>on</w:t>
      </w:r>
      <w:r w:rsidRPr="008F52E1">
        <w:t xml:space="preserve"> cytology, the predominant type of lymphadenitis was neutrophilic</w:t>
      </w:r>
      <w:r w:rsidR="0050186B" w:rsidRPr="008F52E1">
        <w:t>, whereas t</w:t>
      </w:r>
      <w:r w:rsidRPr="008F52E1">
        <w:t xml:space="preserve">he predominant type of </w:t>
      </w:r>
      <w:r w:rsidR="00BF3710" w:rsidRPr="008F52E1">
        <w:t>lymphadenitis that</w:t>
      </w:r>
      <w:r w:rsidR="0050186B" w:rsidRPr="008F52E1">
        <w:t xml:space="preserve"> was documented from the histopathology </w:t>
      </w:r>
      <w:r w:rsidR="00BF3710" w:rsidRPr="008F52E1">
        <w:t>samples</w:t>
      </w:r>
      <w:r w:rsidR="0050186B" w:rsidRPr="008F52E1">
        <w:t xml:space="preserve"> </w:t>
      </w:r>
      <w:r w:rsidRPr="008F52E1">
        <w:t>w</w:t>
      </w:r>
      <w:r w:rsidR="001508B0" w:rsidRPr="008F52E1">
        <w:t>as pyogranulomatous</w:t>
      </w:r>
      <w:r w:rsidRPr="008F52E1">
        <w:t xml:space="preserve">. The discrepancy between cytology and histopathology may be attributable to the fact that sections obtained for histopathology may have been more representative samples, particularly as they would have preserved the architecture of the lymph node. </w:t>
      </w:r>
      <w:r w:rsidR="00366BEC" w:rsidRPr="004936D7">
        <w:t>Th</w:t>
      </w:r>
      <w:r w:rsidR="00245AE1">
        <w:t>e type of inflammation present</w:t>
      </w:r>
      <w:r w:rsidR="00366BEC" w:rsidRPr="004936D7">
        <w:t xml:space="preserve"> did not </w:t>
      </w:r>
      <w:r w:rsidR="00245AE1">
        <w:t xml:space="preserve">appear </w:t>
      </w:r>
      <w:r w:rsidR="00366BEC" w:rsidRPr="004936D7">
        <w:t xml:space="preserve">to </w:t>
      </w:r>
      <w:r w:rsidR="00245AE1">
        <w:t>alter</w:t>
      </w:r>
      <w:r w:rsidR="00366BEC" w:rsidRPr="004936D7">
        <w:t xml:space="preserve"> overall outcome </w:t>
      </w:r>
      <w:r w:rsidR="00245AE1">
        <w:t>for dogs</w:t>
      </w:r>
      <w:r w:rsidR="00366BEC" w:rsidRPr="004936D7">
        <w:t xml:space="preserve"> </w:t>
      </w:r>
      <w:r w:rsidR="00245AE1">
        <w:t xml:space="preserve">in </w:t>
      </w:r>
      <w:r w:rsidR="00366BEC" w:rsidRPr="004936D7">
        <w:t>this study.</w:t>
      </w:r>
      <w:r w:rsidR="00366BEC">
        <w:t xml:space="preserve"> </w:t>
      </w:r>
    </w:p>
    <w:p w14:paraId="7646434E" w14:textId="4417D66F" w:rsidR="00B22A77" w:rsidRPr="008F52E1" w:rsidRDefault="00B22A77" w:rsidP="00B22A77">
      <w:pPr>
        <w:widowControl w:val="0"/>
        <w:autoSpaceDE w:val="0"/>
        <w:autoSpaceDN w:val="0"/>
        <w:adjustRightInd w:val="0"/>
        <w:spacing w:after="240" w:line="480" w:lineRule="auto"/>
        <w:jc w:val="both"/>
      </w:pPr>
    </w:p>
    <w:p w14:paraId="30000031" w14:textId="35A39475" w:rsidR="00D9663B" w:rsidRPr="008F52E1" w:rsidRDefault="00D9663B" w:rsidP="00B22A77">
      <w:pPr>
        <w:spacing w:line="480" w:lineRule="auto"/>
        <w:jc w:val="both"/>
      </w:pPr>
      <w:r w:rsidRPr="008F52E1">
        <w:lastRenderedPageBreak/>
        <w:t xml:space="preserve">Prednisolone was the first line immunosuppressive treatment chosen </w:t>
      </w:r>
      <w:r w:rsidR="006A1B4A" w:rsidRPr="008F52E1">
        <w:t xml:space="preserve">most </w:t>
      </w:r>
      <w:r w:rsidR="00245AE1">
        <w:t>dogs</w:t>
      </w:r>
      <w:r w:rsidRPr="008F52E1">
        <w:t xml:space="preserve">, of which </w:t>
      </w:r>
      <w:r w:rsidR="00245AE1">
        <w:t xml:space="preserve">34 dogs commenced </w:t>
      </w:r>
      <w:r w:rsidRPr="008F52E1">
        <w:t>a 1mg/kg dose</w:t>
      </w:r>
      <w:r w:rsidR="00672F0C" w:rsidRPr="008F52E1">
        <w:t xml:space="preserve"> per day (dose range 0.5-3mg/kg per day)</w:t>
      </w:r>
      <w:r w:rsidRPr="008F52E1">
        <w:t xml:space="preserve">. Due to the inherent difficulties with a retrospective study from a multi-centre database, the reasoning for the starting doses </w:t>
      </w:r>
      <w:r w:rsidR="00081373" w:rsidRPr="008F52E1">
        <w:t xml:space="preserve">and protocol of continuation of treatment </w:t>
      </w:r>
      <w:r w:rsidRPr="008F52E1">
        <w:t xml:space="preserve">was difficult to establish. </w:t>
      </w:r>
      <w:r w:rsidR="00081373" w:rsidRPr="008F52E1">
        <w:t>Most of the</w:t>
      </w:r>
      <w:r w:rsidRPr="008F52E1">
        <w:t xml:space="preserve"> animals showed marked improvement in clinical condition, decrease in pyrexia and decrease in </w:t>
      </w:r>
      <w:proofErr w:type="spellStart"/>
      <w:r w:rsidRPr="008F52E1">
        <w:t>lymphadenomegaly</w:t>
      </w:r>
      <w:proofErr w:type="spellEnd"/>
      <w:r w:rsidRPr="008F52E1">
        <w:t xml:space="preserve"> within 12</w:t>
      </w:r>
      <w:r w:rsidR="00F461A7" w:rsidRPr="008F52E1">
        <w:t>-48</w:t>
      </w:r>
      <w:r w:rsidRPr="008F52E1">
        <w:t xml:space="preserve"> hours of initiation of corticosteroid administration. </w:t>
      </w:r>
      <w:r w:rsidR="007B740B" w:rsidRPr="008F52E1">
        <w:t xml:space="preserve">In some of the cases, </w:t>
      </w:r>
      <w:r w:rsidR="00C80AF5">
        <w:t>CRP</w:t>
      </w:r>
      <w:r w:rsidR="007B740B" w:rsidRPr="008F52E1">
        <w:t xml:space="preserve"> concentration was used for monitoring response to the treatment and the values normalised when there was clinical improvement. </w:t>
      </w:r>
      <w:r w:rsidRPr="008F52E1">
        <w:t xml:space="preserve">Animals had previously been subjected to intravenous fluid therapy, non-steroidal anti-inflammatories, and </w:t>
      </w:r>
      <w:r w:rsidR="0047797B">
        <w:t>antimicrobial</w:t>
      </w:r>
      <w:r w:rsidRPr="008F52E1">
        <w:t xml:space="preserve">s of varying classes, all of which had showed minimal improvement and when started on corticosteroids their clinical signs improved dramatically within 12-48 hours. </w:t>
      </w:r>
      <w:r w:rsidR="001923AC">
        <w:t>Only one of the cases did not exhibit a good</w:t>
      </w:r>
      <w:r w:rsidR="00274E72">
        <w:t xml:space="preserve"> </w:t>
      </w:r>
      <w:r w:rsidR="001923AC">
        <w:t xml:space="preserve">clinical response </w:t>
      </w:r>
      <w:r w:rsidR="00F72EB7">
        <w:t xml:space="preserve">and was euthanized 24h after starting treatment due to clinical deterioration; </w:t>
      </w:r>
      <w:r w:rsidR="001923AC">
        <w:t>another</w:t>
      </w:r>
      <w:r w:rsidR="004D77D2" w:rsidRPr="008F52E1">
        <w:t xml:space="preserve"> </w:t>
      </w:r>
      <w:r w:rsidR="001923AC">
        <w:t>case</w:t>
      </w:r>
      <w:r w:rsidR="004D77D2" w:rsidRPr="008F52E1">
        <w:t xml:space="preserve"> initially responded to ant</w:t>
      </w:r>
      <w:r w:rsidR="0047797B">
        <w:t>imicrobial</w:t>
      </w:r>
      <w:r w:rsidR="004D77D2" w:rsidRPr="008F52E1">
        <w:t xml:space="preserve"> therapy, but it relapsed four weeks after stopping the therapy, and was subsequently </w:t>
      </w:r>
      <w:r w:rsidR="00847E69">
        <w:t xml:space="preserve">commenced </w:t>
      </w:r>
      <w:r w:rsidR="004D77D2" w:rsidRPr="008F52E1">
        <w:t>prednisolone</w:t>
      </w:r>
      <w:r w:rsidR="00847E69">
        <w:t xml:space="preserve"> therapy</w:t>
      </w:r>
      <w:r w:rsidR="00744C73" w:rsidRPr="008F52E1">
        <w:t>,</w:t>
      </w:r>
      <w:r w:rsidR="00425A96" w:rsidRPr="008F52E1">
        <w:t xml:space="preserve"> which immediately</w:t>
      </w:r>
      <w:r w:rsidR="00847E69">
        <w:t xml:space="preserve"> improved</w:t>
      </w:r>
      <w:r w:rsidR="00425A96" w:rsidRPr="008F52E1">
        <w:t xml:space="preserve"> </w:t>
      </w:r>
      <w:proofErr w:type="spellStart"/>
      <w:r w:rsidR="00425A96" w:rsidRPr="008F52E1">
        <w:t>it’s</w:t>
      </w:r>
      <w:proofErr w:type="spellEnd"/>
      <w:r w:rsidR="004D77D2" w:rsidRPr="008F52E1">
        <w:t xml:space="preserve"> clinical signs. </w:t>
      </w:r>
    </w:p>
    <w:p w14:paraId="3685CB59" w14:textId="3E8E2EC3" w:rsidR="003C4F8B" w:rsidRDefault="003C4F8B" w:rsidP="00B22A77">
      <w:pPr>
        <w:spacing w:line="480" w:lineRule="auto"/>
        <w:jc w:val="both"/>
      </w:pPr>
      <w:r w:rsidRPr="008F52E1">
        <w:t>Eighteen</w:t>
      </w:r>
      <w:r w:rsidR="00D9663B" w:rsidRPr="008F52E1">
        <w:t xml:space="preserve"> dogs </w:t>
      </w:r>
      <w:r w:rsidR="00245AE1">
        <w:t xml:space="preserve">had recurrence of clinical signs during </w:t>
      </w:r>
      <w:r w:rsidR="00D9663B" w:rsidRPr="008F52E1">
        <w:t>the study period</w:t>
      </w:r>
      <w:r w:rsidR="00245AE1">
        <w:t>,</w:t>
      </w:r>
      <w:r w:rsidR="00D9663B" w:rsidRPr="008F52E1">
        <w:t xml:space="preserve"> </w:t>
      </w:r>
      <w:r w:rsidRPr="008F52E1">
        <w:t xml:space="preserve">of which </w:t>
      </w:r>
      <w:r w:rsidR="00F340DE">
        <w:t>13</w:t>
      </w:r>
      <w:r w:rsidR="00274E72">
        <w:t xml:space="preserve"> </w:t>
      </w:r>
      <w:r w:rsidRPr="008F52E1">
        <w:t xml:space="preserve">were </w:t>
      </w:r>
      <w:r w:rsidR="00C32F51" w:rsidRPr="008F52E1">
        <w:t xml:space="preserve">English </w:t>
      </w:r>
      <w:r w:rsidRPr="008F52E1">
        <w:t>Springer Spaniels</w:t>
      </w:r>
      <w:r w:rsidR="00D9663B" w:rsidRPr="008F52E1">
        <w:t xml:space="preserve">. </w:t>
      </w:r>
      <w:r w:rsidR="00B94281" w:rsidRPr="008F52E1">
        <w:t xml:space="preserve"> In </w:t>
      </w:r>
      <w:r w:rsidR="009C7FD6">
        <w:t>12/18 dogs</w:t>
      </w:r>
      <w:r w:rsidR="00D819DD">
        <w:t>,</w:t>
      </w:r>
      <w:r w:rsidR="00B94281" w:rsidRPr="008F52E1">
        <w:t xml:space="preserve"> prednisolone </w:t>
      </w:r>
      <w:r w:rsidR="00F340DE">
        <w:t>had</w:t>
      </w:r>
      <w:r w:rsidR="00B94281" w:rsidRPr="008F52E1">
        <w:t xml:space="preserve"> </w:t>
      </w:r>
      <w:r w:rsidR="00F340DE">
        <w:t xml:space="preserve">been </w:t>
      </w:r>
      <w:r w:rsidR="00B94281" w:rsidRPr="008F52E1">
        <w:t xml:space="preserve">discontinued at the time of </w:t>
      </w:r>
      <w:r w:rsidR="00245AE1">
        <w:t>recurrence</w:t>
      </w:r>
      <w:r w:rsidR="00B94281" w:rsidRPr="008F52E1">
        <w:t xml:space="preserve">, whereas the rest were still on tapering doses of corticosteroids. </w:t>
      </w:r>
      <w:r w:rsidR="0028405B">
        <w:t xml:space="preserve">Only one </w:t>
      </w:r>
      <w:r w:rsidR="00F340DE">
        <w:t>dog</w:t>
      </w:r>
      <w:r w:rsidR="00906FB3">
        <w:t xml:space="preserve"> </w:t>
      </w:r>
      <w:r w:rsidR="0028405B">
        <w:t>that relapsed had a shorter treatment period before relapse</w:t>
      </w:r>
      <w:r w:rsidR="009C7FD6">
        <w:t xml:space="preserve"> </w:t>
      </w:r>
      <w:r w:rsidR="004C1923">
        <w:t xml:space="preserve">(3-4 weeks) </w:t>
      </w:r>
      <w:r w:rsidR="009C7FD6">
        <w:t>compared to the other cases</w:t>
      </w:r>
      <w:r w:rsidR="004C1923">
        <w:t xml:space="preserve"> (3-6 months)</w:t>
      </w:r>
      <w:r w:rsidR="0028405B">
        <w:t xml:space="preserve">, making unlikely that this was the cause of relapse in </w:t>
      </w:r>
      <w:r w:rsidR="00187727">
        <w:t>the other</w:t>
      </w:r>
      <w:r w:rsidR="0028405B">
        <w:t xml:space="preserve"> cases. </w:t>
      </w:r>
      <w:r w:rsidR="00B94281" w:rsidRPr="008F52E1">
        <w:t xml:space="preserve">Most of the cases </w:t>
      </w:r>
      <w:r w:rsidR="00245AE1">
        <w:t>responded well to</w:t>
      </w:r>
      <w:r w:rsidR="00906FB3">
        <w:t xml:space="preserve"> </w:t>
      </w:r>
      <w:r w:rsidR="00B94281" w:rsidRPr="008F52E1">
        <w:t>increasing the prednisolone</w:t>
      </w:r>
      <w:r w:rsidR="00245AE1">
        <w:t xml:space="preserve"> dose</w:t>
      </w:r>
      <w:r w:rsidR="00B94281" w:rsidRPr="008F52E1">
        <w:t xml:space="preserve"> without addi</w:t>
      </w:r>
      <w:r w:rsidR="00245AE1">
        <w:t>tion</w:t>
      </w:r>
      <w:r w:rsidR="00B94281" w:rsidRPr="008F52E1">
        <w:t xml:space="preserve"> treatment. This could suggest </w:t>
      </w:r>
      <w:r w:rsidR="00C32F51" w:rsidRPr="008F52E1">
        <w:t>that</w:t>
      </w:r>
      <w:r w:rsidR="00D9663B" w:rsidRPr="008F52E1">
        <w:t xml:space="preserve"> particularly in ESS, with </w:t>
      </w:r>
      <w:r w:rsidR="00C32F51" w:rsidRPr="008F52E1">
        <w:t xml:space="preserve">over </w:t>
      </w:r>
      <w:r w:rsidR="00D9663B" w:rsidRPr="008F52E1">
        <w:t>70% of animals relapsing within the time period of the study</w:t>
      </w:r>
      <w:r w:rsidR="00C32F51" w:rsidRPr="008F52E1">
        <w:t xml:space="preserve">, </w:t>
      </w:r>
      <w:r w:rsidR="00D9663B" w:rsidRPr="008F52E1">
        <w:t xml:space="preserve">a </w:t>
      </w:r>
      <w:r w:rsidR="00392E7E" w:rsidRPr="008F52E1">
        <w:t>more progressive or slow process</w:t>
      </w:r>
      <w:r w:rsidR="00D9663B" w:rsidRPr="008F52E1">
        <w:t xml:space="preserve"> tapering of corticosteroids </w:t>
      </w:r>
      <w:r w:rsidR="003A564C">
        <w:t>could be necessary.</w:t>
      </w:r>
      <w:r w:rsidR="00155D28">
        <w:t xml:space="preserve"> </w:t>
      </w:r>
    </w:p>
    <w:p w14:paraId="7DED0C44" w14:textId="77777777" w:rsidR="00E91AAA" w:rsidRDefault="00E91AAA" w:rsidP="00B22A77">
      <w:pPr>
        <w:spacing w:line="480" w:lineRule="auto"/>
        <w:jc w:val="both"/>
      </w:pPr>
    </w:p>
    <w:p w14:paraId="7FBC6F04" w14:textId="67AB7D41" w:rsidR="00D9663B" w:rsidRDefault="00D9663B" w:rsidP="00B22A77">
      <w:pPr>
        <w:spacing w:line="480" w:lineRule="auto"/>
        <w:jc w:val="both"/>
      </w:pPr>
      <w:r w:rsidRPr="008F52E1">
        <w:lastRenderedPageBreak/>
        <w:t xml:space="preserve">A </w:t>
      </w:r>
      <w:r w:rsidR="00FE3845" w:rsidRPr="008F52E1">
        <w:t xml:space="preserve">small </w:t>
      </w:r>
      <w:r w:rsidRPr="008F52E1">
        <w:t xml:space="preserve">number of animals </w:t>
      </w:r>
      <w:r w:rsidR="00B3685B">
        <w:t xml:space="preserve">(9/50) </w:t>
      </w:r>
      <w:r w:rsidRPr="008F52E1">
        <w:t xml:space="preserve">required </w:t>
      </w:r>
      <w:r w:rsidR="00155D28">
        <w:t xml:space="preserve">a </w:t>
      </w:r>
      <w:r w:rsidR="00411749" w:rsidRPr="008F52E1">
        <w:t xml:space="preserve">second line immunosuppressive medication </w:t>
      </w:r>
      <w:r w:rsidR="00FE3845" w:rsidRPr="008F52E1">
        <w:t>in order to either</w:t>
      </w:r>
      <w:r w:rsidRPr="008F52E1">
        <w:t xml:space="preserve"> control the lymphadenitis </w:t>
      </w:r>
      <w:r w:rsidR="00B3685B">
        <w:t xml:space="preserve">(5/9) when they relapsed </w:t>
      </w:r>
      <w:r w:rsidRPr="008F52E1">
        <w:t>or reduce the adverse effects of corticosteroids</w:t>
      </w:r>
      <w:r w:rsidR="00B3685B">
        <w:t xml:space="preserve"> (4/9)</w:t>
      </w:r>
      <w:r w:rsidRPr="008F52E1">
        <w:t xml:space="preserve">. The adverse effects of corticosteroids reported were </w:t>
      </w:r>
      <w:r w:rsidR="00931041" w:rsidRPr="008F52E1">
        <w:t>those, which</w:t>
      </w:r>
      <w:r w:rsidRPr="008F52E1">
        <w:t xml:space="preserve"> are commonly attributed to prednisolone, including </w:t>
      </w:r>
      <w:r w:rsidR="00931041" w:rsidRPr="008F52E1">
        <w:t>mainly polyuria, polyd</w:t>
      </w:r>
      <w:r w:rsidR="00CA45CD" w:rsidRPr="008F52E1">
        <w:t>ipsia, polyphagia and lethargy and were not classified as severe</w:t>
      </w:r>
      <w:r w:rsidR="00FC248C">
        <w:t>.</w:t>
      </w:r>
    </w:p>
    <w:p w14:paraId="00910D29" w14:textId="77777777" w:rsidR="00B22A77" w:rsidRPr="008F52E1" w:rsidRDefault="00B22A77" w:rsidP="00B22A77">
      <w:pPr>
        <w:spacing w:line="480" w:lineRule="auto"/>
        <w:jc w:val="both"/>
      </w:pPr>
    </w:p>
    <w:p w14:paraId="1B2C3B1C" w14:textId="73CD8F7B" w:rsidR="0090530D" w:rsidRDefault="003960BB" w:rsidP="00B22A77">
      <w:pPr>
        <w:spacing w:before="200" w:after="200" w:line="480" w:lineRule="auto"/>
        <w:jc w:val="both"/>
      </w:pPr>
      <w:r w:rsidRPr="008F52E1">
        <w:rPr>
          <w:color w:val="000000" w:themeColor="text1"/>
        </w:rPr>
        <w:t>Sixteen of the fifty cases in this study were English Springer Spaniels, which could suggest a</w:t>
      </w:r>
      <w:r w:rsidR="00B145A8" w:rsidRPr="008F52E1">
        <w:rPr>
          <w:color w:val="000000" w:themeColor="text1"/>
        </w:rPr>
        <w:t xml:space="preserve"> breed predisposition. </w:t>
      </w:r>
      <w:r w:rsidR="005C0142" w:rsidRPr="008F52E1">
        <w:rPr>
          <w:color w:val="000000" w:themeColor="text1"/>
        </w:rPr>
        <w:t>A case of sterile neutrophilic-</w:t>
      </w:r>
      <w:proofErr w:type="spellStart"/>
      <w:r w:rsidR="005C0142" w:rsidRPr="008F52E1">
        <w:rPr>
          <w:color w:val="000000" w:themeColor="text1"/>
        </w:rPr>
        <w:t>macrophagic</w:t>
      </w:r>
      <w:proofErr w:type="spellEnd"/>
      <w:r w:rsidR="005C0142" w:rsidRPr="008F52E1">
        <w:rPr>
          <w:color w:val="000000" w:themeColor="text1"/>
        </w:rPr>
        <w:t xml:space="preserve"> lymphadenitis associated with nodular panniculitis in a Springer Spaniel has been previously reported (</w:t>
      </w:r>
      <w:proofErr w:type="spellStart"/>
      <w:r w:rsidR="005C0142" w:rsidRPr="008F52E1">
        <w:rPr>
          <w:color w:val="000000" w:themeColor="text1"/>
        </w:rPr>
        <w:t>Dandrieux</w:t>
      </w:r>
      <w:proofErr w:type="spellEnd"/>
      <w:r w:rsidR="00AA43C8">
        <w:rPr>
          <w:color w:val="000000" w:themeColor="text1"/>
        </w:rPr>
        <w:t xml:space="preserve"> </w:t>
      </w:r>
      <w:r w:rsidR="00AA43C8">
        <w:rPr>
          <w:i/>
          <w:color w:val="000000" w:themeColor="text1"/>
        </w:rPr>
        <w:t>et al</w:t>
      </w:r>
      <w:r w:rsidR="005C0142" w:rsidRPr="008F52E1">
        <w:rPr>
          <w:color w:val="000000" w:themeColor="text1"/>
        </w:rPr>
        <w:t>, 2011). Indeed, a journal letter published in 2002 also reported a number of Springer Spaniels presenting with generalised lymphadenopathy consistent with granulomatous necrotising lymphadenitis and pyrexia with or without pyogranulomatous dermatitis (Hoffman</w:t>
      </w:r>
      <w:r w:rsidR="00AA43C8">
        <w:rPr>
          <w:color w:val="000000" w:themeColor="text1"/>
        </w:rPr>
        <w:t xml:space="preserve"> </w:t>
      </w:r>
      <w:r w:rsidR="00AA43C8">
        <w:rPr>
          <w:i/>
          <w:color w:val="000000" w:themeColor="text1"/>
        </w:rPr>
        <w:t>et al</w:t>
      </w:r>
      <w:r w:rsidR="005C0142" w:rsidRPr="008F52E1">
        <w:rPr>
          <w:color w:val="000000" w:themeColor="text1"/>
        </w:rPr>
        <w:t xml:space="preserve">, 2002). Moreover, </w:t>
      </w:r>
      <w:r w:rsidR="003821F8" w:rsidRPr="008F52E1">
        <w:rPr>
          <w:color w:val="000000" w:themeColor="text1"/>
        </w:rPr>
        <w:t>ESS</w:t>
      </w:r>
      <w:r w:rsidR="005C0142" w:rsidRPr="008F52E1">
        <w:rPr>
          <w:color w:val="000000" w:themeColor="text1"/>
        </w:rPr>
        <w:t xml:space="preserve"> (among other breeds) have also </w:t>
      </w:r>
      <w:r w:rsidR="003821F8" w:rsidRPr="008F52E1">
        <w:rPr>
          <w:color w:val="000000" w:themeColor="text1"/>
        </w:rPr>
        <w:t xml:space="preserve">been </w:t>
      </w:r>
      <w:r w:rsidR="005C0142" w:rsidRPr="008F52E1">
        <w:rPr>
          <w:color w:val="000000" w:themeColor="text1"/>
        </w:rPr>
        <w:t>reported to be affected by a rare form of mineral-associated lymphadenopathy (Day, 1996).</w:t>
      </w:r>
      <w:r w:rsidR="005C0142" w:rsidRPr="008F52E1">
        <w:rPr>
          <w:color w:val="548DD4" w:themeColor="text2" w:themeTint="99"/>
        </w:rPr>
        <w:t xml:space="preserve"> </w:t>
      </w:r>
      <w:r w:rsidR="005C0142" w:rsidRPr="008F52E1">
        <w:rPr>
          <w:color w:val="000000" w:themeColor="text1"/>
        </w:rPr>
        <w:t>Twenty breeds were represented in this study, three of which were Spaniel breeds (English springer spaniel, Cocker spaniel and</w:t>
      </w:r>
      <w:r w:rsidR="00210BF7" w:rsidRPr="008F52E1">
        <w:rPr>
          <w:color w:val="000000" w:themeColor="text1"/>
        </w:rPr>
        <w:t xml:space="preserve"> Cavalier King Charles spaniel)</w:t>
      </w:r>
      <w:r w:rsidR="0070189B" w:rsidRPr="008F52E1">
        <w:rPr>
          <w:color w:val="000000" w:themeColor="text1"/>
        </w:rPr>
        <w:t xml:space="preserve">. </w:t>
      </w:r>
      <w:r w:rsidR="0090530D" w:rsidRPr="008F52E1">
        <w:rPr>
          <w:color w:val="000000" w:themeColor="text1"/>
        </w:rPr>
        <w:t xml:space="preserve">It has been well documented that there is a breed predilection for immune-mediated haemolytic anaemia (IMHA) in </w:t>
      </w:r>
      <w:r w:rsidR="00E476A3" w:rsidRPr="008F52E1">
        <w:rPr>
          <w:color w:val="000000" w:themeColor="text1"/>
        </w:rPr>
        <w:t>Springer Spaniels</w:t>
      </w:r>
      <w:r w:rsidR="0090530D" w:rsidRPr="008F52E1">
        <w:rPr>
          <w:color w:val="000000" w:themeColor="text1"/>
        </w:rPr>
        <w:t xml:space="preserve"> and Cocker spaniels</w:t>
      </w:r>
      <w:r w:rsidR="00E476A3" w:rsidRPr="008F52E1">
        <w:rPr>
          <w:color w:val="000000" w:themeColor="text1"/>
        </w:rPr>
        <w:t xml:space="preserve"> (</w:t>
      </w:r>
      <w:proofErr w:type="spellStart"/>
      <w:r w:rsidR="0086696B" w:rsidRPr="008F52E1">
        <w:t>Weinkle</w:t>
      </w:r>
      <w:proofErr w:type="spellEnd"/>
      <w:r w:rsidR="00AA43C8">
        <w:t xml:space="preserve"> </w:t>
      </w:r>
      <w:r w:rsidR="00AA43C8">
        <w:rPr>
          <w:i/>
        </w:rPr>
        <w:t>et al</w:t>
      </w:r>
      <w:r w:rsidR="0086696B" w:rsidRPr="008F52E1">
        <w:t>, 2005</w:t>
      </w:r>
      <w:r w:rsidR="00E00DC5" w:rsidRPr="008F52E1">
        <w:t>; Reimer</w:t>
      </w:r>
      <w:r w:rsidR="00AA43C8">
        <w:t xml:space="preserve"> </w:t>
      </w:r>
      <w:r w:rsidR="00AA43C8">
        <w:rPr>
          <w:i/>
        </w:rPr>
        <w:t>et al</w:t>
      </w:r>
      <w:r w:rsidR="00E00DC5" w:rsidRPr="008F52E1">
        <w:t>, 1999</w:t>
      </w:r>
      <w:r w:rsidR="00E476A3" w:rsidRPr="008F52E1">
        <w:rPr>
          <w:color w:val="000000" w:themeColor="text1"/>
        </w:rPr>
        <w:t>)</w:t>
      </w:r>
      <w:r w:rsidR="0090530D" w:rsidRPr="008F52E1">
        <w:rPr>
          <w:color w:val="000000" w:themeColor="text1"/>
        </w:rPr>
        <w:t xml:space="preserve">, whether any links to </w:t>
      </w:r>
      <w:r w:rsidR="0090530D" w:rsidRPr="008F52E1">
        <w:t xml:space="preserve">susceptibility to immune-mediated disease could be extrapolated from this study remain to be evaluated and could provide an area for future work. </w:t>
      </w:r>
    </w:p>
    <w:p w14:paraId="62904B3E" w14:textId="27E79802" w:rsidR="008B3CCD" w:rsidRPr="00B22A77" w:rsidRDefault="00F340DE" w:rsidP="00B22A77">
      <w:pPr>
        <w:pStyle w:val="Normal1"/>
        <w:spacing w:before="200"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This </w:t>
      </w:r>
      <w:r w:rsidR="00AD20F1" w:rsidRPr="008F52E1">
        <w:rPr>
          <w:rFonts w:ascii="Times New Roman" w:hAnsi="Times New Roman" w:cs="Times New Roman"/>
          <w:color w:val="auto"/>
          <w:sz w:val="24"/>
          <w:szCs w:val="24"/>
        </w:rPr>
        <w:t>study was limited by issues inherent to most retrospective studies</w:t>
      </w:r>
      <w:r w:rsidR="00CD720C" w:rsidRPr="008F52E1">
        <w:rPr>
          <w:rFonts w:ascii="Times New Roman" w:hAnsi="Times New Roman" w:cs="Times New Roman"/>
          <w:color w:val="auto"/>
          <w:sz w:val="24"/>
          <w:szCs w:val="24"/>
        </w:rPr>
        <w:t xml:space="preserve">, including mainly </w:t>
      </w:r>
      <w:r w:rsidR="00204F5E" w:rsidRPr="008F52E1">
        <w:rPr>
          <w:rFonts w:ascii="Times New Roman" w:hAnsi="Times New Roman" w:cs="Times New Roman"/>
          <w:color w:val="auto"/>
          <w:sz w:val="24"/>
          <w:szCs w:val="24"/>
        </w:rPr>
        <w:t>a lack of uniformity of the diagnostic investigations</w:t>
      </w:r>
      <w:r w:rsidR="003423F6" w:rsidRPr="008F52E1">
        <w:rPr>
          <w:rFonts w:ascii="Times New Roman" w:hAnsi="Times New Roman" w:cs="Times New Roman"/>
          <w:color w:val="auto"/>
          <w:sz w:val="24"/>
          <w:szCs w:val="24"/>
        </w:rPr>
        <w:t xml:space="preserve"> and the treatment plans</w:t>
      </w:r>
      <w:r w:rsidR="00204F5E" w:rsidRPr="008F52E1">
        <w:rPr>
          <w:rFonts w:ascii="Times New Roman" w:hAnsi="Times New Roman" w:cs="Times New Roman"/>
          <w:color w:val="auto"/>
          <w:sz w:val="24"/>
          <w:szCs w:val="24"/>
        </w:rPr>
        <w:t>. The diagnostic work-up was not always the same because the cases were seen during different periods of time and by different clinicians</w:t>
      </w:r>
      <w:r w:rsidR="00021FC0" w:rsidRPr="008F52E1">
        <w:rPr>
          <w:rFonts w:ascii="Times New Roman" w:hAnsi="Times New Roman" w:cs="Times New Roman"/>
          <w:color w:val="auto"/>
          <w:sz w:val="24"/>
          <w:szCs w:val="24"/>
        </w:rPr>
        <w:t xml:space="preserve"> from different referral centres</w:t>
      </w:r>
      <w:r w:rsidR="00204F5E" w:rsidRPr="008F52E1">
        <w:rPr>
          <w:rFonts w:ascii="Times New Roman" w:hAnsi="Times New Roman" w:cs="Times New Roman"/>
          <w:color w:val="auto"/>
          <w:sz w:val="24"/>
          <w:szCs w:val="24"/>
        </w:rPr>
        <w:t xml:space="preserve">. </w:t>
      </w:r>
      <w:r w:rsidR="00EF4C3D" w:rsidRPr="008F52E1">
        <w:rPr>
          <w:rFonts w:ascii="Times New Roman" w:hAnsi="Times New Roman" w:cs="Times New Roman"/>
          <w:color w:val="auto"/>
          <w:sz w:val="24"/>
          <w:szCs w:val="24"/>
        </w:rPr>
        <w:t xml:space="preserve">Also, the varied presentations of the cases initially guided investigations based on the clinical signs presented. </w:t>
      </w:r>
      <w:r w:rsidR="0011321A" w:rsidRPr="008F52E1">
        <w:rPr>
          <w:rFonts w:ascii="Times New Roman" w:hAnsi="Times New Roman" w:cs="Times New Roman"/>
          <w:color w:val="auto"/>
          <w:sz w:val="24"/>
          <w:szCs w:val="24"/>
        </w:rPr>
        <w:t xml:space="preserve">For the same </w:t>
      </w:r>
      <w:r w:rsidR="0011321A" w:rsidRPr="008F52E1">
        <w:rPr>
          <w:rFonts w:ascii="Times New Roman" w:hAnsi="Times New Roman" w:cs="Times New Roman"/>
          <w:color w:val="auto"/>
          <w:sz w:val="24"/>
          <w:szCs w:val="24"/>
        </w:rPr>
        <w:lastRenderedPageBreak/>
        <w:t xml:space="preserve">reason, some of the cases were lost in follow-up, which makes difficult to interpret the </w:t>
      </w:r>
      <w:r w:rsidR="003423F6" w:rsidRPr="008F52E1">
        <w:rPr>
          <w:rFonts w:ascii="Times New Roman" w:hAnsi="Times New Roman" w:cs="Times New Roman"/>
          <w:color w:val="auto"/>
          <w:sz w:val="24"/>
          <w:szCs w:val="24"/>
        </w:rPr>
        <w:t>long-term</w:t>
      </w:r>
      <w:r w:rsidR="0011321A" w:rsidRPr="008F52E1">
        <w:rPr>
          <w:rFonts w:ascii="Times New Roman" w:hAnsi="Times New Roman" w:cs="Times New Roman"/>
          <w:color w:val="auto"/>
          <w:sz w:val="24"/>
          <w:szCs w:val="24"/>
        </w:rPr>
        <w:t xml:space="preserve"> response or outcome of the dogs suffering this condition.</w:t>
      </w:r>
    </w:p>
    <w:p w14:paraId="033BF00C" w14:textId="03565D01" w:rsidR="006C6D19" w:rsidRPr="008F52E1" w:rsidRDefault="006C6D19" w:rsidP="00B22A77">
      <w:pPr>
        <w:spacing w:after="200" w:line="480" w:lineRule="auto"/>
        <w:jc w:val="both"/>
        <w:rPr>
          <w:color w:val="000000" w:themeColor="text1"/>
        </w:rPr>
      </w:pPr>
      <w:r w:rsidRPr="008F52E1">
        <w:rPr>
          <w:color w:val="000000" w:themeColor="text1"/>
        </w:rPr>
        <w:t xml:space="preserve">To the authors’ knowledge, primary sterile lymphadenitis without evidence of other diseases has not been </w:t>
      </w:r>
      <w:r w:rsidR="00155D28">
        <w:rPr>
          <w:color w:val="000000" w:themeColor="text1"/>
        </w:rPr>
        <w:t>well characterised</w:t>
      </w:r>
      <w:r w:rsidRPr="008F52E1">
        <w:rPr>
          <w:color w:val="000000" w:themeColor="text1"/>
        </w:rPr>
        <w:t xml:space="preserve"> in dogs. </w:t>
      </w:r>
      <w:r w:rsidRPr="008F52E1">
        <w:t xml:space="preserve">Diagnosis of canine sterile steroid-responsive lymphadenopathy involves </w:t>
      </w:r>
      <w:r w:rsidR="007E03E4" w:rsidRPr="008F52E1">
        <w:t>extensive</w:t>
      </w:r>
      <w:r w:rsidRPr="008F52E1">
        <w:t xml:space="preserve"> investigations </w:t>
      </w:r>
      <w:r w:rsidR="007E03E4" w:rsidRPr="008F52E1">
        <w:t>to rule out</w:t>
      </w:r>
      <w:r w:rsidRPr="008F52E1">
        <w:t xml:space="preserve"> any detectable underlying infectious, inflammatory or neoplastic causes.</w:t>
      </w:r>
      <w:r w:rsidR="007E03E4" w:rsidRPr="008F52E1">
        <w:t xml:space="preserve"> </w:t>
      </w:r>
      <w:r w:rsidR="00EF60FC" w:rsidRPr="008F52E1">
        <w:rPr>
          <w:color w:val="000000" w:themeColor="text1"/>
        </w:rPr>
        <w:t xml:space="preserve">Most of the </w:t>
      </w:r>
      <w:r w:rsidR="007E03E4" w:rsidRPr="008F52E1">
        <w:rPr>
          <w:color w:val="000000" w:themeColor="text1"/>
        </w:rPr>
        <w:t>cases responded to prednisolone therapy and the rapid resolution of clinical signs was associated with normalisation of the lymphadenopathy. In addition, some of the cases relapsed after discontinuation of the treatment or while decreasing the dosage of the medication, being also suggestive of a primary immune-mediated disease process.</w:t>
      </w:r>
      <w:r w:rsidR="00276611">
        <w:rPr>
          <w:color w:val="000000" w:themeColor="text1"/>
        </w:rPr>
        <w:t xml:space="preserve"> </w:t>
      </w:r>
    </w:p>
    <w:p w14:paraId="54A38441" w14:textId="77777777" w:rsidR="008B3CCD" w:rsidRDefault="008B3CCD" w:rsidP="00B22A77">
      <w:pPr>
        <w:pStyle w:val="Normal1"/>
        <w:spacing w:line="480" w:lineRule="auto"/>
        <w:jc w:val="both"/>
        <w:rPr>
          <w:rFonts w:ascii="Times New Roman" w:hAnsi="Times New Roman" w:cs="Times New Roman"/>
          <w:color w:val="auto"/>
          <w:sz w:val="24"/>
          <w:szCs w:val="24"/>
        </w:rPr>
      </w:pPr>
    </w:p>
    <w:p w14:paraId="4D57DD1C" w14:textId="652E689D" w:rsidR="006C6D19" w:rsidRPr="008F52E1" w:rsidRDefault="006C6D19" w:rsidP="00B22A77">
      <w:pPr>
        <w:pStyle w:val="Normal1"/>
        <w:spacing w:line="480" w:lineRule="auto"/>
        <w:jc w:val="both"/>
        <w:rPr>
          <w:rFonts w:ascii="Times New Roman" w:hAnsi="Times New Roman" w:cs="Times New Roman"/>
          <w:color w:val="auto"/>
          <w:sz w:val="24"/>
          <w:szCs w:val="24"/>
        </w:rPr>
      </w:pPr>
      <w:r w:rsidRPr="008F52E1">
        <w:rPr>
          <w:rFonts w:ascii="Times New Roman" w:hAnsi="Times New Roman" w:cs="Times New Roman"/>
          <w:color w:val="auto"/>
          <w:sz w:val="24"/>
          <w:szCs w:val="24"/>
        </w:rPr>
        <w:t>In conclusion, idiopathic or primary sterile steroid-responsive lymphadenitis should be considered a differential diagnosis in young-adult dogs (especially female Springer Spaniels) presenting with pyrexia and peripheral</w:t>
      </w:r>
      <w:r w:rsidR="00AF149A">
        <w:rPr>
          <w:rFonts w:ascii="Times New Roman" w:hAnsi="Times New Roman" w:cs="Times New Roman"/>
          <w:color w:val="auto"/>
          <w:sz w:val="24"/>
          <w:szCs w:val="24"/>
        </w:rPr>
        <w:t xml:space="preserve"> and/or internal</w:t>
      </w:r>
      <w:r w:rsidRPr="008F52E1">
        <w:rPr>
          <w:rFonts w:ascii="Times New Roman" w:hAnsi="Times New Roman" w:cs="Times New Roman"/>
          <w:color w:val="auto"/>
          <w:sz w:val="24"/>
          <w:szCs w:val="24"/>
        </w:rPr>
        <w:t xml:space="preserve"> lymphadenopathy. The apparent breed predisposition in Springer Spaniels warrants further study. </w:t>
      </w:r>
    </w:p>
    <w:p w14:paraId="6AF88A0B" w14:textId="77777777" w:rsidR="00B22A77" w:rsidRDefault="00B22A77">
      <w:pPr>
        <w:rPr>
          <w:rFonts w:eastAsia="Calibri"/>
          <w:b/>
          <w:color w:val="000000"/>
          <w:lang w:eastAsia="es-ES"/>
        </w:rPr>
      </w:pPr>
      <w:r>
        <w:rPr>
          <w:b/>
        </w:rPr>
        <w:br w:type="page"/>
      </w:r>
    </w:p>
    <w:p w14:paraId="1C60BE68" w14:textId="260D656B" w:rsidR="0086696B" w:rsidRPr="008F52E1" w:rsidRDefault="00B22A77" w:rsidP="00B22A77">
      <w:pPr>
        <w:pStyle w:val="Normal1"/>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References</w:t>
      </w:r>
    </w:p>
    <w:p w14:paraId="46756F54" w14:textId="77777777" w:rsidR="0086696B" w:rsidRPr="00F1682E" w:rsidRDefault="00833101" w:rsidP="00B3685B">
      <w:pPr>
        <w:widowControl w:val="0"/>
        <w:autoSpaceDE w:val="0"/>
        <w:autoSpaceDN w:val="0"/>
        <w:adjustRightInd w:val="0"/>
        <w:spacing w:line="480" w:lineRule="auto"/>
        <w:rPr>
          <w:bCs/>
        </w:rPr>
      </w:pPr>
      <w:hyperlink r:id="rId6" w:history="1">
        <w:proofErr w:type="spellStart"/>
        <w:r w:rsidR="0086696B" w:rsidRPr="008F52E1">
          <w:t>Amores-Fuster</w:t>
        </w:r>
        <w:proofErr w:type="spellEnd"/>
        <w:r w:rsidR="0086696B" w:rsidRPr="008F52E1">
          <w:t>, I</w:t>
        </w:r>
      </w:hyperlink>
      <w:r w:rsidR="0086696B" w:rsidRPr="00F1682E">
        <w:rPr>
          <w:bCs/>
        </w:rPr>
        <w:t xml:space="preserve">. </w:t>
      </w:r>
      <w:proofErr w:type="gramStart"/>
      <w:r w:rsidR="0086696B" w:rsidRPr="00F1682E">
        <w:rPr>
          <w:bCs/>
          <w:i/>
        </w:rPr>
        <w:t>et</w:t>
      </w:r>
      <w:proofErr w:type="gramEnd"/>
      <w:r w:rsidR="0086696B" w:rsidRPr="00F1682E">
        <w:rPr>
          <w:bCs/>
          <w:i/>
        </w:rPr>
        <w:t xml:space="preserve"> al.</w:t>
      </w:r>
      <w:r w:rsidR="0086696B" w:rsidRPr="008F52E1">
        <w:t xml:space="preserve"> (2015) </w:t>
      </w:r>
      <w:r w:rsidR="0086696B" w:rsidRPr="00F1682E">
        <w:rPr>
          <w:bCs/>
        </w:rPr>
        <w:t xml:space="preserve">The diagnostic utility of lymph node cytology samples in dogs and cats. </w:t>
      </w:r>
      <w:r w:rsidR="0086696B" w:rsidRPr="00F1682E">
        <w:rPr>
          <w:i/>
          <w:color w:val="262626"/>
        </w:rPr>
        <w:t>Journal of Small Animal Practice</w:t>
      </w:r>
      <w:r w:rsidR="0086696B" w:rsidRPr="008F52E1">
        <w:t xml:space="preserve"> 56(2), 125-129</w:t>
      </w:r>
    </w:p>
    <w:p w14:paraId="223CB14D" w14:textId="77777777" w:rsidR="0086696B" w:rsidRPr="008F52E1" w:rsidRDefault="0086696B" w:rsidP="00B22A77">
      <w:pPr>
        <w:pStyle w:val="ListParagraph"/>
        <w:widowControl w:val="0"/>
        <w:autoSpaceDE w:val="0"/>
        <w:autoSpaceDN w:val="0"/>
        <w:adjustRightInd w:val="0"/>
        <w:spacing w:line="480" w:lineRule="auto"/>
        <w:rPr>
          <w:bCs/>
        </w:rPr>
      </w:pPr>
    </w:p>
    <w:p w14:paraId="0D6A8AE7" w14:textId="77777777" w:rsidR="0086696B" w:rsidRDefault="0086696B" w:rsidP="00B3685B">
      <w:pPr>
        <w:widowControl w:val="0"/>
        <w:autoSpaceDE w:val="0"/>
        <w:autoSpaceDN w:val="0"/>
        <w:adjustRightInd w:val="0"/>
        <w:spacing w:line="480" w:lineRule="auto"/>
      </w:pPr>
      <w:proofErr w:type="spellStart"/>
      <w:r w:rsidRPr="008F52E1">
        <w:t>Battersby</w:t>
      </w:r>
      <w:proofErr w:type="spellEnd"/>
      <w:r w:rsidRPr="008F52E1">
        <w:t xml:space="preserve">, I. A., Murphy, K. F., Tasker, S. &amp; </w:t>
      </w:r>
      <w:proofErr w:type="spellStart"/>
      <w:r w:rsidRPr="008F52E1">
        <w:t>Papasouliotis</w:t>
      </w:r>
      <w:proofErr w:type="spellEnd"/>
      <w:r w:rsidRPr="008F52E1">
        <w:t xml:space="preserve">, K. (2006) </w:t>
      </w:r>
      <w:hyperlink r:id="rId7" w:history="1">
        <w:r w:rsidRPr="008F52E1">
          <w:t xml:space="preserve">Retrospective study of </w:t>
        </w:r>
        <w:r w:rsidRPr="00F1682E">
          <w:rPr>
            <w:bCs/>
          </w:rPr>
          <w:t>fever</w:t>
        </w:r>
        <w:r w:rsidRPr="008F52E1">
          <w:t xml:space="preserve"> in </w:t>
        </w:r>
        <w:r w:rsidRPr="00F1682E">
          <w:rPr>
            <w:bCs/>
          </w:rPr>
          <w:t>dogs</w:t>
        </w:r>
        <w:r w:rsidRPr="008F52E1">
          <w:t>: laboratory testing, diagnoses and influence of prior treatment.</w:t>
        </w:r>
      </w:hyperlink>
      <w:r w:rsidRPr="008F52E1">
        <w:t xml:space="preserve"> </w:t>
      </w:r>
      <w:r w:rsidRPr="00F1682E">
        <w:rPr>
          <w:i/>
        </w:rPr>
        <w:t xml:space="preserve">Journal of Small Animal Practice </w:t>
      </w:r>
      <w:r w:rsidRPr="008F52E1">
        <w:t>47(7), 370-376.</w:t>
      </w:r>
    </w:p>
    <w:p w14:paraId="5025C01B" w14:textId="77777777" w:rsidR="0024075B" w:rsidRDefault="0024075B" w:rsidP="00995EB7">
      <w:pPr>
        <w:widowControl w:val="0"/>
        <w:autoSpaceDE w:val="0"/>
        <w:autoSpaceDN w:val="0"/>
        <w:adjustRightInd w:val="0"/>
        <w:spacing w:line="480" w:lineRule="auto"/>
      </w:pPr>
    </w:p>
    <w:p w14:paraId="4DEB1F8A" w14:textId="6963FB73" w:rsidR="0024075B" w:rsidRPr="008F52E1" w:rsidRDefault="0024075B" w:rsidP="00B3685B">
      <w:pPr>
        <w:widowControl w:val="0"/>
        <w:autoSpaceDE w:val="0"/>
        <w:autoSpaceDN w:val="0"/>
        <w:adjustRightInd w:val="0"/>
        <w:spacing w:line="480" w:lineRule="auto"/>
      </w:pPr>
      <w:proofErr w:type="spellStart"/>
      <w:r>
        <w:t>Carr</w:t>
      </w:r>
      <w:proofErr w:type="spellEnd"/>
      <w:r>
        <w:t xml:space="preserve">, A.P. </w:t>
      </w:r>
      <w:r w:rsidRPr="00F1682E">
        <w:rPr>
          <w:i/>
        </w:rPr>
        <w:t>et al.</w:t>
      </w:r>
      <w:r>
        <w:t xml:space="preserve"> (2002) Prognostic factors for mortality and thromboembolism in canine immune-mediated haemolytic </w:t>
      </w:r>
      <w:proofErr w:type="spellStart"/>
      <w:r>
        <w:t>anemia</w:t>
      </w:r>
      <w:proofErr w:type="spellEnd"/>
      <w:r>
        <w:t xml:space="preserve">: A retrospective study of 72 dogs. </w:t>
      </w:r>
      <w:r w:rsidRPr="00F1682E">
        <w:rPr>
          <w:i/>
        </w:rPr>
        <w:t>Journal of veterinary internal medicine</w:t>
      </w:r>
      <w:r>
        <w:t xml:space="preserve"> 16, 504-509</w:t>
      </w:r>
    </w:p>
    <w:p w14:paraId="4B5F6EAC" w14:textId="77777777" w:rsidR="0086696B" w:rsidRPr="008F52E1" w:rsidRDefault="0086696B" w:rsidP="00B22A77">
      <w:pPr>
        <w:pStyle w:val="ListParagraph"/>
        <w:widowControl w:val="0"/>
        <w:autoSpaceDE w:val="0"/>
        <w:autoSpaceDN w:val="0"/>
        <w:adjustRightInd w:val="0"/>
        <w:spacing w:line="480" w:lineRule="auto"/>
      </w:pPr>
    </w:p>
    <w:p w14:paraId="2725A383" w14:textId="77777777" w:rsidR="0086696B" w:rsidRPr="008F52E1" w:rsidRDefault="00833101" w:rsidP="00B3685B">
      <w:pPr>
        <w:pStyle w:val="Normal1"/>
        <w:spacing w:line="480" w:lineRule="auto"/>
        <w:jc w:val="both"/>
        <w:rPr>
          <w:rFonts w:ascii="Times New Roman" w:hAnsi="Times New Roman" w:cs="Times New Roman"/>
          <w:color w:val="auto"/>
          <w:sz w:val="24"/>
          <w:szCs w:val="24"/>
        </w:rPr>
      </w:pPr>
      <w:hyperlink r:id="rId8" w:history="1">
        <w:proofErr w:type="spellStart"/>
        <w:r w:rsidR="0086696B" w:rsidRPr="008F52E1">
          <w:rPr>
            <w:rFonts w:ascii="Times New Roman" w:hAnsi="Times New Roman" w:cs="Times New Roman"/>
            <w:color w:val="auto"/>
            <w:sz w:val="24"/>
            <w:szCs w:val="24"/>
          </w:rPr>
          <w:t>Chervier</w:t>
        </w:r>
        <w:proofErr w:type="spellEnd"/>
        <w:r w:rsidR="0086696B" w:rsidRPr="008F52E1">
          <w:rPr>
            <w:rFonts w:ascii="Times New Roman" w:hAnsi="Times New Roman" w:cs="Times New Roman"/>
            <w:color w:val="auto"/>
            <w:sz w:val="24"/>
            <w:szCs w:val="24"/>
          </w:rPr>
          <w:t>, C</w:t>
        </w:r>
      </w:hyperlink>
      <w:r w:rsidR="0086696B" w:rsidRPr="008F52E1">
        <w:rPr>
          <w:rFonts w:ascii="Times New Roman" w:hAnsi="Times New Roman" w:cs="Times New Roman"/>
          <w:color w:val="auto"/>
          <w:sz w:val="24"/>
          <w:szCs w:val="24"/>
        </w:rPr>
        <w:t xml:space="preserve">. </w:t>
      </w:r>
      <w:proofErr w:type="gramStart"/>
      <w:r w:rsidR="0086696B" w:rsidRPr="008F52E1">
        <w:rPr>
          <w:rFonts w:ascii="Times New Roman" w:hAnsi="Times New Roman" w:cs="Times New Roman"/>
          <w:i/>
          <w:color w:val="auto"/>
          <w:sz w:val="24"/>
          <w:szCs w:val="24"/>
        </w:rPr>
        <w:t>et</w:t>
      </w:r>
      <w:proofErr w:type="gramEnd"/>
      <w:r w:rsidR="0086696B" w:rsidRPr="008F52E1">
        <w:rPr>
          <w:rFonts w:ascii="Times New Roman" w:hAnsi="Times New Roman" w:cs="Times New Roman"/>
          <w:i/>
          <w:color w:val="auto"/>
          <w:sz w:val="24"/>
          <w:szCs w:val="24"/>
        </w:rPr>
        <w:t xml:space="preserve"> al</w:t>
      </w:r>
      <w:r w:rsidR="0086696B" w:rsidRPr="008F52E1">
        <w:rPr>
          <w:rFonts w:ascii="Times New Roman" w:hAnsi="Times New Roman" w:cs="Times New Roman"/>
          <w:color w:val="auto"/>
          <w:sz w:val="24"/>
          <w:szCs w:val="24"/>
        </w:rPr>
        <w:t xml:space="preserve">. </w:t>
      </w:r>
      <w:r w:rsidR="0086696B" w:rsidRPr="008F52E1">
        <w:rPr>
          <w:rFonts w:ascii="Times New Roman" w:hAnsi="Times New Roman" w:cs="Times New Roman"/>
          <w:bCs/>
          <w:color w:val="auto"/>
          <w:sz w:val="24"/>
          <w:szCs w:val="24"/>
        </w:rPr>
        <w:t xml:space="preserve">(2012) Causes, diagnostic signs, and the utility of investigations of fever in dogs: 50 cases. </w:t>
      </w:r>
      <w:r w:rsidR="0086696B" w:rsidRPr="008F52E1">
        <w:rPr>
          <w:rFonts w:ascii="Times New Roman" w:hAnsi="Times New Roman" w:cs="Times New Roman"/>
          <w:i/>
          <w:color w:val="auto"/>
          <w:sz w:val="24"/>
          <w:szCs w:val="24"/>
        </w:rPr>
        <w:t>Canadian Veterinary Journal</w:t>
      </w:r>
      <w:r w:rsidR="0086696B" w:rsidRPr="008F52E1">
        <w:rPr>
          <w:rFonts w:ascii="Times New Roman" w:hAnsi="Times New Roman" w:cs="Times New Roman"/>
          <w:color w:val="auto"/>
          <w:sz w:val="24"/>
          <w:szCs w:val="24"/>
        </w:rPr>
        <w:t xml:space="preserve"> 53(5), 525-30</w:t>
      </w:r>
    </w:p>
    <w:p w14:paraId="65A65EF2" w14:textId="77777777" w:rsidR="00F1682E" w:rsidRDefault="00F1682E" w:rsidP="00B3685B">
      <w:pPr>
        <w:widowControl w:val="0"/>
        <w:autoSpaceDE w:val="0"/>
        <w:autoSpaceDN w:val="0"/>
        <w:adjustRightInd w:val="0"/>
        <w:spacing w:after="240" w:line="480" w:lineRule="auto"/>
      </w:pPr>
    </w:p>
    <w:p w14:paraId="69FEA910" w14:textId="77777777" w:rsidR="0086696B" w:rsidRPr="008F52E1" w:rsidRDefault="0086696B" w:rsidP="00B3685B">
      <w:pPr>
        <w:widowControl w:val="0"/>
        <w:autoSpaceDE w:val="0"/>
        <w:autoSpaceDN w:val="0"/>
        <w:adjustRightInd w:val="0"/>
        <w:spacing w:after="240" w:line="480" w:lineRule="auto"/>
      </w:pPr>
      <w:r w:rsidRPr="008F52E1">
        <w:t xml:space="preserve">Couto, C.G. (2014) Fever of </w:t>
      </w:r>
      <w:proofErr w:type="spellStart"/>
      <w:r w:rsidRPr="008F52E1">
        <w:t>undertermined</w:t>
      </w:r>
      <w:proofErr w:type="spellEnd"/>
      <w:r w:rsidRPr="008F52E1">
        <w:t xml:space="preserve"> origin. In: </w:t>
      </w:r>
      <w:r w:rsidRPr="00F1682E">
        <w:rPr>
          <w:iCs/>
        </w:rPr>
        <w:t>Small Animal Internal Medicine.</w:t>
      </w:r>
      <w:r w:rsidRPr="008F52E1">
        <w:t xml:space="preserve"> </w:t>
      </w:r>
      <w:r w:rsidRPr="00F1682E">
        <w:rPr>
          <w:iCs/>
        </w:rPr>
        <w:t>5</w:t>
      </w:r>
      <w:r w:rsidRPr="008F52E1">
        <w:t xml:space="preserve">th </w:t>
      </w:r>
      <w:proofErr w:type="spellStart"/>
      <w:r w:rsidRPr="008F52E1">
        <w:t>edn</w:t>
      </w:r>
      <w:proofErr w:type="spellEnd"/>
      <w:r w:rsidRPr="008F52E1">
        <w:t xml:space="preserve">. </w:t>
      </w:r>
      <w:proofErr w:type="spellStart"/>
      <w:r w:rsidRPr="008F52E1">
        <w:t>Eds</w:t>
      </w:r>
      <w:proofErr w:type="spellEnd"/>
      <w:r w:rsidRPr="008F52E1">
        <w:t xml:space="preserve"> C. G. Couto, and R. W.  Nelson. Elsevier and Mosby, MO, USA. pp 1279-1282</w:t>
      </w:r>
    </w:p>
    <w:p w14:paraId="2FE0D9EA" w14:textId="77777777" w:rsidR="00F1682E" w:rsidRDefault="00F1682E" w:rsidP="00B3685B">
      <w:pPr>
        <w:pStyle w:val="Normal1"/>
        <w:spacing w:line="480" w:lineRule="auto"/>
        <w:jc w:val="both"/>
        <w:rPr>
          <w:rFonts w:ascii="Times New Roman" w:hAnsi="Times New Roman" w:cs="Times New Roman"/>
          <w:sz w:val="24"/>
          <w:szCs w:val="24"/>
        </w:rPr>
      </w:pPr>
    </w:p>
    <w:p w14:paraId="69A8A7CC" w14:textId="77777777" w:rsidR="0086696B" w:rsidRPr="008F52E1" w:rsidRDefault="0086696B" w:rsidP="00B3685B">
      <w:pPr>
        <w:pStyle w:val="Normal1"/>
        <w:spacing w:line="480" w:lineRule="auto"/>
        <w:jc w:val="both"/>
        <w:rPr>
          <w:rFonts w:ascii="Times New Roman" w:hAnsi="Times New Roman" w:cs="Times New Roman"/>
          <w:color w:val="auto"/>
          <w:sz w:val="24"/>
          <w:szCs w:val="24"/>
        </w:rPr>
      </w:pPr>
      <w:r w:rsidRPr="008F52E1">
        <w:rPr>
          <w:rFonts w:ascii="Times New Roman" w:hAnsi="Times New Roman" w:cs="Times New Roman"/>
          <w:sz w:val="24"/>
          <w:szCs w:val="24"/>
        </w:rPr>
        <w:t xml:space="preserve">Cowell, R. L., Dorsey, K. E. &amp; </w:t>
      </w:r>
      <w:proofErr w:type="spellStart"/>
      <w:r w:rsidRPr="008F52E1">
        <w:rPr>
          <w:rFonts w:ascii="Times New Roman" w:hAnsi="Times New Roman" w:cs="Times New Roman"/>
          <w:sz w:val="24"/>
          <w:szCs w:val="24"/>
        </w:rPr>
        <w:t>Meinkoth</w:t>
      </w:r>
      <w:proofErr w:type="spellEnd"/>
      <w:r w:rsidRPr="008F52E1">
        <w:rPr>
          <w:rFonts w:ascii="Times New Roman" w:hAnsi="Times New Roman" w:cs="Times New Roman"/>
          <w:sz w:val="24"/>
          <w:szCs w:val="24"/>
        </w:rPr>
        <w:t xml:space="preserve">, J. H. (2003) Lymph node cytology. </w:t>
      </w:r>
      <w:r w:rsidRPr="008F52E1">
        <w:rPr>
          <w:rFonts w:ascii="Times New Roman" w:hAnsi="Times New Roman" w:cs="Times New Roman"/>
          <w:i/>
          <w:sz w:val="24"/>
          <w:szCs w:val="24"/>
        </w:rPr>
        <w:t xml:space="preserve">Veterinary Clinics of North America: Small animal practice </w:t>
      </w:r>
      <w:r w:rsidRPr="008F52E1">
        <w:rPr>
          <w:rFonts w:ascii="Times New Roman" w:hAnsi="Times New Roman" w:cs="Times New Roman"/>
          <w:sz w:val="24"/>
          <w:szCs w:val="24"/>
        </w:rPr>
        <w:t>33, 47-67</w:t>
      </w:r>
    </w:p>
    <w:p w14:paraId="61FA88D8" w14:textId="77777777" w:rsidR="00F1682E" w:rsidRDefault="00F1682E" w:rsidP="00B3685B">
      <w:pPr>
        <w:widowControl w:val="0"/>
        <w:autoSpaceDE w:val="0"/>
        <w:autoSpaceDN w:val="0"/>
        <w:adjustRightInd w:val="0"/>
        <w:spacing w:after="240" w:line="480" w:lineRule="auto"/>
      </w:pPr>
    </w:p>
    <w:p w14:paraId="063A26E9" w14:textId="77777777" w:rsidR="0086696B" w:rsidRPr="008F52E1" w:rsidRDefault="0086696B" w:rsidP="00B3685B">
      <w:pPr>
        <w:widowControl w:val="0"/>
        <w:autoSpaceDE w:val="0"/>
        <w:autoSpaceDN w:val="0"/>
        <w:adjustRightInd w:val="0"/>
        <w:spacing w:after="240" w:line="480" w:lineRule="auto"/>
      </w:pPr>
      <w:proofErr w:type="spellStart"/>
      <w:r w:rsidRPr="008F52E1">
        <w:t>Dandrieux</w:t>
      </w:r>
      <w:proofErr w:type="spellEnd"/>
      <w:r w:rsidRPr="008F52E1">
        <w:t xml:space="preserve">, J. R. S. </w:t>
      </w:r>
      <w:r w:rsidRPr="00F1682E">
        <w:rPr>
          <w:i/>
        </w:rPr>
        <w:t>et al.</w:t>
      </w:r>
      <w:r w:rsidRPr="008F52E1">
        <w:t xml:space="preserve"> (2011) Unusual systemic signs in a dog with sterile neutrophilic-</w:t>
      </w:r>
      <w:proofErr w:type="spellStart"/>
      <w:r w:rsidRPr="008F52E1">
        <w:t>macrophagic</w:t>
      </w:r>
      <w:proofErr w:type="spellEnd"/>
      <w:r w:rsidRPr="008F52E1">
        <w:t xml:space="preserve"> lymphadenitis and nodular </w:t>
      </w:r>
      <w:proofErr w:type="spellStart"/>
      <w:r w:rsidRPr="008F52E1">
        <w:t>paniculitis</w:t>
      </w:r>
      <w:proofErr w:type="spellEnd"/>
      <w:r w:rsidRPr="008F52E1">
        <w:t xml:space="preserve">. </w:t>
      </w:r>
      <w:r w:rsidRPr="00F1682E">
        <w:rPr>
          <w:i/>
        </w:rPr>
        <w:t xml:space="preserve">Journal of the </w:t>
      </w:r>
      <w:proofErr w:type="spellStart"/>
      <w:proofErr w:type="gramStart"/>
      <w:r w:rsidRPr="00F1682E">
        <w:rPr>
          <w:i/>
        </w:rPr>
        <w:t>american</w:t>
      </w:r>
      <w:proofErr w:type="spellEnd"/>
      <w:proofErr w:type="gramEnd"/>
      <w:r w:rsidRPr="00F1682E">
        <w:rPr>
          <w:i/>
        </w:rPr>
        <w:t xml:space="preserve"> animal hospital </w:t>
      </w:r>
      <w:r w:rsidRPr="00F1682E">
        <w:rPr>
          <w:i/>
        </w:rPr>
        <w:lastRenderedPageBreak/>
        <w:t xml:space="preserve">association </w:t>
      </w:r>
      <w:r w:rsidRPr="008F52E1">
        <w:t>47(2), 117-121</w:t>
      </w:r>
    </w:p>
    <w:p w14:paraId="7FF37E66" w14:textId="77777777" w:rsidR="0086696B" w:rsidRPr="008F52E1" w:rsidRDefault="0086696B" w:rsidP="00B3685B">
      <w:pPr>
        <w:pStyle w:val="Normal1"/>
        <w:spacing w:line="480" w:lineRule="auto"/>
        <w:jc w:val="both"/>
        <w:rPr>
          <w:rFonts w:ascii="Times New Roman" w:hAnsi="Times New Roman" w:cs="Times New Roman"/>
          <w:color w:val="auto"/>
          <w:sz w:val="24"/>
          <w:szCs w:val="24"/>
        </w:rPr>
      </w:pPr>
      <w:r w:rsidRPr="008F52E1">
        <w:rPr>
          <w:rFonts w:ascii="Times New Roman" w:hAnsi="Times New Roman" w:cs="Times New Roman"/>
          <w:sz w:val="24"/>
          <w:szCs w:val="24"/>
        </w:rPr>
        <w:t xml:space="preserve">Day, M.J. (1996) Expression of Interleukin-1β, Interleukin-6 and Tumour Necrosis Factor α by Macrophages in canine lymph nodes with mineral-associated lymphadenopathy, granulomatous lymphadenitis or reactive hyperplasia. </w:t>
      </w:r>
      <w:r w:rsidRPr="008F52E1">
        <w:rPr>
          <w:rFonts w:ascii="Times New Roman" w:hAnsi="Times New Roman" w:cs="Times New Roman"/>
          <w:i/>
          <w:sz w:val="24"/>
          <w:szCs w:val="24"/>
        </w:rPr>
        <w:t>Journal of comparative pathology</w:t>
      </w:r>
      <w:r w:rsidRPr="008F52E1">
        <w:rPr>
          <w:rFonts w:ascii="Times New Roman" w:hAnsi="Times New Roman" w:cs="Times New Roman"/>
          <w:sz w:val="24"/>
          <w:szCs w:val="24"/>
        </w:rPr>
        <w:t xml:space="preserve"> 114, 31-42</w:t>
      </w:r>
    </w:p>
    <w:p w14:paraId="3B451361" w14:textId="77777777" w:rsidR="0086696B" w:rsidRPr="008F52E1" w:rsidRDefault="0086696B" w:rsidP="00B3685B">
      <w:pPr>
        <w:pStyle w:val="Normal1"/>
        <w:spacing w:line="480" w:lineRule="auto"/>
        <w:jc w:val="both"/>
        <w:rPr>
          <w:rFonts w:ascii="Times New Roman" w:hAnsi="Times New Roman" w:cs="Times New Roman"/>
          <w:color w:val="auto"/>
          <w:sz w:val="24"/>
          <w:szCs w:val="24"/>
        </w:rPr>
      </w:pPr>
      <w:r w:rsidRPr="008F52E1">
        <w:rPr>
          <w:rFonts w:ascii="Times New Roman" w:hAnsi="Times New Roman" w:cs="Times New Roman"/>
          <w:color w:val="auto"/>
          <w:sz w:val="24"/>
          <w:szCs w:val="24"/>
        </w:rPr>
        <w:t xml:space="preserve">Dunn, K. J., Dunn, J. K. (1998) </w:t>
      </w:r>
      <w:hyperlink r:id="rId9" w:history="1">
        <w:r w:rsidRPr="008F52E1">
          <w:rPr>
            <w:rFonts w:ascii="Times New Roman" w:hAnsi="Times New Roman" w:cs="Times New Roman"/>
            <w:color w:val="auto"/>
            <w:sz w:val="24"/>
            <w:szCs w:val="24"/>
          </w:rPr>
          <w:t xml:space="preserve">Diagnostic investigations in 101 </w:t>
        </w:r>
        <w:r w:rsidRPr="008F52E1">
          <w:rPr>
            <w:rFonts w:ascii="Times New Roman" w:hAnsi="Times New Roman" w:cs="Times New Roman"/>
            <w:bCs/>
            <w:color w:val="auto"/>
            <w:sz w:val="24"/>
            <w:szCs w:val="24"/>
          </w:rPr>
          <w:t>dogs</w:t>
        </w:r>
        <w:r w:rsidRPr="008F52E1">
          <w:rPr>
            <w:rFonts w:ascii="Times New Roman" w:hAnsi="Times New Roman" w:cs="Times New Roman"/>
            <w:color w:val="auto"/>
            <w:sz w:val="24"/>
            <w:szCs w:val="24"/>
          </w:rPr>
          <w:t xml:space="preserve"> with pyrexia of </w:t>
        </w:r>
        <w:r w:rsidRPr="008F52E1">
          <w:rPr>
            <w:rFonts w:ascii="Times New Roman" w:hAnsi="Times New Roman" w:cs="Times New Roman"/>
            <w:bCs/>
            <w:color w:val="auto"/>
            <w:sz w:val="24"/>
            <w:szCs w:val="24"/>
          </w:rPr>
          <w:t>unknown</w:t>
        </w:r>
        <w:r w:rsidRPr="008F52E1">
          <w:rPr>
            <w:rFonts w:ascii="Times New Roman" w:hAnsi="Times New Roman" w:cs="Times New Roman"/>
            <w:color w:val="auto"/>
            <w:sz w:val="24"/>
            <w:szCs w:val="24"/>
          </w:rPr>
          <w:t xml:space="preserve"> </w:t>
        </w:r>
        <w:r w:rsidRPr="008F52E1">
          <w:rPr>
            <w:rFonts w:ascii="Times New Roman" w:hAnsi="Times New Roman" w:cs="Times New Roman"/>
            <w:bCs/>
            <w:color w:val="auto"/>
            <w:sz w:val="24"/>
            <w:szCs w:val="24"/>
          </w:rPr>
          <w:t>origin</w:t>
        </w:r>
        <w:r w:rsidRPr="008F52E1">
          <w:rPr>
            <w:rFonts w:ascii="Times New Roman" w:hAnsi="Times New Roman" w:cs="Times New Roman"/>
            <w:color w:val="auto"/>
            <w:sz w:val="24"/>
            <w:szCs w:val="24"/>
          </w:rPr>
          <w:t>.</w:t>
        </w:r>
      </w:hyperlink>
      <w:r w:rsidRPr="008F52E1">
        <w:rPr>
          <w:rFonts w:ascii="Times New Roman" w:hAnsi="Times New Roman" w:cs="Times New Roman"/>
          <w:color w:val="auto"/>
          <w:sz w:val="24"/>
          <w:szCs w:val="24"/>
        </w:rPr>
        <w:t xml:space="preserve"> </w:t>
      </w:r>
      <w:r w:rsidRPr="008F52E1">
        <w:rPr>
          <w:rFonts w:ascii="Times New Roman" w:hAnsi="Times New Roman" w:cs="Times New Roman"/>
          <w:i/>
          <w:color w:val="auto"/>
          <w:sz w:val="24"/>
          <w:szCs w:val="24"/>
        </w:rPr>
        <w:t xml:space="preserve">Journal of Small Animal Practice </w:t>
      </w:r>
      <w:r w:rsidRPr="008F52E1">
        <w:rPr>
          <w:rFonts w:ascii="Times New Roman" w:hAnsi="Times New Roman" w:cs="Times New Roman"/>
          <w:color w:val="auto"/>
          <w:sz w:val="24"/>
          <w:szCs w:val="24"/>
        </w:rPr>
        <w:t xml:space="preserve">39(12), 574-580 </w:t>
      </w:r>
    </w:p>
    <w:p w14:paraId="3E29AEEA" w14:textId="77777777" w:rsidR="00F1682E" w:rsidRDefault="00F1682E" w:rsidP="00B3685B">
      <w:pPr>
        <w:pStyle w:val="Normal1"/>
        <w:spacing w:line="480" w:lineRule="auto"/>
        <w:jc w:val="both"/>
        <w:rPr>
          <w:rFonts w:ascii="Times New Roman" w:hAnsi="Times New Roman" w:cs="Times New Roman"/>
          <w:color w:val="auto"/>
          <w:sz w:val="24"/>
          <w:szCs w:val="24"/>
        </w:rPr>
      </w:pPr>
    </w:p>
    <w:p w14:paraId="640541AF" w14:textId="77777777" w:rsidR="0086696B" w:rsidRPr="008F52E1" w:rsidRDefault="0086696B" w:rsidP="00B3685B">
      <w:pPr>
        <w:pStyle w:val="Normal1"/>
        <w:spacing w:line="480" w:lineRule="auto"/>
        <w:jc w:val="both"/>
        <w:rPr>
          <w:rFonts w:ascii="Times New Roman" w:hAnsi="Times New Roman" w:cs="Times New Roman"/>
          <w:color w:val="auto"/>
          <w:sz w:val="24"/>
          <w:szCs w:val="24"/>
        </w:rPr>
      </w:pPr>
      <w:r w:rsidRPr="008F52E1">
        <w:rPr>
          <w:rFonts w:ascii="Times New Roman" w:hAnsi="Times New Roman" w:cs="Times New Roman"/>
          <w:color w:val="auto"/>
          <w:sz w:val="24"/>
          <w:szCs w:val="24"/>
        </w:rPr>
        <w:t xml:space="preserve">Flood, J. (2009) </w:t>
      </w:r>
      <w:proofErr w:type="gramStart"/>
      <w:r w:rsidRPr="008F52E1">
        <w:rPr>
          <w:rFonts w:ascii="Times New Roman" w:hAnsi="Times New Roman" w:cs="Times New Roman"/>
          <w:color w:val="auto"/>
          <w:sz w:val="24"/>
          <w:szCs w:val="24"/>
        </w:rPr>
        <w:t>The</w:t>
      </w:r>
      <w:proofErr w:type="gramEnd"/>
      <w:r w:rsidRPr="008F52E1">
        <w:rPr>
          <w:rFonts w:ascii="Times New Roman" w:hAnsi="Times New Roman" w:cs="Times New Roman"/>
          <w:color w:val="auto"/>
          <w:sz w:val="24"/>
          <w:szCs w:val="24"/>
        </w:rPr>
        <w:t xml:space="preserve"> diagnostic approach to fever of unknown origin in dogs. </w:t>
      </w:r>
      <w:r w:rsidRPr="008F52E1">
        <w:rPr>
          <w:rFonts w:ascii="Times New Roman" w:hAnsi="Times New Roman" w:cs="Times New Roman"/>
          <w:i/>
          <w:color w:val="auto"/>
          <w:sz w:val="24"/>
          <w:szCs w:val="24"/>
        </w:rPr>
        <w:t>Compendium on Continuing Education for the practising Veterinarian</w:t>
      </w:r>
      <w:r w:rsidRPr="008F52E1">
        <w:rPr>
          <w:rFonts w:ascii="Times New Roman" w:hAnsi="Times New Roman" w:cs="Times New Roman"/>
          <w:color w:val="auto"/>
          <w:sz w:val="24"/>
          <w:szCs w:val="24"/>
        </w:rPr>
        <w:t xml:space="preserve"> 31(14), 14-21</w:t>
      </w:r>
    </w:p>
    <w:p w14:paraId="19770F77" w14:textId="77777777" w:rsidR="00F1682E" w:rsidRDefault="00F1682E" w:rsidP="00B3685B">
      <w:pPr>
        <w:widowControl w:val="0"/>
        <w:autoSpaceDE w:val="0"/>
        <w:autoSpaceDN w:val="0"/>
        <w:adjustRightInd w:val="0"/>
        <w:spacing w:after="240" w:line="480" w:lineRule="auto"/>
      </w:pPr>
    </w:p>
    <w:p w14:paraId="38B5C16C" w14:textId="77777777" w:rsidR="0086696B" w:rsidRDefault="0086696B" w:rsidP="00B3685B">
      <w:pPr>
        <w:widowControl w:val="0"/>
        <w:autoSpaceDE w:val="0"/>
        <w:autoSpaceDN w:val="0"/>
        <w:adjustRightInd w:val="0"/>
        <w:spacing w:after="240" w:line="480" w:lineRule="auto"/>
      </w:pPr>
      <w:r w:rsidRPr="008F52E1">
        <w:t xml:space="preserve">Hoffmann, I. Genovese, L. Whitbread, T. J. (2002) Granulomatous necrotising lymphadenitis in springer spaniels. </w:t>
      </w:r>
      <w:r w:rsidRPr="00F1682E">
        <w:rPr>
          <w:i/>
        </w:rPr>
        <w:t>Veterinary Record</w:t>
      </w:r>
      <w:r w:rsidRPr="008F52E1">
        <w:t xml:space="preserve"> 151(10)</w:t>
      </w:r>
      <w:proofErr w:type="gramStart"/>
      <w:r w:rsidRPr="008F52E1">
        <w:t>,308</w:t>
      </w:r>
      <w:proofErr w:type="gramEnd"/>
    </w:p>
    <w:p w14:paraId="075C3CFC" w14:textId="77777777" w:rsidR="00E23F8F" w:rsidRDefault="00E23F8F" w:rsidP="00387E79">
      <w:pPr>
        <w:pStyle w:val="ListParagraph"/>
        <w:widowControl w:val="0"/>
        <w:autoSpaceDE w:val="0"/>
        <w:autoSpaceDN w:val="0"/>
        <w:adjustRightInd w:val="0"/>
        <w:spacing w:after="240" w:line="480" w:lineRule="auto"/>
      </w:pPr>
    </w:p>
    <w:p w14:paraId="5F4F4395" w14:textId="40F5A451" w:rsidR="00EC4561" w:rsidRDefault="00EC4561" w:rsidP="00B3685B">
      <w:pPr>
        <w:widowControl w:val="0"/>
        <w:autoSpaceDE w:val="0"/>
        <w:autoSpaceDN w:val="0"/>
        <w:adjustRightInd w:val="0"/>
        <w:spacing w:after="240" w:line="480" w:lineRule="auto"/>
      </w:pPr>
      <w:r>
        <w:t xml:space="preserve">Ishida, T. (2017) Lymph node aspiration and biopsy. </w:t>
      </w:r>
      <w:r w:rsidRPr="008F52E1">
        <w:t xml:space="preserve">In: </w:t>
      </w:r>
      <w:r w:rsidRPr="00F1682E">
        <w:rPr>
          <w:iCs/>
        </w:rPr>
        <w:t xml:space="preserve">Textbook of Veterinary Internal Medicine. </w:t>
      </w:r>
      <w:r>
        <w:t xml:space="preserve"> 8</w:t>
      </w:r>
      <w:r w:rsidRPr="008F52E1">
        <w:t xml:space="preserve">th </w:t>
      </w:r>
      <w:proofErr w:type="spellStart"/>
      <w:r w:rsidRPr="008F52E1">
        <w:t>edn</w:t>
      </w:r>
      <w:proofErr w:type="spellEnd"/>
      <w:r w:rsidRPr="008F52E1">
        <w:t xml:space="preserve">. </w:t>
      </w:r>
      <w:proofErr w:type="spellStart"/>
      <w:r w:rsidRPr="008F52E1">
        <w:t>Eds</w:t>
      </w:r>
      <w:proofErr w:type="spellEnd"/>
      <w:r w:rsidRPr="008F52E1">
        <w:t xml:space="preserve"> S. J. </w:t>
      </w:r>
      <w:proofErr w:type="spellStart"/>
      <w:r w:rsidRPr="008F52E1">
        <w:t>Ettinger</w:t>
      </w:r>
      <w:proofErr w:type="spellEnd"/>
      <w:r>
        <w:t>,</w:t>
      </w:r>
      <w:r w:rsidRPr="008F52E1">
        <w:t xml:space="preserve"> E. C. Feldman</w:t>
      </w:r>
      <w:r>
        <w:t xml:space="preserve"> and </w:t>
      </w:r>
      <w:proofErr w:type="spellStart"/>
      <w:r>
        <w:t>Coté</w:t>
      </w:r>
      <w:proofErr w:type="spellEnd"/>
      <w:r>
        <w:t>, E</w:t>
      </w:r>
      <w:r w:rsidRPr="008F52E1">
        <w:t>. Elsevie</w:t>
      </w:r>
      <w:r>
        <w:t>r, Missouri, USA. pp 195-202</w:t>
      </w:r>
    </w:p>
    <w:p w14:paraId="2F3542C6" w14:textId="77777777" w:rsidR="00903D0F" w:rsidRDefault="00903D0F" w:rsidP="00387E79">
      <w:pPr>
        <w:widowControl w:val="0"/>
        <w:autoSpaceDE w:val="0"/>
        <w:autoSpaceDN w:val="0"/>
        <w:adjustRightInd w:val="0"/>
        <w:spacing w:after="240" w:line="480" w:lineRule="auto"/>
      </w:pPr>
    </w:p>
    <w:p w14:paraId="6707BEF2" w14:textId="7BC4488D" w:rsidR="00903D0F" w:rsidRPr="008F52E1" w:rsidRDefault="00903D0F" w:rsidP="00B3685B">
      <w:pPr>
        <w:widowControl w:val="0"/>
        <w:autoSpaceDE w:val="0"/>
        <w:autoSpaceDN w:val="0"/>
        <w:adjustRightInd w:val="0"/>
        <w:spacing w:after="240" w:line="480" w:lineRule="auto"/>
      </w:pPr>
      <w:r>
        <w:t xml:space="preserve">Johnson, K.C. &amp; </w:t>
      </w:r>
      <w:proofErr w:type="spellStart"/>
      <w:r>
        <w:t>Mackin</w:t>
      </w:r>
      <w:proofErr w:type="spellEnd"/>
      <w:r>
        <w:t xml:space="preserve">, A. (2012) Canine immune-mediated polyarthritis – part 1: pathophysiology. </w:t>
      </w:r>
      <w:r w:rsidRPr="00F1682E">
        <w:rPr>
          <w:i/>
        </w:rPr>
        <w:t>Journal of the American Animal Hospital Association</w:t>
      </w:r>
      <w:r>
        <w:t xml:space="preserve"> 48, 12-17</w:t>
      </w:r>
    </w:p>
    <w:p w14:paraId="2FCA26D3" w14:textId="77777777" w:rsidR="0086696B" w:rsidRPr="008F52E1" w:rsidRDefault="0086696B" w:rsidP="00B22A77">
      <w:pPr>
        <w:pStyle w:val="ListParagraph"/>
        <w:widowControl w:val="0"/>
        <w:autoSpaceDE w:val="0"/>
        <w:autoSpaceDN w:val="0"/>
        <w:adjustRightInd w:val="0"/>
        <w:spacing w:after="240" w:line="480" w:lineRule="auto"/>
      </w:pPr>
    </w:p>
    <w:p w14:paraId="79403747" w14:textId="77777777" w:rsidR="0086696B" w:rsidRPr="008F52E1" w:rsidRDefault="0086696B" w:rsidP="00B3685B">
      <w:pPr>
        <w:widowControl w:val="0"/>
        <w:autoSpaceDE w:val="0"/>
        <w:autoSpaceDN w:val="0"/>
        <w:adjustRightInd w:val="0"/>
        <w:spacing w:after="240" w:line="480" w:lineRule="auto"/>
      </w:pPr>
      <w:proofErr w:type="spellStart"/>
      <w:r w:rsidRPr="008F52E1">
        <w:lastRenderedPageBreak/>
        <w:t>Langenbach</w:t>
      </w:r>
      <w:proofErr w:type="spellEnd"/>
      <w:r w:rsidRPr="008F52E1">
        <w:t xml:space="preserve">, A., McManus, P. M., </w:t>
      </w:r>
      <w:proofErr w:type="spellStart"/>
      <w:r w:rsidRPr="008F52E1">
        <w:t>Hendrick</w:t>
      </w:r>
      <w:proofErr w:type="spellEnd"/>
      <w:r w:rsidRPr="008F52E1">
        <w:t xml:space="preserve">, M. J. (2001) Sensitivity and specificity of methods of assessing the regional lymph nodes for evidence of metastasis in dogs and cats with solid </w:t>
      </w:r>
      <w:proofErr w:type="spellStart"/>
      <w:r w:rsidRPr="008F52E1">
        <w:t>tumors</w:t>
      </w:r>
      <w:proofErr w:type="spellEnd"/>
      <w:r w:rsidRPr="008F52E1">
        <w:t xml:space="preserve">. </w:t>
      </w:r>
      <w:r w:rsidRPr="00F1682E">
        <w:rPr>
          <w:i/>
          <w:iCs/>
        </w:rPr>
        <w:t xml:space="preserve">Journal of the American Veterinary Medical Association </w:t>
      </w:r>
      <w:r w:rsidRPr="008F52E1">
        <w:t xml:space="preserve">218, 1424–1428 </w:t>
      </w:r>
    </w:p>
    <w:p w14:paraId="0852FBD9" w14:textId="77777777" w:rsidR="00F1682E" w:rsidRDefault="00F1682E" w:rsidP="00B3685B">
      <w:pPr>
        <w:pStyle w:val="Normal1"/>
        <w:spacing w:line="480" w:lineRule="auto"/>
        <w:jc w:val="both"/>
        <w:rPr>
          <w:rFonts w:ascii="Times New Roman" w:hAnsi="Times New Roman" w:cs="Times New Roman"/>
          <w:bCs/>
          <w:color w:val="auto"/>
          <w:sz w:val="24"/>
          <w:szCs w:val="24"/>
        </w:rPr>
      </w:pPr>
    </w:p>
    <w:p w14:paraId="2F959BB3" w14:textId="77777777" w:rsidR="0086696B" w:rsidRPr="008F52E1" w:rsidRDefault="0086696B" w:rsidP="00B3685B">
      <w:pPr>
        <w:pStyle w:val="Normal1"/>
        <w:spacing w:line="480" w:lineRule="auto"/>
        <w:jc w:val="both"/>
        <w:rPr>
          <w:rFonts w:ascii="Times New Roman" w:hAnsi="Times New Roman" w:cs="Times New Roman"/>
          <w:color w:val="auto"/>
          <w:sz w:val="24"/>
          <w:szCs w:val="24"/>
        </w:rPr>
      </w:pPr>
      <w:proofErr w:type="spellStart"/>
      <w:r w:rsidRPr="008F52E1">
        <w:rPr>
          <w:rFonts w:ascii="Times New Roman" w:hAnsi="Times New Roman" w:cs="Times New Roman"/>
          <w:bCs/>
          <w:color w:val="auto"/>
          <w:sz w:val="24"/>
          <w:szCs w:val="24"/>
        </w:rPr>
        <w:t>MacNeill</w:t>
      </w:r>
      <w:proofErr w:type="spellEnd"/>
      <w:r w:rsidRPr="008F52E1">
        <w:rPr>
          <w:rFonts w:ascii="Times New Roman" w:hAnsi="Times New Roman" w:cs="Times New Roman"/>
          <w:bCs/>
          <w:color w:val="auto"/>
          <w:sz w:val="24"/>
          <w:szCs w:val="24"/>
        </w:rPr>
        <w:t>, A. (2011) Cytology of canine and feline cutaneous and subcutaneous lesions and lymph nodes</w:t>
      </w:r>
      <w:r w:rsidRPr="007831B6">
        <w:rPr>
          <w:rFonts w:ascii="Times New Roman" w:hAnsi="Times New Roman" w:cs="Times New Roman"/>
          <w:bCs/>
          <w:color w:val="auto"/>
          <w:sz w:val="24"/>
          <w:szCs w:val="24"/>
        </w:rPr>
        <w:t xml:space="preserve">. </w:t>
      </w:r>
      <w:hyperlink r:id="rId10" w:tooltip="Topics in companion animal medicine." w:history="1">
        <w:r w:rsidRPr="007831B6">
          <w:rPr>
            <w:rStyle w:val="Hyperlink"/>
            <w:rFonts w:ascii="Times New Roman" w:hAnsi="Times New Roman" w:cs="Times New Roman"/>
            <w:i/>
            <w:color w:val="auto"/>
            <w:sz w:val="24"/>
            <w:szCs w:val="24"/>
            <w:u w:val="none"/>
          </w:rPr>
          <w:t>Topics in Companion Animal Medicine</w:t>
        </w:r>
      </w:hyperlink>
      <w:r w:rsidRPr="008F52E1">
        <w:rPr>
          <w:rFonts w:ascii="Times New Roman" w:hAnsi="Times New Roman" w:cs="Times New Roman"/>
          <w:color w:val="auto"/>
          <w:sz w:val="24"/>
          <w:szCs w:val="24"/>
        </w:rPr>
        <w:t xml:space="preserve"> 26(2), 62-76</w:t>
      </w:r>
    </w:p>
    <w:p w14:paraId="0B706C2D" w14:textId="77777777" w:rsidR="00F1682E" w:rsidRDefault="00F1682E" w:rsidP="00B3685B">
      <w:pPr>
        <w:widowControl w:val="0"/>
        <w:autoSpaceDE w:val="0"/>
        <w:autoSpaceDN w:val="0"/>
        <w:adjustRightInd w:val="0"/>
        <w:spacing w:after="240" w:line="480" w:lineRule="auto"/>
      </w:pPr>
    </w:p>
    <w:p w14:paraId="05A62F8E" w14:textId="77777777" w:rsidR="0086696B" w:rsidRDefault="0086696B" w:rsidP="00B3685B">
      <w:pPr>
        <w:widowControl w:val="0"/>
        <w:autoSpaceDE w:val="0"/>
        <w:autoSpaceDN w:val="0"/>
        <w:adjustRightInd w:val="0"/>
        <w:spacing w:after="240" w:line="480" w:lineRule="auto"/>
      </w:pPr>
      <w:r w:rsidRPr="008F52E1">
        <w:t xml:space="preserve">Miller, J. B. (2010) Hyperthermia and fever of unknown origin. In: </w:t>
      </w:r>
      <w:r w:rsidRPr="00F1682E">
        <w:rPr>
          <w:iCs/>
        </w:rPr>
        <w:t xml:space="preserve">Textbook of Veterinary Internal Medicine. </w:t>
      </w:r>
      <w:r w:rsidRPr="008F52E1">
        <w:t xml:space="preserve"> 7th </w:t>
      </w:r>
      <w:proofErr w:type="spellStart"/>
      <w:r w:rsidRPr="008F52E1">
        <w:t>edn</w:t>
      </w:r>
      <w:proofErr w:type="spellEnd"/>
      <w:r w:rsidRPr="008F52E1">
        <w:t xml:space="preserve">. </w:t>
      </w:r>
      <w:proofErr w:type="spellStart"/>
      <w:r w:rsidRPr="008F52E1">
        <w:t>Eds</w:t>
      </w:r>
      <w:proofErr w:type="spellEnd"/>
      <w:r w:rsidRPr="008F52E1">
        <w:t xml:space="preserve"> S. J. </w:t>
      </w:r>
      <w:proofErr w:type="spellStart"/>
      <w:r w:rsidRPr="008F52E1">
        <w:t>Ettinger</w:t>
      </w:r>
      <w:proofErr w:type="spellEnd"/>
      <w:r w:rsidRPr="008F52E1">
        <w:t xml:space="preserve"> and E. C. Feldman. Elsevier and Saunders, MO, USA. pp 41-45</w:t>
      </w:r>
    </w:p>
    <w:p w14:paraId="1EEDFABC" w14:textId="77777777" w:rsidR="00F1682E" w:rsidRDefault="00F1682E" w:rsidP="00B3685B">
      <w:pPr>
        <w:widowControl w:val="0"/>
        <w:autoSpaceDE w:val="0"/>
        <w:autoSpaceDN w:val="0"/>
        <w:adjustRightInd w:val="0"/>
        <w:spacing w:after="240" w:line="480" w:lineRule="auto"/>
      </w:pPr>
    </w:p>
    <w:p w14:paraId="7D4D272D" w14:textId="0C774F3E" w:rsidR="00E339CF" w:rsidRPr="008F52E1" w:rsidRDefault="00E339CF" w:rsidP="00B3685B">
      <w:pPr>
        <w:widowControl w:val="0"/>
        <w:autoSpaceDE w:val="0"/>
        <w:autoSpaceDN w:val="0"/>
        <w:adjustRightInd w:val="0"/>
        <w:spacing w:after="240" w:line="480" w:lineRule="auto"/>
      </w:pPr>
      <w:r>
        <w:t>Monti, P. &amp; Cian, F. (2016) Diagnostic cytology. In: BSAVA Manual of Canine and Feline clinical pathology. 3</w:t>
      </w:r>
      <w:r w:rsidRPr="00F1682E">
        <w:rPr>
          <w:vertAlign w:val="superscript"/>
        </w:rPr>
        <w:t>rd</w:t>
      </w:r>
      <w:r>
        <w:t xml:space="preserve"> </w:t>
      </w:r>
      <w:proofErr w:type="spellStart"/>
      <w:r>
        <w:t>edn</w:t>
      </w:r>
      <w:proofErr w:type="spellEnd"/>
      <w:r>
        <w:t xml:space="preserve">. </w:t>
      </w:r>
      <w:proofErr w:type="spellStart"/>
      <w:r>
        <w:t>Eds</w:t>
      </w:r>
      <w:proofErr w:type="spellEnd"/>
      <w:r>
        <w:t xml:space="preserve"> E. Villiers and J. </w:t>
      </w:r>
      <w:proofErr w:type="spellStart"/>
      <w:r>
        <w:t>Ristic</w:t>
      </w:r>
      <w:proofErr w:type="spellEnd"/>
      <w:r w:rsidR="009A5DA1">
        <w:t>. BSAVA, Aberystwyth, UK. Pp 398-434</w:t>
      </w:r>
    </w:p>
    <w:p w14:paraId="5B4AD81A" w14:textId="77777777" w:rsidR="00F1682E" w:rsidRDefault="00F1682E" w:rsidP="00B3685B">
      <w:pPr>
        <w:pStyle w:val="Normal1"/>
        <w:spacing w:line="480" w:lineRule="auto"/>
        <w:jc w:val="both"/>
        <w:rPr>
          <w:rFonts w:ascii="Times New Roman" w:hAnsi="Times New Roman" w:cs="Times New Roman"/>
          <w:color w:val="auto"/>
          <w:sz w:val="24"/>
          <w:szCs w:val="24"/>
        </w:rPr>
      </w:pPr>
    </w:p>
    <w:p w14:paraId="537B01D9" w14:textId="4E7E9A0A" w:rsidR="0086696B" w:rsidRDefault="0086696B" w:rsidP="00B3685B">
      <w:pPr>
        <w:pStyle w:val="Normal1"/>
        <w:spacing w:line="480" w:lineRule="auto"/>
        <w:jc w:val="both"/>
        <w:rPr>
          <w:rFonts w:ascii="Times New Roman" w:hAnsi="Times New Roman" w:cs="Times New Roman"/>
          <w:color w:val="auto"/>
          <w:sz w:val="24"/>
          <w:szCs w:val="24"/>
        </w:rPr>
      </w:pPr>
      <w:r w:rsidRPr="008F52E1">
        <w:rPr>
          <w:rFonts w:ascii="Times New Roman" w:hAnsi="Times New Roman" w:cs="Times New Roman"/>
          <w:color w:val="auto"/>
          <w:sz w:val="24"/>
          <w:szCs w:val="24"/>
        </w:rPr>
        <w:t>Mulders-</w:t>
      </w:r>
      <w:proofErr w:type="spellStart"/>
      <w:r w:rsidRPr="008F52E1">
        <w:rPr>
          <w:rFonts w:ascii="Times New Roman" w:hAnsi="Times New Roman" w:cs="Times New Roman"/>
          <w:color w:val="auto"/>
          <w:sz w:val="24"/>
          <w:szCs w:val="24"/>
        </w:rPr>
        <w:t>Manders</w:t>
      </w:r>
      <w:proofErr w:type="spellEnd"/>
      <w:r w:rsidRPr="008F52E1">
        <w:rPr>
          <w:rFonts w:ascii="Times New Roman" w:hAnsi="Times New Roman" w:cs="Times New Roman"/>
          <w:color w:val="auto"/>
          <w:sz w:val="24"/>
          <w:szCs w:val="24"/>
        </w:rPr>
        <w:t xml:space="preserve">, C., Simon, A. &amp; </w:t>
      </w:r>
      <w:proofErr w:type="spellStart"/>
      <w:r w:rsidRPr="008F52E1">
        <w:rPr>
          <w:rFonts w:ascii="Times New Roman" w:hAnsi="Times New Roman" w:cs="Times New Roman"/>
          <w:color w:val="auto"/>
          <w:sz w:val="24"/>
          <w:szCs w:val="24"/>
        </w:rPr>
        <w:t>Bleeker</w:t>
      </w:r>
      <w:proofErr w:type="spellEnd"/>
      <w:r w:rsidRPr="008F52E1">
        <w:rPr>
          <w:rFonts w:ascii="Times New Roman" w:hAnsi="Times New Roman" w:cs="Times New Roman"/>
          <w:color w:val="auto"/>
          <w:sz w:val="24"/>
          <w:szCs w:val="24"/>
        </w:rPr>
        <w:t>-Rovers, C</w:t>
      </w:r>
      <w:r w:rsidR="00467499">
        <w:rPr>
          <w:rFonts w:ascii="Times New Roman" w:hAnsi="Times New Roman" w:cs="Times New Roman"/>
          <w:color w:val="auto"/>
          <w:sz w:val="24"/>
          <w:szCs w:val="24"/>
        </w:rPr>
        <w:t>.</w:t>
      </w:r>
      <w:r w:rsidRPr="008F52E1">
        <w:rPr>
          <w:rFonts w:ascii="Times New Roman" w:hAnsi="Times New Roman" w:cs="Times New Roman"/>
          <w:color w:val="auto"/>
          <w:sz w:val="24"/>
          <w:szCs w:val="24"/>
        </w:rPr>
        <w:t xml:space="preserve"> (2015) Fever of unknown origin. </w:t>
      </w:r>
      <w:r w:rsidRPr="008F52E1">
        <w:rPr>
          <w:rFonts w:ascii="Times New Roman" w:hAnsi="Times New Roman" w:cs="Times New Roman"/>
          <w:i/>
          <w:color w:val="auto"/>
          <w:sz w:val="24"/>
          <w:szCs w:val="24"/>
        </w:rPr>
        <w:t>Clinical medicine</w:t>
      </w:r>
      <w:r w:rsidRPr="008F52E1">
        <w:rPr>
          <w:rFonts w:ascii="Times New Roman" w:hAnsi="Times New Roman" w:cs="Times New Roman"/>
          <w:color w:val="auto"/>
          <w:sz w:val="24"/>
          <w:szCs w:val="24"/>
        </w:rPr>
        <w:t xml:space="preserve"> 15(3), 280-284</w:t>
      </w:r>
    </w:p>
    <w:p w14:paraId="12756884" w14:textId="77777777" w:rsidR="00F1682E" w:rsidRDefault="00F1682E" w:rsidP="00B3685B">
      <w:pPr>
        <w:pStyle w:val="Normal1"/>
        <w:spacing w:line="480" w:lineRule="auto"/>
        <w:jc w:val="both"/>
        <w:rPr>
          <w:rFonts w:ascii="Times New Roman" w:hAnsi="Times New Roman" w:cs="Times New Roman"/>
          <w:color w:val="auto"/>
          <w:sz w:val="24"/>
          <w:szCs w:val="24"/>
        </w:rPr>
      </w:pPr>
    </w:p>
    <w:p w14:paraId="7DA9675B" w14:textId="31681D3B" w:rsidR="00467499" w:rsidRDefault="00467499" w:rsidP="00B3685B">
      <w:pPr>
        <w:pStyle w:val="Normal1"/>
        <w:spacing w:line="480" w:lineRule="auto"/>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O’Marra</w:t>
      </w:r>
      <w:proofErr w:type="spellEnd"/>
      <w:r>
        <w:rPr>
          <w:rFonts w:ascii="Times New Roman" w:hAnsi="Times New Roman" w:cs="Times New Roman"/>
          <w:color w:val="auto"/>
          <w:sz w:val="24"/>
          <w:szCs w:val="24"/>
        </w:rPr>
        <w:t xml:space="preserve">, S.K., </w:t>
      </w:r>
      <w:proofErr w:type="spellStart"/>
      <w:r>
        <w:rPr>
          <w:rFonts w:ascii="Times New Roman" w:hAnsi="Times New Roman" w:cs="Times New Roman"/>
          <w:color w:val="auto"/>
          <w:sz w:val="24"/>
          <w:szCs w:val="24"/>
        </w:rPr>
        <w:t>Delaforcade</w:t>
      </w:r>
      <w:proofErr w:type="spellEnd"/>
      <w:r>
        <w:rPr>
          <w:rFonts w:ascii="Times New Roman" w:hAnsi="Times New Roman" w:cs="Times New Roman"/>
          <w:color w:val="auto"/>
          <w:sz w:val="24"/>
          <w:szCs w:val="24"/>
        </w:rPr>
        <w:t xml:space="preserve">, A.M. &amp; Shaw, S.P. (2011) Treatment and predictors of outcome in dogs with immune-mediated thrombocytopenia. </w:t>
      </w:r>
      <w:r>
        <w:rPr>
          <w:rFonts w:ascii="Times New Roman" w:hAnsi="Times New Roman" w:cs="Times New Roman"/>
          <w:i/>
          <w:color w:val="auto"/>
          <w:sz w:val="24"/>
          <w:szCs w:val="24"/>
        </w:rPr>
        <w:t>Journal of American veterinary medical association</w:t>
      </w:r>
      <w:r>
        <w:rPr>
          <w:rFonts w:ascii="Times New Roman" w:hAnsi="Times New Roman" w:cs="Times New Roman"/>
          <w:color w:val="auto"/>
          <w:sz w:val="24"/>
          <w:szCs w:val="24"/>
        </w:rPr>
        <w:t xml:space="preserve"> 238 (3), 346-352</w:t>
      </w:r>
    </w:p>
    <w:p w14:paraId="4A2D8E31" w14:textId="03696A1C" w:rsidR="00431A60" w:rsidRDefault="00431A60" w:rsidP="00B3685B">
      <w:pPr>
        <w:pStyle w:val="Normal1"/>
        <w:spacing w:line="480" w:lineRule="auto"/>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lastRenderedPageBreak/>
        <w:t>Putsche</w:t>
      </w:r>
      <w:proofErr w:type="spellEnd"/>
      <w:r>
        <w:rPr>
          <w:rFonts w:ascii="Times New Roman" w:hAnsi="Times New Roman" w:cs="Times New Roman"/>
          <w:color w:val="auto"/>
          <w:sz w:val="24"/>
          <w:szCs w:val="24"/>
        </w:rPr>
        <w:t xml:space="preserve">, J.C., Kohn, B. (2008) Primary immune-mediated thrombocytopenia in 30 dogs (1997-2003). </w:t>
      </w:r>
      <w:r>
        <w:rPr>
          <w:rFonts w:ascii="Times New Roman" w:hAnsi="Times New Roman" w:cs="Times New Roman"/>
          <w:i/>
          <w:color w:val="auto"/>
          <w:sz w:val="24"/>
          <w:szCs w:val="24"/>
        </w:rPr>
        <w:t xml:space="preserve">Journal of the American </w:t>
      </w:r>
      <w:r w:rsidR="00903D0F">
        <w:rPr>
          <w:rFonts w:ascii="Times New Roman" w:hAnsi="Times New Roman" w:cs="Times New Roman"/>
          <w:i/>
          <w:color w:val="auto"/>
          <w:sz w:val="24"/>
          <w:szCs w:val="24"/>
        </w:rPr>
        <w:t xml:space="preserve">Animal </w:t>
      </w:r>
      <w:r>
        <w:rPr>
          <w:rFonts w:ascii="Times New Roman" w:hAnsi="Times New Roman" w:cs="Times New Roman"/>
          <w:i/>
          <w:color w:val="auto"/>
          <w:sz w:val="24"/>
          <w:szCs w:val="24"/>
        </w:rPr>
        <w:t>Hospital Association</w:t>
      </w:r>
      <w:r>
        <w:rPr>
          <w:rFonts w:ascii="Times New Roman" w:hAnsi="Times New Roman" w:cs="Times New Roman"/>
          <w:color w:val="auto"/>
          <w:sz w:val="24"/>
          <w:szCs w:val="24"/>
        </w:rPr>
        <w:t xml:space="preserve"> 44, 250-257</w:t>
      </w:r>
    </w:p>
    <w:p w14:paraId="740A1471" w14:textId="77777777" w:rsidR="00F1682E" w:rsidRDefault="00F1682E" w:rsidP="00B3685B">
      <w:pPr>
        <w:pStyle w:val="Normal1"/>
        <w:spacing w:line="480" w:lineRule="auto"/>
        <w:jc w:val="both"/>
        <w:rPr>
          <w:rFonts w:ascii="Times New Roman" w:hAnsi="Times New Roman" w:cs="Times New Roman"/>
          <w:color w:val="auto"/>
          <w:sz w:val="24"/>
          <w:szCs w:val="24"/>
        </w:rPr>
      </w:pPr>
    </w:p>
    <w:p w14:paraId="5EB407D0" w14:textId="026CD28A" w:rsidR="00431A60" w:rsidRPr="00FE479B" w:rsidRDefault="00CF4854" w:rsidP="00B3685B">
      <w:pPr>
        <w:pStyle w:val="Normal1"/>
        <w:spacing w:line="480" w:lineRule="auto"/>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Raskin</w:t>
      </w:r>
      <w:proofErr w:type="spellEnd"/>
      <w:r>
        <w:rPr>
          <w:rFonts w:ascii="Times New Roman" w:hAnsi="Times New Roman" w:cs="Times New Roman"/>
          <w:color w:val="auto"/>
          <w:sz w:val="24"/>
          <w:szCs w:val="24"/>
        </w:rPr>
        <w:t xml:space="preserve">, R.E. (2016) </w:t>
      </w:r>
      <w:proofErr w:type="spellStart"/>
      <w:r w:rsidR="00CA4712">
        <w:rPr>
          <w:rFonts w:ascii="Times New Roman" w:hAnsi="Times New Roman" w:cs="Times New Roman"/>
          <w:color w:val="auto"/>
          <w:sz w:val="24"/>
          <w:szCs w:val="24"/>
        </w:rPr>
        <w:t>Hemolymphatic</w:t>
      </w:r>
      <w:proofErr w:type="spellEnd"/>
      <w:r w:rsidR="00CA4712">
        <w:rPr>
          <w:rFonts w:ascii="Times New Roman" w:hAnsi="Times New Roman" w:cs="Times New Roman"/>
          <w:color w:val="auto"/>
          <w:sz w:val="24"/>
          <w:szCs w:val="24"/>
        </w:rPr>
        <w:t xml:space="preserve"> system. </w:t>
      </w:r>
      <w:r>
        <w:rPr>
          <w:rFonts w:ascii="Times New Roman" w:hAnsi="Times New Roman" w:cs="Times New Roman"/>
          <w:color w:val="auto"/>
          <w:sz w:val="24"/>
          <w:szCs w:val="24"/>
        </w:rPr>
        <w:t xml:space="preserve">In: Canine and feline cytology – A </w:t>
      </w:r>
      <w:proofErr w:type="spellStart"/>
      <w:r>
        <w:rPr>
          <w:rFonts w:ascii="Times New Roman" w:hAnsi="Times New Roman" w:cs="Times New Roman"/>
          <w:color w:val="auto"/>
          <w:sz w:val="24"/>
          <w:szCs w:val="24"/>
        </w:rPr>
        <w:t>color</w:t>
      </w:r>
      <w:proofErr w:type="spellEnd"/>
      <w:r>
        <w:rPr>
          <w:rFonts w:ascii="Times New Roman" w:hAnsi="Times New Roman" w:cs="Times New Roman"/>
          <w:color w:val="auto"/>
          <w:sz w:val="24"/>
          <w:szCs w:val="24"/>
        </w:rPr>
        <w:t xml:space="preserve"> atlas</w:t>
      </w:r>
      <w:r w:rsidR="00CA4712">
        <w:rPr>
          <w:rFonts w:ascii="Times New Roman" w:hAnsi="Times New Roman" w:cs="Times New Roman"/>
          <w:color w:val="auto"/>
          <w:sz w:val="24"/>
          <w:szCs w:val="24"/>
        </w:rPr>
        <w:t xml:space="preserve"> and interpretation guide. 3</w:t>
      </w:r>
      <w:r w:rsidR="00CA4712" w:rsidRPr="00FE479B">
        <w:rPr>
          <w:rFonts w:ascii="Times New Roman" w:hAnsi="Times New Roman" w:cs="Times New Roman"/>
          <w:color w:val="auto"/>
          <w:sz w:val="24"/>
          <w:szCs w:val="24"/>
          <w:vertAlign w:val="superscript"/>
        </w:rPr>
        <w:t>rd</w:t>
      </w:r>
      <w:r w:rsidR="00CA4712">
        <w:rPr>
          <w:rFonts w:ascii="Times New Roman" w:hAnsi="Times New Roman" w:cs="Times New Roman"/>
          <w:color w:val="auto"/>
          <w:sz w:val="24"/>
          <w:szCs w:val="24"/>
        </w:rPr>
        <w:t xml:space="preserve"> </w:t>
      </w:r>
      <w:proofErr w:type="spellStart"/>
      <w:r w:rsidR="00CA4712">
        <w:rPr>
          <w:rFonts w:ascii="Times New Roman" w:hAnsi="Times New Roman" w:cs="Times New Roman"/>
          <w:color w:val="auto"/>
          <w:sz w:val="24"/>
          <w:szCs w:val="24"/>
        </w:rPr>
        <w:t>edn</w:t>
      </w:r>
      <w:proofErr w:type="spellEnd"/>
      <w:r w:rsidR="00CA4712">
        <w:rPr>
          <w:rFonts w:ascii="Times New Roman" w:hAnsi="Times New Roman" w:cs="Times New Roman"/>
          <w:color w:val="auto"/>
          <w:sz w:val="24"/>
          <w:szCs w:val="24"/>
        </w:rPr>
        <w:t xml:space="preserve">. </w:t>
      </w:r>
      <w:proofErr w:type="spellStart"/>
      <w:r w:rsidR="00CA4712">
        <w:rPr>
          <w:rFonts w:ascii="Times New Roman" w:hAnsi="Times New Roman" w:cs="Times New Roman"/>
          <w:color w:val="auto"/>
          <w:sz w:val="24"/>
          <w:szCs w:val="24"/>
        </w:rPr>
        <w:t>Eds</w:t>
      </w:r>
      <w:proofErr w:type="spellEnd"/>
      <w:r w:rsidR="00CA4712">
        <w:rPr>
          <w:rFonts w:ascii="Times New Roman" w:hAnsi="Times New Roman" w:cs="Times New Roman"/>
          <w:color w:val="auto"/>
          <w:sz w:val="24"/>
          <w:szCs w:val="24"/>
        </w:rPr>
        <w:t xml:space="preserve"> R.E. </w:t>
      </w:r>
      <w:proofErr w:type="spellStart"/>
      <w:r w:rsidR="00CA4712">
        <w:rPr>
          <w:rFonts w:ascii="Times New Roman" w:hAnsi="Times New Roman" w:cs="Times New Roman"/>
          <w:color w:val="auto"/>
          <w:sz w:val="24"/>
          <w:szCs w:val="24"/>
        </w:rPr>
        <w:t>Raskin</w:t>
      </w:r>
      <w:proofErr w:type="spellEnd"/>
      <w:r w:rsidR="00CA4712">
        <w:rPr>
          <w:rFonts w:ascii="Times New Roman" w:hAnsi="Times New Roman" w:cs="Times New Roman"/>
          <w:color w:val="auto"/>
          <w:sz w:val="24"/>
          <w:szCs w:val="24"/>
        </w:rPr>
        <w:t>, D.J. Meyer. Elsevier, Missouri, USA. pp 91-137</w:t>
      </w:r>
    </w:p>
    <w:p w14:paraId="5192CE88" w14:textId="77777777" w:rsidR="00F1682E" w:rsidRDefault="00F1682E" w:rsidP="00B3685B">
      <w:pPr>
        <w:pStyle w:val="Normal1"/>
        <w:spacing w:line="480" w:lineRule="auto"/>
        <w:jc w:val="both"/>
        <w:rPr>
          <w:rFonts w:ascii="Times New Roman" w:hAnsi="Times New Roman" w:cs="Times New Roman"/>
          <w:color w:val="auto"/>
          <w:sz w:val="24"/>
          <w:szCs w:val="24"/>
        </w:rPr>
      </w:pPr>
    </w:p>
    <w:p w14:paraId="5A1C855E" w14:textId="5EF03486" w:rsidR="00E00DC5" w:rsidRDefault="00E00DC5" w:rsidP="00B3685B">
      <w:pPr>
        <w:pStyle w:val="Normal1"/>
        <w:spacing w:line="480" w:lineRule="auto"/>
        <w:jc w:val="both"/>
        <w:rPr>
          <w:rFonts w:ascii="Times New Roman" w:hAnsi="Times New Roman" w:cs="Times New Roman"/>
          <w:color w:val="auto"/>
          <w:sz w:val="24"/>
          <w:szCs w:val="24"/>
        </w:rPr>
      </w:pPr>
      <w:r w:rsidRPr="008F52E1">
        <w:rPr>
          <w:rFonts w:ascii="Times New Roman" w:hAnsi="Times New Roman" w:cs="Times New Roman"/>
          <w:color w:val="auto"/>
          <w:sz w:val="24"/>
          <w:szCs w:val="24"/>
        </w:rPr>
        <w:t xml:space="preserve">Reimer, M.E., Troy, G.C., </w:t>
      </w:r>
      <w:proofErr w:type="spellStart"/>
      <w:r w:rsidRPr="008F52E1">
        <w:rPr>
          <w:rFonts w:ascii="Times New Roman" w:hAnsi="Times New Roman" w:cs="Times New Roman"/>
          <w:color w:val="auto"/>
          <w:sz w:val="24"/>
          <w:szCs w:val="24"/>
        </w:rPr>
        <w:t>Warnick</w:t>
      </w:r>
      <w:proofErr w:type="spellEnd"/>
      <w:r w:rsidRPr="008F52E1">
        <w:rPr>
          <w:rFonts w:ascii="Times New Roman" w:hAnsi="Times New Roman" w:cs="Times New Roman"/>
          <w:color w:val="auto"/>
          <w:sz w:val="24"/>
          <w:szCs w:val="24"/>
        </w:rPr>
        <w:t xml:space="preserve">, L.D. (1999) Immune-mediated haemolytic anaemia: 70 cases (1981-1996). </w:t>
      </w:r>
      <w:r w:rsidRPr="008F52E1">
        <w:rPr>
          <w:rFonts w:ascii="Times New Roman" w:hAnsi="Times New Roman" w:cs="Times New Roman"/>
          <w:i/>
          <w:color w:val="auto"/>
          <w:sz w:val="24"/>
          <w:szCs w:val="24"/>
        </w:rPr>
        <w:t>Journal of the American Animal hospital association</w:t>
      </w:r>
      <w:r w:rsidRPr="008F52E1">
        <w:rPr>
          <w:rFonts w:ascii="Times New Roman" w:hAnsi="Times New Roman" w:cs="Times New Roman"/>
          <w:color w:val="auto"/>
          <w:sz w:val="24"/>
          <w:szCs w:val="24"/>
        </w:rPr>
        <w:t xml:space="preserve"> 35, 384-391</w:t>
      </w:r>
    </w:p>
    <w:p w14:paraId="4F3DC801" w14:textId="77777777" w:rsidR="00F1682E" w:rsidRDefault="00F1682E" w:rsidP="00B3685B">
      <w:pPr>
        <w:widowControl w:val="0"/>
        <w:autoSpaceDE w:val="0"/>
        <w:autoSpaceDN w:val="0"/>
        <w:adjustRightInd w:val="0"/>
        <w:spacing w:after="240" w:line="480" w:lineRule="auto"/>
      </w:pPr>
    </w:p>
    <w:p w14:paraId="3BD4E636" w14:textId="77777777" w:rsidR="001A7337" w:rsidRPr="008F52E1" w:rsidRDefault="001A7337" w:rsidP="00B3685B">
      <w:pPr>
        <w:widowControl w:val="0"/>
        <w:autoSpaceDE w:val="0"/>
        <w:autoSpaceDN w:val="0"/>
        <w:adjustRightInd w:val="0"/>
        <w:spacing w:after="240" w:line="480" w:lineRule="auto"/>
      </w:pPr>
      <w:r>
        <w:t>Ramsey, I.K. &amp; Tasker S. (2017</w:t>
      </w:r>
      <w:r w:rsidRPr="008F52E1">
        <w:t xml:space="preserve">) </w:t>
      </w:r>
      <w:r>
        <w:t>Fever</w:t>
      </w:r>
      <w:r w:rsidRPr="008F52E1">
        <w:t xml:space="preserve">. In: </w:t>
      </w:r>
      <w:r w:rsidRPr="00F1682E">
        <w:rPr>
          <w:iCs/>
        </w:rPr>
        <w:t xml:space="preserve">Textbook of Veterinary Internal Medicine. </w:t>
      </w:r>
      <w:r>
        <w:t xml:space="preserve"> 8</w:t>
      </w:r>
      <w:r w:rsidRPr="008F52E1">
        <w:t xml:space="preserve">th </w:t>
      </w:r>
      <w:proofErr w:type="spellStart"/>
      <w:r w:rsidRPr="008F52E1">
        <w:t>edn</w:t>
      </w:r>
      <w:proofErr w:type="spellEnd"/>
      <w:r w:rsidRPr="008F52E1">
        <w:t xml:space="preserve">. </w:t>
      </w:r>
      <w:proofErr w:type="spellStart"/>
      <w:r w:rsidRPr="008F52E1">
        <w:t>Eds</w:t>
      </w:r>
      <w:proofErr w:type="spellEnd"/>
      <w:r w:rsidRPr="008F52E1">
        <w:t xml:space="preserve"> S. J. </w:t>
      </w:r>
      <w:proofErr w:type="spellStart"/>
      <w:r w:rsidRPr="008F52E1">
        <w:t>Ettinger</w:t>
      </w:r>
      <w:proofErr w:type="spellEnd"/>
      <w:r>
        <w:t>,</w:t>
      </w:r>
      <w:r w:rsidRPr="008F52E1">
        <w:t xml:space="preserve"> E. C. Feldman</w:t>
      </w:r>
      <w:r>
        <w:t xml:space="preserve"> and </w:t>
      </w:r>
      <w:proofErr w:type="spellStart"/>
      <w:r>
        <w:t>Coté</w:t>
      </w:r>
      <w:proofErr w:type="spellEnd"/>
      <w:r>
        <w:t>, E</w:t>
      </w:r>
      <w:r w:rsidRPr="008F52E1">
        <w:t>. Elsevie</w:t>
      </w:r>
      <w:r>
        <w:t>r, Missouri, USA. pp 195-202</w:t>
      </w:r>
    </w:p>
    <w:p w14:paraId="0E8BBCED" w14:textId="77777777" w:rsidR="001A7337" w:rsidRPr="008F52E1" w:rsidRDefault="001A7337" w:rsidP="00995EB7">
      <w:pPr>
        <w:pStyle w:val="Normal1"/>
        <w:spacing w:line="480" w:lineRule="auto"/>
        <w:jc w:val="both"/>
        <w:rPr>
          <w:rFonts w:ascii="Times New Roman" w:hAnsi="Times New Roman" w:cs="Times New Roman"/>
          <w:color w:val="auto"/>
          <w:sz w:val="24"/>
          <w:szCs w:val="24"/>
        </w:rPr>
      </w:pPr>
    </w:p>
    <w:p w14:paraId="3102C291" w14:textId="77777777" w:rsidR="0086696B" w:rsidRPr="008F52E1" w:rsidRDefault="0086696B" w:rsidP="00B3685B">
      <w:pPr>
        <w:pStyle w:val="Normal1"/>
        <w:spacing w:line="480" w:lineRule="auto"/>
        <w:jc w:val="both"/>
        <w:rPr>
          <w:rFonts w:ascii="Times New Roman" w:eastAsia="Arial" w:hAnsi="Times New Roman" w:cs="Times New Roman"/>
          <w:color w:val="auto"/>
          <w:sz w:val="24"/>
          <w:szCs w:val="24"/>
        </w:rPr>
      </w:pPr>
      <w:proofErr w:type="spellStart"/>
      <w:r w:rsidRPr="008F52E1">
        <w:rPr>
          <w:rFonts w:ascii="Times New Roman" w:eastAsia="Arial" w:hAnsi="Times New Roman" w:cs="Times New Roman"/>
          <w:color w:val="auto"/>
          <w:sz w:val="24"/>
          <w:szCs w:val="24"/>
        </w:rPr>
        <w:t>Sapierzyński</w:t>
      </w:r>
      <w:proofErr w:type="spellEnd"/>
      <w:r w:rsidRPr="008F52E1">
        <w:rPr>
          <w:rFonts w:ascii="Times New Roman" w:eastAsia="Arial" w:hAnsi="Times New Roman" w:cs="Times New Roman"/>
          <w:color w:val="auto"/>
          <w:sz w:val="24"/>
          <w:szCs w:val="24"/>
        </w:rPr>
        <w:t xml:space="preserve"> R, </w:t>
      </w:r>
      <w:proofErr w:type="spellStart"/>
      <w:r w:rsidRPr="008F52E1">
        <w:rPr>
          <w:rFonts w:ascii="Times New Roman" w:eastAsia="Arial" w:hAnsi="Times New Roman" w:cs="Times New Roman"/>
          <w:color w:val="auto"/>
          <w:sz w:val="24"/>
          <w:szCs w:val="24"/>
        </w:rPr>
        <w:t>Micuń</w:t>
      </w:r>
      <w:proofErr w:type="spellEnd"/>
      <w:r w:rsidRPr="008F52E1">
        <w:rPr>
          <w:rFonts w:ascii="Times New Roman" w:eastAsia="Arial" w:hAnsi="Times New Roman" w:cs="Times New Roman"/>
          <w:color w:val="auto"/>
          <w:sz w:val="24"/>
          <w:szCs w:val="24"/>
        </w:rPr>
        <w:t xml:space="preserve"> J. (2009) </w:t>
      </w:r>
      <w:proofErr w:type="spellStart"/>
      <w:r w:rsidRPr="008F52E1">
        <w:rPr>
          <w:rFonts w:ascii="Times New Roman" w:eastAsia="Arial" w:hAnsi="Times New Roman" w:cs="Times New Roman"/>
          <w:color w:val="auto"/>
          <w:sz w:val="24"/>
          <w:szCs w:val="24"/>
        </w:rPr>
        <w:t>Lymphadenomegaly</w:t>
      </w:r>
      <w:proofErr w:type="spellEnd"/>
      <w:r w:rsidRPr="008F52E1">
        <w:rPr>
          <w:rFonts w:ascii="Times New Roman" w:eastAsia="Arial" w:hAnsi="Times New Roman" w:cs="Times New Roman"/>
          <w:color w:val="auto"/>
          <w:sz w:val="24"/>
          <w:szCs w:val="24"/>
        </w:rPr>
        <w:t xml:space="preserve"> in dogs - Cytological study. </w:t>
      </w:r>
      <w:r w:rsidRPr="008F52E1">
        <w:rPr>
          <w:rFonts w:ascii="Times New Roman" w:eastAsia="Arial" w:hAnsi="Times New Roman" w:cs="Times New Roman"/>
          <w:i/>
          <w:color w:val="auto"/>
          <w:sz w:val="24"/>
          <w:szCs w:val="24"/>
        </w:rPr>
        <w:t>Polish Journal of veterinary Sciences</w:t>
      </w:r>
      <w:r w:rsidRPr="008F52E1">
        <w:rPr>
          <w:rFonts w:ascii="Times New Roman" w:eastAsia="Arial" w:hAnsi="Times New Roman" w:cs="Times New Roman"/>
          <w:color w:val="auto"/>
          <w:sz w:val="24"/>
          <w:szCs w:val="24"/>
        </w:rPr>
        <w:t xml:space="preserve"> 12(2), 263-268</w:t>
      </w:r>
    </w:p>
    <w:p w14:paraId="7179961D" w14:textId="77777777" w:rsidR="00F1682E" w:rsidRDefault="00F1682E" w:rsidP="00B3685B">
      <w:pPr>
        <w:pStyle w:val="Normal1"/>
        <w:spacing w:line="480" w:lineRule="auto"/>
        <w:jc w:val="both"/>
        <w:rPr>
          <w:rFonts w:ascii="Times New Roman" w:hAnsi="Times New Roman" w:cs="Times New Roman"/>
          <w:color w:val="auto"/>
          <w:sz w:val="24"/>
          <w:szCs w:val="24"/>
        </w:rPr>
      </w:pPr>
    </w:p>
    <w:p w14:paraId="51EEFB42" w14:textId="77777777" w:rsidR="0086696B" w:rsidRPr="008F52E1" w:rsidRDefault="0086696B" w:rsidP="00B3685B">
      <w:pPr>
        <w:pStyle w:val="Normal1"/>
        <w:spacing w:line="480" w:lineRule="auto"/>
        <w:jc w:val="both"/>
        <w:rPr>
          <w:rFonts w:ascii="Times New Roman" w:hAnsi="Times New Roman" w:cs="Times New Roman"/>
          <w:color w:val="auto"/>
          <w:sz w:val="24"/>
          <w:szCs w:val="24"/>
        </w:rPr>
      </w:pPr>
      <w:proofErr w:type="spellStart"/>
      <w:r w:rsidRPr="008F52E1">
        <w:rPr>
          <w:rFonts w:ascii="Times New Roman" w:hAnsi="Times New Roman" w:cs="Times New Roman"/>
          <w:color w:val="auto"/>
          <w:sz w:val="24"/>
          <w:szCs w:val="24"/>
        </w:rPr>
        <w:t>Teske</w:t>
      </w:r>
      <w:proofErr w:type="spellEnd"/>
      <w:r w:rsidRPr="008F52E1">
        <w:rPr>
          <w:rFonts w:ascii="Times New Roman" w:hAnsi="Times New Roman" w:cs="Times New Roman"/>
          <w:color w:val="auto"/>
          <w:sz w:val="24"/>
          <w:szCs w:val="24"/>
        </w:rPr>
        <w:t>, E. (2014) Cytology of Lymphoid tissues. In: Manual of Diagnostic cytology of the dog and cat. 1</w:t>
      </w:r>
      <w:r w:rsidRPr="008F52E1">
        <w:rPr>
          <w:rFonts w:ascii="Times New Roman" w:hAnsi="Times New Roman" w:cs="Times New Roman"/>
          <w:color w:val="auto"/>
          <w:sz w:val="24"/>
          <w:szCs w:val="24"/>
          <w:vertAlign w:val="superscript"/>
        </w:rPr>
        <w:t>st</w:t>
      </w:r>
      <w:r w:rsidRPr="008F52E1">
        <w:rPr>
          <w:rFonts w:ascii="Times New Roman" w:hAnsi="Times New Roman" w:cs="Times New Roman"/>
          <w:color w:val="auto"/>
          <w:sz w:val="24"/>
          <w:szCs w:val="24"/>
        </w:rPr>
        <w:t xml:space="preserve"> </w:t>
      </w:r>
      <w:proofErr w:type="spellStart"/>
      <w:r w:rsidRPr="008F52E1">
        <w:rPr>
          <w:rFonts w:ascii="Times New Roman" w:hAnsi="Times New Roman" w:cs="Times New Roman"/>
          <w:color w:val="auto"/>
          <w:sz w:val="24"/>
          <w:szCs w:val="24"/>
        </w:rPr>
        <w:t>edn</w:t>
      </w:r>
      <w:proofErr w:type="spellEnd"/>
      <w:r w:rsidRPr="008F52E1">
        <w:rPr>
          <w:rFonts w:ascii="Times New Roman" w:hAnsi="Times New Roman" w:cs="Times New Roman"/>
          <w:color w:val="auto"/>
          <w:sz w:val="24"/>
          <w:szCs w:val="24"/>
        </w:rPr>
        <w:t>. Ed. J. Dunn. Wiley Blackwell, West Sussex, UK. pp 33-56.</w:t>
      </w:r>
    </w:p>
    <w:p w14:paraId="372F1935" w14:textId="77777777" w:rsidR="00F1682E" w:rsidRDefault="00F1682E" w:rsidP="00B3685B">
      <w:pPr>
        <w:pStyle w:val="Normal1"/>
        <w:spacing w:line="480" w:lineRule="auto"/>
        <w:jc w:val="both"/>
        <w:rPr>
          <w:rFonts w:ascii="Times New Roman" w:hAnsi="Times New Roman" w:cs="Times New Roman"/>
          <w:color w:val="auto"/>
          <w:sz w:val="24"/>
          <w:szCs w:val="24"/>
        </w:rPr>
      </w:pPr>
      <w:bookmarkStart w:id="1" w:name="h.gjdgxs" w:colFirst="0" w:colLast="0"/>
      <w:bookmarkEnd w:id="1"/>
    </w:p>
    <w:p w14:paraId="5829F0DC" w14:textId="77777777" w:rsidR="0086696B" w:rsidRPr="008F52E1" w:rsidRDefault="0086696B" w:rsidP="00B3685B">
      <w:pPr>
        <w:pStyle w:val="Normal1"/>
        <w:spacing w:line="480" w:lineRule="auto"/>
        <w:jc w:val="both"/>
        <w:rPr>
          <w:rFonts w:ascii="Times New Roman" w:hAnsi="Times New Roman" w:cs="Times New Roman"/>
          <w:color w:val="auto"/>
          <w:sz w:val="24"/>
          <w:szCs w:val="24"/>
        </w:rPr>
      </w:pPr>
      <w:proofErr w:type="spellStart"/>
      <w:r w:rsidRPr="008F52E1">
        <w:rPr>
          <w:rFonts w:ascii="Times New Roman" w:hAnsi="Times New Roman" w:cs="Times New Roman"/>
          <w:color w:val="auto"/>
          <w:sz w:val="24"/>
          <w:szCs w:val="24"/>
        </w:rPr>
        <w:t>Thangapandiyan</w:t>
      </w:r>
      <w:proofErr w:type="spellEnd"/>
      <w:r w:rsidRPr="008F52E1">
        <w:rPr>
          <w:rFonts w:ascii="Times New Roman" w:hAnsi="Times New Roman" w:cs="Times New Roman"/>
          <w:color w:val="auto"/>
          <w:sz w:val="24"/>
          <w:szCs w:val="24"/>
        </w:rPr>
        <w:t xml:space="preserve">, M. &amp; Balachandran, C. (2010) </w:t>
      </w:r>
      <w:r w:rsidRPr="008F52E1">
        <w:rPr>
          <w:rFonts w:ascii="Times New Roman" w:hAnsi="Times New Roman" w:cs="Times New Roman"/>
          <w:bCs/>
          <w:color w:val="auto"/>
          <w:sz w:val="24"/>
          <w:szCs w:val="24"/>
        </w:rPr>
        <w:t xml:space="preserve">Cytological evaluation of canine lymphadenopathies - a review of 109 cases. </w:t>
      </w:r>
      <w:proofErr w:type="spellStart"/>
      <w:r w:rsidRPr="008F52E1">
        <w:rPr>
          <w:rFonts w:ascii="Times New Roman" w:hAnsi="Times New Roman" w:cs="Times New Roman"/>
          <w:bCs/>
          <w:i/>
          <w:color w:val="auto"/>
          <w:sz w:val="24"/>
          <w:szCs w:val="24"/>
        </w:rPr>
        <w:t>Veterinarski</w:t>
      </w:r>
      <w:proofErr w:type="spellEnd"/>
      <w:r w:rsidRPr="008F52E1">
        <w:rPr>
          <w:rFonts w:ascii="Times New Roman" w:hAnsi="Times New Roman" w:cs="Times New Roman"/>
          <w:bCs/>
          <w:i/>
          <w:color w:val="auto"/>
          <w:sz w:val="24"/>
          <w:szCs w:val="24"/>
        </w:rPr>
        <w:t xml:space="preserve"> </w:t>
      </w:r>
      <w:proofErr w:type="spellStart"/>
      <w:r w:rsidRPr="008F52E1">
        <w:rPr>
          <w:rFonts w:ascii="Times New Roman" w:hAnsi="Times New Roman" w:cs="Times New Roman"/>
          <w:bCs/>
          <w:i/>
          <w:color w:val="auto"/>
          <w:sz w:val="24"/>
          <w:szCs w:val="24"/>
        </w:rPr>
        <w:t>arhiv</w:t>
      </w:r>
      <w:proofErr w:type="spellEnd"/>
      <w:r w:rsidRPr="008F52E1">
        <w:rPr>
          <w:rFonts w:ascii="Times New Roman" w:hAnsi="Times New Roman" w:cs="Times New Roman"/>
          <w:bCs/>
          <w:i/>
          <w:color w:val="auto"/>
          <w:sz w:val="24"/>
          <w:szCs w:val="24"/>
        </w:rPr>
        <w:t xml:space="preserve"> </w:t>
      </w:r>
      <w:r w:rsidRPr="008F52E1">
        <w:rPr>
          <w:rFonts w:ascii="Times New Roman" w:hAnsi="Times New Roman" w:cs="Times New Roman"/>
          <w:bCs/>
          <w:color w:val="auto"/>
          <w:sz w:val="24"/>
          <w:szCs w:val="24"/>
        </w:rPr>
        <w:t>80, 499-508</w:t>
      </w:r>
    </w:p>
    <w:p w14:paraId="5C0A189D" w14:textId="77777777" w:rsidR="0086696B" w:rsidRPr="008F52E1" w:rsidRDefault="0086696B" w:rsidP="00B3685B">
      <w:pPr>
        <w:pStyle w:val="Normal1"/>
        <w:spacing w:line="480" w:lineRule="auto"/>
        <w:jc w:val="both"/>
        <w:rPr>
          <w:rFonts w:ascii="Times New Roman" w:hAnsi="Times New Roman" w:cs="Times New Roman"/>
          <w:color w:val="auto"/>
          <w:sz w:val="24"/>
          <w:szCs w:val="24"/>
        </w:rPr>
      </w:pPr>
      <w:r w:rsidRPr="008F52E1">
        <w:rPr>
          <w:rFonts w:ascii="Times New Roman" w:hAnsi="Times New Roman" w:cs="Times New Roman"/>
          <w:color w:val="auto"/>
          <w:sz w:val="24"/>
          <w:szCs w:val="24"/>
        </w:rPr>
        <w:lastRenderedPageBreak/>
        <w:t xml:space="preserve">Tvedten, H. (2012) Cytology of neoplastic and inflammatory masses. In: Small animal clinical diagnosis by laboratory methods. 5th </w:t>
      </w:r>
      <w:proofErr w:type="spellStart"/>
      <w:r w:rsidRPr="008F52E1">
        <w:rPr>
          <w:rFonts w:ascii="Times New Roman" w:hAnsi="Times New Roman" w:cs="Times New Roman"/>
          <w:color w:val="auto"/>
          <w:sz w:val="24"/>
          <w:szCs w:val="24"/>
        </w:rPr>
        <w:t>edn</w:t>
      </w:r>
      <w:proofErr w:type="spellEnd"/>
      <w:r w:rsidRPr="008F52E1">
        <w:rPr>
          <w:rFonts w:ascii="Times New Roman" w:hAnsi="Times New Roman" w:cs="Times New Roman"/>
          <w:color w:val="auto"/>
          <w:sz w:val="24"/>
          <w:szCs w:val="24"/>
        </w:rPr>
        <w:t xml:space="preserve">. </w:t>
      </w:r>
      <w:proofErr w:type="spellStart"/>
      <w:r w:rsidRPr="008F52E1">
        <w:rPr>
          <w:rFonts w:ascii="Times New Roman" w:hAnsi="Times New Roman" w:cs="Times New Roman"/>
          <w:color w:val="auto"/>
          <w:sz w:val="24"/>
          <w:szCs w:val="24"/>
        </w:rPr>
        <w:t>Eds</w:t>
      </w:r>
      <w:proofErr w:type="spellEnd"/>
      <w:r w:rsidRPr="008F52E1">
        <w:rPr>
          <w:rFonts w:ascii="Times New Roman" w:hAnsi="Times New Roman" w:cs="Times New Roman"/>
          <w:color w:val="auto"/>
          <w:sz w:val="24"/>
          <w:szCs w:val="24"/>
        </w:rPr>
        <w:t xml:space="preserve"> M. D. Willard and H. Tvedten, Elsevier and Saunders, MO, USA. pp. 337-363</w:t>
      </w:r>
    </w:p>
    <w:p w14:paraId="4A37FC5C" w14:textId="77777777" w:rsidR="00F1682E" w:rsidRDefault="00F1682E" w:rsidP="00B3685B">
      <w:pPr>
        <w:pStyle w:val="Normal1"/>
        <w:spacing w:line="480" w:lineRule="auto"/>
        <w:jc w:val="both"/>
        <w:rPr>
          <w:rFonts w:ascii="Times New Roman" w:hAnsi="Times New Roman" w:cs="Times New Roman"/>
          <w:color w:val="auto"/>
          <w:sz w:val="24"/>
          <w:szCs w:val="24"/>
        </w:rPr>
      </w:pPr>
    </w:p>
    <w:p w14:paraId="0A5F2012" w14:textId="224725AC" w:rsidR="0086696B" w:rsidRPr="008F52E1" w:rsidRDefault="0086696B" w:rsidP="00B3685B">
      <w:pPr>
        <w:pStyle w:val="Normal1"/>
        <w:spacing w:line="480" w:lineRule="auto"/>
        <w:jc w:val="both"/>
        <w:rPr>
          <w:rFonts w:ascii="Times New Roman" w:hAnsi="Times New Roman" w:cs="Times New Roman"/>
          <w:color w:val="auto"/>
          <w:sz w:val="24"/>
          <w:szCs w:val="24"/>
        </w:rPr>
      </w:pPr>
      <w:proofErr w:type="spellStart"/>
      <w:r w:rsidRPr="008F52E1">
        <w:rPr>
          <w:rFonts w:ascii="Times New Roman" w:hAnsi="Times New Roman" w:cs="Times New Roman"/>
          <w:color w:val="auto"/>
          <w:sz w:val="24"/>
          <w:szCs w:val="24"/>
        </w:rPr>
        <w:t>Weinkle</w:t>
      </w:r>
      <w:proofErr w:type="spellEnd"/>
      <w:r w:rsidRPr="008F52E1">
        <w:rPr>
          <w:rFonts w:ascii="Times New Roman" w:hAnsi="Times New Roman" w:cs="Times New Roman"/>
          <w:color w:val="auto"/>
          <w:sz w:val="24"/>
          <w:szCs w:val="24"/>
        </w:rPr>
        <w:t xml:space="preserve">, T.K. </w:t>
      </w:r>
      <w:r w:rsidRPr="008F52E1">
        <w:rPr>
          <w:rFonts w:ascii="Times New Roman" w:hAnsi="Times New Roman" w:cs="Times New Roman"/>
          <w:i/>
          <w:color w:val="auto"/>
          <w:sz w:val="24"/>
          <w:szCs w:val="24"/>
        </w:rPr>
        <w:t xml:space="preserve">et al. </w:t>
      </w:r>
      <w:r w:rsidRPr="008F52E1">
        <w:rPr>
          <w:rFonts w:ascii="Times New Roman" w:hAnsi="Times New Roman" w:cs="Times New Roman"/>
          <w:color w:val="auto"/>
          <w:sz w:val="24"/>
          <w:szCs w:val="24"/>
        </w:rPr>
        <w:t>(2005) Evaluation of prognostic factors, survival rates, and treatment protocols for immune-mediated haemolytic anaemia</w:t>
      </w:r>
      <w:r w:rsidR="000C0C38" w:rsidRPr="008F52E1">
        <w:rPr>
          <w:rFonts w:ascii="Times New Roman" w:hAnsi="Times New Roman" w:cs="Times New Roman"/>
          <w:color w:val="auto"/>
          <w:sz w:val="24"/>
          <w:szCs w:val="24"/>
        </w:rPr>
        <w:t xml:space="preserve"> in dogs: 151 cases (1993-2002). </w:t>
      </w:r>
      <w:r w:rsidR="000C0C38" w:rsidRPr="008F52E1">
        <w:rPr>
          <w:rFonts w:ascii="Times New Roman" w:hAnsi="Times New Roman" w:cs="Times New Roman"/>
          <w:i/>
          <w:color w:val="auto"/>
          <w:sz w:val="24"/>
          <w:szCs w:val="24"/>
        </w:rPr>
        <w:t>Journal of the American veterinary medical association</w:t>
      </w:r>
      <w:r w:rsidR="000C0C38" w:rsidRPr="008F52E1">
        <w:rPr>
          <w:rFonts w:ascii="Times New Roman" w:hAnsi="Times New Roman" w:cs="Times New Roman"/>
          <w:color w:val="auto"/>
          <w:sz w:val="24"/>
          <w:szCs w:val="24"/>
        </w:rPr>
        <w:t xml:space="preserve"> 1</w:t>
      </w:r>
      <w:proofErr w:type="gramStart"/>
      <w:r w:rsidR="000C0C38" w:rsidRPr="008F52E1">
        <w:rPr>
          <w:rFonts w:ascii="Times New Roman" w:hAnsi="Times New Roman" w:cs="Times New Roman"/>
          <w:color w:val="auto"/>
          <w:sz w:val="24"/>
          <w:szCs w:val="24"/>
        </w:rPr>
        <w:t>;226</w:t>
      </w:r>
      <w:proofErr w:type="gramEnd"/>
      <w:r w:rsidR="000C0C38" w:rsidRPr="008F52E1">
        <w:rPr>
          <w:rFonts w:ascii="Times New Roman" w:hAnsi="Times New Roman" w:cs="Times New Roman"/>
          <w:color w:val="auto"/>
          <w:sz w:val="24"/>
          <w:szCs w:val="24"/>
        </w:rPr>
        <w:t>(11), 1869-1880</w:t>
      </w:r>
    </w:p>
    <w:p w14:paraId="27BE7EE3" w14:textId="77777777" w:rsidR="00AE57CD" w:rsidRPr="008F52E1" w:rsidRDefault="00AE57CD" w:rsidP="00B22A77">
      <w:pPr>
        <w:pStyle w:val="Normal1"/>
        <w:spacing w:line="480" w:lineRule="auto"/>
        <w:ind w:left="360"/>
        <w:jc w:val="both"/>
        <w:rPr>
          <w:rFonts w:ascii="Times New Roman" w:hAnsi="Times New Roman" w:cs="Times New Roman"/>
          <w:color w:val="auto"/>
          <w:sz w:val="24"/>
          <w:szCs w:val="24"/>
        </w:rPr>
      </w:pPr>
    </w:p>
    <w:p w14:paraId="10A1596A" w14:textId="77777777" w:rsidR="00DF6861" w:rsidRPr="008F52E1" w:rsidRDefault="00DF6861" w:rsidP="00B22A77">
      <w:pPr>
        <w:spacing w:line="480" w:lineRule="auto"/>
        <w:jc w:val="both"/>
        <w:rPr>
          <w:color w:val="9BBB59" w:themeColor="accent3"/>
        </w:rPr>
      </w:pPr>
    </w:p>
    <w:p w14:paraId="18EFF8B3" w14:textId="77777777" w:rsidR="00DF6861" w:rsidRPr="008F52E1" w:rsidRDefault="00DF6861" w:rsidP="00B22A77">
      <w:pPr>
        <w:spacing w:line="480" w:lineRule="auto"/>
        <w:jc w:val="both"/>
        <w:rPr>
          <w:color w:val="9BBB59" w:themeColor="accent3"/>
        </w:rPr>
      </w:pPr>
    </w:p>
    <w:p w14:paraId="49249F8D" w14:textId="77777777" w:rsidR="00DF6861" w:rsidRPr="008F52E1" w:rsidRDefault="00DF6861" w:rsidP="00B22A77">
      <w:pPr>
        <w:spacing w:line="480" w:lineRule="auto"/>
        <w:jc w:val="both"/>
        <w:rPr>
          <w:color w:val="9BBB59" w:themeColor="accent3"/>
        </w:rPr>
      </w:pPr>
    </w:p>
    <w:p w14:paraId="2BA8DC9A" w14:textId="7D05E3A6" w:rsidR="00DF6861" w:rsidRPr="008F52E1" w:rsidRDefault="009A0CAA" w:rsidP="00B22A77">
      <w:pPr>
        <w:spacing w:line="480" w:lineRule="auto"/>
        <w:jc w:val="both"/>
        <w:rPr>
          <w:color w:val="9BBB59" w:themeColor="accent3"/>
        </w:rPr>
      </w:pPr>
      <w:r>
        <w:rPr>
          <w:color w:val="9BBB59" w:themeColor="accent3"/>
        </w:rPr>
        <w:t>Total 5000 words excluding abstract and references</w:t>
      </w:r>
      <w:r w:rsidR="00A146F1">
        <w:rPr>
          <w:color w:val="9BBB59" w:themeColor="accent3"/>
        </w:rPr>
        <w:t xml:space="preserve"> – current count </w:t>
      </w:r>
      <w:r w:rsidR="00007C9F">
        <w:rPr>
          <w:color w:val="9BBB59" w:themeColor="accent3"/>
        </w:rPr>
        <w:t>44</w:t>
      </w:r>
      <w:r w:rsidR="005D001E">
        <w:rPr>
          <w:color w:val="9BBB59" w:themeColor="accent3"/>
        </w:rPr>
        <w:t>98</w:t>
      </w:r>
    </w:p>
    <w:sectPr w:rsidR="00DF6861" w:rsidRPr="008F52E1" w:rsidSect="00C10717">
      <w:pgSz w:w="11900" w:h="16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FA7D71"/>
    <w:multiLevelType w:val="hybridMultilevel"/>
    <w:tmpl w:val="8CC4DB90"/>
    <w:lvl w:ilvl="0" w:tplc="EFB45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A42D7"/>
    <w:multiLevelType w:val="hybridMultilevel"/>
    <w:tmpl w:val="E7C28D54"/>
    <w:lvl w:ilvl="0" w:tplc="7D048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4F6CD8"/>
    <w:multiLevelType w:val="hybridMultilevel"/>
    <w:tmpl w:val="DFD6962A"/>
    <w:lvl w:ilvl="0" w:tplc="48545682">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9AC"/>
    <w:rsid w:val="000014A7"/>
    <w:rsid w:val="000014C6"/>
    <w:rsid w:val="00002257"/>
    <w:rsid w:val="0000268E"/>
    <w:rsid w:val="00006FF3"/>
    <w:rsid w:val="00007C9F"/>
    <w:rsid w:val="00014F9C"/>
    <w:rsid w:val="000153AC"/>
    <w:rsid w:val="000216F4"/>
    <w:rsid w:val="00021B0E"/>
    <w:rsid w:val="00021FC0"/>
    <w:rsid w:val="00023253"/>
    <w:rsid w:val="000265F9"/>
    <w:rsid w:val="000334DE"/>
    <w:rsid w:val="00033BB4"/>
    <w:rsid w:val="00035539"/>
    <w:rsid w:val="00044CB0"/>
    <w:rsid w:val="00045DC2"/>
    <w:rsid w:val="00051B38"/>
    <w:rsid w:val="00057939"/>
    <w:rsid w:val="00057CB6"/>
    <w:rsid w:val="0006081C"/>
    <w:rsid w:val="00062159"/>
    <w:rsid w:val="00081373"/>
    <w:rsid w:val="00087051"/>
    <w:rsid w:val="00094A39"/>
    <w:rsid w:val="0009576E"/>
    <w:rsid w:val="000B21C7"/>
    <w:rsid w:val="000B6887"/>
    <w:rsid w:val="000C0C38"/>
    <w:rsid w:val="000C3FF6"/>
    <w:rsid w:val="000C5C8F"/>
    <w:rsid w:val="000C5D8F"/>
    <w:rsid w:val="000C7448"/>
    <w:rsid w:val="000C76A8"/>
    <w:rsid w:val="000D2647"/>
    <w:rsid w:val="000D44EB"/>
    <w:rsid w:val="000D717D"/>
    <w:rsid w:val="000D71CE"/>
    <w:rsid w:val="000D7881"/>
    <w:rsid w:val="000E02DD"/>
    <w:rsid w:val="000E5340"/>
    <w:rsid w:val="000F2160"/>
    <w:rsid w:val="000F3A12"/>
    <w:rsid w:val="001002EA"/>
    <w:rsid w:val="0010291B"/>
    <w:rsid w:val="001063B1"/>
    <w:rsid w:val="00106738"/>
    <w:rsid w:val="00106F44"/>
    <w:rsid w:val="00107EF6"/>
    <w:rsid w:val="00111CEE"/>
    <w:rsid w:val="001130C4"/>
    <w:rsid w:val="0011321A"/>
    <w:rsid w:val="0012337C"/>
    <w:rsid w:val="001248B6"/>
    <w:rsid w:val="00127009"/>
    <w:rsid w:val="00127DF3"/>
    <w:rsid w:val="00134A2F"/>
    <w:rsid w:val="00136D30"/>
    <w:rsid w:val="00140EBB"/>
    <w:rsid w:val="00141603"/>
    <w:rsid w:val="00146AFF"/>
    <w:rsid w:val="001508B0"/>
    <w:rsid w:val="001512FC"/>
    <w:rsid w:val="00155D28"/>
    <w:rsid w:val="00162286"/>
    <w:rsid w:val="0016417A"/>
    <w:rsid w:val="00166B89"/>
    <w:rsid w:val="001825D3"/>
    <w:rsid w:val="00184036"/>
    <w:rsid w:val="00184808"/>
    <w:rsid w:val="00185330"/>
    <w:rsid w:val="00187727"/>
    <w:rsid w:val="00190E16"/>
    <w:rsid w:val="0019183E"/>
    <w:rsid w:val="001923AC"/>
    <w:rsid w:val="00192618"/>
    <w:rsid w:val="00194E08"/>
    <w:rsid w:val="0019735D"/>
    <w:rsid w:val="001979AC"/>
    <w:rsid w:val="001A0643"/>
    <w:rsid w:val="001A5430"/>
    <w:rsid w:val="001A6E3B"/>
    <w:rsid w:val="001A7337"/>
    <w:rsid w:val="001B1FDF"/>
    <w:rsid w:val="001B6106"/>
    <w:rsid w:val="001B6B4F"/>
    <w:rsid w:val="001C4E2D"/>
    <w:rsid w:val="001D4ECB"/>
    <w:rsid w:val="001E3D4D"/>
    <w:rsid w:val="001E5DAC"/>
    <w:rsid w:val="001E7C4C"/>
    <w:rsid w:val="001F0AD2"/>
    <w:rsid w:val="001F1F93"/>
    <w:rsid w:val="001F413C"/>
    <w:rsid w:val="001F6034"/>
    <w:rsid w:val="00202876"/>
    <w:rsid w:val="002037EB"/>
    <w:rsid w:val="00204F5E"/>
    <w:rsid w:val="00210BF7"/>
    <w:rsid w:val="0021614A"/>
    <w:rsid w:val="002202B0"/>
    <w:rsid w:val="002213F4"/>
    <w:rsid w:val="00222899"/>
    <w:rsid w:val="002275DC"/>
    <w:rsid w:val="00227DF8"/>
    <w:rsid w:val="002312FB"/>
    <w:rsid w:val="002327D8"/>
    <w:rsid w:val="00235FCB"/>
    <w:rsid w:val="00237495"/>
    <w:rsid w:val="0024075B"/>
    <w:rsid w:val="002448F8"/>
    <w:rsid w:val="00245AE1"/>
    <w:rsid w:val="00246C8D"/>
    <w:rsid w:val="00252915"/>
    <w:rsid w:val="00253E6E"/>
    <w:rsid w:val="002553F9"/>
    <w:rsid w:val="0026187C"/>
    <w:rsid w:val="0026307B"/>
    <w:rsid w:val="00267011"/>
    <w:rsid w:val="00271D4B"/>
    <w:rsid w:val="00273039"/>
    <w:rsid w:val="0027433E"/>
    <w:rsid w:val="00274E72"/>
    <w:rsid w:val="00276611"/>
    <w:rsid w:val="00277E4A"/>
    <w:rsid w:val="00277FD1"/>
    <w:rsid w:val="002814B0"/>
    <w:rsid w:val="0028405B"/>
    <w:rsid w:val="00286BD6"/>
    <w:rsid w:val="00290627"/>
    <w:rsid w:val="002940C7"/>
    <w:rsid w:val="00296A49"/>
    <w:rsid w:val="002A49EC"/>
    <w:rsid w:val="002A4DDC"/>
    <w:rsid w:val="002B07D3"/>
    <w:rsid w:val="002B1364"/>
    <w:rsid w:val="002B1455"/>
    <w:rsid w:val="002B4638"/>
    <w:rsid w:val="002B4D42"/>
    <w:rsid w:val="002C3208"/>
    <w:rsid w:val="002C4D3E"/>
    <w:rsid w:val="002C5965"/>
    <w:rsid w:val="002C7394"/>
    <w:rsid w:val="002D00F7"/>
    <w:rsid w:val="002D0395"/>
    <w:rsid w:val="002D07CE"/>
    <w:rsid w:val="002D1958"/>
    <w:rsid w:val="002D1E13"/>
    <w:rsid w:val="002D78F3"/>
    <w:rsid w:val="002E061D"/>
    <w:rsid w:val="002E1520"/>
    <w:rsid w:val="002E56E5"/>
    <w:rsid w:val="002F0085"/>
    <w:rsid w:val="002F1EDE"/>
    <w:rsid w:val="002F2C15"/>
    <w:rsid w:val="002F41F9"/>
    <w:rsid w:val="002F52E2"/>
    <w:rsid w:val="002F7218"/>
    <w:rsid w:val="002F7795"/>
    <w:rsid w:val="0031113B"/>
    <w:rsid w:val="00312C17"/>
    <w:rsid w:val="003175D6"/>
    <w:rsid w:val="00325CEC"/>
    <w:rsid w:val="00325DCD"/>
    <w:rsid w:val="00330ADD"/>
    <w:rsid w:val="00330FA8"/>
    <w:rsid w:val="00337F5F"/>
    <w:rsid w:val="003423F6"/>
    <w:rsid w:val="00342C3C"/>
    <w:rsid w:val="00343B1C"/>
    <w:rsid w:val="00346D7A"/>
    <w:rsid w:val="0035022B"/>
    <w:rsid w:val="00351F43"/>
    <w:rsid w:val="003525A7"/>
    <w:rsid w:val="00352BD4"/>
    <w:rsid w:val="003633F7"/>
    <w:rsid w:val="00365978"/>
    <w:rsid w:val="00366BEC"/>
    <w:rsid w:val="003672B3"/>
    <w:rsid w:val="00370BEC"/>
    <w:rsid w:val="003739F2"/>
    <w:rsid w:val="003821F8"/>
    <w:rsid w:val="00384A53"/>
    <w:rsid w:val="003862E6"/>
    <w:rsid w:val="00387E29"/>
    <w:rsid w:val="00387E79"/>
    <w:rsid w:val="00392E7E"/>
    <w:rsid w:val="00394CA7"/>
    <w:rsid w:val="003960BB"/>
    <w:rsid w:val="0039649F"/>
    <w:rsid w:val="003A06C8"/>
    <w:rsid w:val="003A1318"/>
    <w:rsid w:val="003A564C"/>
    <w:rsid w:val="003B19D5"/>
    <w:rsid w:val="003B2BB7"/>
    <w:rsid w:val="003B5A1F"/>
    <w:rsid w:val="003B737E"/>
    <w:rsid w:val="003C4F8B"/>
    <w:rsid w:val="003C750C"/>
    <w:rsid w:val="003D0E4B"/>
    <w:rsid w:val="003D36AC"/>
    <w:rsid w:val="003D44F2"/>
    <w:rsid w:val="003D5520"/>
    <w:rsid w:val="003D6D1D"/>
    <w:rsid w:val="003E5D4D"/>
    <w:rsid w:val="00400361"/>
    <w:rsid w:val="00401A01"/>
    <w:rsid w:val="00406686"/>
    <w:rsid w:val="00411749"/>
    <w:rsid w:val="004138CC"/>
    <w:rsid w:val="00421A33"/>
    <w:rsid w:val="00422354"/>
    <w:rsid w:val="00424CD2"/>
    <w:rsid w:val="00425A96"/>
    <w:rsid w:val="00427811"/>
    <w:rsid w:val="00430F4D"/>
    <w:rsid w:val="00431A60"/>
    <w:rsid w:val="00431E9B"/>
    <w:rsid w:val="004325BB"/>
    <w:rsid w:val="00434234"/>
    <w:rsid w:val="0043702F"/>
    <w:rsid w:val="00441669"/>
    <w:rsid w:val="00442149"/>
    <w:rsid w:val="0044348C"/>
    <w:rsid w:val="0044414B"/>
    <w:rsid w:val="00446010"/>
    <w:rsid w:val="00447653"/>
    <w:rsid w:val="004507AB"/>
    <w:rsid w:val="00450B71"/>
    <w:rsid w:val="00453DCC"/>
    <w:rsid w:val="00455D85"/>
    <w:rsid w:val="00461B5E"/>
    <w:rsid w:val="00461F3C"/>
    <w:rsid w:val="00467101"/>
    <w:rsid w:val="00467499"/>
    <w:rsid w:val="00467788"/>
    <w:rsid w:val="0047338E"/>
    <w:rsid w:val="0047797B"/>
    <w:rsid w:val="004802A8"/>
    <w:rsid w:val="00484109"/>
    <w:rsid w:val="00486EF4"/>
    <w:rsid w:val="004936D7"/>
    <w:rsid w:val="00493C62"/>
    <w:rsid w:val="004A0477"/>
    <w:rsid w:val="004A1FCB"/>
    <w:rsid w:val="004A4B11"/>
    <w:rsid w:val="004A4FDC"/>
    <w:rsid w:val="004A54A1"/>
    <w:rsid w:val="004A55D9"/>
    <w:rsid w:val="004B0005"/>
    <w:rsid w:val="004B396E"/>
    <w:rsid w:val="004B408E"/>
    <w:rsid w:val="004B684E"/>
    <w:rsid w:val="004C1923"/>
    <w:rsid w:val="004C21C9"/>
    <w:rsid w:val="004C43AE"/>
    <w:rsid w:val="004C57F7"/>
    <w:rsid w:val="004D13F0"/>
    <w:rsid w:val="004D2532"/>
    <w:rsid w:val="004D3A0D"/>
    <w:rsid w:val="004D3C80"/>
    <w:rsid w:val="004D4073"/>
    <w:rsid w:val="004D45C4"/>
    <w:rsid w:val="004D55AD"/>
    <w:rsid w:val="004D7420"/>
    <w:rsid w:val="004D77D2"/>
    <w:rsid w:val="004E5010"/>
    <w:rsid w:val="004F4D59"/>
    <w:rsid w:val="0050186B"/>
    <w:rsid w:val="0050449B"/>
    <w:rsid w:val="00505441"/>
    <w:rsid w:val="00511451"/>
    <w:rsid w:val="00517435"/>
    <w:rsid w:val="00522F56"/>
    <w:rsid w:val="00525877"/>
    <w:rsid w:val="00530BFF"/>
    <w:rsid w:val="0053412B"/>
    <w:rsid w:val="0054078B"/>
    <w:rsid w:val="00542038"/>
    <w:rsid w:val="0054401A"/>
    <w:rsid w:val="00544746"/>
    <w:rsid w:val="0054577C"/>
    <w:rsid w:val="005478E2"/>
    <w:rsid w:val="00550A47"/>
    <w:rsid w:val="0055242A"/>
    <w:rsid w:val="0055275E"/>
    <w:rsid w:val="00561216"/>
    <w:rsid w:val="00561431"/>
    <w:rsid w:val="00566401"/>
    <w:rsid w:val="00571C9F"/>
    <w:rsid w:val="0057335A"/>
    <w:rsid w:val="00576E3D"/>
    <w:rsid w:val="00577918"/>
    <w:rsid w:val="005847C3"/>
    <w:rsid w:val="00585D3F"/>
    <w:rsid w:val="00590ACB"/>
    <w:rsid w:val="00595E30"/>
    <w:rsid w:val="00596BFB"/>
    <w:rsid w:val="005A021F"/>
    <w:rsid w:val="005A2357"/>
    <w:rsid w:val="005A58C8"/>
    <w:rsid w:val="005A5E37"/>
    <w:rsid w:val="005A7489"/>
    <w:rsid w:val="005B1E76"/>
    <w:rsid w:val="005B479D"/>
    <w:rsid w:val="005B5A6D"/>
    <w:rsid w:val="005B6C74"/>
    <w:rsid w:val="005B7031"/>
    <w:rsid w:val="005C0142"/>
    <w:rsid w:val="005C52CD"/>
    <w:rsid w:val="005C5362"/>
    <w:rsid w:val="005D001E"/>
    <w:rsid w:val="005D04F1"/>
    <w:rsid w:val="005D2070"/>
    <w:rsid w:val="005D2BF9"/>
    <w:rsid w:val="005D3558"/>
    <w:rsid w:val="005D7155"/>
    <w:rsid w:val="005E0344"/>
    <w:rsid w:val="005E0363"/>
    <w:rsid w:val="005E45E0"/>
    <w:rsid w:val="005E49AA"/>
    <w:rsid w:val="005F22B4"/>
    <w:rsid w:val="005F3F5D"/>
    <w:rsid w:val="005F4314"/>
    <w:rsid w:val="006023FF"/>
    <w:rsid w:val="0060377C"/>
    <w:rsid w:val="00604F7A"/>
    <w:rsid w:val="00611EEF"/>
    <w:rsid w:val="0061229A"/>
    <w:rsid w:val="00621807"/>
    <w:rsid w:val="006222EA"/>
    <w:rsid w:val="00625C22"/>
    <w:rsid w:val="00632513"/>
    <w:rsid w:val="006339AF"/>
    <w:rsid w:val="00633F1F"/>
    <w:rsid w:val="00634BF4"/>
    <w:rsid w:val="00635DEF"/>
    <w:rsid w:val="00640AF1"/>
    <w:rsid w:val="00643ABD"/>
    <w:rsid w:val="006464B4"/>
    <w:rsid w:val="00652FFD"/>
    <w:rsid w:val="0065370E"/>
    <w:rsid w:val="0066213D"/>
    <w:rsid w:val="00667FEB"/>
    <w:rsid w:val="006700AC"/>
    <w:rsid w:val="00672F0C"/>
    <w:rsid w:val="00676A81"/>
    <w:rsid w:val="00682C85"/>
    <w:rsid w:val="00682CD2"/>
    <w:rsid w:val="00687E0E"/>
    <w:rsid w:val="0069050F"/>
    <w:rsid w:val="00692D83"/>
    <w:rsid w:val="006940EA"/>
    <w:rsid w:val="006A1B4A"/>
    <w:rsid w:val="006A6C9B"/>
    <w:rsid w:val="006A7688"/>
    <w:rsid w:val="006B5F92"/>
    <w:rsid w:val="006C170E"/>
    <w:rsid w:val="006C3AC2"/>
    <w:rsid w:val="006C6D19"/>
    <w:rsid w:val="006D0717"/>
    <w:rsid w:val="006D1F55"/>
    <w:rsid w:val="006D3FB0"/>
    <w:rsid w:val="006D4A38"/>
    <w:rsid w:val="006D4E4A"/>
    <w:rsid w:val="006E0990"/>
    <w:rsid w:val="006E3AA4"/>
    <w:rsid w:val="006F26E2"/>
    <w:rsid w:val="006F3232"/>
    <w:rsid w:val="006F67B6"/>
    <w:rsid w:val="006F7815"/>
    <w:rsid w:val="0070189B"/>
    <w:rsid w:val="0070290E"/>
    <w:rsid w:val="0070448E"/>
    <w:rsid w:val="00704DD3"/>
    <w:rsid w:val="00711C75"/>
    <w:rsid w:val="00713A2F"/>
    <w:rsid w:val="00716684"/>
    <w:rsid w:val="0072346B"/>
    <w:rsid w:val="00723853"/>
    <w:rsid w:val="00725D4D"/>
    <w:rsid w:val="007319A2"/>
    <w:rsid w:val="00735602"/>
    <w:rsid w:val="00744C73"/>
    <w:rsid w:val="00747911"/>
    <w:rsid w:val="00750B11"/>
    <w:rsid w:val="007604DF"/>
    <w:rsid w:val="00776A90"/>
    <w:rsid w:val="00776FA2"/>
    <w:rsid w:val="00781E0B"/>
    <w:rsid w:val="007820D4"/>
    <w:rsid w:val="007831B6"/>
    <w:rsid w:val="00783316"/>
    <w:rsid w:val="00790E03"/>
    <w:rsid w:val="007970F5"/>
    <w:rsid w:val="007A0957"/>
    <w:rsid w:val="007A14CF"/>
    <w:rsid w:val="007B234E"/>
    <w:rsid w:val="007B2D12"/>
    <w:rsid w:val="007B6329"/>
    <w:rsid w:val="007B740B"/>
    <w:rsid w:val="007C0F88"/>
    <w:rsid w:val="007C1BD6"/>
    <w:rsid w:val="007C7FAB"/>
    <w:rsid w:val="007D646E"/>
    <w:rsid w:val="007E03E4"/>
    <w:rsid w:val="007E0C58"/>
    <w:rsid w:val="007E5821"/>
    <w:rsid w:val="007E76A1"/>
    <w:rsid w:val="00801533"/>
    <w:rsid w:val="008036BC"/>
    <w:rsid w:val="00805487"/>
    <w:rsid w:val="00811E71"/>
    <w:rsid w:val="008152FC"/>
    <w:rsid w:val="00817C38"/>
    <w:rsid w:val="0082405E"/>
    <w:rsid w:val="00824769"/>
    <w:rsid w:val="0082624F"/>
    <w:rsid w:val="00826BC8"/>
    <w:rsid w:val="00833101"/>
    <w:rsid w:val="00834A5C"/>
    <w:rsid w:val="00834F30"/>
    <w:rsid w:val="00836BDE"/>
    <w:rsid w:val="008372FF"/>
    <w:rsid w:val="00841A4A"/>
    <w:rsid w:val="00845A68"/>
    <w:rsid w:val="00847E69"/>
    <w:rsid w:val="00851169"/>
    <w:rsid w:val="008530BB"/>
    <w:rsid w:val="008561E6"/>
    <w:rsid w:val="008565F9"/>
    <w:rsid w:val="00864C5D"/>
    <w:rsid w:val="00865012"/>
    <w:rsid w:val="0086696B"/>
    <w:rsid w:val="008713BF"/>
    <w:rsid w:val="00871E2A"/>
    <w:rsid w:val="00873DF8"/>
    <w:rsid w:val="008755C7"/>
    <w:rsid w:val="00884EFB"/>
    <w:rsid w:val="00885C7D"/>
    <w:rsid w:val="008905FB"/>
    <w:rsid w:val="00897227"/>
    <w:rsid w:val="008A2018"/>
    <w:rsid w:val="008A4D0E"/>
    <w:rsid w:val="008A79A7"/>
    <w:rsid w:val="008B0DBE"/>
    <w:rsid w:val="008B3CCD"/>
    <w:rsid w:val="008C09DE"/>
    <w:rsid w:val="008C0B64"/>
    <w:rsid w:val="008C1FC2"/>
    <w:rsid w:val="008C2AF3"/>
    <w:rsid w:val="008C5AF6"/>
    <w:rsid w:val="008E154F"/>
    <w:rsid w:val="008E1752"/>
    <w:rsid w:val="008E203E"/>
    <w:rsid w:val="008E6F50"/>
    <w:rsid w:val="008F01F5"/>
    <w:rsid w:val="008F3D50"/>
    <w:rsid w:val="008F52E1"/>
    <w:rsid w:val="00900EAB"/>
    <w:rsid w:val="00903D0F"/>
    <w:rsid w:val="009041AA"/>
    <w:rsid w:val="0090530D"/>
    <w:rsid w:val="00906FB3"/>
    <w:rsid w:val="0091699A"/>
    <w:rsid w:val="00921009"/>
    <w:rsid w:val="00921E35"/>
    <w:rsid w:val="00926A70"/>
    <w:rsid w:val="00931041"/>
    <w:rsid w:val="00931AB8"/>
    <w:rsid w:val="0093225E"/>
    <w:rsid w:val="00933967"/>
    <w:rsid w:val="00937409"/>
    <w:rsid w:val="00942AB2"/>
    <w:rsid w:val="00942F76"/>
    <w:rsid w:val="0094609F"/>
    <w:rsid w:val="009461F1"/>
    <w:rsid w:val="009471A4"/>
    <w:rsid w:val="00950C44"/>
    <w:rsid w:val="00951884"/>
    <w:rsid w:val="00962410"/>
    <w:rsid w:val="0096358B"/>
    <w:rsid w:val="00963AF8"/>
    <w:rsid w:val="00965DD0"/>
    <w:rsid w:val="00967D50"/>
    <w:rsid w:val="00970EC5"/>
    <w:rsid w:val="00971060"/>
    <w:rsid w:val="00971181"/>
    <w:rsid w:val="00982176"/>
    <w:rsid w:val="00982382"/>
    <w:rsid w:val="00992F90"/>
    <w:rsid w:val="009940E1"/>
    <w:rsid w:val="00995EB7"/>
    <w:rsid w:val="009A0CAA"/>
    <w:rsid w:val="009A5DA1"/>
    <w:rsid w:val="009B16BB"/>
    <w:rsid w:val="009B35AC"/>
    <w:rsid w:val="009C7FD6"/>
    <w:rsid w:val="009D4F0D"/>
    <w:rsid w:val="009E1385"/>
    <w:rsid w:val="009E5AEF"/>
    <w:rsid w:val="009E5DA0"/>
    <w:rsid w:val="009F5733"/>
    <w:rsid w:val="009F5821"/>
    <w:rsid w:val="009F77CD"/>
    <w:rsid w:val="00A012A1"/>
    <w:rsid w:val="00A03DDD"/>
    <w:rsid w:val="00A133AE"/>
    <w:rsid w:val="00A146F1"/>
    <w:rsid w:val="00A21465"/>
    <w:rsid w:val="00A25DD7"/>
    <w:rsid w:val="00A26216"/>
    <w:rsid w:val="00A2701A"/>
    <w:rsid w:val="00A3562B"/>
    <w:rsid w:val="00A36FEB"/>
    <w:rsid w:val="00A37DB9"/>
    <w:rsid w:val="00A51759"/>
    <w:rsid w:val="00A55900"/>
    <w:rsid w:val="00A55A62"/>
    <w:rsid w:val="00A560E6"/>
    <w:rsid w:val="00A57219"/>
    <w:rsid w:val="00A5780C"/>
    <w:rsid w:val="00A7193C"/>
    <w:rsid w:val="00A73AAA"/>
    <w:rsid w:val="00A7721E"/>
    <w:rsid w:val="00A808F5"/>
    <w:rsid w:val="00A94401"/>
    <w:rsid w:val="00A9523A"/>
    <w:rsid w:val="00A95B42"/>
    <w:rsid w:val="00A975AB"/>
    <w:rsid w:val="00AA0170"/>
    <w:rsid w:val="00AA0870"/>
    <w:rsid w:val="00AA1E16"/>
    <w:rsid w:val="00AA43C8"/>
    <w:rsid w:val="00AA5384"/>
    <w:rsid w:val="00AA5390"/>
    <w:rsid w:val="00AB60F3"/>
    <w:rsid w:val="00AB666E"/>
    <w:rsid w:val="00AC6BC1"/>
    <w:rsid w:val="00AC7A2D"/>
    <w:rsid w:val="00AD20F1"/>
    <w:rsid w:val="00AD31E3"/>
    <w:rsid w:val="00AD34A2"/>
    <w:rsid w:val="00AD616A"/>
    <w:rsid w:val="00AE0AF5"/>
    <w:rsid w:val="00AE2A80"/>
    <w:rsid w:val="00AE3A50"/>
    <w:rsid w:val="00AE57CD"/>
    <w:rsid w:val="00AF149A"/>
    <w:rsid w:val="00AF319B"/>
    <w:rsid w:val="00AF49B8"/>
    <w:rsid w:val="00AF5B68"/>
    <w:rsid w:val="00AF6F6B"/>
    <w:rsid w:val="00AF7CA7"/>
    <w:rsid w:val="00B059BE"/>
    <w:rsid w:val="00B06275"/>
    <w:rsid w:val="00B140A6"/>
    <w:rsid w:val="00B1417D"/>
    <w:rsid w:val="00B145A8"/>
    <w:rsid w:val="00B15705"/>
    <w:rsid w:val="00B15E3E"/>
    <w:rsid w:val="00B22A77"/>
    <w:rsid w:val="00B22AF0"/>
    <w:rsid w:val="00B25423"/>
    <w:rsid w:val="00B3685B"/>
    <w:rsid w:val="00B37756"/>
    <w:rsid w:val="00B40E37"/>
    <w:rsid w:val="00B4299D"/>
    <w:rsid w:val="00B4414A"/>
    <w:rsid w:val="00B4484A"/>
    <w:rsid w:val="00B557F1"/>
    <w:rsid w:val="00B63427"/>
    <w:rsid w:val="00B65959"/>
    <w:rsid w:val="00B72375"/>
    <w:rsid w:val="00B7276B"/>
    <w:rsid w:val="00B7282B"/>
    <w:rsid w:val="00B72D8C"/>
    <w:rsid w:val="00B73CE9"/>
    <w:rsid w:val="00B75188"/>
    <w:rsid w:val="00B866B1"/>
    <w:rsid w:val="00B87389"/>
    <w:rsid w:val="00B905D6"/>
    <w:rsid w:val="00B920A4"/>
    <w:rsid w:val="00B94281"/>
    <w:rsid w:val="00B94ACE"/>
    <w:rsid w:val="00B9505F"/>
    <w:rsid w:val="00B9635E"/>
    <w:rsid w:val="00BA190D"/>
    <w:rsid w:val="00BA36A4"/>
    <w:rsid w:val="00BA4090"/>
    <w:rsid w:val="00BA4248"/>
    <w:rsid w:val="00BA4D5A"/>
    <w:rsid w:val="00BA522B"/>
    <w:rsid w:val="00BB03DE"/>
    <w:rsid w:val="00BB11D1"/>
    <w:rsid w:val="00BB2C1F"/>
    <w:rsid w:val="00BB4872"/>
    <w:rsid w:val="00BC1F28"/>
    <w:rsid w:val="00BC580D"/>
    <w:rsid w:val="00BC5D82"/>
    <w:rsid w:val="00BD26EF"/>
    <w:rsid w:val="00BE0F3F"/>
    <w:rsid w:val="00BE2C51"/>
    <w:rsid w:val="00BE48C1"/>
    <w:rsid w:val="00BF2F3B"/>
    <w:rsid w:val="00BF3710"/>
    <w:rsid w:val="00C000EC"/>
    <w:rsid w:val="00C06313"/>
    <w:rsid w:val="00C10717"/>
    <w:rsid w:val="00C12A8C"/>
    <w:rsid w:val="00C14004"/>
    <w:rsid w:val="00C14B5B"/>
    <w:rsid w:val="00C15AD0"/>
    <w:rsid w:val="00C160C9"/>
    <w:rsid w:val="00C23D7B"/>
    <w:rsid w:val="00C2584D"/>
    <w:rsid w:val="00C27461"/>
    <w:rsid w:val="00C329D6"/>
    <w:rsid w:val="00C32F51"/>
    <w:rsid w:val="00C360C3"/>
    <w:rsid w:val="00C374AA"/>
    <w:rsid w:val="00C50540"/>
    <w:rsid w:val="00C52996"/>
    <w:rsid w:val="00C54ED7"/>
    <w:rsid w:val="00C55357"/>
    <w:rsid w:val="00C57AAD"/>
    <w:rsid w:val="00C61CDD"/>
    <w:rsid w:val="00C6296C"/>
    <w:rsid w:val="00C7016F"/>
    <w:rsid w:val="00C70A2F"/>
    <w:rsid w:val="00C74E14"/>
    <w:rsid w:val="00C7799B"/>
    <w:rsid w:val="00C80AF5"/>
    <w:rsid w:val="00C821A9"/>
    <w:rsid w:val="00C83656"/>
    <w:rsid w:val="00CA3256"/>
    <w:rsid w:val="00CA34F6"/>
    <w:rsid w:val="00CA3EBD"/>
    <w:rsid w:val="00CA45CD"/>
    <w:rsid w:val="00CA4712"/>
    <w:rsid w:val="00CA488B"/>
    <w:rsid w:val="00CA5F68"/>
    <w:rsid w:val="00CA71B5"/>
    <w:rsid w:val="00CB2807"/>
    <w:rsid w:val="00CB2C72"/>
    <w:rsid w:val="00CB7701"/>
    <w:rsid w:val="00CC0095"/>
    <w:rsid w:val="00CC0B4E"/>
    <w:rsid w:val="00CC2E7F"/>
    <w:rsid w:val="00CC78E4"/>
    <w:rsid w:val="00CD1522"/>
    <w:rsid w:val="00CD167F"/>
    <w:rsid w:val="00CD16E8"/>
    <w:rsid w:val="00CD720C"/>
    <w:rsid w:val="00CD79E6"/>
    <w:rsid w:val="00CE001E"/>
    <w:rsid w:val="00CE1455"/>
    <w:rsid w:val="00CE21CF"/>
    <w:rsid w:val="00CE24BB"/>
    <w:rsid w:val="00CE4F14"/>
    <w:rsid w:val="00CF2204"/>
    <w:rsid w:val="00CF4854"/>
    <w:rsid w:val="00CF734F"/>
    <w:rsid w:val="00D00568"/>
    <w:rsid w:val="00D02A4C"/>
    <w:rsid w:val="00D03E73"/>
    <w:rsid w:val="00D0573F"/>
    <w:rsid w:val="00D06595"/>
    <w:rsid w:val="00D105A6"/>
    <w:rsid w:val="00D1275E"/>
    <w:rsid w:val="00D13D02"/>
    <w:rsid w:val="00D15BB1"/>
    <w:rsid w:val="00D1786A"/>
    <w:rsid w:val="00D2023D"/>
    <w:rsid w:val="00D23DA6"/>
    <w:rsid w:val="00D25166"/>
    <w:rsid w:val="00D27061"/>
    <w:rsid w:val="00D271E8"/>
    <w:rsid w:val="00D303C7"/>
    <w:rsid w:val="00D34A32"/>
    <w:rsid w:val="00D35EDA"/>
    <w:rsid w:val="00D42287"/>
    <w:rsid w:val="00D449BF"/>
    <w:rsid w:val="00D53501"/>
    <w:rsid w:val="00D55D60"/>
    <w:rsid w:val="00D56583"/>
    <w:rsid w:val="00D62454"/>
    <w:rsid w:val="00D70A71"/>
    <w:rsid w:val="00D7632D"/>
    <w:rsid w:val="00D8100D"/>
    <w:rsid w:val="00D819DD"/>
    <w:rsid w:val="00D82B5A"/>
    <w:rsid w:val="00D86BAD"/>
    <w:rsid w:val="00D86D19"/>
    <w:rsid w:val="00D92543"/>
    <w:rsid w:val="00D94E93"/>
    <w:rsid w:val="00D9663B"/>
    <w:rsid w:val="00DA0BD5"/>
    <w:rsid w:val="00DA0E37"/>
    <w:rsid w:val="00DA1175"/>
    <w:rsid w:val="00DA1B00"/>
    <w:rsid w:val="00DA4F25"/>
    <w:rsid w:val="00DA5DB2"/>
    <w:rsid w:val="00DA5E18"/>
    <w:rsid w:val="00DA5EDE"/>
    <w:rsid w:val="00DB1ABC"/>
    <w:rsid w:val="00DC1F1D"/>
    <w:rsid w:val="00DD39A7"/>
    <w:rsid w:val="00DD42CB"/>
    <w:rsid w:val="00DD46E9"/>
    <w:rsid w:val="00DE0751"/>
    <w:rsid w:val="00DE5A85"/>
    <w:rsid w:val="00DE6DAD"/>
    <w:rsid w:val="00DF233D"/>
    <w:rsid w:val="00DF3781"/>
    <w:rsid w:val="00DF6861"/>
    <w:rsid w:val="00DF69EB"/>
    <w:rsid w:val="00E00DC5"/>
    <w:rsid w:val="00E04103"/>
    <w:rsid w:val="00E044A5"/>
    <w:rsid w:val="00E06B25"/>
    <w:rsid w:val="00E1058D"/>
    <w:rsid w:val="00E141AC"/>
    <w:rsid w:val="00E1428C"/>
    <w:rsid w:val="00E14615"/>
    <w:rsid w:val="00E161AD"/>
    <w:rsid w:val="00E16973"/>
    <w:rsid w:val="00E23F8F"/>
    <w:rsid w:val="00E24A23"/>
    <w:rsid w:val="00E25DC5"/>
    <w:rsid w:val="00E339CF"/>
    <w:rsid w:val="00E36AE3"/>
    <w:rsid w:val="00E37815"/>
    <w:rsid w:val="00E476A3"/>
    <w:rsid w:val="00E569C3"/>
    <w:rsid w:val="00E624F7"/>
    <w:rsid w:val="00E64796"/>
    <w:rsid w:val="00E66CDC"/>
    <w:rsid w:val="00E67415"/>
    <w:rsid w:val="00E72656"/>
    <w:rsid w:val="00E772BE"/>
    <w:rsid w:val="00E82291"/>
    <w:rsid w:val="00E830E2"/>
    <w:rsid w:val="00E84CB9"/>
    <w:rsid w:val="00E909D0"/>
    <w:rsid w:val="00E91AAA"/>
    <w:rsid w:val="00E92861"/>
    <w:rsid w:val="00E95736"/>
    <w:rsid w:val="00EA0306"/>
    <w:rsid w:val="00EA205F"/>
    <w:rsid w:val="00EA3B67"/>
    <w:rsid w:val="00EA712B"/>
    <w:rsid w:val="00EA7ADE"/>
    <w:rsid w:val="00EC4561"/>
    <w:rsid w:val="00EC4F3B"/>
    <w:rsid w:val="00ED0A83"/>
    <w:rsid w:val="00EE6AD2"/>
    <w:rsid w:val="00EF10C7"/>
    <w:rsid w:val="00EF4C3D"/>
    <w:rsid w:val="00EF60FC"/>
    <w:rsid w:val="00F1366B"/>
    <w:rsid w:val="00F1682E"/>
    <w:rsid w:val="00F25E58"/>
    <w:rsid w:val="00F26D87"/>
    <w:rsid w:val="00F31D03"/>
    <w:rsid w:val="00F340DE"/>
    <w:rsid w:val="00F346DF"/>
    <w:rsid w:val="00F408E5"/>
    <w:rsid w:val="00F43E36"/>
    <w:rsid w:val="00F461A7"/>
    <w:rsid w:val="00F511E8"/>
    <w:rsid w:val="00F61DCD"/>
    <w:rsid w:val="00F6207C"/>
    <w:rsid w:val="00F64299"/>
    <w:rsid w:val="00F64DCE"/>
    <w:rsid w:val="00F72EB7"/>
    <w:rsid w:val="00F74566"/>
    <w:rsid w:val="00F80025"/>
    <w:rsid w:val="00F8093C"/>
    <w:rsid w:val="00F85493"/>
    <w:rsid w:val="00F90B53"/>
    <w:rsid w:val="00F97BF8"/>
    <w:rsid w:val="00F97C13"/>
    <w:rsid w:val="00FA17C3"/>
    <w:rsid w:val="00FA1970"/>
    <w:rsid w:val="00FA2256"/>
    <w:rsid w:val="00FB5F4F"/>
    <w:rsid w:val="00FC248C"/>
    <w:rsid w:val="00FC5C43"/>
    <w:rsid w:val="00FC625B"/>
    <w:rsid w:val="00FC755B"/>
    <w:rsid w:val="00FD0896"/>
    <w:rsid w:val="00FD110A"/>
    <w:rsid w:val="00FD318E"/>
    <w:rsid w:val="00FD4359"/>
    <w:rsid w:val="00FD51AA"/>
    <w:rsid w:val="00FE3845"/>
    <w:rsid w:val="00FE479B"/>
    <w:rsid w:val="00FE601E"/>
    <w:rsid w:val="00FE60B5"/>
    <w:rsid w:val="00FE795A"/>
    <w:rsid w:val="00FF46B6"/>
    <w:rsid w:val="00FF78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CA032"/>
  <w14:defaultImageDpi w14:val="300"/>
  <w15:docId w15:val="{464904AE-608B-445F-8823-3DB1A5AA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9A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F77CD"/>
    <w:pPr>
      <w:spacing w:after="200" w:line="276" w:lineRule="auto"/>
    </w:pPr>
    <w:rPr>
      <w:rFonts w:ascii="Calibri" w:eastAsia="Calibri" w:hAnsi="Calibri" w:cs="Calibri"/>
      <w:color w:val="000000"/>
      <w:sz w:val="22"/>
      <w:szCs w:val="22"/>
      <w:lang w:eastAsia="es-ES"/>
    </w:rPr>
  </w:style>
  <w:style w:type="table" w:styleId="TableGrid">
    <w:name w:val="Table Grid"/>
    <w:basedOn w:val="TableNormal"/>
    <w:uiPriority w:val="59"/>
    <w:rsid w:val="00B8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6861"/>
    <w:pPr>
      <w:ind w:left="720"/>
      <w:contextualSpacing/>
    </w:pPr>
  </w:style>
  <w:style w:type="character" w:styleId="Hyperlink">
    <w:name w:val="Hyperlink"/>
    <w:basedOn w:val="DefaultParagraphFont"/>
    <w:uiPriority w:val="99"/>
    <w:semiHidden/>
    <w:unhideWhenUsed/>
    <w:rsid w:val="0086696B"/>
    <w:rPr>
      <w:color w:val="0000FF"/>
      <w:u w:val="single"/>
    </w:rPr>
  </w:style>
  <w:style w:type="paragraph" w:styleId="BalloonText">
    <w:name w:val="Balloon Text"/>
    <w:basedOn w:val="Normal"/>
    <w:link w:val="BalloonTextChar"/>
    <w:uiPriority w:val="99"/>
    <w:semiHidden/>
    <w:unhideWhenUsed/>
    <w:rsid w:val="001C4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4E2D"/>
    <w:rPr>
      <w:rFonts w:ascii="Lucida Grande" w:hAnsi="Lucida Grande" w:cs="Lucida Grande"/>
      <w:sz w:val="18"/>
      <w:szCs w:val="18"/>
    </w:rPr>
  </w:style>
  <w:style w:type="character" w:styleId="CommentReference">
    <w:name w:val="annotation reference"/>
    <w:basedOn w:val="DefaultParagraphFont"/>
    <w:uiPriority w:val="99"/>
    <w:semiHidden/>
    <w:unhideWhenUsed/>
    <w:rsid w:val="00B22A77"/>
    <w:rPr>
      <w:sz w:val="16"/>
      <w:szCs w:val="16"/>
    </w:rPr>
  </w:style>
  <w:style w:type="paragraph" w:styleId="CommentText">
    <w:name w:val="annotation text"/>
    <w:basedOn w:val="Normal"/>
    <w:link w:val="CommentTextChar"/>
    <w:uiPriority w:val="99"/>
    <w:semiHidden/>
    <w:unhideWhenUsed/>
    <w:rsid w:val="00B22A77"/>
    <w:rPr>
      <w:sz w:val="20"/>
      <w:szCs w:val="20"/>
    </w:rPr>
  </w:style>
  <w:style w:type="character" w:customStyle="1" w:styleId="CommentTextChar">
    <w:name w:val="Comment Text Char"/>
    <w:basedOn w:val="DefaultParagraphFont"/>
    <w:link w:val="CommentText"/>
    <w:uiPriority w:val="99"/>
    <w:semiHidden/>
    <w:rsid w:val="00B22A7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2A77"/>
    <w:rPr>
      <w:b/>
      <w:bCs/>
    </w:rPr>
  </w:style>
  <w:style w:type="character" w:customStyle="1" w:styleId="CommentSubjectChar">
    <w:name w:val="Comment Subject Char"/>
    <w:basedOn w:val="CommentTextChar"/>
    <w:link w:val="CommentSubject"/>
    <w:uiPriority w:val="99"/>
    <w:semiHidden/>
    <w:rsid w:val="00B22A77"/>
    <w:rPr>
      <w:rFonts w:ascii="Times New Roman" w:hAnsi="Times New Roman" w:cs="Times New Roman"/>
      <w:b/>
      <w:bCs/>
      <w:sz w:val="20"/>
      <w:szCs w:val="20"/>
    </w:rPr>
  </w:style>
  <w:style w:type="character" w:styleId="LineNumber">
    <w:name w:val="line number"/>
    <w:basedOn w:val="DefaultParagraphFont"/>
    <w:uiPriority w:val="99"/>
    <w:semiHidden/>
    <w:unhideWhenUsed/>
    <w:rsid w:val="00C10717"/>
  </w:style>
  <w:style w:type="paragraph" w:styleId="Revision">
    <w:name w:val="Revision"/>
    <w:hidden/>
    <w:uiPriority w:val="99"/>
    <w:semiHidden/>
    <w:rsid w:val="003A131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592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Chervier%20C%5BAuthor%5D&amp;cauthor=true&amp;cauthor_uid=23115365" TargetMode="External"/><Relationship Id="rId3" Type="http://schemas.openxmlformats.org/officeDocument/2006/relationships/styles" Target="styles.xml"/><Relationship Id="rId7" Type="http://schemas.openxmlformats.org/officeDocument/2006/relationships/hyperlink" Target="http://www.ncbi.nlm.nih.gov/pubmed/1684227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cbi.nlm.nih.gov/pubmed/?term=Amores-Fuster%20I%5BAuthor%5D&amp;cauthor=true&amp;cauthor_uid=2548257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cbi.nlm.nih.gov/pubmed/21596346" TargetMode="External"/><Relationship Id="rId4" Type="http://schemas.openxmlformats.org/officeDocument/2006/relationships/settings" Target="settings.xml"/><Relationship Id="rId9" Type="http://schemas.openxmlformats.org/officeDocument/2006/relationships/hyperlink" Target="http://www.ncbi.nlm.nih.gov/pubmed/9888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18751-ADA3-4329-BF61-E07C90686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6072</Words>
  <Characters>34616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Ariadna Ribas Latre</dc:creator>
  <cp:lastModifiedBy>Batchelor, Daniel</cp:lastModifiedBy>
  <cp:revision>2</cp:revision>
  <dcterms:created xsi:type="dcterms:W3CDTF">2018-06-28T12:37:00Z</dcterms:created>
  <dcterms:modified xsi:type="dcterms:W3CDTF">2018-06-28T12:37:00Z</dcterms:modified>
</cp:coreProperties>
</file>