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9E03D" w14:textId="41149B50" w:rsidR="00B9203D" w:rsidRPr="009D007C" w:rsidRDefault="00B753C9" w:rsidP="00B9203D">
      <w:pPr>
        <w:spacing w:after="0" w:line="240" w:lineRule="auto"/>
        <w:rPr>
          <w:rFonts w:ascii="Arial" w:hAnsi="Arial" w:cs="Arial"/>
          <w:b/>
          <w:sz w:val="24"/>
          <w:szCs w:val="24"/>
        </w:rPr>
      </w:pPr>
      <w:r>
        <w:rPr>
          <w:rFonts w:ascii="Arial" w:hAnsi="Arial" w:cs="Arial"/>
          <w:b/>
          <w:sz w:val="24"/>
          <w:szCs w:val="24"/>
        </w:rPr>
        <w:t>Time to write</w:t>
      </w:r>
      <w:r w:rsidR="00D33D79">
        <w:rPr>
          <w:rFonts w:ascii="Arial" w:hAnsi="Arial" w:cs="Arial"/>
          <w:b/>
          <w:sz w:val="24"/>
          <w:szCs w:val="24"/>
        </w:rPr>
        <w:t xml:space="preserve">: </w:t>
      </w:r>
      <w:r w:rsidR="00A433FC">
        <w:rPr>
          <w:rFonts w:ascii="Arial" w:hAnsi="Arial" w:cs="Arial"/>
          <w:b/>
          <w:sz w:val="24"/>
          <w:szCs w:val="24"/>
        </w:rPr>
        <w:t xml:space="preserve">Convict </w:t>
      </w:r>
      <w:r w:rsidR="006E1A97">
        <w:rPr>
          <w:rFonts w:ascii="Arial" w:hAnsi="Arial" w:cs="Arial"/>
          <w:b/>
          <w:sz w:val="24"/>
          <w:szCs w:val="24"/>
        </w:rPr>
        <w:t>petitions</w:t>
      </w:r>
      <w:r w:rsidR="00157466">
        <w:rPr>
          <w:rFonts w:ascii="Arial" w:hAnsi="Arial" w:cs="Arial"/>
          <w:b/>
          <w:sz w:val="24"/>
          <w:szCs w:val="24"/>
        </w:rPr>
        <w:t xml:space="preserve"> </w:t>
      </w:r>
      <w:r w:rsidR="009A60F2">
        <w:rPr>
          <w:rFonts w:ascii="Arial" w:hAnsi="Arial" w:cs="Arial"/>
          <w:b/>
          <w:sz w:val="24"/>
          <w:szCs w:val="24"/>
        </w:rPr>
        <w:t xml:space="preserve">in the nineteenth </w:t>
      </w:r>
      <w:r w:rsidR="00B9203D" w:rsidRPr="009D007C">
        <w:rPr>
          <w:rFonts w:ascii="Arial" w:hAnsi="Arial" w:cs="Arial"/>
          <w:b/>
          <w:sz w:val="24"/>
          <w:szCs w:val="24"/>
        </w:rPr>
        <w:t>century</w:t>
      </w:r>
    </w:p>
    <w:p w14:paraId="687D7268" w14:textId="77777777" w:rsidR="00CB589F" w:rsidRDefault="00CB589F" w:rsidP="00B428D0">
      <w:pPr>
        <w:spacing w:after="0" w:line="240" w:lineRule="auto"/>
        <w:rPr>
          <w:rFonts w:ascii="Arial" w:hAnsi="Arial" w:cs="Arial"/>
          <w:sz w:val="24"/>
          <w:szCs w:val="24"/>
        </w:rPr>
      </w:pPr>
    </w:p>
    <w:p w14:paraId="417EAFE4" w14:textId="324F3749" w:rsidR="006F71A6" w:rsidRPr="00A57BFE" w:rsidRDefault="006F71A6" w:rsidP="00B428D0">
      <w:pPr>
        <w:spacing w:after="0" w:line="240" w:lineRule="auto"/>
        <w:rPr>
          <w:rFonts w:ascii="Arial" w:hAnsi="Arial" w:cs="Arial"/>
          <w:b/>
          <w:sz w:val="24"/>
          <w:szCs w:val="24"/>
        </w:rPr>
      </w:pPr>
      <w:r w:rsidRPr="00A57BFE">
        <w:rPr>
          <w:rFonts w:ascii="Arial" w:hAnsi="Arial" w:cs="Arial"/>
          <w:b/>
          <w:sz w:val="24"/>
          <w:szCs w:val="24"/>
        </w:rPr>
        <w:t>Abstract</w:t>
      </w:r>
    </w:p>
    <w:p w14:paraId="78A02242" w14:textId="77777777" w:rsidR="006F71A6" w:rsidRDefault="006F71A6" w:rsidP="00B428D0">
      <w:pPr>
        <w:spacing w:after="0" w:line="240" w:lineRule="auto"/>
        <w:rPr>
          <w:rFonts w:ascii="Arial" w:hAnsi="Arial" w:cs="Arial"/>
          <w:sz w:val="24"/>
          <w:szCs w:val="24"/>
        </w:rPr>
      </w:pPr>
    </w:p>
    <w:p w14:paraId="2408C85C" w14:textId="7CF28D97" w:rsidR="006F71A6" w:rsidRDefault="00D377DC" w:rsidP="00630147">
      <w:pPr>
        <w:spacing w:after="0" w:line="240" w:lineRule="auto"/>
        <w:rPr>
          <w:rFonts w:ascii="Arial" w:hAnsi="Arial" w:cs="Arial"/>
          <w:sz w:val="24"/>
          <w:szCs w:val="24"/>
        </w:rPr>
      </w:pPr>
      <w:r>
        <w:rPr>
          <w:rFonts w:ascii="Arial" w:hAnsi="Arial" w:cs="Arial"/>
          <w:sz w:val="24"/>
          <w:szCs w:val="24"/>
        </w:rPr>
        <w:t xml:space="preserve">Nineteenth-century </w:t>
      </w:r>
      <w:r w:rsidR="00DC7814">
        <w:rPr>
          <w:rFonts w:ascii="Arial" w:hAnsi="Arial" w:cs="Arial"/>
          <w:sz w:val="24"/>
          <w:szCs w:val="24"/>
        </w:rPr>
        <w:t>convicts</w:t>
      </w:r>
      <w:r>
        <w:rPr>
          <w:rFonts w:ascii="Arial" w:hAnsi="Arial" w:cs="Arial"/>
          <w:sz w:val="24"/>
          <w:szCs w:val="24"/>
        </w:rPr>
        <w:t xml:space="preserve"> </w:t>
      </w:r>
      <w:r w:rsidR="004C659D">
        <w:rPr>
          <w:rFonts w:ascii="Arial" w:hAnsi="Arial" w:cs="Arial"/>
          <w:sz w:val="24"/>
          <w:szCs w:val="24"/>
        </w:rPr>
        <w:t xml:space="preserve">regularly </w:t>
      </w:r>
      <w:r w:rsidR="00630147">
        <w:rPr>
          <w:rFonts w:ascii="Arial" w:hAnsi="Arial" w:cs="Arial"/>
          <w:sz w:val="24"/>
          <w:szCs w:val="24"/>
        </w:rPr>
        <w:t>used their right to petition</w:t>
      </w:r>
      <w:r w:rsidR="000017A8">
        <w:rPr>
          <w:rFonts w:ascii="Arial" w:hAnsi="Arial" w:cs="Arial"/>
          <w:sz w:val="24"/>
          <w:szCs w:val="24"/>
        </w:rPr>
        <w:t xml:space="preserve"> the state</w:t>
      </w:r>
      <w:r w:rsidR="00630147" w:rsidRPr="00630147">
        <w:rPr>
          <w:rFonts w:ascii="Arial" w:hAnsi="Arial" w:cs="Arial"/>
          <w:sz w:val="24"/>
          <w:szCs w:val="24"/>
        </w:rPr>
        <w:t xml:space="preserve">. Their institutionalised lives were spent under </w:t>
      </w:r>
      <w:r>
        <w:rPr>
          <w:rFonts w:ascii="Arial" w:hAnsi="Arial" w:cs="Arial"/>
          <w:sz w:val="24"/>
          <w:szCs w:val="24"/>
        </w:rPr>
        <w:t xml:space="preserve">repressive and harsh </w:t>
      </w:r>
      <w:r w:rsidR="00630147" w:rsidRPr="00630147">
        <w:rPr>
          <w:rFonts w:ascii="Arial" w:hAnsi="Arial" w:cs="Arial"/>
          <w:sz w:val="24"/>
          <w:szCs w:val="24"/>
        </w:rPr>
        <w:t>penal systems</w:t>
      </w:r>
      <w:r>
        <w:rPr>
          <w:rFonts w:ascii="Arial" w:hAnsi="Arial" w:cs="Arial"/>
          <w:sz w:val="24"/>
          <w:szCs w:val="24"/>
        </w:rPr>
        <w:t>, designed to inhibit communication,</w:t>
      </w:r>
      <w:r w:rsidR="000017A8">
        <w:rPr>
          <w:rFonts w:ascii="Arial" w:hAnsi="Arial" w:cs="Arial"/>
          <w:sz w:val="24"/>
          <w:szCs w:val="24"/>
        </w:rPr>
        <w:t xml:space="preserve"> but petitioning </w:t>
      </w:r>
      <w:r w:rsidR="004C659D">
        <w:rPr>
          <w:rFonts w:ascii="Arial" w:hAnsi="Arial" w:cs="Arial"/>
          <w:sz w:val="24"/>
          <w:szCs w:val="24"/>
        </w:rPr>
        <w:t>provided</w:t>
      </w:r>
      <w:r w:rsidR="000017A8">
        <w:rPr>
          <w:rFonts w:ascii="Arial" w:hAnsi="Arial" w:cs="Arial"/>
          <w:sz w:val="24"/>
          <w:szCs w:val="24"/>
        </w:rPr>
        <w:t xml:space="preserve"> a channel of</w:t>
      </w:r>
      <w:r w:rsidR="00B30047" w:rsidRPr="00B30047">
        <w:rPr>
          <w:rFonts w:ascii="Arial" w:hAnsi="Arial" w:cs="Arial"/>
          <w:sz w:val="24"/>
          <w:szCs w:val="24"/>
        </w:rPr>
        <w:t xml:space="preserve"> </w:t>
      </w:r>
      <w:r w:rsidR="000017A8">
        <w:rPr>
          <w:rFonts w:ascii="Arial" w:hAnsi="Arial" w:cs="Arial"/>
          <w:sz w:val="24"/>
          <w:szCs w:val="24"/>
        </w:rPr>
        <w:t xml:space="preserve">expression that must have been sorely absent from </w:t>
      </w:r>
      <w:r w:rsidR="004C659D">
        <w:rPr>
          <w:rFonts w:ascii="Arial" w:hAnsi="Arial" w:cs="Arial"/>
          <w:sz w:val="24"/>
          <w:szCs w:val="24"/>
        </w:rPr>
        <w:t xml:space="preserve">the monotony of their life in prison. </w:t>
      </w:r>
      <w:r w:rsidR="00630147">
        <w:rPr>
          <w:rFonts w:ascii="Arial" w:hAnsi="Arial" w:cs="Arial"/>
          <w:sz w:val="24"/>
          <w:szCs w:val="24"/>
        </w:rPr>
        <w:t xml:space="preserve">Convicts </w:t>
      </w:r>
      <w:r w:rsidR="004C659D">
        <w:rPr>
          <w:rFonts w:ascii="Arial" w:hAnsi="Arial" w:cs="Arial"/>
          <w:sz w:val="24"/>
          <w:szCs w:val="24"/>
        </w:rPr>
        <w:t xml:space="preserve">commonly </w:t>
      </w:r>
      <w:r w:rsidR="00630147" w:rsidRPr="00630147">
        <w:rPr>
          <w:rFonts w:ascii="Arial" w:hAnsi="Arial" w:cs="Arial"/>
          <w:sz w:val="24"/>
          <w:szCs w:val="24"/>
        </w:rPr>
        <w:t>used petitions to complain about</w:t>
      </w:r>
      <w:r w:rsidR="004C659D">
        <w:rPr>
          <w:rFonts w:ascii="Arial" w:hAnsi="Arial" w:cs="Arial"/>
          <w:sz w:val="24"/>
          <w:szCs w:val="24"/>
        </w:rPr>
        <w:t xml:space="preserve"> perceived </w:t>
      </w:r>
      <w:r w:rsidR="004C659D" w:rsidRPr="00630147">
        <w:rPr>
          <w:rFonts w:ascii="Arial" w:hAnsi="Arial" w:cs="Arial"/>
          <w:sz w:val="24"/>
          <w:szCs w:val="24"/>
        </w:rPr>
        <w:t>injustices</w:t>
      </w:r>
      <w:r w:rsidR="00630147" w:rsidRPr="00630147">
        <w:rPr>
          <w:rFonts w:ascii="Arial" w:hAnsi="Arial" w:cs="Arial"/>
          <w:sz w:val="24"/>
          <w:szCs w:val="24"/>
        </w:rPr>
        <w:t xml:space="preserve"> in the</w:t>
      </w:r>
      <w:r w:rsidR="004C659D">
        <w:rPr>
          <w:rFonts w:ascii="Arial" w:hAnsi="Arial" w:cs="Arial"/>
          <w:sz w:val="24"/>
          <w:szCs w:val="24"/>
        </w:rPr>
        <w:t>ir sentencing</w:t>
      </w:r>
      <w:r w:rsidR="00630147" w:rsidRPr="00630147">
        <w:rPr>
          <w:rFonts w:ascii="Arial" w:hAnsi="Arial" w:cs="Arial"/>
          <w:sz w:val="24"/>
          <w:szCs w:val="24"/>
        </w:rPr>
        <w:t xml:space="preserve"> or to request early release on probation, leaving </w:t>
      </w:r>
      <w:r w:rsidR="00630147">
        <w:rPr>
          <w:rFonts w:ascii="Arial" w:hAnsi="Arial" w:cs="Arial"/>
          <w:sz w:val="24"/>
          <w:szCs w:val="24"/>
        </w:rPr>
        <w:t xml:space="preserve">written </w:t>
      </w:r>
      <w:r w:rsidR="00630147" w:rsidRPr="00630147">
        <w:rPr>
          <w:rFonts w:ascii="Arial" w:hAnsi="Arial" w:cs="Arial"/>
          <w:sz w:val="24"/>
          <w:szCs w:val="24"/>
        </w:rPr>
        <w:t xml:space="preserve">records of </w:t>
      </w:r>
      <w:r w:rsidR="009227E6">
        <w:rPr>
          <w:rFonts w:ascii="Arial" w:hAnsi="Arial" w:cs="Arial"/>
          <w:sz w:val="24"/>
          <w:szCs w:val="24"/>
        </w:rPr>
        <w:t xml:space="preserve">the different experiences, </w:t>
      </w:r>
      <w:r w:rsidR="00630147">
        <w:rPr>
          <w:rFonts w:ascii="Arial" w:hAnsi="Arial" w:cs="Arial"/>
          <w:sz w:val="24"/>
          <w:szCs w:val="24"/>
        </w:rPr>
        <w:t xml:space="preserve">motivations and </w:t>
      </w:r>
      <w:r w:rsidR="00DC7814">
        <w:rPr>
          <w:rFonts w:ascii="Arial" w:hAnsi="Arial" w:cs="Arial"/>
          <w:sz w:val="24"/>
          <w:szCs w:val="24"/>
        </w:rPr>
        <w:t>objectives</w:t>
      </w:r>
      <w:r w:rsidR="00EF60E7">
        <w:rPr>
          <w:rFonts w:ascii="Arial" w:hAnsi="Arial" w:cs="Arial"/>
          <w:sz w:val="24"/>
          <w:szCs w:val="24"/>
        </w:rPr>
        <w:t xml:space="preserve"> of</w:t>
      </w:r>
      <w:r w:rsidR="009227E6">
        <w:rPr>
          <w:rFonts w:ascii="Arial" w:hAnsi="Arial" w:cs="Arial"/>
          <w:sz w:val="24"/>
          <w:szCs w:val="24"/>
        </w:rPr>
        <w:t xml:space="preserve"> petition</w:t>
      </w:r>
      <w:r w:rsidR="00EF60E7">
        <w:rPr>
          <w:rFonts w:ascii="Arial" w:hAnsi="Arial" w:cs="Arial"/>
          <w:sz w:val="24"/>
          <w:szCs w:val="24"/>
        </w:rPr>
        <w:t>ers</w:t>
      </w:r>
      <w:r w:rsidR="00DC7814" w:rsidRPr="00630147">
        <w:rPr>
          <w:rFonts w:ascii="Arial" w:hAnsi="Arial" w:cs="Arial"/>
          <w:sz w:val="24"/>
          <w:szCs w:val="24"/>
        </w:rPr>
        <w:t>.</w:t>
      </w:r>
      <w:r w:rsidR="00DC7814">
        <w:rPr>
          <w:rFonts w:ascii="Arial" w:hAnsi="Arial" w:cs="Arial"/>
          <w:sz w:val="24"/>
          <w:szCs w:val="24"/>
        </w:rPr>
        <w:t xml:space="preserve"> These </w:t>
      </w:r>
      <w:r w:rsidR="006060CB">
        <w:rPr>
          <w:rFonts w:ascii="Arial" w:hAnsi="Arial" w:cs="Arial"/>
          <w:sz w:val="24"/>
          <w:szCs w:val="24"/>
        </w:rPr>
        <w:t xml:space="preserve">written </w:t>
      </w:r>
      <w:r w:rsidR="00DC7814">
        <w:rPr>
          <w:rFonts w:ascii="Arial" w:hAnsi="Arial" w:cs="Arial"/>
          <w:sz w:val="24"/>
          <w:szCs w:val="24"/>
        </w:rPr>
        <w:t xml:space="preserve">voices </w:t>
      </w:r>
      <w:r w:rsidR="00EF60E7">
        <w:rPr>
          <w:rFonts w:ascii="Arial" w:hAnsi="Arial" w:cs="Arial"/>
          <w:sz w:val="24"/>
          <w:szCs w:val="24"/>
        </w:rPr>
        <w:t xml:space="preserve">therefore </w:t>
      </w:r>
      <w:r w:rsidR="00B30047">
        <w:rPr>
          <w:rFonts w:ascii="Arial" w:hAnsi="Arial" w:cs="Arial"/>
          <w:sz w:val="24"/>
          <w:szCs w:val="24"/>
        </w:rPr>
        <w:t>provide the basis for a</w:t>
      </w:r>
      <w:r w:rsidR="009227E6">
        <w:rPr>
          <w:rFonts w:ascii="Arial" w:hAnsi="Arial" w:cs="Arial"/>
          <w:sz w:val="24"/>
          <w:szCs w:val="24"/>
        </w:rPr>
        <w:t xml:space="preserve"> unique window into convict lives in the nineteenth century.</w:t>
      </w:r>
    </w:p>
    <w:p w14:paraId="342E8B3B" w14:textId="77777777" w:rsidR="006F71A6" w:rsidRDefault="006F71A6" w:rsidP="00B428D0">
      <w:pPr>
        <w:spacing w:after="0" w:line="240" w:lineRule="auto"/>
        <w:rPr>
          <w:rFonts w:ascii="Arial" w:hAnsi="Arial" w:cs="Arial"/>
          <w:sz w:val="24"/>
          <w:szCs w:val="24"/>
        </w:rPr>
      </w:pPr>
    </w:p>
    <w:p w14:paraId="68C1D2B2" w14:textId="6D5FE797" w:rsidR="00CB589F" w:rsidRPr="00D82017" w:rsidRDefault="00D82017" w:rsidP="00B428D0">
      <w:pPr>
        <w:spacing w:after="0" w:line="240" w:lineRule="auto"/>
        <w:rPr>
          <w:rFonts w:ascii="Arial" w:hAnsi="Arial" w:cs="Arial"/>
          <w:b/>
          <w:sz w:val="24"/>
          <w:szCs w:val="24"/>
        </w:rPr>
      </w:pPr>
      <w:bookmarkStart w:id="0" w:name="_GoBack"/>
      <w:bookmarkEnd w:id="0"/>
      <w:r w:rsidRPr="00D82017">
        <w:rPr>
          <w:rFonts w:ascii="Arial" w:hAnsi="Arial" w:cs="Arial"/>
          <w:b/>
          <w:sz w:val="24"/>
          <w:szCs w:val="24"/>
        </w:rPr>
        <w:t>Introduction</w:t>
      </w:r>
    </w:p>
    <w:p w14:paraId="48438B04" w14:textId="77777777" w:rsidR="00D82017" w:rsidRPr="009D007C" w:rsidRDefault="00D82017" w:rsidP="00B428D0">
      <w:pPr>
        <w:spacing w:after="0" w:line="240" w:lineRule="auto"/>
        <w:rPr>
          <w:rFonts w:ascii="Arial" w:hAnsi="Arial" w:cs="Arial"/>
          <w:sz w:val="24"/>
          <w:szCs w:val="24"/>
        </w:rPr>
      </w:pPr>
    </w:p>
    <w:p w14:paraId="0B294CD0" w14:textId="4CCDC8C9" w:rsidR="0005457E" w:rsidRDefault="00A96DD0" w:rsidP="002843F9">
      <w:pPr>
        <w:spacing w:after="0" w:line="240" w:lineRule="auto"/>
        <w:rPr>
          <w:rFonts w:ascii="Arial" w:hAnsi="Arial" w:cs="Arial"/>
          <w:sz w:val="24"/>
          <w:szCs w:val="24"/>
        </w:rPr>
      </w:pPr>
      <w:r>
        <w:rPr>
          <w:rFonts w:ascii="Arial" w:hAnsi="Arial" w:cs="Arial"/>
          <w:sz w:val="24"/>
          <w:szCs w:val="24"/>
        </w:rPr>
        <w:t>Legal and b</w:t>
      </w:r>
      <w:r w:rsidR="00972636">
        <w:rPr>
          <w:rFonts w:ascii="Arial" w:hAnsi="Arial" w:cs="Arial"/>
          <w:sz w:val="24"/>
          <w:szCs w:val="24"/>
        </w:rPr>
        <w:t xml:space="preserve">ureaucratic </w:t>
      </w:r>
      <w:r>
        <w:rPr>
          <w:rFonts w:ascii="Arial" w:hAnsi="Arial" w:cs="Arial"/>
          <w:sz w:val="24"/>
          <w:szCs w:val="24"/>
        </w:rPr>
        <w:t xml:space="preserve">cultures </w:t>
      </w:r>
      <w:r w:rsidR="00972636">
        <w:rPr>
          <w:rFonts w:ascii="Arial" w:hAnsi="Arial" w:cs="Arial"/>
          <w:sz w:val="24"/>
          <w:szCs w:val="24"/>
        </w:rPr>
        <w:t>of redress</w:t>
      </w:r>
      <w:r w:rsidR="00972636" w:rsidRPr="00972636">
        <w:rPr>
          <w:rFonts w:ascii="Arial" w:hAnsi="Arial" w:cs="Arial"/>
          <w:sz w:val="24"/>
          <w:szCs w:val="24"/>
        </w:rPr>
        <w:t xml:space="preserve"> </w:t>
      </w:r>
      <w:r w:rsidR="004E42D5" w:rsidRPr="004E42D5">
        <w:rPr>
          <w:rFonts w:ascii="Arial" w:hAnsi="Arial" w:cs="Arial"/>
          <w:sz w:val="24"/>
          <w:szCs w:val="24"/>
        </w:rPr>
        <w:t xml:space="preserve">in the nineteenth century </w:t>
      </w:r>
      <w:r w:rsidR="00DB2DAF">
        <w:rPr>
          <w:rFonts w:ascii="Arial" w:hAnsi="Arial" w:cs="Arial"/>
          <w:sz w:val="24"/>
          <w:szCs w:val="24"/>
        </w:rPr>
        <w:t xml:space="preserve">functioned </w:t>
      </w:r>
      <w:r w:rsidR="00642FAA">
        <w:rPr>
          <w:rFonts w:ascii="Arial" w:hAnsi="Arial" w:cs="Arial"/>
          <w:sz w:val="24"/>
          <w:szCs w:val="24"/>
        </w:rPr>
        <w:t xml:space="preserve">differently </w:t>
      </w:r>
      <w:r w:rsidR="00972636" w:rsidRPr="00511AF6">
        <w:rPr>
          <w:rFonts w:ascii="Arial" w:hAnsi="Arial" w:cs="Arial"/>
          <w:sz w:val="24"/>
          <w:szCs w:val="24"/>
        </w:rPr>
        <w:t>in various institutional settings</w:t>
      </w:r>
      <w:r w:rsidR="004E4EF5" w:rsidRPr="00511AF6">
        <w:rPr>
          <w:rFonts w:ascii="Arial" w:hAnsi="Arial" w:cs="Arial"/>
          <w:sz w:val="24"/>
          <w:szCs w:val="24"/>
        </w:rPr>
        <w:t>.</w:t>
      </w:r>
      <w:r w:rsidR="00D5255B" w:rsidRPr="00511AF6">
        <w:rPr>
          <w:rStyle w:val="EndnoteReference"/>
          <w:rFonts w:ascii="Arial" w:hAnsi="Arial" w:cs="Arial"/>
          <w:sz w:val="24"/>
          <w:szCs w:val="24"/>
        </w:rPr>
        <w:endnoteReference w:id="1"/>
      </w:r>
      <w:r w:rsidR="005C1D6C" w:rsidRPr="00511AF6">
        <w:rPr>
          <w:rFonts w:ascii="Arial" w:hAnsi="Arial" w:cs="Arial"/>
          <w:sz w:val="24"/>
          <w:szCs w:val="24"/>
        </w:rPr>
        <w:t xml:space="preserve"> </w:t>
      </w:r>
      <w:r w:rsidR="00D551E0" w:rsidRPr="00511AF6">
        <w:rPr>
          <w:rFonts w:ascii="Arial" w:hAnsi="Arial" w:cs="Arial"/>
          <w:sz w:val="24"/>
          <w:szCs w:val="24"/>
        </w:rPr>
        <w:t xml:space="preserve">Convict petitions </w:t>
      </w:r>
      <w:r w:rsidRPr="00511AF6">
        <w:rPr>
          <w:rFonts w:ascii="Arial" w:hAnsi="Arial" w:cs="Arial"/>
          <w:sz w:val="24"/>
          <w:szCs w:val="24"/>
        </w:rPr>
        <w:t xml:space="preserve">provided </w:t>
      </w:r>
      <w:r w:rsidR="00D551E0" w:rsidRPr="00511AF6">
        <w:rPr>
          <w:rFonts w:ascii="Arial" w:hAnsi="Arial" w:cs="Arial"/>
          <w:sz w:val="24"/>
          <w:szCs w:val="24"/>
        </w:rPr>
        <w:t>prisoners</w:t>
      </w:r>
      <w:r w:rsidRPr="00511AF6">
        <w:rPr>
          <w:rFonts w:ascii="Arial" w:hAnsi="Arial" w:cs="Arial"/>
          <w:sz w:val="24"/>
          <w:szCs w:val="24"/>
        </w:rPr>
        <w:t xml:space="preserve"> with the means</w:t>
      </w:r>
      <w:r w:rsidR="00D551E0" w:rsidRPr="00511AF6">
        <w:rPr>
          <w:rFonts w:ascii="Arial" w:hAnsi="Arial" w:cs="Arial"/>
          <w:sz w:val="24"/>
          <w:szCs w:val="24"/>
        </w:rPr>
        <w:t xml:space="preserve"> to communicate with</w:t>
      </w:r>
      <w:r w:rsidR="00511AF6" w:rsidRPr="00511AF6">
        <w:rPr>
          <w:rFonts w:ascii="Arial" w:hAnsi="Arial" w:cs="Arial"/>
          <w:sz w:val="24"/>
          <w:szCs w:val="24"/>
        </w:rPr>
        <w:t xml:space="preserve"> and complain to </w:t>
      </w:r>
      <w:r w:rsidR="00D551E0" w:rsidRPr="00511AF6">
        <w:rPr>
          <w:rFonts w:ascii="Arial" w:hAnsi="Arial" w:cs="Arial"/>
          <w:sz w:val="24"/>
          <w:szCs w:val="24"/>
        </w:rPr>
        <w:t>the state and penal authorities. The</w:t>
      </w:r>
      <w:r w:rsidR="00E911B9" w:rsidRPr="00511AF6">
        <w:rPr>
          <w:rFonts w:ascii="Arial" w:hAnsi="Arial" w:cs="Arial"/>
          <w:sz w:val="24"/>
          <w:szCs w:val="24"/>
        </w:rPr>
        <w:t xml:space="preserve"> </w:t>
      </w:r>
      <w:r w:rsidR="002D4328" w:rsidRPr="00511AF6">
        <w:rPr>
          <w:rFonts w:ascii="Arial" w:hAnsi="Arial" w:cs="Arial"/>
          <w:sz w:val="24"/>
          <w:szCs w:val="24"/>
        </w:rPr>
        <w:t xml:space="preserve">  revealing</w:t>
      </w:r>
      <w:r w:rsidR="0046400B" w:rsidRPr="00511AF6">
        <w:rPr>
          <w:rFonts w:ascii="Arial" w:hAnsi="Arial" w:cs="Arial"/>
          <w:sz w:val="24"/>
          <w:szCs w:val="24"/>
        </w:rPr>
        <w:t xml:space="preserve"> immediacy </w:t>
      </w:r>
      <w:r w:rsidR="00642FAA" w:rsidRPr="00511AF6">
        <w:rPr>
          <w:rFonts w:ascii="Arial" w:hAnsi="Arial" w:cs="Arial"/>
          <w:sz w:val="24"/>
          <w:szCs w:val="24"/>
        </w:rPr>
        <w:t>of</w:t>
      </w:r>
      <w:r w:rsidR="002D4328" w:rsidRPr="00511AF6">
        <w:rPr>
          <w:rFonts w:ascii="Arial" w:hAnsi="Arial" w:cs="Arial"/>
          <w:sz w:val="24"/>
          <w:szCs w:val="24"/>
        </w:rPr>
        <w:t xml:space="preserve"> </w:t>
      </w:r>
      <w:r w:rsidR="00BD586B" w:rsidRPr="00511AF6">
        <w:rPr>
          <w:rFonts w:ascii="Arial" w:hAnsi="Arial" w:cs="Arial"/>
          <w:sz w:val="24"/>
          <w:szCs w:val="24"/>
        </w:rPr>
        <w:t>prisoner’s</w:t>
      </w:r>
      <w:r w:rsidR="00165A54" w:rsidRPr="00511AF6">
        <w:rPr>
          <w:rFonts w:ascii="Arial" w:hAnsi="Arial" w:cs="Arial"/>
          <w:sz w:val="24"/>
          <w:szCs w:val="24"/>
        </w:rPr>
        <w:t xml:space="preserve"> </w:t>
      </w:r>
      <w:r w:rsidR="00BD586B" w:rsidRPr="00511AF6">
        <w:rPr>
          <w:rFonts w:ascii="Arial" w:hAnsi="Arial" w:cs="Arial"/>
          <w:sz w:val="24"/>
          <w:szCs w:val="24"/>
        </w:rPr>
        <w:t>petitions</w:t>
      </w:r>
      <w:r w:rsidR="008252B4" w:rsidRPr="00511AF6">
        <w:rPr>
          <w:rFonts w:ascii="Arial" w:hAnsi="Arial" w:cs="Arial"/>
          <w:sz w:val="24"/>
          <w:szCs w:val="24"/>
        </w:rPr>
        <w:t>,</w:t>
      </w:r>
      <w:r w:rsidR="00237BD7" w:rsidRPr="00511AF6">
        <w:rPr>
          <w:rFonts w:ascii="Arial" w:hAnsi="Arial" w:cs="Arial"/>
          <w:sz w:val="24"/>
          <w:szCs w:val="24"/>
        </w:rPr>
        <w:t xml:space="preserve"> </w:t>
      </w:r>
      <w:r w:rsidR="00BD586B" w:rsidRPr="00511AF6">
        <w:rPr>
          <w:rFonts w:ascii="Arial" w:hAnsi="Arial" w:cs="Arial"/>
          <w:sz w:val="24"/>
          <w:szCs w:val="24"/>
        </w:rPr>
        <w:t>which</w:t>
      </w:r>
      <w:r w:rsidR="00BD586B">
        <w:rPr>
          <w:rFonts w:ascii="Arial" w:hAnsi="Arial" w:cs="Arial"/>
          <w:sz w:val="24"/>
          <w:szCs w:val="24"/>
        </w:rPr>
        <w:t xml:space="preserve"> could cover a wide range of subjects and </w:t>
      </w:r>
      <w:r w:rsidR="00237BD7" w:rsidRPr="009D007C">
        <w:rPr>
          <w:rFonts w:ascii="Arial" w:hAnsi="Arial" w:cs="Arial"/>
          <w:sz w:val="24"/>
          <w:szCs w:val="24"/>
        </w:rPr>
        <w:t>circumstance</w:t>
      </w:r>
      <w:r w:rsidR="008252B4">
        <w:rPr>
          <w:rFonts w:ascii="Arial" w:hAnsi="Arial" w:cs="Arial"/>
          <w:sz w:val="24"/>
          <w:szCs w:val="24"/>
        </w:rPr>
        <w:t>,</w:t>
      </w:r>
      <w:r w:rsidR="00642FAA">
        <w:rPr>
          <w:rFonts w:ascii="Arial" w:hAnsi="Arial" w:cs="Arial"/>
          <w:sz w:val="24"/>
          <w:szCs w:val="24"/>
        </w:rPr>
        <w:t xml:space="preserve"> </w:t>
      </w:r>
      <w:r w:rsidR="00E911B9">
        <w:rPr>
          <w:rFonts w:ascii="Arial" w:hAnsi="Arial" w:cs="Arial"/>
          <w:sz w:val="24"/>
          <w:szCs w:val="24"/>
        </w:rPr>
        <w:t>could nonetheless conceal an acute awareness of their objectives</w:t>
      </w:r>
      <w:r w:rsidR="002D4328">
        <w:rPr>
          <w:rFonts w:ascii="Arial" w:hAnsi="Arial" w:cs="Arial"/>
          <w:sz w:val="24"/>
          <w:szCs w:val="24"/>
        </w:rPr>
        <w:t>. T</w:t>
      </w:r>
      <w:r w:rsidR="00237BD7" w:rsidRPr="009D007C">
        <w:rPr>
          <w:rFonts w:ascii="Arial" w:hAnsi="Arial" w:cs="Arial"/>
          <w:sz w:val="24"/>
          <w:szCs w:val="24"/>
        </w:rPr>
        <w:t xml:space="preserve">he </w:t>
      </w:r>
      <w:r w:rsidR="002D4328">
        <w:rPr>
          <w:rFonts w:ascii="Arial" w:hAnsi="Arial" w:cs="Arial"/>
          <w:sz w:val="24"/>
          <w:szCs w:val="24"/>
        </w:rPr>
        <w:t>convict</w:t>
      </w:r>
      <w:r w:rsidR="00237BD7" w:rsidRPr="009D007C">
        <w:rPr>
          <w:rFonts w:ascii="Arial" w:hAnsi="Arial" w:cs="Arial"/>
          <w:sz w:val="24"/>
          <w:szCs w:val="24"/>
        </w:rPr>
        <w:t xml:space="preserve"> </w:t>
      </w:r>
      <w:r w:rsidR="002D4328">
        <w:rPr>
          <w:rFonts w:ascii="Arial" w:hAnsi="Arial" w:cs="Arial"/>
          <w:sz w:val="24"/>
          <w:szCs w:val="24"/>
        </w:rPr>
        <w:t xml:space="preserve">would </w:t>
      </w:r>
      <w:r w:rsidR="00237BD7" w:rsidRPr="009D007C">
        <w:rPr>
          <w:rFonts w:ascii="Arial" w:hAnsi="Arial" w:cs="Arial"/>
          <w:sz w:val="24"/>
          <w:szCs w:val="24"/>
        </w:rPr>
        <w:t xml:space="preserve">almost always </w:t>
      </w:r>
      <w:r w:rsidR="002D4328">
        <w:rPr>
          <w:rFonts w:ascii="Arial" w:hAnsi="Arial" w:cs="Arial"/>
          <w:sz w:val="24"/>
          <w:szCs w:val="24"/>
        </w:rPr>
        <w:t>compose</w:t>
      </w:r>
      <w:r w:rsidR="00237BD7" w:rsidRPr="009D007C">
        <w:rPr>
          <w:rFonts w:ascii="Arial" w:hAnsi="Arial" w:cs="Arial"/>
          <w:sz w:val="24"/>
          <w:szCs w:val="24"/>
        </w:rPr>
        <w:t xml:space="preserve"> their </w:t>
      </w:r>
      <w:r w:rsidR="002D4328">
        <w:rPr>
          <w:rFonts w:ascii="Arial" w:hAnsi="Arial" w:cs="Arial"/>
          <w:sz w:val="24"/>
          <w:szCs w:val="24"/>
        </w:rPr>
        <w:t>narrative</w:t>
      </w:r>
      <w:r w:rsidR="00237BD7" w:rsidRPr="009D007C">
        <w:rPr>
          <w:rFonts w:ascii="Arial" w:hAnsi="Arial" w:cs="Arial"/>
          <w:sz w:val="24"/>
          <w:szCs w:val="24"/>
        </w:rPr>
        <w:t xml:space="preserve"> within the confines </w:t>
      </w:r>
      <w:r w:rsidR="002D4328">
        <w:rPr>
          <w:rFonts w:ascii="Arial" w:hAnsi="Arial" w:cs="Arial"/>
          <w:sz w:val="24"/>
          <w:szCs w:val="24"/>
        </w:rPr>
        <w:t>of expectations</w:t>
      </w:r>
      <w:r w:rsidR="00511AF6">
        <w:rPr>
          <w:rFonts w:ascii="Arial" w:hAnsi="Arial" w:cs="Arial"/>
          <w:sz w:val="24"/>
          <w:szCs w:val="24"/>
        </w:rPr>
        <w:t>;</w:t>
      </w:r>
      <w:r w:rsidR="002D4328">
        <w:rPr>
          <w:rFonts w:ascii="Arial" w:hAnsi="Arial" w:cs="Arial"/>
          <w:sz w:val="24"/>
          <w:szCs w:val="24"/>
        </w:rPr>
        <w:t xml:space="preserve"> in </w:t>
      </w:r>
      <w:r w:rsidR="00237BD7" w:rsidRPr="009D007C">
        <w:rPr>
          <w:rFonts w:ascii="Arial" w:hAnsi="Arial" w:cs="Arial"/>
          <w:sz w:val="24"/>
          <w:szCs w:val="24"/>
        </w:rPr>
        <w:t>relationships</w:t>
      </w:r>
      <w:r w:rsidR="002D4328">
        <w:rPr>
          <w:rFonts w:ascii="Arial" w:hAnsi="Arial" w:cs="Arial"/>
          <w:sz w:val="24"/>
          <w:szCs w:val="24"/>
        </w:rPr>
        <w:t>, institutional</w:t>
      </w:r>
      <w:r w:rsidR="00237BD7" w:rsidRPr="009D007C">
        <w:rPr>
          <w:rFonts w:ascii="Arial" w:hAnsi="Arial" w:cs="Arial"/>
          <w:sz w:val="24"/>
          <w:szCs w:val="24"/>
        </w:rPr>
        <w:t xml:space="preserve"> </w:t>
      </w:r>
      <w:r w:rsidR="002D4328">
        <w:rPr>
          <w:rFonts w:ascii="Arial" w:hAnsi="Arial" w:cs="Arial"/>
          <w:sz w:val="24"/>
          <w:szCs w:val="24"/>
        </w:rPr>
        <w:t>and</w:t>
      </w:r>
      <w:r w:rsidR="00237BD7" w:rsidRPr="009D007C">
        <w:rPr>
          <w:rFonts w:ascii="Arial" w:hAnsi="Arial" w:cs="Arial"/>
          <w:sz w:val="24"/>
          <w:szCs w:val="24"/>
        </w:rPr>
        <w:t xml:space="preserve"> systemic processes</w:t>
      </w:r>
      <w:r w:rsidR="00511AF6">
        <w:rPr>
          <w:rFonts w:ascii="Arial" w:hAnsi="Arial" w:cs="Arial"/>
          <w:sz w:val="24"/>
          <w:szCs w:val="24"/>
        </w:rPr>
        <w:t>,</w:t>
      </w:r>
      <w:r w:rsidR="00237BD7" w:rsidRPr="009D007C">
        <w:rPr>
          <w:rFonts w:ascii="Arial" w:hAnsi="Arial" w:cs="Arial"/>
          <w:sz w:val="24"/>
          <w:szCs w:val="24"/>
        </w:rPr>
        <w:t xml:space="preserve"> and </w:t>
      </w:r>
      <w:r w:rsidR="00F42FBE">
        <w:rPr>
          <w:rFonts w:ascii="Arial" w:hAnsi="Arial" w:cs="Arial"/>
          <w:sz w:val="24"/>
          <w:szCs w:val="24"/>
        </w:rPr>
        <w:t xml:space="preserve">behavioural </w:t>
      </w:r>
      <w:r w:rsidR="00237BD7" w:rsidRPr="009D007C">
        <w:rPr>
          <w:rFonts w:ascii="Arial" w:hAnsi="Arial" w:cs="Arial"/>
          <w:sz w:val="24"/>
          <w:szCs w:val="24"/>
        </w:rPr>
        <w:t>constructs.</w:t>
      </w:r>
      <w:r w:rsidR="00A56B4C">
        <w:rPr>
          <w:rStyle w:val="EndnoteReference"/>
          <w:rFonts w:ascii="Arial" w:hAnsi="Arial" w:cs="Arial"/>
          <w:sz w:val="24"/>
          <w:szCs w:val="24"/>
        </w:rPr>
        <w:endnoteReference w:id="2"/>
      </w:r>
      <w:r w:rsidR="00237BD7">
        <w:rPr>
          <w:rFonts w:ascii="Arial" w:hAnsi="Arial" w:cs="Arial"/>
          <w:sz w:val="24"/>
          <w:szCs w:val="24"/>
        </w:rPr>
        <w:t xml:space="preserve"> </w:t>
      </w:r>
      <w:r w:rsidR="007F565E">
        <w:rPr>
          <w:rFonts w:ascii="Arial" w:hAnsi="Arial" w:cs="Arial"/>
          <w:sz w:val="24"/>
          <w:szCs w:val="24"/>
        </w:rPr>
        <w:t>A</w:t>
      </w:r>
      <w:r w:rsidR="00457216">
        <w:rPr>
          <w:rFonts w:ascii="Arial" w:hAnsi="Arial" w:cs="Arial"/>
          <w:sz w:val="24"/>
          <w:szCs w:val="24"/>
        </w:rPr>
        <w:t xml:space="preserve"> common polity of deference</w:t>
      </w:r>
      <w:r w:rsidR="007F565E">
        <w:rPr>
          <w:rFonts w:ascii="Arial" w:hAnsi="Arial" w:cs="Arial"/>
          <w:sz w:val="24"/>
          <w:szCs w:val="24"/>
        </w:rPr>
        <w:t xml:space="preserve"> unfolds</w:t>
      </w:r>
      <w:r w:rsidR="002D4328">
        <w:rPr>
          <w:rFonts w:ascii="Arial" w:hAnsi="Arial" w:cs="Arial"/>
          <w:sz w:val="24"/>
          <w:szCs w:val="24"/>
        </w:rPr>
        <w:t xml:space="preserve"> in their written words,</w:t>
      </w:r>
      <w:r w:rsidR="00186091">
        <w:rPr>
          <w:rFonts w:ascii="Arial" w:hAnsi="Arial" w:cs="Arial"/>
          <w:sz w:val="24"/>
          <w:szCs w:val="24"/>
        </w:rPr>
        <w:t xml:space="preserve"> </w:t>
      </w:r>
      <w:r w:rsidR="007F565E">
        <w:rPr>
          <w:rFonts w:ascii="Arial" w:hAnsi="Arial" w:cs="Arial"/>
          <w:sz w:val="24"/>
          <w:szCs w:val="24"/>
        </w:rPr>
        <w:t>containing</w:t>
      </w:r>
      <w:r w:rsidR="00186091">
        <w:rPr>
          <w:rFonts w:ascii="Arial" w:hAnsi="Arial" w:cs="Arial"/>
          <w:sz w:val="24"/>
          <w:szCs w:val="24"/>
        </w:rPr>
        <w:t xml:space="preserve"> much more complex intimations of</w:t>
      </w:r>
      <w:r w:rsidR="007F565E">
        <w:rPr>
          <w:rFonts w:ascii="Arial" w:hAnsi="Arial" w:cs="Arial"/>
          <w:sz w:val="24"/>
          <w:szCs w:val="24"/>
        </w:rPr>
        <w:t xml:space="preserve"> their </w:t>
      </w:r>
      <w:r w:rsidR="00165A54">
        <w:rPr>
          <w:rFonts w:ascii="Arial" w:hAnsi="Arial" w:cs="Arial"/>
          <w:sz w:val="24"/>
          <w:szCs w:val="24"/>
        </w:rPr>
        <w:t>lives before and during imprisonment.</w:t>
      </w:r>
      <w:r w:rsidR="00BD586B">
        <w:rPr>
          <w:rFonts w:ascii="Arial" w:hAnsi="Arial" w:cs="Arial"/>
          <w:sz w:val="24"/>
          <w:szCs w:val="24"/>
        </w:rPr>
        <w:t xml:space="preserve"> </w:t>
      </w:r>
      <w:r w:rsidR="00CB4B42">
        <w:rPr>
          <w:rFonts w:ascii="Arial" w:hAnsi="Arial" w:cs="Arial"/>
          <w:sz w:val="24"/>
          <w:szCs w:val="24"/>
        </w:rPr>
        <w:t xml:space="preserve">John </w:t>
      </w:r>
      <w:r w:rsidR="00237BD7" w:rsidRPr="009D007C">
        <w:rPr>
          <w:rFonts w:ascii="Arial" w:hAnsi="Arial" w:cs="Arial"/>
          <w:sz w:val="24"/>
          <w:szCs w:val="24"/>
        </w:rPr>
        <w:t>Clarke</w:t>
      </w:r>
      <w:r w:rsidR="00186091">
        <w:rPr>
          <w:rFonts w:ascii="Arial" w:hAnsi="Arial" w:cs="Arial"/>
          <w:sz w:val="24"/>
          <w:szCs w:val="24"/>
        </w:rPr>
        <w:t>,</w:t>
      </w:r>
      <w:r w:rsidR="00237BD7" w:rsidRPr="009D007C">
        <w:rPr>
          <w:rFonts w:ascii="Arial" w:hAnsi="Arial" w:cs="Arial"/>
          <w:sz w:val="24"/>
          <w:szCs w:val="24"/>
        </w:rPr>
        <w:t xml:space="preserve"> </w:t>
      </w:r>
      <w:r w:rsidR="0063297B">
        <w:rPr>
          <w:rFonts w:ascii="Arial" w:hAnsi="Arial" w:cs="Arial"/>
          <w:sz w:val="24"/>
          <w:szCs w:val="24"/>
        </w:rPr>
        <w:t xml:space="preserve">a sociologist of welfare, </w:t>
      </w:r>
      <w:r w:rsidR="00237BD7" w:rsidRPr="009D007C">
        <w:rPr>
          <w:rFonts w:ascii="Arial" w:hAnsi="Arial" w:cs="Arial"/>
          <w:sz w:val="24"/>
          <w:szCs w:val="24"/>
        </w:rPr>
        <w:t xml:space="preserve">described </w:t>
      </w:r>
      <w:r w:rsidR="000635DD">
        <w:rPr>
          <w:rFonts w:ascii="Arial" w:hAnsi="Arial" w:cs="Arial"/>
          <w:sz w:val="24"/>
          <w:szCs w:val="24"/>
        </w:rPr>
        <w:t>similar</w:t>
      </w:r>
      <w:r w:rsidR="00237BD7" w:rsidRPr="009D007C">
        <w:rPr>
          <w:rFonts w:ascii="Arial" w:hAnsi="Arial" w:cs="Arial"/>
          <w:sz w:val="24"/>
          <w:szCs w:val="24"/>
        </w:rPr>
        <w:t xml:space="preserve"> </w:t>
      </w:r>
      <w:r w:rsidR="005139F6">
        <w:rPr>
          <w:rFonts w:ascii="Arial" w:hAnsi="Arial" w:cs="Arial"/>
          <w:sz w:val="24"/>
          <w:szCs w:val="24"/>
        </w:rPr>
        <w:t>social construction</w:t>
      </w:r>
      <w:r w:rsidR="0063297B">
        <w:rPr>
          <w:rFonts w:ascii="Arial" w:hAnsi="Arial" w:cs="Arial"/>
          <w:sz w:val="24"/>
          <w:szCs w:val="24"/>
        </w:rPr>
        <w:t>s for</w:t>
      </w:r>
      <w:r w:rsidR="005139F6">
        <w:rPr>
          <w:rFonts w:ascii="Arial" w:hAnsi="Arial" w:cs="Arial"/>
          <w:sz w:val="24"/>
          <w:szCs w:val="24"/>
        </w:rPr>
        <w:t xml:space="preserve"> </w:t>
      </w:r>
      <w:r w:rsidR="00CB4B42">
        <w:rPr>
          <w:rFonts w:ascii="Arial" w:hAnsi="Arial" w:cs="Arial"/>
          <w:sz w:val="24"/>
          <w:szCs w:val="24"/>
        </w:rPr>
        <w:t xml:space="preserve">aggrieved </w:t>
      </w:r>
      <w:r w:rsidR="005139F6">
        <w:rPr>
          <w:rFonts w:ascii="Arial" w:hAnsi="Arial" w:cs="Arial"/>
          <w:sz w:val="24"/>
          <w:szCs w:val="24"/>
        </w:rPr>
        <w:t>patient</w:t>
      </w:r>
      <w:r w:rsidR="0063297B">
        <w:rPr>
          <w:rFonts w:ascii="Arial" w:hAnsi="Arial" w:cs="Arial"/>
          <w:sz w:val="24"/>
          <w:szCs w:val="24"/>
        </w:rPr>
        <w:t>s</w:t>
      </w:r>
      <w:r w:rsidR="00A26E1E">
        <w:rPr>
          <w:rFonts w:ascii="Arial" w:hAnsi="Arial" w:cs="Arial"/>
          <w:sz w:val="24"/>
          <w:szCs w:val="24"/>
        </w:rPr>
        <w:t xml:space="preserve">’ </w:t>
      </w:r>
      <w:r w:rsidR="0063297B">
        <w:rPr>
          <w:rFonts w:ascii="Arial" w:hAnsi="Arial" w:cs="Arial"/>
          <w:sz w:val="24"/>
          <w:szCs w:val="24"/>
        </w:rPr>
        <w:t>complaints about substandard care</w:t>
      </w:r>
      <w:r w:rsidR="00A26E1E">
        <w:rPr>
          <w:rFonts w:ascii="Arial" w:hAnsi="Arial" w:cs="Arial"/>
          <w:sz w:val="24"/>
          <w:szCs w:val="24"/>
        </w:rPr>
        <w:t xml:space="preserve"> within</w:t>
      </w:r>
      <w:r w:rsidR="00857E36">
        <w:rPr>
          <w:rFonts w:ascii="Arial" w:hAnsi="Arial" w:cs="Arial"/>
          <w:sz w:val="24"/>
          <w:szCs w:val="24"/>
        </w:rPr>
        <w:t xml:space="preserve"> medical care setting</w:t>
      </w:r>
      <w:r w:rsidR="00A26E1E">
        <w:rPr>
          <w:rFonts w:ascii="Arial" w:hAnsi="Arial" w:cs="Arial"/>
          <w:sz w:val="24"/>
          <w:szCs w:val="24"/>
        </w:rPr>
        <w:t>s</w:t>
      </w:r>
      <w:r w:rsidR="00237BD7" w:rsidRPr="009D007C">
        <w:rPr>
          <w:rFonts w:ascii="Arial" w:hAnsi="Arial" w:cs="Arial"/>
          <w:sz w:val="24"/>
          <w:szCs w:val="24"/>
        </w:rPr>
        <w:t>:</w:t>
      </w:r>
      <w:r w:rsidR="00237BD7" w:rsidRPr="009D007C">
        <w:rPr>
          <w:rFonts w:ascii="Arial" w:hAnsi="Arial" w:cs="Arial"/>
          <w:sz w:val="24"/>
          <w:szCs w:val="24"/>
          <w:lang w:val="en-GB"/>
        </w:rPr>
        <w:t xml:space="preserve"> ‘</w:t>
      </w:r>
      <w:r w:rsidR="005139F6">
        <w:rPr>
          <w:rFonts w:ascii="Arial" w:hAnsi="Arial" w:cs="Arial"/>
          <w:sz w:val="24"/>
          <w:szCs w:val="24"/>
          <w:lang w:val="en-GB"/>
        </w:rPr>
        <w:t>…</w:t>
      </w:r>
      <w:r w:rsidR="00237BD7" w:rsidRPr="009D007C">
        <w:rPr>
          <w:rFonts w:ascii="Arial" w:hAnsi="Arial" w:cs="Arial"/>
          <w:sz w:val="24"/>
          <w:szCs w:val="24"/>
          <w:lang w:val="en-GB"/>
        </w:rPr>
        <w:t>they address an imagined order of how relationships should be conducted – evoking modest norms of respect, dignity and recognition, the proper conduct of relationships and how the person should be dealt with in institutional/public space</w:t>
      </w:r>
      <w:r w:rsidR="00CB4B42">
        <w:rPr>
          <w:rFonts w:ascii="Arial" w:hAnsi="Arial" w:cs="Arial"/>
          <w:sz w:val="24"/>
          <w:szCs w:val="24"/>
          <w:lang w:val="en-GB"/>
        </w:rPr>
        <w:t>s..</w:t>
      </w:r>
      <w:r w:rsidR="00237BD7" w:rsidRPr="009D007C">
        <w:rPr>
          <w:rFonts w:ascii="Arial" w:hAnsi="Arial" w:cs="Arial"/>
          <w:sz w:val="24"/>
          <w:szCs w:val="24"/>
          <w:lang w:val="en-GB"/>
        </w:rPr>
        <w:t>.’</w:t>
      </w:r>
      <w:r w:rsidR="00237BD7" w:rsidRPr="009D007C">
        <w:rPr>
          <w:rFonts w:ascii="Arial" w:hAnsi="Arial" w:cs="Arial"/>
          <w:sz w:val="24"/>
          <w:szCs w:val="24"/>
          <w:vertAlign w:val="superscript"/>
          <w:lang w:val="en-GB"/>
        </w:rPr>
        <w:endnoteReference w:id="3"/>
      </w:r>
      <w:r w:rsidR="00FC3762" w:rsidRPr="00FC3762">
        <w:rPr>
          <w:rFonts w:ascii="Arial" w:hAnsi="Arial" w:cs="Arial"/>
          <w:sz w:val="24"/>
          <w:szCs w:val="24"/>
        </w:rPr>
        <w:t xml:space="preserve"> </w:t>
      </w:r>
      <w:r w:rsidR="00A26E1E">
        <w:rPr>
          <w:rFonts w:ascii="Arial" w:hAnsi="Arial" w:cs="Arial"/>
          <w:sz w:val="24"/>
          <w:szCs w:val="24"/>
        </w:rPr>
        <w:t xml:space="preserve">Similarly, prisoners </w:t>
      </w:r>
      <w:r w:rsidR="00FC3762" w:rsidRPr="009D007C">
        <w:rPr>
          <w:rFonts w:ascii="Arial" w:hAnsi="Arial" w:cs="Arial"/>
          <w:sz w:val="24"/>
          <w:szCs w:val="24"/>
        </w:rPr>
        <w:t xml:space="preserve">who </w:t>
      </w:r>
      <w:r w:rsidR="00A26E1E">
        <w:rPr>
          <w:rFonts w:ascii="Arial" w:hAnsi="Arial" w:cs="Arial"/>
          <w:sz w:val="24"/>
          <w:szCs w:val="24"/>
        </w:rPr>
        <w:t>petitioned the state</w:t>
      </w:r>
      <w:r w:rsidR="000635DD">
        <w:rPr>
          <w:rFonts w:ascii="Arial" w:hAnsi="Arial" w:cs="Arial"/>
          <w:sz w:val="24"/>
          <w:szCs w:val="24"/>
        </w:rPr>
        <w:t xml:space="preserve"> </w:t>
      </w:r>
      <w:r w:rsidR="00A26E1E">
        <w:rPr>
          <w:rFonts w:ascii="Arial" w:hAnsi="Arial" w:cs="Arial"/>
          <w:sz w:val="24"/>
          <w:szCs w:val="24"/>
        </w:rPr>
        <w:t xml:space="preserve">created </w:t>
      </w:r>
      <w:r w:rsidR="00FC3762" w:rsidRPr="009D007C">
        <w:rPr>
          <w:rFonts w:ascii="Arial" w:hAnsi="Arial" w:cs="Arial"/>
          <w:sz w:val="24"/>
          <w:szCs w:val="24"/>
        </w:rPr>
        <w:t>document</w:t>
      </w:r>
      <w:r w:rsidR="00A56B4C">
        <w:rPr>
          <w:rFonts w:ascii="Arial" w:hAnsi="Arial" w:cs="Arial"/>
          <w:sz w:val="24"/>
          <w:szCs w:val="24"/>
        </w:rPr>
        <w:t>s</w:t>
      </w:r>
      <w:r w:rsidR="00FC3762" w:rsidRPr="009D007C">
        <w:rPr>
          <w:rFonts w:ascii="Arial" w:hAnsi="Arial" w:cs="Arial"/>
          <w:sz w:val="24"/>
          <w:szCs w:val="24"/>
        </w:rPr>
        <w:t xml:space="preserve"> that not only </w:t>
      </w:r>
      <w:r w:rsidR="00A56B4C">
        <w:rPr>
          <w:rFonts w:ascii="Arial" w:hAnsi="Arial" w:cs="Arial"/>
          <w:sz w:val="24"/>
          <w:szCs w:val="24"/>
        </w:rPr>
        <w:t>provide</w:t>
      </w:r>
      <w:r w:rsidR="002861CF">
        <w:rPr>
          <w:rFonts w:ascii="Arial" w:hAnsi="Arial" w:cs="Arial"/>
          <w:sz w:val="24"/>
          <w:szCs w:val="24"/>
        </w:rPr>
        <w:t xml:space="preserve"> details of</w:t>
      </w:r>
      <w:r w:rsidR="00FC3762" w:rsidRPr="009D007C">
        <w:rPr>
          <w:rFonts w:ascii="Arial" w:hAnsi="Arial" w:cs="Arial"/>
          <w:sz w:val="24"/>
          <w:szCs w:val="24"/>
        </w:rPr>
        <w:t xml:space="preserve"> </w:t>
      </w:r>
      <w:r w:rsidR="00FC3762">
        <w:rPr>
          <w:rFonts w:ascii="Arial" w:hAnsi="Arial" w:cs="Arial"/>
          <w:sz w:val="24"/>
          <w:szCs w:val="24"/>
        </w:rPr>
        <w:t>life in an institution but</w:t>
      </w:r>
      <w:r w:rsidR="00FC3762" w:rsidRPr="009D007C">
        <w:rPr>
          <w:rFonts w:ascii="Arial" w:hAnsi="Arial" w:cs="Arial"/>
          <w:sz w:val="24"/>
          <w:szCs w:val="24"/>
        </w:rPr>
        <w:t xml:space="preserve"> also </w:t>
      </w:r>
      <w:r w:rsidR="002861CF">
        <w:rPr>
          <w:rFonts w:ascii="Arial" w:hAnsi="Arial" w:cs="Arial"/>
          <w:sz w:val="24"/>
          <w:szCs w:val="24"/>
        </w:rPr>
        <w:t>reveal the</w:t>
      </w:r>
      <w:r w:rsidR="00FC3762">
        <w:rPr>
          <w:rFonts w:ascii="Arial" w:hAnsi="Arial" w:cs="Arial"/>
          <w:sz w:val="24"/>
          <w:szCs w:val="24"/>
        </w:rPr>
        <w:t xml:space="preserve"> hidden</w:t>
      </w:r>
      <w:r w:rsidR="00FC3762" w:rsidRPr="009D007C">
        <w:rPr>
          <w:rFonts w:ascii="Arial" w:hAnsi="Arial" w:cs="Arial"/>
          <w:sz w:val="24"/>
          <w:szCs w:val="24"/>
        </w:rPr>
        <w:t xml:space="preserve"> palimpsests of imagined institutions in action –</w:t>
      </w:r>
      <w:r w:rsidR="00A56B4C">
        <w:rPr>
          <w:rFonts w:ascii="Arial" w:hAnsi="Arial" w:cs="Arial"/>
          <w:sz w:val="24"/>
          <w:szCs w:val="24"/>
        </w:rPr>
        <w:t xml:space="preserve"> </w:t>
      </w:r>
      <w:r w:rsidR="00FC3762" w:rsidRPr="009D007C">
        <w:rPr>
          <w:rFonts w:ascii="Arial" w:hAnsi="Arial" w:cs="Arial"/>
          <w:sz w:val="24"/>
          <w:szCs w:val="24"/>
        </w:rPr>
        <w:t>showing the culture, habits and expectations that have grown around that space.</w:t>
      </w:r>
      <w:r w:rsidR="00F42FBE">
        <w:rPr>
          <w:rFonts w:ascii="Arial" w:hAnsi="Arial" w:cs="Arial"/>
          <w:sz w:val="24"/>
          <w:szCs w:val="24"/>
        </w:rPr>
        <w:t xml:space="preserve"> </w:t>
      </w:r>
      <w:r w:rsidR="008C53AE">
        <w:rPr>
          <w:rFonts w:ascii="Arial" w:hAnsi="Arial" w:cs="Arial"/>
          <w:sz w:val="24"/>
          <w:szCs w:val="24"/>
        </w:rPr>
        <w:t>For their obvious utility in this regard, political petitions have tended t</w:t>
      </w:r>
      <w:r w:rsidR="005522B7">
        <w:rPr>
          <w:rFonts w:ascii="Arial" w:hAnsi="Arial" w:cs="Arial"/>
          <w:sz w:val="24"/>
          <w:szCs w:val="24"/>
        </w:rPr>
        <w:t>o receive the keenest attentions fro</w:t>
      </w:r>
      <w:r w:rsidR="008C53AE">
        <w:rPr>
          <w:rFonts w:ascii="Arial" w:hAnsi="Arial" w:cs="Arial"/>
          <w:sz w:val="24"/>
          <w:szCs w:val="24"/>
        </w:rPr>
        <w:t>m historians.</w:t>
      </w:r>
      <w:r w:rsidR="006A4E7B">
        <w:rPr>
          <w:rFonts w:ascii="Arial" w:hAnsi="Arial" w:cs="Arial"/>
          <w:sz w:val="24"/>
          <w:szCs w:val="24"/>
        </w:rPr>
        <w:t xml:space="preserve"> In contrast, t</w:t>
      </w:r>
      <w:r w:rsidR="0005457E">
        <w:rPr>
          <w:rFonts w:ascii="Arial" w:hAnsi="Arial" w:cs="Arial"/>
          <w:sz w:val="24"/>
          <w:szCs w:val="24"/>
        </w:rPr>
        <w:t xml:space="preserve">his article will examine three convict petitioners who were confronting the state for no obvious political reason other than to improve their personal circumstances. </w:t>
      </w:r>
      <w:r w:rsidR="0041513D">
        <w:rPr>
          <w:rFonts w:ascii="Arial" w:hAnsi="Arial" w:cs="Arial"/>
          <w:sz w:val="24"/>
          <w:szCs w:val="24"/>
        </w:rPr>
        <w:t xml:space="preserve">Unlike some (but by no means all) political tracts, these words were crafted with no apparent awareness </w:t>
      </w:r>
      <w:r w:rsidR="0041513D" w:rsidRPr="0041513D">
        <w:rPr>
          <w:rFonts w:ascii="Arial" w:hAnsi="Arial" w:cs="Arial"/>
          <w:sz w:val="24"/>
          <w:szCs w:val="24"/>
        </w:rPr>
        <w:t xml:space="preserve">for posterity or for the </w:t>
      </w:r>
      <w:r w:rsidR="0041513D">
        <w:rPr>
          <w:rFonts w:ascii="Arial" w:hAnsi="Arial" w:cs="Arial"/>
          <w:sz w:val="24"/>
          <w:szCs w:val="24"/>
        </w:rPr>
        <w:t>engagement</w:t>
      </w:r>
      <w:r w:rsidR="0041513D" w:rsidRPr="0041513D">
        <w:rPr>
          <w:rFonts w:ascii="Arial" w:hAnsi="Arial" w:cs="Arial"/>
          <w:sz w:val="24"/>
          <w:szCs w:val="24"/>
        </w:rPr>
        <w:t xml:space="preserve"> of future readers.</w:t>
      </w:r>
      <w:r w:rsidR="0041513D" w:rsidRPr="0041513D">
        <w:rPr>
          <w:rFonts w:ascii="Arial" w:hAnsi="Arial" w:cs="Arial"/>
          <w:sz w:val="24"/>
          <w:szCs w:val="24"/>
          <w:vertAlign w:val="superscript"/>
        </w:rPr>
        <w:endnoteReference w:id="4"/>
      </w:r>
      <w:r w:rsidR="0041513D" w:rsidRPr="0041513D">
        <w:rPr>
          <w:rFonts w:ascii="Arial" w:hAnsi="Arial" w:cs="Arial"/>
          <w:sz w:val="24"/>
          <w:szCs w:val="24"/>
        </w:rPr>
        <w:t xml:space="preserve"> </w:t>
      </w:r>
      <w:r w:rsidR="0041513D">
        <w:rPr>
          <w:rFonts w:ascii="Arial" w:hAnsi="Arial" w:cs="Arial"/>
          <w:sz w:val="24"/>
          <w:szCs w:val="24"/>
        </w:rPr>
        <w:t xml:space="preserve">These were documents with a practical and personal immediacy that makes them all the more compelling. </w:t>
      </w:r>
      <w:r w:rsidR="0005457E">
        <w:rPr>
          <w:rFonts w:ascii="Arial" w:hAnsi="Arial" w:cs="Arial"/>
          <w:sz w:val="24"/>
          <w:szCs w:val="24"/>
        </w:rPr>
        <w:t xml:space="preserve">As the article concludes, we might question if </w:t>
      </w:r>
      <w:r w:rsidR="006E3973">
        <w:rPr>
          <w:rFonts w:ascii="Arial" w:hAnsi="Arial" w:cs="Arial"/>
          <w:sz w:val="24"/>
          <w:szCs w:val="24"/>
        </w:rPr>
        <w:t>their motives, if not their actions, were</w:t>
      </w:r>
      <w:r w:rsidR="0005457E">
        <w:rPr>
          <w:rFonts w:ascii="Arial" w:hAnsi="Arial" w:cs="Arial"/>
          <w:sz w:val="24"/>
          <w:szCs w:val="24"/>
        </w:rPr>
        <w:t xml:space="preserve"> </w:t>
      </w:r>
      <w:r w:rsidR="0041513D">
        <w:rPr>
          <w:rFonts w:ascii="Arial" w:hAnsi="Arial" w:cs="Arial"/>
          <w:sz w:val="24"/>
          <w:szCs w:val="24"/>
        </w:rPr>
        <w:t xml:space="preserve">though </w:t>
      </w:r>
      <w:r w:rsidR="006A4E7B">
        <w:rPr>
          <w:rFonts w:ascii="Arial" w:hAnsi="Arial" w:cs="Arial"/>
          <w:sz w:val="24"/>
          <w:szCs w:val="24"/>
        </w:rPr>
        <w:t xml:space="preserve">a micro-political </w:t>
      </w:r>
      <w:r w:rsidR="006E3973">
        <w:rPr>
          <w:rFonts w:ascii="Arial" w:hAnsi="Arial" w:cs="Arial"/>
          <w:sz w:val="24"/>
          <w:szCs w:val="24"/>
        </w:rPr>
        <w:t xml:space="preserve">act in so much as they were acts of </w:t>
      </w:r>
      <w:r w:rsidR="006A4E7B">
        <w:rPr>
          <w:rFonts w:ascii="Arial" w:hAnsi="Arial" w:cs="Arial"/>
          <w:sz w:val="24"/>
          <w:szCs w:val="24"/>
        </w:rPr>
        <w:t xml:space="preserve">personal </w:t>
      </w:r>
      <w:r w:rsidR="006E3973">
        <w:rPr>
          <w:rFonts w:ascii="Arial" w:hAnsi="Arial" w:cs="Arial"/>
          <w:sz w:val="24"/>
          <w:szCs w:val="24"/>
        </w:rPr>
        <w:t>deliberation</w:t>
      </w:r>
      <w:r w:rsidR="006A4E7B">
        <w:rPr>
          <w:rFonts w:ascii="Arial" w:hAnsi="Arial" w:cs="Arial"/>
          <w:sz w:val="24"/>
          <w:szCs w:val="24"/>
        </w:rPr>
        <w:t xml:space="preserve"> and fee</w:t>
      </w:r>
      <w:r w:rsidR="0041513D">
        <w:rPr>
          <w:rFonts w:ascii="Arial" w:hAnsi="Arial" w:cs="Arial"/>
          <w:sz w:val="24"/>
          <w:szCs w:val="24"/>
        </w:rPr>
        <w:t>ling</w:t>
      </w:r>
      <w:r w:rsidR="006A4E7B">
        <w:rPr>
          <w:rFonts w:ascii="Arial" w:hAnsi="Arial" w:cs="Arial"/>
          <w:sz w:val="24"/>
          <w:szCs w:val="24"/>
        </w:rPr>
        <w:t xml:space="preserve"> </w:t>
      </w:r>
      <w:r w:rsidR="006E3973">
        <w:rPr>
          <w:rFonts w:ascii="Arial" w:hAnsi="Arial" w:cs="Arial"/>
          <w:sz w:val="24"/>
          <w:szCs w:val="24"/>
        </w:rPr>
        <w:t>within spaces designed to enforce repression of individual</w:t>
      </w:r>
      <w:r w:rsidR="00F07E01">
        <w:rPr>
          <w:rFonts w:ascii="Arial" w:hAnsi="Arial" w:cs="Arial"/>
          <w:sz w:val="24"/>
          <w:szCs w:val="24"/>
        </w:rPr>
        <w:t xml:space="preserve"> expression</w:t>
      </w:r>
      <w:r w:rsidR="003326E4">
        <w:rPr>
          <w:rFonts w:ascii="Arial" w:hAnsi="Arial" w:cs="Arial"/>
          <w:sz w:val="24"/>
          <w:szCs w:val="24"/>
        </w:rPr>
        <w:t>.</w:t>
      </w:r>
    </w:p>
    <w:p w14:paraId="4A748E72" w14:textId="77777777" w:rsidR="003326E4" w:rsidRDefault="003326E4" w:rsidP="002843F9">
      <w:pPr>
        <w:spacing w:after="0" w:line="240" w:lineRule="auto"/>
        <w:rPr>
          <w:rFonts w:ascii="Arial" w:hAnsi="Arial" w:cs="Arial"/>
          <w:sz w:val="24"/>
          <w:szCs w:val="24"/>
        </w:rPr>
      </w:pPr>
    </w:p>
    <w:p w14:paraId="74897ECE" w14:textId="77777777" w:rsidR="0005457E" w:rsidRDefault="0005457E" w:rsidP="002843F9">
      <w:pPr>
        <w:spacing w:after="0" w:line="240" w:lineRule="auto"/>
        <w:rPr>
          <w:rFonts w:ascii="Arial" w:hAnsi="Arial" w:cs="Arial"/>
          <w:sz w:val="24"/>
          <w:szCs w:val="24"/>
        </w:rPr>
      </w:pPr>
      <w:r w:rsidRPr="0005457E">
        <w:rPr>
          <w:rFonts w:ascii="Arial" w:hAnsi="Arial" w:cs="Arial"/>
          <w:sz w:val="24"/>
          <w:szCs w:val="24"/>
        </w:rPr>
        <w:t xml:space="preserve">In drawing out the details of convict grievances in petitions, the article joins with a growing body of literature on </w:t>
      </w:r>
      <w:r w:rsidR="00691A3F">
        <w:rPr>
          <w:rFonts w:ascii="Arial" w:hAnsi="Arial" w:cs="Arial"/>
          <w:sz w:val="24"/>
          <w:szCs w:val="24"/>
        </w:rPr>
        <w:t>institutional harm and expressions of personal grievance</w:t>
      </w:r>
      <w:r w:rsidRPr="0005457E">
        <w:rPr>
          <w:rFonts w:ascii="Arial" w:hAnsi="Arial" w:cs="Arial"/>
          <w:sz w:val="24"/>
          <w:szCs w:val="24"/>
        </w:rPr>
        <w:t>.</w:t>
      </w:r>
      <w:r w:rsidR="00C86BC9">
        <w:rPr>
          <w:rStyle w:val="EndnoteReference"/>
          <w:rFonts w:ascii="Arial" w:hAnsi="Arial" w:cs="Arial"/>
          <w:sz w:val="24"/>
          <w:szCs w:val="24"/>
        </w:rPr>
        <w:endnoteReference w:id="5"/>
      </w:r>
      <w:r w:rsidRPr="0005457E">
        <w:rPr>
          <w:rFonts w:ascii="Arial" w:hAnsi="Arial" w:cs="Arial"/>
          <w:sz w:val="24"/>
          <w:szCs w:val="24"/>
        </w:rPr>
        <w:t xml:space="preserve"> It suggests that both</w:t>
      </w:r>
      <w:r w:rsidR="00C86BC9">
        <w:rPr>
          <w:rFonts w:ascii="Arial" w:hAnsi="Arial" w:cs="Arial"/>
          <w:sz w:val="24"/>
          <w:szCs w:val="24"/>
        </w:rPr>
        <w:t xml:space="preserve"> the</w:t>
      </w:r>
      <w:r w:rsidRPr="0005457E">
        <w:rPr>
          <w:rFonts w:ascii="Arial" w:hAnsi="Arial" w:cs="Arial"/>
          <w:sz w:val="24"/>
          <w:szCs w:val="24"/>
        </w:rPr>
        <w:t xml:space="preserve"> narrative form and petitioning processes can reveal as much </w:t>
      </w:r>
      <w:r w:rsidRPr="0005457E">
        <w:rPr>
          <w:rFonts w:ascii="Arial" w:hAnsi="Arial" w:cs="Arial"/>
          <w:sz w:val="24"/>
          <w:szCs w:val="24"/>
        </w:rPr>
        <w:lastRenderedPageBreak/>
        <w:t>about the convict sy</w:t>
      </w:r>
      <w:r w:rsidR="00C86BC9">
        <w:rPr>
          <w:rFonts w:ascii="Arial" w:hAnsi="Arial" w:cs="Arial"/>
          <w:sz w:val="24"/>
          <w:szCs w:val="24"/>
        </w:rPr>
        <w:t>stems and institutions that framed</w:t>
      </w:r>
      <w:r w:rsidRPr="0005457E">
        <w:rPr>
          <w:rFonts w:ascii="Arial" w:hAnsi="Arial" w:cs="Arial"/>
          <w:sz w:val="24"/>
          <w:szCs w:val="24"/>
        </w:rPr>
        <w:t xml:space="preserve"> their </w:t>
      </w:r>
      <w:r w:rsidR="00C86BC9">
        <w:rPr>
          <w:rFonts w:ascii="Arial" w:hAnsi="Arial" w:cs="Arial"/>
          <w:sz w:val="24"/>
          <w:szCs w:val="24"/>
        </w:rPr>
        <w:t>production</w:t>
      </w:r>
      <w:r w:rsidRPr="0005457E">
        <w:rPr>
          <w:rFonts w:ascii="Arial" w:hAnsi="Arial" w:cs="Arial"/>
          <w:sz w:val="24"/>
          <w:szCs w:val="24"/>
        </w:rPr>
        <w:t xml:space="preserve"> as it can describe the circumstances of the aggrieved.</w:t>
      </w:r>
      <w:r w:rsidRPr="0005457E">
        <w:rPr>
          <w:rFonts w:ascii="Arial" w:hAnsi="Arial" w:cs="Arial"/>
          <w:sz w:val="24"/>
          <w:szCs w:val="24"/>
          <w:vertAlign w:val="superscript"/>
        </w:rPr>
        <w:endnoteReference w:id="6"/>
      </w:r>
      <w:r w:rsidRPr="0005457E">
        <w:rPr>
          <w:rFonts w:ascii="Arial" w:hAnsi="Arial" w:cs="Arial"/>
          <w:sz w:val="24"/>
          <w:szCs w:val="24"/>
        </w:rPr>
        <w:t xml:space="preserve"> Using three thematically arranged case studies, it will introduce some common motivations but suggest that petitions were extremely varied</w:t>
      </w:r>
      <w:r w:rsidR="00C86BC9">
        <w:rPr>
          <w:rFonts w:ascii="Arial" w:hAnsi="Arial" w:cs="Arial"/>
          <w:sz w:val="24"/>
          <w:szCs w:val="24"/>
        </w:rPr>
        <w:t xml:space="preserve"> and</w:t>
      </w:r>
      <w:r w:rsidRPr="0005457E">
        <w:rPr>
          <w:rFonts w:ascii="Arial" w:hAnsi="Arial" w:cs="Arial"/>
          <w:sz w:val="24"/>
          <w:szCs w:val="24"/>
        </w:rPr>
        <w:t xml:space="preserve"> stemmed from a wide variety of personal objectives</w:t>
      </w:r>
      <w:r w:rsidR="00C86BC9">
        <w:rPr>
          <w:rFonts w:ascii="Arial" w:hAnsi="Arial" w:cs="Arial"/>
          <w:sz w:val="24"/>
          <w:szCs w:val="24"/>
        </w:rPr>
        <w:t xml:space="preserve">. Despite this barrier to providing concrete evidence </w:t>
      </w:r>
      <w:r w:rsidR="009C6622">
        <w:rPr>
          <w:rFonts w:ascii="Arial" w:hAnsi="Arial" w:cs="Arial"/>
          <w:sz w:val="24"/>
          <w:szCs w:val="24"/>
        </w:rPr>
        <w:t xml:space="preserve">of their </w:t>
      </w:r>
      <w:r w:rsidR="00C86BC9">
        <w:rPr>
          <w:rFonts w:ascii="Arial" w:hAnsi="Arial" w:cs="Arial"/>
          <w:sz w:val="24"/>
          <w:szCs w:val="24"/>
        </w:rPr>
        <w:t xml:space="preserve">representativeness, the </w:t>
      </w:r>
      <w:r w:rsidRPr="0005457E">
        <w:rPr>
          <w:rFonts w:ascii="Arial" w:hAnsi="Arial" w:cs="Arial"/>
          <w:sz w:val="24"/>
          <w:szCs w:val="24"/>
        </w:rPr>
        <w:t xml:space="preserve">diversity </w:t>
      </w:r>
      <w:r w:rsidR="00C86BC9">
        <w:rPr>
          <w:rFonts w:ascii="Arial" w:hAnsi="Arial" w:cs="Arial"/>
          <w:sz w:val="24"/>
          <w:szCs w:val="24"/>
        </w:rPr>
        <w:t>of petitions</w:t>
      </w:r>
      <w:r w:rsidR="009C6622">
        <w:rPr>
          <w:rFonts w:ascii="Arial" w:hAnsi="Arial" w:cs="Arial"/>
          <w:sz w:val="24"/>
          <w:szCs w:val="24"/>
        </w:rPr>
        <w:t xml:space="preserve"> provides historians with a rich </w:t>
      </w:r>
      <w:r w:rsidRPr="0005457E">
        <w:rPr>
          <w:rFonts w:ascii="Arial" w:hAnsi="Arial" w:cs="Arial"/>
          <w:sz w:val="24"/>
          <w:szCs w:val="24"/>
        </w:rPr>
        <w:t xml:space="preserve">supply of </w:t>
      </w:r>
      <w:r w:rsidR="009C6622">
        <w:rPr>
          <w:rFonts w:ascii="Arial" w:hAnsi="Arial" w:cs="Arial"/>
          <w:sz w:val="24"/>
          <w:szCs w:val="24"/>
        </w:rPr>
        <w:t>contemporary</w:t>
      </w:r>
      <w:r w:rsidRPr="0005457E">
        <w:rPr>
          <w:rFonts w:ascii="Arial" w:hAnsi="Arial" w:cs="Arial"/>
          <w:sz w:val="24"/>
          <w:szCs w:val="24"/>
        </w:rPr>
        <w:t xml:space="preserve"> observations on othe</w:t>
      </w:r>
      <w:r w:rsidR="009C6622">
        <w:rPr>
          <w:rFonts w:ascii="Arial" w:hAnsi="Arial" w:cs="Arial"/>
          <w:sz w:val="24"/>
          <w:szCs w:val="24"/>
        </w:rPr>
        <w:t xml:space="preserve">rwise less </w:t>
      </w:r>
      <w:r w:rsidRPr="0005457E">
        <w:rPr>
          <w:rFonts w:ascii="Arial" w:hAnsi="Arial" w:cs="Arial"/>
          <w:sz w:val="24"/>
          <w:szCs w:val="24"/>
        </w:rPr>
        <w:t>documented aspects of marginalised</w:t>
      </w:r>
      <w:r w:rsidR="00BD586B">
        <w:rPr>
          <w:rFonts w:ascii="Arial" w:hAnsi="Arial" w:cs="Arial"/>
          <w:sz w:val="24"/>
          <w:szCs w:val="24"/>
        </w:rPr>
        <w:t xml:space="preserve"> or vulnerable</w:t>
      </w:r>
      <w:r w:rsidRPr="0005457E">
        <w:rPr>
          <w:rFonts w:ascii="Arial" w:hAnsi="Arial" w:cs="Arial"/>
          <w:sz w:val="24"/>
          <w:szCs w:val="24"/>
        </w:rPr>
        <w:t xml:space="preserve"> lives, such as Mary James’s petitions for contact with </w:t>
      </w:r>
      <w:r w:rsidR="00C03ABA">
        <w:rPr>
          <w:rFonts w:ascii="Arial" w:hAnsi="Arial" w:cs="Arial"/>
          <w:sz w:val="24"/>
          <w:szCs w:val="24"/>
        </w:rPr>
        <w:t>her</w:t>
      </w:r>
      <w:r w:rsidRPr="0005457E">
        <w:rPr>
          <w:rFonts w:ascii="Arial" w:hAnsi="Arial" w:cs="Arial"/>
          <w:sz w:val="24"/>
          <w:szCs w:val="24"/>
        </w:rPr>
        <w:t xml:space="preserve"> child </w:t>
      </w:r>
      <w:r w:rsidR="00C03ABA">
        <w:rPr>
          <w:rFonts w:ascii="Arial" w:hAnsi="Arial" w:cs="Arial"/>
          <w:sz w:val="24"/>
          <w:szCs w:val="24"/>
        </w:rPr>
        <w:t xml:space="preserve">whom </w:t>
      </w:r>
      <w:r w:rsidRPr="0005457E">
        <w:rPr>
          <w:rFonts w:ascii="Arial" w:hAnsi="Arial" w:cs="Arial"/>
          <w:sz w:val="24"/>
          <w:szCs w:val="24"/>
        </w:rPr>
        <w:t>she had tried to kill.</w:t>
      </w:r>
      <w:r w:rsidR="009C6622">
        <w:rPr>
          <w:rFonts w:ascii="Arial" w:hAnsi="Arial" w:cs="Arial"/>
          <w:sz w:val="24"/>
          <w:szCs w:val="24"/>
        </w:rPr>
        <w:t xml:space="preserve"> In so doing, the content of these</w:t>
      </w:r>
      <w:r w:rsidRPr="0005457E">
        <w:rPr>
          <w:rFonts w:ascii="Arial" w:hAnsi="Arial" w:cs="Arial"/>
          <w:sz w:val="24"/>
          <w:szCs w:val="24"/>
        </w:rPr>
        <w:t xml:space="preserve"> self-oriented petitions </w:t>
      </w:r>
      <w:r w:rsidR="009C6622">
        <w:rPr>
          <w:rFonts w:ascii="Arial" w:hAnsi="Arial" w:cs="Arial"/>
          <w:sz w:val="24"/>
          <w:szCs w:val="24"/>
        </w:rPr>
        <w:t>tend</w:t>
      </w:r>
      <w:r w:rsidR="00A60968">
        <w:rPr>
          <w:rFonts w:ascii="Arial" w:hAnsi="Arial" w:cs="Arial"/>
          <w:sz w:val="24"/>
          <w:szCs w:val="24"/>
        </w:rPr>
        <w:t>s</w:t>
      </w:r>
      <w:r w:rsidR="009C6622">
        <w:rPr>
          <w:rFonts w:ascii="Arial" w:hAnsi="Arial" w:cs="Arial"/>
          <w:sz w:val="24"/>
          <w:szCs w:val="24"/>
        </w:rPr>
        <w:t xml:space="preserve"> to be quite different from </w:t>
      </w:r>
      <w:r w:rsidRPr="0005457E">
        <w:rPr>
          <w:rFonts w:ascii="Arial" w:hAnsi="Arial" w:cs="Arial"/>
          <w:sz w:val="24"/>
          <w:szCs w:val="24"/>
        </w:rPr>
        <w:t xml:space="preserve">those that were crafted with </w:t>
      </w:r>
      <w:r w:rsidR="009C6622">
        <w:rPr>
          <w:rFonts w:ascii="Arial" w:hAnsi="Arial" w:cs="Arial"/>
          <w:sz w:val="24"/>
          <w:szCs w:val="24"/>
        </w:rPr>
        <w:t>overt po</w:t>
      </w:r>
      <w:r w:rsidR="008C7311">
        <w:rPr>
          <w:rFonts w:ascii="Arial" w:hAnsi="Arial" w:cs="Arial"/>
          <w:sz w:val="24"/>
          <w:szCs w:val="24"/>
        </w:rPr>
        <w:t>litical aims.</w:t>
      </w:r>
    </w:p>
    <w:p w14:paraId="59D2AB68" w14:textId="77777777" w:rsidR="008C53AE" w:rsidRDefault="008C53AE" w:rsidP="002843F9">
      <w:pPr>
        <w:spacing w:after="0" w:line="240" w:lineRule="auto"/>
        <w:rPr>
          <w:rFonts w:ascii="Arial" w:hAnsi="Arial" w:cs="Arial"/>
          <w:sz w:val="24"/>
          <w:szCs w:val="24"/>
        </w:rPr>
      </w:pPr>
    </w:p>
    <w:p w14:paraId="02069751" w14:textId="77777777" w:rsidR="00A73520" w:rsidRDefault="00A60968" w:rsidP="00A73520">
      <w:pPr>
        <w:spacing w:after="0" w:line="240" w:lineRule="auto"/>
        <w:rPr>
          <w:rFonts w:ascii="Arial" w:hAnsi="Arial" w:cs="Arial"/>
          <w:sz w:val="24"/>
          <w:szCs w:val="24"/>
        </w:rPr>
      </w:pPr>
      <w:r w:rsidRPr="00A60968">
        <w:rPr>
          <w:rFonts w:ascii="Arial" w:hAnsi="Arial" w:cs="Arial"/>
          <w:sz w:val="24"/>
          <w:szCs w:val="24"/>
        </w:rPr>
        <w:t xml:space="preserve">Petitions from political prisoners can reveal the state’s interaction with and responses to its most outspoken and confrontational critics. </w:t>
      </w:r>
      <w:r w:rsidR="002C37FB" w:rsidRPr="002C37FB">
        <w:rPr>
          <w:rFonts w:ascii="Arial" w:hAnsi="Arial" w:cs="Arial"/>
          <w:sz w:val="24"/>
          <w:szCs w:val="24"/>
        </w:rPr>
        <w:t xml:space="preserve">As Katrina </w:t>
      </w:r>
      <w:proofErr w:type="spellStart"/>
      <w:r w:rsidR="002C37FB" w:rsidRPr="002C37FB">
        <w:rPr>
          <w:rFonts w:ascii="Arial" w:hAnsi="Arial" w:cs="Arial"/>
          <w:sz w:val="24"/>
          <w:szCs w:val="24"/>
        </w:rPr>
        <w:t>Navickas</w:t>
      </w:r>
      <w:proofErr w:type="spellEnd"/>
      <w:r w:rsidR="002C37FB" w:rsidRPr="002C37FB">
        <w:rPr>
          <w:rFonts w:ascii="Arial" w:hAnsi="Arial" w:cs="Arial"/>
          <w:sz w:val="24"/>
          <w:szCs w:val="24"/>
        </w:rPr>
        <w:t xml:space="preserve"> suggests, ‘petitions were the main legal recourse to parliament’ with ‘vital tactical and symbolic importance’.</w:t>
      </w:r>
      <w:r w:rsidR="002C37FB" w:rsidRPr="002C37FB">
        <w:rPr>
          <w:rFonts w:ascii="Arial" w:hAnsi="Arial" w:cs="Arial"/>
          <w:sz w:val="24"/>
          <w:szCs w:val="24"/>
          <w:vertAlign w:val="superscript"/>
        </w:rPr>
        <w:endnoteReference w:id="7"/>
      </w:r>
      <w:r w:rsidR="002C37FB" w:rsidRPr="002C37FB">
        <w:rPr>
          <w:rFonts w:ascii="Arial" w:hAnsi="Arial" w:cs="Arial"/>
          <w:sz w:val="24"/>
          <w:szCs w:val="24"/>
        </w:rPr>
        <w:t xml:space="preserve"> </w:t>
      </w:r>
      <w:r w:rsidRPr="00A60968">
        <w:rPr>
          <w:rFonts w:ascii="Arial" w:hAnsi="Arial" w:cs="Arial"/>
          <w:sz w:val="24"/>
          <w:szCs w:val="24"/>
        </w:rPr>
        <w:t>They were, as Henry Miller has observed, ‘one of the most important means of communication between citizens, or “the people”, and the state.’</w:t>
      </w:r>
      <w:r w:rsidRPr="00A60968">
        <w:rPr>
          <w:rFonts w:ascii="Arial" w:hAnsi="Arial" w:cs="Arial"/>
          <w:sz w:val="24"/>
          <w:szCs w:val="24"/>
          <w:vertAlign w:val="superscript"/>
        </w:rPr>
        <w:endnoteReference w:id="8"/>
      </w:r>
      <w:r w:rsidRPr="00A60968">
        <w:rPr>
          <w:rFonts w:ascii="Arial" w:hAnsi="Arial" w:cs="Arial"/>
          <w:sz w:val="24"/>
          <w:szCs w:val="24"/>
        </w:rPr>
        <w:t xml:space="preserve"> Nonetheless, </w:t>
      </w:r>
      <w:r w:rsidR="007E6564">
        <w:rPr>
          <w:rFonts w:ascii="Arial" w:hAnsi="Arial" w:cs="Arial"/>
          <w:sz w:val="24"/>
          <w:szCs w:val="24"/>
        </w:rPr>
        <w:t xml:space="preserve">the vast majority of convicts’ petitions </w:t>
      </w:r>
      <w:r w:rsidRPr="00A60968">
        <w:rPr>
          <w:rFonts w:ascii="Arial" w:hAnsi="Arial" w:cs="Arial"/>
          <w:sz w:val="24"/>
          <w:szCs w:val="24"/>
        </w:rPr>
        <w:t xml:space="preserve">were more varied, nuanced and self-focused than </w:t>
      </w:r>
      <w:r w:rsidR="001E7B5C">
        <w:rPr>
          <w:rFonts w:ascii="Arial" w:hAnsi="Arial" w:cs="Arial"/>
          <w:sz w:val="24"/>
          <w:szCs w:val="24"/>
        </w:rPr>
        <w:t xml:space="preserve">overtly </w:t>
      </w:r>
      <w:r w:rsidRPr="00A60968">
        <w:rPr>
          <w:rFonts w:ascii="Arial" w:hAnsi="Arial" w:cs="Arial"/>
          <w:sz w:val="24"/>
          <w:szCs w:val="24"/>
        </w:rPr>
        <w:t>political texts suggest.</w:t>
      </w:r>
      <w:r>
        <w:rPr>
          <w:rFonts w:ascii="Arial" w:hAnsi="Arial" w:cs="Arial"/>
          <w:sz w:val="24"/>
          <w:szCs w:val="24"/>
        </w:rPr>
        <w:t xml:space="preserve"> </w:t>
      </w:r>
      <w:r w:rsidR="007E6564">
        <w:rPr>
          <w:rFonts w:ascii="Arial" w:hAnsi="Arial" w:cs="Arial"/>
          <w:sz w:val="24"/>
          <w:szCs w:val="24"/>
        </w:rPr>
        <w:t>They</w:t>
      </w:r>
      <w:r w:rsidR="00A8449E">
        <w:rPr>
          <w:rFonts w:ascii="Arial" w:hAnsi="Arial" w:cs="Arial"/>
          <w:sz w:val="24"/>
          <w:szCs w:val="24"/>
        </w:rPr>
        <w:t xml:space="preserve"> were </w:t>
      </w:r>
      <w:r w:rsidR="008C53AE">
        <w:rPr>
          <w:rFonts w:ascii="Arial" w:hAnsi="Arial" w:cs="Arial"/>
          <w:sz w:val="24"/>
          <w:szCs w:val="24"/>
        </w:rPr>
        <w:t xml:space="preserve">above all </w:t>
      </w:r>
      <w:r w:rsidR="00A8449E">
        <w:rPr>
          <w:rFonts w:ascii="Arial" w:hAnsi="Arial" w:cs="Arial"/>
          <w:sz w:val="24"/>
          <w:szCs w:val="24"/>
        </w:rPr>
        <w:t xml:space="preserve">a </w:t>
      </w:r>
      <w:r w:rsidR="00A8449E" w:rsidRPr="00C7611B">
        <w:rPr>
          <w:rFonts w:ascii="Arial" w:hAnsi="Arial" w:cs="Arial"/>
          <w:sz w:val="24"/>
          <w:szCs w:val="24"/>
        </w:rPr>
        <w:t xml:space="preserve">critical instrument for voicing </w:t>
      </w:r>
      <w:r w:rsidR="00A8449E">
        <w:rPr>
          <w:rFonts w:ascii="Arial" w:hAnsi="Arial" w:cs="Arial"/>
          <w:sz w:val="24"/>
          <w:szCs w:val="24"/>
        </w:rPr>
        <w:t>the apolitical</w:t>
      </w:r>
      <w:r w:rsidR="00A8449E" w:rsidRPr="00C7611B">
        <w:rPr>
          <w:rFonts w:ascii="Arial" w:hAnsi="Arial" w:cs="Arial"/>
          <w:sz w:val="24"/>
          <w:szCs w:val="24"/>
        </w:rPr>
        <w:t xml:space="preserve"> individual </w:t>
      </w:r>
      <w:r w:rsidR="00A8449E">
        <w:rPr>
          <w:rFonts w:ascii="Arial" w:hAnsi="Arial" w:cs="Arial"/>
          <w:sz w:val="24"/>
          <w:szCs w:val="24"/>
        </w:rPr>
        <w:t xml:space="preserve">and </w:t>
      </w:r>
      <w:r w:rsidR="00A8449E" w:rsidRPr="00C7611B">
        <w:rPr>
          <w:rFonts w:ascii="Arial" w:hAnsi="Arial" w:cs="Arial"/>
          <w:sz w:val="24"/>
          <w:szCs w:val="24"/>
        </w:rPr>
        <w:t>personal grievance</w:t>
      </w:r>
      <w:r w:rsidR="00A8449E">
        <w:rPr>
          <w:rFonts w:ascii="Arial" w:hAnsi="Arial" w:cs="Arial"/>
          <w:sz w:val="24"/>
          <w:szCs w:val="24"/>
        </w:rPr>
        <w:t xml:space="preserve"> of prisoners</w:t>
      </w:r>
      <w:r w:rsidR="00A8449E" w:rsidRPr="00C7611B">
        <w:rPr>
          <w:rFonts w:ascii="Arial" w:hAnsi="Arial" w:cs="Arial"/>
          <w:sz w:val="24"/>
          <w:szCs w:val="24"/>
        </w:rPr>
        <w:t>.</w:t>
      </w:r>
      <w:r w:rsidR="009328BD">
        <w:rPr>
          <w:rStyle w:val="EndnoteReference"/>
          <w:rFonts w:ascii="Arial" w:hAnsi="Arial" w:cs="Arial"/>
          <w:sz w:val="24"/>
          <w:szCs w:val="24"/>
        </w:rPr>
        <w:endnoteReference w:id="9"/>
      </w:r>
      <w:r w:rsidR="00A8449E">
        <w:rPr>
          <w:rFonts w:ascii="Arial" w:hAnsi="Arial" w:cs="Arial"/>
          <w:sz w:val="24"/>
          <w:szCs w:val="24"/>
        </w:rPr>
        <w:t xml:space="preserve"> This skewed </w:t>
      </w:r>
      <w:r w:rsidR="00C03ABA">
        <w:rPr>
          <w:rFonts w:ascii="Arial" w:hAnsi="Arial" w:cs="Arial"/>
          <w:sz w:val="24"/>
          <w:szCs w:val="24"/>
        </w:rPr>
        <w:t>emphasis in history i</w:t>
      </w:r>
      <w:r w:rsidR="007E6564">
        <w:rPr>
          <w:rFonts w:ascii="Arial" w:hAnsi="Arial" w:cs="Arial"/>
          <w:sz w:val="24"/>
          <w:szCs w:val="24"/>
        </w:rPr>
        <w:t>s</w:t>
      </w:r>
      <w:r w:rsidR="00A8449E">
        <w:rPr>
          <w:rFonts w:ascii="Arial" w:hAnsi="Arial" w:cs="Arial"/>
          <w:sz w:val="24"/>
          <w:szCs w:val="24"/>
        </w:rPr>
        <w:t xml:space="preserve"> in part due to the process of </w:t>
      </w:r>
      <w:r w:rsidR="008C53AE">
        <w:rPr>
          <w:rFonts w:ascii="Arial" w:hAnsi="Arial" w:cs="Arial"/>
          <w:sz w:val="24"/>
          <w:szCs w:val="24"/>
        </w:rPr>
        <w:t>preserving</w:t>
      </w:r>
      <w:r w:rsidR="00A8449E">
        <w:rPr>
          <w:rFonts w:ascii="Arial" w:hAnsi="Arial" w:cs="Arial"/>
          <w:sz w:val="24"/>
          <w:szCs w:val="24"/>
        </w:rPr>
        <w:t xml:space="preserve"> state records: </w:t>
      </w:r>
      <w:r w:rsidR="008C53AE">
        <w:rPr>
          <w:rFonts w:ascii="Arial" w:hAnsi="Arial" w:cs="Arial"/>
          <w:sz w:val="24"/>
          <w:szCs w:val="24"/>
        </w:rPr>
        <w:t xml:space="preserve">political interest trumped </w:t>
      </w:r>
      <w:r w:rsidR="002C37FB">
        <w:rPr>
          <w:rFonts w:ascii="Arial" w:hAnsi="Arial" w:cs="Arial"/>
          <w:sz w:val="24"/>
          <w:szCs w:val="24"/>
        </w:rPr>
        <w:t>individual</w:t>
      </w:r>
      <w:r w:rsidR="008C53AE">
        <w:rPr>
          <w:rFonts w:ascii="Arial" w:hAnsi="Arial" w:cs="Arial"/>
          <w:sz w:val="24"/>
          <w:szCs w:val="24"/>
        </w:rPr>
        <w:t xml:space="preserve"> narratives</w:t>
      </w:r>
      <w:r w:rsidR="007E6564">
        <w:rPr>
          <w:rFonts w:ascii="Arial" w:hAnsi="Arial" w:cs="Arial"/>
          <w:sz w:val="24"/>
          <w:szCs w:val="24"/>
        </w:rPr>
        <w:t xml:space="preserve"> in the </w:t>
      </w:r>
      <w:r w:rsidR="00C03ABA">
        <w:rPr>
          <w:rFonts w:ascii="Arial" w:hAnsi="Arial" w:cs="Arial"/>
          <w:sz w:val="24"/>
          <w:szCs w:val="24"/>
        </w:rPr>
        <w:t xml:space="preserve">jostle for </w:t>
      </w:r>
      <w:r w:rsidR="007E6564">
        <w:rPr>
          <w:rFonts w:ascii="Arial" w:hAnsi="Arial" w:cs="Arial"/>
          <w:sz w:val="24"/>
          <w:szCs w:val="24"/>
        </w:rPr>
        <w:t>archive</w:t>
      </w:r>
      <w:r w:rsidR="008C53AE">
        <w:rPr>
          <w:rFonts w:ascii="Arial" w:hAnsi="Arial" w:cs="Arial"/>
          <w:sz w:val="24"/>
          <w:szCs w:val="24"/>
        </w:rPr>
        <w:t xml:space="preserve"> </w:t>
      </w:r>
      <w:r w:rsidR="007E6564">
        <w:rPr>
          <w:rFonts w:ascii="Arial" w:hAnsi="Arial" w:cs="Arial"/>
          <w:sz w:val="24"/>
          <w:szCs w:val="24"/>
        </w:rPr>
        <w:t>storage</w:t>
      </w:r>
      <w:r w:rsidR="00C03ABA">
        <w:rPr>
          <w:rFonts w:ascii="Arial" w:hAnsi="Arial" w:cs="Arial"/>
          <w:sz w:val="24"/>
          <w:szCs w:val="24"/>
        </w:rPr>
        <w:t xml:space="preserve"> space</w:t>
      </w:r>
      <w:r w:rsidR="007E6564">
        <w:rPr>
          <w:rFonts w:ascii="Arial" w:hAnsi="Arial" w:cs="Arial"/>
          <w:sz w:val="24"/>
          <w:szCs w:val="24"/>
        </w:rPr>
        <w:t xml:space="preserve"> </w:t>
      </w:r>
      <w:r w:rsidR="008C53AE">
        <w:rPr>
          <w:rFonts w:ascii="Arial" w:hAnsi="Arial" w:cs="Arial"/>
          <w:sz w:val="24"/>
          <w:szCs w:val="24"/>
        </w:rPr>
        <w:t xml:space="preserve">until </w:t>
      </w:r>
      <w:r w:rsidR="007E6564">
        <w:rPr>
          <w:rFonts w:ascii="Arial" w:hAnsi="Arial" w:cs="Arial"/>
          <w:sz w:val="24"/>
          <w:szCs w:val="24"/>
        </w:rPr>
        <w:t xml:space="preserve">relatively </w:t>
      </w:r>
      <w:r w:rsidR="008C53AE">
        <w:rPr>
          <w:rFonts w:ascii="Arial" w:hAnsi="Arial" w:cs="Arial"/>
          <w:sz w:val="24"/>
          <w:szCs w:val="24"/>
        </w:rPr>
        <w:t>recent times. A</w:t>
      </w:r>
      <w:r w:rsidR="00ED6852">
        <w:rPr>
          <w:rFonts w:ascii="Arial" w:hAnsi="Arial" w:cs="Arial"/>
          <w:sz w:val="24"/>
          <w:szCs w:val="24"/>
        </w:rPr>
        <w:t>lmost all of the</w:t>
      </w:r>
      <w:r w:rsidR="00A8449E">
        <w:rPr>
          <w:rFonts w:ascii="Arial" w:hAnsi="Arial" w:cs="Arial"/>
          <w:sz w:val="24"/>
          <w:szCs w:val="24"/>
        </w:rPr>
        <w:t xml:space="preserve"> </w:t>
      </w:r>
      <w:r w:rsidR="00ED6852">
        <w:rPr>
          <w:rFonts w:ascii="Arial" w:hAnsi="Arial" w:cs="Arial"/>
          <w:sz w:val="24"/>
          <w:szCs w:val="24"/>
        </w:rPr>
        <w:t xml:space="preserve">hundreds of thousands of mundane </w:t>
      </w:r>
      <w:r w:rsidR="00A8449E">
        <w:rPr>
          <w:rFonts w:ascii="Arial" w:hAnsi="Arial" w:cs="Arial"/>
          <w:sz w:val="24"/>
          <w:szCs w:val="24"/>
        </w:rPr>
        <w:t>day-to-day</w:t>
      </w:r>
      <w:r w:rsidR="00ED6852">
        <w:rPr>
          <w:rFonts w:ascii="Arial" w:hAnsi="Arial" w:cs="Arial"/>
          <w:sz w:val="24"/>
          <w:szCs w:val="24"/>
        </w:rPr>
        <w:t xml:space="preserve"> grievance petitions </w:t>
      </w:r>
      <w:r w:rsidR="005522B7">
        <w:rPr>
          <w:rFonts w:ascii="Arial" w:hAnsi="Arial" w:cs="Arial"/>
          <w:sz w:val="24"/>
          <w:szCs w:val="24"/>
        </w:rPr>
        <w:t xml:space="preserve">by convicts </w:t>
      </w:r>
      <w:r w:rsidR="00ED6852">
        <w:rPr>
          <w:rFonts w:ascii="Arial" w:hAnsi="Arial" w:cs="Arial"/>
          <w:sz w:val="24"/>
          <w:szCs w:val="24"/>
        </w:rPr>
        <w:t xml:space="preserve">have </w:t>
      </w:r>
      <w:r w:rsidR="007E6564">
        <w:rPr>
          <w:rFonts w:ascii="Arial" w:hAnsi="Arial" w:cs="Arial"/>
          <w:sz w:val="24"/>
          <w:szCs w:val="24"/>
        </w:rPr>
        <w:t xml:space="preserve">therefore </w:t>
      </w:r>
      <w:r w:rsidR="009328BD">
        <w:rPr>
          <w:rFonts w:ascii="Arial" w:hAnsi="Arial" w:cs="Arial"/>
          <w:sz w:val="24"/>
          <w:szCs w:val="24"/>
        </w:rPr>
        <w:t xml:space="preserve">been lost after 1853. Cases of </w:t>
      </w:r>
      <w:r w:rsidR="00ED6852">
        <w:rPr>
          <w:rFonts w:ascii="Arial" w:hAnsi="Arial" w:cs="Arial"/>
          <w:sz w:val="24"/>
          <w:szCs w:val="24"/>
        </w:rPr>
        <w:t>politically important interactions between state</w:t>
      </w:r>
      <w:r w:rsidR="007E6564" w:rsidRPr="007E6564">
        <w:rPr>
          <w:rFonts w:ascii="Arial" w:hAnsi="Arial" w:cs="Arial"/>
          <w:sz w:val="24"/>
          <w:szCs w:val="24"/>
        </w:rPr>
        <w:t xml:space="preserve"> </w:t>
      </w:r>
      <w:r w:rsidR="00ED6852">
        <w:rPr>
          <w:rFonts w:ascii="Arial" w:hAnsi="Arial" w:cs="Arial"/>
          <w:sz w:val="24"/>
          <w:szCs w:val="24"/>
        </w:rPr>
        <w:t>and political prisoners</w:t>
      </w:r>
      <w:r w:rsidR="009328BD">
        <w:rPr>
          <w:rFonts w:ascii="Arial" w:hAnsi="Arial" w:cs="Arial"/>
          <w:sz w:val="24"/>
          <w:szCs w:val="24"/>
        </w:rPr>
        <w:t xml:space="preserve"> were less numerous</w:t>
      </w:r>
      <w:r w:rsidR="00ED6852">
        <w:rPr>
          <w:rFonts w:ascii="Arial" w:hAnsi="Arial" w:cs="Arial"/>
          <w:sz w:val="24"/>
          <w:szCs w:val="24"/>
        </w:rPr>
        <w:t xml:space="preserve"> </w:t>
      </w:r>
      <w:r w:rsidR="009328BD">
        <w:rPr>
          <w:rFonts w:ascii="Arial" w:hAnsi="Arial" w:cs="Arial"/>
          <w:sz w:val="24"/>
          <w:szCs w:val="24"/>
        </w:rPr>
        <w:t>but these were</w:t>
      </w:r>
      <w:r w:rsidR="007E6564" w:rsidRPr="007E6564">
        <w:rPr>
          <w:rFonts w:ascii="Arial" w:hAnsi="Arial" w:cs="Arial"/>
          <w:sz w:val="24"/>
          <w:szCs w:val="24"/>
        </w:rPr>
        <w:t xml:space="preserve"> purposefully preserved for posterity</w:t>
      </w:r>
      <w:r w:rsidR="009328BD">
        <w:rPr>
          <w:rFonts w:ascii="Arial" w:hAnsi="Arial" w:cs="Arial"/>
          <w:sz w:val="24"/>
          <w:szCs w:val="24"/>
        </w:rPr>
        <w:t xml:space="preserve"> and so </w:t>
      </w:r>
      <w:r w:rsidR="00C03ABA">
        <w:rPr>
          <w:rFonts w:ascii="Arial" w:hAnsi="Arial" w:cs="Arial"/>
          <w:sz w:val="24"/>
          <w:szCs w:val="24"/>
        </w:rPr>
        <w:t>(</w:t>
      </w:r>
      <w:r w:rsidR="00C03ABA" w:rsidRPr="00C03ABA">
        <w:rPr>
          <w:rFonts w:ascii="Arial" w:hAnsi="Arial" w:cs="Arial"/>
          <w:sz w:val="24"/>
          <w:szCs w:val="24"/>
        </w:rPr>
        <w:t>inversely</w:t>
      </w:r>
      <w:r w:rsidR="00C03ABA">
        <w:rPr>
          <w:rFonts w:ascii="Arial" w:hAnsi="Arial" w:cs="Arial"/>
          <w:sz w:val="24"/>
          <w:szCs w:val="24"/>
        </w:rPr>
        <w:t>)</w:t>
      </w:r>
      <w:r w:rsidR="00C03ABA" w:rsidRPr="00C03ABA">
        <w:rPr>
          <w:rFonts w:ascii="Arial" w:hAnsi="Arial" w:cs="Arial"/>
          <w:sz w:val="24"/>
          <w:szCs w:val="24"/>
        </w:rPr>
        <w:t xml:space="preserve"> </w:t>
      </w:r>
      <w:r w:rsidR="009328BD">
        <w:rPr>
          <w:rFonts w:ascii="Arial" w:hAnsi="Arial" w:cs="Arial"/>
          <w:sz w:val="24"/>
          <w:szCs w:val="24"/>
        </w:rPr>
        <w:t>extant cases</w:t>
      </w:r>
      <w:r w:rsidR="00C03ABA">
        <w:rPr>
          <w:rFonts w:ascii="Arial" w:hAnsi="Arial" w:cs="Arial"/>
          <w:sz w:val="24"/>
          <w:szCs w:val="24"/>
        </w:rPr>
        <w:t xml:space="preserve"> of those</w:t>
      </w:r>
      <w:r w:rsidR="009328BD">
        <w:rPr>
          <w:rFonts w:ascii="Arial" w:hAnsi="Arial" w:cs="Arial"/>
          <w:sz w:val="24"/>
          <w:szCs w:val="24"/>
        </w:rPr>
        <w:t xml:space="preserve"> are greater in number</w:t>
      </w:r>
      <w:r w:rsidR="00ED6852">
        <w:rPr>
          <w:rFonts w:ascii="Arial" w:hAnsi="Arial" w:cs="Arial"/>
          <w:sz w:val="24"/>
          <w:szCs w:val="24"/>
        </w:rPr>
        <w:t xml:space="preserve">. </w:t>
      </w:r>
      <w:r w:rsidR="008C53AE">
        <w:rPr>
          <w:rFonts w:ascii="Arial" w:hAnsi="Arial" w:cs="Arial"/>
          <w:sz w:val="24"/>
          <w:szCs w:val="24"/>
        </w:rPr>
        <w:t xml:space="preserve">Given the sheer volume of regular </w:t>
      </w:r>
      <w:r w:rsidR="009328BD">
        <w:rPr>
          <w:rFonts w:ascii="Arial" w:hAnsi="Arial" w:cs="Arial"/>
          <w:sz w:val="24"/>
          <w:szCs w:val="24"/>
        </w:rPr>
        <w:t xml:space="preserve">mundane </w:t>
      </w:r>
      <w:r w:rsidR="008C53AE">
        <w:rPr>
          <w:rFonts w:ascii="Arial" w:hAnsi="Arial" w:cs="Arial"/>
          <w:sz w:val="24"/>
          <w:szCs w:val="24"/>
        </w:rPr>
        <w:t>petitions,</w:t>
      </w:r>
      <w:r w:rsidR="00C03ABA">
        <w:rPr>
          <w:rFonts w:ascii="Arial" w:hAnsi="Arial" w:cs="Arial"/>
          <w:sz w:val="24"/>
          <w:szCs w:val="24"/>
        </w:rPr>
        <w:t xml:space="preserve"> this</w:t>
      </w:r>
      <w:r w:rsidR="008C53AE">
        <w:rPr>
          <w:rFonts w:ascii="Arial" w:hAnsi="Arial" w:cs="Arial"/>
          <w:sz w:val="24"/>
          <w:szCs w:val="24"/>
        </w:rPr>
        <w:t xml:space="preserve"> destruction </w:t>
      </w:r>
      <w:r w:rsidR="005522B7">
        <w:rPr>
          <w:rFonts w:ascii="Arial" w:hAnsi="Arial" w:cs="Arial"/>
          <w:sz w:val="24"/>
          <w:szCs w:val="24"/>
        </w:rPr>
        <w:t>w</w:t>
      </w:r>
      <w:r w:rsidR="008C53AE">
        <w:rPr>
          <w:rFonts w:ascii="Arial" w:hAnsi="Arial" w:cs="Arial"/>
          <w:sz w:val="24"/>
          <w:szCs w:val="24"/>
        </w:rPr>
        <w:t xml:space="preserve">as in some regards </w:t>
      </w:r>
      <w:r w:rsidR="005522B7">
        <w:rPr>
          <w:rFonts w:ascii="Arial" w:hAnsi="Arial" w:cs="Arial"/>
          <w:sz w:val="24"/>
          <w:szCs w:val="24"/>
        </w:rPr>
        <w:t xml:space="preserve">inevitable. Such an eye-watering </w:t>
      </w:r>
      <w:r w:rsidR="00A73520">
        <w:rPr>
          <w:rFonts w:ascii="Arial" w:hAnsi="Arial" w:cs="Arial"/>
          <w:sz w:val="24"/>
          <w:szCs w:val="24"/>
        </w:rPr>
        <w:t xml:space="preserve">loss of </w:t>
      </w:r>
      <w:r w:rsidR="005522B7">
        <w:rPr>
          <w:rFonts w:ascii="Arial" w:hAnsi="Arial" w:cs="Arial"/>
          <w:sz w:val="24"/>
          <w:szCs w:val="24"/>
        </w:rPr>
        <w:t xml:space="preserve">critically important </w:t>
      </w:r>
      <w:r w:rsidR="002C37FB">
        <w:rPr>
          <w:rFonts w:ascii="Arial" w:hAnsi="Arial" w:cs="Arial"/>
          <w:sz w:val="24"/>
          <w:szCs w:val="24"/>
        </w:rPr>
        <w:t xml:space="preserve">nineteenth-century </w:t>
      </w:r>
      <w:r w:rsidR="00A73520">
        <w:rPr>
          <w:rFonts w:ascii="Arial" w:hAnsi="Arial" w:cs="Arial"/>
          <w:sz w:val="24"/>
          <w:szCs w:val="24"/>
        </w:rPr>
        <w:t xml:space="preserve">source </w:t>
      </w:r>
      <w:r w:rsidR="005522B7">
        <w:rPr>
          <w:rFonts w:ascii="Arial" w:hAnsi="Arial" w:cs="Arial"/>
          <w:sz w:val="24"/>
          <w:szCs w:val="24"/>
        </w:rPr>
        <w:t xml:space="preserve">material has meant that </w:t>
      </w:r>
      <w:r w:rsidR="005522B7" w:rsidRPr="005522B7">
        <w:rPr>
          <w:rFonts w:ascii="Arial" w:hAnsi="Arial" w:cs="Arial"/>
          <w:sz w:val="24"/>
          <w:szCs w:val="24"/>
        </w:rPr>
        <w:t xml:space="preserve">the </w:t>
      </w:r>
      <w:r w:rsidR="005522B7">
        <w:rPr>
          <w:rFonts w:ascii="Arial" w:hAnsi="Arial" w:cs="Arial"/>
          <w:sz w:val="24"/>
          <w:szCs w:val="24"/>
        </w:rPr>
        <w:t xml:space="preserve">more common regular themes in petitions of </w:t>
      </w:r>
      <w:r w:rsidR="00F96ACD">
        <w:rPr>
          <w:rFonts w:ascii="Arial" w:hAnsi="Arial" w:cs="Arial"/>
          <w:sz w:val="24"/>
          <w:szCs w:val="24"/>
        </w:rPr>
        <w:t>aggrieved convicts has largely been post to posterity and</w:t>
      </w:r>
      <w:r w:rsidR="009328BD">
        <w:rPr>
          <w:rFonts w:ascii="Arial" w:hAnsi="Arial" w:cs="Arial"/>
          <w:sz w:val="24"/>
          <w:szCs w:val="24"/>
        </w:rPr>
        <w:t xml:space="preserve"> contributed to less</w:t>
      </w:r>
      <w:r w:rsidR="008C53AE" w:rsidRPr="004F2506">
        <w:rPr>
          <w:rFonts w:ascii="Arial" w:hAnsi="Arial" w:cs="Arial"/>
          <w:sz w:val="24"/>
          <w:szCs w:val="24"/>
        </w:rPr>
        <w:t xml:space="preserve"> </w:t>
      </w:r>
      <w:r w:rsidR="009328BD">
        <w:rPr>
          <w:rFonts w:ascii="Arial" w:hAnsi="Arial" w:cs="Arial"/>
          <w:sz w:val="24"/>
          <w:szCs w:val="24"/>
        </w:rPr>
        <w:t xml:space="preserve">historical </w:t>
      </w:r>
      <w:r w:rsidR="008C53AE">
        <w:rPr>
          <w:rFonts w:ascii="Arial" w:hAnsi="Arial" w:cs="Arial"/>
          <w:sz w:val="24"/>
          <w:szCs w:val="24"/>
        </w:rPr>
        <w:t>attention.</w:t>
      </w:r>
      <w:r w:rsidR="00A73520" w:rsidRPr="00A73520">
        <w:rPr>
          <w:rFonts w:ascii="Arial" w:hAnsi="Arial" w:cs="Arial"/>
          <w:sz w:val="24"/>
          <w:szCs w:val="24"/>
        </w:rPr>
        <w:t xml:space="preserve"> </w:t>
      </w:r>
      <w:r w:rsidR="00A73520">
        <w:rPr>
          <w:rFonts w:ascii="Arial" w:hAnsi="Arial" w:cs="Arial"/>
          <w:sz w:val="24"/>
          <w:szCs w:val="24"/>
        </w:rPr>
        <w:t xml:space="preserve">Despite the enormous loss of extant correspondence from what was once a thriving channel of communication between prisoner and state, </w:t>
      </w:r>
      <w:r w:rsidR="0089505B">
        <w:rPr>
          <w:rFonts w:ascii="Arial" w:hAnsi="Arial" w:cs="Arial"/>
          <w:sz w:val="24"/>
          <w:szCs w:val="24"/>
        </w:rPr>
        <w:t>elements</w:t>
      </w:r>
      <w:r w:rsidR="00A73520">
        <w:rPr>
          <w:rFonts w:ascii="Arial" w:hAnsi="Arial" w:cs="Arial"/>
          <w:sz w:val="24"/>
          <w:szCs w:val="24"/>
        </w:rPr>
        <w:t xml:space="preserve"> of lost petitions can be recovered and</w:t>
      </w:r>
      <w:r w:rsidR="0089505B">
        <w:rPr>
          <w:rFonts w:ascii="Arial" w:hAnsi="Arial" w:cs="Arial"/>
          <w:sz w:val="24"/>
          <w:szCs w:val="24"/>
        </w:rPr>
        <w:t>, as this article suggests,</w:t>
      </w:r>
      <w:r w:rsidR="00A73520">
        <w:rPr>
          <w:rFonts w:ascii="Arial" w:hAnsi="Arial" w:cs="Arial"/>
          <w:sz w:val="24"/>
          <w:szCs w:val="24"/>
        </w:rPr>
        <w:t xml:space="preserve"> </w:t>
      </w:r>
      <w:r w:rsidR="0089505B">
        <w:rPr>
          <w:rFonts w:ascii="Arial" w:hAnsi="Arial" w:cs="Arial"/>
          <w:sz w:val="24"/>
          <w:szCs w:val="24"/>
        </w:rPr>
        <w:t>provide</w:t>
      </w:r>
      <w:r w:rsidR="00C03ABA">
        <w:rPr>
          <w:rFonts w:ascii="Arial" w:hAnsi="Arial" w:cs="Arial"/>
          <w:sz w:val="24"/>
          <w:szCs w:val="24"/>
        </w:rPr>
        <w:t xml:space="preserve"> an unusual and </w:t>
      </w:r>
      <w:r w:rsidR="00A73520">
        <w:rPr>
          <w:rFonts w:ascii="Arial" w:hAnsi="Arial" w:cs="Arial"/>
          <w:sz w:val="24"/>
          <w:szCs w:val="24"/>
        </w:rPr>
        <w:t xml:space="preserve">valuable </w:t>
      </w:r>
      <w:r w:rsidR="0089505B">
        <w:rPr>
          <w:rFonts w:ascii="Arial" w:hAnsi="Arial" w:cs="Arial"/>
          <w:sz w:val="24"/>
          <w:szCs w:val="24"/>
        </w:rPr>
        <w:t>re</w:t>
      </w:r>
      <w:r w:rsidR="00A73520">
        <w:rPr>
          <w:rFonts w:ascii="Arial" w:hAnsi="Arial" w:cs="Arial"/>
          <w:sz w:val="24"/>
          <w:szCs w:val="24"/>
        </w:rPr>
        <w:t>source for social historians.</w:t>
      </w:r>
    </w:p>
    <w:p w14:paraId="51E7AC6E" w14:textId="77777777" w:rsidR="00B24762" w:rsidRDefault="00B24762" w:rsidP="002843F9">
      <w:pPr>
        <w:spacing w:after="0" w:line="240" w:lineRule="auto"/>
        <w:rPr>
          <w:rFonts w:ascii="Arial" w:hAnsi="Arial" w:cs="Arial"/>
          <w:sz w:val="24"/>
          <w:szCs w:val="24"/>
        </w:rPr>
      </w:pPr>
    </w:p>
    <w:p w14:paraId="3FCEE609" w14:textId="77777777" w:rsidR="00B24762" w:rsidRPr="009D007C" w:rsidRDefault="00B24762" w:rsidP="00B24762">
      <w:pPr>
        <w:spacing w:after="0" w:line="240" w:lineRule="auto"/>
        <w:rPr>
          <w:rFonts w:ascii="Arial" w:hAnsi="Arial" w:cs="Arial"/>
          <w:b/>
          <w:sz w:val="24"/>
          <w:szCs w:val="24"/>
        </w:rPr>
      </w:pPr>
      <w:r w:rsidRPr="009D007C">
        <w:rPr>
          <w:rFonts w:ascii="Arial" w:hAnsi="Arial" w:cs="Arial"/>
          <w:b/>
          <w:sz w:val="24"/>
          <w:szCs w:val="24"/>
        </w:rPr>
        <w:t>Prisons</w:t>
      </w:r>
      <w:r>
        <w:rPr>
          <w:rFonts w:ascii="Arial" w:hAnsi="Arial" w:cs="Arial"/>
          <w:b/>
          <w:sz w:val="24"/>
          <w:szCs w:val="24"/>
        </w:rPr>
        <w:t>, grievance</w:t>
      </w:r>
      <w:r w:rsidRPr="009D007C">
        <w:rPr>
          <w:rFonts w:ascii="Arial" w:hAnsi="Arial" w:cs="Arial"/>
          <w:b/>
          <w:sz w:val="24"/>
          <w:szCs w:val="24"/>
        </w:rPr>
        <w:t xml:space="preserve"> and petitions</w:t>
      </w:r>
    </w:p>
    <w:p w14:paraId="7F5BAB3A" w14:textId="77777777" w:rsidR="008746A5" w:rsidRDefault="008746A5" w:rsidP="002843F9">
      <w:pPr>
        <w:spacing w:after="0" w:line="240" w:lineRule="auto"/>
        <w:rPr>
          <w:rFonts w:ascii="Arial" w:hAnsi="Arial" w:cs="Arial"/>
          <w:sz w:val="24"/>
          <w:szCs w:val="24"/>
        </w:rPr>
      </w:pPr>
    </w:p>
    <w:p w14:paraId="7AC4C69B" w14:textId="459DB905" w:rsidR="008746A5" w:rsidRDefault="008746A5" w:rsidP="002843F9">
      <w:pPr>
        <w:spacing w:after="0" w:line="240" w:lineRule="auto"/>
        <w:rPr>
          <w:rFonts w:ascii="Arial" w:hAnsi="Arial" w:cs="Arial"/>
          <w:sz w:val="24"/>
          <w:szCs w:val="24"/>
        </w:rPr>
      </w:pPr>
      <w:r>
        <w:rPr>
          <w:rFonts w:ascii="Arial" w:hAnsi="Arial" w:cs="Arial"/>
          <w:sz w:val="24"/>
          <w:szCs w:val="24"/>
        </w:rPr>
        <w:t xml:space="preserve">Prisoners could come from a range of backgrounds but they were most frequently clumped together in this period under a </w:t>
      </w:r>
      <w:r w:rsidRPr="00323DF1">
        <w:rPr>
          <w:rFonts w:ascii="Arial" w:hAnsi="Arial" w:cs="Arial"/>
          <w:sz w:val="24"/>
          <w:szCs w:val="24"/>
        </w:rPr>
        <w:t>‘residuum’</w:t>
      </w:r>
      <w:r>
        <w:rPr>
          <w:rFonts w:ascii="Arial" w:hAnsi="Arial" w:cs="Arial"/>
          <w:sz w:val="24"/>
          <w:szCs w:val="24"/>
        </w:rPr>
        <w:t xml:space="preserve"> of</w:t>
      </w:r>
      <w:r w:rsidRPr="00323DF1">
        <w:rPr>
          <w:rFonts w:ascii="Arial" w:hAnsi="Arial" w:cs="Arial"/>
          <w:sz w:val="24"/>
          <w:szCs w:val="24"/>
        </w:rPr>
        <w:t xml:space="preserve"> </w:t>
      </w:r>
      <w:r>
        <w:rPr>
          <w:rFonts w:ascii="Arial" w:hAnsi="Arial" w:cs="Arial"/>
          <w:sz w:val="24"/>
          <w:szCs w:val="24"/>
        </w:rPr>
        <w:t>‘</w:t>
      </w:r>
      <w:r w:rsidRPr="009D007C">
        <w:rPr>
          <w:rFonts w:ascii="Arial" w:hAnsi="Arial" w:cs="Arial"/>
          <w:sz w:val="24"/>
          <w:szCs w:val="24"/>
        </w:rPr>
        <w:t>degenerate</w:t>
      </w:r>
      <w:r>
        <w:rPr>
          <w:rFonts w:ascii="Arial" w:hAnsi="Arial" w:cs="Arial"/>
          <w:sz w:val="24"/>
          <w:szCs w:val="24"/>
        </w:rPr>
        <w:t>’</w:t>
      </w:r>
      <w:r w:rsidRPr="009D007C">
        <w:rPr>
          <w:rFonts w:ascii="Arial" w:hAnsi="Arial" w:cs="Arial"/>
          <w:sz w:val="24"/>
          <w:szCs w:val="24"/>
        </w:rPr>
        <w:t xml:space="preserve"> </w:t>
      </w:r>
      <w:r>
        <w:rPr>
          <w:rFonts w:ascii="Arial" w:hAnsi="Arial" w:cs="Arial"/>
          <w:sz w:val="24"/>
          <w:szCs w:val="24"/>
        </w:rPr>
        <w:t xml:space="preserve">criminal </w:t>
      </w:r>
      <w:r w:rsidRPr="009D007C">
        <w:rPr>
          <w:rFonts w:ascii="Arial" w:hAnsi="Arial" w:cs="Arial"/>
          <w:sz w:val="24"/>
          <w:szCs w:val="24"/>
        </w:rPr>
        <w:t>classes</w:t>
      </w:r>
      <w:r>
        <w:rPr>
          <w:rFonts w:ascii="Arial" w:hAnsi="Arial" w:cs="Arial"/>
          <w:sz w:val="24"/>
          <w:szCs w:val="24"/>
        </w:rPr>
        <w:t>, shaped by Victorian views of marginalised population groups, such as criminals, paupers and vagrants.</w:t>
      </w:r>
      <w:r>
        <w:rPr>
          <w:rStyle w:val="EndnoteReference"/>
          <w:rFonts w:ascii="Arial" w:hAnsi="Arial" w:cs="Arial"/>
          <w:sz w:val="24"/>
          <w:szCs w:val="24"/>
        </w:rPr>
        <w:endnoteReference w:id="10"/>
      </w:r>
      <w:r w:rsidRPr="00DA5FC7">
        <w:rPr>
          <w:rFonts w:ascii="Arial" w:hAnsi="Arial" w:cs="Arial"/>
          <w:sz w:val="24"/>
          <w:szCs w:val="24"/>
        </w:rPr>
        <w:t xml:space="preserve"> </w:t>
      </w:r>
      <w:r>
        <w:rPr>
          <w:rFonts w:ascii="Arial" w:hAnsi="Arial" w:cs="Arial"/>
          <w:sz w:val="24"/>
          <w:szCs w:val="24"/>
          <w:lang w:val="en-GB"/>
        </w:rPr>
        <w:t>D</w:t>
      </w:r>
      <w:r w:rsidRPr="00F64AE4">
        <w:rPr>
          <w:rFonts w:ascii="Arial" w:hAnsi="Arial" w:cs="Arial"/>
          <w:sz w:val="24"/>
          <w:szCs w:val="24"/>
          <w:lang w:val="en-GB"/>
        </w:rPr>
        <w:t xml:space="preserve">espite </w:t>
      </w:r>
      <w:r>
        <w:rPr>
          <w:rFonts w:ascii="Arial" w:hAnsi="Arial" w:cs="Arial"/>
          <w:sz w:val="24"/>
          <w:szCs w:val="24"/>
          <w:lang w:val="en-GB"/>
        </w:rPr>
        <w:t>considerable</w:t>
      </w:r>
      <w:r w:rsidRPr="00F64AE4">
        <w:rPr>
          <w:rFonts w:ascii="Arial" w:hAnsi="Arial" w:cs="Arial"/>
          <w:sz w:val="24"/>
          <w:szCs w:val="24"/>
          <w:lang w:val="en-GB"/>
        </w:rPr>
        <w:t xml:space="preserve"> </w:t>
      </w:r>
      <w:r>
        <w:rPr>
          <w:rFonts w:ascii="Arial" w:hAnsi="Arial" w:cs="Arial"/>
          <w:sz w:val="24"/>
          <w:szCs w:val="24"/>
          <w:lang w:val="en-GB"/>
        </w:rPr>
        <w:t>stigmatisation</w:t>
      </w:r>
      <w:r w:rsidR="00A96DD0">
        <w:rPr>
          <w:rFonts w:ascii="Arial" w:hAnsi="Arial" w:cs="Arial"/>
          <w:sz w:val="24"/>
          <w:szCs w:val="24"/>
          <w:lang w:val="en-GB"/>
        </w:rPr>
        <w:t>,</w:t>
      </w:r>
      <w:r w:rsidRPr="00F64AE4">
        <w:rPr>
          <w:rFonts w:ascii="Arial" w:hAnsi="Arial" w:cs="Arial"/>
          <w:sz w:val="24"/>
          <w:szCs w:val="24"/>
          <w:lang w:val="en-GB"/>
        </w:rPr>
        <w:t xml:space="preserve"> and economic and cultural bar</w:t>
      </w:r>
      <w:r>
        <w:rPr>
          <w:rFonts w:ascii="Arial" w:hAnsi="Arial" w:cs="Arial"/>
          <w:sz w:val="24"/>
          <w:szCs w:val="24"/>
          <w:lang w:val="en-GB"/>
        </w:rPr>
        <w:t xml:space="preserve">riers to accessing legal rights, </w:t>
      </w:r>
      <w:r w:rsidRPr="004A1A9F">
        <w:rPr>
          <w:rFonts w:ascii="Arial" w:hAnsi="Arial" w:cs="Arial"/>
          <w:sz w:val="24"/>
          <w:szCs w:val="24"/>
          <w:lang w:val="en-GB"/>
        </w:rPr>
        <w:t xml:space="preserve">the frequency of complaining </w:t>
      </w:r>
      <w:r>
        <w:rPr>
          <w:rFonts w:ascii="Arial" w:hAnsi="Arial" w:cs="Arial"/>
          <w:sz w:val="24"/>
          <w:szCs w:val="24"/>
          <w:lang w:val="en-GB"/>
        </w:rPr>
        <w:t xml:space="preserve">in other comparable institutional settings – such as poor law workhouses – suggests that </w:t>
      </w:r>
      <w:r>
        <w:rPr>
          <w:rFonts w:ascii="Arial" w:hAnsi="Arial" w:cs="Arial"/>
          <w:sz w:val="24"/>
          <w:szCs w:val="24"/>
        </w:rPr>
        <w:t xml:space="preserve">aggrieved </w:t>
      </w:r>
      <w:r w:rsidR="002C37FB">
        <w:rPr>
          <w:rFonts w:ascii="Arial" w:hAnsi="Arial" w:cs="Arial"/>
          <w:sz w:val="24"/>
          <w:szCs w:val="24"/>
        </w:rPr>
        <w:t>vulnerable or marginalised</w:t>
      </w:r>
      <w:r>
        <w:rPr>
          <w:rFonts w:ascii="Arial" w:hAnsi="Arial" w:cs="Arial"/>
          <w:sz w:val="24"/>
          <w:szCs w:val="24"/>
        </w:rPr>
        <w:t xml:space="preserve"> people were willing and able to complain in the nineteenth century</w:t>
      </w:r>
      <w:r w:rsidRPr="009D007C">
        <w:rPr>
          <w:rFonts w:ascii="Arial" w:hAnsi="Arial" w:cs="Arial"/>
          <w:sz w:val="24"/>
          <w:szCs w:val="24"/>
        </w:rPr>
        <w:t>.</w:t>
      </w:r>
      <w:r>
        <w:rPr>
          <w:rStyle w:val="EndnoteReference"/>
          <w:rFonts w:ascii="Arial" w:hAnsi="Arial" w:cs="Arial"/>
          <w:sz w:val="24"/>
          <w:szCs w:val="24"/>
          <w:lang w:val="en-GB"/>
        </w:rPr>
        <w:endnoteReference w:id="11"/>
      </w:r>
      <w:r>
        <w:rPr>
          <w:rFonts w:ascii="Arial" w:hAnsi="Arial" w:cs="Arial"/>
          <w:sz w:val="24"/>
          <w:szCs w:val="24"/>
          <w:lang w:val="en-GB"/>
        </w:rPr>
        <w:t xml:space="preserve"> Pauper complaints about neglect under the Victorian system of workhouses were far from singular or isolated events.</w:t>
      </w:r>
      <w:r w:rsidRPr="006D6AB1">
        <w:rPr>
          <w:rFonts w:ascii="Arial" w:hAnsi="Arial" w:cs="Arial"/>
          <w:sz w:val="24"/>
          <w:szCs w:val="24"/>
          <w:vertAlign w:val="superscript"/>
          <w:lang w:val="en-GB"/>
        </w:rPr>
        <w:t xml:space="preserve"> </w:t>
      </w:r>
      <w:r w:rsidRPr="00115F1E">
        <w:rPr>
          <w:rFonts w:ascii="Arial" w:hAnsi="Arial" w:cs="Arial"/>
          <w:sz w:val="24"/>
          <w:szCs w:val="24"/>
          <w:vertAlign w:val="superscript"/>
          <w:lang w:val="en-GB"/>
        </w:rPr>
        <w:endnoteReference w:id="12"/>
      </w:r>
      <w:r>
        <w:rPr>
          <w:rFonts w:ascii="Arial" w:hAnsi="Arial" w:cs="Arial"/>
          <w:sz w:val="24"/>
          <w:szCs w:val="24"/>
          <w:lang w:val="en-GB"/>
        </w:rPr>
        <w:t xml:space="preserve"> </w:t>
      </w:r>
      <w:r w:rsidRPr="009D007C">
        <w:rPr>
          <w:rFonts w:ascii="Arial" w:hAnsi="Arial" w:cs="Arial"/>
          <w:sz w:val="24"/>
          <w:szCs w:val="24"/>
        </w:rPr>
        <w:t>Steve</w:t>
      </w:r>
      <w:r>
        <w:rPr>
          <w:rFonts w:ascii="Arial" w:hAnsi="Arial" w:cs="Arial"/>
          <w:sz w:val="24"/>
          <w:szCs w:val="24"/>
        </w:rPr>
        <w:t>n</w:t>
      </w:r>
      <w:r w:rsidRPr="009D007C">
        <w:rPr>
          <w:rFonts w:ascii="Arial" w:hAnsi="Arial" w:cs="Arial"/>
          <w:sz w:val="24"/>
          <w:szCs w:val="24"/>
        </w:rPr>
        <w:t xml:space="preserve"> King</w:t>
      </w:r>
      <w:r>
        <w:rPr>
          <w:rFonts w:ascii="Arial" w:hAnsi="Arial" w:cs="Arial"/>
          <w:sz w:val="24"/>
          <w:szCs w:val="24"/>
        </w:rPr>
        <w:t>, a historian of welfare,</w:t>
      </w:r>
      <w:r w:rsidRPr="009D007C">
        <w:rPr>
          <w:rFonts w:ascii="Arial" w:hAnsi="Arial" w:cs="Arial"/>
          <w:sz w:val="24"/>
          <w:szCs w:val="24"/>
        </w:rPr>
        <w:t xml:space="preserve"> rightly suggests</w:t>
      </w:r>
      <w:r>
        <w:rPr>
          <w:rFonts w:ascii="Arial" w:hAnsi="Arial" w:cs="Arial"/>
          <w:sz w:val="24"/>
          <w:szCs w:val="24"/>
        </w:rPr>
        <w:t xml:space="preserve"> of the poor law in England</w:t>
      </w:r>
      <w:r w:rsidRPr="009D007C">
        <w:rPr>
          <w:rFonts w:ascii="Arial" w:hAnsi="Arial" w:cs="Arial"/>
          <w:sz w:val="24"/>
          <w:szCs w:val="24"/>
        </w:rPr>
        <w:t xml:space="preserve"> that poor people were far from passive subjects</w:t>
      </w:r>
      <w:r>
        <w:rPr>
          <w:rFonts w:ascii="Arial" w:hAnsi="Arial" w:cs="Arial"/>
          <w:sz w:val="24"/>
          <w:szCs w:val="24"/>
        </w:rPr>
        <w:t xml:space="preserve"> </w:t>
      </w:r>
      <w:r>
        <w:rPr>
          <w:rFonts w:ascii="Arial" w:hAnsi="Arial" w:cs="Arial"/>
          <w:sz w:val="24"/>
          <w:szCs w:val="24"/>
        </w:rPr>
        <w:lastRenderedPageBreak/>
        <w:t>and that complaints about the level of care that they received was ‘</w:t>
      </w:r>
      <w:r w:rsidRPr="009D007C">
        <w:rPr>
          <w:rFonts w:ascii="Arial" w:hAnsi="Arial" w:cs="Arial"/>
          <w:sz w:val="24"/>
          <w:szCs w:val="24"/>
        </w:rPr>
        <w:t>a key way in which the rights of poor patients and the analogous duties of doctors were established and navigated in a framework of non-existent or light professional and central regulation.’</w:t>
      </w:r>
      <w:r w:rsidRPr="009D007C">
        <w:rPr>
          <w:rStyle w:val="EndnoteReference"/>
          <w:rFonts w:ascii="Arial" w:hAnsi="Arial" w:cs="Arial"/>
          <w:sz w:val="24"/>
          <w:szCs w:val="24"/>
        </w:rPr>
        <w:endnoteReference w:id="13"/>
      </w:r>
      <w:r w:rsidRPr="009D007C">
        <w:rPr>
          <w:rFonts w:ascii="Arial" w:hAnsi="Arial" w:cs="Arial"/>
          <w:sz w:val="24"/>
          <w:szCs w:val="24"/>
        </w:rPr>
        <w:t xml:space="preserve"> </w:t>
      </w:r>
      <w:r>
        <w:rPr>
          <w:rFonts w:ascii="Arial" w:hAnsi="Arial" w:cs="Arial"/>
          <w:sz w:val="24"/>
          <w:szCs w:val="24"/>
          <w:lang w:val="en-GB"/>
        </w:rPr>
        <w:t xml:space="preserve">The extensive bureaucracy of complaints machinery created vast archive material, which has allowed historians to retrace the seemingly contradictory sets of rights and punitive measures in </w:t>
      </w:r>
      <w:r w:rsidR="00FD6F18">
        <w:rPr>
          <w:rFonts w:ascii="Arial" w:hAnsi="Arial" w:cs="Arial"/>
          <w:sz w:val="24"/>
          <w:szCs w:val="24"/>
          <w:lang w:val="en-GB"/>
        </w:rPr>
        <w:t xml:space="preserve">various </w:t>
      </w:r>
      <w:r>
        <w:rPr>
          <w:rFonts w:ascii="Arial" w:hAnsi="Arial" w:cs="Arial"/>
          <w:sz w:val="24"/>
          <w:szCs w:val="24"/>
          <w:lang w:val="en-GB"/>
        </w:rPr>
        <w:t>Victorian institutes.</w:t>
      </w:r>
      <w:r>
        <w:rPr>
          <w:rStyle w:val="EndnoteReference"/>
          <w:rFonts w:ascii="Arial" w:hAnsi="Arial" w:cs="Arial"/>
          <w:sz w:val="24"/>
          <w:szCs w:val="24"/>
          <w:lang w:val="en-GB"/>
        </w:rPr>
        <w:endnoteReference w:id="14"/>
      </w:r>
      <w:r>
        <w:rPr>
          <w:rFonts w:ascii="Arial" w:hAnsi="Arial" w:cs="Arial"/>
          <w:sz w:val="24"/>
          <w:szCs w:val="24"/>
          <w:lang w:val="en-GB"/>
        </w:rPr>
        <w:t xml:space="preserve"> </w:t>
      </w:r>
      <w:r w:rsidRPr="009D007C">
        <w:rPr>
          <w:rFonts w:ascii="Arial" w:hAnsi="Arial" w:cs="Arial"/>
          <w:sz w:val="24"/>
          <w:szCs w:val="24"/>
          <w:lang w:val="en-GB"/>
        </w:rPr>
        <w:t xml:space="preserve">There are </w:t>
      </w:r>
      <w:r>
        <w:rPr>
          <w:rFonts w:ascii="Arial" w:hAnsi="Arial" w:cs="Arial"/>
          <w:sz w:val="24"/>
          <w:szCs w:val="24"/>
          <w:lang w:val="en-GB"/>
        </w:rPr>
        <w:t xml:space="preserve">extant </w:t>
      </w:r>
      <w:r w:rsidRPr="009D007C">
        <w:rPr>
          <w:rFonts w:ascii="Arial" w:hAnsi="Arial" w:cs="Arial"/>
          <w:sz w:val="24"/>
          <w:szCs w:val="24"/>
          <w:lang w:val="en-GB"/>
        </w:rPr>
        <w:t xml:space="preserve">tracts railing against the </w:t>
      </w:r>
      <w:r w:rsidRPr="00A8224C">
        <w:rPr>
          <w:rFonts w:ascii="Arial" w:hAnsi="Arial" w:cs="Arial"/>
          <w:sz w:val="24"/>
          <w:szCs w:val="24"/>
          <w:lang w:val="en-GB"/>
        </w:rPr>
        <w:t xml:space="preserve">workhouse </w:t>
      </w:r>
      <w:r w:rsidRPr="009D007C">
        <w:rPr>
          <w:rFonts w:ascii="Arial" w:hAnsi="Arial" w:cs="Arial"/>
          <w:sz w:val="24"/>
          <w:szCs w:val="24"/>
          <w:lang w:val="en-GB"/>
        </w:rPr>
        <w:t>system</w:t>
      </w:r>
      <w:r>
        <w:rPr>
          <w:rFonts w:ascii="Arial" w:hAnsi="Arial" w:cs="Arial"/>
          <w:sz w:val="24"/>
          <w:szCs w:val="24"/>
          <w:lang w:val="en-GB"/>
        </w:rPr>
        <w:t>,</w:t>
      </w:r>
      <w:r w:rsidRPr="009D007C">
        <w:rPr>
          <w:rFonts w:ascii="Arial" w:hAnsi="Arial" w:cs="Arial"/>
          <w:sz w:val="24"/>
          <w:szCs w:val="24"/>
          <w:lang w:val="en-GB"/>
        </w:rPr>
        <w:t xml:space="preserve"> and records of rioting, recalcitrant behaviour and </w:t>
      </w:r>
      <w:r w:rsidR="00F314FC">
        <w:rPr>
          <w:rFonts w:ascii="Arial" w:hAnsi="Arial" w:cs="Arial"/>
          <w:sz w:val="24"/>
          <w:szCs w:val="24"/>
          <w:lang w:val="en-GB"/>
        </w:rPr>
        <w:t xml:space="preserve">institutional discipline </w:t>
      </w:r>
      <w:r w:rsidRPr="009D007C">
        <w:rPr>
          <w:rFonts w:ascii="Arial" w:hAnsi="Arial" w:cs="Arial"/>
          <w:sz w:val="24"/>
          <w:szCs w:val="24"/>
          <w:lang w:val="en-GB"/>
        </w:rPr>
        <w:t>(some of which caused scandal and public outcry).</w:t>
      </w:r>
      <w:r w:rsidR="00DD0FB7">
        <w:rPr>
          <w:rStyle w:val="EndnoteReference"/>
          <w:rFonts w:ascii="Arial" w:hAnsi="Arial" w:cs="Arial"/>
          <w:sz w:val="24"/>
          <w:szCs w:val="24"/>
          <w:lang w:val="en-GB"/>
        </w:rPr>
        <w:endnoteReference w:id="15"/>
      </w:r>
      <w:r w:rsidRPr="009D007C">
        <w:rPr>
          <w:rFonts w:ascii="Arial" w:hAnsi="Arial" w:cs="Arial"/>
          <w:sz w:val="24"/>
          <w:szCs w:val="24"/>
          <w:lang w:val="en-GB"/>
        </w:rPr>
        <w:t xml:space="preserve"> There are also </w:t>
      </w:r>
      <w:r w:rsidR="005B6C05">
        <w:rPr>
          <w:rFonts w:ascii="Arial" w:hAnsi="Arial" w:cs="Arial"/>
          <w:sz w:val="24"/>
          <w:szCs w:val="24"/>
          <w:lang w:val="en-GB"/>
        </w:rPr>
        <w:t xml:space="preserve">plenty of </w:t>
      </w:r>
      <w:r w:rsidR="00C93D59">
        <w:rPr>
          <w:rFonts w:ascii="Arial" w:hAnsi="Arial" w:cs="Arial"/>
          <w:sz w:val="24"/>
          <w:szCs w:val="24"/>
          <w:lang w:val="en-GB"/>
        </w:rPr>
        <w:t>contemporary</w:t>
      </w:r>
      <w:r w:rsidRPr="009D007C">
        <w:rPr>
          <w:rFonts w:ascii="Arial" w:hAnsi="Arial" w:cs="Arial"/>
          <w:sz w:val="24"/>
          <w:szCs w:val="24"/>
          <w:lang w:val="en-GB"/>
        </w:rPr>
        <w:t xml:space="preserve"> </w:t>
      </w:r>
      <w:r w:rsidR="00C93D59">
        <w:rPr>
          <w:rFonts w:ascii="Arial" w:hAnsi="Arial" w:cs="Arial"/>
          <w:sz w:val="24"/>
          <w:szCs w:val="24"/>
          <w:lang w:val="en-GB"/>
        </w:rPr>
        <w:t xml:space="preserve">anecdotal </w:t>
      </w:r>
      <w:r w:rsidRPr="009D007C">
        <w:rPr>
          <w:rFonts w:ascii="Arial" w:hAnsi="Arial" w:cs="Arial"/>
          <w:sz w:val="24"/>
          <w:szCs w:val="24"/>
          <w:lang w:val="en-GB"/>
        </w:rPr>
        <w:t xml:space="preserve">reports of </w:t>
      </w:r>
      <w:r w:rsidR="005B6C05">
        <w:rPr>
          <w:rFonts w:ascii="Arial" w:hAnsi="Arial" w:cs="Arial"/>
          <w:sz w:val="24"/>
          <w:szCs w:val="24"/>
          <w:lang w:val="en-GB"/>
        </w:rPr>
        <w:t>aggrieved impoverished people</w:t>
      </w:r>
      <w:r w:rsidRPr="009D007C">
        <w:rPr>
          <w:rFonts w:ascii="Arial" w:hAnsi="Arial" w:cs="Arial"/>
          <w:sz w:val="24"/>
          <w:szCs w:val="24"/>
          <w:lang w:val="en-GB"/>
        </w:rPr>
        <w:t xml:space="preserve"> who</w:t>
      </w:r>
      <w:r>
        <w:rPr>
          <w:rFonts w:ascii="Arial" w:hAnsi="Arial" w:cs="Arial"/>
          <w:sz w:val="24"/>
          <w:szCs w:val="24"/>
          <w:lang w:val="en-GB"/>
        </w:rPr>
        <w:t xml:space="preserve"> preferred to commit</w:t>
      </w:r>
      <w:r w:rsidRPr="009D007C">
        <w:rPr>
          <w:rFonts w:ascii="Arial" w:hAnsi="Arial" w:cs="Arial"/>
          <w:sz w:val="24"/>
          <w:szCs w:val="24"/>
          <w:lang w:val="en-GB"/>
        </w:rPr>
        <w:t xml:space="preserve"> a crime </w:t>
      </w:r>
      <w:r w:rsidR="005B6C05">
        <w:rPr>
          <w:rFonts w:ascii="Arial" w:hAnsi="Arial" w:cs="Arial"/>
          <w:sz w:val="24"/>
          <w:szCs w:val="24"/>
          <w:lang w:val="en-GB"/>
        </w:rPr>
        <w:t>and risk the prospect of prison to the idea of being sent to a workhouse to receive parish relief</w:t>
      </w:r>
      <w:r>
        <w:rPr>
          <w:rFonts w:ascii="Arial" w:hAnsi="Arial" w:cs="Arial"/>
          <w:sz w:val="24"/>
          <w:szCs w:val="24"/>
          <w:lang w:val="en-GB"/>
        </w:rPr>
        <w:t xml:space="preserve">. </w:t>
      </w:r>
      <w:r w:rsidRPr="009D007C">
        <w:rPr>
          <w:rFonts w:ascii="Arial" w:hAnsi="Arial" w:cs="Arial"/>
          <w:sz w:val="24"/>
          <w:szCs w:val="24"/>
          <w:lang w:val="en-GB"/>
        </w:rPr>
        <w:t>Nevertheless, the</w:t>
      </w:r>
      <w:r w:rsidR="005B6C05">
        <w:rPr>
          <w:rFonts w:ascii="Arial" w:hAnsi="Arial" w:cs="Arial"/>
          <w:sz w:val="24"/>
          <w:szCs w:val="24"/>
          <w:lang w:val="en-GB"/>
        </w:rPr>
        <w:t xml:space="preserve"> subtle</w:t>
      </w:r>
      <w:r w:rsidRPr="009D007C">
        <w:rPr>
          <w:rFonts w:ascii="Arial" w:hAnsi="Arial" w:cs="Arial"/>
          <w:sz w:val="24"/>
          <w:szCs w:val="24"/>
          <w:lang w:val="en-GB"/>
        </w:rPr>
        <w:t xml:space="preserve"> grumbles and </w:t>
      </w:r>
      <w:r w:rsidR="005B6C05">
        <w:rPr>
          <w:rFonts w:ascii="Arial" w:hAnsi="Arial" w:cs="Arial"/>
          <w:sz w:val="24"/>
          <w:szCs w:val="24"/>
          <w:lang w:val="en-GB"/>
        </w:rPr>
        <w:t xml:space="preserve">grievances </w:t>
      </w:r>
      <w:r w:rsidRPr="009D007C">
        <w:rPr>
          <w:rFonts w:ascii="Arial" w:hAnsi="Arial" w:cs="Arial"/>
          <w:sz w:val="24"/>
          <w:szCs w:val="24"/>
          <w:lang w:val="en-GB"/>
        </w:rPr>
        <w:t xml:space="preserve">against substandard </w:t>
      </w:r>
      <w:r w:rsidR="005B6C05">
        <w:rPr>
          <w:rFonts w:ascii="Arial" w:hAnsi="Arial" w:cs="Arial"/>
          <w:sz w:val="24"/>
          <w:szCs w:val="24"/>
          <w:lang w:val="en-GB"/>
        </w:rPr>
        <w:t xml:space="preserve">institutional </w:t>
      </w:r>
      <w:r w:rsidRPr="009D007C">
        <w:rPr>
          <w:rFonts w:ascii="Arial" w:hAnsi="Arial" w:cs="Arial"/>
          <w:sz w:val="24"/>
          <w:szCs w:val="24"/>
          <w:lang w:val="en-GB"/>
        </w:rPr>
        <w:t xml:space="preserve">care </w:t>
      </w:r>
      <w:r>
        <w:rPr>
          <w:rFonts w:ascii="Arial" w:hAnsi="Arial" w:cs="Arial"/>
          <w:sz w:val="24"/>
          <w:szCs w:val="24"/>
          <w:lang w:val="en-GB"/>
        </w:rPr>
        <w:t xml:space="preserve">remain hidden, </w:t>
      </w:r>
      <w:r w:rsidRPr="009D007C">
        <w:rPr>
          <w:rFonts w:ascii="Arial" w:hAnsi="Arial" w:cs="Arial"/>
          <w:sz w:val="24"/>
          <w:szCs w:val="24"/>
          <w:lang w:val="en-GB"/>
        </w:rPr>
        <w:t xml:space="preserve">an iceberg of dissatisfaction below the surface of complaints that </w:t>
      </w:r>
      <w:r w:rsidR="00FD6F18">
        <w:rPr>
          <w:rFonts w:ascii="Arial" w:hAnsi="Arial" w:cs="Arial"/>
          <w:sz w:val="24"/>
          <w:szCs w:val="24"/>
          <w:lang w:val="en-GB"/>
        </w:rPr>
        <w:t>is difficult to</w:t>
      </w:r>
      <w:r w:rsidRPr="009D007C">
        <w:rPr>
          <w:rFonts w:ascii="Arial" w:hAnsi="Arial" w:cs="Arial"/>
          <w:sz w:val="24"/>
          <w:szCs w:val="24"/>
          <w:lang w:val="en-GB"/>
        </w:rPr>
        <w:t xml:space="preserve"> </w:t>
      </w:r>
      <w:r w:rsidRPr="006C5C7A">
        <w:rPr>
          <w:rFonts w:ascii="Arial" w:hAnsi="Arial" w:cs="Arial"/>
          <w:sz w:val="24"/>
          <w:szCs w:val="24"/>
          <w:lang w:val="en-GB"/>
        </w:rPr>
        <w:t>measure</w:t>
      </w:r>
      <w:r w:rsidR="00FD6F18">
        <w:rPr>
          <w:rFonts w:ascii="Arial" w:hAnsi="Arial" w:cs="Arial"/>
          <w:sz w:val="24"/>
          <w:szCs w:val="24"/>
          <w:lang w:val="en-GB"/>
        </w:rPr>
        <w:t xml:space="preserve"> accurately</w:t>
      </w:r>
      <w:r w:rsidRPr="006C5C7A">
        <w:rPr>
          <w:rFonts w:ascii="Arial" w:hAnsi="Arial" w:cs="Arial"/>
          <w:sz w:val="24"/>
          <w:szCs w:val="24"/>
          <w:lang w:val="en-GB"/>
        </w:rPr>
        <w:t>.</w:t>
      </w:r>
      <w:r w:rsidRPr="006C5C7A">
        <w:rPr>
          <w:rStyle w:val="EndnoteReference"/>
          <w:rFonts w:ascii="Arial" w:hAnsi="Arial" w:cs="Arial"/>
          <w:sz w:val="24"/>
          <w:szCs w:val="24"/>
          <w:lang w:val="en-GB"/>
        </w:rPr>
        <w:endnoteReference w:id="16"/>
      </w:r>
    </w:p>
    <w:p w14:paraId="6A040FEF" w14:textId="77777777" w:rsidR="00D645E4" w:rsidRPr="00EB0B82" w:rsidRDefault="00D645E4" w:rsidP="00EB0B82">
      <w:pPr>
        <w:spacing w:after="0" w:line="240" w:lineRule="auto"/>
        <w:rPr>
          <w:rFonts w:ascii="Arial" w:hAnsi="Arial" w:cs="Arial"/>
          <w:sz w:val="24"/>
          <w:szCs w:val="24"/>
        </w:rPr>
      </w:pPr>
    </w:p>
    <w:p w14:paraId="38E425C2" w14:textId="77777777" w:rsidR="00D645E4" w:rsidRDefault="00FD6F18" w:rsidP="00D645E4">
      <w:pPr>
        <w:spacing w:after="0" w:line="240" w:lineRule="auto"/>
        <w:rPr>
          <w:rFonts w:ascii="Arial" w:hAnsi="Arial" w:cs="Arial"/>
          <w:sz w:val="24"/>
          <w:szCs w:val="24"/>
        </w:rPr>
      </w:pPr>
      <w:r>
        <w:rPr>
          <w:rFonts w:ascii="Arial" w:hAnsi="Arial" w:cs="Arial"/>
          <w:sz w:val="24"/>
          <w:szCs w:val="24"/>
        </w:rPr>
        <w:t>The rights of paupers</w:t>
      </w:r>
      <w:r w:rsidRPr="009D007C">
        <w:rPr>
          <w:rFonts w:ascii="Arial" w:hAnsi="Arial" w:cs="Arial"/>
          <w:sz w:val="24"/>
          <w:szCs w:val="24"/>
        </w:rPr>
        <w:t xml:space="preserve"> </w:t>
      </w:r>
      <w:r>
        <w:rPr>
          <w:rFonts w:ascii="Arial" w:hAnsi="Arial" w:cs="Arial"/>
          <w:sz w:val="24"/>
          <w:szCs w:val="24"/>
        </w:rPr>
        <w:t xml:space="preserve">and medical patients </w:t>
      </w:r>
      <w:r w:rsidRPr="009D007C">
        <w:rPr>
          <w:rFonts w:ascii="Arial" w:hAnsi="Arial" w:cs="Arial"/>
          <w:sz w:val="24"/>
          <w:szCs w:val="24"/>
        </w:rPr>
        <w:t>to complain has received</w:t>
      </w:r>
      <w:r w:rsidR="005B6C05">
        <w:rPr>
          <w:rFonts w:ascii="Arial" w:hAnsi="Arial" w:cs="Arial"/>
          <w:sz w:val="24"/>
          <w:szCs w:val="24"/>
        </w:rPr>
        <w:t xml:space="preserve"> more attention in recent years</w:t>
      </w:r>
      <w:r w:rsidRPr="009D007C">
        <w:rPr>
          <w:rFonts w:ascii="Arial" w:hAnsi="Arial" w:cs="Arial"/>
          <w:sz w:val="24"/>
          <w:szCs w:val="24"/>
        </w:rPr>
        <w:t xml:space="preserve"> but</w:t>
      </w:r>
      <w:r w:rsidR="005B6C05">
        <w:rPr>
          <w:rFonts w:ascii="Arial" w:hAnsi="Arial" w:cs="Arial"/>
          <w:sz w:val="24"/>
          <w:szCs w:val="24"/>
        </w:rPr>
        <w:t>,</w:t>
      </w:r>
      <w:r w:rsidRPr="009D007C">
        <w:rPr>
          <w:rFonts w:ascii="Arial" w:hAnsi="Arial" w:cs="Arial"/>
          <w:sz w:val="24"/>
          <w:szCs w:val="24"/>
        </w:rPr>
        <w:t xml:space="preserve"> </w:t>
      </w:r>
      <w:r w:rsidR="005B6C05">
        <w:rPr>
          <w:rFonts w:ascii="Arial" w:hAnsi="Arial" w:cs="Arial"/>
          <w:sz w:val="24"/>
          <w:szCs w:val="24"/>
        </w:rPr>
        <w:t xml:space="preserve">in comparison, </w:t>
      </w:r>
      <w:r w:rsidRPr="009D007C">
        <w:rPr>
          <w:rFonts w:ascii="Arial" w:hAnsi="Arial" w:cs="Arial"/>
          <w:sz w:val="24"/>
          <w:szCs w:val="24"/>
        </w:rPr>
        <w:t>prisoners</w:t>
      </w:r>
      <w:r>
        <w:rPr>
          <w:rFonts w:ascii="Arial" w:hAnsi="Arial" w:cs="Arial"/>
          <w:sz w:val="24"/>
          <w:szCs w:val="24"/>
        </w:rPr>
        <w:t>’</w:t>
      </w:r>
      <w:r w:rsidRPr="009D007C">
        <w:rPr>
          <w:rFonts w:ascii="Arial" w:hAnsi="Arial" w:cs="Arial"/>
          <w:sz w:val="24"/>
          <w:szCs w:val="24"/>
        </w:rPr>
        <w:t xml:space="preserve"> petition</w:t>
      </w:r>
      <w:r>
        <w:rPr>
          <w:rFonts w:ascii="Arial" w:hAnsi="Arial" w:cs="Arial"/>
          <w:sz w:val="24"/>
          <w:szCs w:val="24"/>
        </w:rPr>
        <w:t>s</w:t>
      </w:r>
      <w:r w:rsidRPr="009D007C">
        <w:rPr>
          <w:rFonts w:ascii="Arial" w:hAnsi="Arial" w:cs="Arial"/>
          <w:sz w:val="24"/>
          <w:szCs w:val="24"/>
        </w:rPr>
        <w:t xml:space="preserve"> are</w:t>
      </w:r>
      <w:r w:rsidR="00D645E4" w:rsidRPr="009D007C">
        <w:rPr>
          <w:rFonts w:ascii="Arial" w:hAnsi="Arial" w:cs="Arial"/>
          <w:sz w:val="24"/>
          <w:szCs w:val="24"/>
        </w:rPr>
        <w:t xml:space="preserve"> a </w:t>
      </w:r>
      <w:r w:rsidR="00E012D2">
        <w:rPr>
          <w:rFonts w:ascii="Arial" w:hAnsi="Arial" w:cs="Arial"/>
          <w:sz w:val="24"/>
          <w:szCs w:val="24"/>
        </w:rPr>
        <w:t>relatively</w:t>
      </w:r>
      <w:r w:rsidR="00D645E4" w:rsidRPr="009D007C">
        <w:rPr>
          <w:rFonts w:ascii="Arial" w:hAnsi="Arial" w:cs="Arial"/>
          <w:sz w:val="24"/>
          <w:szCs w:val="24"/>
        </w:rPr>
        <w:t xml:space="preserve"> neglected field of penal history.</w:t>
      </w:r>
      <w:r w:rsidR="00D645E4" w:rsidRPr="009D007C">
        <w:rPr>
          <w:rStyle w:val="EndnoteReference"/>
          <w:rFonts w:ascii="Arial" w:hAnsi="Arial" w:cs="Arial"/>
          <w:sz w:val="24"/>
          <w:szCs w:val="24"/>
        </w:rPr>
        <w:endnoteReference w:id="17"/>
      </w:r>
      <w:r w:rsidR="00D645E4">
        <w:rPr>
          <w:rFonts w:ascii="Arial" w:hAnsi="Arial" w:cs="Arial"/>
          <w:sz w:val="24"/>
          <w:szCs w:val="24"/>
        </w:rPr>
        <w:t xml:space="preserve"> </w:t>
      </w:r>
      <w:r w:rsidR="00AC71F6">
        <w:rPr>
          <w:rFonts w:ascii="Arial" w:hAnsi="Arial" w:cs="Arial"/>
          <w:sz w:val="24"/>
          <w:szCs w:val="24"/>
        </w:rPr>
        <w:t>Their p</w:t>
      </w:r>
      <w:r w:rsidRPr="009D007C">
        <w:rPr>
          <w:rFonts w:ascii="Arial" w:hAnsi="Arial" w:cs="Arial"/>
          <w:sz w:val="24"/>
          <w:szCs w:val="24"/>
        </w:rPr>
        <w:t>etitions and grievance</w:t>
      </w:r>
      <w:r w:rsidR="00AC71F6">
        <w:rPr>
          <w:rFonts w:ascii="Arial" w:hAnsi="Arial" w:cs="Arial"/>
          <w:sz w:val="24"/>
          <w:szCs w:val="24"/>
        </w:rPr>
        <w:t xml:space="preserve">s, then, </w:t>
      </w:r>
      <w:r w:rsidR="005F1AC9">
        <w:rPr>
          <w:rFonts w:ascii="Arial" w:hAnsi="Arial" w:cs="Arial"/>
          <w:sz w:val="24"/>
          <w:szCs w:val="24"/>
        </w:rPr>
        <w:t>occupy</w:t>
      </w:r>
      <w:r w:rsidR="00AC71F6">
        <w:rPr>
          <w:rFonts w:ascii="Arial" w:hAnsi="Arial" w:cs="Arial"/>
          <w:sz w:val="24"/>
          <w:szCs w:val="24"/>
        </w:rPr>
        <w:t xml:space="preserve"> a</w:t>
      </w:r>
      <w:r w:rsidRPr="009D007C">
        <w:rPr>
          <w:rFonts w:ascii="Arial" w:hAnsi="Arial" w:cs="Arial"/>
          <w:sz w:val="24"/>
          <w:szCs w:val="24"/>
        </w:rPr>
        <w:t xml:space="preserve"> </w:t>
      </w:r>
      <w:r w:rsidR="00AC71F6">
        <w:rPr>
          <w:rFonts w:ascii="Arial" w:hAnsi="Arial" w:cs="Arial"/>
          <w:sz w:val="24"/>
          <w:szCs w:val="24"/>
        </w:rPr>
        <w:t>large</w:t>
      </w:r>
      <w:r w:rsidRPr="009D007C">
        <w:rPr>
          <w:rFonts w:ascii="Arial" w:hAnsi="Arial" w:cs="Arial"/>
          <w:sz w:val="24"/>
          <w:szCs w:val="24"/>
        </w:rPr>
        <w:t xml:space="preserve"> and somewhat amorphous space in </w:t>
      </w:r>
      <w:r>
        <w:rPr>
          <w:rFonts w:ascii="Arial" w:hAnsi="Arial" w:cs="Arial"/>
          <w:sz w:val="24"/>
          <w:szCs w:val="24"/>
        </w:rPr>
        <w:t xml:space="preserve">British </w:t>
      </w:r>
      <w:r w:rsidR="00AC71F6">
        <w:rPr>
          <w:rFonts w:ascii="Arial" w:hAnsi="Arial" w:cs="Arial"/>
          <w:sz w:val="24"/>
          <w:szCs w:val="24"/>
        </w:rPr>
        <w:t>penal</w:t>
      </w:r>
      <w:r w:rsidRPr="009D007C">
        <w:rPr>
          <w:rFonts w:ascii="Arial" w:hAnsi="Arial" w:cs="Arial"/>
          <w:sz w:val="24"/>
          <w:szCs w:val="24"/>
        </w:rPr>
        <w:t xml:space="preserve"> history.</w:t>
      </w:r>
      <w:r>
        <w:rPr>
          <w:rStyle w:val="EndnoteReference"/>
          <w:rFonts w:ascii="Arial" w:hAnsi="Arial" w:cs="Arial"/>
          <w:sz w:val="24"/>
          <w:szCs w:val="24"/>
        </w:rPr>
        <w:endnoteReference w:id="18"/>
      </w:r>
      <w:r w:rsidRPr="009D007C">
        <w:rPr>
          <w:rFonts w:ascii="Arial" w:hAnsi="Arial" w:cs="Arial"/>
          <w:sz w:val="24"/>
          <w:szCs w:val="24"/>
        </w:rPr>
        <w:t xml:space="preserve"> </w:t>
      </w:r>
      <w:r w:rsidR="00E63C37">
        <w:rPr>
          <w:rFonts w:ascii="Arial" w:hAnsi="Arial" w:cs="Arial"/>
          <w:sz w:val="24"/>
          <w:szCs w:val="24"/>
        </w:rPr>
        <w:t>Prisoners</w:t>
      </w:r>
      <w:r w:rsidR="00E63C37" w:rsidRPr="00DA5FC7">
        <w:rPr>
          <w:rFonts w:ascii="Arial" w:hAnsi="Arial" w:cs="Arial"/>
          <w:sz w:val="24"/>
          <w:szCs w:val="24"/>
        </w:rPr>
        <w:t xml:space="preserve"> adopted distinct vocabularies of </w:t>
      </w:r>
      <w:r w:rsidR="00E63C37">
        <w:rPr>
          <w:rFonts w:ascii="Arial" w:hAnsi="Arial" w:cs="Arial"/>
          <w:sz w:val="24"/>
          <w:szCs w:val="24"/>
        </w:rPr>
        <w:t>dissatisfaction</w:t>
      </w:r>
      <w:r w:rsidR="00E63C37" w:rsidRPr="00DA5FC7">
        <w:rPr>
          <w:rFonts w:ascii="Arial" w:hAnsi="Arial" w:cs="Arial"/>
          <w:sz w:val="24"/>
          <w:szCs w:val="24"/>
        </w:rPr>
        <w:t xml:space="preserve"> but their individualised grievances were endowed with</w:t>
      </w:r>
      <w:r w:rsidR="00E63C37">
        <w:rPr>
          <w:rFonts w:ascii="Arial" w:hAnsi="Arial" w:cs="Arial"/>
          <w:sz w:val="24"/>
          <w:szCs w:val="24"/>
        </w:rPr>
        <w:t xml:space="preserve"> a similarly</w:t>
      </w:r>
      <w:r w:rsidR="00E63C37" w:rsidRPr="005C1D6C">
        <w:t xml:space="preserve"> </w:t>
      </w:r>
      <w:r w:rsidR="00E63C37" w:rsidRPr="00DA5FC7">
        <w:rPr>
          <w:rFonts w:ascii="Arial" w:hAnsi="Arial" w:cs="Arial"/>
          <w:sz w:val="24"/>
          <w:szCs w:val="24"/>
        </w:rPr>
        <w:t>‘calculated complian</w:t>
      </w:r>
      <w:r w:rsidR="00E63C37">
        <w:rPr>
          <w:rFonts w:ascii="Arial" w:hAnsi="Arial" w:cs="Arial"/>
          <w:sz w:val="24"/>
          <w:szCs w:val="24"/>
        </w:rPr>
        <w:t>ce or even performed deference’ that is visible in historical complaints from patients or paupers about their medical carers.</w:t>
      </w:r>
      <w:r w:rsidR="00E63C37">
        <w:rPr>
          <w:rStyle w:val="EndnoteReference"/>
          <w:rFonts w:ascii="Arial" w:hAnsi="Arial" w:cs="Arial"/>
          <w:sz w:val="24"/>
          <w:szCs w:val="24"/>
        </w:rPr>
        <w:endnoteReference w:id="19"/>
      </w:r>
      <w:r w:rsidR="00E63C37">
        <w:rPr>
          <w:rFonts w:ascii="Arial" w:hAnsi="Arial" w:cs="Arial"/>
          <w:sz w:val="24"/>
          <w:szCs w:val="24"/>
        </w:rPr>
        <w:t xml:space="preserve"> Prisoner petitions seem to have</w:t>
      </w:r>
      <w:r w:rsidR="00EC54A5">
        <w:rPr>
          <w:rFonts w:ascii="Arial" w:hAnsi="Arial" w:cs="Arial"/>
          <w:sz w:val="24"/>
          <w:szCs w:val="24"/>
        </w:rPr>
        <w:t xml:space="preserve"> also</w:t>
      </w:r>
      <w:r w:rsidR="00E63C37">
        <w:rPr>
          <w:rFonts w:ascii="Arial" w:hAnsi="Arial" w:cs="Arial"/>
          <w:sz w:val="24"/>
          <w:szCs w:val="24"/>
        </w:rPr>
        <w:t xml:space="preserve"> been </w:t>
      </w:r>
      <w:r w:rsidR="00EC54A5">
        <w:rPr>
          <w:rFonts w:ascii="Arial" w:hAnsi="Arial" w:cs="Arial"/>
          <w:sz w:val="24"/>
          <w:szCs w:val="24"/>
        </w:rPr>
        <w:t>set</w:t>
      </w:r>
      <w:r w:rsidR="00E63C37">
        <w:rPr>
          <w:rFonts w:ascii="Arial" w:hAnsi="Arial" w:cs="Arial"/>
          <w:sz w:val="24"/>
          <w:szCs w:val="24"/>
        </w:rPr>
        <w:t xml:space="preserve"> </w:t>
      </w:r>
      <w:r w:rsidR="00E63C37" w:rsidRPr="009D007C">
        <w:rPr>
          <w:rFonts w:ascii="Arial" w:hAnsi="Arial" w:cs="Arial"/>
          <w:sz w:val="24"/>
          <w:szCs w:val="24"/>
        </w:rPr>
        <w:t xml:space="preserve">with an acute </w:t>
      </w:r>
      <w:r w:rsidR="00E63C37">
        <w:rPr>
          <w:rFonts w:ascii="Arial" w:hAnsi="Arial" w:cs="Arial"/>
          <w:sz w:val="24"/>
          <w:szCs w:val="24"/>
        </w:rPr>
        <w:t xml:space="preserve">collectively held </w:t>
      </w:r>
      <w:r w:rsidR="00E63C37" w:rsidRPr="009D007C">
        <w:rPr>
          <w:rFonts w:ascii="Arial" w:hAnsi="Arial" w:cs="Arial"/>
          <w:sz w:val="24"/>
          <w:szCs w:val="24"/>
        </w:rPr>
        <w:t xml:space="preserve">awareness of what was legally and socially expected of </w:t>
      </w:r>
      <w:r w:rsidR="00E63C37">
        <w:rPr>
          <w:rFonts w:ascii="Arial" w:hAnsi="Arial" w:cs="Arial"/>
          <w:sz w:val="24"/>
          <w:szCs w:val="24"/>
        </w:rPr>
        <w:t>prisoners and their confinement</w:t>
      </w:r>
      <w:r w:rsidR="00E63C37" w:rsidRPr="009D007C">
        <w:rPr>
          <w:rFonts w:ascii="Arial" w:hAnsi="Arial" w:cs="Arial"/>
          <w:sz w:val="24"/>
          <w:szCs w:val="24"/>
        </w:rPr>
        <w:t xml:space="preserve"> – in terms of legal process, power relations and social deference.</w:t>
      </w:r>
      <w:r w:rsidR="00E63C37">
        <w:rPr>
          <w:rStyle w:val="EndnoteReference"/>
          <w:rFonts w:ascii="Arial" w:hAnsi="Arial" w:cs="Arial"/>
          <w:sz w:val="24"/>
          <w:szCs w:val="24"/>
        </w:rPr>
        <w:endnoteReference w:id="20"/>
      </w:r>
      <w:r w:rsidR="00E012D2">
        <w:rPr>
          <w:rFonts w:ascii="Arial" w:hAnsi="Arial" w:cs="Arial"/>
          <w:sz w:val="24"/>
          <w:szCs w:val="24"/>
        </w:rPr>
        <w:t xml:space="preserve"> </w:t>
      </w:r>
      <w:r w:rsidR="00D645E4">
        <w:rPr>
          <w:rFonts w:ascii="Arial" w:hAnsi="Arial" w:cs="Arial"/>
          <w:sz w:val="24"/>
          <w:szCs w:val="24"/>
        </w:rPr>
        <w:t>Prisoners drew on</w:t>
      </w:r>
      <w:r w:rsidR="00D645E4" w:rsidRPr="009D007C">
        <w:rPr>
          <w:rFonts w:ascii="Arial" w:hAnsi="Arial" w:cs="Arial"/>
          <w:sz w:val="24"/>
          <w:szCs w:val="24"/>
        </w:rPr>
        <w:t xml:space="preserve"> </w:t>
      </w:r>
      <w:r w:rsidR="00D645E4">
        <w:rPr>
          <w:rFonts w:ascii="Arial" w:hAnsi="Arial" w:cs="Arial"/>
          <w:sz w:val="24"/>
          <w:szCs w:val="24"/>
        </w:rPr>
        <w:t>diverse and distinct</w:t>
      </w:r>
      <w:r w:rsidR="00D645E4" w:rsidRPr="009D007C">
        <w:rPr>
          <w:rFonts w:ascii="Arial" w:hAnsi="Arial" w:cs="Arial"/>
          <w:sz w:val="24"/>
          <w:szCs w:val="24"/>
        </w:rPr>
        <w:t xml:space="preserve"> ‘frames of reference’</w:t>
      </w:r>
      <w:r w:rsidR="00D645E4">
        <w:rPr>
          <w:rFonts w:ascii="Arial" w:hAnsi="Arial" w:cs="Arial"/>
          <w:sz w:val="24"/>
          <w:szCs w:val="24"/>
        </w:rPr>
        <w:t>, sometimes inferred or</w:t>
      </w:r>
      <w:r w:rsidR="008D4436">
        <w:rPr>
          <w:rFonts w:ascii="Arial" w:hAnsi="Arial" w:cs="Arial"/>
          <w:sz w:val="24"/>
          <w:szCs w:val="24"/>
        </w:rPr>
        <w:t xml:space="preserve"> sometimes</w:t>
      </w:r>
      <w:r w:rsidR="00D645E4">
        <w:rPr>
          <w:rFonts w:ascii="Arial" w:hAnsi="Arial" w:cs="Arial"/>
          <w:sz w:val="24"/>
          <w:szCs w:val="24"/>
        </w:rPr>
        <w:t xml:space="preserve"> visibly</w:t>
      </w:r>
      <w:r w:rsidR="00D645E4" w:rsidRPr="009D007C">
        <w:rPr>
          <w:rFonts w:ascii="Arial" w:hAnsi="Arial" w:cs="Arial"/>
          <w:sz w:val="24"/>
          <w:szCs w:val="24"/>
        </w:rPr>
        <w:t xml:space="preserve"> using subtle artifice to appeal to </w:t>
      </w:r>
      <w:r w:rsidR="00D645E4">
        <w:rPr>
          <w:rFonts w:ascii="Arial" w:hAnsi="Arial" w:cs="Arial"/>
          <w:sz w:val="24"/>
          <w:szCs w:val="24"/>
        </w:rPr>
        <w:t>flexible</w:t>
      </w:r>
      <w:r w:rsidR="00D645E4" w:rsidRPr="009D007C">
        <w:rPr>
          <w:rFonts w:ascii="Arial" w:hAnsi="Arial" w:cs="Arial"/>
          <w:sz w:val="24"/>
          <w:szCs w:val="24"/>
        </w:rPr>
        <w:t xml:space="preserve"> expectations of a power/subjugation model.</w:t>
      </w:r>
      <w:r w:rsidR="00D645E4">
        <w:rPr>
          <w:rStyle w:val="EndnoteReference"/>
          <w:rFonts w:ascii="Arial" w:hAnsi="Arial" w:cs="Arial"/>
          <w:sz w:val="24"/>
          <w:szCs w:val="24"/>
        </w:rPr>
        <w:endnoteReference w:id="21"/>
      </w:r>
      <w:r w:rsidR="00D645E4" w:rsidRPr="009D007C">
        <w:rPr>
          <w:rFonts w:ascii="Arial" w:hAnsi="Arial" w:cs="Arial"/>
          <w:sz w:val="24"/>
          <w:szCs w:val="24"/>
        </w:rPr>
        <w:t xml:space="preserve"> </w:t>
      </w:r>
      <w:r>
        <w:rPr>
          <w:rFonts w:ascii="Arial" w:hAnsi="Arial" w:cs="Arial"/>
          <w:sz w:val="24"/>
          <w:szCs w:val="24"/>
        </w:rPr>
        <w:t>This is most readily apparent in the convict system of the nineteenth century.</w:t>
      </w:r>
    </w:p>
    <w:p w14:paraId="23894677" w14:textId="77777777" w:rsidR="00664427" w:rsidRPr="009D007C" w:rsidRDefault="00664427" w:rsidP="004C0B83">
      <w:pPr>
        <w:spacing w:after="0" w:line="240" w:lineRule="auto"/>
        <w:rPr>
          <w:rFonts w:ascii="Arial" w:hAnsi="Arial" w:cs="Arial"/>
          <w:sz w:val="24"/>
          <w:szCs w:val="24"/>
          <w:u w:val="single"/>
        </w:rPr>
      </w:pPr>
    </w:p>
    <w:p w14:paraId="6461058A" w14:textId="77777777" w:rsidR="00486340" w:rsidRPr="009D007C" w:rsidRDefault="000A12B7" w:rsidP="00CB233F">
      <w:pPr>
        <w:spacing w:after="0" w:line="240" w:lineRule="auto"/>
        <w:rPr>
          <w:rFonts w:ascii="Arial" w:hAnsi="Arial" w:cs="Arial"/>
          <w:sz w:val="24"/>
          <w:szCs w:val="24"/>
        </w:rPr>
      </w:pPr>
      <w:r w:rsidRPr="009D007C">
        <w:rPr>
          <w:rFonts w:ascii="Arial" w:hAnsi="Arial" w:cs="Arial"/>
          <w:sz w:val="24"/>
          <w:szCs w:val="24"/>
        </w:rPr>
        <w:t>Convicts were prisoners who had been sentenced to a term of penal servitude. In the nineteenth century t</w:t>
      </w:r>
      <w:r w:rsidR="00F85CD3" w:rsidRPr="009D007C">
        <w:rPr>
          <w:rFonts w:ascii="Arial" w:hAnsi="Arial" w:cs="Arial"/>
          <w:sz w:val="24"/>
          <w:szCs w:val="24"/>
        </w:rPr>
        <w:t xml:space="preserve">hey were mostly repeat offenders held on felonies that resulted in sentences over a year </w:t>
      </w:r>
      <w:r w:rsidR="0081026F">
        <w:rPr>
          <w:rFonts w:ascii="Arial" w:hAnsi="Arial" w:cs="Arial"/>
          <w:sz w:val="24"/>
          <w:szCs w:val="24"/>
        </w:rPr>
        <w:t xml:space="preserve">(usually terms of 7, 10 or 14 </w:t>
      </w:r>
      <w:r w:rsidR="00F85CD3" w:rsidRPr="009D007C">
        <w:rPr>
          <w:rFonts w:ascii="Arial" w:hAnsi="Arial" w:cs="Arial"/>
          <w:sz w:val="24"/>
          <w:szCs w:val="24"/>
        </w:rPr>
        <w:t>years</w:t>
      </w:r>
      <w:r w:rsidR="0081026F">
        <w:rPr>
          <w:rFonts w:ascii="Arial" w:hAnsi="Arial" w:cs="Arial"/>
          <w:sz w:val="24"/>
          <w:szCs w:val="24"/>
        </w:rPr>
        <w:t>)</w:t>
      </w:r>
      <w:r w:rsidR="00F85CD3" w:rsidRPr="009D007C">
        <w:rPr>
          <w:rFonts w:ascii="Arial" w:hAnsi="Arial" w:cs="Arial"/>
          <w:sz w:val="24"/>
          <w:szCs w:val="24"/>
        </w:rPr>
        <w:t>.</w:t>
      </w:r>
      <w:r w:rsidRPr="009D007C">
        <w:rPr>
          <w:rFonts w:ascii="Arial" w:hAnsi="Arial" w:cs="Arial"/>
          <w:sz w:val="24"/>
          <w:szCs w:val="24"/>
        </w:rPr>
        <w:t xml:space="preserve"> </w:t>
      </w:r>
      <w:r w:rsidR="00F85CD3" w:rsidRPr="009D007C">
        <w:rPr>
          <w:rFonts w:ascii="Arial" w:hAnsi="Arial" w:cs="Arial"/>
          <w:sz w:val="24"/>
          <w:szCs w:val="24"/>
          <w:lang w:val="en-GB"/>
        </w:rPr>
        <w:t>Between 1788 and 1868 over 160,000 convicts were transported to Britain’s Australian penal colonies.</w:t>
      </w:r>
      <w:r w:rsidR="00F85CD3" w:rsidRPr="009D007C">
        <w:rPr>
          <w:rFonts w:ascii="Arial" w:hAnsi="Arial" w:cs="Arial"/>
          <w:sz w:val="24"/>
          <w:szCs w:val="24"/>
          <w:vertAlign w:val="superscript"/>
          <w:lang w:val="en-GB"/>
        </w:rPr>
        <w:endnoteReference w:id="22"/>
      </w:r>
      <w:r w:rsidR="00F85CD3" w:rsidRPr="009D007C">
        <w:rPr>
          <w:rFonts w:ascii="Arial" w:hAnsi="Arial" w:cs="Arial"/>
          <w:sz w:val="24"/>
          <w:szCs w:val="24"/>
          <w:lang w:val="en-GB"/>
        </w:rPr>
        <w:t xml:space="preserve"> However, this was drastically reduced from the 1853 as transportation to Australia was slowly phased out (although about 10,000 were transported to Western Australia until this too ceased). </w:t>
      </w:r>
      <w:r w:rsidR="00585AD5" w:rsidRPr="009D007C">
        <w:rPr>
          <w:rFonts w:ascii="Arial" w:hAnsi="Arial" w:cs="Arial"/>
          <w:sz w:val="24"/>
          <w:szCs w:val="24"/>
        </w:rPr>
        <w:t>P</w:t>
      </w:r>
      <w:r w:rsidR="004C0B83" w:rsidRPr="009D007C">
        <w:rPr>
          <w:rFonts w:ascii="Arial" w:hAnsi="Arial" w:cs="Arial"/>
          <w:sz w:val="24"/>
          <w:szCs w:val="24"/>
        </w:rPr>
        <w:t>risons became the default option and the system was changed to reform people through brutal measures, including long periods of separate confinement.</w:t>
      </w:r>
      <w:r w:rsidR="000B2BEC">
        <w:rPr>
          <w:rStyle w:val="EndnoteReference"/>
          <w:rFonts w:ascii="Arial" w:hAnsi="Arial" w:cs="Arial"/>
          <w:sz w:val="24"/>
          <w:szCs w:val="24"/>
        </w:rPr>
        <w:endnoteReference w:id="23"/>
      </w:r>
      <w:r w:rsidR="004C0B83" w:rsidRPr="009D007C">
        <w:rPr>
          <w:rFonts w:ascii="Arial" w:hAnsi="Arial" w:cs="Arial"/>
          <w:sz w:val="24"/>
          <w:szCs w:val="24"/>
        </w:rPr>
        <w:t xml:space="preserve"> However, the </w:t>
      </w:r>
      <w:r w:rsidR="00585AD5" w:rsidRPr="009D007C">
        <w:rPr>
          <w:rFonts w:ascii="Arial" w:hAnsi="Arial" w:cs="Arial"/>
          <w:sz w:val="24"/>
          <w:szCs w:val="24"/>
        </w:rPr>
        <w:t>new penal</w:t>
      </w:r>
      <w:r w:rsidR="004C0B83" w:rsidRPr="009D007C">
        <w:rPr>
          <w:rFonts w:ascii="Arial" w:hAnsi="Arial" w:cs="Arial"/>
          <w:sz w:val="24"/>
          <w:szCs w:val="24"/>
        </w:rPr>
        <w:t xml:space="preserve"> system also </w:t>
      </w:r>
      <w:r w:rsidR="007C7D4D" w:rsidRPr="009D007C">
        <w:rPr>
          <w:rFonts w:ascii="Arial" w:hAnsi="Arial" w:cs="Arial"/>
          <w:sz w:val="24"/>
          <w:szCs w:val="24"/>
        </w:rPr>
        <w:t>developed</w:t>
      </w:r>
      <w:r w:rsidR="004C0B83" w:rsidRPr="009D007C">
        <w:rPr>
          <w:rFonts w:ascii="Arial" w:hAnsi="Arial" w:cs="Arial"/>
          <w:sz w:val="24"/>
          <w:szCs w:val="24"/>
        </w:rPr>
        <w:t xml:space="preserve"> a series of </w:t>
      </w:r>
      <w:r w:rsidR="00265606">
        <w:rPr>
          <w:rFonts w:ascii="Arial" w:hAnsi="Arial" w:cs="Arial"/>
          <w:sz w:val="24"/>
          <w:szCs w:val="24"/>
        </w:rPr>
        <w:t xml:space="preserve">‘progressive’ </w:t>
      </w:r>
      <w:r w:rsidR="007C7D4D" w:rsidRPr="009D007C">
        <w:rPr>
          <w:rFonts w:ascii="Arial" w:hAnsi="Arial" w:cs="Arial"/>
          <w:sz w:val="24"/>
          <w:szCs w:val="24"/>
        </w:rPr>
        <w:t>stages</w:t>
      </w:r>
      <w:r w:rsidR="004C0B83" w:rsidRPr="009D007C">
        <w:rPr>
          <w:rFonts w:ascii="Arial" w:hAnsi="Arial" w:cs="Arial"/>
          <w:sz w:val="24"/>
          <w:szCs w:val="24"/>
        </w:rPr>
        <w:t xml:space="preserve"> so that prisoners could </w:t>
      </w:r>
      <w:r w:rsidR="007C7D4D" w:rsidRPr="009D007C">
        <w:rPr>
          <w:rFonts w:ascii="Arial" w:hAnsi="Arial" w:cs="Arial"/>
          <w:sz w:val="24"/>
          <w:szCs w:val="24"/>
        </w:rPr>
        <w:t>gain limited</w:t>
      </w:r>
      <w:r w:rsidR="004C0B83" w:rsidRPr="009D007C">
        <w:rPr>
          <w:rFonts w:ascii="Arial" w:hAnsi="Arial" w:cs="Arial"/>
          <w:sz w:val="24"/>
          <w:szCs w:val="24"/>
        </w:rPr>
        <w:t xml:space="preserve"> privileges with the </w:t>
      </w:r>
      <w:r w:rsidR="007C7D4D" w:rsidRPr="009D007C">
        <w:rPr>
          <w:rFonts w:ascii="Arial" w:hAnsi="Arial" w:cs="Arial"/>
          <w:sz w:val="24"/>
          <w:szCs w:val="24"/>
        </w:rPr>
        <w:t xml:space="preserve">ultimate </w:t>
      </w:r>
      <w:r w:rsidR="004C0B83" w:rsidRPr="009D007C">
        <w:rPr>
          <w:rFonts w:ascii="Arial" w:hAnsi="Arial" w:cs="Arial"/>
          <w:sz w:val="24"/>
          <w:szCs w:val="24"/>
        </w:rPr>
        <w:t>objective of early parole – a system largely inspired by the ticket of leave system under transportation.</w:t>
      </w:r>
      <w:r w:rsidR="007C7D4D" w:rsidRPr="009D007C">
        <w:rPr>
          <w:rStyle w:val="EndnoteReference"/>
          <w:rFonts w:ascii="Arial" w:hAnsi="Arial" w:cs="Arial"/>
          <w:sz w:val="24"/>
          <w:szCs w:val="24"/>
        </w:rPr>
        <w:endnoteReference w:id="24"/>
      </w:r>
      <w:r w:rsidR="00265606">
        <w:rPr>
          <w:rFonts w:ascii="Arial" w:hAnsi="Arial" w:cs="Arial"/>
          <w:sz w:val="24"/>
          <w:szCs w:val="24"/>
        </w:rPr>
        <w:t xml:space="preserve"> </w:t>
      </w:r>
      <w:r w:rsidR="00A972EA" w:rsidRPr="009D007C">
        <w:rPr>
          <w:rFonts w:ascii="Arial" w:hAnsi="Arial" w:cs="Arial"/>
          <w:sz w:val="24"/>
          <w:szCs w:val="24"/>
        </w:rPr>
        <w:t>In addition, prison</w:t>
      </w:r>
      <w:r w:rsidR="007C7D4D" w:rsidRPr="009D007C">
        <w:rPr>
          <w:rFonts w:ascii="Arial" w:hAnsi="Arial" w:cs="Arial"/>
          <w:sz w:val="24"/>
          <w:szCs w:val="24"/>
        </w:rPr>
        <w:t xml:space="preserve"> authorities gathered and amassed</w:t>
      </w:r>
      <w:r w:rsidR="004C0B83" w:rsidRPr="009D007C">
        <w:rPr>
          <w:rFonts w:ascii="Arial" w:hAnsi="Arial" w:cs="Arial"/>
          <w:sz w:val="24"/>
          <w:szCs w:val="24"/>
        </w:rPr>
        <w:t xml:space="preserve"> </w:t>
      </w:r>
      <w:r w:rsidR="007C7D4D" w:rsidRPr="009D007C">
        <w:rPr>
          <w:rFonts w:ascii="Arial" w:hAnsi="Arial" w:cs="Arial"/>
          <w:sz w:val="24"/>
          <w:szCs w:val="24"/>
        </w:rPr>
        <w:t>more information on prisoners than had ever been achieved before –</w:t>
      </w:r>
      <w:r w:rsidR="00F85CD3" w:rsidRPr="009D007C">
        <w:rPr>
          <w:rFonts w:ascii="Arial" w:hAnsi="Arial" w:cs="Arial"/>
          <w:sz w:val="24"/>
          <w:szCs w:val="24"/>
        </w:rPr>
        <w:t xml:space="preserve"> </w:t>
      </w:r>
      <w:r w:rsidR="004C0B83" w:rsidRPr="009D007C">
        <w:rPr>
          <w:rFonts w:ascii="Arial" w:hAnsi="Arial" w:cs="Arial"/>
          <w:sz w:val="24"/>
          <w:szCs w:val="24"/>
        </w:rPr>
        <w:t xml:space="preserve">biometric, personal and medical histories, coupled with a detailed tracking of the prison offences and personal </w:t>
      </w:r>
      <w:r w:rsidR="00F85CD3" w:rsidRPr="009D007C">
        <w:rPr>
          <w:rFonts w:ascii="Arial" w:hAnsi="Arial" w:cs="Arial"/>
          <w:sz w:val="24"/>
          <w:szCs w:val="24"/>
        </w:rPr>
        <w:t>history was detailed</w:t>
      </w:r>
      <w:r w:rsidR="004C0B83" w:rsidRPr="009D007C">
        <w:rPr>
          <w:rFonts w:ascii="Arial" w:hAnsi="Arial" w:cs="Arial"/>
          <w:sz w:val="24"/>
          <w:szCs w:val="24"/>
        </w:rPr>
        <w:t xml:space="preserve"> </w:t>
      </w:r>
      <w:r w:rsidR="00265606">
        <w:rPr>
          <w:rFonts w:ascii="Arial" w:hAnsi="Arial" w:cs="Arial"/>
          <w:sz w:val="24"/>
          <w:szCs w:val="24"/>
        </w:rPr>
        <w:t>at every staging post while they served</w:t>
      </w:r>
      <w:r w:rsidR="00F85CD3" w:rsidRPr="009D007C">
        <w:rPr>
          <w:rFonts w:ascii="Arial" w:hAnsi="Arial" w:cs="Arial"/>
          <w:sz w:val="24"/>
          <w:szCs w:val="24"/>
        </w:rPr>
        <w:t xml:space="preserve"> </w:t>
      </w:r>
      <w:r w:rsidR="00265606">
        <w:rPr>
          <w:rFonts w:ascii="Arial" w:hAnsi="Arial" w:cs="Arial"/>
          <w:sz w:val="24"/>
          <w:szCs w:val="24"/>
        </w:rPr>
        <w:t>time inside the prison estate</w:t>
      </w:r>
      <w:r w:rsidR="00F85CD3" w:rsidRPr="009D007C">
        <w:rPr>
          <w:rFonts w:ascii="Arial" w:hAnsi="Arial" w:cs="Arial"/>
          <w:sz w:val="24"/>
          <w:szCs w:val="24"/>
        </w:rPr>
        <w:t>.</w:t>
      </w:r>
      <w:r w:rsidR="00412785" w:rsidRPr="009D007C">
        <w:rPr>
          <w:rFonts w:ascii="Arial" w:hAnsi="Arial" w:cs="Arial"/>
          <w:sz w:val="24"/>
          <w:szCs w:val="24"/>
          <w:lang w:val="en-GB"/>
        </w:rPr>
        <w:t xml:space="preserve"> Diet, </w:t>
      </w:r>
      <w:r w:rsidR="0081026F">
        <w:rPr>
          <w:rFonts w:ascii="Arial" w:hAnsi="Arial" w:cs="Arial"/>
          <w:sz w:val="24"/>
          <w:szCs w:val="24"/>
          <w:lang w:val="en-GB"/>
        </w:rPr>
        <w:t>conditions and rules were put un</w:t>
      </w:r>
      <w:r w:rsidR="00412785" w:rsidRPr="009D007C">
        <w:rPr>
          <w:rFonts w:ascii="Arial" w:hAnsi="Arial" w:cs="Arial"/>
          <w:sz w:val="24"/>
          <w:szCs w:val="24"/>
          <w:lang w:val="en-GB"/>
        </w:rPr>
        <w:t xml:space="preserve">der </w:t>
      </w:r>
      <w:r w:rsidR="0081026F">
        <w:rPr>
          <w:rFonts w:ascii="Arial" w:hAnsi="Arial" w:cs="Arial"/>
          <w:sz w:val="24"/>
          <w:szCs w:val="24"/>
          <w:lang w:val="en-GB"/>
        </w:rPr>
        <w:t xml:space="preserve">the </w:t>
      </w:r>
      <w:r w:rsidR="00412785" w:rsidRPr="009D007C">
        <w:rPr>
          <w:rFonts w:ascii="Arial" w:hAnsi="Arial" w:cs="Arial"/>
          <w:sz w:val="24"/>
          <w:szCs w:val="24"/>
          <w:lang w:val="en-GB"/>
        </w:rPr>
        <w:t>spotlight and more uniformity was attempted (though never complete in practice)</w:t>
      </w:r>
      <w:r w:rsidR="00265606">
        <w:rPr>
          <w:rStyle w:val="EndnoteReference"/>
          <w:rFonts w:ascii="Arial" w:hAnsi="Arial" w:cs="Arial"/>
          <w:sz w:val="24"/>
          <w:szCs w:val="24"/>
          <w:lang w:val="en-GB"/>
        </w:rPr>
        <w:endnoteReference w:id="25"/>
      </w:r>
      <w:r w:rsidR="00412785" w:rsidRPr="009D007C">
        <w:rPr>
          <w:rFonts w:ascii="Arial" w:hAnsi="Arial" w:cs="Arial"/>
          <w:sz w:val="24"/>
          <w:szCs w:val="24"/>
          <w:lang w:val="en-GB"/>
        </w:rPr>
        <w:t>.</w:t>
      </w:r>
      <w:r w:rsidR="00F85CD3" w:rsidRPr="009D007C">
        <w:rPr>
          <w:rFonts w:ascii="Arial" w:hAnsi="Arial" w:cs="Arial"/>
          <w:sz w:val="24"/>
          <w:szCs w:val="24"/>
        </w:rPr>
        <w:t xml:space="preserve"> Being paroled on early release was the brainchild of the Victorians and o</w:t>
      </w:r>
      <w:r w:rsidR="004C0B83" w:rsidRPr="009D007C">
        <w:rPr>
          <w:rFonts w:ascii="Arial" w:hAnsi="Arial" w:cs="Arial"/>
          <w:sz w:val="24"/>
          <w:szCs w:val="24"/>
        </w:rPr>
        <w:t xml:space="preserve">n release this information was bound </w:t>
      </w:r>
      <w:r w:rsidR="00A972EA" w:rsidRPr="009D007C">
        <w:rPr>
          <w:rFonts w:ascii="Arial" w:hAnsi="Arial" w:cs="Arial"/>
          <w:sz w:val="24"/>
          <w:szCs w:val="24"/>
        </w:rPr>
        <w:t xml:space="preserve">together in a parole licence. </w:t>
      </w:r>
      <w:r w:rsidR="00A972EA" w:rsidRPr="009D007C">
        <w:rPr>
          <w:rFonts w:ascii="Arial" w:hAnsi="Arial" w:cs="Arial"/>
          <w:sz w:val="24"/>
          <w:szCs w:val="24"/>
        </w:rPr>
        <w:lastRenderedPageBreak/>
        <w:t>S</w:t>
      </w:r>
      <w:r w:rsidR="004C0B83" w:rsidRPr="009D007C">
        <w:rPr>
          <w:rFonts w:ascii="Arial" w:hAnsi="Arial" w:cs="Arial"/>
          <w:sz w:val="24"/>
          <w:szCs w:val="24"/>
        </w:rPr>
        <w:t xml:space="preserve">entences </w:t>
      </w:r>
      <w:r w:rsidR="00A972EA" w:rsidRPr="009D007C">
        <w:rPr>
          <w:rFonts w:ascii="Arial" w:hAnsi="Arial" w:cs="Arial"/>
          <w:sz w:val="24"/>
          <w:szCs w:val="24"/>
        </w:rPr>
        <w:t>were sometimes</w:t>
      </w:r>
      <w:r w:rsidR="004C0B83" w:rsidRPr="009D007C">
        <w:rPr>
          <w:rFonts w:ascii="Arial" w:hAnsi="Arial" w:cs="Arial"/>
          <w:sz w:val="24"/>
          <w:szCs w:val="24"/>
        </w:rPr>
        <w:t xml:space="preserve"> halved by </w:t>
      </w:r>
      <w:r w:rsidR="00A972EA" w:rsidRPr="009D007C">
        <w:rPr>
          <w:rFonts w:ascii="Arial" w:hAnsi="Arial" w:cs="Arial"/>
          <w:sz w:val="24"/>
          <w:szCs w:val="24"/>
        </w:rPr>
        <w:t xml:space="preserve">early release on good behaviour. </w:t>
      </w:r>
      <w:r w:rsidR="00412785" w:rsidRPr="009D007C">
        <w:rPr>
          <w:rFonts w:ascii="Arial" w:hAnsi="Arial" w:cs="Arial"/>
          <w:sz w:val="24"/>
          <w:szCs w:val="24"/>
          <w:lang w:val="en-GB"/>
        </w:rPr>
        <w:t>A</w:t>
      </w:r>
      <w:r w:rsidR="00985683" w:rsidRPr="009D007C">
        <w:rPr>
          <w:rFonts w:ascii="Arial" w:hAnsi="Arial" w:cs="Arial"/>
          <w:sz w:val="24"/>
          <w:szCs w:val="24"/>
          <w:lang w:val="en-GB"/>
        </w:rPr>
        <w:t>s part of this</w:t>
      </w:r>
      <w:r w:rsidR="00412785" w:rsidRPr="009D007C">
        <w:rPr>
          <w:rFonts w:ascii="Arial" w:hAnsi="Arial" w:cs="Arial"/>
          <w:sz w:val="24"/>
          <w:szCs w:val="24"/>
          <w:lang w:val="en-GB"/>
        </w:rPr>
        <w:t xml:space="preserve"> move to more bureaucracy</w:t>
      </w:r>
      <w:r w:rsidR="00985683" w:rsidRPr="009D007C">
        <w:rPr>
          <w:rFonts w:ascii="Arial" w:hAnsi="Arial" w:cs="Arial"/>
          <w:sz w:val="24"/>
          <w:szCs w:val="24"/>
          <w:lang w:val="en-GB"/>
        </w:rPr>
        <w:t xml:space="preserve">, </w:t>
      </w:r>
      <w:r w:rsidR="00412785" w:rsidRPr="009D007C">
        <w:rPr>
          <w:rFonts w:ascii="Arial" w:hAnsi="Arial" w:cs="Arial"/>
          <w:sz w:val="24"/>
          <w:szCs w:val="24"/>
          <w:lang w:val="en-GB"/>
        </w:rPr>
        <w:t>petitioning see</w:t>
      </w:r>
      <w:r w:rsidR="0081026F">
        <w:rPr>
          <w:rFonts w:ascii="Arial" w:hAnsi="Arial" w:cs="Arial"/>
          <w:sz w:val="24"/>
          <w:szCs w:val="24"/>
          <w:lang w:val="en-GB"/>
        </w:rPr>
        <w:t>m</w:t>
      </w:r>
      <w:r w:rsidR="00412785" w:rsidRPr="009D007C">
        <w:rPr>
          <w:rFonts w:ascii="Arial" w:hAnsi="Arial" w:cs="Arial"/>
          <w:sz w:val="24"/>
          <w:szCs w:val="24"/>
          <w:lang w:val="en-GB"/>
        </w:rPr>
        <w:t>s to have become more frequent and was a</w:t>
      </w:r>
      <w:r w:rsidR="00985683" w:rsidRPr="009D007C">
        <w:rPr>
          <w:rFonts w:ascii="Arial" w:hAnsi="Arial" w:cs="Arial"/>
          <w:sz w:val="24"/>
          <w:szCs w:val="24"/>
          <w:lang w:val="en-GB"/>
        </w:rPr>
        <w:t xml:space="preserve"> common and a regular part of a prisoner’s life. </w:t>
      </w:r>
      <w:r w:rsidR="00E012D2">
        <w:rPr>
          <w:rFonts w:ascii="Arial" w:hAnsi="Arial" w:cs="Arial"/>
          <w:sz w:val="24"/>
          <w:szCs w:val="24"/>
        </w:rPr>
        <w:t xml:space="preserve">They </w:t>
      </w:r>
      <w:r w:rsidR="00E012D2" w:rsidRPr="009D007C">
        <w:rPr>
          <w:rFonts w:ascii="Arial" w:hAnsi="Arial" w:cs="Arial"/>
          <w:sz w:val="24"/>
          <w:szCs w:val="24"/>
        </w:rPr>
        <w:t>had the right to petition the authorities every six months and this they did with startling regularity.</w:t>
      </w:r>
      <w:r w:rsidR="00E012D2">
        <w:rPr>
          <w:rStyle w:val="EndnoteReference"/>
          <w:rFonts w:ascii="Arial" w:hAnsi="Arial" w:cs="Arial"/>
          <w:sz w:val="24"/>
          <w:szCs w:val="24"/>
        </w:rPr>
        <w:endnoteReference w:id="26"/>
      </w:r>
    </w:p>
    <w:p w14:paraId="791E75D1" w14:textId="77777777" w:rsidR="008A534E" w:rsidRPr="009D007C" w:rsidRDefault="008A534E" w:rsidP="00CB233F">
      <w:pPr>
        <w:spacing w:after="0" w:line="240" w:lineRule="auto"/>
        <w:rPr>
          <w:rFonts w:ascii="Arial" w:hAnsi="Arial" w:cs="Arial"/>
          <w:sz w:val="24"/>
          <w:szCs w:val="24"/>
        </w:rPr>
      </w:pPr>
    </w:p>
    <w:p w14:paraId="209AC857" w14:textId="77777777" w:rsidR="00C86B90" w:rsidRPr="009D007C" w:rsidRDefault="00C86B90" w:rsidP="00CB233F">
      <w:pPr>
        <w:spacing w:after="0" w:line="240" w:lineRule="auto"/>
        <w:rPr>
          <w:rFonts w:ascii="Arial" w:hAnsi="Arial" w:cs="Arial"/>
          <w:sz w:val="24"/>
          <w:szCs w:val="24"/>
        </w:rPr>
      </w:pPr>
      <w:r w:rsidRPr="009D007C">
        <w:rPr>
          <w:rFonts w:ascii="Arial" w:hAnsi="Arial" w:cs="Arial"/>
          <w:sz w:val="24"/>
          <w:szCs w:val="24"/>
        </w:rPr>
        <w:t>According to contemporary prison officials, there was ample opportunity for prisoners to make their grievances known</w:t>
      </w:r>
      <w:r w:rsidRPr="00D1483A">
        <w:rPr>
          <w:rFonts w:ascii="Arial" w:hAnsi="Arial" w:cs="Arial"/>
          <w:sz w:val="24"/>
          <w:szCs w:val="24"/>
        </w:rPr>
        <w:t>.</w:t>
      </w:r>
      <w:r w:rsidR="00E571FD" w:rsidRPr="00D1483A">
        <w:rPr>
          <w:rFonts w:ascii="Arial" w:hAnsi="Arial" w:cs="Arial"/>
          <w:sz w:val="24"/>
          <w:szCs w:val="24"/>
        </w:rPr>
        <w:t xml:space="preserve"> Richard</w:t>
      </w:r>
      <w:r w:rsidRPr="00D1483A">
        <w:rPr>
          <w:rFonts w:ascii="Arial" w:hAnsi="Arial" w:cs="Arial"/>
          <w:sz w:val="24"/>
          <w:szCs w:val="24"/>
        </w:rPr>
        <w:t xml:space="preserve"> Frith Quinton, medical officer</w:t>
      </w:r>
      <w:r w:rsidR="00D1483A" w:rsidRPr="00D1483A">
        <w:rPr>
          <w:rFonts w:ascii="Arial" w:hAnsi="Arial" w:cs="Arial"/>
          <w:sz w:val="24"/>
          <w:szCs w:val="24"/>
        </w:rPr>
        <w:t xml:space="preserve"> and governor at Holloway prison,</w:t>
      </w:r>
      <w:r w:rsidRPr="00D1483A">
        <w:rPr>
          <w:rFonts w:ascii="Arial" w:hAnsi="Arial" w:cs="Arial"/>
          <w:sz w:val="24"/>
          <w:szCs w:val="24"/>
        </w:rPr>
        <w:t xml:space="preserve"> </w:t>
      </w:r>
      <w:r w:rsidRPr="009D007C">
        <w:rPr>
          <w:rFonts w:ascii="Arial" w:hAnsi="Arial" w:cs="Arial"/>
          <w:sz w:val="24"/>
          <w:szCs w:val="24"/>
        </w:rPr>
        <w:t xml:space="preserve">bemoaned the </w:t>
      </w:r>
      <w:r w:rsidR="00C23E0D" w:rsidRPr="009D007C">
        <w:rPr>
          <w:rFonts w:ascii="Arial" w:hAnsi="Arial" w:cs="Arial"/>
          <w:sz w:val="24"/>
          <w:szCs w:val="24"/>
        </w:rPr>
        <w:t>frequency of petitions that was serviced by ‘elaborate machinery’ for investigating and dealing with complaints and grievances, especially in convict prisons.</w:t>
      </w:r>
      <w:r w:rsidR="005D1E4B" w:rsidRPr="009D007C">
        <w:rPr>
          <w:rStyle w:val="EndnoteReference"/>
          <w:rFonts w:ascii="Arial" w:hAnsi="Arial" w:cs="Arial"/>
          <w:sz w:val="24"/>
          <w:szCs w:val="24"/>
        </w:rPr>
        <w:endnoteReference w:id="27"/>
      </w:r>
      <w:r w:rsidR="00D1483A">
        <w:rPr>
          <w:rFonts w:ascii="Arial" w:hAnsi="Arial" w:cs="Arial"/>
          <w:sz w:val="24"/>
          <w:szCs w:val="24"/>
        </w:rPr>
        <w:t xml:space="preserve"> He observed that </w:t>
      </w:r>
      <w:r w:rsidR="00E571FD" w:rsidRPr="009D007C">
        <w:rPr>
          <w:rFonts w:ascii="Arial" w:hAnsi="Arial" w:cs="Arial"/>
          <w:sz w:val="24"/>
          <w:szCs w:val="24"/>
        </w:rPr>
        <w:t>prison complaints could be documented by local officials, visiting magistrates, inspectors, the prison commissioner and the secretary of state – and for those prisoners wishing to appeal their sentence there was the Court of Criminal Appeal</w:t>
      </w:r>
      <w:r w:rsidRPr="009D007C">
        <w:rPr>
          <w:rFonts w:ascii="Arial" w:hAnsi="Arial" w:cs="Arial"/>
          <w:sz w:val="24"/>
          <w:szCs w:val="24"/>
        </w:rPr>
        <w:t>.</w:t>
      </w:r>
      <w:r w:rsidR="00E012D2">
        <w:rPr>
          <w:rStyle w:val="EndnoteReference"/>
          <w:rFonts w:ascii="Arial" w:hAnsi="Arial" w:cs="Arial"/>
          <w:sz w:val="24"/>
          <w:szCs w:val="24"/>
        </w:rPr>
        <w:endnoteReference w:id="28"/>
      </w:r>
      <w:r w:rsidR="00E571FD" w:rsidRPr="009D007C">
        <w:rPr>
          <w:rFonts w:ascii="Arial" w:hAnsi="Arial" w:cs="Arial"/>
          <w:sz w:val="24"/>
          <w:szCs w:val="24"/>
        </w:rPr>
        <w:t xml:space="preserve"> Prisoners could send a petition to the secretary of state as soon as they entered the system, and then repeat this regularly throughout their sentence: </w:t>
      </w:r>
    </w:p>
    <w:p w14:paraId="6D047D5B" w14:textId="77777777" w:rsidR="006E6DE8" w:rsidRPr="009D007C" w:rsidRDefault="006E6DE8" w:rsidP="00CB233F">
      <w:pPr>
        <w:spacing w:after="0" w:line="240" w:lineRule="auto"/>
        <w:rPr>
          <w:rFonts w:ascii="Arial" w:hAnsi="Arial" w:cs="Arial"/>
          <w:sz w:val="24"/>
          <w:szCs w:val="24"/>
        </w:rPr>
      </w:pPr>
    </w:p>
    <w:p w14:paraId="6049FE66" w14:textId="77777777" w:rsidR="00E571FD" w:rsidRPr="009D007C" w:rsidRDefault="006E6DE8" w:rsidP="006E6DE8">
      <w:pPr>
        <w:spacing w:after="0" w:line="240" w:lineRule="auto"/>
        <w:ind w:left="284" w:right="284"/>
        <w:rPr>
          <w:rFonts w:ascii="Arial" w:hAnsi="Arial" w:cs="Arial"/>
          <w:sz w:val="24"/>
          <w:szCs w:val="24"/>
        </w:rPr>
      </w:pPr>
      <w:r w:rsidRPr="009D007C">
        <w:rPr>
          <w:rFonts w:ascii="Arial" w:hAnsi="Arial" w:cs="Arial"/>
          <w:sz w:val="24"/>
          <w:szCs w:val="24"/>
        </w:rPr>
        <w:t>The writers enter into great detail to the Secretary of State, and sometimes adduce fresh facts bearing on their cases, which, after investigation, enable him to remit the whole, or a part, of the sentence. Most of the petitions, however, are found to be without grounds, but this does not prevent prisoners from renewing their applications, which many of them do repeatedly. Remission of sentence is generally asked for on the grounds of innocence or extenuating circumstances, but there are many other forms of appeal for clemency.</w:t>
      </w:r>
      <w:r w:rsidRPr="009D007C">
        <w:rPr>
          <w:rStyle w:val="EndnoteReference"/>
          <w:rFonts w:ascii="Arial" w:hAnsi="Arial" w:cs="Arial"/>
          <w:sz w:val="24"/>
          <w:szCs w:val="24"/>
        </w:rPr>
        <w:endnoteReference w:id="29"/>
      </w:r>
    </w:p>
    <w:p w14:paraId="11B17017" w14:textId="77777777" w:rsidR="00C86B90" w:rsidRPr="009D007C" w:rsidRDefault="00C86B90" w:rsidP="00CB233F">
      <w:pPr>
        <w:spacing w:after="0" w:line="240" w:lineRule="auto"/>
        <w:rPr>
          <w:rFonts w:ascii="Arial" w:hAnsi="Arial" w:cs="Arial"/>
          <w:sz w:val="24"/>
          <w:szCs w:val="24"/>
        </w:rPr>
      </w:pPr>
    </w:p>
    <w:p w14:paraId="5F25DE72" w14:textId="0BAAC36F" w:rsidR="00C86B90" w:rsidRPr="009D007C" w:rsidRDefault="00686C4D" w:rsidP="00CB233F">
      <w:pPr>
        <w:spacing w:after="0" w:line="240" w:lineRule="auto"/>
        <w:rPr>
          <w:rFonts w:ascii="Arial" w:hAnsi="Arial" w:cs="Arial"/>
          <w:sz w:val="24"/>
          <w:szCs w:val="24"/>
        </w:rPr>
      </w:pPr>
      <w:r w:rsidRPr="009D007C">
        <w:rPr>
          <w:rFonts w:ascii="Arial" w:hAnsi="Arial" w:cs="Arial"/>
          <w:sz w:val="24"/>
          <w:szCs w:val="24"/>
        </w:rPr>
        <w:t xml:space="preserve">Prisoners most often petitioned for </w:t>
      </w:r>
      <w:r w:rsidR="00D1483A">
        <w:rPr>
          <w:rFonts w:ascii="Arial" w:hAnsi="Arial" w:cs="Arial"/>
          <w:sz w:val="24"/>
          <w:szCs w:val="24"/>
        </w:rPr>
        <w:t>extenuating</w:t>
      </w:r>
      <w:r w:rsidRPr="009D007C">
        <w:rPr>
          <w:rFonts w:ascii="Arial" w:hAnsi="Arial" w:cs="Arial"/>
          <w:sz w:val="24"/>
          <w:szCs w:val="24"/>
        </w:rPr>
        <w:t xml:space="preserve"> circumstances, </w:t>
      </w:r>
      <w:r w:rsidR="00412785" w:rsidRPr="009D007C">
        <w:rPr>
          <w:rFonts w:ascii="Arial" w:hAnsi="Arial" w:cs="Arial"/>
          <w:sz w:val="24"/>
          <w:szCs w:val="24"/>
        </w:rPr>
        <w:t>with</w:t>
      </w:r>
      <w:r w:rsidRPr="009D007C">
        <w:rPr>
          <w:rFonts w:ascii="Arial" w:hAnsi="Arial" w:cs="Arial"/>
          <w:sz w:val="24"/>
          <w:szCs w:val="24"/>
        </w:rPr>
        <w:t xml:space="preserve"> common </w:t>
      </w:r>
      <w:r w:rsidR="00DB02D5" w:rsidRPr="009D007C">
        <w:rPr>
          <w:rFonts w:ascii="Arial" w:hAnsi="Arial" w:cs="Arial"/>
          <w:sz w:val="24"/>
          <w:szCs w:val="24"/>
        </w:rPr>
        <w:t>pleas</w:t>
      </w:r>
      <w:r w:rsidR="008A534E" w:rsidRPr="009D007C">
        <w:rPr>
          <w:rFonts w:ascii="Arial" w:hAnsi="Arial" w:cs="Arial"/>
          <w:sz w:val="24"/>
          <w:szCs w:val="24"/>
        </w:rPr>
        <w:t xml:space="preserve"> or grievances</w:t>
      </w:r>
      <w:r w:rsidRPr="009D007C">
        <w:rPr>
          <w:rFonts w:ascii="Arial" w:hAnsi="Arial" w:cs="Arial"/>
          <w:sz w:val="24"/>
          <w:szCs w:val="24"/>
        </w:rPr>
        <w:t xml:space="preserve"> </w:t>
      </w:r>
      <w:r w:rsidR="00412785" w:rsidRPr="009D007C">
        <w:rPr>
          <w:rFonts w:ascii="Arial" w:hAnsi="Arial" w:cs="Arial"/>
          <w:sz w:val="24"/>
          <w:szCs w:val="24"/>
        </w:rPr>
        <w:t xml:space="preserve">in regard to their </w:t>
      </w:r>
      <w:r w:rsidRPr="009D007C">
        <w:rPr>
          <w:rFonts w:ascii="Arial" w:hAnsi="Arial" w:cs="Arial"/>
          <w:sz w:val="24"/>
          <w:szCs w:val="24"/>
        </w:rPr>
        <w:t xml:space="preserve">dependents </w:t>
      </w:r>
      <w:r w:rsidR="00D1483A">
        <w:rPr>
          <w:rFonts w:ascii="Arial" w:hAnsi="Arial" w:cs="Arial"/>
          <w:sz w:val="24"/>
          <w:szCs w:val="24"/>
        </w:rPr>
        <w:t xml:space="preserve">(arguing that their family </w:t>
      </w:r>
      <w:r w:rsidR="00412785" w:rsidRPr="009D007C">
        <w:rPr>
          <w:rFonts w:ascii="Arial" w:hAnsi="Arial" w:cs="Arial"/>
          <w:sz w:val="24"/>
          <w:szCs w:val="24"/>
        </w:rPr>
        <w:t xml:space="preserve">would fall on the expense of </w:t>
      </w:r>
      <w:r w:rsidR="00D1483A">
        <w:rPr>
          <w:rFonts w:ascii="Arial" w:hAnsi="Arial" w:cs="Arial"/>
          <w:sz w:val="24"/>
          <w:szCs w:val="24"/>
        </w:rPr>
        <w:t>ratepayers if the petitioner was</w:t>
      </w:r>
      <w:r w:rsidR="00412785" w:rsidRPr="009D007C">
        <w:rPr>
          <w:rFonts w:ascii="Arial" w:hAnsi="Arial" w:cs="Arial"/>
          <w:sz w:val="24"/>
          <w:szCs w:val="24"/>
        </w:rPr>
        <w:t xml:space="preserve"> not released</w:t>
      </w:r>
      <w:r w:rsidR="00D1483A">
        <w:rPr>
          <w:rFonts w:ascii="Arial" w:hAnsi="Arial" w:cs="Arial"/>
          <w:sz w:val="24"/>
          <w:szCs w:val="24"/>
        </w:rPr>
        <w:t>)</w:t>
      </w:r>
      <w:r w:rsidR="00412785" w:rsidRPr="009D007C">
        <w:rPr>
          <w:rFonts w:ascii="Arial" w:hAnsi="Arial" w:cs="Arial"/>
          <w:sz w:val="24"/>
          <w:szCs w:val="24"/>
        </w:rPr>
        <w:t>.</w:t>
      </w:r>
      <w:r w:rsidR="00DA5FC7">
        <w:rPr>
          <w:rStyle w:val="EndnoteReference"/>
          <w:rFonts w:ascii="Arial" w:hAnsi="Arial" w:cs="Arial"/>
          <w:sz w:val="24"/>
          <w:szCs w:val="24"/>
        </w:rPr>
        <w:endnoteReference w:id="30"/>
      </w:r>
      <w:r w:rsidR="00412785" w:rsidRPr="009D007C">
        <w:rPr>
          <w:rFonts w:ascii="Arial" w:hAnsi="Arial" w:cs="Arial"/>
          <w:sz w:val="24"/>
          <w:szCs w:val="24"/>
        </w:rPr>
        <w:t xml:space="preserve"> Mitigation in the terms or length of </w:t>
      </w:r>
      <w:r w:rsidR="00150C18">
        <w:rPr>
          <w:rFonts w:ascii="Arial" w:hAnsi="Arial" w:cs="Arial"/>
          <w:sz w:val="24"/>
          <w:szCs w:val="24"/>
        </w:rPr>
        <w:t>a</w:t>
      </w:r>
      <w:r w:rsidR="00412785" w:rsidRPr="009D007C">
        <w:rPr>
          <w:rFonts w:ascii="Arial" w:hAnsi="Arial" w:cs="Arial"/>
          <w:sz w:val="24"/>
          <w:szCs w:val="24"/>
        </w:rPr>
        <w:t xml:space="preserve"> </w:t>
      </w:r>
      <w:r w:rsidR="00150C18">
        <w:rPr>
          <w:rFonts w:ascii="Arial" w:hAnsi="Arial" w:cs="Arial"/>
          <w:sz w:val="24"/>
          <w:szCs w:val="24"/>
        </w:rPr>
        <w:t>penal servitude</w:t>
      </w:r>
      <w:r w:rsidR="00412785" w:rsidRPr="009D007C">
        <w:rPr>
          <w:rFonts w:ascii="Arial" w:hAnsi="Arial" w:cs="Arial"/>
          <w:sz w:val="24"/>
          <w:szCs w:val="24"/>
        </w:rPr>
        <w:t xml:space="preserve"> was also relatively common</w:t>
      </w:r>
      <w:r w:rsidR="00DA72A9" w:rsidRPr="009D007C">
        <w:rPr>
          <w:rFonts w:ascii="Arial" w:hAnsi="Arial" w:cs="Arial"/>
          <w:sz w:val="24"/>
          <w:szCs w:val="24"/>
        </w:rPr>
        <w:t xml:space="preserve">. </w:t>
      </w:r>
      <w:r w:rsidR="005F0C4A">
        <w:rPr>
          <w:rFonts w:ascii="Arial" w:hAnsi="Arial" w:cs="Arial"/>
          <w:sz w:val="24"/>
          <w:szCs w:val="24"/>
        </w:rPr>
        <w:t xml:space="preserve">Although, Harriet Brown’s </w:t>
      </w:r>
      <w:r w:rsidR="00150C18">
        <w:rPr>
          <w:rFonts w:ascii="Arial" w:hAnsi="Arial" w:cs="Arial"/>
          <w:sz w:val="24"/>
          <w:szCs w:val="24"/>
        </w:rPr>
        <w:t>doubts about sentencing were ignored</w:t>
      </w:r>
      <w:r w:rsidR="005F0C4A">
        <w:rPr>
          <w:rFonts w:ascii="Arial" w:hAnsi="Arial" w:cs="Arial"/>
          <w:sz w:val="24"/>
          <w:szCs w:val="24"/>
        </w:rPr>
        <w:t xml:space="preserve">, her age, attitude and naivety were compelling mitigations for early release. </w:t>
      </w:r>
      <w:r w:rsidR="00D1483A">
        <w:rPr>
          <w:rFonts w:ascii="Arial" w:hAnsi="Arial" w:cs="Arial"/>
          <w:sz w:val="24"/>
          <w:szCs w:val="24"/>
        </w:rPr>
        <w:t xml:space="preserve">Other </w:t>
      </w:r>
      <w:r w:rsidR="00D1483A" w:rsidRPr="00D1483A">
        <w:rPr>
          <w:rFonts w:ascii="Arial" w:hAnsi="Arial" w:cs="Arial"/>
          <w:sz w:val="24"/>
          <w:szCs w:val="24"/>
        </w:rPr>
        <w:t xml:space="preserve">prisoners </w:t>
      </w:r>
      <w:r w:rsidR="00D5166D">
        <w:rPr>
          <w:rFonts w:ascii="Arial" w:hAnsi="Arial" w:cs="Arial"/>
          <w:sz w:val="24"/>
          <w:szCs w:val="24"/>
        </w:rPr>
        <w:t xml:space="preserve">– mostly with no success – made claims to bogus or exaggerated sickness, making </w:t>
      </w:r>
      <w:r w:rsidR="00D1483A" w:rsidRPr="00D1483A">
        <w:rPr>
          <w:rFonts w:ascii="Arial" w:hAnsi="Arial" w:cs="Arial"/>
          <w:sz w:val="24"/>
          <w:szCs w:val="24"/>
        </w:rPr>
        <w:t>‘complaints of the apathy of their medical advisers’.</w:t>
      </w:r>
      <w:r w:rsidR="00D5166D" w:rsidRPr="00D5166D">
        <w:rPr>
          <w:rFonts w:ascii="Arial" w:hAnsi="Arial" w:cs="Arial"/>
          <w:sz w:val="24"/>
          <w:szCs w:val="24"/>
          <w:vertAlign w:val="superscript"/>
        </w:rPr>
        <w:endnoteReference w:id="31"/>
      </w:r>
      <w:r w:rsidR="00D5166D">
        <w:rPr>
          <w:rFonts w:ascii="Arial" w:hAnsi="Arial" w:cs="Arial"/>
          <w:sz w:val="24"/>
          <w:szCs w:val="24"/>
          <w:vertAlign w:val="superscript"/>
        </w:rPr>
        <w:t xml:space="preserve"> </w:t>
      </w:r>
      <w:r w:rsidR="00D5166D">
        <w:rPr>
          <w:rFonts w:ascii="Arial" w:hAnsi="Arial" w:cs="Arial"/>
          <w:sz w:val="24"/>
          <w:szCs w:val="24"/>
        </w:rPr>
        <w:t>Nevertheless</w:t>
      </w:r>
      <w:r w:rsidR="00DA72A9" w:rsidRPr="009D007C">
        <w:rPr>
          <w:rFonts w:ascii="Arial" w:hAnsi="Arial" w:cs="Arial"/>
          <w:sz w:val="24"/>
          <w:szCs w:val="24"/>
        </w:rPr>
        <w:t xml:space="preserve"> the most successful petition</w:t>
      </w:r>
      <w:r w:rsidR="00416539">
        <w:rPr>
          <w:rFonts w:ascii="Arial" w:hAnsi="Arial" w:cs="Arial"/>
          <w:sz w:val="24"/>
          <w:szCs w:val="24"/>
        </w:rPr>
        <w:t>s</w:t>
      </w:r>
      <w:r w:rsidR="00DA72A9" w:rsidRPr="009D007C">
        <w:rPr>
          <w:rFonts w:ascii="Arial" w:hAnsi="Arial" w:cs="Arial"/>
          <w:sz w:val="24"/>
          <w:szCs w:val="24"/>
        </w:rPr>
        <w:t xml:space="preserve"> for early release were those at the nexus of health and morbidity,</w:t>
      </w:r>
      <w:r w:rsidR="00150C18">
        <w:rPr>
          <w:rFonts w:ascii="Arial" w:hAnsi="Arial" w:cs="Arial"/>
          <w:sz w:val="24"/>
          <w:szCs w:val="24"/>
        </w:rPr>
        <w:t xml:space="preserve"> such as Mary Hall’s;</w:t>
      </w:r>
      <w:r w:rsidR="00DA72A9" w:rsidRPr="009D007C">
        <w:rPr>
          <w:rFonts w:ascii="Arial" w:hAnsi="Arial" w:cs="Arial"/>
          <w:sz w:val="24"/>
          <w:szCs w:val="24"/>
        </w:rPr>
        <w:t xml:space="preserve"> due to the incontrovertibility of the medi</w:t>
      </w:r>
      <w:r w:rsidR="00D5166D">
        <w:rPr>
          <w:rFonts w:ascii="Arial" w:hAnsi="Arial" w:cs="Arial"/>
          <w:sz w:val="24"/>
          <w:szCs w:val="24"/>
        </w:rPr>
        <w:t xml:space="preserve">cal evidence. </w:t>
      </w:r>
      <w:r w:rsidR="009E6764" w:rsidRPr="009D007C">
        <w:rPr>
          <w:rFonts w:ascii="Arial" w:hAnsi="Arial" w:cs="Arial"/>
          <w:sz w:val="24"/>
          <w:szCs w:val="24"/>
        </w:rPr>
        <w:t>Recovery</w:t>
      </w:r>
      <w:r w:rsidR="00DB02D5" w:rsidRPr="009D007C">
        <w:rPr>
          <w:rFonts w:ascii="Arial" w:hAnsi="Arial" w:cs="Arial"/>
          <w:sz w:val="24"/>
          <w:szCs w:val="24"/>
        </w:rPr>
        <w:t xml:space="preserve"> and regret</w:t>
      </w:r>
      <w:r w:rsidR="009E6764" w:rsidRPr="009D007C">
        <w:rPr>
          <w:rFonts w:ascii="Arial" w:hAnsi="Arial" w:cs="Arial"/>
          <w:sz w:val="24"/>
          <w:szCs w:val="24"/>
        </w:rPr>
        <w:t xml:space="preserve"> from ‘intemperance’</w:t>
      </w:r>
      <w:r w:rsidR="00D5166D">
        <w:rPr>
          <w:rFonts w:ascii="Arial" w:hAnsi="Arial" w:cs="Arial"/>
          <w:sz w:val="24"/>
          <w:szCs w:val="24"/>
        </w:rPr>
        <w:t xml:space="preserve"> or diminished responsibility</w:t>
      </w:r>
      <w:r w:rsidR="005F0C4A">
        <w:rPr>
          <w:rFonts w:ascii="Arial" w:hAnsi="Arial" w:cs="Arial"/>
          <w:sz w:val="24"/>
          <w:szCs w:val="24"/>
          <w:lang w:val="en-GB"/>
        </w:rPr>
        <w:t xml:space="preserve"> </w:t>
      </w:r>
      <w:r w:rsidR="00D5166D">
        <w:rPr>
          <w:rFonts w:ascii="Arial" w:hAnsi="Arial" w:cs="Arial"/>
          <w:sz w:val="24"/>
          <w:szCs w:val="24"/>
          <w:lang w:val="en-GB"/>
        </w:rPr>
        <w:t>were</w:t>
      </w:r>
      <w:r w:rsidR="00DA72A9" w:rsidRPr="009D007C">
        <w:rPr>
          <w:rFonts w:ascii="Arial" w:hAnsi="Arial" w:cs="Arial"/>
          <w:sz w:val="24"/>
          <w:szCs w:val="24"/>
          <w:lang w:val="en-GB"/>
        </w:rPr>
        <w:t xml:space="preserve"> also </w:t>
      </w:r>
      <w:r w:rsidR="00DA72A9" w:rsidRPr="009D007C">
        <w:rPr>
          <w:rFonts w:ascii="Arial" w:hAnsi="Arial" w:cs="Arial"/>
          <w:sz w:val="24"/>
          <w:szCs w:val="24"/>
        </w:rPr>
        <w:t>popular</w:t>
      </w:r>
      <w:r w:rsidR="00416539">
        <w:rPr>
          <w:rFonts w:ascii="Arial" w:hAnsi="Arial" w:cs="Arial"/>
          <w:sz w:val="24"/>
          <w:szCs w:val="24"/>
        </w:rPr>
        <w:t xml:space="preserve"> themes</w:t>
      </w:r>
      <w:r w:rsidR="009E6764" w:rsidRPr="009D007C">
        <w:rPr>
          <w:rFonts w:ascii="Arial" w:hAnsi="Arial" w:cs="Arial"/>
          <w:sz w:val="24"/>
          <w:szCs w:val="24"/>
        </w:rPr>
        <w:t xml:space="preserve"> </w:t>
      </w:r>
      <w:r w:rsidR="00150C18" w:rsidRPr="009D007C">
        <w:rPr>
          <w:rFonts w:ascii="Arial" w:hAnsi="Arial" w:cs="Arial"/>
          <w:sz w:val="24"/>
          <w:szCs w:val="24"/>
        </w:rPr>
        <w:t>but</w:t>
      </w:r>
      <w:r w:rsidR="00150C18">
        <w:rPr>
          <w:rFonts w:ascii="Arial" w:hAnsi="Arial" w:cs="Arial"/>
          <w:sz w:val="24"/>
          <w:szCs w:val="24"/>
        </w:rPr>
        <w:t xml:space="preserve"> </w:t>
      </w:r>
      <w:r w:rsidR="00150C18" w:rsidRPr="009D007C">
        <w:rPr>
          <w:rFonts w:ascii="Arial" w:hAnsi="Arial" w:cs="Arial"/>
          <w:sz w:val="24"/>
          <w:szCs w:val="24"/>
        </w:rPr>
        <w:t>–</w:t>
      </w:r>
      <w:r w:rsidR="005F0C4A">
        <w:rPr>
          <w:rFonts w:ascii="Arial" w:hAnsi="Arial" w:cs="Arial"/>
          <w:sz w:val="24"/>
          <w:szCs w:val="24"/>
        </w:rPr>
        <w:t xml:space="preserve"> similar to Mary James’s failed petitions for clemency – </w:t>
      </w:r>
      <w:r w:rsidR="00DB02D5" w:rsidRPr="009D007C">
        <w:rPr>
          <w:rFonts w:ascii="Arial" w:hAnsi="Arial" w:cs="Arial"/>
          <w:sz w:val="24"/>
          <w:szCs w:val="24"/>
        </w:rPr>
        <w:t>un</w:t>
      </w:r>
      <w:r w:rsidR="009E6764" w:rsidRPr="009D007C">
        <w:rPr>
          <w:rFonts w:ascii="Arial" w:hAnsi="Arial" w:cs="Arial"/>
          <w:sz w:val="24"/>
          <w:szCs w:val="24"/>
        </w:rPr>
        <w:t>likely to succeed</w:t>
      </w:r>
      <w:r w:rsidR="008A534E" w:rsidRPr="009D007C">
        <w:rPr>
          <w:rFonts w:ascii="Arial" w:hAnsi="Arial" w:cs="Arial"/>
          <w:sz w:val="24"/>
          <w:szCs w:val="24"/>
        </w:rPr>
        <w:t xml:space="preserve">. </w:t>
      </w:r>
      <w:r w:rsidR="00DA72A9" w:rsidRPr="009D007C">
        <w:rPr>
          <w:rFonts w:ascii="Arial" w:hAnsi="Arial" w:cs="Arial"/>
          <w:sz w:val="24"/>
          <w:szCs w:val="24"/>
        </w:rPr>
        <w:t xml:space="preserve">The </w:t>
      </w:r>
      <w:r w:rsidR="00150C18">
        <w:rPr>
          <w:rFonts w:ascii="Arial" w:hAnsi="Arial" w:cs="Arial"/>
          <w:sz w:val="24"/>
          <w:szCs w:val="24"/>
        </w:rPr>
        <w:t xml:space="preserve">remainder of the </w:t>
      </w:r>
      <w:r w:rsidR="00DA72A9" w:rsidRPr="009D007C">
        <w:rPr>
          <w:rFonts w:ascii="Arial" w:hAnsi="Arial" w:cs="Arial"/>
          <w:sz w:val="24"/>
          <w:szCs w:val="24"/>
        </w:rPr>
        <w:t>article will therefore explore</w:t>
      </w:r>
      <w:r w:rsidR="00150C18">
        <w:rPr>
          <w:rFonts w:ascii="Arial" w:hAnsi="Arial" w:cs="Arial"/>
          <w:sz w:val="24"/>
          <w:szCs w:val="24"/>
        </w:rPr>
        <w:t xml:space="preserve"> those</w:t>
      </w:r>
      <w:r w:rsidR="008A534E" w:rsidRPr="009D007C">
        <w:rPr>
          <w:rFonts w:ascii="Arial" w:hAnsi="Arial" w:cs="Arial"/>
          <w:sz w:val="24"/>
          <w:szCs w:val="24"/>
        </w:rPr>
        <w:t xml:space="preserve"> </w:t>
      </w:r>
      <w:r w:rsidR="00DA72A9" w:rsidRPr="009D007C">
        <w:rPr>
          <w:rFonts w:ascii="Arial" w:hAnsi="Arial" w:cs="Arial"/>
          <w:sz w:val="24"/>
          <w:szCs w:val="24"/>
        </w:rPr>
        <w:t xml:space="preserve">three </w:t>
      </w:r>
      <w:r w:rsidR="00D5166D">
        <w:rPr>
          <w:rFonts w:ascii="Arial" w:hAnsi="Arial" w:cs="Arial"/>
          <w:sz w:val="24"/>
          <w:szCs w:val="24"/>
        </w:rPr>
        <w:t>common</w:t>
      </w:r>
      <w:r w:rsidR="00DA72A9" w:rsidRPr="009D007C">
        <w:rPr>
          <w:rFonts w:ascii="Arial" w:hAnsi="Arial" w:cs="Arial"/>
          <w:sz w:val="24"/>
          <w:szCs w:val="24"/>
        </w:rPr>
        <w:t xml:space="preserve"> </w:t>
      </w:r>
      <w:r w:rsidR="00D5166D">
        <w:rPr>
          <w:rFonts w:ascii="Arial" w:hAnsi="Arial" w:cs="Arial"/>
          <w:sz w:val="24"/>
          <w:szCs w:val="24"/>
        </w:rPr>
        <w:t xml:space="preserve">themes </w:t>
      </w:r>
      <w:r w:rsidR="00A96DD0">
        <w:rPr>
          <w:rFonts w:ascii="Arial" w:hAnsi="Arial" w:cs="Arial"/>
          <w:sz w:val="24"/>
          <w:szCs w:val="24"/>
        </w:rPr>
        <w:t>in</w:t>
      </w:r>
      <w:r w:rsidR="00D5166D">
        <w:rPr>
          <w:rFonts w:ascii="Arial" w:hAnsi="Arial" w:cs="Arial"/>
          <w:sz w:val="24"/>
          <w:szCs w:val="24"/>
        </w:rPr>
        <w:t xml:space="preserve"> petitions</w:t>
      </w:r>
      <w:r w:rsidR="00150C18">
        <w:rPr>
          <w:rFonts w:ascii="Arial" w:hAnsi="Arial" w:cs="Arial"/>
          <w:sz w:val="24"/>
          <w:szCs w:val="24"/>
        </w:rPr>
        <w:t xml:space="preserve"> </w:t>
      </w:r>
      <w:r w:rsidR="00150C18" w:rsidRPr="00150C18">
        <w:rPr>
          <w:rFonts w:ascii="Arial" w:hAnsi="Arial" w:cs="Arial"/>
          <w:sz w:val="24"/>
          <w:szCs w:val="24"/>
        </w:rPr>
        <w:t>(</w:t>
      </w:r>
      <w:r w:rsidR="00A96DD0">
        <w:rPr>
          <w:rFonts w:ascii="Arial" w:hAnsi="Arial" w:cs="Arial"/>
          <w:sz w:val="24"/>
          <w:szCs w:val="24"/>
        </w:rPr>
        <w:t xml:space="preserve">extenuating circumstances, </w:t>
      </w:r>
      <w:r w:rsidR="00150C18" w:rsidRPr="00150C18">
        <w:rPr>
          <w:rFonts w:ascii="Arial" w:hAnsi="Arial" w:cs="Arial"/>
          <w:sz w:val="24"/>
          <w:szCs w:val="24"/>
        </w:rPr>
        <w:t>diminished responsibility</w:t>
      </w:r>
      <w:r w:rsidR="00D2418F">
        <w:rPr>
          <w:rFonts w:ascii="Arial" w:hAnsi="Arial" w:cs="Arial"/>
          <w:sz w:val="24"/>
          <w:szCs w:val="24"/>
        </w:rPr>
        <w:t xml:space="preserve"> and</w:t>
      </w:r>
      <w:r w:rsidR="00150C18" w:rsidRPr="00150C18">
        <w:rPr>
          <w:rFonts w:ascii="Arial" w:hAnsi="Arial" w:cs="Arial"/>
          <w:sz w:val="24"/>
          <w:szCs w:val="24"/>
        </w:rPr>
        <w:t xml:space="preserve"> poor health)</w:t>
      </w:r>
      <w:r w:rsidR="00D5166D">
        <w:rPr>
          <w:rFonts w:ascii="Arial" w:hAnsi="Arial" w:cs="Arial"/>
          <w:sz w:val="24"/>
          <w:szCs w:val="24"/>
        </w:rPr>
        <w:t xml:space="preserve"> </w:t>
      </w:r>
      <w:r w:rsidR="004C0B83" w:rsidRPr="009D007C">
        <w:rPr>
          <w:rFonts w:ascii="Arial" w:hAnsi="Arial" w:cs="Arial"/>
          <w:sz w:val="24"/>
          <w:szCs w:val="24"/>
        </w:rPr>
        <w:t xml:space="preserve">using </w:t>
      </w:r>
      <w:r w:rsidR="00416539">
        <w:rPr>
          <w:rFonts w:ascii="Arial" w:hAnsi="Arial" w:cs="Arial"/>
          <w:sz w:val="24"/>
          <w:szCs w:val="24"/>
        </w:rPr>
        <w:t xml:space="preserve">case studies of petitioners that hinged on </w:t>
      </w:r>
      <w:r w:rsidR="004C0B83" w:rsidRPr="009D007C">
        <w:rPr>
          <w:rFonts w:ascii="Arial" w:hAnsi="Arial" w:cs="Arial"/>
          <w:sz w:val="24"/>
          <w:szCs w:val="24"/>
        </w:rPr>
        <w:t xml:space="preserve">one or more of those </w:t>
      </w:r>
      <w:r w:rsidR="008A534E" w:rsidRPr="009D007C">
        <w:rPr>
          <w:rFonts w:ascii="Arial" w:hAnsi="Arial" w:cs="Arial"/>
          <w:sz w:val="24"/>
          <w:szCs w:val="24"/>
        </w:rPr>
        <w:t xml:space="preserve">elements </w:t>
      </w:r>
      <w:r w:rsidR="004C0B83" w:rsidRPr="009D007C">
        <w:rPr>
          <w:rFonts w:ascii="Arial" w:hAnsi="Arial" w:cs="Arial"/>
          <w:sz w:val="24"/>
          <w:szCs w:val="24"/>
        </w:rPr>
        <w:t>to present their case or petition.</w:t>
      </w:r>
    </w:p>
    <w:p w14:paraId="4AD3AF2E" w14:textId="77777777" w:rsidR="008A534E" w:rsidRPr="009D007C" w:rsidRDefault="008A534E" w:rsidP="00CB233F">
      <w:pPr>
        <w:spacing w:after="0" w:line="240" w:lineRule="auto"/>
        <w:rPr>
          <w:rFonts w:ascii="Arial" w:hAnsi="Arial" w:cs="Arial"/>
          <w:sz w:val="24"/>
          <w:szCs w:val="24"/>
        </w:rPr>
      </w:pPr>
    </w:p>
    <w:p w14:paraId="35F4438A" w14:textId="77777777" w:rsidR="00C23ABD" w:rsidRPr="009D007C" w:rsidRDefault="00DA72A9" w:rsidP="00C23ABD">
      <w:pPr>
        <w:spacing w:after="0" w:line="240" w:lineRule="auto"/>
        <w:rPr>
          <w:rFonts w:ascii="Arial" w:hAnsi="Arial" w:cs="Arial"/>
          <w:sz w:val="24"/>
          <w:szCs w:val="24"/>
          <w:u w:val="single"/>
        </w:rPr>
      </w:pPr>
      <w:r w:rsidRPr="009D007C">
        <w:rPr>
          <w:rFonts w:ascii="Arial" w:hAnsi="Arial" w:cs="Arial"/>
          <w:b/>
          <w:sz w:val="24"/>
          <w:szCs w:val="24"/>
        </w:rPr>
        <w:t>(</w:t>
      </w:r>
      <w:proofErr w:type="spellStart"/>
      <w:r w:rsidRPr="009D007C">
        <w:rPr>
          <w:rFonts w:ascii="Arial" w:hAnsi="Arial" w:cs="Arial"/>
          <w:b/>
          <w:sz w:val="24"/>
          <w:szCs w:val="24"/>
        </w:rPr>
        <w:t>i</w:t>
      </w:r>
      <w:proofErr w:type="spellEnd"/>
      <w:r w:rsidRPr="009D007C">
        <w:rPr>
          <w:rFonts w:ascii="Arial" w:hAnsi="Arial" w:cs="Arial"/>
          <w:b/>
          <w:sz w:val="24"/>
          <w:szCs w:val="24"/>
        </w:rPr>
        <w:t xml:space="preserve">) </w:t>
      </w:r>
      <w:r w:rsidR="00620E20" w:rsidRPr="009D007C">
        <w:rPr>
          <w:rFonts w:ascii="Arial" w:hAnsi="Arial" w:cs="Arial"/>
          <w:b/>
          <w:sz w:val="24"/>
          <w:szCs w:val="24"/>
        </w:rPr>
        <w:t xml:space="preserve">Harriet Brown: </w:t>
      </w:r>
      <w:r w:rsidR="00DA279F">
        <w:rPr>
          <w:rFonts w:ascii="Arial" w:hAnsi="Arial" w:cs="Arial"/>
          <w:b/>
          <w:sz w:val="24"/>
          <w:szCs w:val="24"/>
        </w:rPr>
        <w:t>‘mistake’</w:t>
      </w:r>
      <w:r w:rsidR="00DA279F" w:rsidRPr="00DA279F">
        <w:rPr>
          <w:rFonts w:ascii="Arial" w:hAnsi="Arial" w:cs="Arial"/>
          <w:b/>
          <w:sz w:val="24"/>
          <w:szCs w:val="24"/>
        </w:rPr>
        <w:t xml:space="preserve"> in judicial process </w:t>
      </w:r>
      <w:r w:rsidR="00620E20" w:rsidRPr="009D007C">
        <w:rPr>
          <w:rFonts w:ascii="Arial" w:hAnsi="Arial" w:cs="Arial"/>
          <w:b/>
          <w:sz w:val="24"/>
          <w:szCs w:val="24"/>
        </w:rPr>
        <w:t>and extenuating</w:t>
      </w:r>
      <w:r w:rsidR="00EF246F" w:rsidRPr="009D007C">
        <w:rPr>
          <w:rFonts w:ascii="Arial" w:hAnsi="Arial" w:cs="Arial"/>
          <w:b/>
          <w:sz w:val="24"/>
          <w:szCs w:val="24"/>
        </w:rPr>
        <w:t xml:space="preserve"> circumstances</w:t>
      </w:r>
    </w:p>
    <w:p w14:paraId="76CFD813" w14:textId="77777777" w:rsidR="00EF246F" w:rsidRPr="009D007C" w:rsidRDefault="00EF246F" w:rsidP="00C23ABD">
      <w:pPr>
        <w:spacing w:after="0" w:line="240" w:lineRule="auto"/>
        <w:rPr>
          <w:rFonts w:ascii="Arial" w:hAnsi="Arial" w:cs="Arial"/>
          <w:sz w:val="24"/>
          <w:szCs w:val="24"/>
        </w:rPr>
      </w:pPr>
    </w:p>
    <w:p w14:paraId="1EA15407" w14:textId="77777777" w:rsidR="00043595" w:rsidRDefault="00AB7E13" w:rsidP="00826EC0">
      <w:pPr>
        <w:spacing w:after="0" w:line="240" w:lineRule="auto"/>
        <w:rPr>
          <w:rFonts w:ascii="Arial" w:hAnsi="Arial" w:cs="Arial"/>
          <w:sz w:val="24"/>
          <w:szCs w:val="24"/>
        </w:rPr>
      </w:pPr>
      <w:r w:rsidRPr="009D007C">
        <w:rPr>
          <w:rFonts w:ascii="Arial" w:hAnsi="Arial" w:cs="Arial"/>
          <w:sz w:val="24"/>
          <w:szCs w:val="24"/>
        </w:rPr>
        <w:t>Harriet Brown is the youngest of the convict women case studies provided here.</w:t>
      </w:r>
      <w:r w:rsidR="00416539" w:rsidRPr="009D007C">
        <w:rPr>
          <w:rStyle w:val="EndnoteReference"/>
          <w:rFonts w:ascii="Arial" w:hAnsi="Arial" w:cs="Arial"/>
          <w:sz w:val="24"/>
          <w:szCs w:val="24"/>
        </w:rPr>
        <w:endnoteReference w:id="32"/>
      </w:r>
      <w:r w:rsidR="00416539">
        <w:rPr>
          <w:rFonts w:ascii="Arial" w:hAnsi="Arial" w:cs="Arial"/>
          <w:sz w:val="24"/>
          <w:szCs w:val="24"/>
        </w:rPr>
        <w:t xml:space="preserve"> </w:t>
      </w:r>
      <w:r w:rsidRPr="009D007C">
        <w:rPr>
          <w:rFonts w:ascii="Arial" w:hAnsi="Arial" w:cs="Arial"/>
          <w:sz w:val="24"/>
          <w:szCs w:val="24"/>
        </w:rPr>
        <w:t xml:space="preserve"> She was </w:t>
      </w:r>
      <w:r w:rsidR="00C23ABD" w:rsidRPr="009D007C">
        <w:rPr>
          <w:rFonts w:ascii="Arial" w:hAnsi="Arial" w:cs="Arial"/>
          <w:sz w:val="24"/>
          <w:szCs w:val="24"/>
        </w:rPr>
        <w:t>22</w:t>
      </w:r>
      <w:r w:rsidR="00DE7177">
        <w:rPr>
          <w:rFonts w:ascii="Arial" w:hAnsi="Arial" w:cs="Arial"/>
          <w:sz w:val="24"/>
          <w:szCs w:val="24"/>
        </w:rPr>
        <w:t xml:space="preserve"> years old</w:t>
      </w:r>
      <w:r w:rsidR="00C23ABD" w:rsidRPr="009D007C">
        <w:rPr>
          <w:rFonts w:ascii="Arial" w:hAnsi="Arial" w:cs="Arial"/>
          <w:sz w:val="24"/>
          <w:szCs w:val="24"/>
        </w:rPr>
        <w:t xml:space="preserve"> </w:t>
      </w:r>
      <w:r w:rsidRPr="009D007C">
        <w:rPr>
          <w:rFonts w:ascii="Arial" w:hAnsi="Arial" w:cs="Arial"/>
          <w:sz w:val="24"/>
          <w:szCs w:val="24"/>
        </w:rPr>
        <w:t>when she appeared at the Old Bailey and was found guilty of</w:t>
      </w:r>
      <w:r w:rsidR="00C23ABD" w:rsidRPr="009D007C">
        <w:rPr>
          <w:rFonts w:ascii="Arial" w:hAnsi="Arial" w:cs="Arial"/>
          <w:sz w:val="24"/>
          <w:szCs w:val="24"/>
        </w:rPr>
        <w:t xml:space="preserve"> ‘Uttering a forged counterfeit bank note’.</w:t>
      </w:r>
      <w:r w:rsidR="00416539">
        <w:rPr>
          <w:rStyle w:val="EndnoteReference"/>
          <w:rFonts w:ascii="Arial" w:hAnsi="Arial" w:cs="Arial"/>
          <w:sz w:val="24"/>
          <w:szCs w:val="24"/>
        </w:rPr>
        <w:endnoteReference w:id="33"/>
      </w:r>
      <w:r w:rsidR="00972A80">
        <w:rPr>
          <w:rFonts w:ascii="Arial" w:hAnsi="Arial" w:cs="Arial"/>
          <w:sz w:val="24"/>
          <w:szCs w:val="24"/>
        </w:rPr>
        <w:t xml:space="preserve"> The note had been su</w:t>
      </w:r>
      <w:r w:rsidR="00451C1C">
        <w:rPr>
          <w:rFonts w:ascii="Arial" w:hAnsi="Arial" w:cs="Arial"/>
          <w:sz w:val="24"/>
          <w:szCs w:val="24"/>
        </w:rPr>
        <w:t xml:space="preserve">pplied to her by a friend, it was claimed, and who </w:t>
      </w:r>
      <w:r w:rsidR="00972A80">
        <w:rPr>
          <w:rFonts w:ascii="Arial" w:hAnsi="Arial" w:cs="Arial"/>
          <w:sz w:val="24"/>
          <w:szCs w:val="24"/>
        </w:rPr>
        <w:t>had begun to introduce Harriet to various illegal ways of using for</w:t>
      </w:r>
      <w:r w:rsidR="00451C1C">
        <w:rPr>
          <w:rFonts w:ascii="Arial" w:hAnsi="Arial" w:cs="Arial"/>
          <w:sz w:val="24"/>
          <w:szCs w:val="24"/>
        </w:rPr>
        <w:t xml:space="preserve">feit currency. Harriet, though, naively </w:t>
      </w:r>
      <w:r w:rsidR="00972A80">
        <w:rPr>
          <w:rFonts w:ascii="Arial" w:hAnsi="Arial" w:cs="Arial"/>
          <w:sz w:val="24"/>
          <w:szCs w:val="24"/>
        </w:rPr>
        <w:t xml:space="preserve">attempted to pass off a forged £10 note in a place </w:t>
      </w:r>
      <w:r w:rsidR="00972A80">
        <w:rPr>
          <w:rFonts w:ascii="Arial" w:hAnsi="Arial" w:cs="Arial"/>
          <w:sz w:val="24"/>
          <w:szCs w:val="24"/>
        </w:rPr>
        <w:lastRenderedPageBreak/>
        <w:t>where she was well-known.</w:t>
      </w:r>
      <w:r w:rsidRPr="009D007C">
        <w:rPr>
          <w:rFonts w:ascii="Arial" w:hAnsi="Arial" w:cs="Arial"/>
          <w:sz w:val="24"/>
          <w:szCs w:val="24"/>
        </w:rPr>
        <w:t xml:space="preserve"> </w:t>
      </w:r>
      <w:r w:rsidR="00451C1C">
        <w:rPr>
          <w:rFonts w:ascii="Arial" w:hAnsi="Arial" w:cs="Arial"/>
          <w:sz w:val="24"/>
          <w:szCs w:val="24"/>
        </w:rPr>
        <w:t xml:space="preserve">Her ruse was discovered and she was arrested. </w:t>
      </w:r>
      <w:r w:rsidR="00972A80">
        <w:rPr>
          <w:rFonts w:ascii="Arial" w:hAnsi="Arial" w:cs="Arial"/>
          <w:sz w:val="24"/>
          <w:szCs w:val="24"/>
        </w:rPr>
        <w:t>On the 4 April</w:t>
      </w:r>
      <w:r w:rsidRPr="009D007C">
        <w:rPr>
          <w:rFonts w:ascii="Arial" w:hAnsi="Arial" w:cs="Arial"/>
          <w:sz w:val="24"/>
          <w:szCs w:val="24"/>
        </w:rPr>
        <w:t xml:space="preserve"> 1853, Harriet was s</w:t>
      </w:r>
      <w:r w:rsidR="00C23ABD" w:rsidRPr="009D007C">
        <w:rPr>
          <w:rFonts w:ascii="Arial" w:hAnsi="Arial" w:cs="Arial"/>
          <w:sz w:val="24"/>
          <w:szCs w:val="24"/>
        </w:rPr>
        <w:t>entence</w:t>
      </w:r>
      <w:r w:rsidRPr="009D007C">
        <w:rPr>
          <w:rFonts w:ascii="Arial" w:hAnsi="Arial" w:cs="Arial"/>
          <w:sz w:val="24"/>
          <w:szCs w:val="24"/>
        </w:rPr>
        <w:t>d</w:t>
      </w:r>
      <w:r w:rsidR="00451C1C">
        <w:rPr>
          <w:rFonts w:ascii="Arial" w:hAnsi="Arial" w:cs="Arial"/>
          <w:sz w:val="24"/>
          <w:szCs w:val="24"/>
        </w:rPr>
        <w:t xml:space="preserve"> </w:t>
      </w:r>
      <w:r w:rsidRPr="009D007C">
        <w:rPr>
          <w:rFonts w:ascii="Arial" w:hAnsi="Arial" w:cs="Arial"/>
          <w:sz w:val="24"/>
          <w:szCs w:val="24"/>
        </w:rPr>
        <w:t>to 14 years of transport</w:t>
      </w:r>
      <w:r w:rsidR="00084BD5" w:rsidRPr="009D007C">
        <w:rPr>
          <w:rFonts w:ascii="Arial" w:hAnsi="Arial" w:cs="Arial"/>
          <w:sz w:val="24"/>
          <w:szCs w:val="24"/>
        </w:rPr>
        <w:t xml:space="preserve">ation, which was commuted </w:t>
      </w:r>
      <w:r w:rsidR="00C23ABD" w:rsidRPr="009D007C">
        <w:rPr>
          <w:rFonts w:ascii="Arial" w:hAnsi="Arial" w:cs="Arial"/>
          <w:sz w:val="24"/>
          <w:szCs w:val="24"/>
        </w:rPr>
        <w:t xml:space="preserve">to </w:t>
      </w:r>
      <w:r w:rsidR="00EC670A">
        <w:rPr>
          <w:rFonts w:ascii="Arial" w:hAnsi="Arial" w:cs="Arial"/>
          <w:sz w:val="24"/>
          <w:szCs w:val="24"/>
        </w:rPr>
        <w:t>penal servitude in prison. Her sentence seems excessive in comparison to similar cases. Petitioning from Harriet, her father and their community did nothing to reduce the sentence, but may have influenced the large reduction in time served (to five years)</w:t>
      </w:r>
      <w:r w:rsidR="00972A80">
        <w:rPr>
          <w:rFonts w:ascii="Arial" w:hAnsi="Arial" w:cs="Arial"/>
          <w:sz w:val="24"/>
          <w:szCs w:val="24"/>
        </w:rPr>
        <w:t xml:space="preserve"> before </w:t>
      </w:r>
      <w:r w:rsidR="00EC670A">
        <w:rPr>
          <w:rFonts w:ascii="Arial" w:hAnsi="Arial" w:cs="Arial"/>
          <w:sz w:val="24"/>
          <w:szCs w:val="24"/>
        </w:rPr>
        <w:t xml:space="preserve">she was </w:t>
      </w:r>
      <w:r w:rsidR="00972A80">
        <w:rPr>
          <w:rFonts w:ascii="Arial" w:hAnsi="Arial" w:cs="Arial"/>
          <w:sz w:val="24"/>
          <w:szCs w:val="24"/>
        </w:rPr>
        <w:t>release</w:t>
      </w:r>
      <w:r w:rsidR="00EC670A">
        <w:rPr>
          <w:rFonts w:ascii="Arial" w:hAnsi="Arial" w:cs="Arial"/>
          <w:sz w:val="24"/>
          <w:szCs w:val="24"/>
        </w:rPr>
        <w:t>d</w:t>
      </w:r>
      <w:r w:rsidR="00972A80">
        <w:rPr>
          <w:rFonts w:ascii="Arial" w:hAnsi="Arial" w:cs="Arial"/>
          <w:sz w:val="24"/>
          <w:szCs w:val="24"/>
        </w:rPr>
        <w:t xml:space="preserve"> on licence</w:t>
      </w:r>
      <w:r w:rsidR="00EC670A">
        <w:rPr>
          <w:rFonts w:ascii="Arial" w:hAnsi="Arial" w:cs="Arial"/>
          <w:sz w:val="24"/>
          <w:szCs w:val="24"/>
        </w:rPr>
        <w:t xml:space="preserve"> for the remaining term</w:t>
      </w:r>
      <w:r w:rsidR="00C23ABD" w:rsidRPr="009D007C">
        <w:rPr>
          <w:rFonts w:ascii="Arial" w:hAnsi="Arial" w:cs="Arial"/>
          <w:sz w:val="24"/>
          <w:szCs w:val="24"/>
        </w:rPr>
        <w:t>. Brown’s mother was taken i</w:t>
      </w:r>
      <w:r w:rsidR="00084BD5" w:rsidRPr="009D007C">
        <w:rPr>
          <w:rFonts w:ascii="Arial" w:hAnsi="Arial" w:cs="Arial"/>
          <w:sz w:val="24"/>
          <w:szCs w:val="24"/>
        </w:rPr>
        <w:t>ll from shock during the court proceedings</w:t>
      </w:r>
      <w:r w:rsidR="00C23ABD" w:rsidRPr="009D007C">
        <w:rPr>
          <w:rFonts w:ascii="Arial" w:hAnsi="Arial" w:cs="Arial"/>
          <w:sz w:val="24"/>
          <w:szCs w:val="24"/>
        </w:rPr>
        <w:t xml:space="preserve"> </w:t>
      </w:r>
      <w:r w:rsidR="00084BD5" w:rsidRPr="009D007C">
        <w:rPr>
          <w:rFonts w:ascii="Arial" w:hAnsi="Arial" w:cs="Arial"/>
          <w:sz w:val="24"/>
          <w:szCs w:val="24"/>
        </w:rPr>
        <w:t>and never recovered</w:t>
      </w:r>
      <w:r w:rsidR="00DE7177">
        <w:rPr>
          <w:rFonts w:ascii="Arial" w:hAnsi="Arial" w:cs="Arial"/>
          <w:sz w:val="24"/>
          <w:szCs w:val="24"/>
        </w:rPr>
        <w:t xml:space="preserve"> – dying shortly after the proceedings</w:t>
      </w:r>
      <w:r w:rsidR="00084BD5" w:rsidRPr="009D007C">
        <w:rPr>
          <w:rFonts w:ascii="Arial" w:hAnsi="Arial" w:cs="Arial"/>
          <w:sz w:val="24"/>
          <w:szCs w:val="24"/>
        </w:rPr>
        <w:t xml:space="preserve">. As a result, Brown believed she had caused her </w:t>
      </w:r>
      <w:r w:rsidR="00D67F45">
        <w:rPr>
          <w:rFonts w:ascii="Arial" w:hAnsi="Arial" w:cs="Arial"/>
          <w:sz w:val="24"/>
          <w:szCs w:val="24"/>
        </w:rPr>
        <w:t xml:space="preserve">own </w:t>
      </w:r>
      <w:r w:rsidR="00084BD5" w:rsidRPr="009D007C">
        <w:rPr>
          <w:rFonts w:ascii="Arial" w:hAnsi="Arial" w:cs="Arial"/>
          <w:sz w:val="24"/>
          <w:szCs w:val="24"/>
        </w:rPr>
        <w:t xml:space="preserve">mother’s death. </w:t>
      </w:r>
      <w:r w:rsidR="00C23ABD" w:rsidRPr="009D007C">
        <w:rPr>
          <w:rFonts w:ascii="Arial" w:hAnsi="Arial" w:cs="Arial"/>
          <w:sz w:val="24"/>
          <w:szCs w:val="24"/>
        </w:rPr>
        <w:t>Her father’s health declined too</w:t>
      </w:r>
      <w:r w:rsidR="0051626D">
        <w:rPr>
          <w:rFonts w:ascii="Arial" w:hAnsi="Arial" w:cs="Arial"/>
          <w:sz w:val="24"/>
          <w:szCs w:val="24"/>
        </w:rPr>
        <w:t>, hastening her mental anguish</w:t>
      </w:r>
      <w:r w:rsidR="00C23ABD" w:rsidRPr="009D007C">
        <w:rPr>
          <w:rFonts w:ascii="Arial" w:hAnsi="Arial" w:cs="Arial"/>
          <w:sz w:val="24"/>
          <w:szCs w:val="24"/>
        </w:rPr>
        <w:t xml:space="preserve">. </w:t>
      </w:r>
    </w:p>
    <w:p w14:paraId="2E216597" w14:textId="77777777" w:rsidR="00043595" w:rsidRDefault="00043595" w:rsidP="00826EC0">
      <w:pPr>
        <w:spacing w:after="0" w:line="240" w:lineRule="auto"/>
        <w:rPr>
          <w:rFonts w:ascii="Arial" w:hAnsi="Arial" w:cs="Arial"/>
          <w:sz w:val="24"/>
          <w:szCs w:val="24"/>
        </w:rPr>
      </w:pPr>
    </w:p>
    <w:p w14:paraId="52430B8D" w14:textId="77777777" w:rsidR="00826EC0" w:rsidRDefault="00043595" w:rsidP="00826EC0">
      <w:pPr>
        <w:spacing w:after="0" w:line="240" w:lineRule="auto"/>
        <w:rPr>
          <w:rFonts w:ascii="Arial" w:hAnsi="Arial" w:cs="Arial"/>
          <w:sz w:val="24"/>
          <w:szCs w:val="24"/>
        </w:rPr>
      </w:pPr>
      <w:r>
        <w:rPr>
          <w:rFonts w:ascii="Arial" w:hAnsi="Arial" w:cs="Arial"/>
          <w:sz w:val="24"/>
          <w:szCs w:val="24"/>
        </w:rPr>
        <w:t xml:space="preserve">Harriet, though, </w:t>
      </w:r>
      <w:r w:rsidR="003F6206">
        <w:rPr>
          <w:rFonts w:ascii="Arial" w:hAnsi="Arial" w:cs="Arial"/>
          <w:sz w:val="24"/>
          <w:szCs w:val="24"/>
        </w:rPr>
        <w:t>received high praise for her behaviour in prison. By</w:t>
      </w:r>
      <w:r w:rsidR="0051626D">
        <w:rPr>
          <w:rFonts w:ascii="Arial" w:hAnsi="Arial" w:cs="Arial"/>
          <w:sz w:val="24"/>
          <w:szCs w:val="24"/>
        </w:rPr>
        <w:t xml:space="preserve"> her day of</w:t>
      </w:r>
      <w:r w:rsidR="003F6206">
        <w:rPr>
          <w:rFonts w:ascii="Arial" w:hAnsi="Arial" w:cs="Arial"/>
          <w:sz w:val="24"/>
          <w:szCs w:val="24"/>
        </w:rPr>
        <w:t xml:space="preserve"> release, she</w:t>
      </w:r>
      <w:r w:rsidR="00084BD5" w:rsidRPr="009D007C">
        <w:rPr>
          <w:rFonts w:ascii="Arial" w:hAnsi="Arial" w:cs="Arial"/>
          <w:sz w:val="24"/>
          <w:szCs w:val="24"/>
        </w:rPr>
        <w:t xml:space="preserve"> had </w:t>
      </w:r>
      <w:r w:rsidR="003F6206">
        <w:rPr>
          <w:rFonts w:ascii="Arial" w:hAnsi="Arial" w:cs="Arial"/>
          <w:sz w:val="24"/>
          <w:szCs w:val="24"/>
        </w:rPr>
        <w:t>committed not one prison offence. The prison chaplain was</w:t>
      </w:r>
      <w:r w:rsidR="00D67F45">
        <w:rPr>
          <w:rFonts w:ascii="Arial" w:hAnsi="Arial" w:cs="Arial"/>
          <w:sz w:val="24"/>
          <w:szCs w:val="24"/>
        </w:rPr>
        <w:t xml:space="preserve"> also</w:t>
      </w:r>
      <w:r w:rsidR="003F6206">
        <w:rPr>
          <w:rFonts w:ascii="Arial" w:hAnsi="Arial" w:cs="Arial"/>
          <w:sz w:val="24"/>
          <w:szCs w:val="24"/>
        </w:rPr>
        <w:t xml:space="preserve"> impressed </w:t>
      </w:r>
      <w:r w:rsidR="00D67F45">
        <w:rPr>
          <w:rFonts w:ascii="Arial" w:hAnsi="Arial" w:cs="Arial"/>
          <w:sz w:val="24"/>
          <w:szCs w:val="24"/>
        </w:rPr>
        <w:t>by</w:t>
      </w:r>
      <w:r w:rsidR="003F6206">
        <w:rPr>
          <w:rFonts w:ascii="Arial" w:hAnsi="Arial" w:cs="Arial"/>
          <w:sz w:val="24"/>
          <w:szCs w:val="24"/>
        </w:rPr>
        <w:t xml:space="preserve"> her rel</w:t>
      </w:r>
      <w:r w:rsidR="00D67F45">
        <w:rPr>
          <w:rFonts w:ascii="Arial" w:hAnsi="Arial" w:cs="Arial"/>
          <w:sz w:val="24"/>
          <w:szCs w:val="24"/>
        </w:rPr>
        <w:t>igious devotion and readings. He contacted</w:t>
      </w:r>
      <w:r w:rsidR="003F6206">
        <w:rPr>
          <w:rFonts w:ascii="Arial" w:hAnsi="Arial" w:cs="Arial"/>
          <w:sz w:val="24"/>
          <w:szCs w:val="24"/>
        </w:rPr>
        <w:t xml:space="preserve"> the local clergy to Harriet</w:t>
      </w:r>
      <w:r w:rsidR="00163586">
        <w:rPr>
          <w:rFonts w:ascii="Arial" w:hAnsi="Arial" w:cs="Arial"/>
          <w:sz w:val="24"/>
          <w:szCs w:val="24"/>
        </w:rPr>
        <w:t>’s family</w:t>
      </w:r>
      <w:r w:rsidR="00D67F45">
        <w:rPr>
          <w:rFonts w:ascii="Arial" w:hAnsi="Arial" w:cs="Arial"/>
          <w:sz w:val="24"/>
          <w:szCs w:val="24"/>
        </w:rPr>
        <w:t xml:space="preserve"> and supported her petition for mitigation because, according to him,</w:t>
      </w:r>
      <w:r w:rsidR="003F6206">
        <w:rPr>
          <w:rFonts w:ascii="Arial" w:hAnsi="Arial" w:cs="Arial"/>
          <w:sz w:val="24"/>
          <w:szCs w:val="24"/>
        </w:rPr>
        <w:t xml:space="preserve"> </w:t>
      </w:r>
      <w:r w:rsidR="00C23ABD" w:rsidRPr="009D007C">
        <w:rPr>
          <w:rFonts w:ascii="Arial" w:hAnsi="Arial" w:cs="Arial"/>
          <w:sz w:val="24"/>
          <w:szCs w:val="24"/>
        </w:rPr>
        <w:t>‘</w:t>
      </w:r>
      <w:r w:rsidR="003F6206">
        <w:rPr>
          <w:rFonts w:ascii="Arial" w:hAnsi="Arial" w:cs="Arial"/>
          <w:sz w:val="24"/>
          <w:szCs w:val="24"/>
        </w:rPr>
        <w:t>…</w:t>
      </w:r>
      <w:r w:rsidR="00C23ABD" w:rsidRPr="009D007C">
        <w:rPr>
          <w:rFonts w:ascii="Arial" w:hAnsi="Arial" w:cs="Arial"/>
          <w:sz w:val="24"/>
          <w:szCs w:val="24"/>
        </w:rPr>
        <w:t>her case was a very sad o</w:t>
      </w:r>
      <w:r w:rsidR="00826EC0" w:rsidRPr="009D007C">
        <w:rPr>
          <w:rFonts w:ascii="Arial" w:hAnsi="Arial" w:cs="Arial"/>
          <w:sz w:val="24"/>
          <w:szCs w:val="24"/>
        </w:rPr>
        <w:t>ne and wort</w:t>
      </w:r>
      <w:r w:rsidR="003F6206">
        <w:rPr>
          <w:rFonts w:ascii="Arial" w:hAnsi="Arial" w:cs="Arial"/>
          <w:sz w:val="24"/>
          <w:szCs w:val="24"/>
        </w:rPr>
        <w:t>hy of consideration’.</w:t>
      </w:r>
      <w:r w:rsidR="003F6206">
        <w:rPr>
          <w:rStyle w:val="EndnoteReference"/>
          <w:rFonts w:ascii="Arial" w:hAnsi="Arial" w:cs="Arial"/>
          <w:sz w:val="24"/>
          <w:szCs w:val="24"/>
        </w:rPr>
        <w:endnoteReference w:id="34"/>
      </w:r>
      <w:r w:rsidR="003F6206">
        <w:rPr>
          <w:rFonts w:ascii="Arial" w:hAnsi="Arial" w:cs="Arial"/>
          <w:sz w:val="24"/>
          <w:szCs w:val="24"/>
        </w:rPr>
        <w:t xml:space="preserve"> </w:t>
      </w:r>
      <w:r w:rsidR="00826EC0" w:rsidRPr="009D007C">
        <w:rPr>
          <w:rFonts w:ascii="Arial" w:hAnsi="Arial" w:cs="Arial"/>
          <w:sz w:val="24"/>
          <w:szCs w:val="24"/>
        </w:rPr>
        <w:t xml:space="preserve">Harriet </w:t>
      </w:r>
      <w:r w:rsidR="00D67F45">
        <w:rPr>
          <w:rFonts w:ascii="Arial" w:hAnsi="Arial" w:cs="Arial"/>
          <w:sz w:val="24"/>
          <w:szCs w:val="24"/>
        </w:rPr>
        <w:t xml:space="preserve">firmly </w:t>
      </w:r>
      <w:r w:rsidR="00826EC0" w:rsidRPr="009D007C">
        <w:rPr>
          <w:rFonts w:ascii="Arial" w:hAnsi="Arial" w:cs="Arial"/>
          <w:sz w:val="24"/>
          <w:szCs w:val="24"/>
        </w:rPr>
        <w:t>believed that her sentence was</w:t>
      </w:r>
      <w:r w:rsidR="003F6206">
        <w:rPr>
          <w:rFonts w:ascii="Arial" w:hAnsi="Arial" w:cs="Arial"/>
          <w:sz w:val="24"/>
          <w:szCs w:val="24"/>
        </w:rPr>
        <w:t xml:space="preserve"> a</w:t>
      </w:r>
      <w:r w:rsidR="00826EC0" w:rsidRPr="009D007C">
        <w:rPr>
          <w:rFonts w:ascii="Arial" w:hAnsi="Arial" w:cs="Arial"/>
          <w:sz w:val="24"/>
          <w:szCs w:val="24"/>
        </w:rPr>
        <w:t xml:space="preserve"> mistake – </w:t>
      </w:r>
      <w:r w:rsidR="003F6206">
        <w:rPr>
          <w:rFonts w:ascii="Arial" w:hAnsi="Arial" w:cs="Arial"/>
          <w:sz w:val="24"/>
          <w:szCs w:val="24"/>
        </w:rPr>
        <w:t xml:space="preserve">that </w:t>
      </w:r>
      <w:r w:rsidR="00826EC0" w:rsidRPr="009D007C">
        <w:rPr>
          <w:rFonts w:ascii="Arial" w:hAnsi="Arial" w:cs="Arial"/>
          <w:sz w:val="24"/>
          <w:szCs w:val="24"/>
        </w:rPr>
        <w:t xml:space="preserve">it should have been 7 years – and that this had contributed to the shock of her mother and hastened her death. </w:t>
      </w:r>
      <w:r w:rsidR="00D67F45">
        <w:rPr>
          <w:rFonts w:ascii="Arial" w:hAnsi="Arial" w:cs="Arial"/>
          <w:sz w:val="24"/>
          <w:szCs w:val="24"/>
        </w:rPr>
        <w:t>Her first petition was an expression of grievance against her perceived injustice</w:t>
      </w:r>
      <w:r w:rsidR="002B13C0">
        <w:rPr>
          <w:rFonts w:ascii="Arial" w:hAnsi="Arial" w:cs="Arial"/>
          <w:sz w:val="24"/>
          <w:szCs w:val="24"/>
        </w:rPr>
        <w:t>:</w:t>
      </w:r>
    </w:p>
    <w:p w14:paraId="711EF4D0" w14:textId="77777777" w:rsidR="00DE7177" w:rsidRPr="009D007C" w:rsidRDefault="00DE7177" w:rsidP="00826EC0">
      <w:pPr>
        <w:spacing w:after="0" w:line="240" w:lineRule="auto"/>
        <w:rPr>
          <w:rFonts w:ascii="Arial" w:hAnsi="Arial" w:cs="Arial"/>
          <w:sz w:val="24"/>
          <w:szCs w:val="24"/>
        </w:rPr>
      </w:pPr>
    </w:p>
    <w:p w14:paraId="4BA2D289" w14:textId="77777777" w:rsidR="00826EC0" w:rsidRPr="009D007C" w:rsidRDefault="00826EC0" w:rsidP="00826EC0">
      <w:pPr>
        <w:spacing w:after="0" w:line="240" w:lineRule="auto"/>
        <w:ind w:left="284" w:right="227"/>
        <w:rPr>
          <w:rFonts w:ascii="Arial" w:hAnsi="Arial" w:cs="Arial"/>
          <w:sz w:val="24"/>
          <w:szCs w:val="24"/>
        </w:rPr>
      </w:pPr>
      <w:r w:rsidRPr="009D007C">
        <w:rPr>
          <w:rFonts w:ascii="Arial" w:hAnsi="Arial" w:cs="Arial"/>
          <w:sz w:val="24"/>
          <w:szCs w:val="24"/>
        </w:rPr>
        <w:t xml:space="preserve">That your petitioner believes a mistake has been made by entering her sentence as 14 years when convicted of having a forged note in her possession. She distinctly heard the judge pronounce a sentence of 7 years. There was at the time much noise &amp; confusion in court occasioned by your petitioner’s mother, who was presently calling aloud for mercy. She had to be removed and carried home to die. The shock was too much for her. Your petitioner’s father from that day has been in bad health brought on by grief at having his only child placed in such a degraded position. Your petitioner declares she did not know the note to have been a forged one and it has caused her a life time of sorrow as she feels herself the cause of her mother’s death &amp; fears her aged father will not long be spared to her. She humbly </w:t>
      </w:r>
      <w:proofErr w:type="spellStart"/>
      <w:r w:rsidRPr="009D007C">
        <w:rPr>
          <w:rFonts w:ascii="Arial" w:hAnsi="Arial" w:cs="Arial"/>
          <w:sz w:val="24"/>
          <w:szCs w:val="24"/>
        </w:rPr>
        <w:t>intreats</w:t>
      </w:r>
      <w:proofErr w:type="spellEnd"/>
      <w:r w:rsidRPr="009D007C">
        <w:rPr>
          <w:rFonts w:ascii="Arial" w:hAnsi="Arial" w:cs="Arial"/>
          <w:sz w:val="24"/>
          <w:szCs w:val="24"/>
        </w:rPr>
        <w:t xml:space="preserve"> your merciful consideration of her case to allow </w:t>
      </w:r>
      <w:r w:rsidR="0032155F" w:rsidRPr="009D007C">
        <w:rPr>
          <w:rFonts w:ascii="Arial" w:hAnsi="Arial" w:cs="Arial"/>
          <w:sz w:val="24"/>
          <w:szCs w:val="24"/>
        </w:rPr>
        <w:t xml:space="preserve">some mitigation of her sentence </w:t>
      </w:r>
      <w:r w:rsidRPr="009D007C">
        <w:rPr>
          <w:rFonts w:ascii="Arial" w:hAnsi="Arial" w:cs="Arial"/>
          <w:sz w:val="24"/>
          <w:szCs w:val="24"/>
        </w:rPr>
        <w:t>[</w:t>
      </w:r>
      <w:r w:rsidR="0032155F" w:rsidRPr="009D007C">
        <w:rPr>
          <w:rFonts w:ascii="Arial" w:hAnsi="Arial" w:cs="Arial"/>
          <w:sz w:val="24"/>
          <w:szCs w:val="24"/>
        </w:rPr>
        <w:t xml:space="preserve">after which </w:t>
      </w:r>
      <w:r w:rsidRPr="009D007C">
        <w:rPr>
          <w:rFonts w:ascii="Arial" w:hAnsi="Arial" w:cs="Arial"/>
          <w:sz w:val="24"/>
          <w:szCs w:val="24"/>
        </w:rPr>
        <w:t xml:space="preserve">her </w:t>
      </w:r>
      <w:r w:rsidR="0032155F" w:rsidRPr="009D007C">
        <w:rPr>
          <w:rFonts w:ascii="Arial" w:hAnsi="Arial" w:cs="Arial"/>
          <w:sz w:val="24"/>
          <w:szCs w:val="24"/>
        </w:rPr>
        <w:t xml:space="preserve">good </w:t>
      </w:r>
      <w:r w:rsidRPr="009D007C">
        <w:rPr>
          <w:rFonts w:ascii="Arial" w:hAnsi="Arial" w:cs="Arial"/>
          <w:sz w:val="24"/>
          <w:szCs w:val="24"/>
        </w:rPr>
        <w:t>character &amp; conduct were noted]</w:t>
      </w:r>
      <w:r w:rsidRPr="009D007C">
        <w:rPr>
          <w:rFonts w:ascii="Arial" w:hAnsi="Arial" w:cs="Arial"/>
          <w:sz w:val="24"/>
          <w:szCs w:val="24"/>
          <w:vertAlign w:val="superscript"/>
        </w:rPr>
        <w:endnoteReference w:id="35"/>
      </w:r>
    </w:p>
    <w:p w14:paraId="4073BF17" w14:textId="77777777" w:rsidR="003267DD" w:rsidRPr="009D007C" w:rsidRDefault="003267DD" w:rsidP="003267DD">
      <w:pPr>
        <w:spacing w:after="0" w:line="240" w:lineRule="auto"/>
        <w:rPr>
          <w:rFonts w:ascii="Arial" w:hAnsi="Arial" w:cs="Arial"/>
          <w:sz w:val="24"/>
          <w:szCs w:val="24"/>
        </w:rPr>
      </w:pPr>
    </w:p>
    <w:p w14:paraId="3376AFB8" w14:textId="77777777" w:rsidR="003267DD" w:rsidRPr="009D007C" w:rsidRDefault="00724A41" w:rsidP="003267DD">
      <w:pPr>
        <w:spacing w:after="0" w:line="240" w:lineRule="auto"/>
        <w:rPr>
          <w:rFonts w:ascii="Arial" w:hAnsi="Arial" w:cs="Arial"/>
          <w:sz w:val="24"/>
          <w:szCs w:val="24"/>
        </w:rPr>
      </w:pPr>
      <w:r w:rsidRPr="009D007C">
        <w:rPr>
          <w:rFonts w:ascii="Arial" w:hAnsi="Arial" w:cs="Arial"/>
          <w:sz w:val="24"/>
          <w:szCs w:val="24"/>
        </w:rPr>
        <w:t xml:space="preserve">In this first </w:t>
      </w:r>
      <w:r w:rsidR="00DE7177">
        <w:rPr>
          <w:rFonts w:ascii="Arial" w:hAnsi="Arial" w:cs="Arial"/>
          <w:sz w:val="24"/>
          <w:szCs w:val="24"/>
        </w:rPr>
        <w:t>petition</w:t>
      </w:r>
      <w:r w:rsidRPr="009D007C">
        <w:rPr>
          <w:rFonts w:ascii="Arial" w:hAnsi="Arial" w:cs="Arial"/>
          <w:sz w:val="24"/>
          <w:szCs w:val="24"/>
        </w:rPr>
        <w:t>, there are appeals to mistakes in court procedure. The frustrat</w:t>
      </w:r>
      <w:r w:rsidR="001D1D60">
        <w:rPr>
          <w:rFonts w:ascii="Arial" w:hAnsi="Arial" w:cs="Arial"/>
          <w:sz w:val="24"/>
          <w:szCs w:val="24"/>
        </w:rPr>
        <w:t xml:space="preserve">ion and desperation is palpable. The permanent </w:t>
      </w:r>
      <w:r w:rsidR="00843A5C">
        <w:rPr>
          <w:rFonts w:ascii="Arial" w:hAnsi="Arial" w:cs="Arial"/>
          <w:sz w:val="24"/>
          <w:szCs w:val="24"/>
        </w:rPr>
        <w:t>staff of the Home Office looked</w:t>
      </w:r>
      <w:r w:rsidR="001D1D60">
        <w:rPr>
          <w:rFonts w:ascii="Arial" w:hAnsi="Arial" w:cs="Arial"/>
          <w:sz w:val="24"/>
          <w:szCs w:val="24"/>
        </w:rPr>
        <w:t xml:space="preserve"> into her pleas for ‘mitigation’</w:t>
      </w:r>
      <w:r w:rsidR="00843A5C">
        <w:rPr>
          <w:rFonts w:ascii="Arial" w:hAnsi="Arial" w:cs="Arial"/>
          <w:sz w:val="24"/>
          <w:szCs w:val="24"/>
        </w:rPr>
        <w:t xml:space="preserve"> after a family friend also </w:t>
      </w:r>
      <w:r w:rsidR="00163586">
        <w:rPr>
          <w:rFonts w:ascii="Arial" w:hAnsi="Arial" w:cs="Arial"/>
          <w:sz w:val="24"/>
          <w:szCs w:val="24"/>
        </w:rPr>
        <w:t>petitioned</w:t>
      </w:r>
      <w:r w:rsidR="00843A5C">
        <w:rPr>
          <w:rFonts w:ascii="Arial" w:hAnsi="Arial" w:cs="Arial"/>
          <w:sz w:val="24"/>
          <w:szCs w:val="24"/>
        </w:rPr>
        <w:t xml:space="preserve"> in 1856. </w:t>
      </w:r>
      <w:r w:rsidR="00163586">
        <w:rPr>
          <w:rFonts w:ascii="Arial" w:hAnsi="Arial" w:cs="Arial"/>
          <w:sz w:val="24"/>
          <w:szCs w:val="24"/>
        </w:rPr>
        <w:t>They wro</w:t>
      </w:r>
      <w:r w:rsidR="001D1D60">
        <w:rPr>
          <w:rFonts w:ascii="Arial" w:hAnsi="Arial" w:cs="Arial"/>
          <w:sz w:val="24"/>
          <w:szCs w:val="24"/>
        </w:rPr>
        <w:t>te to the clerk of the court but</w:t>
      </w:r>
      <w:r w:rsidR="00163586">
        <w:rPr>
          <w:rFonts w:ascii="Arial" w:hAnsi="Arial" w:cs="Arial"/>
          <w:sz w:val="24"/>
          <w:szCs w:val="24"/>
        </w:rPr>
        <w:t xml:space="preserve"> nothing wa</w:t>
      </w:r>
      <w:r w:rsidR="001D1D60">
        <w:rPr>
          <w:rFonts w:ascii="Arial" w:hAnsi="Arial" w:cs="Arial"/>
          <w:sz w:val="24"/>
          <w:szCs w:val="24"/>
        </w:rPr>
        <w:t>s found untoward in court procedure</w:t>
      </w:r>
      <w:r w:rsidR="00843A5C">
        <w:rPr>
          <w:rFonts w:ascii="Arial" w:hAnsi="Arial" w:cs="Arial"/>
          <w:sz w:val="24"/>
          <w:szCs w:val="24"/>
        </w:rPr>
        <w:t xml:space="preserve"> and, perhaps unsurprisingly, the sentence </w:t>
      </w:r>
      <w:r w:rsidR="00163586">
        <w:rPr>
          <w:rFonts w:ascii="Arial" w:hAnsi="Arial" w:cs="Arial"/>
          <w:sz w:val="24"/>
          <w:szCs w:val="24"/>
        </w:rPr>
        <w:t>remained as 14 years</w:t>
      </w:r>
      <w:r w:rsidR="001D1D60">
        <w:rPr>
          <w:rFonts w:ascii="Arial" w:hAnsi="Arial" w:cs="Arial"/>
          <w:sz w:val="24"/>
          <w:szCs w:val="24"/>
        </w:rPr>
        <w:t>.</w:t>
      </w:r>
      <w:r w:rsidR="001D1D60">
        <w:rPr>
          <w:rStyle w:val="EndnoteReference"/>
          <w:rFonts w:ascii="Arial" w:hAnsi="Arial" w:cs="Arial"/>
          <w:sz w:val="24"/>
          <w:szCs w:val="24"/>
        </w:rPr>
        <w:endnoteReference w:id="36"/>
      </w:r>
    </w:p>
    <w:p w14:paraId="6B4001EE" w14:textId="77777777" w:rsidR="003267DD" w:rsidRPr="009D007C" w:rsidRDefault="003267DD" w:rsidP="003267DD">
      <w:pPr>
        <w:spacing w:after="0" w:line="240" w:lineRule="auto"/>
        <w:rPr>
          <w:rFonts w:ascii="Arial" w:hAnsi="Arial" w:cs="Arial"/>
          <w:sz w:val="24"/>
          <w:szCs w:val="24"/>
        </w:rPr>
      </w:pPr>
    </w:p>
    <w:p w14:paraId="1196EA5F" w14:textId="77777777" w:rsidR="008A627A" w:rsidRDefault="00B351FE" w:rsidP="008A627A">
      <w:pPr>
        <w:spacing w:after="0" w:line="240" w:lineRule="auto"/>
        <w:rPr>
          <w:rFonts w:ascii="Arial" w:hAnsi="Arial" w:cs="Arial"/>
          <w:sz w:val="24"/>
          <w:szCs w:val="24"/>
        </w:rPr>
      </w:pPr>
      <w:r w:rsidRPr="009D007C">
        <w:rPr>
          <w:rFonts w:ascii="Arial" w:hAnsi="Arial" w:cs="Arial"/>
          <w:sz w:val="24"/>
          <w:szCs w:val="24"/>
        </w:rPr>
        <w:t xml:space="preserve">In 1853, Harriet’s father </w:t>
      </w:r>
      <w:r w:rsidR="00ED06E8">
        <w:rPr>
          <w:rFonts w:ascii="Arial" w:hAnsi="Arial" w:cs="Arial"/>
          <w:sz w:val="24"/>
          <w:szCs w:val="24"/>
        </w:rPr>
        <w:t xml:space="preserve">had also </w:t>
      </w:r>
      <w:r w:rsidRPr="009D007C">
        <w:rPr>
          <w:rFonts w:ascii="Arial" w:hAnsi="Arial" w:cs="Arial"/>
          <w:sz w:val="24"/>
          <w:szCs w:val="24"/>
        </w:rPr>
        <w:t>obtained</w:t>
      </w:r>
      <w:r w:rsidR="003267DD" w:rsidRPr="009D007C">
        <w:rPr>
          <w:rFonts w:ascii="Arial" w:hAnsi="Arial" w:cs="Arial"/>
          <w:sz w:val="24"/>
          <w:szCs w:val="24"/>
        </w:rPr>
        <w:t xml:space="preserve"> lega</w:t>
      </w:r>
      <w:r w:rsidR="00383F02">
        <w:rPr>
          <w:rFonts w:ascii="Arial" w:hAnsi="Arial" w:cs="Arial"/>
          <w:sz w:val="24"/>
          <w:szCs w:val="24"/>
        </w:rPr>
        <w:t>l representation to write on her</w:t>
      </w:r>
      <w:r w:rsidR="003267DD" w:rsidRPr="009D007C">
        <w:rPr>
          <w:rFonts w:ascii="Arial" w:hAnsi="Arial" w:cs="Arial"/>
          <w:sz w:val="24"/>
          <w:szCs w:val="24"/>
        </w:rPr>
        <w:t xml:space="preserve"> behalf</w:t>
      </w:r>
      <w:r w:rsidRPr="009D007C">
        <w:rPr>
          <w:rFonts w:ascii="Arial" w:hAnsi="Arial" w:cs="Arial"/>
          <w:sz w:val="24"/>
          <w:szCs w:val="24"/>
        </w:rPr>
        <w:t>.</w:t>
      </w:r>
      <w:r w:rsidR="00163586" w:rsidRPr="00163586">
        <w:rPr>
          <w:rFonts w:ascii="Arial" w:hAnsi="Arial" w:cs="Arial"/>
          <w:sz w:val="24"/>
          <w:szCs w:val="24"/>
        </w:rPr>
        <w:t xml:space="preserve"> </w:t>
      </w:r>
      <w:r w:rsidR="00163586">
        <w:rPr>
          <w:rFonts w:ascii="Arial" w:hAnsi="Arial" w:cs="Arial"/>
          <w:sz w:val="24"/>
          <w:szCs w:val="24"/>
        </w:rPr>
        <w:t xml:space="preserve">He </w:t>
      </w:r>
      <w:r w:rsidR="00383F02">
        <w:rPr>
          <w:rFonts w:ascii="Arial" w:hAnsi="Arial" w:cs="Arial"/>
          <w:sz w:val="24"/>
          <w:szCs w:val="24"/>
        </w:rPr>
        <w:t>petitioned</w:t>
      </w:r>
      <w:r w:rsidR="00163586">
        <w:rPr>
          <w:rFonts w:ascii="Arial" w:hAnsi="Arial" w:cs="Arial"/>
          <w:sz w:val="24"/>
          <w:szCs w:val="24"/>
        </w:rPr>
        <w:t xml:space="preserve"> the Home Secretary, </w:t>
      </w:r>
      <w:r w:rsidR="00ED06E8">
        <w:rPr>
          <w:rFonts w:ascii="Arial" w:hAnsi="Arial" w:cs="Arial"/>
          <w:sz w:val="24"/>
          <w:szCs w:val="24"/>
        </w:rPr>
        <w:t>including</w:t>
      </w:r>
      <w:r w:rsidR="00163586">
        <w:rPr>
          <w:rFonts w:ascii="Arial" w:hAnsi="Arial" w:cs="Arial"/>
          <w:sz w:val="24"/>
          <w:szCs w:val="24"/>
        </w:rPr>
        <w:t xml:space="preserve"> a</w:t>
      </w:r>
      <w:r w:rsidR="00163586" w:rsidRPr="00163586">
        <w:rPr>
          <w:rFonts w:ascii="Arial" w:hAnsi="Arial" w:cs="Arial"/>
          <w:sz w:val="24"/>
          <w:szCs w:val="24"/>
        </w:rPr>
        <w:t xml:space="preserve"> list of signatories</w:t>
      </w:r>
      <w:r w:rsidR="00163586">
        <w:rPr>
          <w:rFonts w:ascii="Arial" w:hAnsi="Arial" w:cs="Arial"/>
          <w:sz w:val="24"/>
          <w:szCs w:val="24"/>
        </w:rPr>
        <w:t xml:space="preserve"> in support of their cause.</w:t>
      </w:r>
      <w:r w:rsidR="00163586" w:rsidRPr="00163586">
        <w:rPr>
          <w:rFonts w:ascii="Arial" w:hAnsi="Arial" w:cs="Arial"/>
          <w:sz w:val="24"/>
          <w:szCs w:val="24"/>
        </w:rPr>
        <w:t xml:space="preserve"> </w:t>
      </w:r>
      <w:r w:rsidRPr="009D007C">
        <w:rPr>
          <w:rFonts w:ascii="Arial" w:hAnsi="Arial" w:cs="Arial"/>
          <w:sz w:val="24"/>
          <w:szCs w:val="24"/>
        </w:rPr>
        <w:t xml:space="preserve"> He </w:t>
      </w:r>
      <w:r w:rsidR="00A162CC">
        <w:rPr>
          <w:rFonts w:ascii="Arial" w:hAnsi="Arial" w:cs="Arial"/>
          <w:sz w:val="24"/>
          <w:szCs w:val="24"/>
        </w:rPr>
        <w:t>opens with the statement</w:t>
      </w:r>
      <w:r w:rsidRPr="009D007C">
        <w:rPr>
          <w:rFonts w:ascii="Arial" w:hAnsi="Arial" w:cs="Arial"/>
          <w:sz w:val="24"/>
          <w:szCs w:val="24"/>
        </w:rPr>
        <w:t xml:space="preserve"> that Harriet was given 14 years for her first sentence</w:t>
      </w:r>
      <w:r w:rsidR="00163586">
        <w:rPr>
          <w:rFonts w:ascii="Arial" w:hAnsi="Arial" w:cs="Arial"/>
          <w:sz w:val="24"/>
          <w:szCs w:val="24"/>
        </w:rPr>
        <w:t xml:space="preserve">, implying that it was harsh, but </w:t>
      </w:r>
      <w:r w:rsidR="00ED06E8">
        <w:rPr>
          <w:rFonts w:ascii="Arial" w:hAnsi="Arial" w:cs="Arial"/>
          <w:sz w:val="24"/>
          <w:szCs w:val="24"/>
        </w:rPr>
        <w:t xml:space="preserve">he </w:t>
      </w:r>
      <w:r w:rsidR="00163586">
        <w:rPr>
          <w:rFonts w:ascii="Arial" w:hAnsi="Arial" w:cs="Arial"/>
          <w:sz w:val="24"/>
          <w:szCs w:val="24"/>
        </w:rPr>
        <w:t>did not dispute it</w:t>
      </w:r>
      <w:r w:rsidRPr="009D007C">
        <w:rPr>
          <w:rFonts w:ascii="Arial" w:hAnsi="Arial" w:cs="Arial"/>
          <w:sz w:val="24"/>
          <w:szCs w:val="24"/>
        </w:rPr>
        <w:t xml:space="preserve">. </w:t>
      </w:r>
      <w:r w:rsidR="00383F02">
        <w:rPr>
          <w:rFonts w:ascii="Arial" w:hAnsi="Arial" w:cs="Arial"/>
          <w:sz w:val="24"/>
          <w:szCs w:val="24"/>
        </w:rPr>
        <w:t>Instead,</w:t>
      </w:r>
      <w:r w:rsidRPr="009D007C">
        <w:rPr>
          <w:rFonts w:ascii="Arial" w:hAnsi="Arial" w:cs="Arial"/>
          <w:sz w:val="24"/>
          <w:szCs w:val="24"/>
        </w:rPr>
        <w:t xml:space="preserve"> </w:t>
      </w:r>
      <w:r w:rsidR="00383F02">
        <w:rPr>
          <w:rFonts w:ascii="Arial" w:hAnsi="Arial" w:cs="Arial"/>
          <w:sz w:val="24"/>
          <w:szCs w:val="24"/>
        </w:rPr>
        <w:t>he focused</w:t>
      </w:r>
      <w:r w:rsidR="008A627A" w:rsidRPr="009D007C">
        <w:rPr>
          <w:rFonts w:ascii="Arial" w:hAnsi="Arial" w:cs="Arial"/>
          <w:sz w:val="24"/>
          <w:szCs w:val="24"/>
        </w:rPr>
        <w:t xml:space="preserve"> </w:t>
      </w:r>
      <w:r w:rsidRPr="009D007C">
        <w:rPr>
          <w:rFonts w:ascii="Arial" w:hAnsi="Arial" w:cs="Arial"/>
          <w:sz w:val="24"/>
          <w:szCs w:val="24"/>
        </w:rPr>
        <w:t xml:space="preserve">on Harriet’s </w:t>
      </w:r>
      <w:r w:rsidR="008A627A" w:rsidRPr="009D007C">
        <w:rPr>
          <w:rFonts w:ascii="Arial" w:hAnsi="Arial" w:cs="Arial"/>
          <w:sz w:val="24"/>
          <w:szCs w:val="24"/>
        </w:rPr>
        <w:t xml:space="preserve">mental health at the time of the </w:t>
      </w:r>
      <w:r w:rsidR="00A162CC">
        <w:rPr>
          <w:rFonts w:ascii="Arial" w:hAnsi="Arial" w:cs="Arial"/>
          <w:sz w:val="24"/>
          <w:szCs w:val="24"/>
        </w:rPr>
        <w:t>crime</w:t>
      </w:r>
      <w:r w:rsidR="008A627A" w:rsidRPr="009D007C">
        <w:rPr>
          <w:rFonts w:ascii="Arial" w:hAnsi="Arial" w:cs="Arial"/>
          <w:sz w:val="24"/>
          <w:szCs w:val="24"/>
        </w:rPr>
        <w:t>: ‘That as another matter in conjunction with the above facts your petitioner calls your attention to the state of his daughter’s mind – she is a person well fit for manual labor but her intellects are quite indifferent to carry into effect such an offence as she is now suffering under.’</w:t>
      </w:r>
      <w:r w:rsidR="008A627A" w:rsidRPr="009D007C">
        <w:rPr>
          <w:rStyle w:val="EndnoteReference"/>
          <w:rFonts w:ascii="Arial" w:hAnsi="Arial" w:cs="Arial"/>
          <w:sz w:val="24"/>
          <w:szCs w:val="24"/>
        </w:rPr>
        <w:endnoteReference w:id="37"/>
      </w:r>
      <w:r w:rsidR="008A627A" w:rsidRPr="009D007C">
        <w:rPr>
          <w:rFonts w:ascii="Arial" w:hAnsi="Arial" w:cs="Arial"/>
          <w:sz w:val="24"/>
          <w:szCs w:val="24"/>
        </w:rPr>
        <w:t xml:space="preserve"> </w:t>
      </w:r>
      <w:r w:rsidRPr="009D007C">
        <w:rPr>
          <w:rFonts w:ascii="Arial" w:hAnsi="Arial" w:cs="Arial"/>
          <w:sz w:val="24"/>
          <w:szCs w:val="24"/>
        </w:rPr>
        <w:t>He (and</w:t>
      </w:r>
      <w:r w:rsidR="003267DD" w:rsidRPr="009D007C">
        <w:rPr>
          <w:rFonts w:ascii="Arial" w:hAnsi="Arial" w:cs="Arial"/>
          <w:sz w:val="24"/>
          <w:szCs w:val="24"/>
        </w:rPr>
        <w:t xml:space="preserve"> others</w:t>
      </w:r>
      <w:r w:rsidR="008A627A" w:rsidRPr="009D007C">
        <w:rPr>
          <w:rFonts w:ascii="Arial" w:hAnsi="Arial" w:cs="Arial"/>
          <w:sz w:val="24"/>
          <w:szCs w:val="24"/>
        </w:rPr>
        <w:t xml:space="preserve"> held in </w:t>
      </w:r>
      <w:r w:rsidR="008A627A" w:rsidRPr="009D007C">
        <w:rPr>
          <w:rFonts w:ascii="Arial" w:hAnsi="Arial" w:cs="Arial"/>
          <w:sz w:val="24"/>
          <w:szCs w:val="24"/>
        </w:rPr>
        <w:lastRenderedPageBreak/>
        <w:t xml:space="preserve">the </w:t>
      </w:r>
      <w:r w:rsidR="00ED06E8">
        <w:rPr>
          <w:rFonts w:ascii="Arial" w:hAnsi="Arial" w:cs="Arial"/>
          <w:sz w:val="24"/>
          <w:szCs w:val="24"/>
        </w:rPr>
        <w:t>bound files</w:t>
      </w:r>
      <w:r w:rsidRPr="009D007C">
        <w:rPr>
          <w:rFonts w:ascii="Arial" w:hAnsi="Arial" w:cs="Arial"/>
          <w:sz w:val="24"/>
          <w:szCs w:val="24"/>
        </w:rPr>
        <w:t>)</w:t>
      </w:r>
      <w:r w:rsidR="003267DD" w:rsidRPr="009D007C">
        <w:rPr>
          <w:rFonts w:ascii="Arial" w:hAnsi="Arial" w:cs="Arial"/>
          <w:sz w:val="24"/>
          <w:szCs w:val="24"/>
        </w:rPr>
        <w:t xml:space="preserve"> write to say that </w:t>
      </w:r>
      <w:r w:rsidRPr="009D007C">
        <w:rPr>
          <w:rFonts w:ascii="Arial" w:hAnsi="Arial" w:cs="Arial"/>
          <w:sz w:val="24"/>
          <w:szCs w:val="24"/>
        </w:rPr>
        <w:t>Harriet</w:t>
      </w:r>
      <w:r w:rsidR="008A627A" w:rsidRPr="009D007C">
        <w:rPr>
          <w:rFonts w:ascii="Arial" w:hAnsi="Arial" w:cs="Arial"/>
          <w:sz w:val="24"/>
          <w:szCs w:val="24"/>
        </w:rPr>
        <w:t xml:space="preserve"> wa</w:t>
      </w:r>
      <w:r w:rsidR="003267DD" w:rsidRPr="009D007C">
        <w:rPr>
          <w:rFonts w:ascii="Arial" w:hAnsi="Arial" w:cs="Arial"/>
          <w:sz w:val="24"/>
          <w:szCs w:val="24"/>
        </w:rPr>
        <w:t>s ‘</w:t>
      </w:r>
      <w:proofErr w:type="spellStart"/>
      <w:r w:rsidR="003267DD" w:rsidRPr="009D007C">
        <w:rPr>
          <w:rFonts w:ascii="Arial" w:hAnsi="Arial" w:cs="Arial"/>
          <w:sz w:val="24"/>
          <w:szCs w:val="24"/>
        </w:rPr>
        <w:t>weakminded</w:t>
      </w:r>
      <w:proofErr w:type="spellEnd"/>
      <w:r w:rsidR="003267DD" w:rsidRPr="009D007C">
        <w:rPr>
          <w:rFonts w:ascii="Arial" w:hAnsi="Arial" w:cs="Arial"/>
          <w:sz w:val="24"/>
          <w:szCs w:val="24"/>
        </w:rPr>
        <w:t xml:space="preserve">’ and that she was </w:t>
      </w:r>
      <w:r w:rsidRPr="009D007C">
        <w:rPr>
          <w:rFonts w:ascii="Arial" w:hAnsi="Arial" w:cs="Arial"/>
          <w:sz w:val="24"/>
          <w:szCs w:val="24"/>
        </w:rPr>
        <w:t>‘</w:t>
      </w:r>
      <w:r w:rsidR="003267DD" w:rsidRPr="009D007C">
        <w:rPr>
          <w:rFonts w:ascii="Arial" w:hAnsi="Arial" w:cs="Arial"/>
          <w:sz w:val="24"/>
          <w:szCs w:val="24"/>
        </w:rPr>
        <w:t>taken advantage of</w:t>
      </w:r>
      <w:r w:rsidRPr="009D007C">
        <w:rPr>
          <w:rFonts w:ascii="Arial" w:hAnsi="Arial" w:cs="Arial"/>
          <w:sz w:val="24"/>
          <w:szCs w:val="24"/>
        </w:rPr>
        <w:t>’</w:t>
      </w:r>
      <w:r w:rsidR="008A627A" w:rsidRPr="009D007C">
        <w:rPr>
          <w:rFonts w:ascii="Arial" w:hAnsi="Arial" w:cs="Arial"/>
          <w:sz w:val="24"/>
          <w:szCs w:val="24"/>
        </w:rPr>
        <w:t>.</w:t>
      </w:r>
      <w:r w:rsidR="002656C3">
        <w:rPr>
          <w:rStyle w:val="EndnoteReference"/>
          <w:rFonts w:ascii="Arial" w:hAnsi="Arial" w:cs="Arial"/>
          <w:sz w:val="24"/>
          <w:szCs w:val="24"/>
        </w:rPr>
        <w:endnoteReference w:id="38"/>
      </w:r>
      <w:r w:rsidR="003267DD" w:rsidRPr="009D007C">
        <w:rPr>
          <w:rFonts w:ascii="Arial" w:hAnsi="Arial" w:cs="Arial"/>
          <w:sz w:val="24"/>
          <w:szCs w:val="24"/>
        </w:rPr>
        <w:t xml:space="preserve"> </w:t>
      </w:r>
      <w:r w:rsidR="008A627A" w:rsidRPr="009D007C">
        <w:rPr>
          <w:rFonts w:ascii="Arial" w:hAnsi="Arial" w:cs="Arial"/>
          <w:sz w:val="24"/>
          <w:szCs w:val="24"/>
        </w:rPr>
        <w:t>He explains that she was a ‘tool for others’ and the way that she tried to pass the counterfeit note in a place she was well known with previous employers demonstrates that she was ‘innocent’ and ‘unaware’ of what she was doing.</w:t>
      </w:r>
      <w:r w:rsidR="00B25430">
        <w:rPr>
          <w:rStyle w:val="EndnoteReference"/>
          <w:rFonts w:ascii="Arial" w:hAnsi="Arial" w:cs="Arial"/>
          <w:sz w:val="24"/>
          <w:szCs w:val="24"/>
        </w:rPr>
        <w:endnoteReference w:id="39"/>
      </w:r>
      <w:r w:rsidR="008A627A" w:rsidRPr="009D007C">
        <w:rPr>
          <w:rFonts w:ascii="Arial" w:hAnsi="Arial" w:cs="Arial"/>
          <w:sz w:val="24"/>
          <w:szCs w:val="24"/>
        </w:rPr>
        <w:t xml:space="preserve"> </w:t>
      </w:r>
    </w:p>
    <w:p w14:paraId="65A9E8FE" w14:textId="77777777" w:rsidR="00A30E06" w:rsidRPr="009D007C" w:rsidRDefault="00A30E06" w:rsidP="008A627A">
      <w:pPr>
        <w:spacing w:after="0" w:line="240" w:lineRule="auto"/>
        <w:rPr>
          <w:rFonts w:ascii="Arial" w:hAnsi="Arial" w:cs="Arial"/>
          <w:sz w:val="24"/>
          <w:szCs w:val="24"/>
        </w:rPr>
      </w:pPr>
    </w:p>
    <w:p w14:paraId="425C581A" w14:textId="77777777" w:rsidR="00ED06E8" w:rsidRDefault="00B25430" w:rsidP="003267DD">
      <w:pPr>
        <w:spacing w:after="0" w:line="240" w:lineRule="auto"/>
        <w:rPr>
          <w:rFonts w:ascii="Arial" w:hAnsi="Arial" w:cs="Arial"/>
          <w:sz w:val="24"/>
          <w:szCs w:val="24"/>
        </w:rPr>
      </w:pPr>
      <w:r w:rsidRPr="001109EE">
        <w:rPr>
          <w:rFonts w:ascii="Arial" w:hAnsi="Arial" w:cs="Arial"/>
          <w:sz w:val="24"/>
          <w:szCs w:val="24"/>
        </w:rPr>
        <w:t>The tone</w:t>
      </w:r>
      <w:r w:rsidR="003267DD" w:rsidRPr="001109EE">
        <w:rPr>
          <w:rFonts w:ascii="Arial" w:hAnsi="Arial" w:cs="Arial"/>
          <w:sz w:val="24"/>
          <w:szCs w:val="24"/>
        </w:rPr>
        <w:t xml:space="preserve"> </w:t>
      </w:r>
      <w:r w:rsidR="00AA1F54">
        <w:rPr>
          <w:rFonts w:ascii="Arial" w:hAnsi="Arial" w:cs="Arial"/>
          <w:sz w:val="24"/>
          <w:szCs w:val="24"/>
        </w:rPr>
        <w:t xml:space="preserve">seems to imply that </w:t>
      </w:r>
      <w:r w:rsidR="00ED06E8" w:rsidRPr="001109EE">
        <w:rPr>
          <w:rFonts w:ascii="Arial" w:hAnsi="Arial" w:cs="Arial"/>
          <w:sz w:val="24"/>
          <w:szCs w:val="24"/>
        </w:rPr>
        <w:t xml:space="preserve">(perhaps </w:t>
      </w:r>
      <w:r w:rsidR="001109EE">
        <w:rPr>
          <w:rFonts w:ascii="Arial" w:hAnsi="Arial" w:cs="Arial"/>
          <w:sz w:val="24"/>
          <w:szCs w:val="24"/>
        </w:rPr>
        <w:t>under</w:t>
      </w:r>
      <w:r w:rsidR="00ED06E8" w:rsidRPr="001109EE">
        <w:rPr>
          <w:rFonts w:ascii="Arial" w:hAnsi="Arial" w:cs="Arial"/>
          <w:sz w:val="24"/>
          <w:szCs w:val="24"/>
        </w:rPr>
        <w:t xml:space="preserve"> </w:t>
      </w:r>
      <w:r w:rsidR="00AA1F54">
        <w:rPr>
          <w:rFonts w:ascii="Arial" w:hAnsi="Arial" w:cs="Arial"/>
          <w:sz w:val="24"/>
          <w:szCs w:val="24"/>
        </w:rPr>
        <w:t xml:space="preserve">legal </w:t>
      </w:r>
      <w:r w:rsidR="001109EE">
        <w:rPr>
          <w:rFonts w:ascii="Arial" w:hAnsi="Arial" w:cs="Arial"/>
          <w:sz w:val="24"/>
          <w:szCs w:val="24"/>
        </w:rPr>
        <w:t xml:space="preserve">advice) </w:t>
      </w:r>
      <w:r w:rsidR="00AA1F54">
        <w:rPr>
          <w:rFonts w:ascii="Arial" w:hAnsi="Arial" w:cs="Arial"/>
          <w:sz w:val="24"/>
          <w:szCs w:val="24"/>
        </w:rPr>
        <w:t xml:space="preserve">he </w:t>
      </w:r>
      <w:r w:rsidR="001109EE">
        <w:rPr>
          <w:rFonts w:ascii="Arial" w:hAnsi="Arial" w:cs="Arial"/>
          <w:sz w:val="24"/>
          <w:szCs w:val="24"/>
        </w:rPr>
        <w:t>was</w:t>
      </w:r>
      <w:r w:rsidR="00ED06E8" w:rsidRPr="001109EE">
        <w:rPr>
          <w:rFonts w:ascii="Arial" w:hAnsi="Arial" w:cs="Arial"/>
          <w:sz w:val="24"/>
          <w:szCs w:val="24"/>
        </w:rPr>
        <w:t xml:space="preserve"> </w:t>
      </w:r>
      <w:r w:rsidR="00AA1F54">
        <w:rPr>
          <w:rFonts w:ascii="Arial" w:hAnsi="Arial" w:cs="Arial"/>
          <w:sz w:val="24"/>
          <w:szCs w:val="24"/>
        </w:rPr>
        <w:t>appealing for</w:t>
      </w:r>
      <w:r w:rsidR="00ED06E8" w:rsidRPr="001109EE">
        <w:rPr>
          <w:rFonts w:ascii="Arial" w:hAnsi="Arial" w:cs="Arial"/>
          <w:sz w:val="24"/>
          <w:szCs w:val="24"/>
        </w:rPr>
        <w:t xml:space="preserve"> </w:t>
      </w:r>
      <w:r w:rsidR="00AA1F54">
        <w:rPr>
          <w:rFonts w:ascii="Arial" w:hAnsi="Arial" w:cs="Arial"/>
          <w:sz w:val="24"/>
          <w:szCs w:val="24"/>
        </w:rPr>
        <w:t xml:space="preserve">mitigating circumstances using a language somewhat </w:t>
      </w:r>
      <w:r w:rsidR="00C462DF" w:rsidRPr="001109EE">
        <w:rPr>
          <w:rFonts w:ascii="Arial" w:hAnsi="Arial" w:cs="Arial"/>
          <w:sz w:val="24"/>
          <w:szCs w:val="24"/>
        </w:rPr>
        <w:t>akin to</w:t>
      </w:r>
      <w:r w:rsidR="006A05C9" w:rsidRPr="001109EE">
        <w:rPr>
          <w:rFonts w:ascii="Arial" w:hAnsi="Arial" w:cs="Arial"/>
          <w:sz w:val="24"/>
          <w:szCs w:val="24"/>
        </w:rPr>
        <w:t xml:space="preserve"> establishing</w:t>
      </w:r>
      <w:r w:rsidR="00C462DF" w:rsidRPr="001109EE">
        <w:rPr>
          <w:rFonts w:ascii="Arial" w:hAnsi="Arial" w:cs="Arial"/>
          <w:sz w:val="24"/>
          <w:szCs w:val="24"/>
        </w:rPr>
        <w:t xml:space="preserve"> diminished responsibility</w:t>
      </w:r>
      <w:r w:rsidR="00C821E3" w:rsidRPr="001109EE">
        <w:rPr>
          <w:rFonts w:ascii="Arial" w:hAnsi="Arial" w:cs="Arial"/>
          <w:sz w:val="24"/>
          <w:szCs w:val="24"/>
        </w:rPr>
        <w:t>.</w:t>
      </w:r>
      <w:r w:rsidR="00F92CF5" w:rsidRPr="001109EE">
        <w:rPr>
          <w:rFonts w:ascii="Arial" w:hAnsi="Arial" w:cs="Arial"/>
          <w:sz w:val="24"/>
          <w:szCs w:val="24"/>
        </w:rPr>
        <w:t xml:space="preserve"> </w:t>
      </w:r>
      <w:r w:rsidR="008A627A" w:rsidRPr="009D007C">
        <w:rPr>
          <w:rFonts w:ascii="Arial" w:hAnsi="Arial" w:cs="Arial"/>
          <w:sz w:val="24"/>
          <w:szCs w:val="24"/>
        </w:rPr>
        <w:t>This</w:t>
      </w:r>
      <w:r w:rsidR="00337B25">
        <w:rPr>
          <w:rFonts w:ascii="Arial" w:hAnsi="Arial" w:cs="Arial"/>
          <w:sz w:val="24"/>
          <w:szCs w:val="24"/>
        </w:rPr>
        <w:t xml:space="preserve"> appeal</w:t>
      </w:r>
      <w:r w:rsidR="008A627A" w:rsidRPr="009D007C">
        <w:rPr>
          <w:rFonts w:ascii="Arial" w:hAnsi="Arial" w:cs="Arial"/>
          <w:sz w:val="24"/>
          <w:szCs w:val="24"/>
        </w:rPr>
        <w:t xml:space="preserve"> was </w:t>
      </w:r>
      <w:r w:rsidR="006A05C9">
        <w:rPr>
          <w:rFonts w:ascii="Arial" w:hAnsi="Arial" w:cs="Arial"/>
          <w:sz w:val="24"/>
          <w:szCs w:val="24"/>
        </w:rPr>
        <w:t xml:space="preserve">unwise and unlikely to succeed because her actions in Black Letter Law were clearly premeditated and </w:t>
      </w:r>
      <w:r w:rsidR="00AA1F54" w:rsidRPr="00AA1F54">
        <w:rPr>
          <w:rFonts w:ascii="Arial" w:hAnsi="Arial" w:cs="Arial"/>
          <w:sz w:val="24"/>
          <w:szCs w:val="24"/>
        </w:rPr>
        <w:t xml:space="preserve">planned </w:t>
      </w:r>
      <w:r w:rsidR="006A05C9">
        <w:rPr>
          <w:rFonts w:ascii="Arial" w:hAnsi="Arial" w:cs="Arial"/>
          <w:sz w:val="24"/>
          <w:szCs w:val="24"/>
        </w:rPr>
        <w:t>(albeit naïve</w:t>
      </w:r>
      <w:r w:rsidR="00AA1F54">
        <w:rPr>
          <w:rFonts w:ascii="Arial" w:hAnsi="Arial" w:cs="Arial"/>
          <w:sz w:val="24"/>
          <w:szCs w:val="24"/>
        </w:rPr>
        <w:t>ly</w:t>
      </w:r>
      <w:r w:rsidR="006A05C9">
        <w:rPr>
          <w:rFonts w:ascii="Arial" w:hAnsi="Arial" w:cs="Arial"/>
          <w:sz w:val="24"/>
          <w:szCs w:val="24"/>
        </w:rPr>
        <w:t>)</w:t>
      </w:r>
      <w:r w:rsidR="00C821E3">
        <w:rPr>
          <w:rFonts w:ascii="Arial" w:hAnsi="Arial" w:cs="Arial"/>
          <w:sz w:val="24"/>
          <w:szCs w:val="24"/>
        </w:rPr>
        <w:t xml:space="preserve">. </w:t>
      </w:r>
      <w:r w:rsidR="00AA1F54" w:rsidRPr="00AA1F54">
        <w:rPr>
          <w:rFonts w:ascii="Arial" w:hAnsi="Arial" w:cs="Arial"/>
          <w:sz w:val="24"/>
          <w:szCs w:val="24"/>
        </w:rPr>
        <w:t xml:space="preserve">As the legal historian, John Baker, described </w:t>
      </w:r>
      <w:r w:rsidR="00AA1F54">
        <w:rPr>
          <w:rFonts w:ascii="Arial" w:hAnsi="Arial" w:cs="Arial"/>
          <w:sz w:val="24"/>
          <w:szCs w:val="24"/>
        </w:rPr>
        <w:t xml:space="preserve">the notion of </w:t>
      </w:r>
      <w:r w:rsidR="00AA1F54" w:rsidRPr="00AA1F54">
        <w:rPr>
          <w:rFonts w:ascii="Arial" w:hAnsi="Arial" w:cs="Arial"/>
          <w:sz w:val="24"/>
          <w:szCs w:val="24"/>
        </w:rPr>
        <w:t xml:space="preserve">individual responsibility </w:t>
      </w:r>
      <w:r w:rsidR="00AA1F54">
        <w:rPr>
          <w:rFonts w:ascii="Arial" w:hAnsi="Arial" w:cs="Arial"/>
          <w:sz w:val="24"/>
          <w:szCs w:val="24"/>
        </w:rPr>
        <w:t xml:space="preserve">in </w:t>
      </w:r>
      <w:proofErr w:type="spellStart"/>
      <w:r w:rsidR="00AA1F54" w:rsidRPr="00AA1F54">
        <w:rPr>
          <w:rFonts w:ascii="Arial" w:hAnsi="Arial" w:cs="Arial"/>
          <w:i/>
          <w:sz w:val="24"/>
          <w:szCs w:val="24"/>
        </w:rPr>
        <w:t>mens</w:t>
      </w:r>
      <w:proofErr w:type="spellEnd"/>
      <w:r w:rsidR="00AA1F54" w:rsidRPr="00AA1F54">
        <w:rPr>
          <w:rFonts w:ascii="Arial" w:hAnsi="Arial" w:cs="Arial"/>
          <w:i/>
          <w:sz w:val="24"/>
          <w:szCs w:val="24"/>
        </w:rPr>
        <w:t xml:space="preserve"> rea</w:t>
      </w:r>
      <w:r w:rsidR="00AA1F54" w:rsidRPr="00AA1F54">
        <w:rPr>
          <w:rFonts w:ascii="Arial" w:hAnsi="Arial" w:cs="Arial"/>
          <w:sz w:val="24"/>
          <w:szCs w:val="24"/>
        </w:rPr>
        <w:t xml:space="preserve"> (a </w:t>
      </w:r>
      <w:r w:rsidR="00AA1F54">
        <w:rPr>
          <w:rFonts w:ascii="Arial" w:hAnsi="Arial" w:cs="Arial"/>
          <w:sz w:val="24"/>
          <w:szCs w:val="24"/>
        </w:rPr>
        <w:t>‘</w:t>
      </w:r>
      <w:r w:rsidR="00AA1F54" w:rsidRPr="00AA1F54">
        <w:rPr>
          <w:rFonts w:ascii="Arial" w:hAnsi="Arial" w:cs="Arial"/>
          <w:sz w:val="24"/>
          <w:szCs w:val="24"/>
        </w:rPr>
        <w:t>guilty mind</w:t>
      </w:r>
      <w:r w:rsidR="00AA1F54">
        <w:rPr>
          <w:rFonts w:ascii="Arial" w:hAnsi="Arial" w:cs="Arial"/>
          <w:sz w:val="24"/>
          <w:szCs w:val="24"/>
        </w:rPr>
        <w:t>’</w:t>
      </w:r>
      <w:r w:rsidR="00AA1F54" w:rsidRPr="00AA1F54">
        <w:rPr>
          <w:rFonts w:ascii="Arial" w:hAnsi="Arial" w:cs="Arial"/>
          <w:sz w:val="24"/>
          <w:szCs w:val="24"/>
        </w:rPr>
        <w:t>) was integral to prosecuting a felony and has a long history in English law.</w:t>
      </w:r>
      <w:r w:rsidR="00AA1F54" w:rsidRPr="00AA1F54">
        <w:rPr>
          <w:rFonts w:ascii="Arial" w:hAnsi="Arial" w:cs="Arial"/>
          <w:sz w:val="24"/>
          <w:szCs w:val="24"/>
          <w:vertAlign w:val="superscript"/>
        </w:rPr>
        <w:endnoteReference w:id="40"/>
      </w:r>
      <w:r w:rsidR="00AA1F54" w:rsidRPr="00AA1F54">
        <w:rPr>
          <w:rFonts w:ascii="Arial" w:hAnsi="Arial" w:cs="Arial"/>
          <w:sz w:val="24"/>
          <w:szCs w:val="24"/>
        </w:rPr>
        <w:t xml:space="preserve"> </w:t>
      </w:r>
      <w:r w:rsidR="001109EE">
        <w:rPr>
          <w:rFonts w:ascii="Arial" w:hAnsi="Arial" w:cs="Arial"/>
          <w:sz w:val="24"/>
          <w:szCs w:val="24"/>
        </w:rPr>
        <w:t>The q</w:t>
      </w:r>
      <w:r w:rsidR="00A162CC">
        <w:rPr>
          <w:rFonts w:ascii="Arial" w:hAnsi="Arial" w:cs="Arial"/>
          <w:sz w:val="24"/>
          <w:szCs w:val="24"/>
        </w:rPr>
        <w:t xml:space="preserve">uestioning </w:t>
      </w:r>
      <w:r w:rsidR="001109EE">
        <w:rPr>
          <w:rFonts w:ascii="Arial" w:hAnsi="Arial" w:cs="Arial"/>
          <w:sz w:val="24"/>
          <w:szCs w:val="24"/>
        </w:rPr>
        <w:t xml:space="preserve">of Harriet’s </w:t>
      </w:r>
      <w:r w:rsidR="00A162CC">
        <w:rPr>
          <w:rFonts w:ascii="Arial" w:hAnsi="Arial" w:cs="Arial"/>
          <w:sz w:val="24"/>
          <w:szCs w:val="24"/>
        </w:rPr>
        <w:t xml:space="preserve">mental faculties may have </w:t>
      </w:r>
      <w:r w:rsidR="00ED06E8">
        <w:rPr>
          <w:rFonts w:ascii="Arial" w:hAnsi="Arial" w:cs="Arial"/>
          <w:sz w:val="24"/>
          <w:szCs w:val="24"/>
        </w:rPr>
        <w:t xml:space="preserve">also </w:t>
      </w:r>
      <w:r w:rsidR="00A162CC">
        <w:rPr>
          <w:rFonts w:ascii="Arial" w:hAnsi="Arial" w:cs="Arial"/>
          <w:sz w:val="24"/>
          <w:szCs w:val="24"/>
        </w:rPr>
        <w:t>been unwise because i</w:t>
      </w:r>
      <w:r w:rsidR="008A627A" w:rsidRPr="009D007C">
        <w:rPr>
          <w:rFonts w:ascii="Arial" w:hAnsi="Arial" w:cs="Arial"/>
          <w:sz w:val="24"/>
          <w:szCs w:val="24"/>
        </w:rPr>
        <w:t xml:space="preserve">n the eyes of the prison </w:t>
      </w:r>
      <w:r w:rsidR="00383F02" w:rsidRPr="009D007C">
        <w:rPr>
          <w:rFonts w:ascii="Arial" w:hAnsi="Arial" w:cs="Arial"/>
          <w:sz w:val="24"/>
          <w:szCs w:val="24"/>
        </w:rPr>
        <w:t>authorities</w:t>
      </w:r>
      <w:r w:rsidR="008A627A" w:rsidRPr="009D007C">
        <w:rPr>
          <w:rFonts w:ascii="Arial" w:hAnsi="Arial" w:cs="Arial"/>
          <w:sz w:val="24"/>
          <w:szCs w:val="24"/>
        </w:rPr>
        <w:t xml:space="preserve"> she was a model prisoner, reforming and regretful – embracing the chance to make amends and perhaps receive mitigation. </w:t>
      </w:r>
      <w:r w:rsidR="001109EE">
        <w:rPr>
          <w:rFonts w:ascii="Arial" w:hAnsi="Arial" w:cs="Arial"/>
          <w:sz w:val="24"/>
          <w:szCs w:val="24"/>
        </w:rPr>
        <w:t xml:space="preserve">As time </w:t>
      </w:r>
      <w:r w:rsidR="00AA1F54">
        <w:rPr>
          <w:rFonts w:ascii="Arial" w:hAnsi="Arial" w:cs="Arial"/>
          <w:sz w:val="24"/>
          <w:szCs w:val="24"/>
        </w:rPr>
        <w:t>progressed</w:t>
      </w:r>
      <w:r w:rsidR="001109EE">
        <w:rPr>
          <w:rFonts w:ascii="Arial" w:hAnsi="Arial" w:cs="Arial"/>
          <w:sz w:val="24"/>
          <w:szCs w:val="24"/>
        </w:rPr>
        <w:t xml:space="preserve">, Harriet and her father retreat from this line of reasoning and </w:t>
      </w:r>
      <w:r w:rsidR="00AA1F54">
        <w:rPr>
          <w:rFonts w:ascii="Arial" w:hAnsi="Arial" w:cs="Arial"/>
          <w:sz w:val="24"/>
          <w:szCs w:val="24"/>
        </w:rPr>
        <w:t>their writing strategically repositions</w:t>
      </w:r>
      <w:r w:rsidR="001109EE">
        <w:rPr>
          <w:rFonts w:ascii="Arial" w:hAnsi="Arial" w:cs="Arial"/>
          <w:sz w:val="24"/>
          <w:szCs w:val="24"/>
        </w:rPr>
        <w:t xml:space="preserve"> her </w:t>
      </w:r>
      <w:r w:rsidR="00FE3DBA">
        <w:rPr>
          <w:rFonts w:ascii="Arial" w:hAnsi="Arial" w:cs="Arial"/>
          <w:sz w:val="24"/>
          <w:szCs w:val="24"/>
        </w:rPr>
        <w:t xml:space="preserve">(misled) </w:t>
      </w:r>
      <w:r w:rsidR="001109EE">
        <w:rPr>
          <w:rFonts w:ascii="Arial" w:hAnsi="Arial" w:cs="Arial"/>
          <w:sz w:val="24"/>
          <w:szCs w:val="24"/>
        </w:rPr>
        <w:t xml:space="preserve">good character at the hub of mitigation </w:t>
      </w:r>
      <w:r w:rsidR="00FE3DBA">
        <w:rPr>
          <w:rFonts w:ascii="Arial" w:hAnsi="Arial" w:cs="Arial"/>
          <w:sz w:val="24"/>
          <w:szCs w:val="24"/>
        </w:rPr>
        <w:t>for</w:t>
      </w:r>
      <w:r w:rsidR="001109EE">
        <w:rPr>
          <w:rFonts w:ascii="Arial" w:hAnsi="Arial" w:cs="Arial"/>
          <w:sz w:val="24"/>
          <w:szCs w:val="24"/>
        </w:rPr>
        <w:t xml:space="preserve"> early release. </w:t>
      </w:r>
    </w:p>
    <w:p w14:paraId="6BACB2A3" w14:textId="77777777" w:rsidR="00ED06E8" w:rsidRDefault="00ED06E8" w:rsidP="003267DD">
      <w:pPr>
        <w:spacing w:after="0" w:line="240" w:lineRule="auto"/>
        <w:rPr>
          <w:rFonts w:ascii="Arial" w:hAnsi="Arial" w:cs="Arial"/>
          <w:sz w:val="24"/>
          <w:szCs w:val="24"/>
        </w:rPr>
      </w:pPr>
    </w:p>
    <w:p w14:paraId="5B4E0535" w14:textId="77777777" w:rsidR="003267DD" w:rsidRPr="009D007C" w:rsidRDefault="008A627A" w:rsidP="003267DD">
      <w:pPr>
        <w:spacing w:after="0" w:line="240" w:lineRule="auto"/>
        <w:rPr>
          <w:rFonts w:ascii="Arial" w:hAnsi="Arial" w:cs="Arial"/>
          <w:sz w:val="24"/>
          <w:szCs w:val="24"/>
        </w:rPr>
      </w:pPr>
      <w:r w:rsidRPr="003F4592">
        <w:rPr>
          <w:rFonts w:ascii="Arial" w:hAnsi="Arial" w:cs="Arial"/>
          <w:sz w:val="24"/>
          <w:szCs w:val="24"/>
        </w:rPr>
        <w:t>In 1857</w:t>
      </w:r>
      <w:r w:rsidRPr="009D007C">
        <w:rPr>
          <w:rFonts w:ascii="Arial" w:hAnsi="Arial" w:cs="Arial"/>
          <w:sz w:val="24"/>
          <w:szCs w:val="24"/>
        </w:rPr>
        <w:t xml:space="preserve">, Harriet petitions </w:t>
      </w:r>
      <w:r w:rsidR="00ED06E8">
        <w:rPr>
          <w:rFonts w:ascii="Arial" w:hAnsi="Arial" w:cs="Arial"/>
          <w:sz w:val="24"/>
          <w:szCs w:val="24"/>
        </w:rPr>
        <w:t xml:space="preserve">again </w:t>
      </w:r>
      <w:r w:rsidRPr="009D007C">
        <w:rPr>
          <w:rFonts w:ascii="Arial" w:hAnsi="Arial" w:cs="Arial"/>
          <w:sz w:val="24"/>
          <w:szCs w:val="24"/>
        </w:rPr>
        <w:t>for early release</w:t>
      </w:r>
      <w:r w:rsidR="00ED06E8">
        <w:rPr>
          <w:rFonts w:ascii="Arial" w:hAnsi="Arial" w:cs="Arial"/>
          <w:sz w:val="24"/>
          <w:szCs w:val="24"/>
        </w:rPr>
        <w:t>. This time she frames her request</w:t>
      </w:r>
      <w:r w:rsidRPr="009D007C">
        <w:rPr>
          <w:rFonts w:ascii="Arial" w:hAnsi="Arial" w:cs="Arial"/>
          <w:sz w:val="24"/>
          <w:szCs w:val="24"/>
        </w:rPr>
        <w:t xml:space="preserve"> on compassionate grounds:</w:t>
      </w:r>
    </w:p>
    <w:p w14:paraId="5B2AB4F8" w14:textId="77777777" w:rsidR="0032155F" w:rsidRPr="009D007C" w:rsidRDefault="0032155F" w:rsidP="00826EC0">
      <w:pPr>
        <w:spacing w:after="0" w:line="240" w:lineRule="auto"/>
        <w:rPr>
          <w:rFonts w:ascii="Arial" w:hAnsi="Arial" w:cs="Arial"/>
          <w:sz w:val="24"/>
          <w:szCs w:val="24"/>
        </w:rPr>
      </w:pPr>
    </w:p>
    <w:p w14:paraId="106D6B75" w14:textId="77777777" w:rsidR="00826EC0" w:rsidRPr="009D007C" w:rsidRDefault="00826EC0" w:rsidP="0032155F">
      <w:pPr>
        <w:spacing w:after="0" w:line="240" w:lineRule="auto"/>
        <w:ind w:left="284" w:right="284"/>
        <w:rPr>
          <w:rFonts w:ascii="Arial" w:hAnsi="Arial" w:cs="Arial"/>
          <w:sz w:val="24"/>
          <w:szCs w:val="24"/>
        </w:rPr>
      </w:pPr>
      <w:r w:rsidRPr="009D007C">
        <w:rPr>
          <w:rFonts w:ascii="Arial" w:hAnsi="Arial" w:cs="Arial"/>
          <w:sz w:val="24"/>
          <w:szCs w:val="24"/>
        </w:rPr>
        <w:t>…your petitioner has suffered much in the death of her mother who was carried out of court on hearing your petitioner found guilty. The only daughter of respectable parents her disgrace has caused her mother’s death &amp; her father has never been well since. Your petitioner has behaved well in prison. Never once reported and has been industrious &amp; obedient to all placed over her. Your petitioner therefore humbly makes this appeal hoping that you may mercifully consider how much sorrow she has suffered for being the dupe of others - The best years of youth &amp; health spent in prison – her industry &amp; good conduct</w:t>
      </w:r>
      <w:r w:rsidR="00637424">
        <w:rPr>
          <w:rFonts w:ascii="Arial" w:hAnsi="Arial" w:cs="Arial"/>
          <w:sz w:val="24"/>
          <w:szCs w:val="24"/>
        </w:rPr>
        <w:t>…</w:t>
      </w:r>
      <w:r w:rsidRPr="009D007C">
        <w:rPr>
          <w:rFonts w:ascii="Arial" w:hAnsi="Arial" w:cs="Arial"/>
          <w:sz w:val="24"/>
          <w:szCs w:val="24"/>
          <w:vertAlign w:val="superscript"/>
        </w:rPr>
        <w:endnoteReference w:id="41"/>
      </w:r>
    </w:p>
    <w:p w14:paraId="50C0276B" w14:textId="77777777" w:rsidR="00826EC0" w:rsidRPr="009D007C" w:rsidRDefault="00826EC0" w:rsidP="00C23ABD">
      <w:pPr>
        <w:spacing w:after="0" w:line="240" w:lineRule="auto"/>
        <w:rPr>
          <w:rFonts w:ascii="Arial" w:hAnsi="Arial" w:cs="Arial"/>
          <w:sz w:val="24"/>
          <w:szCs w:val="24"/>
        </w:rPr>
      </w:pPr>
    </w:p>
    <w:p w14:paraId="76B50B62" w14:textId="77777777" w:rsidR="00500B4E" w:rsidRPr="009D007C" w:rsidRDefault="00500B4E" w:rsidP="00500B4E">
      <w:pPr>
        <w:spacing w:after="0" w:line="240" w:lineRule="auto"/>
        <w:rPr>
          <w:rFonts w:ascii="Arial" w:hAnsi="Arial" w:cs="Arial"/>
          <w:sz w:val="24"/>
          <w:szCs w:val="24"/>
        </w:rPr>
      </w:pPr>
      <w:r w:rsidRPr="009D007C">
        <w:rPr>
          <w:rFonts w:ascii="Arial" w:hAnsi="Arial" w:cs="Arial"/>
          <w:sz w:val="24"/>
          <w:szCs w:val="24"/>
        </w:rPr>
        <w:t xml:space="preserve">Harriet had no prison offences while inside, which </w:t>
      </w:r>
      <w:r w:rsidR="00337B25">
        <w:rPr>
          <w:rFonts w:ascii="Arial" w:hAnsi="Arial" w:cs="Arial"/>
          <w:sz w:val="24"/>
          <w:szCs w:val="24"/>
        </w:rPr>
        <w:t xml:space="preserve">strengthened </w:t>
      </w:r>
      <w:r w:rsidRPr="009D007C">
        <w:rPr>
          <w:rFonts w:ascii="Arial" w:hAnsi="Arial" w:cs="Arial"/>
          <w:sz w:val="24"/>
          <w:szCs w:val="24"/>
        </w:rPr>
        <w:t>to her case for mitigating circumstanc</w:t>
      </w:r>
      <w:r w:rsidR="00637424">
        <w:rPr>
          <w:rFonts w:ascii="Arial" w:hAnsi="Arial" w:cs="Arial"/>
          <w:sz w:val="24"/>
          <w:szCs w:val="24"/>
        </w:rPr>
        <w:t>es. Nevertheless, throughout her</w:t>
      </w:r>
      <w:r w:rsidRPr="009D007C">
        <w:rPr>
          <w:rFonts w:ascii="Arial" w:hAnsi="Arial" w:cs="Arial"/>
          <w:sz w:val="24"/>
          <w:szCs w:val="24"/>
        </w:rPr>
        <w:t xml:space="preserve"> entire sentence, the Home Office maintained that 14 years was the correct sentence. Something had hit the mark, though, because Harriet was released at the end in 1859 – which would have been about the normal parole stage for a 7-year sentence. This was significantly less than her </w:t>
      </w:r>
      <w:r w:rsidR="00637424">
        <w:rPr>
          <w:rFonts w:ascii="Arial" w:hAnsi="Arial" w:cs="Arial"/>
          <w:sz w:val="24"/>
          <w:szCs w:val="24"/>
        </w:rPr>
        <w:t>original 14-year sentence. I</w:t>
      </w:r>
      <w:r w:rsidRPr="009D007C">
        <w:rPr>
          <w:rFonts w:ascii="Arial" w:hAnsi="Arial" w:cs="Arial"/>
          <w:sz w:val="24"/>
          <w:szCs w:val="24"/>
        </w:rPr>
        <w:t xml:space="preserve">t is </w:t>
      </w:r>
      <w:r w:rsidR="00337B25">
        <w:rPr>
          <w:rFonts w:ascii="Arial" w:hAnsi="Arial" w:cs="Arial"/>
          <w:sz w:val="24"/>
          <w:szCs w:val="24"/>
        </w:rPr>
        <w:t>not possible</w:t>
      </w:r>
      <w:r w:rsidRPr="009D007C">
        <w:rPr>
          <w:rFonts w:ascii="Arial" w:hAnsi="Arial" w:cs="Arial"/>
          <w:sz w:val="24"/>
          <w:szCs w:val="24"/>
        </w:rPr>
        <w:t xml:space="preserve"> to </w:t>
      </w:r>
      <w:r w:rsidR="00337B25">
        <w:rPr>
          <w:rFonts w:ascii="Arial" w:hAnsi="Arial" w:cs="Arial"/>
          <w:sz w:val="24"/>
          <w:szCs w:val="24"/>
        </w:rPr>
        <w:t>evidence</w:t>
      </w:r>
      <w:r w:rsidRPr="009D007C">
        <w:rPr>
          <w:rFonts w:ascii="Arial" w:hAnsi="Arial" w:cs="Arial"/>
          <w:sz w:val="24"/>
          <w:szCs w:val="24"/>
        </w:rPr>
        <w:t xml:space="preserve"> if the Home Office had </w:t>
      </w:r>
      <w:r w:rsidR="00A30E06">
        <w:rPr>
          <w:rFonts w:ascii="Arial" w:hAnsi="Arial" w:cs="Arial"/>
          <w:sz w:val="24"/>
          <w:szCs w:val="24"/>
        </w:rPr>
        <w:t>accepted that the sentence was overly harsh for a first sentence or</w:t>
      </w:r>
      <w:r w:rsidR="00043595">
        <w:rPr>
          <w:rFonts w:ascii="Arial" w:hAnsi="Arial" w:cs="Arial"/>
          <w:sz w:val="24"/>
          <w:szCs w:val="24"/>
        </w:rPr>
        <w:t xml:space="preserve"> that</w:t>
      </w:r>
      <w:r w:rsidRPr="009D007C">
        <w:rPr>
          <w:rFonts w:ascii="Arial" w:hAnsi="Arial" w:cs="Arial"/>
          <w:sz w:val="24"/>
          <w:szCs w:val="24"/>
        </w:rPr>
        <w:t xml:space="preserve"> there </w:t>
      </w:r>
      <w:r w:rsidR="00043595">
        <w:rPr>
          <w:rFonts w:ascii="Arial" w:hAnsi="Arial" w:cs="Arial"/>
          <w:sz w:val="24"/>
          <w:szCs w:val="24"/>
        </w:rPr>
        <w:t>had been</w:t>
      </w:r>
      <w:r w:rsidRPr="009D007C">
        <w:rPr>
          <w:rFonts w:ascii="Arial" w:hAnsi="Arial" w:cs="Arial"/>
          <w:sz w:val="24"/>
          <w:szCs w:val="24"/>
        </w:rPr>
        <w:t xml:space="preserve"> a mistake</w:t>
      </w:r>
      <w:r w:rsidR="00043595">
        <w:rPr>
          <w:rFonts w:ascii="Arial" w:hAnsi="Arial" w:cs="Arial"/>
          <w:sz w:val="24"/>
          <w:szCs w:val="24"/>
        </w:rPr>
        <w:t xml:space="preserve"> in due process</w:t>
      </w:r>
      <w:r w:rsidR="00A30E06">
        <w:rPr>
          <w:rFonts w:ascii="Arial" w:hAnsi="Arial" w:cs="Arial"/>
          <w:sz w:val="24"/>
          <w:szCs w:val="24"/>
        </w:rPr>
        <w:t>.</w:t>
      </w:r>
      <w:r w:rsidRPr="009D007C">
        <w:rPr>
          <w:rFonts w:ascii="Arial" w:hAnsi="Arial" w:cs="Arial"/>
          <w:sz w:val="24"/>
          <w:szCs w:val="24"/>
        </w:rPr>
        <w:t xml:space="preserve"> </w:t>
      </w:r>
      <w:r w:rsidR="00A30E06">
        <w:rPr>
          <w:rFonts w:ascii="Arial" w:hAnsi="Arial" w:cs="Arial"/>
          <w:sz w:val="24"/>
          <w:szCs w:val="24"/>
        </w:rPr>
        <w:t>More likely they were showing</w:t>
      </w:r>
      <w:r w:rsidRPr="009D007C">
        <w:rPr>
          <w:rFonts w:ascii="Arial" w:hAnsi="Arial" w:cs="Arial"/>
          <w:sz w:val="24"/>
          <w:szCs w:val="24"/>
        </w:rPr>
        <w:t xml:space="preserve"> remarkable leniency</w:t>
      </w:r>
      <w:r w:rsidR="00A30E06">
        <w:rPr>
          <w:rFonts w:ascii="Arial" w:hAnsi="Arial" w:cs="Arial"/>
          <w:sz w:val="24"/>
          <w:szCs w:val="24"/>
        </w:rPr>
        <w:t xml:space="preserve"> because of her </w:t>
      </w:r>
      <w:r w:rsidR="00043595">
        <w:rPr>
          <w:rFonts w:ascii="Arial" w:hAnsi="Arial" w:cs="Arial"/>
          <w:sz w:val="24"/>
          <w:szCs w:val="24"/>
        </w:rPr>
        <w:t>good</w:t>
      </w:r>
      <w:r w:rsidR="00A30E06">
        <w:rPr>
          <w:rFonts w:ascii="Arial" w:hAnsi="Arial" w:cs="Arial"/>
          <w:sz w:val="24"/>
          <w:szCs w:val="24"/>
        </w:rPr>
        <w:t xml:space="preserve"> behaviour</w:t>
      </w:r>
      <w:r w:rsidR="00043595">
        <w:rPr>
          <w:rFonts w:ascii="Arial" w:hAnsi="Arial" w:cs="Arial"/>
          <w:sz w:val="24"/>
          <w:szCs w:val="24"/>
        </w:rPr>
        <w:t xml:space="preserve"> in prison.</w:t>
      </w:r>
      <w:r w:rsidR="00A30E06">
        <w:rPr>
          <w:rFonts w:ascii="Arial" w:hAnsi="Arial" w:cs="Arial"/>
          <w:sz w:val="24"/>
          <w:szCs w:val="24"/>
        </w:rPr>
        <w:t xml:space="preserve"> According to the chaplain, ‘A very well conducted prisoner who appears very hopeful &amp; very anxious to earn her bread by honest industry’.</w:t>
      </w:r>
      <w:r w:rsidR="003F4592">
        <w:rPr>
          <w:rStyle w:val="EndnoteReference"/>
          <w:rFonts w:ascii="Arial" w:hAnsi="Arial" w:cs="Arial"/>
          <w:sz w:val="24"/>
          <w:szCs w:val="24"/>
        </w:rPr>
        <w:endnoteReference w:id="42"/>
      </w:r>
      <w:r w:rsidR="00A30E06">
        <w:rPr>
          <w:rFonts w:ascii="Arial" w:hAnsi="Arial" w:cs="Arial"/>
          <w:sz w:val="24"/>
          <w:szCs w:val="24"/>
        </w:rPr>
        <w:t xml:space="preserve"> </w:t>
      </w:r>
      <w:r w:rsidRPr="009D007C">
        <w:rPr>
          <w:rFonts w:ascii="Arial" w:hAnsi="Arial" w:cs="Arial"/>
          <w:sz w:val="24"/>
          <w:szCs w:val="24"/>
        </w:rPr>
        <w:t xml:space="preserve">Certainly her good behaviour, father’s petitioning, community support and </w:t>
      </w:r>
      <w:r w:rsidR="00043595">
        <w:rPr>
          <w:rFonts w:ascii="Arial" w:hAnsi="Arial" w:cs="Arial"/>
          <w:sz w:val="24"/>
          <w:szCs w:val="24"/>
        </w:rPr>
        <w:t xml:space="preserve">religious </w:t>
      </w:r>
      <w:r w:rsidRPr="009D007C">
        <w:rPr>
          <w:rFonts w:ascii="Arial" w:hAnsi="Arial" w:cs="Arial"/>
          <w:sz w:val="24"/>
          <w:szCs w:val="24"/>
        </w:rPr>
        <w:t>clemency are in striking contrast to</w:t>
      </w:r>
      <w:r w:rsidR="00A90000" w:rsidRPr="009D007C">
        <w:rPr>
          <w:rFonts w:ascii="Arial" w:hAnsi="Arial" w:cs="Arial"/>
          <w:sz w:val="24"/>
          <w:szCs w:val="24"/>
        </w:rPr>
        <w:t xml:space="preserve"> the </w:t>
      </w:r>
      <w:r w:rsidR="0081116F" w:rsidRPr="009D007C">
        <w:rPr>
          <w:rFonts w:ascii="Arial" w:hAnsi="Arial" w:cs="Arial"/>
          <w:sz w:val="24"/>
          <w:szCs w:val="24"/>
        </w:rPr>
        <w:t>following</w:t>
      </w:r>
      <w:r w:rsidR="00A90000" w:rsidRPr="009D007C">
        <w:rPr>
          <w:rFonts w:ascii="Arial" w:hAnsi="Arial" w:cs="Arial"/>
          <w:sz w:val="24"/>
          <w:szCs w:val="24"/>
        </w:rPr>
        <w:t xml:space="preserve"> case</w:t>
      </w:r>
      <w:r w:rsidR="00EB0306">
        <w:rPr>
          <w:rFonts w:ascii="Arial" w:hAnsi="Arial" w:cs="Arial"/>
          <w:sz w:val="24"/>
          <w:szCs w:val="24"/>
        </w:rPr>
        <w:t xml:space="preserve"> study</w:t>
      </w:r>
      <w:r w:rsidR="0081116F" w:rsidRPr="009D007C">
        <w:rPr>
          <w:rFonts w:ascii="Arial" w:hAnsi="Arial" w:cs="Arial"/>
          <w:sz w:val="24"/>
          <w:szCs w:val="24"/>
        </w:rPr>
        <w:t xml:space="preserve"> of convict petitioning</w:t>
      </w:r>
      <w:r w:rsidR="00EB0306">
        <w:rPr>
          <w:rFonts w:ascii="Arial" w:hAnsi="Arial" w:cs="Arial"/>
          <w:sz w:val="24"/>
          <w:szCs w:val="24"/>
        </w:rPr>
        <w:t xml:space="preserve"> two decades later.</w:t>
      </w:r>
    </w:p>
    <w:p w14:paraId="1A82B4CD" w14:textId="77777777" w:rsidR="00043595" w:rsidRDefault="00043595" w:rsidP="0081116F">
      <w:pPr>
        <w:spacing w:after="0" w:line="240" w:lineRule="auto"/>
        <w:rPr>
          <w:rFonts w:ascii="Arial" w:hAnsi="Arial" w:cs="Arial"/>
          <w:sz w:val="24"/>
          <w:szCs w:val="24"/>
        </w:rPr>
      </w:pPr>
    </w:p>
    <w:p w14:paraId="235EDC3D" w14:textId="77777777" w:rsidR="00016E16" w:rsidRPr="00DE63BB" w:rsidRDefault="00016E16" w:rsidP="00016E16">
      <w:pPr>
        <w:spacing w:after="0" w:line="240" w:lineRule="auto"/>
        <w:rPr>
          <w:rFonts w:ascii="Arial" w:hAnsi="Arial" w:cs="Arial"/>
          <w:sz w:val="24"/>
          <w:szCs w:val="24"/>
        </w:rPr>
      </w:pPr>
      <w:r w:rsidRPr="00DE63BB">
        <w:rPr>
          <w:rFonts w:ascii="Arial" w:hAnsi="Arial" w:cs="Arial"/>
          <w:b/>
          <w:sz w:val="24"/>
          <w:szCs w:val="24"/>
        </w:rPr>
        <w:t>(ii) Mary James: mental health</w:t>
      </w:r>
      <w:r w:rsidR="00DA279F">
        <w:rPr>
          <w:rFonts w:ascii="Arial" w:hAnsi="Arial" w:cs="Arial"/>
          <w:b/>
          <w:sz w:val="24"/>
          <w:szCs w:val="24"/>
        </w:rPr>
        <w:t>, diminished responsibility</w:t>
      </w:r>
      <w:r w:rsidRPr="00DE63BB">
        <w:rPr>
          <w:rFonts w:ascii="Arial" w:hAnsi="Arial" w:cs="Arial"/>
          <w:b/>
          <w:sz w:val="24"/>
          <w:szCs w:val="24"/>
        </w:rPr>
        <w:t xml:space="preserve"> and estrangement from child </w:t>
      </w:r>
    </w:p>
    <w:p w14:paraId="0933D9BE" w14:textId="77777777" w:rsidR="00016E16" w:rsidRDefault="00016E16" w:rsidP="0081116F">
      <w:pPr>
        <w:spacing w:after="0" w:line="240" w:lineRule="auto"/>
        <w:rPr>
          <w:rFonts w:ascii="Arial" w:hAnsi="Arial" w:cs="Arial"/>
          <w:sz w:val="24"/>
          <w:szCs w:val="24"/>
        </w:rPr>
      </w:pPr>
    </w:p>
    <w:p w14:paraId="25350FBD" w14:textId="5A1A603D" w:rsidR="003D2340" w:rsidRDefault="00DA279F" w:rsidP="0081116F">
      <w:pPr>
        <w:spacing w:after="0" w:line="240" w:lineRule="auto"/>
        <w:rPr>
          <w:rFonts w:ascii="Arial" w:hAnsi="Arial" w:cs="Arial"/>
          <w:sz w:val="24"/>
          <w:szCs w:val="24"/>
        </w:rPr>
      </w:pPr>
      <w:r>
        <w:rPr>
          <w:rFonts w:ascii="Arial" w:hAnsi="Arial" w:cs="Arial"/>
          <w:sz w:val="24"/>
          <w:szCs w:val="24"/>
        </w:rPr>
        <w:t xml:space="preserve">Mary James </w:t>
      </w:r>
      <w:r w:rsidR="00337B25">
        <w:rPr>
          <w:rFonts w:ascii="Arial" w:hAnsi="Arial" w:cs="Arial"/>
          <w:sz w:val="24"/>
          <w:szCs w:val="24"/>
        </w:rPr>
        <w:t xml:space="preserve">was sentenced </w:t>
      </w:r>
      <w:r w:rsidR="00F240A7">
        <w:rPr>
          <w:rFonts w:ascii="Arial" w:hAnsi="Arial" w:cs="Arial"/>
          <w:sz w:val="24"/>
          <w:szCs w:val="24"/>
        </w:rPr>
        <w:t xml:space="preserve">in </w:t>
      </w:r>
      <w:r w:rsidR="00F240A7" w:rsidRPr="00F240A7">
        <w:rPr>
          <w:rFonts w:ascii="Arial" w:hAnsi="Arial" w:cs="Arial"/>
          <w:sz w:val="24"/>
          <w:szCs w:val="24"/>
        </w:rPr>
        <w:t>1878</w:t>
      </w:r>
      <w:r>
        <w:rPr>
          <w:rFonts w:ascii="Arial" w:hAnsi="Arial" w:cs="Arial"/>
          <w:sz w:val="24"/>
          <w:szCs w:val="24"/>
        </w:rPr>
        <w:t>. From the mid-nineteenth century,</w:t>
      </w:r>
      <w:r w:rsidRPr="00DA279F">
        <w:rPr>
          <w:rFonts w:ascii="Arial" w:hAnsi="Arial" w:cs="Arial"/>
          <w:sz w:val="24"/>
          <w:szCs w:val="24"/>
        </w:rPr>
        <w:t xml:space="preserve"> transportation to Australia </w:t>
      </w:r>
      <w:r w:rsidR="008E7AC5">
        <w:rPr>
          <w:rFonts w:ascii="Arial" w:hAnsi="Arial" w:cs="Arial"/>
          <w:sz w:val="24"/>
          <w:szCs w:val="24"/>
        </w:rPr>
        <w:t>gradually ceased</w:t>
      </w:r>
      <w:r w:rsidR="00C671E1">
        <w:rPr>
          <w:rFonts w:ascii="Arial" w:hAnsi="Arial" w:cs="Arial"/>
          <w:sz w:val="24"/>
          <w:szCs w:val="24"/>
        </w:rPr>
        <w:t xml:space="preserve"> </w:t>
      </w:r>
      <w:r w:rsidRPr="00DA279F">
        <w:rPr>
          <w:rFonts w:ascii="Arial" w:hAnsi="Arial" w:cs="Arial"/>
          <w:sz w:val="24"/>
          <w:szCs w:val="24"/>
        </w:rPr>
        <w:t xml:space="preserve">and </w:t>
      </w:r>
      <w:r w:rsidR="00C671E1">
        <w:rPr>
          <w:rFonts w:ascii="Arial" w:hAnsi="Arial" w:cs="Arial"/>
          <w:sz w:val="24"/>
          <w:szCs w:val="24"/>
        </w:rPr>
        <w:t>a recognisably</w:t>
      </w:r>
      <w:r w:rsidRPr="00DA279F">
        <w:rPr>
          <w:rFonts w:ascii="Arial" w:hAnsi="Arial" w:cs="Arial"/>
          <w:sz w:val="24"/>
          <w:szCs w:val="24"/>
        </w:rPr>
        <w:t xml:space="preserve"> modern British prison </w:t>
      </w:r>
      <w:r w:rsidR="00C671E1">
        <w:rPr>
          <w:rFonts w:ascii="Arial" w:hAnsi="Arial" w:cs="Arial"/>
          <w:sz w:val="24"/>
          <w:szCs w:val="24"/>
        </w:rPr>
        <w:t>emerged, which was centralised under government control after the Prison Act of 1877</w:t>
      </w:r>
      <w:r w:rsidR="00F240A7">
        <w:rPr>
          <w:rFonts w:ascii="Arial" w:hAnsi="Arial" w:cs="Arial"/>
          <w:sz w:val="24"/>
          <w:szCs w:val="24"/>
        </w:rPr>
        <w:t>.</w:t>
      </w:r>
      <w:r w:rsidR="00F240A7">
        <w:rPr>
          <w:rStyle w:val="EndnoteReference"/>
          <w:rFonts w:ascii="Arial" w:hAnsi="Arial" w:cs="Arial"/>
          <w:sz w:val="24"/>
          <w:szCs w:val="24"/>
        </w:rPr>
        <w:endnoteReference w:id="43"/>
      </w:r>
      <w:r w:rsidR="0023604C">
        <w:rPr>
          <w:rFonts w:ascii="Arial" w:hAnsi="Arial" w:cs="Arial"/>
          <w:sz w:val="24"/>
          <w:szCs w:val="24"/>
        </w:rPr>
        <w:t xml:space="preserve"> </w:t>
      </w:r>
      <w:r w:rsidR="0022042E">
        <w:rPr>
          <w:rFonts w:ascii="Arial" w:hAnsi="Arial" w:cs="Arial"/>
          <w:sz w:val="24"/>
          <w:szCs w:val="24"/>
        </w:rPr>
        <w:t xml:space="preserve"> </w:t>
      </w:r>
      <w:r w:rsidR="00D51CBA">
        <w:rPr>
          <w:rFonts w:ascii="Arial" w:hAnsi="Arial" w:cs="Arial"/>
          <w:sz w:val="24"/>
          <w:szCs w:val="24"/>
        </w:rPr>
        <w:t>F</w:t>
      </w:r>
      <w:r w:rsidR="00C671E1">
        <w:rPr>
          <w:rFonts w:ascii="Arial" w:hAnsi="Arial" w:cs="Arial"/>
          <w:sz w:val="24"/>
          <w:szCs w:val="24"/>
        </w:rPr>
        <w:t xml:space="preserve">rom then, </w:t>
      </w:r>
      <w:r w:rsidR="00E26F97" w:rsidRPr="009D007C">
        <w:rPr>
          <w:rFonts w:ascii="Arial" w:hAnsi="Arial" w:cs="Arial"/>
          <w:sz w:val="24"/>
          <w:szCs w:val="24"/>
        </w:rPr>
        <w:t>prison administration grew in its machinery</w:t>
      </w:r>
      <w:r w:rsidR="00C671E1">
        <w:rPr>
          <w:rFonts w:ascii="Arial" w:hAnsi="Arial" w:cs="Arial"/>
          <w:sz w:val="24"/>
          <w:szCs w:val="24"/>
        </w:rPr>
        <w:t xml:space="preserve"> (and consistent attempts at uniform policy and practice)</w:t>
      </w:r>
      <w:r w:rsidR="005558B3" w:rsidRPr="009D007C">
        <w:rPr>
          <w:rFonts w:ascii="Arial" w:hAnsi="Arial" w:cs="Arial"/>
          <w:sz w:val="24"/>
          <w:szCs w:val="24"/>
        </w:rPr>
        <w:t xml:space="preserve"> </w:t>
      </w:r>
      <w:r w:rsidR="00D51CBA">
        <w:rPr>
          <w:rFonts w:ascii="Arial" w:hAnsi="Arial" w:cs="Arial"/>
          <w:sz w:val="24"/>
          <w:szCs w:val="24"/>
        </w:rPr>
        <w:t>along with</w:t>
      </w:r>
      <w:r w:rsidR="005558B3" w:rsidRPr="009D007C">
        <w:rPr>
          <w:rFonts w:ascii="Arial" w:hAnsi="Arial" w:cs="Arial"/>
          <w:sz w:val="24"/>
          <w:szCs w:val="24"/>
        </w:rPr>
        <w:t xml:space="preserve"> </w:t>
      </w:r>
      <w:r w:rsidR="00016E16">
        <w:rPr>
          <w:rFonts w:ascii="Arial" w:hAnsi="Arial" w:cs="Arial"/>
          <w:sz w:val="24"/>
          <w:szCs w:val="24"/>
        </w:rPr>
        <w:t>a burgeoning penal bureaucracy.</w:t>
      </w:r>
      <w:r w:rsidR="002C4DD1">
        <w:rPr>
          <w:rStyle w:val="EndnoteReference"/>
          <w:rFonts w:ascii="Arial" w:hAnsi="Arial" w:cs="Arial"/>
          <w:sz w:val="24"/>
          <w:szCs w:val="24"/>
        </w:rPr>
        <w:endnoteReference w:id="44"/>
      </w:r>
      <w:r w:rsidR="00016E16">
        <w:rPr>
          <w:rFonts w:ascii="Arial" w:hAnsi="Arial" w:cs="Arial"/>
          <w:sz w:val="24"/>
          <w:szCs w:val="24"/>
        </w:rPr>
        <w:t xml:space="preserve"> </w:t>
      </w:r>
      <w:r w:rsidR="00D51CBA">
        <w:rPr>
          <w:rFonts w:ascii="Arial" w:hAnsi="Arial" w:cs="Arial"/>
          <w:sz w:val="24"/>
          <w:szCs w:val="24"/>
        </w:rPr>
        <w:t>Sadly, a</w:t>
      </w:r>
      <w:r w:rsidR="005A6A3F" w:rsidRPr="009D007C">
        <w:rPr>
          <w:rFonts w:ascii="Arial" w:hAnsi="Arial" w:cs="Arial"/>
          <w:sz w:val="24"/>
          <w:szCs w:val="24"/>
        </w:rPr>
        <w:t xml:space="preserve">lmost all petitions </w:t>
      </w:r>
      <w:r w:rsidR="00016E16">
        <w:rPr>
          <w:rFonts w:ascii="Arial" w:hAnsi="Arial" w:cs="Arial"/>
          <w:sz w:val="24"/>
          <w:szCs w:val="24"/>
        </w:rPr>
        <w:t xml:space="preserve">from 1853 onwards </w:t>
      </w:r>
      <w:r w:rsidR="005A6A3F" w:rsidRPr="009D007C">
        <w:rPr>
          <w:rFonts w:ascii="Arial" w:hAnsi="Arial" w:cs="Arial"/>
          <w:sz w:val="24"/>
          <w:szCs w:val="24"/>
        </w:rPr>
        <w:t>in the Home Office records</w:t>
      </w:r>
      <w:r w:rsidR="00016E16">
        <w:rPr>
          <w:rFonts w:ascii="Arial" w:hAnsi="Arial" w:cs="Arial"/>
          <w:sz w:val="24"/>
          <w:szCs w:val="24"/>
        </w:rPr>
        <w:t xml:space="preserve"> have been lost or destroyed. O</w:t>
      </w:r>
      <w:r w:rsidR="005A6A3F" w:rsidRPr="009D007C">
        <w:rPr>
          <w:rFonts w:ascii="Arial" w:hAnsi="Arial" w:cs="Arial"/>
          <w:sz w:val="24"/>
          <w:szCs w:val="24"/>
        </w:rPr>
        <w:t>nly a handful of test cases have survived at the National Archives. These however are no</w:t>
      </w:r>
      <w:r w:rsidR="00C671E1">
        <w:rPr>
          <w:rFonts w:ascii="Arial" w:hAnsi="Arial" w:cs="Arial"/>
          <w:sz w:val="24"/>
          <w:szCs w:val="24"/>
        </w:rPr>
        <w:t>t representative of the great</w:t>
      </w:r>
      <w:r w:rsidR="005A6A3F" w:rsidRPr="009D007C">
        <w:rPr>
          <w:rFonts w:ascii="Arial" w:hAnsi="Arial" w:cs="Arial"/>
          <w:sz w:val="24"/>
          <w:szCs w:val="24"/>
        </w:rPr>
        <w:t xml:space="preserve"> number of convicts that went through the penal system and petitioned the secretary of state for early release. </w:t>
      </w:r>
      <w:r w:rsidR="003D2340">
        <w:rPr>
          <w:rFonts w:ascii="Arial" w:hAnsi="Arial" w:cs="Arial"/>
          <w:sz w:val="24"/>
          <w:szCs w:val="24"/>
        </w:rPr>
        <w:t xml:space="preserve">In terms of social history, this is a </w:t>
      </w:r>
      <w:r w:rsidR="008B2E3C">
        <w:rPr>
          <w:rFonts w:ascii="Arial" w:hAnsi="Arial" w:cs="Arial"/>
          <w:sz w:val="24"/>
          <w:szCs w:val="24"/>
        </w:rPr>
        <w:t>catastrophic</w:t>
      </w:r>
      <w:r w:rsidR="003D2340">
        <w:rPr>
          <w:rFonts w:ascii="Arial" w:hAnsi="Arial" w:cs="Arial"/>
          <w:sz w:val="24"/>
          <w:szCs w:val="24"/>
        </w:rPr>
        <w:t xml:space="preserve"> loss. </w:t>
      </w:r>
      <w:r w:rsidR="005A6A3F" w:rsidRPr="009D007C">
        <w:rPr>
          <w:rFonts w:ascii="Arial" w:hAnsi="Arial" w:cs="Arial"/>
          <w:sz w:val="24"/>
          <w:szCs w:val="24"/>
        </w:rPr>
        <w:t>The missing petitions of ordinary people</w:t>
      </w:r>
      <w:r w:rsidR="00665DAF">
        <w:rPr>
          <w:rFonts w:ascii="Arial" w:hAnsi="Arial" w:cs="Arial"/>
          <w:sz w:val="24"/>
          <w:szCs w:val="24"/>
        </w:rPr>
        <w:t>, such as Mary James,</w:t>
      </w:r>
      <w:r w:rsidR="005A6A3F" w:rsidRPr="009D007C">
        <w:rPr>
          <w:rFonts w:ascii="Arial" w:hAnsi="Arial" w:cs="Arial"/>
          <w:sz w:val="24"/>
          <w:szCs w:val="24"/>
        </w:rPr>
        <w:t xml:space="preserve"> are essential to penal history and this gap must not be overlooked.</w:t>
      </w:r>
      <w:r w:rsidR="00BF2943" w:rsidRPr="009D007C">
        <w:rPr>
          <w:rFonts w:ascii="Arial" w:hAnsi="Arial" w:cs="Arial"/>
          <w:sz w:val="24"/>
          <w:szCs w:val="24"/>
        </w:rPr>
        <w:t xml:space="preserve"> </w:t>
      </w:r>
      <w:r w:rsidR="00671216" w:rsidRPr="009D007C">
        <w:rPr>
          <w:rFonts w:ascii="Arial" w:hAnsi="Arial" w:cs="Arial"/>
          <w:sz w:val="24"/>
          <w:szCs w:val="24"/>
        </w:rPr>
        <w:t xml:space="preserve">These were the petitions of </w:t>
      </w:r>
      <w:r w:rsidR="00BF2943" w:rsidRPr="009D007C">
        <w:rPr>
          <w:rFonts w:ascii="Arial" w:hAnsi="Arial" w:cs="Arial"/>
          <w:sz w:val="24"/>
          <w:szCs w:val="24"/>
        </w:rPr>
        <w:t xml:space="preserve">individual </w:t>
      </w:r>
      <w:r w:rsidR="00671216" w:rsidRPr="009D007C">
        <w:rPr>
          <w:rFonts w:ascii="Arial" w:hAnsi="Arial" w:cs="Arial"/>
          <w:sz w:val="24"/>
          <w:szCs w:val="24"/>
        </w:rPr>
        <w:t xml:space="preserve">people who were not </w:t>
      </w:r>
      <w:proofErr w:type="gramStart"/>
      <w:r w:rsidR="00BF2943" w:rsidRPr="009D007C">
        <w:rPr>
          <w:rFonts w:ascii="Arial" w:hAnsi="Arial" w:cs="Arial"/>
          <w:sz w:val="24"/>
          <w:szCs w:val="24"/>
        </w:rPr>
        <w:t>publically- or politically-motivated</w:t>
      </w:r>
      <w:proofErr w:type="gramEnd"/>
      <w:r w:rsidR="00671216" w:rsidRPr="009D007C">
        <w:rPr>
          <w:rFonts w:ascii="Arial" w:hAnsi="Arial" w:cs="Arial"/>
          <w:sz w:val="24"/>
          <w:szCs w:val="24"/>
        </w:rPr>
        <w:t xml:space="preserve"> but</w:t>
      </w:r>
      <w:r w:rsidR="005A6A3F" w:rsidRPr="009D007C">
        <w:rPr>
          <w:rFonts w:ascii="Arial" w:hAnsi="Arial" w:cs="Arial"/>
          <w:sz w:val="24"/>
          <w:szCs w:val="24"/>
        </w:rPr>
        <w:t xml:space="preserve"> were instead</w:t>
      </w:r>
      <w:r w:rsidR="00671216" w:rsidRPr="009D007C">
        <w:rPr>
          <w:rFonts w:ascii="Arial" w:hAnsi="Arial" w:cs="Arial"/>
          <w:sz w:val="24"/>
          <w:szCs w:val="24"/>
        </w:rPr>
        <w:t xml:space="preserve"> </w:t>
      </w:r>
      <w:r w:rsidR="005A6A3F" w:rsidRPr="009D007C">
        <w:rPr>
          <w:rFonts w:ascii="Arial" w:hAnsi="Arial" w:cs="Arial"/>
          <w:sz w:val="24"/>
          <w:szCs w:val="24"/>
        </w:rPr>
        <w:t>represent</w:t>
      </w:r>
      <w:r w:rsidR="00BF2943" w:rsidRPr="009D007C">
        <w:rPr>
          <w:rFonts w:ascii="Arial" w:hAnsi="Arial" w:cs="Arial"/>
          <w:sz w:val="24"/>
          <w:szCs w:val="24"/>
        </w:rPr>
        <w:t>ing</w:t>
      </w:r>
      <w:r w:rsidR="005A6A3F" w:rsidRPr="009D007C">
        <w:rPr>
          <w:rFonts w:ascii="Arial" w:hAnsi="Arial" w:cs="Arial"/>
          <w:sz w:val="24"/>
          <w:szCs w:val="24"/>
        </w:rPr>
        <w:t xml:space="preserve"> the</w:t>
      </w:r>
      <w:r w:rsidR="00BF2943" w:rsidRPr="009D007C">
        <w:rPr>
          <w:rFonts w:ascii="Arial" w:hAnsi="Arial" w:cs="Arial"/>
          <w:sz w:val="24"/>
          <w:szCs w:val="24"/>
        </w:rPr>
        <w:t>ir own</w:t>
      </w:r>
      <w:r w:rsidR="00671216" w:rsidRPr="009D007C">
        <w:rPr>
          <w:rFonts w:ascii="Arial" w:hAnsi="Arial" w:cs="Arial"/>
          <w:sz w:val="24"/>
          <w:szCs w:val="24"/>
        </w:rPr>
        <w:t xml:space="preserve"> desperate plea</w:t>
      </w:r>
      <w:r w:rsidR="008B2E3C">
        <w:rPr>
          <w:rFonts w:ascii="Arial" w:hAnsi="Arial" w:cs="Arial"/>
          <w:sz w:val="24"/>
          <w:szCs w:val="24"/>
        </w:rPr>
        <w:t>:</w:t>
      </w:r>
      <w:r w:rsidR="005A6A3F" w:rsidRPr="009D007C">
        <w:rPr>
          <w:rFonts w:ascii="Arial" w:hAnsi="Arial" w:cs="Arial"/>
          <w:sz w:val="24"/>
          <w:szCs w:val="24"/>
        </w:rPr>
        <w:t xml:space="preserve"> sometimes</w:t>
      </w:r>
      <w:r w:rsidR="008B2E3C">
        <w:rPr>
          <w:rFonts w:ascii="Arial" w:hAnsi="Arial" w:cs="Arial"/>
          <w:sz w:val="24"/>
          <w:szCs w:val="24"/>
        </w:rPr>
        <w:t xml:space="preserve"> misguided or trying their luck;</w:t>
      </w:r>
      <w:r w:rsidR="005A6A3F" w:rsidRPr="009D007C">
        <w:rPr>
          <w:rFonts w:ascii="Arial" w:hAnsi="Arial" w:cs="Arial"/>
          <w:sz w:val="24"/>
          <w:szCs w:val="24"/>
        </w:rPr>
        <w:t xml:space="preserve"> sometimes with a </w:t>
      </w:r>
      <w:r w:rsidR="00BF2943" w:rsidRPr="009D007C">
        <w:rPr>
          <w:rFonts w:ascii="Arial" w:hAnsi="Arial" w:cs="Arial"/>
          <w:sz w:val="24"/>
          <w:szCs w:val="24"/>
        </w:rPr>
        <w:t>genuine grievance or</w:t>
      </w:r>
      <w:r w:rsidR="008B2E3C">
        <w:rPr>
          <w:rFonts w:ascii="Arial" w:hAnsi="Arial" w:cs="Arial"/>
          <w:sz w:val="24"/>
          <w:szCs w:val="24"/>
        </w:rPr>
        <w:t xml:space="preserve">, more frequently, </w:t>
      </w:r>
      <w:r w:rsidR="005A6A3F" w:rsidRPr="009D007C">
        <w:rPr>
          <w:rFonts w:ascii="Arial" w:hAnsi="Arial" w:cs="Arial"/>
          <w:sz w:val="24"/>
          <w:szCs w:val="24"/>
        </w:rPr>
        <w:t>in poor health and unable to endure prison.</w:t>
      </w:r>
      <w:r w:rsidR="00BF2943" w:rsidRPr="009D007C">
        <w:rPr>
          <w:rFonts w:ascii="Arial" w:hAnsi="Arial" w:cs="Arial"/>
          <w:sz w:val="24"/>
          <w:szCs w:val="24"/>
        </w:rPr>
        <w:t xml:space="preserve"> These petitions</w:t>
      </w:r>
      <w:r w:rsidR="00671216" w:rsidRPr="009D007C">
        <w:rPr>
          <w:rFonts w:ascii="Arial" w:hAnsi="Arial" w:cs="Arial"/>
          <w:sz w:val="24"/>
          <w:szCs w:val="24"/>
        </w:rPr>
        <w:t xml:space="preserve"> </w:t>
      </w:r>
      <w:r w:rsidR="00BF2943" w:rsidRPr="009D007C">
        <w:rPr>
          <w:rFonts w:ascii="Arial" w:hAnsi="Arial" w:cs="Arial"/>
          <w:sz w:val="24"/>
          <w:szCs w:val="24"/>
        </w:rPr>
        <w:t xml:space="preserve">most likely </w:t>
      </w:r>
      <w:r w:rsidR="00671216" w:rsidRPr="009D007C">
        <w:rPr>
          <w:rFonts w:ascii="Arial" w:hAnsi="Arial" w:cs="Arial"/>
          <w:sz w:val="24"/>
          <w:szCs w:val="24"/>
        </w:rPr>
        <w:t xml:space="preserve">would have </w:t>
      </w:r>
      <w:r w:rsidR="00BF2943" w:rsidRPr="009D007C">
        <w:rPr>
          <w:rFonts w:ascii="Arial" w:hAnsi="Arial" w:cs="Arial"/>
          <w:sz w:val="24"/>
          <w:szCs w:val="24"/>
        </w:rPr>
        <w:t>been similarly constructed to</w:t>
      </w:r>
      <w:r w:rsidR="00671216" w:rsidRPr="009D007C">
        <w:rPr>
          <w:rFonts w:ascii="Arial" w:hAnsi="Arial" w:cs="Arial"/>
          <w:sz w:val="24"/>
          <w:szCs w:val="24"/>
        </w:rPr>
        <w:t xml:space="preserve"> </w:t>
      </w:r>
      <w:r w:rsidR="00BF2943" w:rsidRPr="009D007C">
        <w:rPr>
          <w:rFonts w:ascii="Arial" w:hAnsi="Arial" w:cs="Arial"/>
          <w:sz w:val="24"/>
          <w:szCs w:val="24"/>
        </w:rPr>
        <w:t>those</w:t>
      </w:r>
      <w:r w:rsidR="00671216" w:rsidRPr="009D007C">
        <w:rPr>
          <w:rFonts w:ascii="Arial" w:hAnsi="Arial" w:cs="Arial"/>
          <w:sz w:val="24"/>
          <w:szCs w:val="24"/>
        </w:rPr>
        <w:t xml:space="preserve"> of </w:t>
      </w:r>
      <w:r w:rsidR="003D2340">
        <w:rPr>
          <w:rFonts w:ascii="Arial" w:hAnsi="Arial" w:cs="Arial"/>
          <w:sz w:val="24"/>
          <w:szCs w:val="24"/>
        </w:rPr>
        <w:t>Harriet and her father</w:t>
      </w:r>
      <w:r w:rsidR="00671216" w:rsidRPr="009D007C">
        <w:rPr>
          <w:rFonts w:ascii="Arial" w:hAnsi="Arial" w:cs="Arial"/>
          <w:sz w:val="24"/>
          <w:szCs w:val="24"/>
        </w:rPr>
        <w:t xml:space="preserve">, </w:t>
      </w:r>
      <w:r w:rsidR="00671216" w:rsidRPr="008B2E3C">
        <w:rPr>
          <w:rFonts w:ascii="Arial" w:hAnsi="Arial" w:cs="Arial"/>
          <w:i/>
          <w:sz w:val="24"/>
          <w:szCs w:val="24"/>
        </w:rPr>
        <w:t>inter alia</w:t>
      </w:r>
      <w:r w:rsidR="00671216" w:rsidRPr="009D007C">
        <w:rPr>
          <w:rFonts w:ascii="Arial" w:hAnsi="Arial" w:cs="Arial"/>
          <w:sz w:val="24"/>
          <w:szCs w:val="24"/>
        </w:rPr>
        <w:t xml:space="preserve"> expressing </w:t>
      </w:r>
      <w:r w:rsidR="008B2E3C">
        <w:rPr>
          <w:rFonts w:ascii="Arial" w:hAnsi="Arial" w:cs="Arial"/>
          <w:sz w:val="24"/>
          <w:szCs w:val="24"/>
        </w:rPr>
        <w:t xml:space="preserve">a complex range of </w:t>
      </w:r>
      <w:r w:rsidR="00671216" w:rsidRPr="009D007C">
        <w:rPr>
          <w:rFonts w:ascii="Arial" w:hAnsi="Arial" w:cs="Arial"/>
          <w:sz w:val="24"/>
          <w:szCs w:val="24"/>
        </w:rPr>
        <w:t xml:space="preserve">intelligence, guile, guilt, frustration, ignorance </w:t>
      </w:r>
      <w:r w:rsidR="00BF2943" w:rsidRPr="009D007C">
        <w:rPr>
          <w:rFonts w:ascii="Arial" w:hAnsi="Arial" w:cs="Arial"/>
          <w:sz w:val="24"/>
          <w:szCs w:val="24"/>
        </w:rPr>
        <w:t>and</w:t>
      </w:r>
      <w:r w:rsidR="00671216" w:rsidRPr="009D007C">
        <w:rPr>
          <w:rFonts w:ascii="Arial" w:hAnsi="Arial" w:cs="Arial"/>
          <w:sz w:val="24"/>
          <w:szCs w:val="24"/>
        </w:rPr>
        <w:t xml:space="preserve"> innocence. </w:t>
      </w:r>
    </w:p>
    <w:p w14:paraId="7FA98499" w14:textId="77777777" w:rsidR="00793A9B" w:rsidRDefault="00793A9B" w:rsidP="0081116F">
      <w:pPr>
        <w:spacing w:after="0" w:line="240" w:lineRule="auto"/>
        <w:rPr>
          <w:rFonts w:ascii="Arial" w:hAnsi="Arial" w:cs="Arial"/>
          <w:sz w:val="24"/>
          <w:szCs w:val="24"/>
        </w:rPr>
      </w:pPr>
    </w:p>
    <w:p w14:paraId="2550D19A" w14:textId="77777777" w:rsidR="0081116F" w:rsidRPr="009D007C" w:rsidRDefault="00BF2943" w:rsidP="0081116F">
      <w:pPr>
        <w:spacing w:after="0" w:line="240" w:lineRule="auto"/>
        <w:rPr>
          <w:rFonts w:ascii="Arial" w:hAnsi="Arial" w:cs="Arial"/>
          <w:sz w:val="24"/>
          <w:szCs w:val="24"/>
        </w:rPr>
      </w:pPr>
      <w:r w:rsidRPr="009D007C">
        <w:rPr>
          <w:rFonts w:ascii="Arial" w:hAnsi="Arial" w:cs="Arial"/>
          <w:sz w:val="24"/>
          <w:szCs w:val="24"/>
        </w:rPr>
        <w:t xml:space="preserve">In the absence of extant petition archives after the mid-nineteenth century, </w:t>
      </w:r>
      <w:r w:rsidR="00665DAF">
        <w:rPr>
          <w:rFonts w:ascii="Arial" w:hAnsi="Arial" w:cs="Arial"/>
          <w:sz w:val="24"/>
          <w:szCs w:val="24"/>
        </w:rPr>
        <w:t xml:space="preserve">it is </w:t>
      </w:r>
      <w:r w:rsidR="00793A9B">
        <w:rPr>
          <w:rFonts w:ascii="Arial" w:hAnsi="Arial" w:cs="Arial"/>
          <w:sz w:val="24"/>
          <w:szCs w:val="24"/>
        </w:rPr>
        <w:t>possible</w:t>
      </w:r>
      <w:r w:rsidR="00665DAF">
        <w:rPr>
          <w:rFonts w:ascii="Arial" w:hAnsi="Arial" w:cs="Arial"/>
          <w:sz w:val="24"/>
          <w:szCs w:val="24"/>
        </w:rPr>
        <w:t xml:space="preserve"> to </w:t>
      </w:r>
      <w:r w:rsidR="00690967" w:rsidRPr="009D007C">
        <w:rPr>
          <w:rFonts w:ascii="Arial" w:hAnsi="Arial" w:cs="Arial"/>
          <w:sz w:val="24"/>
          <w:szCs w:val="24"/>
        </w:rPr>
        <w:t>use</w:t>
      </w:r>
      <w:r w:rsidR="00671216" w:rsidRPr="009D007C">
        <w:rPr>
          <w:rFonts w:ascii="Arial" w:hAnsi="Arial" w:cs="Arial"/>
          <w:sz w:val="24"/>
          <w:szCs w:val="24"/>
        </w:rPr>
        <w:t xml:space="preserve"> </w:t>
      </w:r>
      <w:r w:rsidR="003D2340">
        <w:rPr>
          <w:rFonts w:ascii="Arial" w:hAnsi="Arial" w:cs="Arial"/>
          <w:sz w:val="24"/>
          <w:szCs w:val="24"/>
        </w:rPr>
        <w:t>Home Office prisoner records to</w:t>
      </w:r>
      <w:r w:rsidR="00671216" w:rsidRPr="009D007C">
        <w:rPr>
          <w:rFonts w:ascii="Arial" w:hAnsi="Arial" w:cs="Arial"/>
          <w:sz w:val="24"/>
          <w:szCs w:val="24"/>
        </w:rPr>
        <w:t xml:space="preserve"> </w:t>
      </w:r>
      <w:r w:rsidR="00690967" w:rsidRPr="009D007C">
        <w:rPr>
          <w:rFonts w:ascii="Arial" w:hAnsi="Arial" w:cs="Arial"/>
          <w:sz w:val="24"/>
          <w:szCs w:val="24"/>
        </w:rPr>
        <w:t>reconstruct</w:t>
      </w:r>
      <w:r w:rsidR="00671216" w:rsidRPr="009D007C">
        <w:rPr>
          <w:rFonts w:ascii="Arial" w:hAnsi="Arial" w:cs="Arial"/>
          <w:sz w:val="24"/>
          <w:szCs w:val="24"/>
        </w:rPr>
        <w:t xml:space="preserve"> the circumstances that contextualised a prisoner’s (lost) petition to the secretary of state.</w:t>
      </w:r>
      <w:r w:rsidR="00690967" w:rsidRPr="009D007C">
        <w:rPr>
          <w:rFonts w:ascii="Arial" w:hAnsi="Arial" w:cs="Arial"/>
          <w:sz w:val="24"/>
          <w:szCs w:val="24"/>
        </w:rPr>
        <w:t xml:space="preserve"> Indeed, </w:t>
      </w:r>
      <w:r w:rsidR="00665DAF">
        <w:rPr>
          <w:rFonts w:ascii="Arial" w:hAnsi="Arial" w:cs="Arial"/>
          <w:sz w:val="24"/>
          <w:szCs w:val="24"/>
        </w:rPr>
        <w:t>many</w:t>
      </w:r>
      <w:r w:rsidR="00E26F97" w:rsidRPr="009D007C">
        <w:rPr>
          <w:rFonts w:ascii="Arial" w:hAnsi="Arial" w:cs="Arial"/>
          <w:sz w:val="24"/>
          <w:szCs w:val="24"/>
        </w:rPr>
        <w:t xml:space="preserve"> of the </w:t>
      </w:r>
      <w:r w:rsidR="0081116F" w:rsidRPr="009D007C">
        <w:rPr>
          <w:rFonts w:ascii="Arial" w:hAnsi="Arial" w:cs="Arial"/>
          <w:sz w:val="24"/>
          <w:szCs w:val="24"/>
        </w:rPr>
        <w:t xml:space="preserve">petitions that were an everyday aspect of life in the Victorian prison system </w:t>
      </w:r>
      <w:r w:rsidR="00E26F97" w:rsidRPr="009D007C">
        <w:rPr>
          <w:rFonts w:ascii="Arial" w:hAnsi="Arial" w:cs="Arial"/>
          <w:sz w:val="24"/>
          <w:szCs w:val="24"/>
        </w:rPr>
        <w:t>after 1853</w:t>
      </w:r>
      <w:r w:rsidR="0081116F" w:rsidRPr="009D007C">
        <w:rPr>
          <w:rFonts w:ascii="Arial" w:hAnsi="Arial" w:cs="Arial"/>
          <w:sz w:val="24"/>
          <w:szCs w:val="24"/>
        </w:rPr>
        <w:t xml:space="preserve"> would </w:t>
      </w:r>
      <w:r w:rsidR="00D51CBA">
        <w:rPr>
          <w:rFonts w:ascii="Arial" w:hAnsi="Arial" w:cs="Arial"/>
          <w:sz w:val="24"/>
          <w:szCs w:val="24"/>
        </w:rPr>
        <w:t>not</w:t>
      </w:r>
      <w:r w:rsidR="0081116F" w:rsidRPr="009D007C">
        <w:rPr>
          <w:rFonts w:ascii="Arial" w:hAnsi="Arial" w:cs="Arial"/>
          <w:sz w:val="24"/>
          <w:szCs w:val="24"/>
        </w:rPr>
        <w:t xml:space="preserve"> have progressed past the medical officer or governor of a prison. They would have been read in the prison</w:t>
      </w:r>
      <w:r w:rsidR="00B77611">
        <w:rPr>
          <w:rFonts w:ascii="Arial" w:hAnsi="Arial" w:cs="Arial"/>
          <w:sz w:val="24"/>
          <w:szCs w:val="24"/>
        </w:rPr>
        <w:t xml:space="preserve">, </w:t>
      </w:r>
      <w:r w:rsidR="00D51CBA">
        <w:rPr>
          <w:rFonts w:ascii="Arial" w:hAnsi="Arial" w:cs="Arial"/>
          <w:sz w:val="24"/>
          <w:szCs w:val="24"/>
        </w:rPr>
        <w:t xml:space="preserve">then either dismissed or </w:t>
      </w:r>
      <w:r w:rsidR="0081116F" w:rsidRPr="009D007C">
        <w:rPr>
          <w:rFonts w:ascii="Arial" w:hAnsi="Arial" w:cs="Arial"/>
          <w:sz w:val="24"/>
          <w:szCs w:val="24"/>
        </w:rPr>
        <w:t xml:space="preserve">forwarded to the permanent staff </w:t>
      </w:r>
      <w:r w:rsidR="00D51CBA">
        <w:rPr>
          <w:rFonts w:ascii="Arial" w:hAnsi="Arial" w:cs="Arial"/>
          <w:sz w:val="24"/>
          <w:szCs w:val="24"/>
        </w:rPr>
        <w:t>of</w:t>
      </w:r>
      <w:r w:rsidR="0081116F" w:rsidRPr="009D007C">
        <w:rPr>
          <w:rFonts w:ascii="Arial" w:hAnsi="Arial" w:cs="Arial"/>
          <w:sz w:val="24"/>
          <w:szCs w:val="24"/>
        </w:rPr>
        <w:t xml:space="preserve"> the secretary of state</w:t>
      </w:r>
      <w:r w:rsidR="00D51CBA">
        <w:rPr>
          <w:rFonts w:ascii="Arial" w:hAnsi="Arial" w:cs="Arial"/>
          <w:sz w:val="24"/>
          <w:szCs w:val="24"/>
        </w:rPr>
        <w:t xml:space="preserve"> for consideration</w:t>
      </w:r>
      <w:r w:rsidR="0081116F" w:rsidRPr="009D007C">
        <w:rPr>
          <w:rFonts w:ascii="Arial" w:hAnsi="Arial" w:cs="Arial"/>
          <w:sz w:val="24"/>
          <w:szCs w:val="24"/>
        </w:rPr>
        <w:t>.</w:t>
      </w:r>
      <w:r w:rsidR="00D7048D">
        <w:rPr>
          <w:rStyle w:val="EndnoteReference"/>
          <w:rFonts w:ascii="Arial" w:hAnsi="Arial" w:cs="Arial"/>
          <w:sz w:val="24"/>
          <w:szCs w:val="24"/>
        </w:rPr>
        <w:endnoteReference w:id="45"/>
      </w:r>
      <w:r w:rsidR="0081116F" w:rsidRPr="009D007C">
        <w:rPr>
          <w:rFonts w:ascii="Arial" w:hAnsi="Arial" w:cs="Arial"/>
          <w:sz w:val="24"/>
          <w:szCs w:val="24"/>
        </w:rPr>
        <w:t xml:space="preserve"> Here they would have been further assessed and </w:t>
      </w:r>
      <w:r w:rsidR="00B77611" w:rsidRPr="009D007C">
        <w:rPr>
          <w:rFonts w:ascii="Arial" w:hAnsi="Arial" w:cs="Arial"/>
          <w:sz w:val="24"/>
          <w:szCs w:val="24"/>
        </w:rPr>
        <w:t>a</w:t>
      </w:r>
      <w:r w:rsidR="0081116F" w:rsidRPr="009D007C">
        <w:rPr>
          <w:rFonts w:ascii="Arial" w:hAnsi="Arial" w:cs="Arial"/>
          <w:sz w:val="24"/>
          <w:szCs w:val="24"/>
        </w:rPr>
        <w:t xml:space="preserve"> </w:t>
      </w:r>
      <w:r w:rsidR="00D51CBA">
        <w:rPr>
          <w:rFonts w:ascii="Arial" w:hAnsi="Arial" w:cs="Arial"/>
          <w:sz w:val="24"/>
          <w:szCs w:val="24"/>
        </w:rPr>
        <w:t>reply</w:t>
      </w:r>
      <w:r w:rsidR="0081116F" w:rsidRPr="009D007C">
        <w:rPr>
          <w:rFonts w:ascii="Arial" w:hAnsi="Arial" w:cs="Arial"/>
          <w:sz w:val="24"/>
          <w:szCs w:val="24"/>
        </w:rPr>
        <w:t xml:space="preserve"> provided to the convict (along with any actions). Mary James</w:t>
      </w:r>
      <w:r w:rsidR="00B77611">
        <w:rPr>
          <w:rFonts w:ascii="Arial" w:hAnsi="Arial" w:cs="Arial"/>
          <w:sz w:val="24"/>
          <w:szCs w:val="24"/>
        </w:rPr>
        <w:t>’ experience</w:t>
      </w:r>
      <w:r w:rsidR="0081116F" w:rsidRPr="009D007C">
        <w:rPr>
          <w:rFonts w:ascii="Arial" w:hAnsi="Arial" w:cs="Arial"/>
          <w:sz w:val="24"/>
          <w:szCs w:val="24"/>
        </w:rPr>
        <w:t xml:space="preserve"> </w:t>
      </w:r>
      <w:r w:rsidR="00B77611">
        <w:rPr>
          <w:rFonts w:ascii="Arial" w:hAnsi="Arial" w:cs="Arial"/>
          <w:sz w:val="24"/>
          <w:szCs w:val="24"/>
        </w:rPr>
        <w:t xml:space="preserve">is therefore useful both for what her case tells us about unsuccessful petitioning </w:t>
      </w:r>
      <w:r w:rsidR="00206B56">
        <w:rPr>
          <w:rFonts w:ascii="Arial" w:hAnsi="Arial" w:cs="Arial"/>
          <w:sz w:val="24"/>
          <w:szCs w:val="24"/>
        </w:rPr>
        <w:t>and for showing</w:t>
      </w:r>
      <w:r w:rsidR="00B77611">
        <w:rPr>
          <w:rFonts w:ascii="Arial" w:hAnsi="Arial" w:cs="Arial"/>
          <w:sz w:val="24"/>
          <w:szCs w:val="24"/>
        </w:rPr>
        <w:t xml:space="preserve"> that t</w:t>
      </w:r>
      <w:r w:rsidR="0081116F" w:rsidRPr="009D007C">
        <w:rPr>
          <w:rFonts w:ascii="Arial" w:hAnsi="Arial" w:cs="Arial"/>
          <w:sz w:val="24"/>
          <w:szCs w:val="24"/>
        </w:rPr>
        <w:t>he particular circumstances, processes and outcomes of ‘missing’ petitions</w:t>
      </w:r>
      <w:r w:rsidR="00206B56">
        <w:rPr>
          <w:rFonts w:ascii="Arial" w:hAnsi="Arial" w:cs="Arial"/>
          <w:sz w:val="24"/>
          <w:szCs w:val="24"/>
        </w:rPr>
        <w:t xml:space="preserve"> </w:t>
      </w:r>
      <w:r w:rsidR="0034342F" w:rsidRPr="0034342F">
        <w:rPr>
          <w:rFonts w:ascii="Arial" w:hAnsi="Arial" w:cs="Arial"/>
          <w:sz w:val="24"/>
          <w:szCs w:val="24"/>
        </w:rPr>
        <w:t xml:space="preserve">nonetheless </w:t>
      </w:r>
      <w:r w:rsidR="0034342F">
        <w:rPr>
          <w:rFonts w:ascii="Arial" w:hAnsi="Arial" w:cs="Arial"/>
          <w:sz w:val="24"/>
          <w:szCs w:val="24"/>
        </w:rPr>
        <w:t xml:space="preserve">are </w:t>
      </w:r>
      <w:r w:rsidR="00B77611">
        <w:rPr>
          <w:rFonts w:ascii="Arial" w:hAnsi="Arial" w:cs="Arial"/>
          <w:sz w:val="24"/>
          <w:szCs w:val="24"/>
        </w:rPr>
        <w:t>revealing</w:t>
      </w:r>
      <w:r w:rsidR="00206B56">
        <w:rPr>
          <w:rFonts w:ascii="Arial" w:hAnsi="Arial" w:cs="Arial"/>
          <w:sz w:val="24"/>
          <w:szCs w:val="24"/>
        </w:rPr>
        <w:t xml:space="preserve"> without the full text of a petition</w:t>
      </w:r>
      <w:r w:rsidR="0081116F" w:rsidRPr="009D007C">
        <w:rPr>
          <w:rFonts w:ascii="Arial" w:hAnsi="Arial" w:cs="Arial"/>
          <w:sz w:val="24"/>
          <w:szCs w:val="24"/>
        </w:rPr>
        <w:t>.</w:t>
      </w:r>
      <w:r w:rsidR="00793A9B" w:rsidRPr="00793A9B">
        <w:rPr>
          <w:rFonts w:ascii="Arial" w:hAnsi="Arial" w:cs="Arial"/>
          <w:sz w:val="24"/>
          <w:szCs w:val="24"/>
        </w:rPr>
        <w:t xml:space="preserve"> </w:t>
      </w:r>
      <w:r w:rsidR="00793A9B">
        <w:rPr>
          <w:rFonts w:ascii="Arial" w:hAnsi="Arial" w:cs="Arial"/>
          <w:sz w:val="24"/>
          <w:szCs w:val="24"/>
        </w:rPr>
        <w:t>James’ attempted filicide seems in stark contrast to Harriet’s crime and behaviour, but her behaviour and what survives of James’ petitions and correspondence are no less compelling.</w:t>
      </w:r>
    </w:p>
    <w:p w14:paraId="2885C9B4" w14:textId="77777777" w:rsidR="00446731" w:rsidRPr="009D007C" w:rsidRDefault="00446731" w:rsidP="00CF4658">
      <w:pPr>
        <w:spacing w:after="0" w:line="240" w:lineRule="auto"/>
        <w:rPr>
          <w:rFonts w:ascii="Arial" w:hAnsi="Arial" w:cs="Arial"/>
          <w:sz w:val="24"/>
          <w:szCs w:val="24"/>
        </w:rPr>
      </w:pPr>
    </w:p>
    <w:p w14:paraId="2F97C02E" w14:textId="77777777" w:rsidR="00B62C94" w:rsidRPr="009D007C" w:rsidRDefault="00305E19" w:rsidP="00CF4658">
      <w:pPr>
        <w:spacing w:after="0" w:line="240" w:lineRule="auto"/>
        <w:rPr>
          <w:rFonts w:ascii="Arial" w:hAnsi="Arial" w:cs="Arial"/>
          <w:sz w:val="24"/>
          <w:szCs w:val="24"/>
        </w:rPr>
      </w:pPr>
      <w:r w:rsidRPr="009D007C">
        <w:rPr>
          <w:rFonts w:ascii="Arial" w:hAnsi="Arial" w:cs="Arial"/>
          <w:sz w:val="24"/>
          <w:szCs w:val="24"/>
        </w:rPr>
        <w:t>On the 17 May 1878,</w:t>
      </w:r>
      <w:r w:rsidR="00A8756B" w:rsidRPr="009D007C">
        <w:rPr>
          <w:rFonts w:ascii="Arial" w:hAnsi="Arial" w:cs="Arial"/>
          <w:sz w:val="24"/>
          <w:szCs w:val="24"/>
        </w:rPr>
        <w:t xml:space="preserve"> </w:t>
      </w:r>
      <w:r w:rsidR="00793A9B">
        <w:rPr>
          <w:rFonts w:ascii="Arial" w:hAnsi="Arial" w:cs="Arial"/>
          <w:sz w:val="24"/>
          <w:szCs w:val="24"/>
        </w:rPr>
        <w:t>James attempted to kill her</w:t>
      </w:r>
      <w:r w:rsidR="006F09E1">
        <w:rPr>
          <w:rFonts w:ascii="Arial" w:hAnsi="Arial" w:cs="Arial"/>
          <w:sz w:val="24"/>
          <w:szCs w:val="24"/>
        </w:rPr>
        <w:t xml:space="preserve"> young</w:t>
      </w:r>
      <w:r w:rsidR="00793A9B">
        <w:rPr>
          <w:rFonts w:ascii="Arial" w:hAnsi="Arial" w:cs="Arial"/>
          <w:sz w:val="24"/>
          <w:szCs w:val="24"/>
        </w:rPr>
        <w:t xml:space="preserve"> </w:t>
      </w:r>
      <w:r w:rsidR="006F09E1">
        <w:rPr>
          <w:rFonts w:ascii="Arial" w:hAnsi="Arial" w:cs="Arial"/>
          <w:sz w:val="24"/>
          <w:szCs w:val="24"/>
        </w:rPr>
        <w:t>child</w:t>
      </w:r>
      <w:r w:rsidR="00793A9B">
        <w:rPr>
          <w:rFonts w:ascii="Arial" w:hAnsi="Arial" w:cs="Arial"/>
          <w:sz w:val="24"/>
          <w:szCs w:val="24"/>
        </w:rPr>
        <w:t xml:space="preserve"> by drowning. Two men (</w:t>
      </w:r>
      <w:r w:rsidR="00A8756B" w:rsidRPr="009D007C">
        <w:rPr>
          <w:rFonts w:ascii="Arial" w:hAnsi="Arial" w:cs="Arial"/>
          <w:sz w:val="24"/>
          <w:szCs w:val="24"/>
        </w:rPr>
        <w:t>Michael Finn and William Shepherd</w:t>
      </w:r>
      <w:r w:rsidR="00793A9B">
        <w:rPr>
          <w:rFonts w:ascii="Arial" w:hAnsi="Arial" w:cs="Arial"/>
          <w:sz w:val="24"/>
          <w:szCs w:val="24"/>
        </w:rPr>
        <w:t>)</w:t>
      </w:r>
      <w:r w:rsidR="00A8756B" w:rsidRPr="009D007C">
        <w:rPr>
          <w:rFonts w:ascii="Arial" w:hAnsi="Arial" w:cs="Arial"/>
          <w:sz w:val="24"/>
          <w:szCs w:val="24"/>
        </w:rPr>
        <w:t xml:space="preserve"> </w:t>
      </w:r>
      <w:r w:rsidR="00260B40" w:rsidRPr="009D007C">
        <w:rPr>
          <w:rFonts w:ascii="Arial" w:hAnsi="Arial" w:cs="Arial"/>
          <w:sz w:val="24"/>
          <w:szCs w:val="24"/>
        </w:rPr>
        <w:t>were</w:t>
      </w:r>
      <w:r w:rsidR="00B62C94" w:rsidRPr="009D007C">
        <w:rPr>
          <w:rFonts w:ascii="Arial" w:hAnsi="Arial" w:cs="Arial"/>
          <w:sz w:val="24"/>
          <w:szCs w:val="24"/>
        </w:rPr>
        <w:t xml:space="preserve"> near </w:t>
      </w:r>
      <w:r w:rsidRPr="009D007C">
        <w:rPr>
          <w:rFonts w:ascii="Arial" w:hAnsi="Arial" w:cs="Arial"/>
          <w:sz w:val="24"/>
          <w:szCs w:val="24"/>
        </w:rPr>
        <w:t>Mill Pond Bridge in Rotherhithe</w:t>
      </w:r>
      <w:r w:rsidR="00793A9B">
        <w:rPr>
          <w:rFonts w:ascii="Arial" w:hAnsi="Arial" w:cs="Arial"/>
          <w:sz w:val="24"/>
          <w:szCs w:val="24"/>
        </w:rPr>
        <w:t xml:space="preserve"> and witnessed her actions</w:t>
      </w:r>
      <w:r w:rsidR="00A8756B" w:rsidRPr="009D007C">
        <w:rPr>
          <w:rFonts w:ascii="Arial" w:hAnsi="Arial" w:cs="Arial"/>
          <w:sz w:val="24"/>
          <w:szCs w:val="24"/>
        </w:rPr>
        <w:t xml:space="preserve">. </w:t>
      </w:r>
      <w:r w:rsidRPr="009D007C">
        <w:rPr>
          <w:rFonts w:ascii="Arial" w:hAnsi="Arial" w:cs="Arial"/>
          <w:sz w:val="24"/>
          <w:szCs w:val="24"/>
        </w:rPr>
        <w:t xml:space="preserve">Another man, </w:t>
      </w:r>
      <w:r w:rsidR="00A8756B" w:rsidRPr="009D007C">
        <w:rPr>
          <w:rFonts w:ascii="Arial" w:hAnsi="Arial" w:cs="Arial"/>
          <w:sz w:val="24"/>
          <w:szCs w:val="24"/>
        </w:rPr>
        <w:t>Thomas Smith</w:t>
      </w:r>
      <w:r w:rsidRPr="009D007C">
        <w:rPr>
          <w:rFonts w:ascii="Arial" w:hAnsi="Arial" w:cs="Arial"/>
          <w:sz w:val="24"/>
          <w:szCs w:val="24"/>
        </w:rPr>
        <w:t>,</w:t>
      </w:r>
      <w:r w:rsidR="00A8756B" w:rsidRPr="009D007C">
        <w:rPr>
          <w:rFonts w:ascii="Arial" w:hAnsi="Arial" w:cs="Arial"/>
          <w:sz w:val="24"/>
          <w:szCs w:val="24"/>
        </w:rPr>
        <w:t xml:space="preserve"> was also in the vicinity</w:t>
      </w:r>
      <w:r w:rsidR="00B62C94" w:rsidRPr="009D007C">
        <w:rPr>
          <w:rFonts w:ascii="Arial" w:hAnsi="Arial" w:cs="Arial"/>
          <w:sz w:val="24"/>
          <w:szCs w:val="24"/>
        </w:rPr>
        <w:t xml:space="preserve">. </w:t>
      </w:r>
      <w:r w:rsidR="00A8756B" w:rsidRPr="009D007C">
        <w:rPr>
          <w:rFonts w:ascii="Arial" w:hAnsi="Arial" w:cs="Arial"/>
          <w:sz w:val="24"/>
          <w:szCs w:val="24"/>
        </w:rPr>
        <w:t xml:space="preserve">They heard a commotion and all three </w:t>
      </w:r>
      <w:r w:rsidRPr="009D007C">
        <w:rPr>
          <w:rFonts w:ascii="Arial" w:hAnsi="Arial" w:cs="Arial"/>
          <w:sz w:val="24"/>
          <w:szCs w:val="24"/>
        </w:rPr>
        <w:t xml:space="preserve">men </w:t>
      </w:r>
      <w:r w:rsidR="00A8756B" w:rsidRPr="009D007C">
        <w:rPr>
          <w:rFonts w:ascii="Arial" w:hAnsi="Arial" w:cs="Arial"/>
          <w:sz w:val="24"/>
          <w:szCs w:val="24"/>
        </w:rPr>
        <w:t xml:space="preserve">saw </w:t>
      </w:r>
      <w:r w:rsidR="00260B40" w:rsidRPr="009D007C">
        <w:rPr>
          <w:rFonts w:ascii="Arial" w:hAnsi="Arial" w:cs="Arial"/>
          <w:sz w:val="24"/>
          <w:szCs w:val="24"/>
        </w:rPr>
        <w:t>James throw her three-</w:t>
      </w:r>
      <w:r w:rsidR="00A8756B" w:rsidRPr="009D007C">
        <w:rPr>
          <w:rFonts w:ascii="Arial" w:hAnsi="Arial" w:cs="Arial"/>
          <w:sz w:val="24"/>
          <w:szCs w:val="24"/>
        </w:rPr>
        <w:t>year old son</w:t>
      </w:r>
      <w:r w:rsidR="00260B40" w:rsidRPr="009D007C">
        <w:rPr>
          <w:rFonts w:ascii="Arial" w:hAnsi="Arial" w:cs="Arial"/>
          <w:sz w:val="24"/>
          <w:szCs w:val="24"/>
        </w:rPr>
        <w:t xml:space="preserve">, </w:t>
      </w:r>
      <w:r w:rsidR="00A8756B" w:rsidRPr="009D007C">
        <w:rPr>
          <w:rFonts w:ascii="Arial" w:hAnsi="Arial" w:cs="Arial"/>
          <w:sz w:val="24"/>
          <w:szCs w:val="24"/>
        </w:rPr>
        <w:t>Walter</w:t>
      </w:r>
      <w:r w:rsidR="00260B40" w:rsidRPr="009D007C">
        <w:rPr>
          <w:rFonts w:ascii="Arial" w:hAnsi="Arial" w:cs="Arial"/>
          <w:sz w:val="24"/>
          <w:szCs w:val="24"/>
        </w:rPr>
        <w:t xml:space="preserve">, over the bridge in attempt to down him. </w:t>
      </w:r>
      <w:r w:rsidR="00B62C94" w:rsidRPr="009D007C">
        <w:rPr>
          <w:rFonts w:ascii="Arial" w:hAnsi="Arial" w:cs="Arial"/>
          <w:sz w:val="24"/>
          <w:szCs w:val="24"/>
        </w:rPr>
        <w:t xml:space="preserve">According to </w:t>
      </w:r>
      <w:r w:rsidR="00935A0C" w:rsidRPr="009D007C">
        <w:rPr>
          <w:rFonts w:ascii="Arial" w:hAnsi="Arial" w:cs="Arial"/>
          <w:sz w:val="24"/>
          <w:szCs w:val="24"/>
        </w:rPr>
        <w:t>Finn, ‘</w:t>
      </w:r>
      <w:r w:rsidR="00B62C94" w:rsidRPr="009D007C">
        <w:rPr>
          <w:rFonts w:ascii="Arial" w:hAnsi="Arial" w:cs="Arial"/>
          <w:sz w:val="24"/>
          <w:szCs w:val="24"/>
        </w:rPr>
        <w:t>sh</w:t>
      </w:r>
      <w:r w:rsidR="00260B40" w:rsidRPr="009D007C">
        <w:rPr>
          <w:rFonts w:ascii="Arial" w:hAnsi="Arial" w:cs="Arial"/>
          <w:sz w:val="24"/>
          <w:szCs w:val="24"/>
        </w:rPr>
        <w:t>e took [William]</w:t>
      </w:r>
      <w:r w:rsidR="00B62C94" w:rsidRPr="009D007C">
        <w:rPr>
          <w:rFonts w:ascii="Arial" w:hAnsi="Arial" w:cs="Arial"/>
          <w:sz w:val="24"/>
          <w:szCs w:val="24"/>
        </w:rPr>
        <w:t xml:space="preserve"> b</w:t>
      </w:r>
      <w:r w:rsidR="00260B40" w:rsidRPr="009D007C">
        <w:rPr>
          <w:rFonts w:ascii="Arial" w:hAnsi="Arial" w:cs="Arial"/>
          <w:sz w:val="24"/>
          <w:szCs w:val="24"/>
        </w:rPr>
        <w:t>y the arms and legs and threw [him]</w:t>
      </w:r>
      <w:r w:rsidR="00B62C94" w:rsidRPr="009D007C">
        <w:rPr>
          <w:rFonts w:ascii="Arial" w:hAnsi="Arial" w:cs="Arial"/>
          <w:sz w:val="24"/>
          <w:szCs w:val="24"/>
        </w:rPr>
        <w:t xml:space="preserve"> over into the water—the wall is about 4 1/2; feet high—before I could say "Look!" to my mate she fell on the ground and said "Oh, my child is drowned!"—she did not drop it accidentally, she flung it in</w:t>
      </w:r>
      <w:r w:rsidR="00935A0C" w:rsidRPr="009D007C">
        <w:rPr>
          <w:rFonts w:ascii="Arial" w:hAnsi="Arial" w:cs="Arial"/>
          <w:sz w:val="24"/>
          <w:szCs w:val="24"/>
        </w:rPr>
        <w:t>.’</w:t>
      </w:r>
      <w:r w:rsidR="00206B56">
        <w:rPr>
          <w:rStyle w:val="EndnoteReference"/>
          <w:rFonts w:ascii="Arial" w:hAnsi="Arial" w:cs="Arial"/>
          <w:sz w:val="24"/>
          <w:szCs w:val="24"/>
        </w:rPr>
        <w:endnoteReference w:id="46"/>
      </w:r>
      <w:r w:rsidR="00935A0C" w:rsidRPr="009D007C">
        <w:rPr>
          <w:rFonts w:ascii="Arial" w:hAnsi="Arial" w:cs="Arial"/>
          <w:sz w:val="24"/>
          <w:szCs w:val="24"/>
        </w:rPr>
        <w:t xml:space="preserve"> </w:t>
      </w:r>
      <w:proofErr w:type="gramStart"/>
      <w:r w:rsidR="00935A0C" w:rsidRPr="009D007C">
        <w:rPr>
          <w:rFonts w:ascii="Arial" w:hAnsi="Arial" w:cs="Arial"/>
          <w:sz w:val="24"/>
          <w:szCs w:val="24"/>
        </w:rPr>
        <w:t>This</w:t>
      </w:r>
      <w:proofErr w:type="gramEnd"/>
      <w:r w:rsidR="00935A0C" w:rsidRPr="009D007C">
        <w:rPr>
          <w:rFonts w:ascii="Arial" w:hAnsi="Arial" w:cs="Arial"/>
          <w:sz w:val="24"/>
          <w:szCs w:val="24"/>
        </w:rPr>
        <w:t xml:space="preserve"> was corroborated by all who had seen the incident. </w:t>
      </w:r>
      <w:r w:rsidRPr="009D007C">
        <w:rPr>
          <w:rFonts w:ascii="Arial" w:hAnsi="Arial" w:cs="Arial"/>
          <w:sz w:val="24"/>
          <w:szCs w:val="24"/>
        </w:rPr>
        <w:t>Shepherd</w:t>
      </w:r>
      <w:r w:rsidR="00935A0C" w:rsidRPr="009D007C">
        <w:rPr>
          <w:rFonts w:ascii="Arial" w:hAnsi="Arial" w:cs="Arial"/>
          <w:sz w:val="24"/>
          <w:szCs w:val="24"/>
        </w:rPr>
        <w:t xml:space="preserve"> jumped in the water and saved the child, handing it</w:t>
      </w:r>
      <w:r w:rsidRPr="009D007C">
        <w:rPr>
          <w:rFonts w:ascii="Arial" w:hAnsi="Arial" w:cs="Arial"/>
          <w:sz w:val="24"/>
          <w:szCs w:val="24"/>
        </w:rPr>
        <w:t xml:space="preserve"> over to Thomas Smith, whose statement</w:t>
      </w:r>
      <w:r w:rsidR="006F09E1">
        <w:rPr>
          <w:rFonts w:ascii="Arial" w:hAnsi="Arial" w:cs="Arial"/>
          <w:sz w:val="24"/>
          <w:szCs w:val="24"/>
        </w:rPr>
        <w:t xml:space="preserve"> to the Old Bailey</w:t>
      </w:r>
      <w:r w:rsidRPr="009D007C">
        <w:rPr>
          <w:rFonts w:ascii="Arial" w:hAnsi="Arial" w:cs="Arial"/>
          <w:sz w:val="24"/>
          <w:szCs w:val="24"/>
        </w:rPr>
        <w:t xml:space="preserve"> reads</w:t>
      </w:r>
      <w:r w:rsidR="00935A0C" w:rsidRPr="009D007C">
        <w:rPr>
          <w:rFonts w:ascii="Arial" w:hAnsi="Arial" w:cs="Arial"/>
          <w:sz w:val="24"/>
          <w:szCs w:val="24"/>
        </w:rPr>
        <w:t>:</w:t>
      </w:r>
    </w:p>
    <w:p w14:paraId="6BB46A9E" w14:textId="77777777" w:rsidR="00B62C94" w:rsidRPr="009D007C" w:rsidRDefault="00B62C94" w:rsidP="00CF4658">
      <w:pPr>
        <w:spacing w:after="0" w:line="240" w:lineRule="auto"/>
        <w:rPr>
          <w:rFonts w:ascii="Arial" w:hAnsi="Arial" w:cs="Arial"/>
          <w:sz w:val="24"/>
          <w:szCs w:val="24"/>
        </w:rPr>
      </w:pPr>
    </w:p>
    <w:p w14:paraId="036B1B4D" w14:textId="77777777" w:rsidR="00CF4658" w:rsidRPr="009D007C" w:rsidRDefault="00CF4658" w:rsidP="00935A0C">
      <w:pPr>
        <w:spacing w:after="0" w:line="240" w:lineRule="auto"/>
        <w:ind w:left="284" w:right="284"/>
        <w:rPr>
          <w:rFonts w:ascii="Arial" w:hAnsi="Arial" w:cs="Arial"/>
          <w:sz w:val="24"/>
          <w:szCs w:val="24"/>
        </w:rPr>
      </w:pPr>
      <w:r w:rsidRPr="009D007C">
        <w:rPr>
          <w:rFonts w:ascii="Arial" w:hAnsi="Arial" w:cs="Arial"/>
          <w:sz w:val="24"/>
          <w:szCs w:val="24"/>
        </w:rPr>
        <w:lastRenderedPageBreak/>
        <w:t>I heard screams, ran to the spot, and saw a child in the water—Shepherd jumped in, rescued it, and gave it to me—I took it to a doctor, but he was out, and I ran to the station with it as quick as I could go and gave it to Inspector "White—I then went to the prisoner's house and found her there with a lot more women, one of whom said to her "Here is the man who took the child to the station"—the prisoner asked me whether the child was drowned or not—I said "No, the child is alive"—some of the women told me to say that the child was dead, and that would satisfy her—I then told her that the child was dead, and she seemed rather pleased and said "N</w:t>
      </w:r>
      <w:r w:rsidR="00A8756B" w:rsidRPr="009D007C">
        <w:rPr>
          <w:rFonts w:ascii="Arial" w:hAnsi="Arial" w:cs="Arial"/>
          <w:sz w:val="24"/>
          <w:szCs w:val="24"/>
        </w:rPr>
        <w:t>ow the child is dead I will do a</w:t>
      </w:r>
      <w:r w:rsidRPr="009D007C">
        <w:rPr>
          <w:rFonts w:ascii="Arial" w:hAnsi="Arial" w:cs="Arial"/>
          <w:sz w:val="24"/>
          <w:szCs w:val="24"/>
        </w:rPr>
        <w:t>way with myself"—she also said "I chucked in my baby and I am satisfied"—the child is about 3 years old—I returned to the station and told the inspector what she had said.</w:t>
      </w:r>
      <w:r w:rsidR="00935A0C" w:rsidRPr="009D007C">
        <w:rPr>
          <w:rStyle w:val="EndnoteReference"/>
          <w:rFonts w:ascii="Arial" w:hAnsi="Arial" w:cs="Arial"/>
          <w:sz w:val="24"/>
          <w:szCs w:val="24"/>
        </w:rPr>
        <w:endnoteReference w:id="47"/>
      </w:r>
    </w:p>
    <w:p w14:paraId="3F02FBAA" w14:textId="77777777" w:rsidR="00CF4658" w:rsidRPr="009D007C" w:rsidRDefault="00CF4658" w:rsidP="00CF4658">
      <w:pPr>
        <w:spacing w:after="0" w:line="240" w:lineRule="auto"/>
        <w:rPr>
          <w:rFonts w:ascii="Arial" w:hAnsi="Arial" w:cs="Arial"/>
          <w:sz w:val="24"/>
          <w:szCs w:val="24"/>
        </w:rPr>
      </w:pPr>
    </w:p>
    <w:p w14:paraId="707D866A" w14:textId="77777777" w:rsidR="009660B7" w:rsidRPr="009D007C" w:rsidRDefault="002F2C57" w:rsidP="00260B40">
      <w:pPr>
        <w:spacing w:after="0" w:line="240" w:lineRule="auto"/>
        <w:rPr>
          <w:rFonts w:ascii="Arial" w:hAnsi="Arial" w:cs="Arial"/>
          <w:sz w:val="24"/>
          <w:szCs w:val="24"/>
        </w:rPr>
      </w:pPr>
      <w:r>
        <w:rPr>
          <w:rFonts w:ascii="Arial" w:hAnsi="Arial" w:cs="Arial"/>
          <w:sz w:val="24"/>
          <w:szCs w:val="24"/>
        </w:rPr>
        <w:t xml:space="preserve">According to </w:t>
      </w:r>
      <w:r w:rsidR="00F772AE" w:rsidRPr="009D007C">
        <w:rPr>
          <w:rFonts w:ascii="Arial" w:hAnsi="Arial" w:cs="Arial"/>
          <w:sz w:val="24"/>
          <w:szCs w:val="24"/>
        </w:rPr>
        <w:t xml:space="preserve">the attending doctor, Walter’s life was saved by the actions of </w:t>
      </w:r>
      <w:r>
        <w:rPr>
          <w:rFonts w:ascii="Arial" w:hAnsi="Arial" w:cs="Arial"/>
          <w:sz w:val="24"/>
          <w:szCs w:val="24"/>
        </w:rPr>
        <w:t xml:space="preserve">the Inspector, Richard </w:t>
      </w:r>
      <w:r w:rsidR="00F772AE" w:rsidRPr="009D007C">
        <w:rPr>
          <w:rFonts w:ascii="Arial" w:hAnsi="Arial" w:cs="Arial"/>
          <w:sz w:val="24"/>
          <w:szCs w:val="24"/>
        </w:rPr>
        <w:t xml:space="preserve">White, who applied </w:t>
      </w:r>
      <w:r w:rsidR="00E617F1" w:rsidRPr="009D007C">
        <w:rPr>
          <w:rFonts w:ascii="Arial" w:hAnsi="Arial" w:cs="Arial"/>
          <w:sz w:val="24"/>
          <w:szCs w:val="24"/>
        </w:rPr>
        <w:t xml:space="preserve">artificial resuscitation </w:t>
      </w:r>
      <w:r w:rsidR="000F5EC5" w:rsidRPr="009D007C">
        <w:rPr>
          <w:rFonts w:ascii="Arial" w:hAnsi="Arial" w:cs="Arial"/>
          <w:sz w:val="24"/>
          <w:szCs w:val="24"/>
        </w:rPr>
        <w:t>techniques,</w:t>
      </w:r>
      <w:r w:rsidR="00E617F1" w:rsidRPr="009D007C">
        <w:rPr>
          <w:rFonts w:ascii="Arial" w:hAnsi="Arial" w:cs="Arial"/>
          <w:sz w:val="24"/>
          <w:szCs w:val="24"/>
        </w:rPr>
        <w:t xml:space="preserve"> taught to him by</w:t>
      </w:r>
      <w:r w:rsidR="00F772AE" w:rsidRPr="009D007C">
        <w:rPr>
          <w:rFonts w:ascii="Arial" w:hAnsi="Arial" w:cs="Arial"/>
          <w:sz w:val="24"/>
          <w:szCs w:val="24"/>
        </w:rPr>
        <w:t xml:space="preserve"> the ‘humane society’. </w:t>
      </w:r>
      <w:r w:rsidR="00E617F1" w:rsidRPr="009D007C">
        <w:rPr>
          <w:rStyle w:val="EndnoteReference"/>
          <w:rFonts w:ascii="Arial" w:hAnsi="Arial" w:cs="Arial"/>
          <w:sz w:val="24"/>
          <w:szCs w:val="24"/>
        </w:rPr>
        <w:endnoteReference w:id="48"/>
      </w:r>
      <w:r w:rsidR="00F772AE" w:rsidRPr="009D007C">
        <w:rPr>
          <w:rFonts w:ascii="Arial" w:hAnsi="Arial" w:cs="Arial"/>
          <w:sz w:val="24"/>
          <w:szCs w:val="24"/>
        </w:rPr>
        <w:t xml:space="preserve"> </w:t>
      </w:r>
      <w:r w:rsidR="009660B7" w:rsidRPr="009D007C">
        <w:rPr>
          <w:rFonts w:ascii="Arial" w:hAnsi="Arial" w:cs="Arial"/>
          <w:sz w:val="24"/>
          <w:szCs w:val="24"/>
        </w:rPr>
        <w:t xml:space="preserve">The 24-year old </w:t>
      </w:r>
      <w:r w:rsidR="00A8756B" w:rsidRPr="009D007C">
        <w:rPr>
          <w:rFonts w:ascii="Arial" w:hAnsi="Arial" w:cs="Arial"/>
          <w:sz w:val="24"/>
          <w:szCs w:val="24"/>
        </w:rPr>
        <w:t xml:space="preserve">Mary James was </w:t>
      </w:r>
      <w:r w:rsidR="009660B7" w:rsidRPr="009D007C">
        <w:rPr>
          <w:rFonts w:ascii="Arial" w:hAnsi="Arial" w:cs="Arial"/>
          <w:sz w:val="24"/>
          <w:szCs w:val="24"/>
        </w:rPr>
        <w:t>arrested</w:t>
      </w:r>
      <w:r w:rsidR="00E5522F" w:rsidRPr="009D007C">
        <w:rPr>
          <w:rFonts w:ascii="Arial" w:hAnsi="Arial" w:cs="Arial"/>
          <w:sz w:val="24"/>
          <w:szCs w:val="24"/>
        </w:rPr>
        <w:t xml:space="preserve">, </w:t>
      </w:r>
      <w:r w:rsidR="009660B7" w:rsidRPr="009D007C">
        <w:rPr>
          <w:rFonts w:ascii="Arial" w:hAnsi="Arial" w:cs="Arial"/>
          <w:sz w:val="24"/>
          <w:szCs w:val="24"/>
        </w:rPr>
        <w:t>charged with ‘feloniously attempting to drown a person’</w:t>
      </w:r>
      <w:r w:rsidR="00E5522F" w:rsidRPr="009D007C">
        <w:rPr>
          <w:rFonts w:ascii="Arial" w:hAnsi="Arial" w:cs="Arial"/>
          <w:sz w:val="24"/>
          <w:szCs w:val="24"/>
        </w:rPr>
        <w:t xml:space="preserve"> and </w:t>
      </w:r>
      <w:r w:rsidR="007611DB" w:rsidRPr="009D007C">
        <w:rPr>
          <w:rFonts w:ascii="Arial" w:hAnsi="Arial" w:cs="Arial"/>
          <w:sz w:val="24"/>
          <w:szCs w:val="24"/>
        </w:rPr>
        <w:t>committed</w:t>
      </w:r>
      <w:r w:rsidR="00E5522F" w:rsidRPr="009D007C">
        <w:rPr>
          <w:rFonts w:ascii="Arial" w:hAnsi="Arial" w:cs="Arial"/>
          <w:sz w:val="24"/>
          <w:szCs w:val="24"/>
        </w:rPr>
        <w:t xml:space="preserve"> to </w:t>
      </w:r>
      <w:proofErr w:type="spellStart"/>
      <w:r w:rsidR="00E5522F" w:rsidRPr="009D007C">
        <w:rPr>
          <w:rFonts w:ascii="Arial" w:hAnsi="Arial" w:cs="Arial"/>
          <w:sz w:val="24"/>
          <w:szCs w:val="24"/>
        </w:rPr>
        <w:t>Newgate</w:t>
      </w:r>
      <w:proofErr w:type="spellEnd"/>
      <w:r w:rsidR="007611DB" w:rsidRPr="009D007C">
        <w:rPr>
          <w:rFonts w:ascii="Arial" w:hAnsi="Arial" w:cs="Arial"/>
          <w:sz w:val="24"/>
          <w:szCs w:val="24"/>
        </w:rPr>
        <w:t>. On the 24 June 1878, her</w:t>
      </w:r>
      <w:r w:rsidR="009660B7" w:rsidRPr="009D007C">
        <w:rPr>
          <w:rFonts w:ascii="Arial" w:hAnsi="Arial" w:cs="Arial"/>
          <w:sz w:val="24"/>
          <w:szCs w:val="24"/>
        </w:rPr>
        <w:t xml:space="preserve"> case</w:t>
      </w:r>
      <w:r w:rsidR="00E30616" w:rsidRPr="009D007C">
        <w:rPr>
          <w:rFonts w:ascii="Arial" w:hAnsi="Arial" w:cs="Arial"/>
          <w:sz w:val="24"/>
          <w:szCs w:val="24"/>
        </w:rPr>
        <w:t xml:space="preserve"> was </w:t>
      </w:r>
      <w:r w:rsidR="009660B7" w:rsidRPr="009D007C">
        <w:rPr>
          <w:rFonts w:ascii="Arial" w:hAnsi="Arial" w:cs="Arial"/>
          <w:sz w:val="24"/>
          <w:szCs w:val="24"/>
        </w:rPr>
        <w:t>heard at the Old Bailey</w:t>
      </w:r>
      <w:r w:rsidR="00E30616" w:rsidRPr="009D007C">
        <w:rPr>
          <w:rFonts w:ascii="Arial" w:hAnsi="Arial" w:cs="Arial"/>
          <w:sz w:val="24"/>
          <w:szCs w:val="24"/>
        </w:rPr>
        <w:t xml:space="preserve">. </w:t>
      </w:r>
      <w:r w:rsidR="005E60B5" w:rsidRPr="009D007C">
        <w:rPr>
          <w:rFonts w:ascii="Arial" w:hAnsi="Arial" w:cs="Arial"/>
          <w:sz w:val="24"/>
          <w:szCs w:val="24"/>
        </w:rPr>
        <w:t xml:space="preserve">At first, </w:t>
      </w:r>
      <w:r w:rsidR="009660B7" w:rsidRPr="009D007C">
        <w:rPr>
          <w:rFonts w:ascii="Arial" w:hAnsi="Arial" w:cs="Arial"/>
          <w:sz w:val="24"/>
          <w:szCs w:val="24"/>
        </w:rPr>
        <w:t>Mary James was</w:t>
      </w:r>
      <w:r w:rsidR="00E617F1" w:rsidRPr="009D007C">
        <w:rPr>
          <w:rFonts w:ascii="Arial" w:hAnsi="Arial" w:cs="Arial"/>
          <w:sz w:val="24"/>
          <w:szCs w:val="24"/>
        </w:rPr>
        <w:t xml:space="preserve"> believed to have been</w:t>
      </w:r>
      <w:r w:rsidR="009660B7" w:rsidRPr="009D007C">
        <w:rPr>
          <w:rFonts w:ascii="Arial" w:hAnsi="Arial" w:cs="Arial"/>
          <w:sz w:val="24"/>
          <w:szCs w:val="24"/>
        </w:rPr>
        <w:t xml:space="preserve"> intoxicated and </w:t>
      </w:r>
      <w:r w:rsidR="005E60B5" w:rsidRPr="009D007C">
        <w:rPr>
          <w:rFonts w:ascii="Arial" w:hAnsi="Arial" w:cs="Arial"/>
          <w:sz w:val="24"/>
          <w:szCs w:val="24"/>
        </w:rPr>
        <w:t xml:space="preserve">she </w:t>
      </w:r>
      <w:r w:rsidR="009660B7" w:rsidRPr="009D007C">
        <w:rPr>
          <w:rFonts w:ascii="Arial" w:hAnsi="Arial" w:cs="Arial"/>
          <w:sz w:val="24"/>
          <w:szCs w:val="24"/>
        </w:rPr>
        <w:t xml:space="preserve">could barely remember what had happened. </w:t>
      </w:r>
      <w:r w:rsidR="005E60B5" w:rsidRPr="009D007C">
        <w:rPr>
          <w:rFonts w:ascii="Arial" w:hAnsi="Arial" w:cs="Arial"/>
          <w:sz w:val="24"/>
          <w:szCs w:val="24"/>
        </w:rPr>
        <w:t>At the trial she tried to persuade the court that she had lift</w:t>
      </w:r>
      <w:r w:rsidR="00206B56">
        <w:rPr>
          <w:rFonts w:ascii="Arial" w:hAnsi="Arial" w:cs="Arial"/>
          <w:sz w:val="24"/>
          <w:szCs w:val="24"/>
        </w:rPr>
        <w:t>ed Walter on to the bridge wall</w:t>
      </w:r>
      <w:r w:rsidR="005E60B5" w:rsidRPr="009D007C">
        <w:rPr>
          <w:rFonts w:ascii="Arial" w:hAnsi="Arial" w:cs="Arial"/>
          <w:sz w:val="24"/>
          <w:szCs w:val="24"/>
        </w:rPr>
        <w:t xml:space="preserve"> so that he could see over. </w:t>
      </w:r>
      <w:r w:rsidR="00E617F1" w:rsidRPr="009D007C">
        <w:rPr>
          <w:rFonts w:ascii="Arial" w:hAnsi="Arial" w:cs="Arial"/>
          <w:sz w:val="24"/>
          <w:szCs w:val="24"/>
        </w:rPr>
        <w:t>The doctor, though, provided an intriguing view of her mental health: ‘…she intended to make away with herself when she got the chance, and had tried to do so, but had been prevented—she also said that she threw the child in because she was in trouble, but she would not tell me what the trouble was.’</w:t>
      </w:r>
      <w:r w:rsidR="00E617F1" w:rsidRPr="009D007C">
        <w:rPr>
          <w:rStyle w:val="EndnoteReference"/>
          <w:rFonts w:ascii="Arial" w:hAnsi="Arial" w:cs="Arial"/>
          <w:sz w:val="24"/>
          <w:szCs w:val="24"/>
        </w:rPr>
        <w:endnoteReference w:id="49"/>
      </w:r>
      <w:r w:rsidR="00E617F1" w:rsidRPr="009D007C">
        <w:rPr>
          <w:rFonts w:ascii="Arial" w:hAnsi="Arial" w:cs="Arial"/>
          <w:sz w:val="24"/>
          <w:szCs w:val="24"/>
        </w:rPr>
        <w:t xml:space="preserve"> Inspector White kept her on suicide watch</w:t>
      </w:r>
      <w:r w:rsidR="00305E19" w:rsidRPr="009D007C">
        <w:rPr>
          <w:rFonts w:ascii="Arial" w:hAnsi="Arial" w:cs="Arial"/>
          <w:sz w:val="24"/>
          <w:szCs w:val="24"/>
        </w:rPr>
        <w:t>. Both men atteste</w:t>
      </w:r>
      <w:r w:rsidR="005E60B5" w:rsidRPr="009D007C">
        <w:rPr>
          <w:rFonts w:ascii="Arial" w:hAnsi="Arial" w:cs="Arial"/>
          <w:sz w:val="24"/>
          <w:szCs w:val="24"/>
        </w:rPr>
        <w:t xml:space="preserve">d that she was sober and sane. Nonetheless, her treatment of Walter, her medical notes and her behaviour in prison portray a person with a serious mental health condition or </w:t>
      </w:r>
      <w:r w:rsidR="00E1622B">
        <w:rPr>
          <w:rFonts w:ascii="Arial" w:hAnsi="Arial" w:cs="Arial"/>
          <w:sz w:val="24"/>
          <w:szCs w:val="24"/>
        </w:rPr>
        <w:t xml:space="preserve">physiological </w:t>
      </w:r>
      <w:r w:rsidR="005E60B5" w:rsidRPr="009D007C">
        <w:rPr>
          <w:rFonts w:ascii="Arial" w:hAnsi="Arial" w:cs="Arial"/>
          <w:sz w:val="24"/>
          <w:szCs w:val="24"/>
        </w:rPr>
        <w:t>disease.</w:t>
      </w:r>
      <w:r w:rsidR="0017692F">
        <w:rPr>
          <w:rFonts w:ascii="Arial" w:hAnsi="Arial" w:cs="Arial"/>
          <w:sz w:val="24"/>
          <w:szCs w:val="24"/>
        </w:rPr>
        <w:t xml:space="preserve"> </w:t>
      </w:r>
      <w:r w:rsidR="009660B7" w:rsidRPr="009D007C">
        <w:rPr>
          <w:rFonts w:ascii="Arial" w:hAnsi="Arial" w:cs="Arial"/>
          <w:sz w:val="24"/>
          <w:szCs w:val="24"/>
        </w:rPr>
        <w:t>She was found guilty and sentenc</w:t>
      </w:r>
      <w:r w:rsidR="00E30616" w:rsidRPr="009D007C">
        <w:rPr>
          <w:rFonts w:ascii="Arial" w:hAnsi="Arial" w:cs="Arial"/>
          <w:sz w:val="24"/>
          <w:szCs w:val="24"/>
        </w:rPr>
        <w:t xml:space="preserve">ed to ten years penal servitude, being committed to </w:t>
      </w:r>
      <w:proofErr w:type="spellStart"/>
      <w:r w:rsidR="00D96E62" w:rsidRPr="009D007C">
        <w:rPr>
          <w:rFonts w:ascii="Arial" w:hAnsi="Arial" w:cs="Arial"/>
          <w:sz w:val="24"/>
          <w:szCs w:val="24"/>
        </w:rPr>
        <w:t>N</w:t>
      </w:r>
      <w:r w:rsidR="003931AF" w:rsidRPr="009D007C">
        <w:rPr>
          <w:rFonts w:ascii="Arial" w:hAnsi="Arial" w:cs="Arial"/>
          <w:sz w:val="24"/>
          <w:szCs w:val="24"/>
        </w:rPr>
        <w:t>ewgate</w:t>
      </w:r>
      <w:proofErr w:type="spellEnd"/>
      <w:r w:rsidR="00127381">
        <w:rPr>
          <w:rFonts w:ascii="Arial" w:hAnsi="Arial" w:cs="Arial"/>
          <w:sz w:val="24"/>
          <w:szCs w:val="24"/>
        </w:rPr>
        <w:t xml:space="preserve"> on1</w:t>
      </w:r>
      <w:r w:rsidR="00E30616" w:rsidRPr="009D007C">
        <w:rPr>
          <w:rFonts w:ascii="Arial" w:hAnsi="Arial" w:cs="Arial"/>
          <w:sz w:val="24"/>
          <w:szCs w:val="24"/>
        </w:rPr>
        <w:t xml:space="preserve"> June 1878</w:t>
      </w:r>
      <w:r w:rsidR="003931AF" w:rsidRPr="009D007C">
        <w:rPr>
          <w:rFonts w:ascii="Arial" w:hAnsi="Arial" w:cs="Arial"/>
          <w:sz w:val="24"/>
          <w:szCs w:val="24"/>
        </w:rPr>
        <w:t xml:space="preserve"> and then transferred to Millbank four weeks later</w:t>
      </w:r>
      <w:r w:rsidR="00E30616" w:rsidRPr="009D007C">
        <w:rPr>
          <w:rFonts w:ascii="Arial" w:hAnsi="Arial" w:cs="Arial"/>
          <w:sz w:val="24"/>
          <w:szCs w:val="24"/>
        </w:rPr>
        <w:t xml:space="preserve">. </w:t>
      </w:r>
      <w:r w:rsidR="0011265D" w:rsidRPr="009D007C">
        <w:rPr>
          <w:rFonts w:ascii="Arial" w:hAnsi="Arial" w:cs="Arial"/>
          <w:sz w:val="24"/>
          <w:szCs w:val="24"/>
        </w:rPr>
        <w:t xml:space="preserve"> She peti</w:t>
      </w:r>
      <w:r w:rsidR="00E30616" w:rsidRPr="009D007C">
        <w:rPr>
          <w:rFonts w:ascii="Arial" w:hAnsi="Arial" w:cs="Arial"/>
          <w:sz w:val="24"/>
          <w:szCs w:val="24"/>
        </w:rPr>
        <w:t>ti</w:t>
      </w:r>
      <w:r w:rsidR="0011265D" w:rsidRPr="009D007C">
        <w:rPr>
          <w:rFonts w:ascii="Arial" w:hAnsi="Arial" w:cs="Arial"/>
          <w:sz w:val="24"/>
          <w:szCs w:val="24"/>
        </w:rPr>
        <w:t>oned throughout her sentence with little success but was released</w:t>
      </w:r>
      <w:r w:rsidR="007611DB" w:rsidRPr="009D007C">
        <w:rPr>
          <w:rFonts w:ascii="Arial" w:hAnsi="Arial" w:cs="Arial"/>
          <w:sz w:val="24"/>
          <w:szCs w:val="24"/>
        </w:rPr>
        <w:t xml:space="preserve"> on licence on 7 April</w:t>
      </w:r>
      <w:r w:rsidR="0011265D" w:rsidRPr="009D007C">
        <w:rPr>
          <w:rFonts w:ascii="Arial" w:hAnsi="Arial" w:cs="Arial"/>
          <w:sz w:val="24"/>
          <w:szCs w:val="24"/>
        </w:rPr>
        <w:t xml:space="preserve"> 1886 having served over 8 years of the sentence.</w:t>
      </w:r>
    </w:p>
    <w:p w14:paraId="1A9A92A9" w14:textId="77777777" w:rsidR="009660B7" w:rsidRPr="009D007C" w:rsidRDefault="009660B7" w:rsidP="00260B40">
      <w:pPr>
        <w:spacing w:after="0" w:line="240" w:lineRule="auto"/>
        <w:rPr>
          <w:rFonts w:ascii="Arial" w:hAnsi="Arial" w:cs="Arial"/>
          <w:sz w:val="24"/>
          <w:szCs w:val="24"/>
        </w:rPr>
      </w:pPr>
    </w:p>
    <w:p w14:paraId="36F92481" w14:textId="77777777" w:rsidR="0070090F" w:rsidRPr="009D007C" w:rsidRDefault="00127381" w:rsidP="0070090F">
      <w:pPr>
        <w:spacing w:after="0" w:line="240" w:lineRule="auto"/>
        <w:rPr>
          <w:rFonts w:ascii="Arial" w:hAnsi="Arial" w:cs="Arial"/>
          <w:sz w:val="24"/>
          <w:szCs w:val="24"/>
        </w:rPr>
      </w:pPr>
      <w:r>
        <w:rPr>
          <w:rFonts w:ascii="Arial" w:hAnsi="Arial" w:cs="Arial"/>
          <w:sz w:val="24"/>
          <w:szCs w:val="24"/>
        </w:rPr>
        <w:t>Mary James was</w:t>
      </w:r>
      <w:r w:rsidR="003931AF" w:rsidRPr="009D007C">
        <w:rPr>
          <w:rFonts w:ascii="Arial" w:hAnsi="Arial" w:cs="Arial"/>
          <w:sz w:val="24"/>
          <w:szCs w:val="24"/>
        </w:rPr>
        <w:t xml:space="preserve"> remorseful </w:t>
      </w:r>
      <w:r w:rsidR="005E60B5" w:rsidRPr="009D007C">
        <w:rPr>
          <w:rFonts w:ascii="Arial" w:hAnsi="Arial" w:cs="Arial"/>
          <w:sz w:val="24"/>
          <w:szCs w:val="24"/>
        </w:rPr>
        <w:t xml:space="preserve">but </w:t>
      </w:r>
      <w:r w:rsidR="00F33719">
        <w:rPr>
          <w:rFonts w:ascii="Arial" w:hAnsi="Arial" w:cs="Arial"/>
          <w:sz w:val="24"/>
          <w:szCs w:val="24"/>
        </w:rPr>
        <w:t xml:space="preserve">had </w:t>
      </w:r>
      <w:r w:rsidR="00CF4658" w:rsidRPr="009D007C">
        <w:rPr>
          <w:rFonts w:ascii="Arial" w:hAnsi="Arial" w:cs="Arial"/>
          <w:sz w:val="24"/>
          <w:szCs w:val="24"/>
        </w:rPr>
        <w:t>clearly</w:t>
      </w:r>
      <w:r w:rsidR="005E60B5" w:rsidRPr="009D007C">
        <w:rPr>
          <w:rFonts w:ascii="Arial" w:hAnsi="Arial" w:cs="Arial"/>
          <w:sz w:val="24"/>
          <w:szCs w:val="24"/>
        </w:rPr>
        <w:t xml:space="preserve"> tried to drown her infant son. </w:t>
      </w:r>
      <w:r w:rsidR="00F33719">
        <w:rPr>
          <w:rFonts w:ascii="Arial" w:hAnsi="Arial" w:cs="Arial"/>
          <w:sz w:val="24"/>
          <w:szCs w:val="24"/>
        </w:rPr>
        <w:t>To what extent</w:t>
      </w:r>
      <w:r w:rsidR="00CF4658" w:rsidRPr="009D007C">
        <w:rPr>
          <w:rFonts w:ascii="Arial" w:hAnsi="Arial" w:cs="Arial"/>
          <w:sz w:val="24"/>
          <w:szCs w:val="24"/>
        </w:rPr>
        <w:t xml:space="preserve"> </w:t>
      </w:r>
      <w:r w:rsidR="00F33719">
        <w:rPr>
          <w:rFonts w:ascii="Arial" w:hAnsi="Arial" w:cs="Arial"/>
          <w:sz w:val="24"/>
          <w:szCs w:val="24"/>
        </w:rPr>
        <w:t xml:space="preserve">her actions were </w:t>
      </w:r>
      <w:r w:rsidR="003931AF" w:rsidRPr="009D007C">
        <w:rPr>
          <w:rFonts w:ascii="Arial" w:hAnsi="Arial" w:cs="Arial"/>
          <w:sz w:val="24"/>
          <w:szCs w:val="24"/>
        </w:rPr>
        <w:t xml:space="preserve">due to substance abuse or </w:t>
      </w:r>
      <w:r w:rsidR="00CF4658" w:rsidRPr="009D007C">
        <w:rPr>
          <w:rFonts w:ascii="Arial" w:hAnsi="Arial" w:cs="Arial"/>
          <w:sz w:val="24"/>
          <w:szCs w:val="24"/>
        </w:rPr>
        <w:t>men</w:t>
      </w:r>
      <w:r w:rsidR="005E60B5" w:rsidRPr="009D007C">
        <w:rPr>
          <w:rFonts w:ascii="Arial" w:hAnsi="Arial" w:cs="Arial"/>
          <w:sz w:val="24"/>
          <w:szCs w:val="24"/>
        </w:rPr>
        <w:t>tal</w:t>
      </w:r>
      <w:r w:rsidR="003931AF" w:rsidRPr="009D007C">
        <w:rPr>
          <w:rFonts w:ascii="Arial" w:hAnsi="Arial" w:cs="Arial"/>
          <w:sz w:val="24"/>
          <w:szCs w:val="24"/>
        </w:rPr>
        <w:t xml:space="preserve"> illness is a moot point. </w:t>
      </w:r>
      <w:r w:rsidR="00077BB4" w:rsidRPr="009D007C">
        <w:rPr>
          <w:rFonts w:ascii="Arial" w:hAnsi="Arial" w:cs="Arial"/>
          <w:sz w:val="24"/>
          <w:szCs w:val="24"/>
        </w:rPr>
        <w:t xml:space="preserve">She </w:t>
      </w:r>
      <w:r w:rsidR="00E74BD1" w:rsidRPr="009D007C">
        <w:rPr>
          <w:rFonts w:ascii="Arial" w:hAnsi="Arial" w:cs="Arial"/>
          <w:sz w:val="24"/>
          <w:szCs w:val="24"/>
        </w:rPr>
        <w:t>was</w:t>
      </w:r>
      <w:r w:rsidR="000D13A3" w:rsidRPr="009D007C">
        <w:rPr>
          <w:rFonts w:ascii="Arial" w:hAnsi="Arial" w:cs="Arial"/>
          <w:sz w:val="24"/>
          <w:szCs w:val="24"/>
        </w:rPr>
        <w:t xml:space="preserve"> though</w:t>
      </w:r>
      <w:r w:rsidR="00E74BD1" w:rsidRPr="009D007C">
        <w:rPr>
          <w:rFonts w:ascii="Arial" w:hAnsi="Arial" w:cs="Arial"/>
          <w:sz w:val="24"/>
          <w:szCs w:val="24"/>
        </w:rPr>
        <w:t xml:space="preserve"> in poor health. Among a range of debilitating diseases</w:t>
      </w:r>
      <w:r w:rsidR="000D13A3" w:rsidRPr="009D007C">
        <w:rPr>
          <w:rFonts w:ascii="Arial" w:hAnsi="Arial" w:cs="Arial"/>
          <w:sz w:val="24"/>
          <w:szCs w:val="24"/>
        </w:rPr>
        <w:t xml:space="preserve"> in prison, she suffered</w:t>
      </w:r>
      <w:r w:rsidR="00E74BD1" w:rsidRPr="009D007C">
        <w:rPr>
          <w:rFonts w:ascii="Arial" w:hAnsi="Arial" w:cs="Arial"/>
          <w:sz w:val="24"/>
          <w:szCs w:val="24"/>
        </w:rPr>
        <w:t xml:space="preserve"> from menorrhagia, </w:t>
      </w:r>
      <w:proofErr w:type="spellStart"/>
      <w:r w:rsidR="00E74BD1" w:rsidRPr="009D007C">
        <w:rPr>
          <w:rFonts w:ascii="Arial" w:hAnsi="Arial" w:cs="Arial"/>
          <w:sz w:val="24"/>
          <w:szCs w:val="24"/>
        </w:rPr>
        <w:t>p</w:t>
      </w:r>
      <w:r w:rsidR="0075284D" w:rsidRPr="009D007C">
        <w:rPr>
          <w:rFonts w:ascii="Arial" w:hAnsi="Arial" w:cs="Arial"/>
          <w:sz w:val="24"/>
          <w:szCs w:val="24"/>
        </w:rPr>
        <w:t>leurodynia</w:t>
      </w:r>
      <w:proofErr w:type="spellEnd"/>
      <w:r w:rsidR="00E74BD1" w:rsidRPr="009D007C">
        <w:rPr>
          <w:rFonts w:ascii="Arial" w:hAnsi="Arial" w:cs="Arial"/>
          <w:sz w:val="24"/>
          <w:szCs w:val="24"/>
        </w:rPr>
        <w:t>, pneumonia, neuralgia, rheumatism and b</w:t>
      </w:r>
      <w:r w:rsidR="000D13A3" w:rsidRPr="009D007C">
        <w:rPr>
          <w:rFonts w:ascii="Arial" w:hAnsi="Arial" w:cs="Arial"/>
          <w:sz w:val="24"/>
          <w:szCs w:val="24"/>
        </w:rPr>
        <w:t xml:space="preserve">ronchitis. In 1880, she </w:t>
      </w:r>
      <w:r w:rsidR="00F33719">
        <w:rPr>
          <w:rFonts w:ascii="Arial" w:hAnsi="Arial" w:cs="Arial"/>
          <w:sz w:val="24"/>
          <w:szCs w:val="24"/>
        </w:rPr>
        <w:t xml:space="preserve">was </w:t>
      </w:r>
      <w:r w:rsidR="000D13A3" w:rsidRPr="009D007C">
        <w:rPr>
          <w:rFonts w:ascii="Arial" w:hAnsi="Arial" w:cs="Arial"/>
          <w:sz w:val="24"/>
          <w:szCs w:val="24"/>
        </w:rPr>
        <w:t xml:space="preserve">also </w:t>
      </w:r>
      <w:r w:rsidR="00F33719">
        <w:rPr>
          <w:rFonts w:ascii="Arial" w:hAnsi="Arial" w:cs="Arial"/>
          <w:sz w:val="24"/>
          <w:szCs w:val="24"/>
        </w:rPr>
        <w:t>treated in</w:t>
      </w:r>
      <w:r w:rsidR="00E74BD1" w:rsidRPr="009D007C">
        <w:rPr>
          <w:rFonts w:ascii="Arial" w:hAnsi="Arial" w:cs="Arial"/>
          <w:sz w:val="24"/>
          <w:szCs w:val="24"/>
        </w:rPr>
        <w:t xml:space="preserve"> the</w:t>
      </w:r>
      <w:r w:rsidR="00F33719">
        <w:rPr>
          <w:rFonts w:ascii="Arial" w:hAnsi="Arial" w:cs="Arial"/>
          <w:sz w:val="24"/>
          <w:szCs w:val="24"/>
        </w:rPr>
        <w:t xml:space="preserve"> prison</w:t>
      </w:r>
      <w:r w:rsidR="00E74BD1" w:rsidRPr="009D007C">
        <w:rPr>
          <w:rFonts w:ascii="Arial" w:hAnsi="Arial" w:cs="Arial"/>
          <w:sz w:val="24"/>
          <w:szCs w:val="24"/>
        </w:rPr>
        <w:t xml:space="preserve"> infirmary for epilepsy. </w:t>
      </w:r>
      <w:r w:rsidR="001F7510" w:rsidRPr="009D007C">
        <w:rPr>
          <w:rFonts w:ascii="Arial" w:hAnsi="Arial" w:cs="Arial"/>
          <w:sz w:val="24"/>
          <w:szCs w:val="24"/>
        </w:rPr>
        <w:t>It is unclear if Mary had suffered from this</w:t>
      </w:r>
      <w:r w:rsidR="000D13A3" w:rsidRPr="009D007C">
        <w:rPr>
          <w:rFonts w:ascii="Arial" w:hAnsi="Arial" w:cs="Arial"/>
          <w:sz w:val="24"/>
          <w:szCs w:val="24"/>
        </w:rPr>
        <w:t xml:space="preserve"> before</w:t>
      </w:r>
      <w:r w:rsidR="001F7510" w:rsidRPr="009D007C">
        <w:rPr>
          <w:rFonts w:ascii="Arial" w:hAnsi="Arial" w:cs="Arial"/>
          <w:sz w:val="24"/>
          <w:szCs w:val="24"/>
        </w:rPr>
        <w:t>, but it could have</w:t>
      </w:r>
      <w:r w:rsidR="00077BB4" w:rsidRPr="009D007C">
        <w:rPr>
          <w:rFonts w:ascii="Arial" w:hAnsi="Arial" w:cs="Arial"/>
          <w:sz w:val="24"/>
          <w:szCs w:val="24"/>
        </w:rPr>
        <w:t xml:space="preserve"> </w:t>
      </w:r>
      <w:r w:rsidR="005D4274" w:rsidRPr="009D007C">
        <w:rPr>
          <w:rFonts w:ascii="Arial" w:hAnsi="Arial" w:cs="Arial"/>
          <w:sz w:val="24"/>
          <w:szCs w:val="24"/>
        </w:rPr>
        <w:t xml:space="preserve">caused damage to her brain function if her seizures were </w:t>
      </w:r>
      <w:r w:rsidR="0075284D" w:rsidRPr="009D007C">
        <w:rPr>
          <w:rFonts w:ascii="Arial" w:hAnsi="Arial" w:cs="Arial"/>
          <w:sz w:val="24"/>
          <w:szCs w:val="24"/>
        </w:rPr>
        <w:t>particularly</w:t>
      </w:r>
      <w:r w:rsidR="005D4274" w:rsidRPr="009D007C">
        <w:rPr>
          <w:rFonts w:ascii="Arial" w:hAnsi="Arial" w:cs="Arial"/>
          <w:sz w:val="24"/>
          <w:szCs w:val="24"/>
        </w:rPr>
        <w:t xml:space="preserve"> </w:t>
      </w:r>
      <w:r w:rsidR="001F7510" w:rsidRPr="009D007C">
        <w:rPr>
          <w:rFonts w:ascii="Arial" w:hAnsi="Arial" w:cs="Arial"/>
          <w:sz w:val="24"/>
          <w:szCs w:val="24"/>
        </w:rPr>
        <w:t>severe and had gone on for many years untreated</w:t>
      </w:r>
      <w:r>
        <w:rPr>
          <w:rFonts w:ascii="Arial" w:hAnsi="Arial" w:cs="Arial"/>
          <w:sz w:val="24"/>
          <w:szCs w:val="24"/>
        </w:rPr>
        <w:t xml:space="preserve"> (needless to say there were no effective drugs at this time)</w:t>
      </w:r>
      <w:r w:rsidR="001F7510" w:rsidRPr="009D007C">
        <w:rPr>
          <w:rFonts w:ascii="Arial" w:hAnsi="Arial" w:cs="Arial"/>
          <w:sz w:val="24"/>
          <w:szCs w:val="24"/>
        </w:rPr>
        <w:t>.</w:t>
      </w:r>
      <w:r w:rsidR="005D4274" w:rsidRPr="009D007C">
        <w:rPr>
          <w:rFonts w:ascii="Arial" w:hAnsi="Arial" w:cs="Arial"/>
          <w:sz w:val="24"/>
          <w:szCs w:val="24"/>
        </w:rPr>
        <w:t xml:space="preserve"> </w:t>
      </w:r>
      <w:r w:rsidR="000D13A3" w:rsidRPr="009D007C">
        <w:rPr>
          <w:rFonts w:ascii="Arial" w:hAnsi="Arial" w:cs="Arial"/>
          <w:sz w:val="24"/>
          <w:szCs w:val="24"/>
        </w:rPr>
        <w:t>Without treatment or solace, i</w:t>
      </w:r>
      <w:r w:rsidR="001F7510" w:rsidRPr="009D007C">
        <w:rPr>
          <w:rFonts w:ascii="Arial" w:hAnsi="Arial" w:cs="Arial"/>
          <w:sz w:val="24"/>
          <w:szCs w:val="24"/>
        </w:rPr>
        <w:t xml:space="preserve">t is possible that epilepsy may have been a factor </w:t>
      </w:r>
      <w:r w:rsidR="005D4274" w:rsidRPr="009D007C">
        <w:rPr>
          <w:rFonts w:ascii="Arial" w:hAnsi="Arial" w:cs="Arial"/>
          <w:sz w:val="24"/>
          <w:szCs w:val="24"/>
        </w:rPr>
        <w:t>in her psychological and behaviour</w:t>
      </w:r>
      <w:r w:rsidR="000D13A3" w:rsidRPr="009D007C">
        <w:rPr>
          <w:rFonts w:ascii="Arial" w:hAnsi="Arial" w:cs="Arial"/>
          <w:sz w:val="24"/>
          <w:szCs w:val="24"/>
        </w:rPr>
        <w:t>al</w:t>
      </w:r>
      <w:r w:rsidR="005D4274" w:rsidRPr="009D007C">
        <w:rPr>
          <w:rFonts w:ascii="Arial" w:hAnsi="Arial" w:cs="Arial"/>
          <w:sz w:val="24"/>
          <w:szCs w:val="24"/>
        </w:rPr>
        <w:t xml:space="preserve"> issues. </w:t>
      </w:r>
      <w:r w:rsidR="00CF4658" w:rsidRPr="009D007C">
        <w:rPr>
          <w:rFonts w:ascii="Arial" w:hAnsi="Arial" w:cs="Arial"/>
          <w:sz w:val="24"/>
          <w:szCs w:val="24"/>
        </w:rPr>
        <w:t>She was violent and disorderly for muc</w:t>
      </w:r>
      <w:r w:rsidR="00F33719">
        <w:rPr>
          <w:rFonts w:ascii="Arial" w:hAnsi="Arial" w:cs="Arial"/>
          <w:sz w:val="24"/>
          <w:szCs w:val="24"/>
        </w:rPr>
        <w:t>h of her sentence – with over twenty</w:t>
      </w:r>
      <w:r w:rsidR="00CF4658" w:rsidRPr="009D007C">
        <w:rPr>
          <w:rFonts w:ascii="Arial" w:hAnsi="Arial" w:cs="Arial"/>
          <w:sz w:val="24"/>
          <w:szCs w:val="24"/>
        </w:rPr>
        <w:t xml:space="preserve"> prison offences – and suffered from </w:t>
      </w:r>
      <w:r w:rsidR="001F7510" w:rsidRPr="009D007C">
        <w:rPr>
          <w:rFonts w:ascii="Arial" w:hAnsi="Arial" w:cs="Arial"/>
          <w:sz w:val="24"/>
          <w:szCs w:val="24"/>
        </w:rPr>
        <w:t>chronic bad health. Her health issues would not have benefited from the repeated punishments that she received for behavioural infringements.</w:t>
      </w:r>
      <w:r w:rsidR="0017692F">
        <w:rPr>
          <w:rStyle w:val="EndnoteReference"/>
          <w:rFonts w:ascii="Arial" w:hAnsi="Arial" w:cs="Arial"/>
          <w:sz w:val="24"/>
          <w:szCs w:val="24"/>
        </w:rPr>
        <w:endnoteReference w:id="50"/>
      </w:r>
      <w:r w:rsidR="001F7510" w:rsidRPr="009D007C">
        <w:rPr>
          <w:rFonts w:ascii="Arial" w:hAnsi="Arial" w:cs="Arial"/>
          <w:sz w:val="24"/>
          <w:szCs w:val="24"/>
        </w:rPr>
        <w:t xml:space="preserve"> S</w:t>
      </w:r>
      <w:r w:rsidR="00CF4658" w:rsidRPr="009D007C">
        <w:rPr>
          <w:rFonts w:ascii="Arial" w:hAnsi="Arial" w:cs="Arial"/>
          <w:sz w:val="24"/>
          <w:szCs w:val="24"/>
        </w:rPr>
        <w:t xml:space="preserve">he was punished with </w:t>
      </w:r>
      <w:r w:rsidR="00F33719">
        <w:rPr>
          <w:rFonts w:ascii="Arial" w:hAnsi="Arial" w:cs="Arial"/>
          <w:sz w:val="24"/>
          <w:szCs w:val="24"/>
        </w:rPr>
        <w:t>close confinement on at least fifteen times with eighteen</w:t>
      </w:r>
      <w:r w:rsidR="00CF4658" w:rsidRPr="009D007C">
        <w:rPr>
          <w:rFonts w:ascii="Arial" w:hAnsi="Arial" w:cs="Arial"/>
          <w:sz w:val="24"/>
          <w:szCs w:val="24"/>
        </w:rPr>
        <w:t xml:space="preserve"> days being </w:t>
      </w:r>
      <w:r>
        <w:rPr>
          <w:rFonts w:ascii="Arial" w:hAnsi="Arial" w:cs="Arial"/>
          <w:sz w:val="24"/>
          <w:szCs w:val="24"/>
        </w:rPr>
        <w:t xml:space="preserve">the </w:t>
      </w:r>
      <w:r w:rsidR="00CF4658" w:rsidRPr="009D007C">
        <w:rPr>
          <w:rFonts w:ascii="Arial" w:hAnsi="Arial" w:cs="Arial"/>
          <w:sz w:val="24"/>
          <w:szCs w:val="24"/>
        </w:rPr>
        <w:t xml:space="preserve">longest </w:t>
      </w:r>
      <w:r>
        <w:rPr>
          <w:rFonts w:ascii="Arial" w:hAnsi="Arial" w:cs="Arial"/>
          <w:sz w:val="24"/>
          <w:szCs w:val="24"/>
        </w:rPr>
        <w:t>stretch</w:t>
      </w:r>
      <w:r w:rsidR="00CF4658" w:rsidRPr="009D007C">
        <w:rPr>
          <w:rFonts w:ascii="Arial" w:hAnsi="Arial" w:cs="Arial"/>
          <w:sz w:val="24"/>
          <w:szCs w:val="24"/>
        </w:rPr>
        <w:t xml:space="preserve">. </w:t>
      </w:r>
      <w:r w:rsidR="000D13A3" w:rsidRPr="009D007C">
        <w:rPr>
          <w:rFonts w:ascii="Arial" w:hAnsi="Arial" w:cs="Arial"/>
          <w:sz w:val="24"/>
          <w:szCs w:val="24"/>
        </w:rPr>
        <w:t xml:space="preserve">On each of those occasions her diet would have been reduced to a punishment diet (mostly, bread and water) – a diet that could </w:t>
      </w:r>
      <w:r w:rsidR="000D13A3" w:rsidRPr="009D007C">
        <w:rPr>
          <w:rFonts w:ascii="Arial" w:hAnsi="Arial" w:cs="Arial"/>
          <w:sz w:val="24"/>
          <w:szCs w:val="24"/>
        </w:rPr>
        <w:lastRenderedPageBreak/>
        <w:t>have triggered fits</w:t>
      </w:r>
      <w:r w:rsidR="000C74FE" w:rsidRPr="009D007C">
        <w:rPr>
          <w:rFonts w:ascii="Arial" w:hAnsi="Arial" w:cs="Arial"/>
          <w:sz w:val="24"/>
          <w:szCs w:val="24"/>
        </w:rPr>
        <w:t xml:space="preserve"> in an epilepsy sufferer</w:t>
      </w:r>
      <w:r w:rsidR="000D13A3" w:rsidRPr="009D007C">
        <w:rPr>
          <w:rFonts w:ascii="Arial" w:hAnsi="Arial" w:cs="Arial"/>
          <w:sz w:val="24"/>
          <w:szCs w:val="24"/>
        </w:rPr>
        <w:t xml:space="preserve">. </w:t>
      </w:r>
      <w:r w:rsidR="00CF4658" w:rsidRPr="009D007C">
        <w:rPr>
          <w:rFonts w:ascii="Arial" w:hAnsi="Arial" w:cs="Arial"/>
          <w:sz w:val="24"/>
          <w:szCs w:val="24"/>
        </w:rPr>
        <w:t>In total</w:t>
      </w:r>
      <w:r w:rsidR="000D13A3" w:rsidRPr="009D007C">
        <w:rPr>
          <w:rFonts w:ascii="Arial" w:hAnsi="Arial" w:cs="Arial"/>
          <w:sz w:val="24"/>
          <w:szCs w:val="24"/>
        </w:rPr>
        <w:t>,</w:t>
      </w:r>
      <w:r w:rsidR="00CF4658" w:rsidRPr="009D007C">
        <w:rPr>
          <w:rFonts w:ascii="Arial" w:hAnsi="Arial" w:cs="Arial"/>
          <w:sz w:val="24"/>
          <w:szCs w:val="24"/>
        </w:rPr>
        <w:t xml:space="preserve"> she spent 71 days in close confinement</w:t>
      </w:r>
      <w:r w:rsidR="005D4274" w:rsidRPr="009D007C">
        <w:rPr>
          <w:rFonts w:ascii="Arial" w:hAnsi="Arial" w:cs="Arial"/>
          <w:sz w:val="24"/>
          <w:szCs w:val="24"/>
        </w:rPr>
        <w:t xml:space="preserve"> as </w:t>
      </w:r>
      <w:r w:rsidR="00F33719" w:rsidRPr="009D007C">
        <w:rPr>
          <w:rFonts w:ascii="Arial" w:hAnsi="Arial" w:cs="Arial"/>
          <w:sz w:val="24"/>
          <w:szCs w:val="24"/>
        </w:rPr>
        <w:t>punishment</w:t>
      </w:r>
      <w:r w:rsidR="00F33719">
        <w:rPr>
          <w:rFonts w:ascii="Arial" w:hAnsi="Arial" w:cs="Arial"/>
          <w:sz w:val="24"/>
          <w:szCs w:val="24"/>
        </w:rPr>
        <w:t xml:space="preserve"> for different prison offences</w:t>
      </w:r>
      <w:r w:rsidR="00CF4658" w:rsidRPr="009D007C">
        <w:rPr>
          <w:rFonts w:ascii="Arial" w:hAnsi="Arial" w:cs="Arial"/>
          <w:sz w:val="24"/>
          <w:szCs w:val="24"/>
        </w:rPr>
        <w:t xml:space="preserve">. </w:t>
      </w:r>
      <w:r w:rsidR="000D13A3" w:rsidRPr="009D007C">
        <w:rPr>
          <w:rFonts w:ascii="Arial" w:hAnsi="Arial" w:cs="Arial"/>
          <w:sz w:val="24"/>
          <w:szCs w:val="24"/>
        </w:rPr>
        <w:t>A</w:t>
      </w:r>
      <w:r w:rsidR="0070090F" w:rsidRPr="009D007C">
        <w:rPr>
          <w:rFonts w:ascii="Arial" w:hAnsi="Arial" w:cs="Arial"/>
          <w:sz w:val="24"/>
          <w:szCs w:val="24"/>
        </w:rPr>
        <w:t>fter she was grant</w:t>
      </w:r>
      <w:r w:rsidR="000D13A3" w:rsidRPr="009D007C">
        <w:rPr>
          <w:rFonts w:ascii="Arial" w:hAnsi="Arial" w:cs="Arial"/>
          <w:sz w:val="24"/>
          <w:szCs w:val="24"/>
        </w:rPr>
        <w:t>ed a licence, and was sent to the East End R</w:t>
      </w:r>
      <w:r w:rsidR="0070090F" w:rsidRPr="009D007C">
        <w:rPr>
          <w:rFonts w:ascii="Arial" w:hAnsi="Arial" w:cs="Arial"/>
          <w:sz w:val="24"/>
          <w:szCs w:val="24"/>
        </w:rPr>
        <w:t xml:space="preserve">efuge, she spent one night screaming and shouting </w:t>
      </w:r>
      <w:r w:rsidR="00F33719">
        <w:rPr>
          <w:rFonts w:ascii="Arial" w:hAnsi="Arial" w:cs="Arial"/>
          <w:sz w:val="24"/>
          <w:szCs w:val="24"/>
        </w:rPr>
        <w:t>– here actions apparently ‘</w:t>
      </w:r>
      <w:r w:rsidR="0070090F" w:rsidRPr="009D007C">
        <w:rPr>
          <w:rFonts w:ascii="Arial" w:hAnsi="Arial" w:cs="Arial"/>
          <w:sz w:val="24"/>
          <w:szCs w:val="24"/>
        </w:rPr>
        <w:t>disturbing other residents</w:t>
      </w:r>
      <w:r w:rsidR="00F33719">
        <w:rPr>
          <w:rFonts w:ascii="Arial" w:hAnsi="Arial" w:cs="Arial"/>
          <w:sz w:val="24"/>
          <w:szCs w:val="24"/>
        </w:rPr>
        <w:t>’</w:t>
      </w:r>
      <w:r w:rsidR="0070090F" w:rsidRPr="009D007C">
        <w:rPr>
          <w:rFonts w:ascii="Arial" w:hAnsi="Arial" w:cs="Arial"/>
          <w:sz w:val="24"/>
          <w:szCs w:val="24"/>
        </w:rPr>
        <w:t>. Fo</w:t>
      </w:r>
      <w:r>
        <w:rPr>
          <w:rFonts w:ascii="Arial" w:hAnsi="Arial" w:cs="Arial"/>
          <w:sz w:val="24"/>
          <w:szCs w:val="24"/>
        </w:rPr>
        <w:t>r this offence she wa</w:t>
      </w:r>
      <w:r w:rsidR="0070090F" w:rsidRPr="009D007C">
        <w:rPr>
          <w:rFonts w:ascii="Arial" w:hAnsi="Arial" w:cs="Arial"/>
          <w:sz w:val="24"/>
          <w:szCs w:val="24"/>
        </w:rPr>
        <w:t>s put on a bread and water diet</w:t>
      </w:r>
      <w:r w:rsidR="00BE1739" w:rsidRPr="009D007C">
        <w:rPr>
          <w:rFonts w:ascii="Arial" w:hAnsi="Arial" w:cs="Arial"/>
          <w:sz w:val="24"/>
          <w:szCs w:val="24"/>
        </w:rPr>
        <w:t xml:space="preserve"> for 18 days and then released shortly afterwards</w:t>
      </w:r>
      <w:r w:rsidR="009707B9">
        <w:rPr>
          <w:rFonts w:ascii="Arial" w:hAnsi="Arial" w:cs="Arial"/>
          <w:sz w:val="24"/>
          <w:szCs w:val="24"/>
        </w:rPr>
        <w:t>, very probably in</w:t>
      </w:r>
      <w:r w:rsidR="00BE1739" w:rsidRPr="009D007C">
        <w:rPr>
          <w:rFonts w:ascii="Arial" w:hAnsi="Arial" w:cs="Arial"/>
          <w:sz w:val="24"/>
          <w:szCs w:val="24"/>
        </w:rPr>
        <w:t xml:space="preserve"> </w:t>
      </w:r>
      <w:r w:rsidR="000D13A3" w:rsidRPr="009D007C">
        <w:rPr>
          <w:rFonts w:ascii="Arial" w:hAnsi="Arial" w:cs="Arial"/>
          <w:sz w:val="24"/>
          <w:szCs w:val="24"/>
        </w:rPr>
        <w:t>poor health.</w:t>
      </w:r>
      <w:r w:rsidR="009707B9">
        <w:rPr>
          <w:rFonts w:ascii="Arial" w:hAnsi="Arial" w:cs="Arial"/>
          <w:sz w:val="24"/>
          <w:szCs w:val="24"/>
        </w:rPr>
        <w:t xml:space="preserve"> Her petitioning history begins early in her sentence, probably as soon as regulations permitted.</w:t>
      </w:r>
    </w:p>
    <w:p w14:paraId="0EFA2ACE" w14:textId="77777777" w:rsidR="00CF4658" w:rsidRPr="009D007C" w:rsidRDefault="00CF4658" w:rsidP="00CF4658">
      <w:pPr>
        <w:spacing w:after="0" w:line="240" w:lineRule="auto"/>
        <w:rPr>
          <w:rFonts w:ascii="Arial" w:hAnsi="Arial" w:cs="Arial"/>
          <w:sz w:val="24"/>
          <w:szCs w:val="24"/>
        </w:rPr>
      </w:pPr>
    </w:p>
    <w:p w14:paraId="2E48CE52" w14:textId="77777777" w:rsidR="00874175" w:rsidRDefault="000C74FE" w:rsidP="00CF4658">
      <w:pPr>
        <w:spacing w:after="0" w:line="240" w:lineRule="auto"/>
        <w:rPr>
          <w:rFonts w:ascii="Arial" w:hAnsi="Arial" w:cs="Arial"/>
          <w:sz w:val="24"/>
          <w:szCs w:val="24"/>
        </w:rPr>
      </w:pPr>
      <w:r w:rsidRPr="009D007C">
        <w:rPr>
          <w:rFonts w:ascii="Arial" w:hAnsi="Arial" w:cs="Arial"/>
          <w:sz w:val="24"/>
          <w:szCs w:val="24"/>
        </w:rPr>
        <w:t>Within months of beginning her sentence, Mary was ‘anxious</w:t>
      </w:r>
      <w:r w:rsidR="00127381">
        <w:rPr>
          <w:rFonts w:ascii="Arial" w:hAnsi="Arial" w:cs="Arial"/>
          <w:sz w:val="24"/>
          <w:szCs w:val="24"/>
        </w:rPr>
        <w:t>’</w:t>
      </w:r>
      <w:r w:rsidRPr="009D007C">
        <w:rPr>
          <w:rFonts w:ascii="Arial" w:hAnsi="Arial" w:cs="Arial"/>
          <w:sz w:val="24"/>
          <w:szCs w:val="24"/>
        </w:rPr>
        <w:t xml:space="preserve"> to know about her child. </w:t>
      </w:r>
      <w:r w:rsidR="004F37BB" w:rsidRPr="009D007C">
        <w:rPr>
          <w:rFonts w:ascii="Arial" w:hAnsi="Arial" w:cs="Arial"/>
          <w:sz w:val="24"/>
          <w:szCs w:val="24"/>
        </w:rPr>
        <w:t>Her licence recor</w:t>
      </w:r>
      <w:r w:rsidR="00127381">
        <w:rPr>
          <w:rFonts w:ascii="Arial" w:hAnsi="Arial" w:cs="Arial"/>
          <w:sz w:val="24"/>
          <w:szCs w:val="24"/>
        </w:rPr>
        <w:t>d of applications and petitions</w:t>
      </w:r>
      <w:r w:rsidR="004F37BB" w:rsidRPr="009D007C">
        <w:rPr>
          <w:rFonts w:ascii="Arial" w:hAnsi="Arial" w:cs="Arial"/>
          <w:sz w:val="24"/>
          <w:szCs w:val="24"/>
        </w:rPr>
        <w:t xml:space="preserve"> notes that she asked when she could write to he</w:t>
      </w:r>
      <w:r w:rsidR="00127381">
        <w:rPr>
          <w:rFonts w:ascii="Arial" w:hAnsi="Arial" w:cs="Arial"/>
          <w:sz w:val="24"/>
          <w:szCs w:val="24"/>
        </w:rPr>
        <w:t>r son in 1879, which was followed-</w:t>
      </w:r>
      <w:r w:rsidR="004F37BB" w:rsidRPr="009D007C">
        <w:rPr>
          <w:rFonts w:ascii="Arial" w:hAnsi="Arial" w:cs="Arial"/>
          <w:sz w:val="24"/>
          <w:szCs w:val="24"/>
        </w:rPr>
        <w:t xml:space="preserve">up with requests </w:t>
      </w:r>
      <w:r w:rsidR="00127381">
        <w:rPr>
          <w:rFonts w:ascii="Arial" w:hAnsi="Arial" w:cs="Arial"/>
          <w:sz w:val="24"/>
          <w:szCs w:val="24"/>
        </w:rPr>
        <w:t>for</w:t>
      </w:r>
      <w:r w:rsidR="004F37BB" w:rsidRPr="009D007C">
        <w:rPr>
          <w:rFonts w:ascii="Arial" w:hAnsi="Arial" w:cs="Arial"/>
          <w:sz w:val="24"/>
          <w:szCs w:val="24"/>
        </w:rPr>
        <w:t xml:space="preserve"> Walter visit her in prison and to maintain contact.</w:t>
      </w:r>
      <w:r w:rsidR="00874175" w:rsidRPr="00874175">
        <w:rPr>
          <w:rFonts w:ascii="Arial" w:hAnsi="Arial" w:cs="Arial"/>
          <w:sz w:val="24"/>
          <w:szCs w:val="24"/>
        </w:rPr>
        <w:t xml:space="preserve"> </w:t>
      </w:r>
      <w:r w:rsidR="00874175">
        <w:rPr>
          <w:rFonts w:ascii="Arial" w:hAnsi="Arial" w:cs="Arial"/>
          <w:sz w:val="24"/>
          <w:szCs w:val="24"/>
        </w:rPr>
        <w:t>She</w:t>
      </w:r>
      <w:r w:rsidR="00874175" w:rsidRPr="00874175">
        <w:rPr>
          <w:rFonts w:ascii="Arial" w:hAnsi="Arial" w:cs="Arial"/>
          <w:sz w:val="24"/>
          <w:szCs w:val="24"/>
        </w:rPr>
        <w:t xml:space="preserve"> began to petition the Home Office regularly for contact with her son, asking for his whereabouts and if they can correspond. </w:t>
      </w:r>
      <w:r w:rsidRPr="009D007C">
        <w:rPr>
          <w:rFonts w:ascii="Arial" w:hAnsi="Arial" w:cs="Arial"/>
          <w:sz w:val="24"/>
          <w:szCs w:val="24"/>
        </w:rPr>
        <w:t xml:space="preserve"> On 20 November 1879, the authorities began mak</w:t>
      </w:r>
      <w:r w:rsidR="007E7363">
        <w:rPr>
          <w:rFonts w:ascii="Arial" w:hAnsi="Arial" w:cs="Arial"/>
          <w:sz w:val="24"/>
          <w:szCs w:val="24"/>
        </w:rPr>
        <w:t xml:space="preserve">ing enquiries to locate Walter, after he had been </w:t>
      </w:r>
      <w:r w:rsidRPr="009D007C">
        <w:rPr>
          <w:rFonts w:ascii="Arial" w:hAnsi="Arial" w:cs="Arial"/>
          <w:sz w:val="24"/>
          <w:szCs w:val="24"/>
        </w:rPr>
        <w:t>removed from his mother and taken int</w:t>
      </w:r>
      <w:r w:rsidR="00874175">
        <w:rPr>
          <w:rFonts w:ascii="Arial" w:hAnsi="Arial" w:cs="Arial"/>
          <w:sz w:val="24"/>
          <w:szCs w:val="24"/>
        </w:rPr>
        <w:t xml:space="preserve">o St </w:t>
      </w:r>
      <w:proofErr w:type="spellStart"/>
      <w:r w:rsidR="00874175">
        <w:rPr>
          <w:rFonts w:ascii="Arial" w:hAnsi="Arial" w:cs="Arial"/>
          <w:sz w:val="24"/>
          <w:szCs w:val="24"/>
        </w:rPr>
        <w:t>Olave</w:t>
      </w:r>
      <w:proofErr w:type="spellEnd"/>
      <w:r w:rsidR="00874175">
        <w:rPr>
          <w:rFonts w:ascii="Arial" w:hAnsi="Arial" w:cs="Arial"/>
          <w:sz w:val="24"/>
          <w:szCs w:val="24"/>
        </w:rPr>
        <w:t xml:space="preserve"> Workhouse. In August </w:t>
      </w:r>
      <w:r w:rsidRPr="009D007C">
        <w:rPr>
          <w:rFonts w:ascii="Arial" w:hAnsi="Arial" w:cs="Arial"/>
          <w:sz w:val="24"/>
          <w:szCs w:val="24"/>
        </w:rPr>
        <w:t>1882</w:t>
      </w:r>
      <w:r w:rsidR="007E7363">
        <w:rPr>
          <w:rFonts w:ascii="Arial" w:hAnsi="Arial" w:cs="Arial"/>
          <w:sz w:val="24"/>
          <w:szCs w:val="24"/>
        </w:rPr>
        <w:t xml:space="preserve"> Walter was located. T</w:t>
      </w:r>
      <w:r w:rsidRPr="009D007C">
        <w:rPr>
          <w:rFonts w:ascii="Arial" w:hAnsi="Arial" w:cs="Arial"/>
          <w:sz w:val="24"/>
          <w:szCs w:val="24"/>
        </w:rPr>
        <w:t xml:space="preserve">he union had moved him to the Metropolitan school in Sutton, Surrey. </w:t>
      </w:r>
      <w:r w:rsidR="007E7363">
        <w:rPr>
          <w:rFonts w:ascii="Arial" w:hAnsi="Arial" w:cs="Arial"/>
          <w:sz w:val="24"/>
          <w:szCs w:val="24"/>
        </w:rPr>
        <w:t>Mary</w:t>
      </w:r>
      <w:r w:rsidR="006E6359" w:rsidRPr="006E6359">
        <w:rPr>
          <w:rFonts w:ascii="Arial" w:hAnsi="Arial" w:cs="Arial"/>
          <w:sz w:val="24"/>
          <w:szCs w:val="24"/>
        </w:rPr>
        <w:t xml:space="preserve"> claimed</w:t>
      </w:r>
      <w:r w:rsidR="007E7363">
        <w:rPr>
          <w:rFonts w:ascii="Arial" w:hAnsi="Arial" w:cs="Arial"/>
          <w:sz w:val="24"/>
          <w:szCs w:val="24"/>
        </w:rPr>
        <w:t xml:space="preserve"> that she loved her son and had</w:t>
      </w:r>
      <w:r w:rsidRPr="006E6359">
        <w:rPr>
          <w:rFonts w:ascii="Arial" w:hAnsi="Arial" w:cs="Arial"/>
          <w:sz w:val="24"/>
          <w:szCs w:val="24"/>
        </w:rPr>
        <w:t xml:space="preserve"> not mean</w:t>
      </w:r>
      <w:r w:rsidR="007E7363">
        <w:rPr>
          <w:rFonts w:ascii="Arial" w:hAnsi="Arial" w:cs="Arial"/>
          <w:sz w:val="24"/>
          <w:szCs w:val="24"/>
        </w:rPr>
        <w:t>t</w:t>
      </w:r>
      <w:r w:rsidRPr="006E6359">
        <w:rPr>
          <w:rFonts w:ascii="Arial" w:hAnsi="Arial" w:cs="Arial"/>
          <w:sz w:val="24"/>
          <w:szCs w:val="24"/>
        </w:rPr>
        <w:t xml:space="preserve"> to injure him. She threw him into the river when she was drunk and u</w:t>
      </w:r>
      <w:r w:rsidR="006E6359" w:rsidRPr="006E6359">
        <w:rPr>
          <w:rFonts w:ascii="Arial" w:hAnsi="Arial" w:cs="Arial"/>
          <w:sz w:val="24"/>
          <w:szCs w:val="24"/>
        </w:rPr>
        <w:t>nder influence of alcohol. She wa</w:t>
      </w:r>
      <w:r w:rsidRPr="006E6359">
        <w:rPr>
          <w:rFonts w:ascii="Arial" w:hAnsi="Arial" w:cs="Arial"/>
          <w:sz w:val="24"/>
          <w:szCs w:val="24"/>
        </w:rPr>
        <w:t>s re</w:t>
      </w:r>
      <w:r w:rsidR="007E7363">
        <w:rPr>
          <w:rFonts w:ascii="Arial" w:hAnsi="Arial" w:cs="Arial"/>
          <w:sz w:val="24"/>
          <w:szCs w:val="24"/>
        </w:rPr>
        <w:t>peatedly turned down for parole on those grounds,</w:t>
      </w:r>
      <w:r w:rsidRPr="006E6359">
        <w:rPr>
          <w:rFonts w:ascii="Arial" w:hAnsi="Arial" w:cs="Arial"/>
          <w:sz w:val="24"/>
          <w:szCs w:val="24"/>
        </w:rPr>
        <w:t xml:space="preserve"> despite her cont</w:t>
      </w:r>
      <w:r w:rsidR="006E6359" w:rsidRPr="006E6359">
        <w:rPr>
          <w:rFonts w:ascii="Arial" w:hAnsi="Arial" w:cs="Arial"/>
          <w:sz w:val="24"/>
          <w:szCs w:val="24"/>
        </w:rPr>
        <w:t>inuing pleading and petitions. T</w:t>
      </w:r>
      <w:r w:rsidRPr="006E6359">
        <w:rPr>
          <w:rFonts w:ascii="Arial" w:hAnsi="Arial" w:cs="Arial"/>
          <w:sz w:val="24"/>
          <w:szCs w:val="24"/>
        </w:rPr>
        <w:t xml:space="preserve">hese have not survived but </w:t>
      </w:r>
      <w:r w:rsidR="006E6359" w:rsidRPr="006E6359">
        <w:rPr>
          <w:rFonts w:ascii="Arial" w:hAnsi="Arial" w:cs="Arial"/>
          <w:sz w:val="24"/>
          <w:szCs w:val="24"/>
        </w:rPr>
        <w:t>the dates and thematic summaries were</w:t>
      </w:r>
      <w:r w:rsidRPr="006E6359">
        <w:rPr>
          <w:rFonts w:ascii="Arial" w:hAnsi="Arial" w:cs="Arial"/>
          <w:sz w:val="24"/>
          <w:szCs w:val="24"/>
        </w:rPr>
        <w:t xml:space="preserve"> listed in the </w:t>
      </w:r>
      <w:r w:rsidR="006E6359" w:rsidRPr="006E6359">
        <w:rPr>
          <w:rFonts w:ascii="Arial" w:hAnsi="Arial" w:cs="Arial"/>
          <w:sz w:val="24"/>
          <w:szCs w:val="24"/>
        </w:rPr>
        <w:t>‘</w:t>
      </w:r>
      <w:r w:rsidRPr="006E6359">
        <w:rPr>
          <w:rFonts w:ascii="Arial" w:hAnsi="Arial" w:cs="Arial"/>
          <w:sz w:val="24"/>
          <w:szCs w:val="24"/>
        </w:rPr>
        <w:t>petitions and communications</w:t>
      </w:r>
      <w:r w:rsidR="006E6359" w:rsidRPr="006E6359">
        <w:rPr>
          <w:rFonts w:ascii="Arial" w:hAnsi="Arial" w:cs="Arial"/>
          <w:sz w:val="24"/>
          <w:szCs w:val="24"/>
        </w:rPr>
        <w:t>’ book</w:t>
      </w:r>
      <w:r w:rsidRPr="006E6359">
        <w:rPr>
          <w:rFonts w:ascii="Arial" w:hAnsi="Arial" w:cs="Arial"/>
          <w:sz w:val="24"/>
          <w:szCs w:val="24"/>
        </w:rPr>
        <w:t xml:space="preserve">. </w:t>
      </w:r>
    </w:p>
    <w:p w14:paraId="3A1FDD15" w14:textId="77777777" w:rsidR="00874175" w:rsidRDefault="00874175" w:rsidP="00CF4658">
      <w:pPr>
        <w:spacing w:after="0" w:line="240" w:lineRule="auto"/>
        <w:rPr>
          <w:rFonts w:ascii="Arial" w:hAnsi="Arial" w:cs="Arial"/>
          <w:sz w:val="24"/>
          <w:szCs w:val="24"/>
        </w:rPr>
      </w:pPr>
    </w:p>
    <w:p w14:paraId="7371386E" w14:textId="77777777" w:rsidR="004F37BB" w:rsidRPr="001264AA" w:rsidRDefault="000C74FE" w:rsidP="00CF4658">
      <w:pPr>
        <w:spacing w:after="0" w:line="240" w:lineRule="auto"/>
        <w:rPr>
          <w:rFonts w:ascii="Arial" w:hAnsi="Arial" w:cs="Arial"/>
          <w:sz w:val="24"/>
          <w:szCs w:val="24"/>
        </w:rPr>
      </w:pPr>
      <w:r w:rsidRPr="006E6359">
        <w:rPr>
          <w:rFonts w:ascii="Arial" w:hAnsi="Arial" w:cs="Arial"/>
          <w:sz w:val="24"/>
          <w:szCs w:val="24"/>
        </w:rPr>
        <w:t xml:space="preserve">There </w:t>
      </w:r>
      <w:r w:rsidR="006E6359" w:rsidRPr="006E6359">
        <w:rPr>
          <w:rFonts w:ascii="Arial" w:hAnsi="Arial" w:cs="Arial"/>
          <w:sz w:val="24"/>
          <w:szCs w:val="24"/>
        </w:rPr>
        <w:t>were regular</w:t>
      </w:r>
      <w:r w:rsidRPr="006E6359">
        <w:rPr>
          <w:rFonts w:ascii="Arial" w:hAnsi="Arial" w:cs="Arial"/>
          <w:sz w:val="24"/>
          <w:szCs w:val="24"/>
        </w:rPr>
        <w:t xml:space="preserve"> communications</w:t>
      </w:r>
      <w:r w:rsidR="006E6359" w:rsidRPr="006E6359">
        <w:rPr>
          <w:rFonts w:ascii="Arial" w:hAnsi="Arial" w:cs="Arial"/>
          <w:sz w:val="24"/>
          <w:szCs w:val="24"/>
        </w:rPr>
        <w:t xml:space="preserve"> between her and the prison authorities</w:t>
      </w:r>
      <w:r w:rsidRPr="006E6359">
        <w:rPr>
          <w:rFonts w:ascii="Arial" w:hAnsi="Arial" w:cs="Arial"/>
          <w:sz w:val="24"/>
          <w:szCs w:val="24"/>
        </w:rPr>
        <w:t xml:space="preserve"> in </w:t>
      </w:r>
      <w:r w:rsidR="006E6359" w:rsidRPr="006E6359">
        <w:rPr>
          <w:rFonts w:ascii="Arial" w:hAnsi="Arial" w:cs="Arial"/>
          <w:sz w:val="24"/>
          <w:szCs w:val="24"/>
        </w:rPr>
        <w:t xml:space="preserve">regard to locating </w:t>
      </w:r>
      <w:r w:rsidR="007E7363">
        <w:rPr>
          <w:rFonts w:ascii="Arial" w:hAnsi="Arial" w:cs="Arial"/>
          <w:sz w:val="24"/>
          <w:szCs w:val="24"/>
        </w:rPr>
        <w:t>Walter. U</w:t>
      </w:r>
      <w:r w:rsidR="006E6359" w:rsidRPr="006E6359">
        <w:rPr>
          <w:rFonts w:ascii="Arial" w:hAnsi="Arial" w:cs="Arial"/>
          <w:sz w:val="24"/>
          <w:szCs w:val="24"/>
        </w:rPr>
        <w:t>ltimately, she wa</w:t>
      </w:r>
      <w:r w:rsidR="00FE377C" w:rsidRPr="006E6359">
        <w:rPr>
          <w:rFonts w:ascii="Arial" w:hAnsi="Arial" w:cs="Arial"/>
          <w:sz w:val="24"/>
          <w:szCs w:val="24"/>
        </w:rPr>
        <w:t>s</w:t>
      </w:r>
      <w:r w:rsidR="001264AA">
        <w:rPr>
          <w:rFonts w:ascii="Arial" w:hAnsi="Arial" w:cs="Arial"/>
          <w:sz w:val="24"/>
          <w:szCs w:val="24"/>
        </w:rPr>
        <w:t xml:space="preserve"> given permission for him to visit and to </w:t>
      </w:r>
      <w:r w:rsidRPr="006E6359">
        <w:rPr>
          <w:rFonts w:ascii="Arial" w:hAnsi="Arial" w:cs="Arial"/>
          <w:sz w:val="24"/>
          <w:szCs w:val="24"/>
        </w:rPr>
        <w:t>write</w:t>
      </w:r>
      <w:r w:rsidR="001264AA">
        <w:rPr>
          <w:rFonts w:ascii="Arial" w:hAnsi="Arial" w:cs="Arial"/>
          <w:sz w:val="24"/>
          <w:szCs w:val="24"/>
        </w:rPr>
        <w:t xml:space="preserve"> her</w:t>
      </w:r>
      <w:r w:rsidRPr="006E6359">
        <w:rPr>
          <w:rFonts w:ascii="Arial" w:hAnsi="Arial" w:cs="Arial"/>
          <w:sz w:val="24"/>
          <w:szCs w:val="24"/>
        </w:rPr>
        <w:t xml:space="preserve"> wh</w:t>
      </w:r>
      <w:r w:rsidR="006E6359" w:rsidRPr="006E6359">
        <w:rPr>
          <w:rFonts w:ascii="Arial" w:hAnsi="Arial" w:cs="Arial"/>
          <w:sz w:val="24"/>
          <w:szCs w:val="24"/>
        </w:rPr>
        <w:t xml:space="preserve">en he </w:t>
      </w:r>
      <w:r w:rsidR="001264AA">
        <w:rPr>
          <w:rFonts w:ascii="Arial" w:hAnsi="Arial" w:cs="Arial"/>
          <w:sz w:val="24"/>
          <w:szCs w:val="24"/>
        </w:rPr>
        <w:t>was old enough</w:t>
      </w:r>
      <w:r w:rsidR="00FE377C" w:rsidRPr="006E6359">
        <w:rPr>
          <w:rFonts w:ascii="Arial" w:hAnsi="Arial" w:cs="Arial"/>
          <w:sz w:val="24"/>
          <w:szCs w:val="24"/>
        </w:rPr>
        <w:t xml:space="preserve"> to do so</w:t>
      </w:r>
      <w:r w:rsidR="00FE377C" w:rsidRPr="001264AA">
        <w:rPr>
          <w:rFonts w:ascii="Arial" w:hAnsi="Arial" w:cs="Arial"/>
          <w:sz w:val="24"/>
          <w:szCs w:val="24"/>
        </w:rPr>
        <w:t>.</w:t>
      </w:r>
      <w:r w:rsidR="007E7363">
        <w:rPr>
          <w:rFonts w:ascii="Arial" w:hAnsi="Arial" w:cs="Arial"/>
          <w:sz w:val="24"/>
          <w:szCs w:val="24"/>
        </w:rPr>
        <w:t xml:space="preserve"> At the time, he was not ‘educated enough’ to write but he had permission to write to ‘anyone he pleases’. Walter was in ‘good health’ and ‘stout and strong’ but he did not grow fast. Mary’s petitions then fixated on being reunited with her son. </w:t>
      </w:r>
      <w:r w:rsidR="001264AA">
        <w:rPr>
          <w:rFonts w:ascii="Arial" w:hAnsi="Arial" w:cs="Arial"/>
          <w:sz w:val="24"/>
          <w:szCs w:val="24"/>
        </w:rPr>
        <w:t xml:space="preserve">In April, 1883, Mary petitions for early release: </w:t>
      </w:r>
      <w:r w:rsidR="00CE091F" w:rsidRPr="001264AA">
        <w:rPr>
          <w:rFonts w:ascii="Arial" w:hAnsi="Arial" w:cs="Arial"/>
          <w:sz w:val="24"/>
          <w:szCs w:val="24"/>
        </w:rPr>
        <w:t>‘</w:t>
      </w:r>
      <w:r w:rsidR="004F37BB" w:rsidRPr="001264AA">
        <w:rPr>
          <w:rFonts w:ascii="Arial" w:hAnsi="Arial" w:cs="Arial"/>
          <w:sz w:val="24"/>
          <w:szCs w:val="24"/>
        </w:rPr>
        <w:t>Sh</w:t>
      </w:r>
      <w:r w:rsidR="00CE091F" w:rsidRPr="001264AA">
        <w:rPr>
          <w:rFonts w:ascii="Arial" w:hAnsi="Arial" w:cs="Arial"/>
          <w:sz w:val="24"/>
          <w:szCs w:val="24"/>
        </w:rPr>
        <w:t xml:space="preserve">e] </w:t>
      </w:r>
      <w:proofErr w:type="gramStart"/>
      <w:r w:rsidR="004F37BB" w:rsidRPr="001264AA">
        <w:rPr>
          <w:rFonts w:ascii="Arial" w:hAnsi="Arial" w:cs="Arial"/>
          <w:sz w:val="24"/>
          <w:szCs w:val="24"/>
        </w:rPr>
        <w:t>Prays</w:t>
      </w:r>
      <w:proofErr w:type="gramEnd"/>
      <w:r w:rsidR="004F37BB" w:rsidRPr="001264AA">
        <w:rPr>
          <w:rFonts w:ascii="Arial" w:hAnsi="Arial" w:cs="Arial"/>
          <w:sz w:val="24"/>
          <w:szCs w:val="24"/>
        </w:rPr>
        <w:t xml:space="preserve"> </w:t>
      </w:r>
      <w:r w:rsidR="00CE091F" w:rsidRPr="001264AA">
        <w:rPr>
          <w:rFonts w:ascii="Arial" w:hAnsi="Arial" w:cs="Arial"/>
          <w:sz w:val="24"/>
          <w:szCs w:val="24"/>
        </w:rPr>
        <w:t xml:space="preserve">for a merciful consideration of her case, with a view to obtain her liberation. Pleads that this is her first conviction, and solemnly declares she had no </w:t>
      </w:r>
      <w:r w:rsidR="00590705" w:rsidRPr="001264AA">
        <w:rPr>
          <w:rFonts w:ascii="Arial" w:hAnsi="Arial" w:cs="Arial"/>
          <w:sz w:val="24"/>
          <w:szCs w:val="24"/>
        </w:rPr>
        <w:t>intention</w:t>
      </w:r>
      <w:r w:rsidR="00CE091F" w:rsidRPr="001264AA">
        <w:rPr>
          <w:rFonts w:ascii="Arial" w:hAnsi="Arial" w:cs="Arial"/>
          <w:sz w:val="24"/>
          <w:szCs w:val="24"/>
        </w:rPr>
        <w:t xml:space="preserve"> of injuring her child, that his falling into the water was wholly an accident occurring while she was under the influence of drink. That she loved the child dearly, as his letters to her now </w:t>
      </w:r>
      <w:r w:rsidR="00590705" w:rsidRPr="001264AA">
        <w:rPr>
          <w:rFonts w:ascii="Arial" w:hAnsi="Arial" w:cs="Arial"/>
          <w:sz w:val="24"/>
          <w:szCs w:val="24"/>
        </w:rPr>
        <w:t>will prove’.</w:t>
      </w:r>
      <w:r w:rsidR="00590705" w:rsidRPr="001264AA">
        <w:rPr>
          <w:rStyle w:val="EndnoteReference"/>
          <w:rFonts w:ascii="Arial" w:hAnsi="Arial" w:cs="Arial"/>
          <w:sz w:val="24"/>
          <w:szCs w:val="24"/>
        </w:rPr>
        <w:endnoteReference w:id="51"/>
      </w:r>
      <w:r w:rsidR="00590705" w:rsidRPr="001264AA">
        <w:rPr>
          <w:rFonts w:ascii="Arial" w:hAnsi="Arial" w:cs="Arial"/>
          <w:sz w:val="24"/>
          <w:szCs w:val="24"/>
        </w:rPr>
        <w:t xml:space="preserve"> </w:t>
      </w:r>
      <w:r w:rsidR="001264AA">
        <w:rPr>
          <w:rFonts w:ascii="Arial" w:hAnsi="Arial" w:cs="Arial"/>
          <w:sz w:val="24"/>
          <w:szCs w:val="24"/>
        </w:rPr>
        <w:t>Needless to say, t</w:t>
      </w:r>
      <w:r w:rsidR="00590705" w:rsidRPr="001264AA">
        <w:rPr>
          <w:rFonts w:ascii="Arial" w:hAnsi="Arial" w:cs="Arial"/>
          <w:sz w:val="24"/>
          <w:szCs w:val="24"/>
        </w:rPr>
        <w:t>he reply was that there were ‘</w:t>
      </w:r>
      <w:r w:rsidR="001264AA">
        <w:rPr>
          <w:rFonts w:ascii="Arial" w:hAnsi="Arial" w:cs="Arial"/>
          <w:sz w:val="24"/>
          <w:szCs w:val="24"/>
        </w:rPr>
        <w:t>n</w:t>
      </w:r>
      <w:r w:rsidR="00590705" w:rsidRPr="001264AA">
        <w:rPr>
          <w:rFonts w:ascii="Arial" w:hAnsi="Arial" w:cs="Arial"/>
          <w:sz w:val="24"/>
          <w:szCs w:val="24"/>
        </w:rPr>
        <w:t>o grounds’ for parole. Six months later, Mary petitions again: ‘Prays for remission of her long and painful sentence. Pleads innocence of all guilt trying to cause the death of her child – that his falling into the water was purely accidental &amp; that when he fell from her arms she was under the influence of drink, which for the future she will never taste, that her child was not injured &amp; she earnestly prays to be restored to him.’</w:t>
      </w:r>
      <w:r w:rsidR="00590705" w:rsidRPr="001264AA">
        <w:rPr>
          <w:rStyle w:val="EndnoteReference"/>
          <w:rFonts w:ascii="Arial" w:hAnsi="Arial" w:cs="Arial"/>
          <w:sz w:val="24"/>
          <w:szCs w:val="24"/>
        </w:rPr>
        <w:endnoteReference w:id="52"/>
      </w:r>
      <w:r w:rsidR="001264AA">
        <w:rPr>
          <w:rFonts w:ascii="Arial" w:hAnsi="Arial" w:cs="Arial"/>
          <w:sz w:val="24"/>
          <w:szCs w:val="24"/>
        </w:rPr>
        <w:t xml:space="preserve"> This was unsuccessful. It is doubtful that </w:t>
      </w:r>
      <w:r w:rsidR="00F21B58">
        <w:rPr>
          <w:rFonts w:ascii="Arial" w:hAnsi="Arial" w:cs="Arial"/>
          <w:sz w:val="24"/>
          <w:szCs w:val="24"/>
        </w:rPr>
        <w:t xml:space="preserve">diminished responsibility due to </w:t>
      </w:r>
      <w:r w:rsidR="001264AA">
        <w:rPr>
          <w:rFonts w:ascii="Arial" w:hAnsi="Arial" w:cs="Arial"/>
          <w:sz w:val="24"/>
          <w:szCs w:val="24"/>
        </w:rPr>
        <w:t>drunkenness would procure parole</w:t>
      </w:r>
      <w:r w:rsidR="00AF4DEE">
        <w:rPr>
          <w:rFonts w:ascii="Arial" w:hAnsi="Arial" w:cs="Arial"/>
          <w:sz w:val="24"/>
          <w:szCs w:val="24"/>
        </w:rPr>
        <w:t xml:space="preserve"> or mitigation. The old proverb, ‘he that </w:t>
      </w:r>
      <w:proofErr w:type="spellStart"/>
      <w:r w:rsidR="00AF4DEE">
        <w:rPr>
          <w:rFonts w:ascii="Arial" w:hAnsi="Arial" w:cs="Arial"/>
          <w:sz w:val="24"/>
          <w:szCs w:val="24"/>
        </w:rPr>
        <w:t>killeth</w:t>
      </w:r>
      <w:proofErr w:type="spellEnd"/>
      <w:r w:rsidR="00AF4DEE">
        <w:rPr>
          <w:rFonts w:ascii="Arial" w:hAnsi="Arial" w:cs="Arial"/>
          <w:sz w:val="24"/>
          <w:szCs w:val="24"/>
        </w:rPr>
        <w:t xml:space="preserve"> man drunk, sober shall be hanged’ </w:t>
      </w:r>
      <w:r w:rsidR="002468BF">
        <w:rPr>
          <w:rFonts w:ascii="Arial" w:hAnsi="Arial" w:cs="Arial"/>
          <w:sz w:val="24"/>
          <w:szCs w:val="24"/>
        </w:rPr>
        <w:t xml:space="preserve">applied to English </w:t>
      </w:r>
      <w:r w:rsidR="004A6ACC">
        <w:rPr>
          <w:rFonts w:ascii="Arial" w:hAnsi="Arial" w:cs="Arial"/>
          <w:sz w:val="24"/>
          <w:szCs w:val="24"/>
        </w:rPr>
        <w:t xml:space="preserve">law </w:t>
      </w:r>
      <w:r w:rsidR="002468BF">
        <w:rPr>
          <w:rFonts w:ascii="Arial" w:hAnsi="Arial" w:cs="Arial"/>
          <w:sz w:val="24"/>
          <w:szCs w:val="24"/>
        </w:rPr>
        <w:t>because ‘the want of discretion was self-inflicted’.</w:t>
      </w:r>
      <w:r w:rsidR="002468BF">
        <w:rPr>
          <w:rStyle w:val="EndnoteReference"/>
          <w:rFonts w:ascii="Arial" w:hAnsi="Arial" w:cs="Arial"/>
          <w:sz w:val="24"/>
          <w:szCs w:val="24"/>
        </w:rPr>
        <w:endnoteReference w:id="53"/>
      </w:r>
      <w:r w:rsidR="00AF4DEE">
        <w:rPr>
          <w:rFonts w:ascii="Arial" w:hAnsi="Arial" w:cs="Arial"/>
          <w:sz w:val="24"/>
          <w:szCs w:val="24"/>
        </w:rPr>
        <w:t xml:space="preserve"> </w:t>
      </w:r>
      <w:r w:rsidR="00F21B58">
        <w:rPr>
          <w:rFonts w:ascii="Arial" w:hAnsi="Arial" w:cs="Arial"/>
          <w:sz w:val="24"/>
          <w:szCs w:val="24"/>
        </w:rPr>
        <w:t xml:space="preserve">Her final petition summary (as </w:t>
      </w:r>
      <w:r w:rsidR="002153CE">
        <w:rPr>
          <w:rFonts w:ascii="Arial" w:hAnsi="Arial" w:cs="Arial"/>
          <w:sz w:val="24"/>
          <w:szCs w:val="24"/>
        </w:rPr>
        <w:t>summarised</w:t>
      </w:r>
      <w:r w:rsidR="00F21B58">
        <w:rPr>
          <w:rFonts w:ascii="Arial" w:hAnsi="Arial" w:cs="Arial"/>
          <w:sz w:val="24"/>
          <w:szCs w:val="24"/>
        </w:rPr>
        <w:t xml:space="preserve"> in the petition file) reads: ‘Having now completed six years of her sentence prays for remission of the remainder </w:t>
      </w:r>
      <w:proofErr w:type="spellStart"/>
      <w:r w:rsidR="00F21B58">
        <w:rPr>
          <w:rFonts w:ascii="Arial" w:hAnsi="Arial" w:cs="Arial"/>
          <w:sz w:val="24"/>
          <w:szCs w:val="24"/>
        </w:rPr>
        <w:t>viz</w:t>
      </w:r>
      <w:proofErr w:type="spellEnd"/>
      <w:r w:rsidR="00F21B58">
        <w:rPr>
          <w:rFonts w:ascii="Arial" w:hAnsi="Arial" w:cs="Arial"/>
          <w:sz w:val="24"/>
          <w:szCs w:val="24"/>
        </w:rPr>
        <w:t xml:space="preserve"> 18 months. Pleads that she is a good machinist, able to earn a comfortable living and that she is longing to return to her child for whom she is now suffering’.</w:t>
      </w:r>
      <w:r w:rsidR="002153CE">
        <w:rPr>
          <w:rStyle w:val="EndnoteReference"/>
          <w:rFonts w:ascii="Arial" w:hAnsi="Arial" w:cs="Arial"/>
          <w:sz w:val="24"/>
          <w:szCs w:val="24"/>
        </w:rPr>
        <w:endnoteReference w:id="54"/>
      </w:r>
      <w:r w:rsidR="00F21B58">
        <w:rPr>
          <w:rFonts w:ascii="Arial" w:hAnsi="Arial" w:cs="Arial"/>
          <w:sz w:val="24"/>
          <w:szCs w:val="24"/>
        </w:rPr>
        <w:t xml:space="preserve"> Once again, this was not </w:t>
      </w:r>
      <w:r w:rsidR="004A6ACC">
        <w:rPr>
          <w:rFonts w:ascii="Arial" w:hAnsi="Arial" w:cs="Arial"/>
          <w:sz w:val="24"/>
          <w:szCs w:val="24"/>
        </w:rPr>
        <w:t xml:space="preserve">yet </w:t>
      </w:r>
      <w:r w:rsidR="00F21B58">
        <w:rPr>
          <w:rFonts w:ascii="Arial" w:hAnsi="Arial" w:cs="Arial"/>
          <w:sz w:val="24"/>
          <w:szCs w:val="24"/>
        </w:rPr>
        <w:t>enough</w:t>
      </w:r>
      <w:r w:rsidR="004A6ACC">
        <w:rPr>
          <w:rFonts w:ascii="Arial" w:hAnsi="Arial" w:cs="Arial"/>
          <w:sz w:val="24"/>
          <w:szCs w:val="24"/>
        </w:rPr>
        <w:t xml:space="preserve"> for her early </w:t>
      </w:r>
      <w:r w:rsidR="004A6ACC">
        <w:rPr>
          <w:rFonts w:ascii="Arial" w:hAnsi="Arial" w:cs="Arial"/>
          <w:sz w:val="24"/>
          <w:szCs w:val="24"/>
        </w:rPr>
        <w:lastRenderedPageBreak/>
        <w:t>release on parole</w:t>
      </w:r>
      <w:r w:rsidR="00F21B58">
        <w:rPr>
          <w:rFonts w:ascii="Arial" w:hAnsi="Arial" w:cs="Arial"/>
          <w:sz w:val="24"/>
          <w:szCs w:val="24"/>
        </w:rPr>
        <w:t xml:space="preserve">. Yet it is worth noting the </w:t>
      </w:r>
      <w:r w:rsidR="00C60F5E">
        <w:rPr>
          <w:rFonts w:ascii="Arial" w:hAnsi="Arial" w:cs="Arial"/>
          <w:sz w:val="24"/>
          <w:szCs w:val="24"/>
        </w:rPr>
        <w:t>reference</w:t>
      </w:r>
      <w:r w:rsidR="00DE32DC">
        <w:rPr>
          <w:rFonts w:ascii="Arial" w:hAnsi="Arial" w:cs="Arial"/>
          <w:sz w:val="24"/>
          <w:szCs w:val="24"/>
        </w:rPr>
        <w:t xml:space="preserve"> to useful work: employability </w:t>
      </w:r>
      <w:r w:rsidR="00B32FE5">
        <w:rPr>
          <w:rFonts w:ascii="Arial" w:hAnsi="Arial" w:cs="Arial"/>
          <w:sz w:val="24"/>
          <w:szCs w:val="24"/>
        </w:rPr>
        <w:t>was one of the most common</w:t>
      </w:r>
      <w:r w:rsidR="00DE32DC">
        <w:rPr>
          <w:rFonts w:ascii="Arial" w:hAnsi="Arial" w:cs="Arial"/>
          <w:sz w:val="24"/>
          <w:szCs w:val="24"/>
        </w:rPr>
        <w:t>ly adopted</w:t>
      </w:r>
      <w:r w:rsidR="00B32FE5">
        <w:rPr>
          <w:rFonts w:ascii="Arial" w:hAnsi="Arial" w:cs="Arial"/>
          <w:sz w:val="24"/>
          <w:szCs w:val="24"/>
        </w:rPr>
        <w:t xml:space="preserve"> themes in successful petitions.</w:t>
      </w:r>
    </w:p>
    <w:p w14:paraId="598ED0F1" w14:textId="77777777" w:rsidR="000C74FE" w:rsidRPr="009D007C" w:rsidRDefault="000C74FE" w:rsidP="00CF4658">
      <w:pPr>
        <w:spacing w:after="0" w:line="240" w:lineRule="auto"/>
        <w:rPr>
          <w:rFonts w:ascii="Arial" w:hAnsi="Arial" w:cs="Arial"/>
          <w:sz w:val="24"/>
          <w:szCs w:val="24"/>
        </w:rPr>
      </w:pPr>
    </w:p>
    <w:p w14:paraId="56F2867D" w14:textId="77777777" w:rsidR="000C74FE" w:rsidRPr="009D007C" w:rsidRDefault="00BC344B" w:rsidP="00CF4658">
      <w:pPr>
        <w:spacing w:after="0" w:line="240" w:lineRule="auto"/>
        <w:rPr>
          <w:rFonts w:ascii="Arial" w:hAnsi="Arial" w:cs="Arial"/>
          <w:sz w:val="24"/>
          <w:szCs w:val="24"/>
        </w:rPr>
      </w:pPr>
      <w:r w:rsidRPr="009D007C">
        <w:rPr>
          <w:rFonts w:ascii="Arial" w:hAnsi="Arial" w:cs="Arial"/>
          <w:sz w:val="24"/>
          <w:szCs w:val="24"/>
        </w:rPr>
        <w:t xml:space="preserve">Contemporary attitudes towards </w:t>
      </w:r>
      <w:r w:rsidR="007269D8">
        <w:rPr>
          <w:rFonts w:ascii="Arial" w:hAnsi="Arial" w:cs="Arial"/>
          <w:sz w:val="24"/>
          <w:szCs w:val="24"/>
        </w:rPr>
        <w:t>the type of</w:t>
      </w:r>
      <w:r w:rsidR="00FE377C" w:rsidRPr="009D007C">
        <w:rPr>
          <w:rFonts w:ascii="Arial" w:hAnsi="Arial" w:cs="Arial"/>
          <w:sz w:val="24"/>
          <w:szCs w:val="24"/>
        </w:rPr>
        <w:t xml:space="preserve"> behaviour</w:t>
      </w:r>
      <w:r w:rsidR="007269D8">
        <w:rPr>
          <w:rFonts w:ascii="Arial" w:hAnsi="Arial" w:cs="Arial"/>
          <w:sz w:val="24"/>
          <w:szCs w:val="24"/>
        </w:rPr>
        <w:t xml:space="preserve"> she displayed</w:t>
      </w:r>
      <w:r w:rsidR="00FE377C" w:rsidRPr="009D007C">
        <w:rPr>
          <w:rFonts w:ascii="Arial" w:hAnsi="Arial" w:cs="Arial"/>
          <w:sz w:val="24"/>
          <w:szCs w:val="24"/>
        </w:rPr>
        <w:t xml:space="preserve"> in prison </w:t>
      </w:r>
      <w:r w:rsidR="0087024B">
        <w:rPr>
          <w:rFonts w:ascii="Arial" w:hAnsi="Arial" w:cs="Arial"/>
          <w:sz w:val="24"/>
          <w:szCs w:val="24"/>
        </w:rPr>
        <w:t xml:space="preserve">may have </w:t>
      </w:r>
      <w:r w:rsidRPr="009D007C">
        <w:rPr>
          <w:rFonts w:ascii="Arial" w:hAnsi="Arial" w:cs="Arial"/>
          <w:sz w:val="24"/>
          <w:szCs w:val="24"/>
        </w:rPr>
        <w:t xml:space="preserve">sealed </w:t>
      </w:r>
      <w:r w:rsidR="00EB6F42">
        <w:rPr>
          <w:rFonts w:ascii="Arial" w:hAnsi="Arial" w:cs="Arial"/>
          <w:sz w:val="24"/>
          <w:szCs w:val="24"/>
        </w:rPr>
        <w:t>Mary’s</w:t>
      </w:r>
      <w:r w:rsidRPr="009D007C">
        <w:rPr>
          <w:rFonts w:ascii="Arial" w:hAnsi="Arial" w:cs="Arial"/>
          <w:sz w:val="24"/>
          <w:szCs w:val="24"/>
        </w:rPr>
        <w:t xml:space="preserve"> fate to a lengthy sentence</w:t>
      </w:r>
      <w:r w:rsidR="00590705">
        <w:rPr>
          <w:rFonts w:ascii="Arial" w:hAnsi="Arial" w:cs="Arial"/>
          <w:sz w:val="24"/>
          <w:szCs w:val="24"/>
        </w:rPr>
        <w:t xml:space="preserve"> whatever the circumstances</w:t>
      </w:r>
      <w:r w:rsidR="00FE377C" w:rsidRPr="009D007C">
        <w:rPr>
          <w:rFonts w:ascii="Arial" w:hAnsi="Arial" w:cs="Arial"/>
          <w:sz w:val="24"/>
          <w:szCs w:val="24"/>
        </w:rPr>
        <w:t xml:space="preserve">. </w:t>
      </w:r>
      <w:r w:rsidR="00FA067B">
        <w:rPr>
          <w:rFonts w:ascii="Arial" w:hAnsi="Arial" w:cs="Arial"/>
          <w:sz w:val="24"/>
          <w:szCs w:val="24"/>
        </w:rPr>
        <w:t>Her crime was also treated harshly in comparison to other cases</w:t>
      </w:r>
      <w:r w:rsidR="005636D2">
        <w:rPr>
          <w:rFonts w:ascii="Arial" w:hAnsi="Arial" w:cs="Arial"/>
          <w:sz w:val="24"/>
          <w:szCs w:val="24"/>
        </w:rPr>
        <w:t xml:space="preserve"> of women who killed their children</w:t>
      </w:r>
      <w:r w:rsidR="00FA067B">
        <w:rPr>
          <w:rFonts w:ascii="Arial" w:hAnsi="Arial" w:cs="Arial"/>
          <w:sz w:val="24"/>
          <w:szCs w:val="24"/>
        </w:rPr>
        <w:t>.</w:t>
      </w:r>
      <w:r w:rsidR="00FA067B">
        <w:rPr>
          <w:rStyle w:val="EndnoteReference"/>
          <w:rFonts w:ascii="Arial" w:hAnsi="Arial" w:cs="Arial"/>
          <w:sz w:val="24"/>
          <w:szCs w:val="24"/>
        </w:rPr>
        <w:endnoteReference w:id="55"/>
      </w:r>
      <w:r w:rsidR="0088695D">
        <w:rPr>
          <w:rFonts w:ascii="Arial" w:hAnsi="Arial" w:cs="Arial"/>
          <w:sz w:val="24"/>
          <w:szCs w:val="24"/>
        </w:rPr>
        <w:t xml:space="preserve"> Ultimately, though, she was a ‘fa</w:t>
      </w:r>
      <w:r w:rsidR="007269D8">
        <w:rPr>
          <w:rFonts w:ascii="Arial" w:hAnsi="Arial" w:cs="Arial"/>
          <w:sz w:val="24"/>
          <w:szCs w:val="24"/>
        </w:rPr>
        <w:t>llen’ woman and part of an imagined criminal class of female offenders</w:t>
      </w:r>
      <w:r w:rsidR="0088695D">
        <w:rPr>
          <w:rFonts w:ascii="Arial" w:hAnsi="Arial" w:cs="Arial"/>
          <w:sz w:val="24"/>
          <w:szCs w:val="24"/>
        </w:rPr>
        <w:t>.</w:t>
      </w:r>
      <w:r w:rsidR="0088695D">
        <w:rPr>
          <w:rStyle w:val="EndnoteReference"/>
          <w:rFonts w:ascii="Arial" w:hAnsi="Arial" w:cs="Arial"/>
          <w:sz w:val="24"/>
          <w:szCs w:val="24"/>
        </w:rPr>
        <w:endnoteReference w:id="56"/>
      </w:r>
      <w:r w:rsidR="00FA067B">
        <w:rPr>
          <w:rFonts w:ascii="Arial" w:hAnsi="Arial" w:cs="Arial"/>
          <w:sz w:val="24"/>
          <w:szCs w:val="24"/>
        </w:rPr>
        <w:t xml:space="preserve"> </w:t>
      </w:r>
      <w:r w:rsidR="004C5D09">
        <w:rPr>
          <w:rFonts w:ascii="Arial" w:hAnsi="Arial" w:cs="Arial"/>
          <w:sz w:val="24"/>
          <w:szCs w:val="24"/>
        </w:rPr>
        <w:t xml:space="preserve">Her </w:t>
      </w:r>
      <w:r w:rsidR="00603507">
        <w:rPr>
          <w:rFonts w:ascii="Arial" w:hAnsi="Arial" w:cs="Arial"/>
          <w:sz w:val="24"/>
          <w:szCs w:val="24"/>
        </w:rPr>
        <w:t>statements are</w:t>
      </w:r>
      <w:r w:rsidR="004C5D09">
        <w:rPr>
          <w:rFonts w:ascii="Arial" w:hAnsi="Arial" w:cs="Arial"/>
          <w:sz w:val="24"/>
          <w:szCs w:val="24"/>
        </w:rPr>
        <w:t xml:space="preserve"> erratic and also foolhardy</w:t>
      </w:r>
      <w:r w:rsidR="00D67631">
        <w:rPr>
          <w:rFonts w:ascii="Arial" w:hAnsi="Arial" w:cs="Arial"/>
          <w:sz w:val="24"/>
          <w:szCs w:val="24"/>
        </w:rPr>
        <w:t xml:space="preserve"> against such a system</w:t>
      </w:r>
      <w:r w:rsidR="004C5D09">
        <w:rPr>
          <w:rFonts w:ascii="Arial" w:hAnsi="Arial" w:cs="Arial"/>
          <w:sz w:val="24"/>
          <w:szCs w:val="24"/>
        </w:rPr>
        <w:t xml:space="preserve"> </w:t>
      </w:r>
      <w:r w:rsidR="00603507">
        <w:rPr>
          <w:rFonts w:ascii="Arial" w:hAnsi="Arial" w:cs="Arial"/>
          <w:sz w:val="24"/>
          <w:szCs w:val="24"/>
        </w:rPr>
        <w:t>in</w:t>
      </w:r>
      <w:r w:rsidR="004C5D09">
        <w:rPr>
          <w:rFonts w:ascii="Arial" w:hAnsi="Arial" w:cs="Arial"/>
          <w:sz w:val="24"/>
          <w:szCs w:val="24"/>
        </w:rPr>
        <w:t xml:space="preserve"> questioning the decision of the courts and the witness</w:t>
      </w:r>
      <w:r w:rsidR="004611DD">
        <w:rPr>
          <w:rFonts w:ascii="Arial" w:hAnsi="Arial" w:cs="Arial"/>
          <w:sz w:val="24"/>
          <w:szCs w:val="24"/>
        </w:rPr>
        <w:t>es’</w:t>
      </w:r>
      <w:r w:rsidR="004C5D09">
        <w:rPr>
          <w:rFonts w:ascii="Arial" w:hAnsi="Arial" w:cs="Arial"/>
          <w:sz w:val="24"/>
          <w:szCs w:val="24"/>
        </w:rPr>
        <w:t xml:space="preserve"> statements about her behaviour. It is not possible to definit</w:t>
      </w:r>
      <w:r w:rsidR="004611DD">
        <w:rPr>
          <w:rFonts w:ascii="Arial" w:hAnsi="Arial" w:cs="Arial"/>
          <w:sz w:val="24"/>
          <w:szCs w:val="24"/>
        </w:rPr>
        <w:t>iv</w:t>
      </w:r>
      <w:r w:rsidR="004C5D09">
        <w:rPr>
          <w:rFonts w:ascii="Arial" w:hAnsi="Arial" w:cs="Arial"/>
          <w:sz w:val="24"/>
          <w:szCs w:val="24"/>
        </w:rPr>
        <w:t xml:space="preserve">ely state whether or not </w:t>
      </w:r>
      <w:r w:rsidR="005636D2">
        <w:rPr>
          <w:rFonts w:ascii="Arial" w:hAnsi="Arial" w:cs="Arial"/>
          <w:sz w:val="24"/>
          <w:szCs w:val="24"/>
        </w:rPr>
        <w:t xml:space="preserve">this was some sort of </w:t>
      </w:r>
      <w:r w:rsidR="004C5D09">
        <w:rPr>
          <w:rFonts w:ascii="Arial" w:hAnsi="Arial" w:cs="Arial"/>
          <w:sz w:val="24"/>
          <w:szCs w:val="24"/>
        </w:rPr>
        <w:t>psychosis</w:t>
      </w:r>
      <w:r w:rsidR="00603507">
        <w:rPr>
          <w:rFonts w:ascii="Arial" w:hAnsi="Arial" w:cs="Arial"/>
          <w:sz w:val="24"/>
          <w:szCs w:val="24"/>
        </w:rPr>
        <w:t>,</w:t>
      </w:r>
      <w:r w:rsidR="004C5D09">
        <w:rPr>
          <w:rFonts w:ascii="Arial" w:hAnsi="Arial" w:cs="Arial"/>
          <w:sz w:val="24"/>
          <w:szCs w:val="24"/>
        </w:rPr>
        <w:t xml:space="preserve"> </w:t>
      </w:r>
      <w:r w:rsidR="004611DD">
        <w:rPr>
          <w:rFonts w:ascii="Arial" w:hAnsi="Arial" w:cs="Arial"/>
          <w:sz w:val="24"/>
          <w:szCs w:val="24"/>
        </w:rPr>
        <w:t xml:space="preserve">depression, </w:t>
      </w:r>
      <w:r w:rsidR="004C5D09">
        <w:rPr>
          <w:rFonts w:ascii="Arial" w:hAnsi="Arial" w:cs="Arial"/>
          <w:sz w:val="24"/>
          <w:szCs w:val="24"/>
        </w:rPr>
        <w:t>coping mechanisms</w:t>
      </w:r>
      <w:r w:rsidR="005636D2">
        <w:rPr>
          <w:rFonts w:ascii="Arial" w:hAnsi="Arial" w:cs="Arial"/>
          <w:sz w:val="24"/>
          <w:szCs w:val="24"/>
        </w:rPr>
        <w:t>, lies</w:t>
      </w:r>
      <w:r w:rsidR="004C5D09">
        <w:rPr>
          <w:rFonts w:ascii="Arial" w:hAnsi="Arial" w:cs="Arial"/>
          <w:sz w:val="24"/>
          <w:szCs w:val="24"/>
        </w:rPr>
        <w:t xml:space="preserve"> or </w:t>
      </w:r>
      <w:r w:rsidR="004611DD">
        <w:rPr>
          <w:rFonts w:ascii="Arial" w:hAnsi="Arial" w:cs="Arial"/>
          <w:sz w:val="24"/>
          <w:szCs w:val="24"/>
        </w:rPr>
        <w:t>something else</w:t>
      </w:r>
      <w:r w:rsidR="004C5D09">
        <w:rPr>
          <w:rFonts w:ascii="Arial" w:hAnsi="Arial" w:cs="Arial"/>
          <w:sz w:val="24"/>
          <w:szCs w:val="24"/>
        </w:rPr>
        <w:t xml:space="preserve">. </w:t>
      </w:r>
      <w:r w:rsidR="004611DD">
        <w:rPr>
          <w:rFonts w:ascii="Arial" w:hAnsi="Arial" w:cs="Arial"/>
          <w:sz w:val="24"/>
          <w:szCs w:val="24"/>
        </w:rPr>
        <w:t>If she laboured under mental-health illness, h</w:t>
      </w:r>
      <w:r w:rsidR="00603507">
        <w:rPr>
          <w:rFonts w:ascii="Arial" w:hAnsi="Arial" w:cs="Arial"/>
          <w:sz w:val="24"/>
          <w:szCs w:val="24"/>
        </w:rPr>
        <w:t xml:space="preserve">er </w:t>
      </w:r>
      <w:r w:rsidR="00603507" w:rsidRPr="009D007C">
        <w:rPr>
          <w:rFonts w:ascii="Arial" w:hAnsi="Arial" w:cs="Arial"/>
          <w:sz w:val="24"/>
          <w:szCs w:val="24"/>
        </w:rPr>
        <w:t>particular</w:t>
      </w:r>
      <w:r w:rsidR="004C5D09">
        <w:rPr>
          <w:rFonts w:ascii="Arial" w:hAnsi="Arial" w:cs="Arial"/>
          <w:sz w:val="24"/>
          <w:szCs w:val="24"/>
        </w:rPr>
        <w:t xml:space="preserve"> </w:t>
      </w:r>
      <w:r w:rsidR="00603507">
        <w:rPr>
          <w:rFonts w:ascii="Arial" w:hAnsi="Arial" w:cs="Arial"/>
          <w:sz w:val="24"/>
          <w:szCs w:val="24"/>
        </w:rPr>
        <w:t>treatment</w:t>
      </w:r>
      <w:r w:rsidR="004C5D09">
        <w:rPr>
          <w:rFonts w:ascii="Arial" w:hAnsi="Arial" w:cs="Arial"/>
          <w:sz w:val="24"/>
          <w:szCs w:val="24"/>
        </w:rPr>
        <w:t xml:space="preserve"> </w:t>
      </w:r>
      <w:r w:rsidRPr="009D007C">
        <w:rPr>
          <w:rFonts w:ascii="Arial" w:hAnsi="Arial" w:cs="Arial"/>
          <w:sz w:val="24"/>
          <w:szCs w:val="24"/>
        </w:rPr>
        <w:t>indicates</w:t>
      </w:r>
      <w:r w:rsidR="00FE377C" w:rsidRPr="009D007C">
        <w:rPr>
          <w:rFonts w:ascii="Arial" w:hAnsi="Arial" w:cs="Arial"/>
          <w:sz w:val="24"/>
          <w:szCs w:val="24"/>
        </w:rPr>
        <w:t xml:space="preserve"> that </w:t>
      </w:r>
      <w:r w:rsidR="007D7B97">
        <w:rPr>
          <w:rFonts w:ascii="Arial" w:hAnsi="Arial" w:cs="Arial"/>
          <w:sz w:val="24"/>
          <w:szCs w:val="24"/>
        </w:rPr>
        <w:t>neither her</w:t>
      </w:r>
      <w:r w:rsidR="00FE377C" w:rsidRPr="009D007C">
        <w:rPr>
          <w:rFonts w:ascii="Arial" w:hAnsi="Arial" w:cs="Arial"/>
          <w:sz w:val="24"/>
          <w:szCs w:val="24"/>
        </w:rPr>
        <w:t xml:space="preserve"> </w:t>
      </w:r>
      <w:r w:rsidR="007D7B97">
        <w:rPr>
          <w:rFonts w:ascii="Arial" w:hAnsi="Arial" w:cs="Arial"/>
          <w:sz w:val="24"/>
          <w:szCs w:val="24"/>
        </w:rPr>
        <w:t xml:space="preserve">epilepsy nor her </w:t>
      </w:r>
      <w:r w:rsidR="00FE377C" w:rsidRPr="009D007C">
        <w:rPr>
          <w:rFonts w:ascii="Arial" w:hAnsi="Arial" w:cs="Arial"/>
          <w:sz w:val="24"/>
          <w:szCs w:val="24"/>
        </w:rPr>
        <w:t xml:space="preserve">mental health </w:t>
      </w:r>
      <w:r w:rsidR="00E3008C">
        <w:rPr>
          <w:rFonts w:ascii="Arial" w:hAnsi="Arial" w:cs="Arial"/>
          <w:sz w:val="24"/>
          <w:szCs w:val="24"/>
        </w:rPr>
        <w:t xml:space="preserve">needs were being met. If she had been, </w:t>
      </w:r>
      <w:r w:rsidR="005636D2">
        <w:rPr>
          <w:rFonts w:ascii="Arial" w:hAnsi="Arial" w:cs="Arial"/>
          <w:sz w:val="24"/>
          <w:szCs w:val="24"/>
        </w:rPr>
        <w:t>Mary</w:t>
      </w:r>
      <w:r w:rsidR="007D7B97">
        <w:rPr>
          <w:rFonts w:ascii="Arial" w:hAnsi="Arial" w:cs="Arial"/>
          <w:sz w:val="24"/>
          <w:szCs w:val="24"/>
        </w:rPr>
        <w:t xml:space="preserve"> </w:t>
      </w:r>
      <w:r w:rsidR="004611DD">
        <w:rPr>
          <w:rFonts w:ascii="Arial" w:hAnsi="Arial" w:cs="Arial"/>
          <w:sz w:val="24"/>
          <w:szCs w:val="24"/>
        </w:rPr>
        <w:t>was</w:t>
      </w:r>
      <w:r w:rsidR="00E3008C">
        <w:rPr>
          <w:rFonts w:ascii="Arial" w:hAnsi="Arial" w:cs="Arial"/>
          <w:sz w:val="24"/>
          <w:szCs w:val="24"/>
        </w:rPr>
        <w:t xml:space="preserve"> also</w:t>
      </w:r>
      <w:r w:rsidR="004611DD">
        <w:rPr>
          <w:rFonts w:ascii="Arial" w:hAnsi="Arial" w:cs="Arial"/>
          <w:sz w:val="24"/>
          <w:szCs w:val="24"/>
        </w:rPr>
        <w:t xml:space="preserve"> able to circumvent</w:t>
      </w:r>
      <w:r w:rsidR="00FE377C" w:rsidRPr="009D007C">
        <w:rPr>
          <w:rFonts w:ascii="Arial" w:hAnsi="Arial" w:cs="Arial"/>
          <w:sz w:val="24"/>
          <w:szCs w:val="24"/>
        </w:rPr>
        <w:t xml:space="preserve"> medical diagnosis at this time.</w:t>
      </w:r>
      <w:r w:rsidR="0087024B">
        <w:rPr>
          <w:rFonts w:ascii="Arial" w:hAnsi="Arial" w:cs="Arial"/>
          <w:sz w:val="24"/>
          <w:szCs w:val="24"/>
        </w:rPr>
        <w:t xml:space="preserve"> N</w:t>
      </w:r>
      <w:r w:rsidRPr="009D007C">
        <w:rPr>
          <w:rFonts w:ascii="Arial" w:hAnsi="Arial" w:cs="Arial"/>
          <w:sz w:val="24"/>
          <w:szCs w:val="24"/>
        </w:rPr>
        <w:t xml:space="preserve">either mental illness nor substance abuse played </w:t>
      </w:r>
      <w:r w:rsidR="00E3008C">
        <w:rPr>
          <w:rFonts w:ascii="Arial" w:hAnsi="Arial" w:cs="Arial"/>
          <w:sz w:val="24"/>
          <w:szCs w:val="24"/>
        </w:rPr>
        <w:t>a</w:t>
      </w:r>
      <w:r w:rsidRPr="009D007C">
        <w:rPr>
          <w:rFonts w:ascii="Arial" w:hAnsi="Arial" w:cs="Arial"/>
          <w:sz w:val="24"/>
          <w:szCs w:val="24"/>
        </w:rPr>
        <w:t xml:space="preserve"> part in </w:t>
      </w:r>
      <w:r w:rsidR="0087024B">
        <w:rPr>
          <w:rFonts w:ascii="Arial" w:hAnsi="Arial" w:cs="Arial"/>
          <w:sz w:val="24"/>
          <w:szCs w:val="24"/>
        </w:rPr>
        <w:t xml:space="preserve">her </w:t>
      </w:r>
      <w:r w:rsidR="00E3008C">
        <w:rPr>
          <w:rFonts w:ascii="Arial" w:hAnsi="Arial" w:cs="Arial"/>
          <w:sz w:val="24"/>
          <w:szCs w:val="24"/>
        </w:rPr>
        <w:t xml:space="preserve">medical </w:t>
      </w:r>
      <w:r w:rsidR="0087024B">
        <w:rPr>
          <w:rFonts w:ascii="Arial" w:hAnsi="Arial" w:cs="Arial"/>
          <w:sz w:val="24"/>
          <w:szCs w:val="24"/>
        </w:rPr>
        <w:t>examination</w:t>
      </w:r>
      <w:r w:rsidR="00E3008C">
        <w:rPr>
          <w:rFonts w:ascii="Arial" w:hAnsi="Arial" w:cs="Arial"/>
          <w:sz w:val="24"/>
          <w:szCs w:val="24"/>
        </w:rPr>
        <w:t>s</w:t>
      </w:r>
      <w:r w:rsidR="0087024B">
        <w:rPr>
          <w:rFonts w:ascii="Arial" w:hAnsi="Arial" w:cs="Arial"/>
          <w:sz w:val="24"/>
          <w:szCs w:val="24"/>
        </w:rPr>
        <w:t xml:space="preserve"> and treatment</w:t>
      </w:r>
      <w:r w:rsidR="00E3008C">
        <w:rPr>
          <w:rFonts w:ascii="Arial" w:hAnsi="Arial" w:cs="Arial"/>
          <w:sz w:val="24"/>
          <w:szCs w:val="24"/>
        </w:rPr>
        <w:t xml:space="preserve"> in prison</w:t>
      </w:r>
      <w:r w:rsidR="0087024B">
        <w:rPr>
          <w:rFonts w:ascii="Arial" w:hAnsi="Arial" w:cs="Arial"/>
          <w:sz w:val="24"/>
          <w:szCs w:val="24"/>
        </w:rPr>
        <w:t>. In contrast, the next case study</w:t>
      </w:r>
      <w:r w:rsidRPr="009D007C">
        <w:rPr>
          <w:rFonts w:ascii="Arial" w:hAnsi="Arial" w:cs="Arial"/>
          <w:sz w:val="24"/>
          <w:szCs w:val="24"/>
        </w:rPr>
        <w:t xml:space="preserve"> shows that </w:t>
      </w:r>
      <w:r w:rsidR="00B6798A" w:rsidRPr="009D007C">
        <w:rPr>
          <w:rFonts w:ascii="Arial" w:hAnsi="Arial" w:cs="Arial"/>
          <w:sz w:val="24"/>
          <w:szCs w:val="24"/>
        </w:rPr>
        <w:t xml:space="preserve">serious </w:t>
      </w:r>
      <w:r w:rsidRPr="009D007C">
        <w:rPr>
          <w:rFonts w:ascii="Arial" w:hAnsi="Arial" w:cs="Arial"/>
          <w:sz w:val="24"/>
          <w:szCs w:val="24"/>
        </w:rPr>
        <w:t>physic</w:t>
      </w:r>
      <w:r w:rsidR="00B6798A" w:rsidRPr="009D007C">
        <w:rPr>
          <w:rFonts w:ascii="Arial" w:hAnsi="Arial" w:cs="Arial"/>
          <w:sz w:val="24"/>
          <w:szCs w:val="24"/>
        </w:rPr>
        <w:t>al sickness could underpin a successful petition.</w:t>
      </w:r>
    </w:p>
    <w:p w14:paraId="311E5A8E" w14:textId="77777777" w:rsidR="00BE1739" w:rsidRPr="009D007C" w:rsidRDefault="00BE1739" w:rsidP="00CF4658">
      <w:pPr>
        <w:spacing w:after="0" w:line="240" w:lineRule="auto"/>
        <w:rPr>
          <w:rFonts w:ascii="Arial" w:hAnsi="Arial" w:cs="Arial"/>
          <w:sz w:val="24"/>
          <w:szCs w:val="24"/>
        </w:rPr>
      </w:pPr>
    </w:p>
    <w:p w14:paraId="7484B7B3" w14:textId="77777777" w:rsidR="00CF4658" w:rsidRPr="00DE63BB" w:rsidRDefault="00DA72A9" w:rsidP="00CF4658">
      <w:pPr>
        <w:spacing w:after="0" w:line="240" w:lineRule="auto"/>
        <w:rPr>
          <w:rFonts w:ascii="Arial" w:hAnsi="Arial" w:cs="Arial"/>
          <w:b/>
          <w:sz w:val="24"/>
          <w:szCs w:val="24"/>
        </w:rPr>
      </w:pPr>
      <w:r w:rsidRPr="00DE63BB">
        <w:rPr>
          <w:rFonts w:ascii="Arial" w:hAnsi="Arial" w:cs="Arial"/>
          <w:b/>
          <w:sz w:val="24"/>
          <w:szCs w:val="24"/>
        </w:rPr>
        <w:t>(ii</w:t>
      </w:r>
      <w:r w:rsidR="00B6798A" w:rsidRPr="00DE63BB">
        <w:rPr>
          <w:rFonts w:ascii="Arial" w:hAnsi="Arial" w:cs="Arial"/>
          <w:b/>
          <w:sz w:val="24"/>
          <w:szCs w:val="24"/>
        </w:rPr>
        <w:t>i</w:t>
      </w:r>
      <w:r w:rsidRPr="00DE63BB">
        <w:rPr>
          <w:rFonts w:ascii="Arial" w:hAnsi="Arial" w:cs="Arial"/>
          <w:b/>
          <w:sz w:val="24"/>
          <w:szCs w:val="24"/>
        </w:rPr>
        <w:t xml:space="preserve">) </w:t>
      </w:r>
      <w:r w:rsidR="00EF246F" w:rsidRPr="00DE63BB">
        <w:rPr>
          <w:rFonts w:ascii="Arial" w:hAnsi="Arial" w:cs="Arial"/>
          <w:b/>
          <w:sz w:val="24"/>
          <w:szCs w:val="24"/>
        </w:rPr>
        <w:t xml:space="preserve">Mary Ann Hall: </w:t>
      </w:r>
      <w:r w:rsidR="00620E20" w:rsidRPr="00DE63BB">
        <w:rPr>
          <w:rFonts w:ascii="Arial" w:hAnsi="Arial" w:cs="Arial"/>
          <w:b/>
          <w:sz w:val="24"/>
          <w:szCs w:val="24"/>
        </w:rPr>
        <w:t xml:space="preserve">morbidity </w:t>
      </w:r>
    </w:p>
    <w:p w14:paraId="22883E1F" w14:textId="77777777" w:rsidR="00E1441C" w:rsidRPr="009D007C" w:rsidRDefault="00E1441C" w:rsidP="00CF4658">
      <w:pPr>
        <w:spacing w:after="0" w:line="240" w:lineRule="auto"/>
        <w:rPr>
          <w:rFonts w:ascii="Arial" w:hAnsi="Arial" w:cs="Arial"/>
          <w:sz w:val="24"/>
          <w:szCs w:val="24"/>
        </w:rPr>
      </w:pPr>
    </w:p>
    <w:p w14:paraId="5FC3FAE9" w14:textId="77777777" w:rsidR="0026163C" w:rsidRPr="009D007C" w:rsidRDefault="00D70ABA" w:rsidP="00A66E40">
      <w:pPr>
        <w:spacing w:after="0" w:line="240" w:lineRule="auto"/>
        <w:rPr>
          <w:rFonts w:ascii="Arial" w:hAnsi="Arial" w:cs="Arial"/>
          <w:sz w:val="24"/>
          <w:szCs w:val="24"/>
        </w:rPr>
      </w:pPr>
      <w:r w:rsidRPr="009D007C">
        <w:rPr>
          <w:rFonts w:ascii="Arial" w:hAnsi="Arial" w:cs="Arial"/>
          <w:sz w:val="24"/>
          <w:szCs w:val="24"/>
        </w:rPr>
        <w:t xml:space="preserve">The final case study </w:t>
      </w:r>
      <w:r w:rsidR="0087024B">
        <w:rPr>
          <w:rFonts w:ascii="Arial" w:hAnsi="Arial" w:cs="Arial"/>
          <w:sz w:val="24"/>
          <w:szCs w:val="24"/>
        </w:rPr>
        <w:t>explores what was</w:t>
      </w:r>
      <w:r w:rsidRPr="009D007C">
        <w:rPr>
          <w:rFonts w:ascii="Arial" w:hAnsi="Arial" w:cs="Arial"/>
          <w:sz w:val="24"/>
          <w:szCs w:val="24"/>
        </w:rPr>
        <w:t xml:space="preserve"> </w:t>
      </w:r>
      <w:r w:rsidR="0087024B" w:rsidRPr="009D007C">
        <w:rPr>
          <w:rFonts w:ascii="Arial" w:hAnsi="Arial" w:cs="Arial"/>
          <w:sz w:val="24"/>
          <w:szCs w:val="24"/>
        </w:rPr>
        <w:t>probably</w:t>
      </w:r>
      <w:r w:rsidRPr="009D007C">
        <w:rPr>
          <w:rFonts w:ascii="Arial" w:hAnsi="Arial" w:cs="Arial"/>
          <w:sz w:val="24"/>
          <w:szCs w:val="24"/>
        </w:rPr>
        <w:t xml:space="preserve"> the most successful </w:t>
      </w:r>
      <w:r w:rsidR="00B04CB1">
        <w:rPr>
          <w:rFonts w:ascii="Arial" w:hAnsi="Arial" w:cs="Arial"/>
          <w:sz w:val="24"/>
          <w:szCs w:val="24"/>
        </w:rPr>
        <w:t>but</w:t>
      </w:r>
      <w:r w:rsidRPr="009D007C">
        <w:rPr>
          <w:rFonts w:ascii="Arial" w:hAnsi="Arial" w:cs="Arial"/>
          <w:sz w:val="24"/>
          <w:szCs w:val="24"/>
        </w:rPr>
        <w:t xml:space="preserve"> hard fought </w:t>
      </w:r>
      <w:r w:rsidR="0087024B">
        <w:rPr>
          <w:rFonts w:ascii="Arial" w:hAnsi="Arial" w:cs="Arial"/>
          <w:sz w:val="24"/>
          <w:szCs w:val="24"/>
        </w:rPr>
        <w:t>reason</w:t>
      </w:r>
      <w:r w:rsidRPr="009D007C">
        <w:rPr>
          <w:rFonts w:ascii="Arial" w:hAnsi="Arial" w:cs="Arial"/>
          <w:sz w:val="24"/>
          <w:szCs w:val="24"/>
        </w:rPr>
        <w:t xml:space="preserve"> for</w:t>
      </w:r>
      <w:r w:rsidR="0087024B">
        <w:rPr>
          <w:rFonts w:ascii="Arial" w:hAnsi="Arial" w:cs="Arial"/>
          <w:sz w:val="24"/>
          <w:szCs w:val="24"/>
        </w:rPr>
        <w:t xml:space="preserve"> parole and early</w:t>
      </w:r>
      <w:r w:rsidRPr="009D007C">
        <w:rPr>
          <w:rFonts w:ascii="Arial" w:hAnsi="Arial" w:cs="Arial"/>
          <w:sz w:val="24"/>
          <w:szCs w:val="24"/>
        </w:rPr>
        <w:t xml:space="preserve"> release</w:t>
      </w:r>
      <w:r w:rsidR="007105B0">
        <w:rPr>
          <w:rFonts w:ascii="Arial" w:hAnsi="Arial" w:cs="Arial"/>
          <w:sz w:val="24"/>
          <w:szCs w:val="24"/>
        </w:rPr>
        <w:t xml:space="preserve">. Faking or exaggerating illness was rife in prison and medical officers were on the frontline as gatekeepers for highly-coveted infirmary time. </w:t>
      </w:r>
      <w:r w:rsidR="007105B0" w:rsidRPr="007105B0">
        <w:rPr>
          <w:rFonts w:ascii="Arial" w:hAnsi="Arial" w:cs="Arial"/>
          <w:sz w:val="24"/>
          <w:szCs w:val="24"/>
          <w:lang w:val="en-GB"/>
        </w:rPr>
        <w:t>Quinton estimated that</w:t>
      </w:r>
      <w:r w:rsidR="007105B0">
        <w:rPr>
          <w:rFonts w:ascii="Arial" w:hAnsi="Arial" w:cs="Arial"/>
          <w:sz w:val="24"/>
          <w:szCs w:val="24"/>
          <w:lang w:val="en-GB"/>
        </w:rPr>
        <w:t xml:space="preserve"> 10 per cent of the prisoners placed themselves on the sick list but only 10 per cent of those were genuine.</w:t>
      </w:r>
      <w:r w:rsidR="009707B9">
        <w:rPr>
          <w:rStyle w:val="EndnoteReference"/>
          <w:rFonts w:ascii="Arial" w:hAnsi="Arial" w:cs="Arial"/>
          <w:sz w:val="24"/>
          <w:szCs w:val="24"/>
          <w:lang w:val="en-GB"/>
        </w:rPr>
        <w:endnoteReference w:id="57"/>
      </w:r>
      <w:r w:rsidR="007105B0">
        <w:rPr>
          <w:rFonts w:ascii="Arial" w:hAnsi="Arial" w:cs="Arial"/>
          <w:sz w:val="24"/>
          <w:szCs w:val="24"/>
          <w:lang w:val="en-GB"/>
        </w:rPr>
        <w:t xml:space="preserve"> </w:t>
      </w:r>
      <w:r w:rsidR="007105B0" w:rsidRPr="007105B0">
        <w:rPr>
          <w:rFonts w:ascii="Arial" w:hAnsi="Arial" w:cs="Arial"/>
          <w:sz w:val="24"/>
          <w:szCs w:val="24"/>
          <w:lang w:val="en-GB"/>
        </w:rPr>
        <w:t xml:space="preserve"> </w:t>
      </w:r>
      <w:r w:rsidR="00B04CB1">
        <w:rPr>
          <w:rFonts w:ascii="Arial" w:hAnsi="Arial" w:cs="Arial"/>
          <w:sz w:val="24"/>
          <w:szCs w:val="24"/>
          <w:lang w:val="en-GB"/>
        </w:rPr>
        <w:t xml:space="preserve">He suggested that </w:t>
      </w:r>
      <w:r w:rsidR="007105B0" w:rsidRPr="007105B0">
        <w:rPr>
          <w:rFonts w:ascii="Arial" w:hAnsi="Arial" w:cs="Arial"/>
          <w:sz w:val="24"/>
          <w:szCs w:val="24"/>
          <w:lang w:val="en-GB"/>
        </w:rPr>
        <w:t>about twenty-five amputations a year were carried out after men deliberately placed their arms or legs in the way of heavy railway trucks on the works</w:t>
      </w:r>
      <w:r w:rsidR="007105B0">
        <w:rPr>
          <w:rFonts w:ascii="Arial" w:hAnsi="Arial" w:cs="Arial"/>
          <w:sz w:val="24"/>
          <w:szCs w:val="24"/>
          <w:lang w:val="en-GB"/>
        </w:rPr>
        <w:t>.</w:t>
      </w:r>
      <w:r w:rsidR="00B04CB1">
        <w:rPr>
          <w:rStyle w:val="EndnoteReference"/>
          <w:rFonts w:ascii="Arial" w:hAnsi="Arial" w:cs="Arial"/>
          <w:sz w:val="24"/>
          <w:szCs w:val="24"/>
          <w:lang w:val="en-GB"/>
        </w:rPr>
        <w:endnoteReference w:id="58"/>
      </w:r>
      <w:r w:rsidR="00B04CB1">
        <w:rPr>
          <w:rFonts w:ascii="Arial" w:hAnsi="Arial" w:cs="Arial"/>
          <w:sz w:val="24"/>
          <w:szCs w:val="24"/>
          <w:lang w:val="en-GB"/>
        </w:rPr>
        <w:t xml:space="preserve"> </w:t>
      </w:r>
      <w:r w:rsidR="00B04CB1">
        <w:rPr>
          <w:rFonts w:ascii="Arial" w:hAnsi="Arial" w:cs="Arial"/>
          <w:sz w:val="24"/>
          <w:szCs w:val="24"/>
        </w:rPr>
        <w:t>Medical officers</w:t>
      </w:r>
      <w:r w:rsidR="00B04CB1" w:rsidRPr="00B04CB1">
        <w:rPr>
          <w:rFonts w:ascii="Arial" w:hAnsi="Arial" w:cs="Arial"/>
          <w:sz w:val="24"/>
          <w:szCs w:val="24"/>
        </w:rPr>
        <w:t xml:space="preserve"> were</w:t>
      </w:r>
      <w:r w:rsidR="00B04CB1">
        <w:rPr>
          <w:rFonts w:ascii="Arial" w:hAnsi="Arial" w:cs="Arial"/>
          <w:sz w:val="24"/>
          <w:szCs w:val="24"/>
        </w:rPr>
        <w:t xml:space="preserve"> thus</w:t>
      </w:r>
      <w:r w:rsidR="00B04CB1" w:rsidRPr="00B04CB1">
        <w:rPr>
          <w:rFonts w:ascii="Arial" w:hAnsi="Arial" w:cs="Arial"/>
          <w:sz w:val="24"/>
          <w:szCs w:val="24"/>
        </w:rPr>
        <w:t xml:space="preserve"> vigilant </w:t>
      </w:r>
      <w:r w:rsidR="00B04CB1">
        <w:rPr>
          <w:rFonts w:ascii="Arial" w:hAnsi="Arial" w:cs="Arial"/>
          <w:sz w:val="24"/>
          <w:szCs w:val="24"/>
        </w:rPr>
        <w:t>against</w:t>
      </w:r>
      <w:r w:rsidR="00B04CB1" w:rsidRPr="00B04CB1">
        <w:rPr>
          <w:rFonts w:ascii="Arial" w:hAnsi="Arial" w:cs="Arial"/>
          <w:sz w:val="24"/>
          <w:szCs w:val="24"/>
        </w:rPr>
        <w:t xml:space="preserve"> malingering.</w:t>
      </w:r>
      <w:r w:rsidR="00BD2F65">
        <w:rPr>
          <w:rStyle w:val="EndnoteReference"/>
          <w:rFonts w:ascii="Arial" w:hAnsi="Arial" w:cs="Arial"/>
          <w:sz w:val="24"/>
          <w:szCs w:val="24"/>
        </w:rPr>
        <w:endnoteReference w:id="59"/>
      </w:r>
      <w:r w:rsidR="00B04CB1" w:rsidRPr="00B04CB1">
        <w:rPr>
          <w:rFonts w:ascii="Arial" w:hAnsi="Arial" w:cs="Arial"/>
          <w:sz w:val="24"/>
          <w:szCs w:val="24"/>
        </w:rPr>
        <w:t xml:space="preserve"> </w:t>
      </w:r>
      <w:r w:rsidRPr="009D007C">
        <w:rPr>
          <w:rFonts w:ascii="Arial" w:hAnsi="Arial" w:cs="Arial"/>
          <w:sz w:val="24"/>
          <w:szCs w:val="24"/>
        </w:rPr>
        <w:t>A successful petition for releas</w:t>
      </w:r>
      <w:r w:rsidR="00381661">
        <w:rPr>
          <w:rFonts w:ascii="Arial" w:hAnsi="Arial" w:cs="Arial"/>
          <w:sz w:val="24"/>
          <w:szCs w:val="24"/>
        </w:rPr>
        <w:t xml:space="preserve">e on grounds of </w:t>
      </w:r>
      <w:r w:rsidR="00B04CB1">
        <w:rPr>
          <w:rFonts w:ascii="Arial" w:hAnsi="Arial" w:cs="Arial"/>
          <w:sz w:val="24"/>
          <w:szCs w:val="24"/>
        </w:rPr>
        <w:t>ill-health</w:t>
      </w:r>
      <w:r w:rsidR="00381661">
        <w:rPr>
          <w:rFonts w:ascii="Arial" w:hAnsi="Arial" w:cs="Arial"/>
          <w:sz w:val="24"/>
          <w:szCs w:val="24"/>
        </w:rPr>
        <w:t xml:space="preserve"> implied</w:t>
      </w:r>
      <w:r w:rsidRPr="009D007C">
        <w:rPr>
          <w:rFonts w:ascii="Arial" w:hAnsi="Arial" w:cs="Arial"/>
          <w:sz w:val="24"/>
          <w:szCs w:val="24"/>
        </w:rPr>
        <w:t xml:space="preserve"> that </w:t>
      </w:r>
      <w:r w:rsidR="0087024B">
        <w:rPr>
          <w:rFonts w:ascii="Arial" w:hAnsi="Arial" w:cs="Arial"/>
          <w:sz w:val="24"/>
          <w:szCs w:val="24"/>
        </w:rPr>
        <w:t>the convict was</w:t>
      </w:r>
      <w:r w:rsidRPr="009D007C">
        <w:rPr>
          <w:rFonts w:ascii="Arial" w:hAnsi="Arial" w:cs="Arial"/>
          <w:sz w:val="24"/>
          <w:szCs w:val="24"/>
        </w:rPr>
        <w:t xml:space="preserve"> probably on the verge of death or so incapacitated that prison punishment could not be effectively inflicted. This was the case for Mary Ann Hall in 1883 when she was released.</w:t>
      </w:r>
      <w:r w:rsidR="0026163C" w:rsidRPr="009D007C">
        <w:rPr>
          <w:rFonts w:ascii="Arial" w:hAnsi="Arial" w:cs="Arial"/>
          <w:sz w:val="24"/>
          <w:szCs w:val="24"/>
        </w:rPr>
        <w:t xml:space="preserve"> </w:t>
      </w:r>
      <w:r w:rsidR="007D7B97">
        <w:rPr>
          <w:rFonts w:ascii="Arial" w:hAnsi="Arial" w:cs="Arial"/>
          <w:sz w:val="24"/>
          <w:szCs w:val="24"/>
        </w:rPr>
        <w:t>She</w:t>
      </w:r>
      <w:r w:rsidR="0026163C" w:rsidRPr="009D007C">
        <w:rPr>
          <w:rFonts w:ascii="Arial" w:hAnsi="Arial" w:cs="Arial"/>
          <w:sz w:val="24"/>
          <w:szCs w:val="24"/>
        </w:rPr>
        <w:t xml:space="preserve"> represents a third major strand of </w:t>
      </w:r>
      <w:r w:rsidR="00A06D16">
        <w:rPr>
          <w:rFonts w:ascii="Arial" w:hAnsi="Arial" w:cs="Arial"/>
          <w:sz w:val="24"/>
          <w:szCs w:val="24"/>
        </w:rPr>
        <w:t xml:space="preserve">apolitical </w:t>
      </w:r>
      <w:r w:rsidR="0026163C" w:rsidRPr="009D007C">
        <w:rPr>
          <w:rFonts w:ascii="Arial" w:hAnsi="Arial" w:cs="Arial"/>
          <w:sz w:val="24"/>
          <w:szCs w:val="24"/>
        </w:rPr>
        <w:t>petitioning</w:t>
      </w:r>
      <w:r w:rsidR="00381661">
        <w:rPr>
          <w:rFonts w:ascii="Arial" w:hAnsi="Arial" w:cs="Arial"/>
          <w:sz w:val="24"/>
          <w:szCs w:val="24"/>
        </w:rPr>
        <w:t>: ill-health. She wa</w:t>
      </w:r>
      <w:r w:rsidR="0026163C" w:rsidRPr="009D007C">
        <w:rPr>
          <w:rFonts w:ascii="Arial" w:hAnsi="Arial" w:cs="Arial"/>
          <w:sz w:val="24"/>
          <w:szCs w:val="24"/>
        </w:rPr>
        <w:t>s perhaps most interesting because the fragments of her life show a fall from grace, a loss of family and a physical de</w:t>
      </w:r>
      <w:r w:rsidR="00381661">
        <w:rPr>
          <w:rFonts w:ascii="Arial" w:hAnsi="Arial" w:cs="Arial"/>
          <w:sz w:val="24"/>
          <w:szCs w:val="24"/>
        </w:rPr>
        <w:t xml:space="preserve">cay; a tragic path to institutionalisation. </w:t>
      </w:r>
      <w:r w:rsidR="007D7B97">
        <w:rPr>
          <w:rFonts w:ascii="Arial" w:hAnsi="Arial" w:cs="Arial"/>
          <w:sz w:val="24"/>
          <w:szCs w:val="24"/>
        </w:rPr>
        <w:t>In her last sentence, she wa</w:t>
      </w:r>
      <w:r w:rsidR="0026163C" w:rsidRPr="009D007C">
        <w:rPr>
          <w:rFonts w:ascii="Arial" w:hAnsi="Arial" w:cs="Arial"/>
          <w:sz w:val="24"/>
          <w:szCs w:val="24"/>
        </w:rPr>
        <w:t xml:space="preserve">s pliable, not at all fractious – </w:t>
      </w:r>
      <w:r w:rsidR="0087024B">
        <w:rPr>
          <w:rFonts w:ascii="Arial" w:hAnsi="Arial" w:cs="Arial"/>
          <w:sz w:val="24"/>
          <w:szCs w:val="24"/>
        </w:rPr>
        <w:t>but crucially she wa</w:t>
      </w:r>
      <w:r w:rsidR="0026163C" w:rsidRPr="009D007C">
        <w:rPr>
          <w:rFonts w:ascii="Arial" w:hAnsi="Arial" w:cs="Arial"/>
          <w:sz w:val="24"/>
          <w:szCs w:val="24"/>
        </w:rPr>
        <w:t xml:space="preserve">s suffering from chronic and acute illness. </w:t>
      </w:r>
    </w:p>
    <w:p w14:paraId="7C7D99B4" w14:textId="77777777" w:rsidR="0026163C" w:rsidRPr="009D007C" w:rsidRDefault="00D70ABA" w:rsidP="001E7AFD">
      <w:pPr>
        <w:spacing w:after="0" w:line="240" w:lineRule="auto"/>
        <w:rPr>
          <w:rFonts w:ascii="Arial" w:hAnsi="Arial" w:cs="Arial"/>
          <w:sz w:val="24"/>
          <w:szCs w:val="24"/>
        </w:rPr>
      </w:pPr>
      <w:r w:rsidRPr="009D007C">
        <w:rPr>
          <w:rFonts w:ascii="Arial" w:hAnsi="Arial" w:cs="Arial"/>
          <w:sz w:val="24"/>
          <w:szCs w:val="24"/>
        </w:rPr>
        <w:t xml:space="preserve"> </w:t>
      </w:r>
    </w:p>
    <w:p w14:paraId="797E7F28" w14:textId="77777777" w:rsidR="001E7AFD" w:rsidRPr="009D007C" w:rsidRDefault="00D70ABA" w:rsidP="001E7AFD">
      <w:pPr>
        <w:spacing w:after="0" w:line="240" w:lineRule="auto"/>
        <w:rPr>
          <w:rFonts w:ascii="Arial" w:hAnsi="Arial" w:cs="Arial"/>
          <w:sz w:val="24"/>
          <w:szCs w:val="24"/>
        </w:rPr>
      </w:pPr>
      <w:r w:rsidRPr="009D007C">
        <w:rPr>
          <w:rFonts w:ascii="Arial" w:hAnsi="Arial" w:cs="Arial"/>
          <w:sz w:val="24"/>
          <w:szCs w:val="24"/>
        </w:rPr>
        <w:t xml:space="preserve">Her story </w:t>
      </w:r>
      <w:r w:rsidR="00381661">
        <w:rPr>
          <w:rFonts w:ascii="Arial" w:hAnsi="Arial" w:cs="Arial"/>
          <w:sz w:val="24"/>
          <w:szCs w:val="24"/>
        </w:rPr>
        <w:t xml:space="preserve">provides an </w:t>
      </w:r>
      <w:r w:rsidR="00FF5CC6">
        <w:rPr>
          <w:rFonts w:ascii="Arial" w:hAnsi="Arial" w:cs="Arial"/>
          <w:sz w:val="24"/>
          <w:szCs w:val="24"/>
        </w:rPr>
        <w:t>account of the</w:t>
      </w:r>
      <w:r w:rsidR="00B07325" w:rsidRPr="009D007C">
        <w:rPr>
          <w:rFonts w:ascii="Arial" w:hAnsi="Arial" w:cs="Arial"/>
          <w:sz w:val="24"/>
          <w:szCs w:val="24"/>
        </w:rPr>
        <w:t xml:space="preserve"> life and health of a Victorian female convict. A </w:t>
      </w:r>
      <w:r w:rsidR="00381661">
        <w:rPr>
          <w:rFonts w:ascii="Arial" w:hAnsi="Arial" w:cs="Arial"/>
          <w:sz w:val="24"/>
          <w:szCs w:val="24"/>
        </w:rPr>
        <w:t>detailed medical record observed</w:t>
      </w:r>
      <w:r w:rsidR="00B07325" w:rsidRPr="009D007C">
        <w:rPr>
          <w:rFonts w:ascii="Arial" w:hAnsi="Arial" w:cs="Arial"/>
          <w:sz w:val="24"/>
          <w:szCs w:val="24"/>
        </w:rPr>
        <w:t xml:space="preserve"> that Mary Ann was </w:t>
      </w:r>
      <w:r w:rsidR="007D7B97">
        <w:rPr>
          <w:rFonts w:ascii="Arial" w:hAnsi="Arial" w:cs="Arial"/>
          <w:sz w:val="24"/>
          <w:szCs w:val="24"/>
        </w:rPr>
        <w:t>just over five feet tall</w:t>
      </w:r>
      <w:r w:rsidR="00B07325" w:rsidRPr="009D007C">
        <w:rPr>
          <w:rFonts w:ascii="Arial" w:hAnsi="Arial" w:cs="Arial"/>
          <w:sz w:val="24"/>
          <w:szCs w:val="24"/>
        </w:rPr>
        <w:t xml:space="preserve"> with a dark complexion, brown hair and blue eyes. She was overweight and gained </w:t>
      </w:r>
      <w:r w:rsidR="00E60294">
        <w:rPr>
          <w:rFonts w:ascii="Arial" w:hAnsi="Arial" w:cs="Arial"/>
          <w:sz w:val="24"/>
          <w:szCs w:val="24"/>
        </w:rPr>
        <w:t xml:space="preserve">further </w:t>
      </w:r>
      <w:r w:rsidR="00B07325" w:rsidRPr="009D007C">
        <w:rPr>
          <w:rFonts w:ascii="Arial" w:hAnsi="Arial" w:cs="Arial"/>
          <w:sz w:val="24"/>
          <w:szCs w:val="24"/>
        </w:rPr>
        <w:t xml:space="preserve">weight while in prison. </w:t>
      </w:r>
      <w:r w:rsidR="00FF5CC6" w:rsidRPr="00FF5CC6">
        <w:rPr>
          <w:rFonts w:ascii="Arial" w:hAnsi="Arial" w:cs="Arial"/>
          <w:sz w:val="24"/>
          <w:szCs w:val="24"/>
        </w:rPr>
        <w:t>She was</w:t>
      </w:r>
      <w:r w:rsidR="00FF5CC6">
        <w:rPr>
          <w:rFonts w:ascii="Arial" w:hAnsi="Arial" w:cs="Arial"/>
          <w:sz w:val="24"/>
          <w:szCs w:val="24"/>
        </w:rPr>
        <w:t>, when working,</w:t>
      </w:r>
      <w:r w:rsidR="00FF5CC6" w:rsidRPr="00FF5CC6">
        <w:rPr>
          <w:rFonts w:ascii="Arial" w:hAnsi="Arial" w:cs="Arial"/>
          <w:sz w:val="24"/>
          <w:szCs w:val="24"/>
        </w:rPr>
        <w:t xml:space="preserve"> a sometimes charwoman and hawker. </w:t>
      </w:r>
      <w:r w:rsidR="00542200" w:rsidRPr="00542200">
        <w:rPr>
          <w:rFonts w:ascii="Arial" w:hAnsi="Arial" w:cs="Arial"/>
          <w:sz w:val="24"/>
          <w:szCs w:val="24"/>
        </w:rPr>
        <w:t>She was married to John Hall and had two children w</w:t>
      </w:r>
      <w:r w:rsidR="00542200">
        <w:rPr>
          <w:rFonts w:ascii="Arial" w:hAnsi="Arial" w:cs="Arial"/>
          <w:sz w:val="24"/>
          <w:szCs w:val="24"/>
        </w:rPr>
        <w:t xml:space="preserve">ith him or a previous marriage, although by </w:t>
      </w:r>
      <w:r w:rsidR="00381661">
        <w:rPr>
          <w:rFonts w:ascii="Arial" w:hAnsi="Arial" w:cs="Arial"/>
          <w:sz w:val="24"/>
          <w:szCs w:val="24"/>
        </w:rPr>
        <w:t>1879</w:t>
      </w:r>
      <w:r w:rsidR="00542200">
        <w:rPr>
          <w:rFonts w:ascii="Arial" w:hAnsi="Arial" w:cs="Arial"/>
          <w:sz w:val="24"/>
          <w:szCs w:val="24"/>
        </w:rPr>
        <w:t xml:space="preserve"> Mary Ann was alone. </w:t>
      </w:r>
      <w:r w:rsidR="001E7AFD" w:rsidRPr="009D007C">
        <w:rPr>
          <w:rFonts w:ascii="Arial" w:hAnsi="Arial" w:cs="Arial"/>
          <w:sz w:val="24"/>
          <w:szCs w:val="24"/>
        </w:rPr>
        <w:t xml:space="preserve">Research indicates that </w:t>
      </w:r>
      <w:r w:rsidR="007D7B97">
        <w:rPr>
          <w:rFonts w:ascii="Arial" w:hAnsi="Arial" w:cs="Arial"/>
          <w:sz w:val="24"/>
          <w:szCs w:val="24"/>
        </w:rPr>
        <w:t xml:space="preserve">Mary Ann was born in </w:t>
      </w:r>
      <w:proofErr w:type="spellStart"/>
      <w:r w:rsidR="007D7B97">
        <w:rPr>
          <w:rFonts w:ascii="Arial" w:hAnsi="Arial" w:cs="Arial"/>
          <w:sz w:val="24"/>
          <w:szCs w:val="24"/>
        </w:rPr>
        <w:t>Kingston-upon-</w:t>
      </w:r>
      <w:r w:rsidR="00E029CA" w:rsidRPr="009D007C">
        <w:rPr>
          <w:rFonts w:ascii="Arial" w:hAnsi="Arial" w:cs="Arial"/>
          <w:sz w:val="24"/>
          <w:szCs w:val="24"/>
        </w:rPr>
        <w:t>Hull</w:t>
      </w:r>
      <w:proofErr w:type="spellEnd"/>
      <w:r w:rsidR="00E029CA" w:rsidRPr="009D007C">
        <w:rPr>
          <w:rFonts w:ascii="Arial" w:hAnsi="Arial" w:cs="Arial"/>
          <w:sz w:val="24"/>
          <w:szCs w:val="24"/>
        </w:rPr>
        <w:t xml:space="preserve"> to William and Eleanor White in 1840.</w:t>
      </w:r>
      <w:r w:rsidR="00E029CA" w:rsidRPr="009D007C">
        <w:rPr>
          <w:rStyle w:val="EndnoteReference"/>
          <w:rFonts w:ascii="Arial" w:hAnsi="Arial" w:cs="Arial"/>
          <w:sz w:val="24"/>
          <w:szCs w:val="24"/>
        </w:rPr>
        <w:endnoteReference w:id="60"/>
      </w:r>
      <w:r w:rsidR="00E029CA" w:rsidRPr="009D007C">
        <w:rPr>
          <w:rFonts w:ascii="Arial" w:hAnsi="Arial" w:cs="Arial"/>
          <w:sz w:val="24"/>
          <w:szCs w:val="24"/>
        </w:rPr>
        <w:t xml:space="preserve"> A middle child of at least six children, the family seems </w:t>
      </w:r>
      <w:r w:rsidR="00B07325" w:rsidRPr="009D007C">
        <w:rPr>
          <w:rFonts w:ascii="Arial" w:hAnsi="Arial" w:cs="Arial"/>
          <w:sz w:val="24"/>
          <w:szCs w:val="24"/>
        </w:rPr>
        <w:t>typically working class</w:t>
      </w:r>
      <w:r w:rsidR="001E7AFD" w:rsidRPr="009D007C">
        <w:rPr>
          <w:rFonts w:ascii="Arial" w:hAnsi="Arial" w:cs="Arial"/>
          <w:sz w:val="24"/>
          <w:szCs w:val="24"/>
        </w:rPr>
        <w:t xml:space="preserve"> and certainly not outwardly indicative of a Victorian ‘criminal’ class</w:t>
      </w:r>
      <w:r w:rsidR="00E029CA" w:rsidRPr="009D007C">
        <w:rPr>
          <w:rFonts w:ascii="Arial" w:hAnsi="Arial" w:cs="Arial"/>
          <w:sz w:val="24"/>
          <w:szCs w:val="24"/>
        </w:rPr>
        <w:t xml:space="preserve">. </w:t>
      </w:r>
      <w:r w:rsidR="001E7AFD" w:rsidRPr="009D007C">
        <w:rPr>
          <w:rFonts w:ascii="Arial" w:hAnsi="Arial" w:cs="Arial"/>
          <w:sz w:val="24"/>
          <w:szCs w:val="24"/>
        </w:rPr>
        <w:t xml:space="preserve">All indications seem to be that Mary </w:t>
      </w:r>
      <w:r w:rsidR="007D7B97">
        <w:rPr>
          <w:rFonts w:ascii="Arial" w:hAnsi="Arial" w:cs="Arial"/>
          <w:sz w:val="24"/>
          <w:szCs w:val="24"/>
        </w:rPr>
        <w:t xml:space="preserve">Ann </w:t>
      </w:r>
      <w:r w:rsidR="001E7AFD" w:rsidRPr="009D007C">
        <w:rPr>
          <w:rFonts w:ascii="Arial" w:hAnsi="Arial" w:cs="Arial"/>
          <w:sz w:val="24"/>
          <w:szCs w:val="24"/>
        </w:rPr>
        <w:t xml:space="preserve">was estranged from her family for most of her adult life and that she was probably a cause of shame for </w:t>
      </w:r>
      <w:r w:rsidR="001E7AFD" w:rsidRPr="009D007C">
        <w:rPr>
          <w:rFonts w:ascii="Arial" w:hAnsi="Arial" w:cs="Arial"/>
          <w:sz w:val="24"/>
          <w:szCs w:val="24"/>
        </w:rPr>
        <w:lastRenderedPageBreak/>
        <w:t xml:space="preserve">them. Her crimes were committed in London under her married name (Hall) or </w:t>
      </w:r>
      <w:r w:rsidR="00FF5CC6">
        <w:rPr>
          <w:rFonts w:ascii="Arial" w:hAnsi="Arial" w:cs="Arial"/>
          <w:sz w:val="24"/>
          <w:szCs w:val="24"/>
        </w:rPr>
        <w:t>'Jane Smith' (a common alias)</w:t>
      </w:r>
      <w:r w:rsidR="001E7AFD" w:rsidRPr="009D007C">
        <w:rPr>
          <w:rFonts w:ascii="Arial" w:hAnsi="Arial" w:cs="Arial"/>
          <w:sz w:val="24"/>
          <w:szCs w:val="24"/>
        </w:rPr>
        <w:t>.</w:t>
      </w:r>
    </w:p>
    <w:p w14:paraId="04E1099C" w14:textId="77777777" w:rsidR="00E1441C" w:rsidRPr="009D007C" w:rsidRDefault="00E1441C" w:rsidP="001E7AFD">
      <w:pPr>
        <w:spacing w:after="0" w:line="240" w:lineRule="auto"/>
        <w:rPr>
          <w:rFonts w:ascii="Arial" w:hAnsi="Arial" w:cs="Arial"/>
          <w:sz w:val="24"/>
          <w:szCs w:val="24"/>
        </w:rPr>
      </w:pPr>
    </w:p>
    <w:p w14:paraId="483A64B0" w14:textId="77777777" w:rsidR="00EB48A4" w:rsidRDefault="001E7AFD" w:rsidP="001E7AFD">
      <w:pPr>
        <w:spacing w:after="0" w:line="240" w:lineRule="auto"/>
        <w:rPr>
          <w:rFonts w:ascii="Arial" w:hAnsi="Arial" w:cs="Arial"/>
          <w:sz w:val="24"/>
          <w:szCs w:val="24"/>
        </w:rPr>
      </w:pPr>
      <w:r w:rsidRPr="009D007C">
        <w:rPr>
          <w:rFonts w:ascii="Arial" w:hAnsi="Arial" w:cs="Arial"/>
          <w:sz w:val="24"/>
          <w:szCs w:val="24"/>
        </w:rPr>
        <w:t xml:space="preserve">Despite this unremarkable working class background, Mary Ann </w:t>
      </w:r>
      <w:r w:rsidR="00F732CD" w:rsidRPr="009D007C">
        <w:rPr>
          <w:rFonts w:ascii="Arial" w:hAnsi="Arial" w:cs="Arial"/>
          <w:sz w:val="24"/>
          <w:szCs w:val="24"/>
        </w:rPr>
        <w:t>was a repeat offen</w:t>
      </w:r>
      <w:r w:rsidR="00FF5CC6">
        <w:rPr>
          <w:rFonts w:ascii="Arial" w:hAnsi="Arial" w:cs="Arial"/>
          <w:sz w:val="24"/>
          <w:szCs w:val="24"/>
        </w:rPr>
        <w:t>der. Her first recorded offence</w:t>
      </w:r>
      <w:r w:rsidR="00F732CD" w:rsidRPr="009D007C">
        <w:rPr>
          <w:rFonts w:ascii="Arial" w:hAnsi="Arial" w:cs="Arial"/>
          <w:sz w:val="24"/>
          <w:szCs w:val="24"/>
        </w:rPr>
        <w:t xml:space="preserve"> was for robbery with </w:t>
      </w:r>
      <w:r w:rsidR="00F732CD" w:rsidRPr="00882B8C">
        <w:rPr>
          <w:rFonts w:ascii="Arial" w:hAnsi="Arial" w:cs="Arial"/>
          <w:sz w:val="24"/>
          <w:szCs w:val="24"/>
        </w:rPr>
        <w:t>violence in 1870, when</w:t>
      </w:r>
      <w:r w:rsidR="00F732CD" w:rsidRPr="009D007C">
        <w:rPr>
          <w:rFonts w:ascii="Arial" w:hAnsi="Arial" w:cs="Arial"/>
          <w:sz w:val="24"/>
          <w:szCs w:val="24"/>
        </w:rPr>
        <w:t xml:space="preserve"> (together with two accomplices) she stole a purse containing 4s 2d. It was a violent robbery and Mary Ann showed no remorse in the trial.</w:t>
      </w:r>
      <w:r w:rsidR="00381661">
        <w:rPr>
          <w:rFonts w:ascii="Arial" w:hAnsi="Arial" w:cs="Arial"/>
          <w:sz w:val="24"/>
          <w:szCs w:val="24"/>
        </w:rPr>
        <w:t xml:space="preserve"> Along with another woma</w:t>
      </w:r>
      <w:r w:rsidR="00F732CD" w:rsidRPr="009D007C">
        <w:rPr>
          <w:rFonts w:ascii="Arial" w:hAnsi="Arial" w:cs="Arial"/>
          <w:sz w:val="24"/>
          <w:szCs w:val="24"/>
        </w:rPr>
        <w:t>n</w:t>
      </w:r>
      <w:r w:rsidR="00381661">
        <w:rPr>
          <w:rFonts w:ascii="Arial" w:hAnsi="Arial" w:cs="Arial"/>
          <w:sz w:val="24"/>
          <w:szCs w:val="24"/>
        </w:rPr>
        <w:t xml:space="preserve"> and a man (not her husband)</w:t>
      </w:r>
      <w:r w:rsidR="00F732CD" w:rsidRPr="009D007C">
        <w:rPr>
          <w:rFonts w:ascii="Arial" w:hAnsi="Arial" w:cs="Arial"/>
          <w:sz w:val="24"/>
          <w:szCs w:val="24"/>
        </w:rPr>
        <w:t>, she was sentenced to 12 months for this crime. This was followed by another felony</w:t>
      </w:r>
      <w:r w:rsidR="008038E9">
        <w:rPr>
          <w:rFonts w:ascii="Arial" w:hAnsi="Arial" w:cs="Arial"/>
          <w:sz w:val="24"/>
          <w:szCs w:val="24"/>
        </w:rPr>
        <w:t xml:space="preserve"> for </w:t>
      </w:r>
      <w:r w:rsidR="008038E9" w:rsidRPr="008038E9">
        <w:rPr>
          <w:rFonts w:ascii="Arial" w:hAnsi="Arial" w:cs="Arial"/>
          <w:sz w:val="24"/>
          <w:szCs w:val="24"/>
        </w:rPr>
        <w:t>larceny</w:t>
      </w:r>
      <w:r w:rsidR="00F732CD" w:rsidRPr="008038E9">
        <w:rPr>
          <w:rFonts w:ascii="Arial" w:hAnsi="Arial" w:cs="Arial"/>
          <w:sz w:val="24"/>
          <w:szCs w:val="24"/>
        </w:rPr>
        <w:t xml:space="preserve"> in 1872 for which she was</w:t>
      </w:r>
      <w:r w:rsidR="00F732CD" w:rsidRPr="009D007C">
        <w:rPr>
          <w:rFonts w:ascii="Arial" w:hAnsi="Arial" w:cs="Arial"/>
          <w:sz w:val="24"/>
          <w:szCs w:val="24"/>
        </w:rPr>
        <w:t xml:space="preserve"> sentenced again to one year. Perhaps </w:t>
      </w:r>
      <w:r w:rsidR="00F732CD" w:rsidRPr="008038E9">
        <w:rPr>
          <w:rFonts w:ascii="Arial" w:hAnsi="Arial" w:cs="Arial"/>
          <w:sz w:val="24"/>
          <w:szCs w:val="24"/>
        </w:rPr>
        <w:t xml:space="preserve">because of </w:t>
      </w:r>
      <w:r w:rsidR="00A43C8C" w:rsidRPr="008038E9">
        <w:rPr>
          <w:rFonts w:ascii="Arial" w:hAnsi="Arial" w:cs="Arial"/>
          <w:sz w:val="24"/>
          <w:szCs w:val="24"/>
        </w:rPr>
        <w:t>a</w:t>
      </w:r>
      <w:r w:rsidR="00F732CD" w:rsidRPr="008038E9">
        <w:rPr>
          <w:rFonts w:ascii="Arial" w:hAnsi="Arial" w:cs="Arial"/>
          <w:sz w:val="24"/>
          <w:szCs w:val="24"/>
        </w:rPr>
        <w:t xml:space="preserve"> police supervision order she was</w:t>
      </w:r>
      <w:r w:rsidR="00A43C8C" w:rsidRPr="008038E9">
        <w:rPr>
          <w:rFonts w:ascii="Arial" w:hAnsi="Arial" w:cs="Arial"/>
          <w:sz w:val="24"/>
          <w:szCs w:val="24"/>
        </w:rPr>
        <w:t xml:space="preserve"> caught </w:t>
      </w:r>
      <w:r w:rsidR="008038E9" w:rsidRPr="008038E9">
        <w:rPr>
          <w:rFonts w:ascii="Arial" w:hAnsi="Arial" w:cs="Arial"/>
          <w:sz w:val="24"/>
          <w:szCs w:val="24"/>
        </w:rPr>
        <w:t xml:space="preserve">very shortly after release </w:t>
      </w:r>
      <w:r w:rsidR="00E1441C" w:rsidRPr="008038E9">
        <w:rPr>
          <w:rFonts w:ascii="Arial" w:hAnsi="Arial" w:cs="Arial"/>
          <w:sz w:val="24"/>
          <w:szCs w:val="24"/>
        </w:rPr>
        <w:t>in 1873</w:t>
      </w:r>
      <w:r w:rsidR="00A43C8C" w:rsidRPr="008038E9">
        <w:rPr>
          <w:rFonts w:ascii="Arial" w:hAnsi="Arial" w:cs="Arial"/>
          <w:sz w:val="24"/>
          <w:szCs w:val="24"/>
        </w:rPr>
        <w:t>, receiving</w:t>
      </w:r>
      <w:r w:rsidR="00A43C8C" w:rsidRPr="009D007C">
        <w:rPr>
          <w:rFonts w:ascii="Arial" w:hAnsi="Arial" w:cs="Arial"/>
          <w:sz w:val="24"/>
          <w:szCs w:val="24"/>
        </w:rPr>
        <w:t xml:space="preserve"> a three month custodial sentence</w:t>
      </w:r>
      <w:r w:rsidR="008038E9">
        <w:rPr>
          <w:rFonts w:ascii="Arial" w:hAnsi="Arial" w:cs="Arial"/>
          <w:sz w:val="24"/>
          <w:szCs w:val="24"/>
        </w:rPr>
        <w:t xml:space="preserve"> for assault</w:t>
      </w:r>
      <w:r w:rsidR="00A43C8C" w:rsidRPr="009D007C">
        <w:rPr>
          <w:rFonts w:ascii="Arial" w:hAnsi="Arial" w:cs="Arial"/>
          <w:sz w:val="24"/>
          <w:szCs w:val="24"/>
        </w:rPr>
        <w:t xml:space="preserve">. </w:t>
      </w:r>
      <w:r w:rsidR="008038E9">
        <w:rPr>
          <w:rFonts w:ascii="Arial" w:hAnsi="Arial" w:cs="Arial"/>
          <w:sz w:val="24"/>
          <w:szCs w:val="24"/>
        </w:rPr>
        <w:t xml:space="preserve">After being out </w:t>
      </w:r>
      <w:r w:rsidR="00731D44">
        <w:rPr>
          <w:rFonts w:ascii="Arial" w:hAnsi="Arial" w:cs="Arial"/>
          <w:sz w:val="24"/>
          <w:szCs w:val="24"/>
        </w:rPr>
        <w:t>of prison</w:t>
      </w:r>
      <w:r w:rsidR="008038E9">
        <w:rPr>
          <w:rFonts w:ascii="Arial" w:hAnsi="Arial" w:cs="Arial"/>
          <w:sz w:val="24"/>
          <w:szCs w:val="24"/>
        </w:rPr>
        <w:t xml:space="preserve"> for </w:t>
      </w:r>
      <w:r w:rsidR="00731D44">
        <w:rPr>
          <w:rFonts w:ascii="Arial" w:hAnsi="Arial" w:cs="Arial"/>
          <w:sz w:val="24"/>
          <w:szCs w:val="24"/>
        </w:rPr>
        <w:t>only</w:t>
      </w:r>
      <w:r w:rsidR="008038E9">
        <w:rPr>
          <w:rFonts w:ascii="Arial" w:hAnsi="Arial" w:cs="Arial"/>
          <w:sz w:val="24"/>
          <w:szCs w:val="24"/>
        </w:rPr>
        <w:t xml:space="preserve"> a few weeks, Mary Ann</w:t>
      </w:r>
      <w:r w:rsidR="006D06C7" w:rsidRPr="009D007C">
        <w:rPr>
          <w:rFonts w:ascii="Arial" w:hAnsi="Arial" w:cs="Arial"/>
          <w:sz w:val="24"/>
          <w:szCs w:val="24"/>
        </w:rPr>
        <w:t xml:space="preserve"> was </w:t>
      </w:r>
      <w:r w:rsidR="008038E9">
        <w:rPr>
          <w:rFonts w:ascii="Arial" w:hAnsi="Arial" w:cs="Arial"/>
          <w:sz w:val="24"/>
          <w:szCs w:val="24"/>
        </w:rPr>
        <w:t xml:space="preserve">arrested and charged with </w:t>
      </w:r>
      <w:r w:rsidRPr="009D007C">
        <w:rPr>
          <w:rFonts w:ascii="Arial" w:hAnsi="Arial" w:cs="Arial"/>
          <w:sz w:val="24"/>
          <w:szCs w:val="24"/>
        </w:rPr>
        <w:t xml:space="preserve">‘stealing from person’. This time she was sentenced to </w:t>
      </w:r>
      <w:r w:rsidRPr="00542200">
        <w:rPr>
          <w:rFonts w:ascii="Arial" w:hAnsi="Arial" w:cs="Arial"/>
          <w:sz w:val="24"/>
          <w:szCs w:val="24"/>
        </w:rPr>
        <w:t>seven years</w:t>
      </w:r>
      <w:r w:rsidRPr="009D007C">
        <w:rPr>
          <w:rFonts w:ascii="Arial" w:hAnsi="Arial" w:cs="Arial"/>
          <w:sz w:val="24"/>
          <w:szCs w:val="24"/>
        </w:rPr>
        <w:t xml:space="preserve"> </w:t>
      </w:r>
      <w:r w:rsidR="00542200">
        <w:rPr>
          <w:rFonts w:ascii="Arial" w:hAnsi="Arial" w:cs="Arial"/>
          <w:sz w:val="24"/>
          <w:szCs w:val="24"/>
        </w:rPr>
        <w:t>penal service</w:t>
      </w:r>
      <w:r w:rsidRPr="009D007C">
        <w:rPr>
          <w:rFonts w:ascii="Arial" w:hAnsi="Arial" w:cs="Arial"/>
          <w:sz w:val="24"/>
          <w:szCs w:val="24"/>
        </w:rPr>
        <w:t xml:space="preserve"> and seven years police supervision. </w:t>
      </w:r>
      <w:r w:rsidR="00EB48A4" w:rsidRPr="009D007C">
        <w:rPr>
          <w:rFonts w:ascii="Arial" w:hAnsi="Arial" w:cs="Arial"/>
          <w:sz w:val="24"/>
          <w:szCs w:val="24"/>
        </w:rPr>
        <w:t xml:space="preserve">In 1874, </w:t>
      </w:r>
      <w:r w:rsidR="00731D44">
        <w:rPr>
          <w:rFonts w:ascii="Arial" w:hAnsi="Arial" w:cs="Arial"/>
          <w:sz w:val="24"/>
          <w:szCs w:val="24"/>
        </w:rPr>
        <w:t>her husband</w:t>
      </w:r>
      <w:r w:rsidR="00EB48A4" w:rsidRPr="009D007C">
        <w:rPr>
          <w:rFonts w:ascii="Arial" w:hAnsi="Arial" w:cs="Arial"/>
          <w:sz w:val="24"/>
          <w:szCs w:val="24"/>
        </w:rPr>
        <w:t xml:space="preserve"> wrote to the prison </w:t>
      </w:r>
      <w:r w:rsidR="00542200" w:rsidRPr="009D007C">
        <w:rPr>
          <w:rFonts w:ascii="Arial" w:hAnsi="Arial" w:cs="Arial"/>
          <w:sz w:val="24"/>
          <w:szCs w:val="24"/>
        </w:rPr>
        <w:t>authorities asking for permission to correspond with his wife</w:t>
      </w:r>
      <w:r w:rsidR="00542200">
        <w:rPr>
          <w:rFonts w:ascii="Arial" w:hAnsi="Arial" w:cs="Arial"/>
          <w:sz w:val="24"/>
          <w:szCs w:val="24"/>
        </w:rPr>
        <w:t xml:space="preserve">, but it was likely that they had been estranged for some time before </w:t>
      </w:r>
      <w:r w:rsidR="00F96858">
        <w:rPr>
          <w:rFonts w:ascii="Arial" w:hAnsi="Arial" w:cs="Arial"/>
          <w:sz w:val="24"/>
          <w:szCs w:val="24"/>
        </w:rPr>
        <w:t>this</w:t>
      </w:r>
      <w:r w:rsidR="00542200">
        <w:rPr>
          <w:rFonts w:ascii="Arial" w:hAnsi="Arial" w:cs="Arial"/>
          <w:sz w:val="24"/>
          <w:szCs w:val="24"/>
        </w:rPr>
        <w:t xml:space="preserve"> </w:t>
      </w:r>
      <w:r w:rsidR="00731D44">
        <w:rPr>
          <w:rFonts w:ascii="Arial" w:hAnsi="Arial" w:cs="Arial"/>
          <w:sz w:val="24"/>
          <w:szCs w:val="24"/>
        </w:rPr>
        <w:t>request</w:t>
      </w:r>
      <w:r w:rsidR="00EB48A4" w:rsidRPr="009D007C">
        <w:rPr>
          <w:rFonts w:ascii="Arial" w:hAnsi="Arial" w:cs="Arial"/>
          <w:sz w:val="24"/>
          <w:szCs w:val="24"/>
        </w:rPr>
        <w:t>. An assistant commissioner obtained a report from a detective superintendent who investigated Mary’s circumstances, observing that John</w:t>
      </w:r>
      <w:r w:rsidR="00731D44">
        <w:rPr>
          <w:rFonts w:ascii="Arial" w:hAnsi="Arial" w:cs="Arial"/>
          <w:sz w:val="24"/>
          <w:szCs w:val="24"/>
        </w:rPr>
        <w:t xml:space="preserve"> Hall</w:t>
      </w:r>
      <w:r w:rsidR="00EB48A4" w:rsidRPr="009D007C">
        <w:rPr>
          <w:rFonts w:ascii="Arial" w:hAnsi="Arial" w:cs="Arial"/>
          <w:sz w:val="24"/>
          <w:szCs w:val="24"/>
        </w:rPr>
        <w:t xml:space="preserve"> lived in a ‘low lodging’</w:t>
      </w:r>
      <w:r w:rsidR="00951A8C" w:rsidRPr="009D007C">
        <w:rPr>
          <w:rFonts w:ascii="Arial" w:hAnsi="Arial" w:cs="Arial"/>
          <w:sz w:val="24"/>
          <w:szCs w:val="24"/>
        </w:rPr>
        <w:t xml:space="preserve"> house in West India Road, L</w:t>
      </w:r>
      <w:r w:rsidR="00EB48A4" w:rsidRPr="009D007C">
        <w:rPr>
          <w:rFonts w:ascii="Arial" w:hAnsi="Arial" w:cs="Arial"/>
          <w:sz w:val="24"/>
          <w:szCs w:val="24"/>
        </w:rPr>
        <w:t>ime</w:t>
      </w:r>
      <w:r w:rsidR="00951A8C" w:rsidRPr="009D007C">
        <w:rPr>
          <w:rFonts w:ascii="Arial" w:hAnsi="Arial" w:cs="Arial"/>
          <w:sz w:val="24"/>
          <w:szCs w:val="24"/>
        </w:rPr>
        <w:t xml:space="preserve"> H</w:t>
      </w:r>
      <w:r w:rsidR="00EB48A4" w:rsidRPr="009D007C">
        <w:rPr>
          <w:rFonts w:ascii="Arial" w:hAnsi="Arial" w:cs="Arial"/>
          <w:sz w:val="24"/>
          <w:szCs w:val="24"/>
        </w:rPr>
        <w:t xml:space="preserve">ouse with his brother, </w:t>
      </w:r>
      <w:r w:rsidR="00951A8C" w:rsidRPr="009D007C">
        <w:rPr>
          <w:rFonts w:ascii="Arial" w:hAnsi="Arial" w:cs="Arial"/>
          <w:sz w:val="24"/>
          <w:szCs w:val="24"/>
        </w:rPr>
        <w:t>where</w:t>
      </w:r>
      <w:r w:rsidR="00EB48A4" w:rsidRPr="009D007C">
        <w:rPr>
          <w:rFonts w:ascii="Arial" w:hAnsi="Arial" w:cs="Arial"/>
          <w:sz w:val="24"/>
          <w:szCs w:val="24"/>
        </w:rPr>
        <w:t xml:space="preserve"> they had resided for at least five years</w:t>
      </w:r>
      <w:r w:rsidR="00951A8C" w:rsidRPr="009D007C">
        <w:rPr>
          <w:rFonts w:ascii="Arial" w:hAnsi="Arial" w:cs="Arial"/>
          <w:sz w:val="24"/>
          <w:szCs w:val="24"/>
        </w:rPr>
        <w:t>.</w:t>
      </w:r>
      <w:r w:rsidR="00EB48A4" w:rsidRPr="009D007C">
        <w:rPr>
          <w:rStyle w:val="EndnoteReference"/>
          <w:rFonts w:ascii="Arial" w:hAnsi="Arial" w:cs="Arial"/>
          <w:sz w:val="24"/>
          <w:szCs w:val="24"/>
        </w:rPr>
        <w:endnoteReference w:id="61"/>
      </w:r>
      <w:r w:rsidR="00EB48A4" w:rsidRPr="009D007C">
        <w:rPr>
          <w:rFonts w:ascii="Arial" w:hAnsi="Arial" w:cs="Arial"/>
          <w:sz w:val="24"/>
          <w:szCs w:val="24"/>
        </w:rPr>
        <w:t xml:space="preserve"> </w:t>
      </w:r>
    </w:p>
    <w:p w14:paraId="03358490" w14:textId="77777777" w:rsidR="00542200" w:rsidRPr="009D007C" w:rsidRDefault="00542200" w:rsidP="001E7AFD">
      <w:pPr>
        <w:spacing w:after="0" w:line="240" w:lineRule="auto"/>
        <w:rPr>
          <w:rFonts w:ascii="Arial" w:hAnsi="Arial" w:cs="Arial"/>
          <w:sz w:val="24"/>
          <w:szCs w:val="24"/>
        </w:rPr>
      </w:pPr>
    </w:p>
    <w:p w14:paraId="372B4CDF" w14:textId="77777777" w:rsidR="00233479" w:rsidRDefault="00EB48A4" w:rsidP="00A66E40">
      <w:pPr>
        <w:spacing w:after="0" w:line="240" w:lineRule="auto"/>
        <w:rPr>
          <w:rFonts w:ascii="Arial" w:hAnsi="Arial" w:cs="Arial"/>
          <w:sz w:val="24"/>
          <w:szCs w:val="24"/>
        </w:rPr>
      </w:pPr>
      <w:r w:rsidRPr="009D007C">
        <w:rPr>
          <w:rFonts w:ascii="Arial" w:hAnsi="Arial" w:cs="Arial"/>
          <w:sz w:val="24"/>
          <w:szCs w:val="24"/>
        </w:rPr>
        <w:t xml:space="preserve">Her </w:t>
      </w:r>
      <w:r w:rsidR="001935FC">
        <w:rPr>
          <w:rFonts w:ascii="Arial" w:hAnsi="Arial" w:cs="Arial"/>
          <w:sz w:val="24"/>
          <w:szCs w:val="24"/>
        </w:rPr>
        <w:t xml:space="preserve">health reflects </w:t>
      </w:r>
      <w:r w:rsidR="00F96858">
        <w:rPr>
          <w:rFonts w:ascii="Arial" w:hAnsi="Arial" w:cs="Arial"/>
          <w:sz w:val="24"/>
          <w:szCs w:val="24"/>
        </w:rPr>
        <w:t>a</w:t>
      </w:r>
      <w:r w:rsidR="001935FC">
        <w:rPr>
          <w:rFonts w:ascii="Arial" w:hAnsi="Arial" w:cs="Arial"/>
          <w:sz w:val="24"/>
          <w:szCs w:val="24"/>
        </w:rPr>
        <w:t xml:space="preserve"> hard</w:t>
      </w:r>
      <w:r w:rsidR="00F96858">
        <w:rPr>
          <w:rFonts w:ascii="Arial" w:hAnsi="Arial" w:cs="Arial"/>
          <w:sz w:val="24"/>
          <w:szCs w:val="24"/>
        </w:rPr>
        <w:t xml:space="preserve"> and impoverished</w:t>
      </w:r>
      <w:r w:rsidR="00951A8C" w:rsidRPr="009D007C">
        <w:rPr>
          <w:rFonts w:ascii="Arial" w:hAnsi="Arial" w:cs="Arial"/>
          <w:sz w:val="24"/>
          <w:szCs w:val="24"/>
        </w:rPr>
        <w:t xml:space="preserve"> life</w:t>
      </w:r>
      <w:r w:rsidR="00DD799F">
        <w:rPr>
          <w:rFonts w:ascii="Arial" w:hAnsi="Arial" w:cs="Arial"/>
          <w:sz w:val="24"/>
          <w:szCs w:val="24"/>
        </w:rPr>
        <w:t>. In addition to the violence suggested by her criminal and medical records, s</w:t>
      </w:r>
      <w:r w:rsidR="001935FC">
        <w:rPr>
          <w:rFonts w:ascii="Arial" w:hAnsi="Arial" w:cs="Arial"/>
          <w:sz w:val="24"/>
          <w:szCs w:val="24"/>
        </w:rPr>
        <w:t xml:space="preserve">he had </w:t>
      </w:r>
      <w:r w:rsidR="00951A8C" w:rsidRPr="009D007C">
        <w:rPr>
          <w:rFonts w:ascii="Arial" w:hAnsi="Arial" w:cs="Arial"/>
          <w:sz w:val="24"/>
          <w:szCs w:val="24"/>
        </w:rPr>
        <w:t>sexually transmitted disease</w:t>
      </w:r>
      <w:r w:rsidR="001935FC">
        <w:rPr>
          <w:rFonts w:ascii="Arial" w:hAnsi="Arial" w:cs="Arial"/>
          <w:sz w:val="24"/>
          <w:szCs w:val="24"/>
        </w:rPr>
        <w:t xml:space="preserve">s, most likely from her </w:t>
      </w:r>
      <w:r w:rsidR="00951A8C" w:rsidRPr="009D007C">
        <w:rPr>
          <w:rFonts w:ascii="Arial" w:hAnsi="Arial" w:cs="Arial"/>
          <w:sz w:val="24"/>
          <w:szCs w:val="24"/>
        </w:rPr>
        <w:t xml:space="preserve">husband’s </w:t>
      </w:r>
      <w:r w:rsidR="001935FC">
        <w:rPr>
          <w:rFonts w:ascii="Arial" w:hAnsi="Arial" w:cs="Arial"/>
          <w:sz w:val="24"/>
          <w:szCs w:val="24"/>
        </w:rPr>
        <w:t xml:space="preserve">or her own </w:t>
      </w:r>
      <w:r w:rsidR="00951A8C" w:rsidRPr="009D007C">
        <w:rPr>
          <w:rFonts w:ascii="Arial" w:hAnsi="Arial" w:cs="Arial"/>
          <w:sz w:val="24"/>
          <w:szCs w:val="24"/>
        </w:rPr>
        <w:t>promiscuity</w:t>
      </w:r>
      <w:r w:rsidR="001935FC">
        <w:rPr>
          <w:rFonts w:ascii="Arial" w:hAnsi="Arial" w:cs="Arial"/>
          <w:sz w:val="24"/>
          <w:szCs w:val="24"/>
        </w:rPr>
        <w:t xml:space="preserve"> (and perhaps connected to prostitution)</w:t>
      </w:r>
      <w:r w:rsidR="00951A8C" w:rsidRPr="009D007C">
        <w:rPr>
          <w:rFonts w:ascii="Arial" w:hAnsi="Arial" w:cs="Arial"/>
          <w:sz w:val="24"/>
          <w:szCs w:val="24"/>
        </w:rPr>
        <w:t>. In 1873, she was diagnosed with genital warts and syphilis sh</w:t>
      </w:r>
      <w:r w:rsidR="001935FC">
        <w:rPr>
          <w:rFonts w:ascii="Arial" w:hAnsi="Arial" w:cs="Arial"/>
          <w:sz w:val="24"/>
          <w:szCs w:val="24"/>
        </w:rPr>
        <w:t xml:space="preserve">owing in her </w:t>
      </w:r>
      <w:r w:rsidR="00BB1553">
        <w:rPr>
          <w:rFonts w:ascii="Arial" w:hAnsi="Arial" w:cs="Arial"/>
          <w:sz w:val="24"/>
          <w:szCs w:val="24"/>
        </w:rPr>
        <w:t xml:space="preserve">‘neck and </w:t>
      </w:r>
      <w:r w:rsidR="001935FC">
        <w:rPr>
          <w:rFonts w:ascii="Arial" w:hAnsi="Arial" w:cs="Arial"/>
          <w:sz w:val="24"/>
          <w:szCs w:val="24"/>
        </w:rPr>
        <w:t>groin’. P</w:t>
      </w:r>
      <w:r w:rsidR="00951A8C" w:rsidRPr="009D007C">
        <w:rPr>
          <w:rFonts w:ascii="Arial" w:hAnsi="Arial" w:cs="Arial"/>
          <w:sz w:val="24"/>
          <w:szCs w:val="24"/>
        </w:rPr>
        <w:t>ossibly linked</w:t>
      </w:r>
      <w:r w:rsidR="001935FC">
        <w:rPr>
          <w:rFonts w:ascii="Arial" w:hAnsi="Arial" w:cs="Arial"/>
          <w:sz w:val="24"/>
          <w:szCs w:val="24"/>
        </w:rPr>
        <w:t xml:space="preserve"> to those infections, Mary Ann wa</w:t>
      </w:r>
      <w:r w:rsidR="00951A8C" w:rsidRPr="009D007C">
        <w:rPr>
          <w:rFonts w:ascii="Arial" w:hAnsi="Arial" w:cs="Arial"/>
          <w:sz w:val="24"/>
          <w:szCs w:val="24"/>
        </w:rPr>
        <w:t xml:space="preserve">s found to have scrofula in a medical </w:t>
      </w:r>
      <w:r w:rsidR="00233479" w:rsidRPr="009D007C">
        <w:rPr>
          <w:rFonts w:ascii="Arial" w:hAnsi="Arial" w:cs="Arial"/>
          <w:sz w:val="24"/>
          <w:szCs w:val="24"/>
        </w:rPr>
        <w:t>examination at</w:t>
      </w:r>
      <w:r w:rsidR="00951A8C" w:rsidRPr="009D007C">
        <w:rPr>
          <w:rFonts w:ascii="Arial" w:hAnsi="Arial" w:cs="Arial"/>
          <w:sz w:val="24"/>
          <w:szCs w:val="24"/>
        </w:rPr>
        <w:t xml:space="preserve"> Millbank.</w:t>
      </w:r>
      <w:r w:rsidR="00951A8C" w:rsidRPr="009D007C">
        <w:rPr>
          <w:rStyle w:val="EndnoteReference"/>
          <w:rFonts w:ascii="Arial" w:hAnsi="Arial" w:cs="Arial"/>
          <w:sz w:val="24"/>
          <w:szCs w:val="24"/>
        </w:rPr>
        <w:endnoteReference w:id="62"/>
      </w:r>
      <w:r w:rsidR="00F241F4" w:rsidRPr="009D007C">
        <w:rPr>
          <w:rFonts w:ascii="Arial" w:hAnsi="Arial" w:cs="Arial"/>
          <w:sz w:val="24"/>
          <w:szCs w:val="24"/>
        </w:rPr>
        <w:t xml:space="preserve"> Subsequent medical e</w:t>
      </w:r>
      <w:r w:rsidR="00951A8C" w:rsidRPr="009D007C">
        <w:rPr>
          <w:rFonts w:ascii="Arial" w:hAnsi="Arial" w:cs="Arial"/>
          <w:sz w:val="24"/>
          <w:szCs w:val="24"/>
        </w:rPr>
        <w:t>xaminations</w:t>
      </w:r>
      <w:r w:rsidR="00F241F4" w:rsidRPr="009D007C">
        <w:rPr>
          <w:rFonts w:ascii="Arial" w:hAnsi="Arial" w:cs="Arial"/>
          <w:sz w:val="24"/>
          <w:szCs w:val="24"/>
        </w:rPr>
        <w:t xml:space="preserve"> in 1875 also</w:t>
      </w:r>
      <w:r w:rsidR="00951A8C" w:rsidRPr="009D007C">
        <w:rPr>
          <w:rFonts w:ascii="Arial" w:hAnsi="Arial" w:cs="Arial"/>
          <w:sz w:val="24"/>
          <w:szCs w:val="24"/>
        </w:rPr>
        <w:t xml:space="preserve"> reveal</w:t>
      </w:r>
      <w:r w:rsidR="00233479">
        <w:rPr>
          <w:rFonts w:ascii="Arial" w:hAnsi="Arial" w:cs="Arial"/>
          <w:sz w:val="24"/>
          <w:szCs w:val="24"/>
        </w:rPr>
        <w:t>ed</w:t>
      </w:r>
      <w:r w:rsidR="00951A8C" w:rsidRPr="009D007C">
        <w:rPr>
          <w:rFonts w:ascii="Arial" w:hAnsi="Arial" w:cs="Arial"/>
          <w:sz w:val="24"/>
          <w:szCs w:val="24"/>
        </w:rPr>
        <w:t xml:space="preserve"> </w:t>
      </w:r>
      <w:r w:rsidR="00F241F4" w:rsidRPr="009D007C">
        <w:rPr>
          <w:rFonts w:ascii="Arial" w:hAnsi="Arial" w:cs="Arial"/>
          <w:sz w:val="24"/>
          <w:szCs w:val="24"/>
        </w:rPr>
        <w:t>‘</w:t>
      </w:r>
      <w:proofErr w:type="spellStart"/>
      <w:r w:rsidR="00951A8C" w:rsidRPr="009D007C">
        <w:rPr>
          <w:rFonts w:ascii="Arial" w:hAnsi="Arial" w:cs="Arial"/>
          <w:sz w:val="24"/>
          <w:szCs w:val="24"/>
        </w:rPr>
        <w:t>lymphadenoma</w:t>
      </w:r>
      <w:proofErr w:type="spellEnd"/>
      <w:r w:rsidR="00F241F4" w:rsidRPr="009D007C">
        <w:rPr>
          <w:rFonts w:ascii="Arial" w:hAnsi="Arial" w:cs="Arial"/>
          <w:sz w:val="24"/>
          <w:szCs w:val="24"/>
        </w:rPr>
        <w:t>’</w:t>
      </w:r>
      <w:r w:rsidR="00951A8C" w:rsidRPr="009D007C">
        <w:rPr>
          <w:rFonts w:ascii="Arial" w:hAnsi="Arial" w:cs="Arial"/>
          <w:sz w:val="24"/>
          <w:szCs w:val="24"/>
        </w:rPr>
        <w:t xml:space="preserve"> and </w:t>
      </w:r>
      <w:r w:rsidR="00F241F4" w:rsidRPr="009D007C">
        <w:rPr>
          <w:rFonts w:ascii="Arial" w:hAnsi="Arial" w:cs="Arial"/>
          <w:sz w:val="24"/>
          <w:szCs w:val="24"/>
        </w:rPr>
        <w:t>‘</w:t>
      </w:r>
      <w:proofErr w:type="spellStart"/>
      <w:r w:rsidR="00951A8C" w:rsidRPr="009D007C">
        <w:rPr>
          <w:rFonts w:ascii="Arial" w:hAnsi="Arial" w:cs="Arial"/>
          <w:sz w:val="24"/>
          <w:szCs w:val="24"/>
        </w:rPr>
        <w:t>pleurodynia</w:t>
      </w:r>
      <w:proofErr w:type="spellEnd"/>
      <w:r w:rsidR="00F241F4" w:rsidRPr="009D007C">
        <w:rPr>
          <w:rFonts w:ascii="Arial" w:hAnsi="Arial" w:cs="Arial"/>
          <w:sz w:val="24"/>
          <w:szCs w:val="24"/>
        </w:rPr>
        <w:t>’ – perhaps developments of earlier infections but certainly a sign that she was suffering from severe and serious bacterial infections that were spreading throughout her body.</w:t>
      </w:r>
      <w:r w:rsidR="00F96858">
        <w:rPr>
          <w:rFonts w:ascii="Arial" w:hAnsi="Arial" w:cs="Arial"/>
          <w:sz w:val="24"/>
          <w:szCs w:val="24"/>
        </w:rPr>
        <w:t xml:space="preserve"> T</w:t>
      </w:r>
      <w:r w:rsidR="00A64738" w:rsidRPr="009D007C">
        <w:rPr>
          <w:rFonts w:ascii="Arial" w:hAnsi="Arial" w:cs="Arial"/>
          <w:sz w:val="24"/>
          <w:szCs w:val="24"/>
        </w:rPr>
        <w:t>here was mention</w:t>
      </w:r>
      <w:r w:rsidR="00E25865" w:rsidRPr="009D007C">
        <w:rPr>
          <w:rFonts w:ascii="Arial" w:hAnsi="Arial" w:cs="Arial"/>
          <w:sz w:val="24"/>
          <w:szCs w:val="24"/>
        </w:rPr>
        <w:t xml:space="preserve"> of two </w:t>
      </w:r>
      <w:r w:rsidR="00E25865" w:rsidRPr="00F96858">
        <w:rPr>
          <w:rFonts w:ascii="Arial" w:hAnsi="Arial" w:cs="Arial"/>
          <w:sz w:val="24"/>
          <w:szCs w:val="24"/>
        </w:rPr>
        <w:t>children</w:t>
      </w:r>
      <w:r w:rsidR="00A64738" w:rsidRPr="00F96858">
        <w:rPr>
          <w:rFonts w:ascii="Arial" w:hAnsi="Arial" w:cs="Arial"/>
          <w:sz w:val="24"/>
          <w:szCs w:val="24"/>
        </w:rPr>
        <w:t>,</w:t>
      </w:r>
      <w:r w:rsidR="00A64738" w:rsidRPr="009D007C">
        <w:rPr>
          <w:rFonts w:ascii="Arial" w:hAnsi="Arial" w:cs="Arial"/>
          <w:sz w:val="24"/>
          <w:szCs w:val="24"/>
        </w:rPr>
        <w:t xml:space="preserve"> but the</w:t>
      </w:r>
      <w:r w:rsidR="00E25865" w:rsidRPr="009D007C">
        <w:rPr>
          <w:rFonts w:ascii="Arial" w:hAnsi="Arial" w:cs="Arial"/>
          <w:sz w:val="24"/>
          <w:szCs w:val="24"/>
        </w:rPr>
        <w:t xml:space="preserve">se were either taken from her during </w:t>
      </w:r>
      <w:r w:rsidR="00A64738" w:rsidRPr="009D007C">
        <w:rPr>
          <w:rFonts w:ascii="Arial" w:hAnsi="Arial" w:cs="Arial"/>
          <w:sz w:val="24"/>
          <w:szCs w:val="24"/>
        </w:rPr>
        <w:t xml:space="preserve">this sentence or </w:t>
      </w:r>
      <w:r w:rsidR="00F96858">
        <w:rPr>
          <w:rFonts w:ascii="Arial" w:hAnsi="Arial" w:cs="Arial"/>
          <w:sz w:val="24"/>
          <w:szCs w:val="24"/>
        </w:rPr>
        <w:t xml:space="preserve">they </w:t>
      </w:r>
      <w:r w:rsidR="00A64738" w:rsidRPr="009D007C">
        <w:rPr>
          <w:rFonts w:ascii="Arial" w:hAnsi="Arial" w:cs="Arial"/>
          <w:sz w:val="24"/>
          <w:szCs w:val="24"/>
        </w:rPr>
        <w:t>had died by the time of her next sentence.</w:t>
      </w:r>
      <w:r w:rsidR="00233479">
        <w:rPr>
          <w:rFonts w:ascii="Arial" w:hAnsi="Arial" w:cs="Arial"/>
          <w:sz w:val="24"/>
          <w:szCs w:val="24"/>
        </w:rPr>
        <w:t xml:space="preserve"> In 1877, Mary Ann </w:t>
      </w:r>
      <w:r w:rsidR="00E25865" w:rsidRPr="009D007C">
        <w:rPr>
          <w:rFonts w:ascii="Arial" w:hAnsi="Arial" w:cs="Arial"/>
          <w:sz w:val="24"/>
          <w:szCs w:val="24"/>
        </w:rPr>
        <w:t xml:space="preserve">was released </w:t>
      </w:r>
      <w:r w:rsidR="001E7AFD" w:rsidRPr="009D007C">
        <w:rPr>
          <w:rFonts w:ascii="Arial" w:hAnsi="Arial" w:cs="Arial"/>
          <w:sz w:val="24"/>
          <w:szCs w:val="24"/>
        </w:rPr>
        <w:t xml:space="preserve">on license (parole). </w:t>
      </w:r>
      <w:r w:rsidR="00A647CE" w:rsidRPr="009D007C">
        <w:rPr>
          <w:rFonts w:ascii="Arial" w:hAnsi="Arial" w:cs="Arial"/>
          <w:sz w:val="24"/>
          <w:szCs w:val="24"/>
        </w:rPr>
        <w:t xml:space="preserve">By this time, she had spent most of the previous </w:t>
      </w:r>
      <w:r w:rsidR="00A64738" w:rsidRPr="009D007C">
        <w:rPr>
          <w:rFonts w:ascii="Arial" w:hAnsi="Arial" w:cs="Arial"/>
          <w:sz w:val="24"/>
          <w:szCs w:val="24"/>
        </w:rPr>
        <w:t>two decades</w:t>
      </w:r>
      <w:r w:rsidR="00E25865" w:rsidRPr="009D007C">
        <w:rPr>
          <w:rFonts w:ascii="Arial" w:hAnsi="Arial" w:cs="Arial"/>
          <w:sz w:val="24"/>
          <w:szCs w:val="24"/>
        </w:rPr>
        <w:t xml:space="preserve"> in prison</w:t>
      </w:r>
      <w:r w:rsidR="00A647CE" w:rsidRPr="009D007C">
        <w:rPr>
          <w:rFonts w:ascii="Arial" w:hAnsi="Arial" w:cs="Arial"/>
          <w:sz w:val="24"/>
          <w:szCs w:val="24"/>
        </w:rPr>
        <w:t>.</w:t>
      </w:r>
      <w:r w:rsidR="00E25865" w:rsidRPr="009D007C">
        <w:rPr>
          <w:rFonts w:ascii="Arial" w:hAnsi="Arial" w:cs="Arial"/>
          <w:sz w:val="24"/>
          <w:szCs w:val="24"/>
        </w:rPr>
        <w:t xml:space="preserve"> In poor health and with no family to reconcile her remaining years, it was not surprising</w:t>
      </w:r>
      <w:r w:rsidR="0040594D" w:rsidRPr="009D007C">
        <w:rPr>
          <w:rFonts w:ascii="Arial" w:hAnsi="Arial" w:cs="Arial"/>
          <w:sz w:val="24"/>
          <w:szCs w:val="24"/>
        </w:rPr>
        <w:t xml:space="preserve"> she broke the terms of her parole and was bac</w:t>
      </w:r>
      <w:r w:rsidR="00E1441C" w:rsidRPr="009D007C">
        <w:rPr>
          <w:rFonts w:ascii="Arial" w:hAnsi="Arial" w:cs="Arial"/>
          <w:sz w:val="24"/>
          <w:szCs w:val="24"/>
        </w:rPr>
        <w:t>k inside to finish her sentence and begin another seven year term</w:t>
      </w:r>
      <w:r w:rsidR="00F96858">
        <w:rPr>
          <w:rFonts w:ascii="Arial" w:hAnsi="Arial" w:cs="Arial"/>
          <w:sz w:val="24"/>
          <w:szCs w:val="24"/>
        </w:rPr>
        <w:t>.</w:t>
      </w:r>
      <w:r w:rsidR="00F96858" w:rsidRPr="00F96858">
        <w:rPr>
          <w:rFonts w:ascii="Arial" w:hAnsi="Arial" w:cs="Arial"/>
          <w:sz w:val="24"/>
          <w:szCs w:val="24"/>
        </w:rPr>
        <w:t xml:space="preserve"> In 1879, Mary Ann went on trial at the Old Bailey for ‘Larceny from person and receiving’. She had stolen a pocket watch and money from William Marsh, worth £2.8.0. She was sentenced to seven years imprisonment and seven years under police supervision.</w:t>
      </w:r>
      <w:r w:rsidR="00F96858">
        <w:rPr>
          <w:rFonts w:ascii="Arial" w:hAnsi="Arial" w:cs="Arial"/>
          <w:sz w:val="24"/>
          <w:szCs w:val="24"/>
        </w:rPr>
        <w:t xml:space="preserve"> Aged 37 years, t</w:t>
      </w:r>
      <w:r w:rsidR="00F96858" w:rsidRPr="00F96858">
        <w:rPr>
          <w:rFonts w:ascii="Arial" w:hAnsi="Arial" w:cs="Arial"/>
          <w:sz w:val="24"/>
          <w:szCs w:val="24"/>
        </w:rPr>
        <w:t>his was to be her final prison sentence.</w:t>
      </w:r>
    </w:p>
    <w:p w14:paraId="1330E893" w14:textId="77777777" w:rsidR="00233479" w:rsidRDefault="00233479" w:rsidP="00A66E40">
      <w:pPr>
        <w:spacing w:after="0" w:line="240" w:lineRule="auto"/>
        <w:rPr>
          <w:rFonts w:ascii="Arial" w:hAnsi="Arial" w:cs="Arial"/>
          <w:sz w:val="24"/>
          <w:szCs w:val="24"/>
        </w:rPr>
      </w:pPr>
    </w:p>
    <w:p w14:paraId="5657068C" w14:textId="0E9DD8B2" w:rsidR="00CF3487" w:rsidRDefault="00A66E40" w:rsidP="00CF3487">
      <w:pPr>
        <w:spacing w:after="0" w:line="240" w:lineRule="auto"/>
        <w:rPr>
          <w:rFonts w:ascii="Arial" w:hAnsi="Arial" w:cs="Arial"/>
          <w:sz w:val="24"/>
          <w:szCs w:val="24"/>
        </w:rPr>
      </w:pPr>
      <w:r w:rsidRPr="009D007C">
        <w:rPr>
          <w:rFonts w:ascii="Arial" w:hAnsi="Arial" w:cs="Arial"/>
          <w:sz w:val="24"/>
          <w:szCs w:val="24"/>
        </w:rPr>
        <w:t xml:space="preserve">She was physically, </w:t>
      </w:r>
      <w:r w:rsidR="0022042E">
        <w:rPr>
          <w:rFonts w:ascii="Arial" w:hAnsi="Arial" w:cs="Arial"/>
          <w:sz w:val="24"/>
          <w:szCs w:val="24"/>
        </w:rPr>
        <w:t xml:space="preserve">and possibly </w:t>
      </w:r>
      <w:r w:rsidRPr="009D007C">
        <w:rPr>
          <w:rFonts w:ascii="Arial" w:hAnsi="Arial" w:cs="Arial"/>
          <w:sz w:val="24"/>
          <w:szCs w:val="24"/>
        </w:rPr>
        <w:t xml:space="preserve">mentally, broken. </w:t>
      </w:r>
      <w:r w:rsidR="00CF3487" w:rsidRPr="00CF3487">
        <w:rPr>
          <w:rFonts w:ascii="Arial" w:hAnsi="Arial" w:cs="Arial"/>
          <w:sz w:val="24"/>
          <w:szCs w:val="24"/>
        </w:rPr>
        <w:t xml:space="preserve">According to </w:t>
      </w:r>
      <w:proofErr w:type="spellStart"/>
      <w:r w:rsidR="00D668E9" w:rsidRPr="00D668E9">
        <w:rPr>
          <w:rFonts w:ascii="Arial" w:hAnsi="Arial" w:cs="Arial"/>
          <w:sz w:val="24"/>
          <w:szCs w:val="24"/>
        </w:rPr>
        <w:t>Séan</w:t>
      </w:r>
      <w:proofErr w:type="spellEnd"/>
      <w:r w:rsidR="00D668E9" w:rsidRPr="00D668E9">
        <w:rPr>
          <w:rFonts w:ascii="Arial" w:hAnsi="Arial" w:cs="Arial"/>
          <w:sz w:val="24"/>
          <w:szCs w:val="24"/>
        </w:rPr>
        <w:t xml:space="preserve"> </w:t>
      </w:r>
      <w:proofErr w:type="spellStart"/>
      <w:r w:rsidR="00D668E9" w:rsidRPr="00D668E9">
        <w:rPr>
          <w:rFonts w:ascii="Arial" w:hAnsi="Arial" w:cs="Arial"/>
          <w:sz w:val="24"/>
          <w:szCs w:val="24"/>
        </w:rPr>
        <w:t>McConville</w:t>
      </w:r>
      <w:proofErr w:type="spellEnd"/>
      <w:r w:rsidR="00CF3487" w:rsidRPr="00CF3487">
        <w:rPr>
          <w:rFonts w:ascii="Arial" w:hAnsi="Arial" w:cs="Arial"/>
          <w:sz w:val="24"/>
          <w:szCs w:val="24"/>
        </w:rPr>
        <w:t>: ‘It was sadly true that despite its restrictions and hardships many women found the captive’s life preferable to freedom…Some expressed pleasure at returning to prison because they had no other home.’</w:t>
      </w:r>
      <w:r w:rsidR="00CF3487" w:rsidRPr="00CF3487">
        <w:rPr>
          <w:rFonts w:ascii="Arial" w:hAnsi="Arial" w:cs="Arial"/>
          <w:sz w:val="24"/>
          <w:szCs w:val="24"/>
          <w:vertAlign w:val="superscript"/>
        </w:rPr>
        <w:endnoteReference w:id="63"/>
      </w:r>
      <w:r w:rsidR="00CF3487" w:rsidRPr="00CF3487">
        <w:rPr>
          <w:rFonts w:ascii="Arial" w:hAnsi="Arial" w:cs="Arial"/>
          <w:sz w:val="24"/>
          <w:szCs w:val="24"/>
        </w:rPr>
        <w:t xml:space="preserve"> The matron of </w:t>
      </w:r>
      <w:proofErr w:type="spellStart"/>
      <w:r w:rsidR="00CF3487" w:rsidRPr="00CF3487">
        <w:rPr>
          <w:rFonts w:ascii="Arial" w:hAnsi="Arial" w:cs="Arial"/>
          <w:sz w:val="24"/>
          <w:szCs w:val="24"/>
        </w:rPr>
        <w:t>Strang</w:t>
      </w:r>
      <w:r w:rsidR="00AE32CC">
        <w:rPr>
          <w:rFonts w:ascii="Arial" w:hAnsi="Arial" w:cs="Arial"/>
          <w:sz w:val="24"/>
          <w:szCs w:val="24"/>
        </w:rPr>
        <w:t>e</w:t>
      </w:r>
      <w:r w:rsidR="00CF3487" w:rsidRPr="00CF3487">
        <w:rPr>
          <w:rFonts w:ascii="Arial" w:hAnsi="Arial" w:cs="Arial"/>
          <w:sz w:val="24"/>
          <w:szCs w:val="24"/>
        </w:rPr>
        <w:t>ways</w:t>
      </w:r>
      <w:proofErr w:type="spellEnd"/>
      <w:r w:rsidR="00613C5E">
        <w:rPr>
          <w:rFonts w:ascii="Arial" w:hAnsi="Arial" w:cs="Arial"/>
          <w:sz w:val="24"/>
          <w:szCs w:val="24"/>
        </w:rPr>
        <w:t xml:space="preserve"> prison</w:t>
      </w:r>
      <w:r w:rsidR="00CF3487" w:rsidRPr="00CF3487">
        <w:rPr>
          <w:rFonts w:ascii="Arial" w:hAnsi="Arial" w:cs="Arial"/>
          <w:sz w:val="24"/>
          <w:szCs w:val="24"/>
        </w:rPr>
        <w:t>, for example, reported that women preferred being in the institution to the trials of life on the outside.</w:t>
      </w:r>
      <w:r w:rsidR="00613C5E">
        <w:rPr>
          <w:rStyle w:val="EndnoteReference"/>
          <w:rFonts w:ascii="Arial" w:hAnsi="Arial" w:cs="Arial"/>
          <w:sz w:val="24"/>
          <w:szCs w:val="24"/>
        </w:rPr>
        <w:endnoteReference w:id="64"/>
      </w:r>
      <w:r w:rsidR="00CF3487" w:rsidRPr="00CF3487">
        <w:rPr>
          <w:rFonts w:ascii="Arial" w:hAnsi="Arial" w:cs="Arial"/>
          <w:sz w:val="24"/>
          <w:szCs w:val="24"/>
        </w:rPr>
        <w:t xml:space="preserve"> Such se</w:t>
      </w:r>
      <w:r w:rsidR="00613C5E">
        <w:rPr>
          <w:rFonts w:ascii="Arial" w:hAnsi="Arial" w:cs="Arial"/>
          <w:sz w:val="24"/>
          <w:szCs w:val="24"/>
        </w:rPr>
        <w:t>lf-congratulatory viewpoints fro</w:t>
      </w:r>
      <w:r w:rsidR="00CF3487" w:rsidRPr="00CF3487">
        <w:rPr>
          <w:rFonts w:ascii="Arial" w:hAnsi="Arial" w:cs="Arial"/>
          <w:sz w:val="24"/>
          <w:szCs w:val="24"/>
        </w:rPr>
        <w:t xml:space="preserve">m the prison administration need to be considered sceptically. The </w:t>
      </w:r>
      <w:r w:rsidR="00613C5E">
        <w:rPr>
          <w:rFonts w:ascii="Arial" w:hAnsi="Arial" w:cs="Arial"/>
          <w:sz w:val="24"/>
          <w:szCs w:val="24"/>
        </w:rPr>
        <w:t xml:space="preserve">constancy of </w:t>
      </w:r>
      <w:r w:rsidR="00CF3487" w:rsidRPr="00CF3487">
        <w:rPr>
          <w:rFonts w:ascii="Arial" w:hAnsi="Arial" w:cs="Arial"/>
          <w:sz w:val="24"/>
          <w:szCs w:val="24"/>
        </w:rPr>
        <w:t xml:space="preserve">shelter and </w:t>
      </w:r>
      <w:r w:rsidR="00613C5E">
        <w:rPr>
          <w:rFonts w:ascii="Arial" w:hAnsi="Arial" w:cs="Arial"/>
          <w:sz w:val="24"/>
          <w:szCs w:val="24"/>
        </w:rPr>
        <w:t>nourishment may</w:t>
      </w:r>
      <w:r w:rsidR="00CF3487" w:rsidRPr="00CF3487">
        <w:rPr>
          <w:rFonts w:ascii="Arial" w:hAnsi="Arial" w:cs="Arial"/>
          <w:sz w:val="24"/>
          <w:szCs w:val="24"/>
        </w:rPr>
        <w:t xml:space="preserve"> have been a </w:t>
      </w:r>
      <w:r w:rsidR="00613C5E">
        <w:rPr>
          <w:rFonts w:ascii="Arial" w:hAnsi="Arial" w:cs="Arial"/>
          <w:sz w:val="24"/>
          <w:szCs w:val="24"/>
        </w:rPr>
        <w:lastRenderedPageBreak/>
        <w:t>factor</w:t>
      </w:r>
      <w:r w:rsidR="00CF3487" w:rsidRPr="00CF3487">
        <w:rPr>
          <w:rFonts w:ascii="Arial" w:hAnsi="Arial" w:cs="Arial"/>
          <w:sz w:val="24"/>
          <w:szCs w:val="24"/>
        </w:rPr>
        <w:t xml:space="preserve"> but so too would institutionalisation. There is no denying that the crushing regimes of separate confinement, mind-numbing routines and cruel methods of punishment and subjugation would have scarred even the strongest individuals. As </w:t>
      </w:r>
      <w:proofErr w:type="spellStart"/>
      <w:r w:rsidR="00CF3487" w:rsidRPr="00CF3487">
        <w:rPr>
          <w:rFonts w:ascii="Arial" w:hAnsi="Arial" w:cs="Arial"/>
          <w:sz w:val="24"/>
          <w:szCs w:val="24"/>
        </w:rPr>
        <w:t>McConville</w:t>
      </w:r>
      <w:proofErr w:type="spellEnd"/>
      <w:r w:rsidR="00CF3487" w:rsidRPr="00CF3487">
        <w:rPr>
          <w:rFonts w:ascii="Arial" w:hAnsi="Arial" w:cs="Arial"/>
          <w:sz w:val="24"/>
          <w:szCs w:val="24"/>
        </w:rPr>
        <w:t xml:space="preserve"> observed of Victorian prison administration, ‘Generally there was agreement that women required more decent and humane conditions than men’, but the level to which women’s experiences were lenient compared to men’s remains controversial.</w:t>
      </w:r>
      <w:r w:rsidR="00CF3487" w:rsidRPr="00CF3487">
        <w:rPr>
          <w:rFonts w:ascii="Arial" w:hAnsi="Arial" w:cs="Arial"/>
          <w:sz w:val="24"/>
          <w:szCs w:val="24"/>
          <w:vertAlign w:val="superscript"/>
        </w:rPr>
        <w:endnoteReference w:id="65"/>
      </w:r>
      <w:r w:rsidR="00CF3487" w:rsidRPr="00CF3487">
        <w:rPr>
          <w:rFonts w:ascii="Arial" w:hAnsi="Arial" w:cs="Arial"/>
          <w:sz w:val="24"/>
          <w:szCs w:val="24"/>
        </w:rPr>
        <w:t xml:space="preserve"> </w:t>
      </w:r>
      <w:r w:rsidR="00CF3487">
        <w:rPr>
          <w:rFonts w:ascii="Arial" w:hAnsi="Arial" w:cs="Arial"/>
          <w:sz w:val="24"/>
          <w:szCs w:val="24"/>
        </w:rPr>
        <w:t xml:space="preserve">Mary Ann had </w:t>
      </w:r>
      <w:r w:rsidR="0022042E">
        <w:rPr>
          <w:rFonts w:ascii="Arial" w:hAnsi="Arial" w:cs="Arial"/>
          <w:sz w:val="24"/>
          <w:szCs w:val="24"/>
        </w:rPr>
        <w:t>chronic</w:t>
      </w:r>
      <w:r w:rsidR="00CF3487">
        <w:rPr>
          <w:rFonts w:ascii="Arial" w:hAnsi="Arial" w:cs="Arial"/>
          <w:sz w:val="24"/>
          <w:szCs w:val="24"/>
        </w:rPr>
        <w:t xml:space="preserve"> health issues, but </w:t>
      </w:r>
      <w:r w:rsidR="000362D6">
        <w:rPr>
          <w:rFonts w:ascii="Arial" w:hAnsi="Arial" w:cs="Arial"/>
          <w:sz w:val="24"/>
          <w:szCs w:val="24"/>
        </w:rPr>
        <w:t xml:space="preserve">fears of malingering were still paramount in the minds of her medical treatment.  </w:t>
      </w:r>
      <w:r w:rsidR="00CF3487" w:rsidRPr="00CF3487">
        <w:rPr>
          <w:rFonts w:ascii="Arial" w:hAnsi="Arial" w:cs="Arial"/>
          <w:sz w:val="24"/>
          <w:szCs w:val="24"/>
        </w:rPr>
        <w:t xml:space="preserve"> </w:t>
      </w:r>
    </w:p>
    <w:p w14:paraId="63A31D12" w14:textId="77777777" w:rsidR="000362D6" w:rsidRDefault="000362D6" w:rsidP="00CF3487">
      <w:pPr>
        <w:spacing w:after="0" w:line="240" w:lineRule="auto"/>
        <w:rPr>
          <w:rFonts w:ascii="Arial" w:hAnsi="Arial" w:cs="Arial"/>
          <w:sz w:val="24"/>
          <w:szCs w:val="24"/>
        </w:rPr>
      </w:pPr>
    </w:p>
    <w:p w14:paraId="039F312E" w14:textId="7BCC8B46" w:rsidR="000362D6" w:rsidRPr="000362D6" w:rsidRDefault="0022158B" w:rsidP="000362D6">
      <w:pPr>
        <w:spacing w:after="0" w:line="240" w:lineRule="auto"/>
        <w:rPr>
          <w:rFonts w:ascii="Arial" w:hAnsi="Arial" w:cs="Arial"/>
          <w:sz w:val="24"/>
          <w:szCs w:val="24"/>
        </w:rPr>
      </w:pPr>
      <w:r w:rsidRPr="0022158B">
        <w:rPr>
          <w:rFonts w:ascii="Arial" w:hAnsi="Arial" w:cs="Arial"/>
          <w:sz w:val="24"/>
          <w:szCs w:val="24"/>
        </w:rPr>
        <w:t>Mary Ann was in the prison infirmary sever</w:t>
      </w:r>
      <w:r>
        <w:rPr>
          <w:rFonts w:ascii="Arial" w:hAnsi="Arial" w:cs="Arial"/>
          <w:sz w:val="24"/>
          <w:szCs w:val="24"/>
        </w:rPr>
        <w:t xml:space="preserve">al times between 1879 and 1883, but </w:t>
      </w:r>
      <w:r w:rsidR="000362D6" w:rsidRPr="000362D6">
        <w:rPr>
          <w:rFonts w:ascii="Arial" w:hAnsi="Arial" w:cs="Arial"/>
          <w:sz w:val="24"/>
          <w:szCs w:val="24"/>
        </w:rPr>
        <w:t xml:space="preserve">was </w:t>
      </w:r>
      <w:r>
        <w:rPr>
          <w:rFonts w:ascii="Arial" w:hAnsi="Arial" w:cs="Arial"/>
          <w:sz w:val="24"/>
          <w:szCs w:val="24"/>
        </w:rPr>
        <w:t xml:space="preserve">also </w:t>
      </w:r>
      <w:r w:rsidR="000362D6" w:rsidRPr="000362D6">
        <w:rPr>
          <w:rFonts w:ascii="Arial" w:hAnsi="Arial" w:cs="Arial"/>
          <w:sz w:val="24"/>
          <w:szCs w:val="24"/>
        </w:rPr>
        <w:t xml:space="preserve">charged with malingering on two occasions. The first time, was in November, 1881 when the chief matron reported Mary Ann: ‘Says she fell out of the hammock and hurt her arm. She has been brought to the notice of the </w:t>
      </w:r>
      <w:r w:rsidR="00F96858" w:rsidRPr="000362D6">
        <w:rPr>
          <w:rFonts w:ascii="Arial" w:hAnsi="Arial" w:cs="Arial"/>
          <w:sz w:val="24"/>
          <w:szCs w:val="24"/>
        </w:rPr>
        <w:t>medical</w:t>
      </w:r>
      <w:r w:rsidR="000362D6" w:rsidRPr="000362D6">
        <w:rPr>
          <w:rFonts w:ascii="Arial" w:hAnsi="Arial" w:cs="Arial"/>
          <w:sz w:val="24"/>
          <w:szCs w:val="24"/>
        </w:rPr>
        <w:t xml:space="preserve"> officer…The inquiry is trifling.’</w:t>
      </w:r>
      <w:r w:rsidR="000362D6" w:rsidRPr="000362D6">
        <w:rPr>
          <w:rFonts w:ascii="Arial" w:hAnsi="Arial" w:cs="Arial"/>
          <w:sz w:val="24"/>
          <w:szCs w:val="24"/>
          <w:vertAlign w:val="superscript"/>
        </w:rPr>
        <w:endnoteReference w:id="66"/>
      </w:r>
      <w:r w:rsidR="000362D6" w:rsidRPr="000362D6">
        <w:rPr>
          <w:rFonts w:ascii="Arial" w:hAnsi="Arial" w:cs="Arial"/>
          <w:sz w:val="24"/>
          <w:szCs w:val="24"/>
        </w:rPr>
        <w:t xml:space="preserve"> Three months later she was admitted to the prison infirmary with a ‘large abscess associated with disease in the upper extremity of the right thigh bone.’</w:t>
      </w:r>
      <w:r w:rsidR="000362D6" w:rsidRPr="000362D6">
        <w:rPr>
          <w:rFonts w:ascii="Arial" w:hAnsi="Arial" w:cs="Arial"/>
          <w:sz w:val="24"/>
          <w:szCs w:val="24"/>
          <w:vertAlign w:val="superscript"/>
        </w:rPr>
        <w:endnoteReference w:id="67"/>
      </w:r>
      <w:r w:rsidR="000362D6" w:rsidRPr="000362D6">
        <w:rPr>
          <w:rFonts w:ascii="Arial" w:hAnsi="Arial" w:cs="Arial"/>
          <w:sz w:val="24"/>
          <w:szCs w:val="24"/>
        </w:rPr>
        <w:t xml:space="preserve"> She remained there </w:t>
      </w:r>
      <w:r>
        <w:rPr>
          <w:rFonts w:ascii="Arial" w:hAnsi="Arial" w:cs="Arial"/>
          <w:sz w:val="24"/>
          <w:szCs w:val="24"/>
        </w:rPr>
        <w:t>until May 1883</w:t>
      </w:r>
      <w:r w:rsidR="004943B8">
        <w:rPr>
          <w:rFonts w:ascii="Arial" w:hAnsi="Arial" w:cs="Arial"/>
          <w:sz w:val="24"/>
          <w:szCs w:val="24"/>
        </w:rPr>
        <w:t xml:space="preserve">, </w:t>
      </w:r>
      <w:r w:rsidR="000362D6" w:rsidRPr="000362D6">
        <w:rPr>
          <w:rFonts w:ascii="Arial" w:hAnsi="Arial" w:cs="Arial"/>
          <w:sz w:val="24"/>
          <w:szCs w:val="24"/>
        </w:rPr>
        <w:t>but was again accused of malingering by the assistant matron less than one month after this, when she reported: ‘I beg to State for your information that on the morning of May 25</w:t>
      </w:r>
      <w:r w:rsidR="000362D6" w:rsidRPr="000362D6">
        <w:rPr>
          <w:rFonts w:ascii="Arial" w:hAnsi="Arial" w:cs="Arial"/>
          <w:sz w:val="24"/>
          <w:szCs w:val="24"/>
          <w:vertAlign w:val="superscript"/>
        </w:rPr>
        <w:t>th</w:t>
      </w:r>
      <w:r w:rsidR="000362D6" w:rsidRPr="000362D6">
        <w:rPr>
          <w:rFonts w:ascii="Arial" w:hAnsi="Arial" w:cs="Arial"/>
          <w:sz w:val="24"/>
          <w:szCs w:val="24"/>
        </w:rPr>
        <w:t xml:space="preserve"> I looked through the inspection [</w:t>
      </w:r>
      <w:r w:rsidR="0022042E">
        <w:rPr>
          <w:rFonts w:ascii="Arial" w:hAnsi="Arial" w:cs="Arial"/>
          <w:sz w:val="24"/>
          <w:szCs w:val="24"/>
        </w:rPr>
        <w:t>aperture</w:t>
      </w:r>
      <w:r w:rsidR="000362D6" w:rsidRPr="000362D6">
        <w:rPr>
          <w:rFonts w:ascii="Arial" w:hAnsi="Arial" w:cs="Arial"/>
          <w:sz w:val="24"/>
          <w:szCs w:val="24"/>
        </w:rPr>
        <w:t xml:space="preserve">] of prisoner </w:t>
      </w:r>
      <w:r w:rsidR="003617D2">
        <w:rPr>
          <w:rFonts w:ascii="Arial" w:hAnsi="Arial" w:cs="Arial"/>
          <w:sz w:val="24"/>
          <w:szCs w:val="24"/>
        </w:rPr>
        <w:t>(</w:t>
      </w:r>
      <w:r w:rsidR="000362D6" w:rsidRPr="000362D6">
        <w:rPr>
          <w:rFonts w:ascii="Arial" w:hAnsi="Arial" w:cs="Arial"/>
          <w:sz w:val="24"/>
          <w:szCs w:val="24"/>
        </w:rPr>
        <w:t>27 163 M</w:t>
      </w:r>
      <w:r w:rsidR="003617D2">
        <w:rPr>
          <w:rFonts w:ascii="Arial" w:hAnsi="Arial" w:cs="Arial"/>
          <w:sz w:val="24"/>
          <w:szCs w:val="24"/>
        </w:rPr>
        <w:t>)</w:t>
      </w:r>
      <w:r w:rsidR="000362D6" w:rsidRPr="000362D6">
        <w:rPr>
          <w:rFonts w:ascii="Arial" w:hAnsi="Arial" w:cs="Arial"/>
          <w:sz w:val="24"/>
          <w:szCs w:val="24"/>
        </w:rPr>
        <w:t xml:space="preserve"> Hall’s cell and saw her walking across her cell without any attendance. “</w:t>
      </w:r>
      <w:proofErr w:type="gramStart"/>
      <w:r w:rsidR="000362D6" w:rsidRPr="000362D6">
        <w:rPr>
          <w:rFonts w:ascii="Arial" w:hAnsi="Arial" w:cs="Arial"/>
          <w:sz w:val="24"/>
          <w:szCs w:val="24"/>
        </w:rPr>
        <w:t>she</w:t>
      </w:r>
      <w:proofErr w:type="gramEnd"/>
      <w:r w:rsidR="000362D6" w:rsidRPr="000362D6">
        <w:rPr>
          <w:rFonts w:ascii="Arial" w:hAnsi="Arial" w:cs="Arial"/>
          <w:sz w:val="24"/>
          <w:szCs w:val="24"/>
        </w:rPr>
        <w:t xml:space="preserve"> feigns inability to walk and as she </w:t>
      </w:r>
      <w:proofErr w:type="spellStart"/>
      <w:r w:rsidR="000362D6" w:rsidRPr="000362D6">
        <w:rPr>
          <w:rFonts w:ascii="Arial" w:hAnsi="Arial" w:cs="Arial"/>
          <w:sz w:val="24"/>
          <w:szCs w:val="24"/>
        </w:rPr>
        <w:t>can not</w:t>
      </w:r>
      <w:proofErr w:type="spellEnd"/>
      <w:r w:rsidR="000362D6" w:rsidRPr="000362D6">
        <w:rPr>
          <w:rFonts w:ascii="Arial" w:hAnsi="Arial" w:cs="Arial"/>
          <w:sz w:val="24"/>
          <w:szCs w:val="24"/>
        </w:rPr>
        <w:t xml:space="preserve"> be attended to in the hall was sent back to the infirmary on the 25</w:t>
      </w:r>
      <w:r w:rsidR="000362D6" w:rsidRPr="000362D6">
        <w:rPr>
          <w:rFonts w:ascii="Arial" w:hAnsi="Arial" w:cs="Arial"/>
          <w:sz w:val="24"/>
          <w:szCs w:val="24"/>
          <w:vertAlign w:val="superscript"/>
        </w:rPr>
        <w:t>th</w:t>
      </w:r>
      <w:r w:rsidR="000362D6" w:rsidRPr="000362D6">
        <w:rPr>
          <w:rFonts w:ascii="Arial" w:hAnsi="Arial" w:cs="Arial"/>
          <w:sz w:val="24"/>
          <w:szCs w:val="24"/>
        </w:rPr>
        <w:t xml:space="preserve"> May, having only been discharged the day before.’</w:t>
      </w:r>
      <w:r w:rsidR="000362D6" w:rsidRPr="000362D6">
        <w:rPr>
          <w:rFonts w:ascii="Arial" w:hAnsi="Arial" w:cs="Arial"/>
          <w:sz w:val="24"/>
          <w:szCs w:val="24"/>
          <w:vertAlign w:val="superscript"/>
        </w:rPr>
        <w:endnoteReference w:id="68"/>
      </w:r>
      <w:r w:rsidR="000362D6" w:rsidRPr="000362D6">
        <w:rPr>
          <w:rFonts w:ascii="Arial" w:hAnsi="Arial" w:cs="Arial"/>
          <w:sz w:val="24"/>
          <w:szCs w:val="24"/>
        </w:rPr>
        <w:t xml:space="preserve"> </w:t>
      </w:r>
    </w:p>
    <w:p w14:paraId="0D2E6BEF" w14:textId="77777777" w:rsidR="000362D6" w:rsidRDefault="000362D6" w:rsidP="00CF3487">
      <w:pPr>
        <w:spacing w:after="0" w:line="240" w:lineRule="auto"/>
        <w:rPr>
          <w:rFonts w:ascii="Arial" w:hAnsi="Arial" w:cs="Arial"/>
          <w:sz w:val="24"/>
          <w:szCs w:val="24"/>
        </w:rPr>
      </w:pPr>
    </w:p>
    <w:p w14:paraId="48EF6878" w14:textId="77777777" w:rsidR="00233479" w:rsidRDefault="000362D6" w:rsidP="00A66E40">
      <w:pPr>
        <w:spacing w:after="0" w:line="240" w:lineRule="auto"/>
        <w:rPr>
          <w:rFonts w:ascii="Arial" w:hAnsi="Arial" w:cs="Arial"/>
          <w:sz w:val="24"/>
          <w:szCs w:val="24"/>
        </w:rPr>
      </w:pPr>
      <w:r>
        <w:rPr>
          <w:rFonts w:ascii="Arial" w:hAnsi="Arial" w:cs="Arial"/>
          <w:sz w:val="24"/>
          <w:szCs w:val="24"/>
        </w:rPr>
        <w:t>Notwithstanding those questionable concerns, Mary Ann’s</w:t>
      </w:r>
      <w:r w:rsidR="00A66E40" w:rsidRPr="009D007C">
        <w:rPr>
          <w:rFonts w:ascii="Arial" w:hAnsi="Arial" w:cs="Arial"/>
          <w:sz w:val="24"/>
          <w:szCs w:val="24"/>
        </w:rPr>
        <w:t xml:space="preserve"> health seems to have been declining</w:t>
      </w:r>
      <w:r>
        <w:rPr>
          <w:rFonts w:ascii="Arial" w:hAnsi="Arial" w:cs="Arial"/>
          <w:sz w:val="24"/>
          <w:szCs w:val="24"/>
        </w:rPr>
        <w:t xml:space="preserve"> fast</w:t>
      </w:r>
      <w:r w:rsidR="00A66E40" w:rsidRPr="009D007C">
        <w:rPr>
          <w:rFonts w:ascii="Arial" w:hAnsi="Arial" w:cs="Arial"/>
          <w:sz w:val="24"/>
          <w:szCs w:val="24"/>
        </w:rPr>
        <w:t>. In addition to</w:t>
      </w:r>
      <w:r w:rsidR="0022158B" w:rsidRPr="0022158B">
        <w:rPr>
          <w:rFonts w:ascii="Arial" w:hAnsi="Arial" w:cs="Arial"/>
          <w:sz w:val="24"/>
          <w:szCs w:val="24"/>
        </w:rPr>
        <w:t xml:space="preserve"> </w:t>
      </w:r>
      <w:r w:rsidR="00FC7948">
        <w:rPr>
          <w:rFonts w:ascii="Arial" w:hAnsi="Arial" w:cs="Arial"/>
          <w:sz w:val="24"/>
          <w:szCs w:val="24"/>
        </w:rPr>
        <w:t>the leg wound that ultimately led to her release</w:t>
      </w:r>
      <w:r w:rsidR="0022158B" w:rsidRPr="0022158B">
        <w:rPr>
          <w:rFonts w:ascii="Arial" w:hAnsi="Arial" w:cs="Arial"/>
          <w:sz w:val="24"/>
          <w:szCs w:val="24"/>
        </w:rPr>
        <w:t xml:space="preserve">, </w:t>
      </w:r>
      <w:r w:rsidR="0022158B">
        <w:rPr>
          <w:rFonts w:ascii="Arial" w:hAnsi="Arial" w:cs="Arial"/>
          <w:sz w:val="24"/>
          <w:szCs w:val="24"/>
        </w:rPr>
        <w:t xml:space="preserve">she had </w:t>
      </w:r>
      <w:r w:rsidR="0022158B" w:rsidRPr="009D007C">
        <w:rPr>
          <w:rFonts w:ascii="Arial" w:hAnsi="Arial" w:cs="Arial"/>
          <w:sz w:val="24"/>
          <w:szCs w:val="24"/>
        </w:rPr>
        <w:t>been</w:t>
      </w:r>
      <w:r w:rsidR="00A66E40" w:rsidRPr="009D007C">
        <w:rPr>
          <w:rFonts w:ascii="Arial" w:hAnsi="Arial" w:cs="Arial"/>
          <w:sz w:val="24"/>
          <w:szCs w:val="24"/>
        </w:rPr>
        <w:t xml:space="preserve"> diagnosed</w:t>
      </w:r>
      <w:r w:rsidR="0022158B">
        <w:rPr>
          <w:rFonts w:ascii="Arial" w:hAnsi="Arial" w:cs="Arial"/>
          <w:sz w:val="24"/>
          <w:szCs w:val="24"/>
        </w:rPr>
        <w:t xml:space="preserve"> at this time</w:t>
      </w:r>
      <w:r w:rsidR="00A66E40" w:rsidRPr="009D007C">
        <w:rPr>
          <w:rFonts w:ascii="Arial" w:hAnsi="Arial" w:cs="Arial"/>
          <w:sz w:val="24"/>
          <w:szCs w:val="24"/>
        </w:rPr>
        <w:t xml:space="preserve"> with </w:t>
      </w:r>
      <w:proofErr w:type="spellStart"/>
      <w:r w:rsidR="00A66E40" w:rsidRPr="009D007C">
        <w:rPr>
          <w:rFonts w:ascii="Arial" w:hAnsi="Arial" w:cs="Arial"/>
          <w:sz w:val="24"/>
          <w:szCs w:val="24"/>
        </w:rPr>
        <w:t>pleurodynia</w:t>
      </w:r>
      <w:proofErr w:type="spellEnd"/>
      <w:r w:rsidR="00A66E40" w:rsidRPr="009D007C">
        <w:rPr>
          <w:rFonts w:ascii="Arial" w:hAnsi="Arial" w:cs="Arial"/>
          <w:sz w:val="24"/>
          <w:szCs w:val="24"/>
        </w:rPr>
        <w:t xml:space="preserve">, </w:t>
      </w:r>
      <w:proofErr w:type="spellStart"/>
      <w:r w:rsidR="00A66E40" w:rsidRPr="009D007C">
        <w:rPr>
          <w:rFonts w:ascii="Arial" w:hAnsi="Arial" w:cs="Arial"/>
          <w:sz w:val="24"/>
          <w:szCs w:val="24"/>
        </w:rPr>
        <w:t>lymphadenoma</w:t>
      </w:r>
      <w:proofErr w:type="spellEnd"/>
      <w:r w:rsidR="00A66E40" w:rsidRPr="009D007C">
        <w:rPr>
          <w:rFonts w:ascii="Arial" w:hAnsi="Arial" w:cs="Arial"/>
          <w:sz w:val="24"/>
          <w:szCs w:val="24"/>
        </w:rPr>
        <w:t xml:space="preserve"> and rheumatism. </w:t>
      </w:r>
      <w:r w:rsidR="00805092" w:rsidRPr="009D007C">
        <w:rPr>
          <w:rFonts w:ascii="Arial" w:hAnsi="Arial" w:cs="Arial"/>
          <w:sz w:val="24"/>
          <w:szCs w:val="24"/>
        </w:rPr>
        <w:t xml:space="preserve">In 1882, she </w:t>
      </w:r>
      <w:r w:rsidR="00CF3487">
        <w:rPr>
          <w:rFonts w:ascii="Arial" w:hAnsi="Arial" w:cs="Arial"/>
          <w:sz w:val="24"/>
          <w:szCs w:val="24"/>
        </w:rPr>
        <w:t>made</w:t>
      </w:r>
      <w:r w:rsidR="00FC78E9" w:rsidRPr="009D007C">
        <w:rPr>
          <w:rFonts w:ascii="Arial" w:hAnsi="Arial" w:cs="Arial"/>
          <w:sz w:val="24"/>
          <w:szCs w:val="24"/>
        </w:rPr>
        <w:t xml:space="preserve"> her first petition</w:t>
      </w:r>
      <w:r w:rsidR="004A1E5C" w:rsidRPr="004A1E5C">
        <w:rPr>
          <w:rFonts w:ascii="Arial" w:hAnsi="Arial" w:cs="Arial"/>
          <w:sz w:val="24"/>
          <w:szCs w:val="24"/>
        </w:rPr>
        <w:t xml:space="preserve"> for early release on grounds of ill health</w:t>
      </w:r>
      <w:r w:rsidR="004A1E5C">
        <w:rPr>
          <w:rFonts w:ascii="Arial" w:hAnsi="Arial" w:cs="Arial"/>
          <w:sz w:val="24"/>
          <w:szCs w:val="24"/>
        </w:rPr>
        <w:t>: she ‘Prays for kind consideration of her case – Pleads a very bad state of health and the willingness of her friends to help and receive her.’</w:t>
      </w:r>
      <w:r w:rsidR="004A1E5C">
        <w:rPr>
          <w:rStyle w:val="EndnoteReference"/>
          <w:rFonts w:ascii="Arial" w:hAnsi="Arial" w:cs="Arial"/>
          <w:sz w:val="24"/>
          <w:szCs w:val="24"/>
        </w:rPr>
        <w:endnoteReference w:id="69"/>
      </w:r>
      <w:r w:rsidR="00BB1A97">
        <w:rPr>
          <w:rFonts w:ascii="Arial" w:hAnsi="Arial" w:cs="Arial"/>
          <w:sz w:val="24"/>
          <w:szCs w:val="24"/>
        </w:rPr>
        <w:t xml:space="preserve"> The medical officer </w:t>
      </w:r>
      <w:r w:rsidR="00805092" w:rsidRPr="009D007C">
        <w:rPr>
          <w:rFonts w:ascii="Arial" w:hAnsi="Arial" w:cs="Arial"/>
          <w:sz w:val="24"/>
          <w:szCs w:val="24"/>
        </w:rPr>
        <w:t>rebutted the application and said that ‘the prisoner suffers from sciatica, but will in all likelihood recover. Her health is otherwise good and her life is not endangered by imprisonment’.</w:t>
      </w:r>
      <w:r w:rsidR="00805092" w:rsidRPr="009D007C">
        <w:rPr>
          <w:rStyle w:val="EndnoteReference"/>
          <w:rFonts w:ascii="Arial" w:hAnsi="Arial" w:cs="Arial"/>
          <w:sz w:val="24"/>
          <w:szCs w:val="24"/>
        </w:rPr>
        <w:endnoteReference w:id="70"/>
      </w:r>
      <w:r w:rsidR="004A1E5C">
        <w:rPr>
          <w:rFonts w:ascii="Arial" w:hAnsi="Arial" w:cs="Arial"/>
          <w:sz w:val="24"/>
          <w:szCs w:val="24"/>
        </w:rPr>
        <w:t xml:space="preserve"> Yet, a</w:t>
      </w:r>
      <w:r w:rsidR="0022158B">
        <w:rPr>
          <w:rFonts w:ascii="Arial" w:hAnsi="Arial" w:cs="Arial"/>
          <w:sz w:val="24"/>
          <w:szCs w:val="24"/>
        </w:rPr>
        <w:t>t the</w:t>
      </w:r>
      <w:r w:rsidR="00805092" w:rsidRPr="009D007C">
        <w:rPr>
          <w:rFonts w:ascii="Arial" w:hAnsi="Arial" w:cs="Arial"/>
          <w:sz w:val="24"/>
          <w:szCs w:val="24"/>
        </w:rPr>
        <w:t xml:space="preserve"> time </w:t>
      </w:r>
      <w:r w:rsidR="0022158B">
        <w:rPr>
          <w:rFonts w:ascii="Arial" w:hAnsi="Arial" w:cs="Arial"/>
          <w:sz w:val="24"/>
          <w:szCs w:val="24"/>
        </w:rPr>
        <w:t>of the petition</w:t>
      </w:r>
      <w:r w:rsidR="007E286F">
        <w:rPr>
          <w:rFonts w:ascii="Arial" w:hAnsi="Arial" w:cs="Arial"/>
          <w:sz w:val="24"/>
          <w:szCs w:val="24"/>
        </w:rPr>
        <w:t xml:space="preserve"> (</w:t>
      </w:r>
      <w:r w:rsidR="00805092" w:rsidRPr="009D007C">
        <w:rPr>
          <w:rFonts w:ascii="Arial" w:hAnsi="Arial" w:cs="Arial"/>
          <w:sz w:val="24"/>
          <w:szCs w:val="24"/>
        </w:rPr>
        <w:t xml:space="preserve">or </w:t>
      </w:r>
      <w:r w:rsidR="0022158B" w:rsidRPr="009D007C">
        <w:rPr>
          <w:rFonts w:ascii="Arial" w:hAnsi="Arial" w:cs="Arial"/>
          <w:sz w:val="24"/>
          <w:szCs w:val="24"/>
        </w:rPr>
        <w:t>shortly</w:t>
      </w:r>
      <w:r w:rsidR="007E286F">
        <w:rPr>
          <w:rFonts w:ascii="Arial" w:hAnsi="Arial" w:cs="Arial"/>
          <w:sz w:val="24"/>
          <w:szCs w:val="24"/>
        </w:rPr>
        <w:t xml:space="preserve"> afterwards)</w:t>
      </w:r>
      <w:r w:rsidR="00805092" w:rsidRPr="009D007C">
        <w:rPr>
          <w:rFonts w:ascii="Arial" w:hAnsi="Arial" w:cs="Arial"/>
          <w:sz w:val="24"/>
          <w:szCs w:val="24"/>
        </w:rPr>
        <w:t xml:space="preserve"> </w:t>
      </w:r>
      <w:r w:rsidR="007E286F">
        <w:rPr>
          <w:rFonts w:ascii="Arial" w:hAnsi="Arial" w:cs="Arial"/>
          <w:sz w:val="24"/>
          <w:szCs w:val="24"/>
        </w:rPr>
        <w:t>Mary Ann</w:t>
      </w:r>
      <w:r w:rsidR="00CF3487">
        <w:rPr>
          <w:rFonts w:ascii="Arial" w:hAnsi="Arial" w:cs="Arial"/>
          <w:sz w:val="24"/>
          <w:szCs w:val="24"/>
        </w:rPr>
        <w:t xml:space="preserve"> </w:t>
      </w:r>
      <w:r w:rsidR="007E286F">
        <w:rPr>
          <w:rFonts w:ascii="Arial" w:hAnsi="Arial" w:cs="Arial"/>
          <w:sz w:val="24"/>
          <w:szCs w:val="24"/>
        </w:rPr>
        <w:t xml:space="preserve">was </w:t>
      </w:r>
      <w:r w:rsidR="0022158B">
        <w:rPr>
          <w:rFonts w:ascii="Arial" w:hAnsi="Arial" w:cs="Arial"/>
          <w:sz w:val="24"/>
          <w:szCs w:val="24"/>
        </w:rPr>
        <w:t>returned to</w:t>
      </w:r>
      <w:r w:rsidR="00805092" w:rsidRPr="009D007C">
        <w:rPr>
          <w:rFonts w:ascii="Arial" w:hAnsi="Arial" w:cs="Arial"/>
          <w:sz w:val="24"/>
          <w:szCs w:val="24"/>
        </w:rPr>
        <w:t xml:space="preserve"> the prison infirmary </w:t>
      </w:r>
      <w:r w:rsidR="004943B8">
        <w:rPr>
          <w:rFonts w:ascii="Arial" w:hAnsi="Arial" w:cs="Arial"/>
          <w:sz w:val="24"/>
          <w:szCs w:val="24"/>
        </w:rPr>
        <w:t xml:space="preserve">for the </w:t>
      </w:r>
      <w:r w:rsidR="00CF3487">
        <w:rPr>
          <w:rFonts w:ascii="Arial" w:hAnsi="Arial" w:cs="Arial"/>
          <w:sz w:val="24"/>
          <w:szCs w:val="24"/>
        </w:rPr>
        <w:t>leg</w:t>
      </w:r>
      <w:r w:rsidR="004943B8">
        <w:rPr>
          <w:rFonts w:ascii="Arial" w:hAnsi="Arial" w:cs="Arial"/>
          <w:sz w:val="24"/>
          <w:szCs w:val="24"/>
        </w:rPr>
        <w:t xml:space="preserve"> issues, which were refuted by the matron. Her condition</w:t>
      </w:r>
      <w:r w:rsidR="00CF3487">
        <w:rPr>
          <w:rFonts w:ascii="Arial" w:hAnsi="Arial" w:cs="Arial"/>
          <w:sz w:val="24"/>
          <w:szCs w:val="24"/>
        </w:rPr>
        <w:t xml:space="preserve"> grew worse</w:t>
      </w:r>
      <w:r w:rsidR="001B380F" w:rsidRPr="009D007C">
        <w:rPr>
          <w:rFonts w:ascii="Arial" w:hAnsi="Arial" w:cs="Arial"/>
          <w:sz w:val="24"/>
          <w:szCs w:val="24"/>
        </w:rPr>
        <w:t xml:space="preserve"> over the course of a year. </w:t>
      </w:r>
    </w:p>
    <w:p w14:paraId="2387A9B9" w14:textId="77777777" w:rsidR="00233479" w:rsidRDefault="00233479" w:rsidP="00A66E40">
      <w:pPr>
        <w:spacing w:after="0" w:line="240" w:lineRule="auto"/>
        <w:rPr>
          <w:rFonts w:ascii="Arial" w:hAnsi="Arial" w:cs="Arial"/>
          <w:sz w:val="24"/>
          <w:szCs w:val="24"/>
        </w:rPr>
      </w:pPr>
    </w:p>
    <w:p w14:paraId="2686E7CA" w14:textId="77777777" w:rsidR="00735079" w:rsidRDefault="007E286F" w:rsidP="00BB1A97">
      <w:pPr>
        <w:spacing w:after="0" w:line="240" w:lineRule="auto"/>
        <w:rPr>
          <w:rFonts w:ascii="Arial" w:hAnsi="Arial" w:cs="Arial"/>
          <w:sz w:val="24"/>
          <w:szCs w:val="24"/>
        </w:rPr>
      </w:pPr>
      <w:r>
        <w:rPr>
          <w:rFonts w:ascii="Arial" w:hAnsi="Arial" w:cs="Arial"/>
          <w:sz w:val="24"/>
          <w:szCs w:val="24"/>
        </w:rPr>
        <w:t>‘</w:t>
      </w:r>
      <w:r w:rsidR="00FC7948">
        <w:rPr>
          <w:rFonts w:ascii="Arial" w:hAnsi="Arial" w:cs="Arial"/>
          <w:sz w:val="24"/>
          <w:szCs w:val="24"/>
        </w:rPr>
        <w:t>N</w:t>
      </w:r>
      <w:r w:rsidR="00A66E40" w:rsidRPr="009D007C">
        <w:rPr>
          <w:rFonts w:ascii="Arial" w:hAnsi="Arial" w:cs="Arial"/>
          <w:sz w:val="24"/>
          <w:szCs w:val="24"/>
        </w:rPr>
        <w:t>ecrosis of the flesh</w:t>
      </w:r>
      <w:r>
        <w:rPr>
          <w:rFonts w:ascii="Arial" w:hAnsi="Arial" w:cs="Arial"/>
          <w:sz w:val="24"/>
          <w:szCs w:val="24"/>
        </w:rPr>
        <w:t>’</w:t>
      </w:r>
      <w:r w:rsidR="00FC7948">
        <w:rPr>
          <w:rFonts w:ascii="Arial" w:hAnsi="Arial" w:cs="Arial"/>
          <w:sz w:val="24"/>
          <w:szCs w:val="24"/>
        </w:rPr>
        <w:t xml:space="preserve"> ate away at </w:t>
      </w:r>
      <w:r w:rsidR="004943B8">
        <w:rPr>
          <w:rFonts w:ascii="Arial" w:hAnsi="Arial" w:cs="Arial"/>
          <w:sz w:val="24"/>
          <w:szCs w:val="24"/>
        </w:rPr>
        <w:t>her</w:t>
      </w:r>
      <w:r w:rsidR="00FC7948">
        <w:rPr>
          <w:rFonts w:ascii="Arial" w:hAnsi="Arial" w:cs="Arial"/>
          <w:sz w:val="24"/>
          <w:szCs w:val="24"/>
        </w:rPr>
        <w:t xml:space="preserve"> leg and </w:t>
      </w:r>
      <w:r w:rsidR="00A66E40" w:rsidRPr="009D007C">
        <w:rPr>
          <w:rFonts w:ascii="Arial" w:hAnsi="Arial" w:cs="Arial"/>
          <w:sz w:val="24"/>
          <w:szCs w:val="24"/>
        </w:rPr>
        <w:t xml:space="preserve">finally </w:t>
      </w:r>
      <w:r w:rsidR="00805092" w:rsidRPr="009D007C">
        <w:rPr>
          <w:rFonts w:ascii="Arial" w:hAnsi="Arial" w:cs="Arial"/>
          <w:sz w:val="24"/>
          <w:szCs w:val="24"/>
        </w:rPr>
        <w:t xml:space="preserve">gained the medical officer’s </w:t>
      </w:r>
      <w:r w:rsidR="00FC7948">
        <w:rPr>
          <w:rFonts w:ascii="Arial" w:hAnsi="Arial" w:cs="Arial"/>
          <w:sz w:val="24"/>
          <w:szCs w:val="24"/>
        </w:rPr>
        <w:t>attestation</w:t>
      </w:r>
      <w:r w:rsidR="00805092" w:rsidRPr="009D007C">
        <w:rPr>
          <w:rFonts w:ascii="Arial" w:hAnsi="Arial" w:cs="Arial"/>
          <w:sz w:val="24"/>
          <w:szCs w:val="24"/>
        </w:rPr>
        <w:t xml:space="preserve"> that she was in severe poor health.</w:t>
      </w:r>
      <w:r w:rsidR="00BB1A97">
        <w:rPr>
          <w:rFonts w:ascii="Arial" w:hAnsi="Arial" w:cs="Arial"/>
          <w:sz w:val="24"/>
          <w:szCs w:val="24"/>
        </w:rPr>
        <w:t xml:space="preserve"> On 16</w:t>
      </w:r>
      <w:r w:rsidR="001B380F" w:rsidRPr="009D007C">
        <w:rPr>
          <w:rFonts w:ascii="Arial" w:hAnsi="Arial" w:cs="Arial"/>
          <w:sz w:val="24"/>
          <w:szCs w:val="24"/>
        </w:rPr>
        <w:t xml:space="preserve"> </w:t>
      </w:r>
      <w:r>
        <w:rPr>
          <w:rFonts w:ascii="Arial" w:hAnsi="Arial" w:cs="Arial"/>
          <w:sz w:val="24"/>
          <w:szCs w:val="24"/>
        </w:rPr>
        <w:t xml:space="preserve">March </w:t>
      </w:r>
      <w:r w:rsidR="001B380F" w:rsidRPr="009D007C">
        <w:rPr>
          <w:rFonts w:ascii="Arial" w:hAnsi="Arial" w:cs="Arial"/>
          <w:sz w:val="24"/>
          <w:szCs w:val="24"/>
        </w:rPr>
        <w:t xml:space="preserve">1883 </w:t>
      </w:r>
      <w:r w:rsidR="00BB1A97">
        <w:rPr>
          <w:rFonts w:ascii="Arial" w:hAnsi="Arial" w:cs="Arial"/>
          <w:sz w:val="24"/>
          <w:szCs w:val="24"/>
        </w:rPr>
        <w:t>Mary Ann successfully petitioned for early release on grounds of ill health, ‘Prays for liberty, pleads that she has been a great sufferer for more than two years &amp; there is no hope of her recovery also that her mother is willing to receive her &amp; will get her into an hospital.’ With the support of the medical officer, this time Mary Ann</w:t>
      </w:r>
      <w:r w:rsidR="004A1E5C">
        <w:rPr>
          <w:rFonts w:ascii="Arial" w:hAnsi="Arial" w:cs="Arial"/>
          <w:sz w:val="24"/>
          <w:szCs w:val="24"/>
        </w:rPr>
        <w:t>’s petition</w:t>
      </w:r>
      <w:r w:rsidR="00BB1A97">
        <w:rPr>
          <w:rFonts w:ascii="Arial" w:hAnsi="Arial" w:cs="Arial"/>
          <w:sz w:val="24"/>
          <w:szCs w:val="24"/>
        </w:rPr>
        <w:t xml:space="preserve"> was successful:</w:t>
      </w:r>
    </w:p>
    <w:p w14:paraId="2076F219" w14:textId="77777777" w:rsidR="00BB1A97" w:rsidRDefault="00BB1A97" w:rsidP="00BB1A97">
      <w:pPr>
        <w:spacing w:after="0" w:line="240" w:lineRule="auto"/>
        <w:rPr>
          <w:rFonts w:ascii="Arial" w:hAnsi="Arial" w:cs="Arial"/>
          <w:sz w:val="24"/>
          <w:szCs w:val="24"/>
        </w:rPr>
      </w:pPr>
    </w:p>
    <w:p w14:paraId="0E326806" w14:textId="77777777" w:rsidR="00735079" w:rsidRDefault="001B380F" w:rsidP="00735079">
      <w:pPr>
        <w:spacing w:after="0" w:line="240" w:lineRule="auto"/>
        <w:ind w:left="284" w:right="284"/>
        <w:rPr>
          <w:rFonts w:ascii="Arial" w:hAnsi="Arial" w:cs="Arial"/>
          <w:sz w:val="24"/>
          <w:szCs w:val="24"/>
        </w:rPr>
      </w:pPr>
      <w:r w:rsidRPr="009D007C">
        <w:rPr>
          <w:rFonts w:ascii="Arial" w:hAnsi="Arial" w:cs="Arial"/>
          <w:sz w:val="24"/>
          <w:szCs w:val="24"/>
        </w:rPr>
        <w:t xml:space="preserve">The convict – 3f163 Mary Ann Hall, suffers from disease of the right-thigh bone near the hip joint, and from an abscess connected with it. In the course of time, if her general health will permit it, a surgical operation may become necessary to save her limb and perhaps her life. </w:t>
      </w:r>
      <w:r w:rsidR="007E286F" w:rsidRPr="009D007C">
        <w:rPr>
          <w:rFonts w:ascii="Arial" w:hAnsi="Arial" w:cs="Arial"/>
          <w:sz w:val="24"/>
          <w:szCs w:val="24"/>
        </w:rPr>
        <w:t>Under</w:t>
      </w:r>
      <w:r w:rsidRPr="009D007C">
        <w:rPr>
          <w:rFonts w:ascii="Arial" w:hAnsi="Arial" w:cs="Arial"/>
          <w:sz w:val="24"/>
          <w:szCs w:val="24"/>
        </w:rPr>
        <w:t xml:space="preserve"> any circumstances she will be bedridden </w:t>
      </w:r>
      <w:r w:rsidRPr="009D007C">
        <w:rPr>
          <w:rFonts w:ascii="Arial" w:hAnsi="Arial" w:cs="Arial"/>
          <w:sz w:val="24"/>
          <w:szCs w:val="24"/>
        </w:rPr>
        <w:lastRenderedPageBreak/>
        <w:t>for a long time to come. It is possible that her health will be benefitted by h</w:t>
      </w:r>
      <w:r w:rsidR="00735079">
        <w:rPr>
          <w:rFonts w:ascii="Arial" w:hAnsi="Arial" w:cs="Arial"/>
          <w:sz w:val="24"/>
          <w:szCs w:val="24"/>
        </w:rPr>
        <w:t>er removal to another locality.</w:t>
      </w:r>
      <w:r w:rsidRPr="009D007C">
        <w:rPr>
          <w:rStyle w:val="EndnoteReference"/>
          <w:rFonts w:ascii="Arial" w:hAnsi="Arial" w:cs="Arial"/>
          <w:sz w:val="24"/>
          <w:szCs w:val="24"/>
        </w:rPr>
        <w:endnoteReference w:id="71"/>
      </w:r>
      <w:r w:rsidRPr="009D007C">
        <w:rPr>
          <w:rFonts w:ascii="Arial" w:hAnsi="Arial" w:cs="Arial"/>
          <w:sz w:val="24"/>
          <w:szCs w:val="24"/>
        </w:rPr>
        <w:t xml:space="preserve"> </w:t>
      </w:r>
    </w:p>
    <w:p w14:paraId="3ECD77D6" w14:textId="77777777" w:rsidR="00735079" w:rsidRDefault="00735079" w:rsidP="001B380F">
      <w:pPr>
        <w:spacing w:after="0" w:line="240" w:lineRule="auto"/>
        <w:rPr>
          <w:rFonts w:ascii="Arial" w:hAnsi="Arial" w:cs="Arial"/>
          <w:sz w:val="24"/>
          <w:szCs w:val="24"/>
        </w:rPr>
      </w:pPr>
    </w:p>
    <w:p w14:paraId="6B7B156C" w14:textId="103E6077" w:rsidR="00FC78E9" w:rsidRDefault="001B380F" w:rsidP="001B380F">
      <w:pPr>
        <w:spacing w:after="0" w:line="240" w:lineRule="auto"/>
        <w:rPr>
          <w:rFonts w:ascii="Arial" w:hAnsi="Arial" w:cs="Arial"/>
          <w:sz w:val="24"/>
          <w:szCs w:val="24"/>
        </w:rPr>
      </w:pPr>
      <w:r w:rsidRPr="009D007C">
        <w:rPr>
          <w:rFonts w:ascii="Arial" w:hAnsi="Arial" w:cs="Arial"/>
          <w:sz w:val="24"/>
          <w:szCs w:val="24"/>
        </w:rPr>
        <w:t xml:space="preserve">Worthy of note, here, is that </w:t>
      </w:r>
      <w:r w:rsidR="00836853">
        <w:rPr>
          <w:rFonts w:ascii="Arial" w:hAnsi="Arial" w:cs="Arial"/>
          <w:sz w:val="24"/>
          <w:szCs w:val="24"/>
        </w:rPr>
        <w:t xml:space="preserve">the stated </w:t>
      </w:r>
      <w:r w:rsidRPr="009D007C">
        <w:rPr>
          <w:rFonts w:ascii="Arial" w:hAnsi="Arial" w:cs="Arial"/>
          <w:sz w:val="24"/>
          <w:szCs w:val="24"/>
        </w:rPr>
        <w:t>‘more than two years’ contradicts the medical officer’s previous opinion that she was</w:t>
      </w:r>
      <w:r w:rsidR="006701D9">
        <w:rPr>
          <w:rFonts w:ascii="Arial" w:hAnsi="Arial" w:cs="Arial"/>
          <w:sz w:val="24"/>
          <w:szCs w:val="24"/>
        </w:rPr>
        <w:t xml:space="preserve"> previously</w:t>
      </w:r>
      <w:r w:rsidRPr="009D007C">
        <w:rPr>
          <w:rFonts w:ascii="Arial" w:hAnsi="Arial" w:cs="Arial"/>
          <w:sz w:val="24"/>
          <w:szCs w:val="24"/>
        </w:rPr>
        <w:t xml:space="preserve"> in good health</w:t>
      </w:r>
      <w:r w:rsidR="00735079">
        <w:rPr>
          <w:rFonts w:ascii="Arial" w:hAnsi="Arial" w:cs="Arial"/>
          <w:sz w:val="24"/>
          <w:szCs w:val="24"/>
        </w:rPr>
        <w:t xml:space="preserve"> and the second charge of malingering.</w:t>
      </w:r>
      <w:r w:rsidR="006701D9">
        <w:rPr>
          <w:rFonts w:ascii="Arial" w:hAnsi="Arial" w:cs="Arial"/>
          <w:sz w:val="24"/>
          <w:szCs w:val="24"/>
        </w:rPr>
        <w:t xml:space="preserve"> It is impossible to conclude if the wounds had become infected without interference or Mary Ann had exacerbated the wound, but </w:t>
      </w:r>
      <w:r w:rsidR="004A1E5C">
        <w:rPr>
          <w:rFonts w:ascii="Arial" w:hAnsi="Arial" w:cs="Arial"/>
          <w:sz w:val="24"/>
          <w:szCs w:val="24"/>
        </w:rPr>
        <w:t xml:space="preserve">by 1883 </w:t>
      </w:r>
      <w:r w:rsidR="006701D9">
        <w:rPr>
          <w:rFonts w:ascii="Arial" w:hAnsi="Arial" w:cs="Arial"/>
          <w:sz w:val="24"/>
          <w:szCs w:val="24"/>
        </w:rPr>
        <w:t>she was</w:t>
      </w:r>
      <w:r w:rsidR="003617D2">
        <w:rPr>
          <w:rFonts w:ascii="Arial" w:hAnsi="Arial" w:cs="Arial"/>
          <w:sz w:val="24"/>
          <w:szCs w:val="24"/>
        </w:rPr>
        <w:t xml:space="preserve"> diagnosed as</w:t>
      </w:r>
      <w:r w:rsidR="006701D9">
        <w:rPr>
          <w:rFonts w:ascii="Arial" w:hAnsi="Arial" w:cs="Arial"/>
          <w:sz w:val="24"/>
          <w:szCs w:val="24"/>
        </w:rPr>
        <w:t xml:space="preserve"> </w:t>
      </w:r>
      <w:r w:rsidR="004A1E5C">
        <w:rPr>
          <w:rFonts w:ascii="Arial" w:hAnsi="Arial" w:cs="Arial"/>
          <w:sz w:val="24"/>
          <w:szCs w:val="24"/>
        </w:rPr>
        <w:t>terminally ill from infection.</w:t>
      </w:r>
      <w:r w:rsidR="00735079">
        <w:rPr>
          <w:rFonts w:ascii="Arial" w:hAnsi="Arial" w:cs="Arial"/>
          <w:sz w:val="24"/>
          <w:szCs w:val="24"/>
        </w:rPr>
        <w:t xml:space="preserve"> </w:t>
      </w:r>
      <w:r w:rsidR="00C30E6E" w:rsidRPr="009D007C">
        <w:rPr>
          <w:rFonts w:ascii="Arial" w:hAnsi="Arial" w:cs="Arial"/>
          <w:sz w:val="24"/>
          <w:szCs w:val="24"/>
        </w:rPr>
        <w:t xml:space="preserve">Enquiries were made </w:t>
      </w:r>
      <w:r w:rsidR="00AB7E13" w:rsidRPr="009D007C">
        <w:rPr>
          <w:rFonts w:ascii="Arial" w:hAnsi="Arial" w:cs="Arial"/>
          <w:sz w:val="24"/>
          <w:szCs w:val="24"/>
        </w:rPr>
        <w:t>of</w:t>
      </w:r>
      <w:r w:rsidR="00C30E6E" w:rsidRPr="009D007C">
        <w:rPr>
          <w:rFonts w:ascii="Arial" w:hAnsi="Arial" w:cs="Arial"/>
          <w:sz w:val="24"/>
          <w:szCs w:val="24"/>
        </w:rPr>
        <w:t xml:space="preserve"> her f</w:t>
      </w:r>
      <w:r w:rsidR="00AB7E13" w:rsidRPr="009D007C">
        <w:rPr>
          <w:rFonts w:ascii="Arial" w:hAnsi="Arial" w:cs="Arial"/>
          <w:sz w:val="24"/>
          <w:szCs w:val="24"/>
        </w:rPr>
        <w:t xml:space="preserve">amily who resided </w:t>
      </w:r>
      <w:r w:rsidR="00C30E6E" w:rsidRPr="009D007C">
        <w:rPr>
          <w:rFonts w:ascii="Arial" w:hAnsi="Arial" w:cs="Arial"/>
          <w:sz w:val="24"/>
          <w:szCs w:val="24"/>
        </w:rPr>
        <w:t xml:space="preserve">in the Hull area. </w:t>
      </w:r>
      <w:r w:rsidR="00AB7E13" w:rsidRPr="009D007C">
        <w:rPr>
          <w:rFonts w:ascii="Arial" w:hAnsi="Arial" w:cs="Arial"/>
          <w:sz w:val="24"/>
          <w:szCs w:val="24"/>
        </w:rPr>
        <w:t>Following</w:t>
      </w:r>
      <w:r w:rsidR="00C30E6E" w:rsidRPr="009D007C">
        <w:rPr>
          <w:rFonts w:ascii="Arial" w:hAnsi="Arial" w:cs="Arial"/>
          <w:sz w:val="24"/>
          <w:szCs w:val="24"/>
        </w:rPr>
        <w:t xml:space="preserve"> correspondence between the prison, Mary’s mother</w:t>
      </w:r>
      <w:r w:rsidR="00AB7E13" w:rsidRPr="009D007C">
        <w:rPr>
          <w:rFonts w:ascii="Arial" w:hAnsi="Arial" w:cs="Arial"/>
          <w:sz w:val="24"/>
          <w:szCs w:val="24"/>
        </w:rPr>
        <w:t xml:space="preserve">, </w:t>
      </w:r>
      <w:r w:rsidR="00C30E6E" w:rsidRPr="009D007C">
        <w:rPr>
          <w:rFonts w:ascii="Arial" w:hAnsi="Arial" w:cs="Arial"/>
          <w:sz w:val="24"/>
          <w:szCs w:val="24"/>
        </w:rPr>
        <w:t xml:space="preserve">Hull General Hospital and the local police (to investigate and verify </w:t>
      </w:r>
      <w:r w:rsidR="00AB7E13" w:rsidRPr="009D007C">
        <w:rPr>
          <w:rFonts w:ascii="Arial" w:hAnsi="Arial" w:cs="Arial"/>
          <w:sz w:val="24"/>
          <w:szCs w:val="24"/>
        </w:rPr>
        <w:t xml:space="preserve">that </w:t>
      </w:r>
      <w:r w:rsidR="00C30E6E" w:rsidRPr="009D007C">
        <w:rPr>
          <w:rFonts w:ascii="Arial" w:hAnsi="Arial" w:cs="Arial"/>
          <w:sz w:val="24"/>
          <w:szCs w:val="24"/>
        </w:rPr>
        <w:t>the family</w:t>
      </w:r>
      <w:r w:rsidR="00AB7E13" w:rsidRPr="009D007C">
        <w:rPr>
          <w:rFonts w:ascii="Arial" w:hAnsi="Arial" w:cs="Arial"/>
          <w:sz w:val="24"/>
          <w:szCs w:val="24"/>
        </w:rPr>
        <w:t xml:space="preserve"> were respectable and willing and able to take-on Mary’s care</w:t>
      </w:r>
      <w:r w:rsidR="00C30E6E" w:rsidRPr="009D007C">
        <w:rPr>
          <w:rFonts w:ascii="Arial" w:hAnsi="Arial" w:cs="Arial"/>
          <w:sz w:val="24"/>
          <w:szCs w:val="24"/>
        </w:rPr>
        <w:t>)</w:t>
      </w:r>
      <w:r w:rsidR="00AB7E13" w:rsidRPr="009D007C">
        <w:rPr>
          <w:rFonts w:ascii="Arial" w:hAnsi="Arial" w:cs="Arial"/>
          <w:sz w:val="24"/>
          <w:szCs w:val="24"/>
        </w:rPr>
        <w:t xml:space="preserve">, Mary was released </w:t>
      </w:r>
      <w:r w:rsidR="00735079" w:rsidRPr="00735079">
        <w:rPr>
          <w:rFonts w:ascii="Arial" w:hAnsi="Arial" w:cs="Arial"/>
          <w:sz w:val="24"/>
          <w:szCs w:val="24"/>
        </w:rPr>
        <w:t xml:space="preserve">on </w:t>
      </w:r>
      <w:r w:rsidR="00735079">
        <w:rPr>
          <w:rFonts w:ascii="Arial" w:hAnsi="Arial" w:cs="Arial"/>
          <w:sz w:val="24"/>
          <w:szCs w:val="24"/>
        </w:rPr>
        <w:t>parole licence</w:t>
      </w:r>
      <w:r w:rsidR="00735079" w:rsidRPr="00735079">
        <w:rPr>
          <w:rFonts w:ascii="Arial" w:hAnsi="Arial" w:cs="Arial"/>
          <w:sz w:val="24"/>
          <w:szCs w:val="24"/>
        </w:rPr>
        <w:t xml:space="preserve"> </w:t>
      </w:r>
      <w:r w:rsidR="00AB7E13" w:rsidRPr="009D007C">
        <w:rPr>
          <w:rFonts w:ascii="Arial" w:hAnsi="Arial" w:cs="Arial"/>
          <w:sz w:val="24"/>
          <w:szCs w:val="24"/>
        </w:rPr>
        <w:t>to Hull General Infirmary for further treatment.</w:t>
      </w:r>
      <w:r w:rsidR="007E286F">
        <w:rPr>
          <w:rFonts w:ascii="Arial" w:hAnsi="Arial" w:cs="Arial"/>
          <w:sz w:val="24"/>
          <w:szCs w:val="24"/>
        </w:rPr>
        <w:t xml:space="preserve"> </w:t>
      </w:r>
    </w:p>
    <w:p w14:paraId="6BF1B16A" w14:textId="77777777" w:rsidR="007E286F" w:rsidRDefault="007E286F" w:rsidP="001B380F">
      <w:pPr>
        <w:spacing w:after="0" w:line="240" w:lineRule="auto"/>
        <w:rPr>
          <w:rFonts w:ascii="Arial" w:hAnsi="Arial" w:cs="Arial"/>
          <w:sz w:val="24"/>
          <w:szCs w:val="24"/>
        </w:rPr>
      </w:pPr>
    </w:p>
    <w:p w14:paraId="32301FFA" w14:textId="77777777" w:rsidR="0026163C" w:rsidRPr="00196BC8" w:rsidRDefault="007E286F" w:rsidP="00012285">
      <w:pPr>
        <w:spacing w:after="0" w:line="240" w:lineRule="auto"/>
        <w:rPr>
          <w:rFonts w:ascii="Arial" w:hAnsi="Arial" w:cs="Arial"/>
          <w:sz w:val="24"/>
          <w:szCs w:val="24"/>
        </w:rPr>
      </w:pPr>
      <w:r>
        <w:rPr>
          <w:rFonts w:ascii="Arial" w:hAnsi="Arial" w:cs="Arial"/>
          <w:sz w:val="24"/>
          <w:szCs w:val="24"/>
        </w:rPr>
        <w:t>All three cases, discussed above have some element of health</w:t>
      </w:r>
      <w:r w:rsidR="00C43E0E">
        <w:rPr>
          <w:rFonts w:ascii="Arial" w:hAnsi="Arial" w:cs="Arial"/>
          <w:sz w:val="24"/>
          <w:szCs w:val="24"/>
        </w:rPr>
        <w:t xml:space="preserve">. </w:t>
      </w:r>
      <w:proofErr w:type="gramStart"/>
      <w:r w:rsidR="00C43E0E">
        <w:rPr>
          <w:rFonts w:ascii="Arial" w:hAnsi="Arial" w:cs="Arial"/>
          <w:sz w:val="24"/>
          <w:szCs w:val="24"/>
        </w:rPr>
        <w:t>W</w:t>
      </w:r>
      <w:r>
        <w:rPr>
          <w:rFonts w:ascii="Arial" w:hAnsi="Arial" w:cs="Arial"/>
          <w:sz w:val="24"/>
          <w:szCs w:val="24"/>
        </w:rPr>
        <w:t xml:space="preserve">hether </w:t>
      </w:r>
      <w:r w:rsidR="00C43E0E">
        <w:rPr>
          <w:rFonts w:ascii="Arial" w:hAnsi="Arial" w:cs="Arial"/>
          <w:sz w:val="24"/>
          <w:szCs w:val="24"/>
        </w:rPr>
        <w:t>a dysfunction of the mind or body, t</w:t>
      </w:r>
      <w:r>
        <w:rPr>
          <w:rFonts w:ascii="Arial" w:hAnsi="Arial" w:cs="Arial"/>
          <w:sz w:val="24"/>
          <w:szCs w:val="24"/>
        </w:rPr>
        <w:t xml:space="preserve">he interaction of health with </w:t>
      </w:r>
      <w:r w:rsidR="00C43E0E">
        <w:rPr>
          <w:rFonts w:ascii="Arial" w:hAnsi="Arial" w:cs="Arial"/>
          <w:sz w:val="24"/>
          <w:szCs w:val="24"/>
        </w:rPr>
        <w:t xml:space="preserve">punishment </w:t>
      </w:r>
      <w:r w:rsidR="00735079">
        <w:rPr>
          <w:rFonts w:ascii="Arial" w:hAnsi="Arial" w:cs="Arial"/>
          <w:sz w:val="24"/>
          <w:szCs w:val="24"/>
        </w:rPr>
        <w:t>wa</w:t>
      </w:r>
      <w:r w:rsidR="00C43E0E">
        <w:rPr>
          <w:rFonts w:ascii="Arial" w:hAnsi="Arial" w:cs="Arial"/>
          <w:sz w:val="24"/>
          <w:szCs w:val="24"/>
        </w:rPr>
        <w:t>s</w:t>
      </w:r>
      <w:r>
        <w:rPr>
          <w:rFonts w:ascii="Arial" w:hAnsi="Arial" w:cs="Arial"/>
          <w:sz w:val="24"/>
          <w:szCs w:val="24"/>
        </w:rPr>
        <w:t xml:space="preserve"> more than an elementary </w:t>
      </w:r>
      <w:r w:rsidR="00DA4183">
        <w:rPr>
          <w:rFonts w:ascii="Arial" w:hAnsi="Arial" w:cs="Arial"/>
          <w:sz w:val="24"/>
          <w:szCs w:val="24"/>
        </w:rPr>
        <w:t>function</w:t>
      </w:r>
      <w:r>
        <w:rPr>
          <w:rFonts w:ascii="Arial" w:hAnsi="Arial" w:cs="Arial"/>
          <w:sz w:val="24"/>
          <w:szCs w:val="24"/>
        </w:rPr>
        <w:t>.</w:t>
      </w:r>
      <w:proofErr w:type="gramEnd"/>
      <w:r>
        <w:rPr>
          <w:rFonts w:ascii="Arial" w:hAnsi="Arial" w:cs="Arial"/>
          <w:sz w:val="24"/>
          <w:szCs w:val="24"/>
        </w:rPr>
        <w:t xml:space="preserve"> Poor health could lead to </w:t>
      </w:r>
      <w:r w:rsidR="00C43E0E">
        <w:rPr>
          <w:rFonts w:ascii="Arial" w:hAnsi="Arial" w:cs="Arial"/>
          <w:sz w:val="24"/>
          <w:szCs w:val="24"/>
        </w:rPr>
        <w:t xml:space="preserve">a life of dependence or </w:t>
      </w:r>
      <w:r>
        <w:rPr>
          <w:rFonts w:ascii="Arial" w:hAnsi="Arial" w:cs="Arial"/>
          <w:sz w:val="24"/>
          <w:szCs w:val="24"/>
        </w:rPr>
        <w:t xml:space="preserve">unemployment, in turn to crime, but </w:t>
      </w:r>
      <w:r w:rsidR="003435EF">
        <w:rPr>
          <w:rFonts w:ascii="Arial" w:hAnsi="Arial" w:cs="Arial"/>
          <w:sz w:val="24"/>
          <w:szCs w:val="24"/>
        </w:rPr>
        <w:t>long-term</w:t>
      </w:r>
      <w:r>
        <w:rPr>
          <w:rFonts w:ascii="Arial" w:hAnsi="Arial" w:cs="Arial"/>
          <w:sz w:val="24"/>
          <w:szCs w:val="24"/>
        </w:rPr>
        <w:t xml:space="preserve"> confinement</w:t>
      </w:r>
      <w:r w:rsidR="003435EF">
        <w:rPr>
          <w:rFonts w:ascii="Arial" w:hAnsi="Arial" w:cs="Arial"/>
          <w:sz w:val="24"/>
          <w:szCs w:val="24"/>
        </w:rPr>
        <w:t xml:space="preserve"> was damaging to mind and body</w:t>
      </w:r>
      <w:r>
        <w:rPr>
          <w:rFonts w:ascii="Arial" w:hAnsi="Arial" w:cs="Arial"/>
          <w:sz w:val="24"/>
          <w:szCs w:val="24"/>
        </w:rPr>
        <w:t xml:space="preserve">. </w:t>
      </w:r>
      <w:r w:rsidR="003435EF">
        <w:rPr>
          <w:rFonts w:ascii="Arial" w:hAnsi="Arial" w:cs="Arial"/>
          <w:sz w:val="24"/>
          <w:szCs w:val="24"/>
        </w:rPr>
        <w:t>The complexities of those</w:t>
      </w:r>
      <w:r w:rsidR="00DA4183">
        <w:rPr>
          <w:rFonts w:ascii="Arial" w:hAnsi="Arial" w:cs="Arial"/>
          <w:sz w:val="24"/>
          <w:szCs w:val="24"/>
        </w:rPr>
        <w:t xml:space="preserve"> relationship</w:t>
      </w:r>
      <w:r w:rsidR="003435EF">
        <w:rPr>
          <w:rFonts w:ascii="Arial" w:hAnsi="Arial" w:cs="Arial"/>
          <w:sz w:val="24"/>
          <w:szCs w:val="24"/>
        </w:rPr>
        <w:t>s</w:t>
      </w:r>
      <w:r w:rsidR="00DA4183">
        <w:rPr>
          <w:rFonts w:ascii="Arial" w:hAnsi="Arial" w:cs="Arial"/>
          <w:sz w:val="24"/>
          <w:szCs w:val="24"/>
        </w:rPr>
        <w:t xml:space="preserve"> were deeply problematized by the Victorian penal system, which did not recognise or understand (and exacerbated) many modern health </w:t>
      </w:r>
      <w:r w:rsidR="00882B8C">
        <w:rPr>
          <w:rFonts w:ascii="Arial" w:hAnsi="Arial" w:cs="Arial"/>
          <w:sz w:val="24"/>
          <w:szCs w:val="24"/>
        </w:rPr>
        <w:t>conditions</w:t>
      </w:r>
      <w:r w:rsidR="00A030AD">
        <w:rPr>
          <w:rFonts w:ascii="Arial" w:hAnsi="Arial" w:cs="Arial"/>
          <w:sz w:val="24"/>
          <w:szCs w:val="24"/>
        </w:rPr>
        <w:t xml:space="preserve"> </w:t>
      </w:r>
      <w:r w:rsidR="00882B8C">
        <w:rPr>
          <w:rFonts w:ascii="Arial" w:hAnsi="Arial" w:cs="Arial"/>
          <w:sz w:val="24"/>
          <w:szCs w:val="24"/>
        </w:rPr>
        <w:t>and</w:t>
      </w:r>
      <w:r w:rsidR="00A030AD" w:rsidRPr="006701D9">
        <w:rPr>
          <w:rFonts w:ascii="Arial" w:hAnsi="Arial" w:cs="Arial"/>
          <w:sz w:val="24"/>
          <w:szCs w:val="24"/>
        </w:rPr>
        <w:t xml:space="preserve"> </w:t>
      </w:r>
      <w:r w:rsidR="00882B8C">
        <w:rPr>
          <w:rFonts w:ascii="Arial" w:hAnsi="Arial" w:cs="Arial"/>
          <w:sz w:val="24"/>
          <w:szCs w:val="24"/>
        </w:rPr>
        <w:t>mental disorders</w:t>
      </w:r>
      <w:r w:rsidR="004F1374">
        <w:rPr>
          <w:rFonts w:ascii="Arial" w:hAnsi="Arial" w:cs="Arial"/>
          <w:sz w:val="24"/>
          <w:szCs w:val="24"/>
        </w:rPr>
        <w:t xml:space="preserve">. The Victorians spent </w:t>
      </w:r>
      <w:r w:rsidR="00A030AD">
        <w:rPr>
          <w:rFonts w:ascii="Arial" w:hAnsi="Arial" w:cs="Arial"/>
          <w:sz w:val="24"/>
          <w:szCs w:val="24"/>
        </w:rPr>
        <w:t xml:space="preserve">a </w:t>
      </w:r>
      <w:r w:rsidR="004F1374">
        <w:rPr>
          <w:rFonts w:ascii="Arial" w:hAnsi="Arial" w:cs="Arial"/>
          <w:sz w:val="24"/>
          <w:szCs w:val="24"/>
        </w:rPr>
        <w:t>great deal of time and political energy on creating nutritionally-stable diets that would sustain a prisoner at the least expense, with the objective of a healthy body ready for release and gainful employment.</w:t>
      </w:r>
      <w:r w:rsidR="004F1374">
        <w:rPr>
          <w:rStyle w:val="EndnoteReference"/>
          <w:rFonts w:ascii="Arial" w:hAnsi="Arial" w:cs="Arial"/>
          <w:sz w:val="24"/>
          <w:szCs w:val="24"/>
        </w:rPr>
        <w:endnoteReference w:id="72"/>
      </w:r>
      <w:r w:rsidR="004F1374">
        <w:rPr>
          <w:rFonts w:ascii="Arial" w:hAnsi="Arial" w:cs="Arial"/>
          <w:sz w:val="24"/>
          <w:szCs w:val="24"/>
        </w:rPr>
        <w:t xml:space="preserve"> The separate system worked against those aims, breaking minds and bodies with months of solitary confinement</w:t>
      </w:r>
      <w:r w:rsidR="003435EF">
        <w:rPr>
          <w:rFonts w:ascii="Arial" w:hAnsi="Arial" w:cs="Arial"/>
          <w:sz w:val="24"/>
          <w:szCs w:val="24"/>
        </w:rPr>
        <w:t>, crude diets</w:t>
      </w:r>
      <w:r w:rsidR="004F1374">
        <w:rPr>
          <w:rFonts w:ascii="Arial" w:hAnsi="Arial" w:cs="Arial"/>
          <w:sz w:val="24"/>
          <w:szCs w:val="24"/>
        </w:rPr>
        <w:t xml:space="preserve"> and hard but aimless work.</w:t>
      </w:r>
      <w:r w:rsidR="004F1374">
        <w:rPr>
          <w:rStyle w:val="EndnoteReference"/>
          <w:rFonts w:ascii="Arial" w:hAnsi="Arial" w:cs="Arial"/>
          <w:sz w:val="24"/>
          <w:szCs w:val="24"/>
        </w:rPr>
        <w:endnoteReference w:id="73"/>
      </w:r>
      <w:r w:rsidR="00A030AD">
        <w:rPr>
          <w:rFonts w:ascii="Arial" w:hAnsi="Arial" w:cs="Arial"/>
          <w:sz w:val="24"/>
          <w:szCs w:val="24"/>
        </w:rPr>
        <w:t xml:space="preserve"> </w:t>
      </w:r>
      <w:r w:rsidR="00AD2BBF">
        <w:rPr>
          <w:rFonts w:ascii="Arial" w:hAnsi="Arial" w:cs="Arial"/>
          <w:sz w:val="24"/>
          <w:szCs w:val="24"/>
        </w:rPr>
        <w:t>Arguably, c</w:t>
      </w:r>
      <w:r w:rsidR="00404471">
        <w:rPr>
          <w:rFonts w:ascii="Arial" w:hAnsi="Arial" w:cs="Arial"/>
          <w:sz w:val="24"/>
          <w:szCs w:val="24"/>
        </w:rPr>
        <w:t>onvicts</w:t>
      </w:r>
      <w:r w:rsidR="00B12E33">
        <w:rPr>
          <w:rFonts w:ascii="Arial" w:hAnsi="Arial" w:cs="Arial"/>
          <w:sz w:val="24"/>
          <w:szCs w:val="24"/>
        </w:rPr>
        <w:t>, such as Mary Ann, were</w:t>
      </w:r>
      <w:r w:rsidR="00C43E0E">
        <w:rPr>
          <w:rFonts w:ascii="Arial" w:hAnsi="Arial" w:cs="Arial"/>
          <w:sz w:val="24"/>
          <w:szCs w:val="24"/>
        </w:rPr>
        <w:t xml:space="preserve"> institutionalised</w:t>
      </w:r>
      <w:r w:rsidR="00B12E33">
        <w:rPr>
          <w:rFonts w:ascii="Arial" w:hAnsi="Arial" w:cs="Arial"/>
          <w:sz w:val="24"/>
          <w:szCs w:val="24"/>
        </w:rPr>
        <w:t xml:space="preserve"> and broken</w:t>
      </w:r>
      <w:r w:rsidR="00C43E0E">
        <w:rPr>
          <w:rFonts w:ascii="Arial" w:hAnsi="Arial" w:cs="Arial"/>
          <w:sz w:val="24"/>
          <w:szCs w:val="24"/>
        </w:rPr>
        <w:t xml:space="preserve"> by the system</w:t>
      </w:r>
      <w:r w:rsidR="00B12E33">
        <w:rPr>
          <w:rFonts w:ascii="Arial" w:hAnsi="Arial" w:cs="Arial"/>
          <w:sz w:val="24"/>
          <w:szCs w:val="24"/>
        </w:rPr>
        <w:t xml:space="preserve"> </w:t>
      </w:r>
      <w:r w:rsidR="00AD2BBF">
        <w:rPr>
          <w:rFonts w:ascii="Arial" w:hAnsi="Arial" w:cs="Arial"/>
          <w:sz w:val="24"/>
          <w:szCs w:val="24"/>
        </w:rPr>
        <w:t>rather than being</w:t>
      </w:r>
      <w:r w:rsidR="00B12E33">
        <w:rPr>
          <w:rFonts w:ascii="Arial" w:hAnsi="Arial" w:cs="Arial"/>
          <w:sz w:val="24"/>
          <w:szCs w:val="24"/>
        </w:rPr>
        <w:t xml:space="preserve"> reformed by it</w:t>
      </w:r>
      <w:r w:rsidR="00C43E0E">
        <w:rPr>
          <w:rFonts w:ascii="Arial" w:hAnsi="Arial" w:cs="Arial"/>
          <w:sz w:val="24"/>
          <w:szCs w:val="24"/>
        </w:rPr>
        <w:t xml:space="preserve">. </w:t>
      </w:r>
    </w:p>
    <w:p w14:paraId="7B478605" w14:textId="77777777" w:rsidR="00362495" w:rsidRPr="009D007C" w:rsidRDefault="00362495" w:rsidP="00362495">
      <w:pPr>
        <w:spacing w:after="0" w:line="240" w:lineRule="auto"/>
        <w:rPr>
          <w:rFonts w:ascii="Arial" w:hAnsi="Arial" w:cs="Arial"/>
          <w:sz w:val="24"/>
          <w:szCs w:val="24"/>
        </w:rPr>
      </w:pPr>
    </w:p>
    <w:p w14:paraId="01ED639C" w14:textId="77777777" w:rsidR="009D4E69" w:rsidRPr="009D007C" w:rsidRDefault="00D06361" w:rsidP="00B92FD0">
      <w:pPr>
        <w:spacing w:after="0" w:line="240" w:lineRule="auto"/>
        <w:rPr>
          <w:rFonts w:ascii="Arial" w:hAnsi="Arial" w:cs="Arial"/>
          <w:sz w:val="24"/>
          <w:szCs w:val="24"/>
        </w:rPr>
      </w:pPr>
      <w:r>
        <w:rPr>
          <w:rFonts w:ascii="Arial" w:hAnsi="Arial" w:cs="Arial"/>
          <w:b/>
          <w:sz w:val="24"/>
          <w:szCs w:val="24"/>
        </w:rPr>
        <w:t>Conclusion</w:t>
      </w:r>
    </w:p>
    <w:p w14:paraId="0B12F978" w14:textId="77777777" w:rsidR="009D4E69" w:rsidRPr="009D007C" w:rsidRDefault="009D4E69" w:rsidP="00B92FD0">
      <w:pPr>
        <w:spacing w:after="0" w:line="240" w:lineRule="auto"/>
        <w:rPr>
          <w:rFonts w:ascii="Arial" w:hAnsi="Arial" w:cs="Arial"/>
          <w:sz w:val="24"/>
          <w:szCs w:val="24"/>
        </w:rPr>
      </w:pPr>
    </w:p>
    <w:p w14:paraId="71F920FF" w14:textId="77777777" w:rsidR="003C0101" w:rsidRDefault="003C0101" w:rsidP="00B92FD0">
      <w:pPr>
        <w:spacing w:after="0" w:line="240" w:lineRule="auto"/>
        <w:rPr>
          <w:rFonts w:ascii="Arial" w:hAnsi="Arial" w:cs="Arial"/>
          <w:sz w:val="24"/>
          <w:szCs w:val="24"/>
        </w:rPr>
      </w:pPr>
      <w:r w:rsidRPr="006F3E91">
        <w:rPr>
          <w:rFonts w:ascii="Arial" w:hAnsi="Arial" w:cs="Arial"/>
          <w:sz w:val="24"/>
          <w:szCs w:val="24"/>
        </w:rPr>
        <w:t xml:space="preserve">Most </w:t>
      </w:r>
      <w:r w:rsidR="003B755C">
        <w:rPr>
          <w:rFonts w:ascii="Arial" w:hAnsi="Arial" w:cs="Arial"/>
          <w:sz w:val="24"/>
          <w:szCs w:val="24"/>
        </w:rPr>
        <w:t xml:space="preserve">cultural and </w:t>
      </w:r>
      <w:r w:rsidRPr="006F3E91">
        <w:rPr>
          <w:rFonts w:ascii="Arial" w:hAnsi="Arial" w:cs="Arial"/>
          <w:sz w:val="24"/>
          <w:szCs w:val="24"/>
        </w:rPr>
        <w:t xml:space="preserve">social historians would recognise that at least in some part of their work they strive to represent the views of those that have been </w:t>
      </w:r>
      <w:r w:rsidR="0079642D">
        <w:rPr>
          <w:rFonts w:ascii="Arial" w:hAnsi="Arial" w:cs="Arial"/>
          <w:sz w:val="24"/>
          <w:szCs w:val="24"/>
        </w:rPr>
        <w:t xml:space="preserve">overlooked or written out of </w:t>
      </w:r>
      <w:r w:rsidR="00F66449">
        <w:rPr>
          <w:rFonts w:ascii="Arial" w:hAnsi="Arial" w:cs="Arial"/>
          <w:sz w:val="24"/>
          <w:szCs w:val="24"/>
        </w:rPr>
        <w:t>cultural dialogue of the past</w:t>
      </w:r>
      <w:r w:rsidR="0079642D">
        <w:rPr>
          <w:rFonts w:ascii="Arial" w:hAnsi="Arial" w:cs="Arial"/>
          <w:sz w:val="24"/>
          <w:szCs w:val="24"/>
        </w:rPr>
        <w:t>; a desire t</w:t>
      </w:r>
      <w:r w:rsidRPr="006F3E91">
        <w:rPr>
          <w:rFonts w:ascii="Arial" w:hAnsi="Arial" w:cs="Arial"/>
          <w:sz w:val="24"/>
          <w:szCs w:val="24"/>
        </w:rPr>
        <w:t xml:space="preserve">o lift from the </w:t>
      </w:r>
      <w:r w:rsidR="0079642D">
        <w:rPr>
          <w:rFonts w:ascii="Arial" w:hAnsi="Arial" w:cs="Arial"/>
          <w:sz w:val="24"/>
          <w:szCs w:val="24"/>
        </w:rPr>
        <w:t>archives</w:t>
      </w:r>
      <w:r w:rsidRPr="006F3E91">
        <w:rPr>
          <w:rFonts w:ascii="Arial" w:hAnsi="Arial" w:cs="Arial"/>
          <w:sz w:val="24"/>
          <w:szCs w:val="24"/>
        </w:rPr>
        <w:t xml:space="preserve"> traces of those lost perspectives – to rebalance the</w:t>
      </w:r>
      <w:r w:rsidR="0079642D">
        <w:rPr>
          <w:rFonts w:ascii="Arial" w:hAnsi="Arial" w:cs="Arial"/>
          <w:sz w:val="24"/>
          <w:szCs w:val="24"/>
        </w:rPr>
        <w:t xml:space="preserve"> historical account and </w:t>
      </w:r>
      <w:r w:rsidR="00EE305E">
        <w:rPr>
          <w:rFonts w:ascii="Arial" w:hAnsi="Arial" w:cs="Arial"/>
          <w:sz w:val="24"/>
          <w:szCs w:val="24"/>
        </w:rPr>
        <w:t>bring to the centre</w:t>
      </w:r>
      <w:r w:rsidRPr="006F3E91">
        <w:rPr>
          <w:rFonts w:ascii="Arial" w:hAnsi="Arial" w:cs="Arial"/>
          <w:sz w:val="24"/>
          <w:szCs w:val="24"/>
        </w:rPr>
        <w:t xml:space="preserve"> marginalised voices. </w:t>
      </w:r>
      <w:r w:rsidR="00DC391E">
        <w:rPr>
          <w:rFonts w:ascii="Arial" w:hAnsi="Arial" w:cs="Arial"/>
          <w:sz w:val="24"/>
          <w:szCs w:val="24"/>
        </w:rPr>
        <w:t>Extant c</w:t>
      </w:r>
      <w:r>
        <w:rPr>
          <w:rFonts w:ascii="Arial" w:hAnsi="Arial" w:cs="Arial"/>
          <w:sz w:val="24"/>
          <w:szCs w:val="24"/>
        </w:rPr>
        <w:t xml:space="preserve">onvict petitions </w:t>
      </w:r>
      <w:r w:rsidR="00DC391E">
        <w:rPr>
          <w:rFonts w:ascii="Arial" w:hAnsi="Arial" w:cs="Arial"/>
          <w:sz w:val="24"/>
          <w:szCs w:val="24"/>
        </w:rPr>
        <w:t xml:space="preserve">and the related documents of bureaucracy </w:t>
      </w:r>
      <w:r>
        <w:rPr>
          <w:rFonts w:ascii="Arial" w:hAnsi="Arial" w:cs="Arial"/>
          <w:sz w:val="24"/>
          <w:szCs w:val="24"/>
        </w:rPr>
        <w:t>provide a</w:t>
      </w:r>
      <w:r w:rsidRPr="006F3E91">
        <w:rPr>
          <w:rFonts w:ascii="Arial" w:hAnsi="Arial" w:cs="Arial"/>
          <w:sz w:val="24"/>
          <w:szCs w:val="24"/>
        </w:rPr>
        <w:t xml:space="preserve"> uniquely rich </w:t>
      </w:r>
      <w:r>
        <w:rPr>
          <w:rFonts w:ascii="Arial" w:hAnsi="Arial" w:cs="Arial"/>
          <w:sz w:val="24"/>
          <w:szCs w:val="24"/>
        </w:rPr>
        <w:t xml:space="preserve">and under-used </w:t>
      </w:r>
      <w:r w:rsidRPr="006F3E91">
        <w:rPr>
          <w:rFonts w:ascii="Arial" w:hAnsi="Arial" w:cs="Arial"/>
          <w:sz w:val="24"/>
          <w:szCs w:val="24"/>
        </w:rPr>
        <w:t xml:space="preserve">source for </w:t>
      </w:r>
      <w:r>
        <w:rPr>
          <w:rFonts w:ascii="Arial" w:hAnsi="Arial" w:cs="Arial"/>
          <w:sz w:val="24"/>
          <w:szCs w:val="24"/>
        </w:rPr>
        <w:t>achieving</w:t>
      </w:r>
      <w:r w:rsidRPr="006F3E91">
        <w:rPr>
          <w:rFonts w:ascii="Arial" w:hAnsi="Arial" w:cs="Arial"/>
          <w:sz w:val="24"/>
          <w:szCs w:val="24"/>
        </w:rPr>
        <w:t xml:space="preserve"> this</w:t>
      </w:r>
      <w:r>
        <w:rPr>
          <w:rFonts w:ascii="Arial" w:hAnsi="Arial" w:cs="Arial"/>
          <w:sz w:val="24"/>
          <w:szCs w:val="24"/>
        </w:rPr>
        <w:t xml:space="preserve"> goal. </w:t>
      </w:r>
    </w:p>
    <w:p w14:paraId="7D73D481" w14:textId="77777777" w:rsidR="003C0101" w:rsidRDefault="003C0101" w:rsidP="00B92FD0">
      <w:pPr>
        <w:spacing w:after="0" w:line="240" w:lineRule="auto"/>
        <w:rPr>
          <w:rFonts w:ascii="Arial" w:hAnsi="Arial" w:cs="Arial"/>
          <w:sz w:val="24"/>
          <w:szCs w:val="24"/>
        </w:rPr>
      </w:pPr>
    </w:p>
    <w:p w14:paraId="5FAC4FEC" w14:textId="77777777" w:rsidR="003C0101" w:rsidRDefault="00AD4C12" w:rsidP="00B92FD0">
      <w:pPr>
        <w:spacing w:after="0" w:line="240" w:lineRule="auto"/>
        <w:rPr>
          <w:rFonts w:ascii="Arial" w:hAnsi="Arial" w:cs="Arial"/>
          <w:sz w:val="24"/>
          <w:szCs w:val="24"/>
        </w:rPr>
      </w:pPr>
      <w:r>
        <w:rPr>
          <w:rFonts w:ascii="Arial" w:hAnsi="Arial" w:cs="Arial"/>
          <w:sz w:val="24"/>
          <w:szCs w:val="24"/>
        </w:rPr>
        <w:t xml:space="preserve">The </w:t>
      </w:r>
      <w:r w:rsidR="00E25CAE">
        <w:rPr>
          <w:rFonts w:ascii="Arial" w:hAnsi="Arial" w:cs="Arial"/>
          <w:sz w:val="24"/>
          <w:szCs w:val="24"/>
        </w:rPr>
        <w:t>three</w:t>
      </w:r>
      <w:r w:rsidR="0031243B" w:rsidRPr="0031243B">
        <w:rPr>
          <w:rFonts w:ascii="Arial" w:hAnsi="Arial" w:cs="Arial"/>
          <w:sz w:val="24"/>
          <w:szCs w:val="24"/>
        </w:rPr>
        <w:t xml:space="preserve"> case studies of </w:t>
      </w:r>
      <w:r w:rsidR="0079642D">
        <w:rPr>
          <w:rFonts w:ascii="Arial" w:hAnsi="Arial" w:cs="Arial"/>
          <w:sz w:val="24"/>
          <w:szCs w:val="24"/>
        </w:rPr>
        <w:t xml:space="preserve">female </w:t>
      </w:r>
      <w:r w:rsidR="0031243B" w:rsidRPr="0031243B">
        <w:rPr>
          <w:rFonts w:ascii="Arial" w:hAnsi="Arial" w:cs="Arial"/>
          <w:sz w:val="24"/>
          <w:szCs w:val="24"/>
        </w:rPr>
        <w:t xml:space="preserve">marginalised </w:t>
      </w:r>
      <w:r w:rsidR="0079642D">
        <w:rPr>
          <w:rFonts w:ascii="Arial" w:hAnsi="Arial" w:cs="Arial"/>
          <w:sz w:val="24"/>
          <w:szCs w:val="24"/>
        </w:rPr>
        <w:t>voices</w:t>
      </w:r>
      <w:r>
        <w:rPr>
          <w:rFonts w:ascii="Arial" w:hAnsi="Arial" w:cs="Arial"/>
          <w:sz w:val="24"/>
          <w:szCs w:val="24"/>
        </w:rPr>
        <w:t xml:space="preserve"> </w:t>
      </w:r>
      <w:r w:rsidR="0079642D">
        <w:rPr>
          <w:rFonts w:ascii="Arial" w:hAnsi="Arial" w:cs="Arial"/>
          <w:sz w:val="24"/>
          <w:szCs w:val="24"/>
        </w:rPr>
        <w:t xml:space="preserve">are </w:t>
      </w:r>
      <w:r w:rsidR="0031243B" w:rsidRPr="0031243B">
        <w:rPr>
          <w:rFonts w:ascii="Arial" w:hAnsi="Arial" w:cs="Arial"/>
          <w:sz w:val="24"/>
          <w:szCs w:val="24"/>
        </w:rPr>
        <w:t>represented</w:t>
      </w:r>
      <w:r w:rsidR="0079642D">
        <w:rPr>
          <w:rFonts w:ascii="Arial" w:hAnsi="Arial" w:cs="Arial"/>
          <w:sz w:val="24"/>
          <w:szCs w:val="24"/>
        </w:rPr>
        <w:t xml:space="preserve"> here</w:t>
      </w:r>
      <w:r w:rsidR="0031243B" w:rsidRPr="0031243B">
        <w:rPr>
          <w:rFonts w:ascii="Arial" w:hAnsi="Arial" w:cs="Arial"/>
          <w:sz w:val="24"/>
          <w:szCs w:val="24"/>
        </w:rPr>
        <w:t xml:space="preserve"> </w:t>
      </w:r>
      <w:r w:rsidR="003C0101">
        <w:rPr>
          <w:rFonts w:ascii="Arial" w:hAnsi="Arial" w:cs="Arial"/>
          <w:sz w:val="24"/>
          <w:szCs w:val="24"/>
        </w:rPr>
        <w:t>for</w:t>
      </w:r>
      <w:r w:rsidR="003C0101" w:rsidRPr="0031243B">
        <w:rPr>
          <w:rFonts w:ascii="Arial" w:hAnsi="Arial" w:cs="Arial"/>
          <w:sz w:val="24"/>
          <w:szCs w:val="24"/>
        </w:rPr>
        <w:t xml:space="preserve"> different reasons</w:t>
      </w:r>
      <w:r w:rsidR="0079642D">
        <w:rPr>
          <w:rFonts w:ascii="Arial" w:hAnsi="Arial" w:cs="Arial"/>
          <w:sz w:val="24"/>
          <w:szCs w:val="24"/>
        </w:rPr>
        <w:t xml:space="preserve"> but brought together as a group for</w:t>
      </w:r>
      <w:r w:rsidR="003C0101" w:rsidRPr="0031243B">
        <w:rPr>
          <w:rFonts w:ascii="Arial" w:hAnsi="Arial" w:cs="Arial"/>
          <w:sz w:val="24"/>
          <w:szCs w:val="24"/>
        </w:rPr>
        <w:t xml:space="preserve"> </w:t>
      </w:r>
      <w:r w:rsidR="0031243B" w:rsidRPr="0031243B">
        <w:rPr>
          <w:rFonts w:ascii="Arial" w:hAnsi="Arial" w:cs="Arial"/>
          <w:sz w:val="24"/>
          <w:szCs w:val="24"/>
        </w:rPr>
        <w:t>more than the mere sum of the parts of each of their grievances.</w:t>
      </w:r>
      <w:r>
        <w:rPr>
          <w:rFonts w:ascii="Arial" w:hAnsi="Arial" w:cs="Arial"/>
          <w:sz w:val="24"/>
          <w:szCs w:val="24"/>
        </w:rPr>
        <w:t xml:space="preserve"> </w:t>
      </w:r>
      <w:r w:rsidR="008B31B3">
        <w:rPr>
          <w:rFonts w:ascii="Arial" w:hAnsi="Arial" w:cs="Arial"/>
          <w:sz w:val="24"/>
          <w:szCs w:val="24"/>
        </w:rPr>
        <w:t>Harriet</w:t>
      </w:r>
      <w:r w:rsidR="00383DFD">
        <w:rPr>
          <w:rFonts w:ascii="Arial" w:hAnsi="Arial" w:cs="Arial"/>
          <w:sz w:val="24"/>
          <w:szCs w:val="24"/>
        </w:rPr>
        <w:t xml:space="preserve"> </w:t>
      </w:r>
      <w:r w:rsidR="008B31B3">
        <w:rPr>
          <w:rFonts w:ascii="Arial" w:hAnsi="Arial" w:cs="Arial"/>
          <w:sz w:val="24"/>
          <w:szCs w:val="24"/>
        </w:rPr>
        <w:t xml:space="preserve">Brown was sentenced to fourteen years transportation </w:t>
      </w:r>
      <w:r w:rsidR="00383DFD">
        <w:rPr>
          <w:rFonts w:ascii="Arial" w:hAnsi="Arial" w:cs="Arial"/>
          <w:sz w:val="24"/>
          <w:szCs w:val="24"/>
        </w:rPr>
        <w:t xml:space="preserve">at </w:t>
      </w:r>
      <w:r w:rsidR="00E25CAE">
        <w:rPr>
          <w:rFonts w:ascii="Arial" w:hAnsi="Arial" w:cs="Arial"/>
          <w:sz w:val="24"/>
          <w:szCs w:val="24"/>
        </w:rPr>
        <w:t>a</w:t>
      </w:r>
      <w:r w:rsidR="00383DFD">
        <w:rPr>
          <w:rFonts w:ascii="Arial" w:hAnsi="Arial" w:cs="Arial"/>
          <w:sz w:val="24"/>
          <w:szCs w:val="24"/>
        </w:rPr>
        <w:t xml:space="preserve"> t</w:t>
      </w:r>
      <w:r w:rsidR="008B31B3">
        <w:rPr>
          <w:rFonts w:ascii="Arial" w:hAnsi="Arial" w:cs="Arial"/>
          <w:sz w:val="24"/>
          <w:szCs w:val="24"/>
        </w:rPr>
        <w:t>i</w:t>
      </w:r>
      <w:r w:rsidR="00383DFD">
        <w:rPr>
          <w:rFonts w:ascii="Arial" w:hAnsi="Arial" w:cs="Arial"/>
          <w:sz w:val="24"/>
          <w:szCs w:val="24"/>
        </w:rPr>
        <w:t xml:space="preserve">me </w:t>
      </w:r>
      <w:r w:rsidR="008B31B3">
        <w:rPr>
          <w:rFonts w:ascii="Arial" w:hAnsi="Arial" w:cs="Arial"/>
          <w:sz w:val="24"/>
          <w:szCs w:val="24"/>
        </w:rPr>
        <w:t xml:space="preserve">when </w:t>
      </w:r>
      <w:r w:rsidR="00F62F9F">
        <w:rPr>
          <w:rFonts w:ascii="Arial" w:hAnsi="Arial" w:cs="Arial"/>
          <w:sz w:val="24"/>
          <w:szCs w:val="24"/>
        </w:rPr>
        <w:t>convict</w:t>
      </w:r>
      <w:r w:rsidR="008B31B3">
        <w:rPr>
          <w:rFonts w:ascii="Arial" w:hAnsi="Arial" w:cs="Arial"/>
          <w:sz w:val="24"/>
          <w:szCs w:val="24"/>
        </w:rPr>
        <w:t xml:space="preserve"> transportation to Australia was ebbi</w:t>
      </w:r>
      <w:r w:rsidR="003B755C">
        <w:rPr>
          <w:rFonts w:ascii="Arial" w:hAnsi="Arial" w:cs="Arial"/>
          <w:sz w:val="24"/>
          <w:szCs w:val="24"/>
        </w:rPr>
        <w:t>ng away but the colony</w:t>
      </w:r>
      <w:r w:rsidR="008B31B3">
        <w:rPr>
          <w:rFonts w:ascii="Arial" w:hAnsi="Arial" w:cs="Arial"/>
          <w:sz w:val="24"/>
          <w:szCs w:val="24"/>
        </w:rPr>
        <w:t xml:space="preserve"> </w:t>
      </w:r>
      <w:r w:rsidR="003B755C">
        <w:rPr>
          <w:rFonts w:ascii="Arial" w:hAnsi="Arial" w:cs="Arial"/>
          <w:sz w:val="24"/>
          <w:szCs w:val="24"/>
        </w:rPr>
        <w:t>was</w:t>
      </w:r>
      <w:r w:rsidR="008B31B3">
        <w:rPr>
          <w:rFonts w:ascii="Arial" w:hAnsi="Arial" w:cs="Arial"/>
          <w:sz w:val="24"/>
          <w:szCs w:val="24"/>
        </w:rPr>
        <w:t xml:space="preserve"> still in need of </w:t>
      </w:r>
      <w:r w:rsidR="00EE305E">
        <w:rPr>
          <w:rFonts w:ascii="Arial" w:hAnsi="Arial" w:cs="Arial"/>
          <w:sz w:val="24"/>
          <w:szCs w:val="24"/>
        </w:rPr>
        <w:t>human capital in unfree</w:t>
      </w:r>
      <w:r w:rsidR="008B31B3">
        <w:rPr>
          <w:rFonts w:ascii="Arial" w:hAnsi="Arial" w:cs="Arial"/>
          <w:sz w:val="24"/>
          <w:szCs w:val="24"/>
        </w:rPr>
        <w:t xml:space="preserve"> labour </w:t>
      </w:r>
      <w:r w:rsidR="003B755C">
        <w:rPr>
          <w:rFonts w:ascii="Arial" w:hAnsi="Arial" w:cs="Arial"/>
          <w:sz w:val="24"/>
          <w:szCs w:val="24"/>
        </w:rPr>
        <w:t>(</w:t>
      </w:r>
      <w:r w:rsidR="008B31B3">
        <w:rPr>
          <w:rFonts w:ascii="Arial" w:hAnsi="Arial" w:cs="Arial"/>
          <w:sz w:val="24"/>
          <w:szCs w:val="24"/>
        </w:rPr>
        <w:t>and wives</w:t>
      </w:r>
      <w:r w:rsidR="00F62F9F">
        <w:rPr>
          <w:rFonts w:ascii="Arial" w:hAnsi="Arial" w:cs="Arial"/>
          <w:sz w:val="24"/>
          <w:szCs w:val="24"/>
        </w:rPr>
        <w:t xml:space="preserve"> for </w:t>
      </w:r>
      <w:r w:rsidR="003B755C">
        <w:rPr>
          <w:rFonts w:ascii="Arial" w:hAnsi="Arial" w:cs="Arial"/>
          <w:sz w:val="24"/>
          <w:szCs w:val="24"/>
        </w:rPr>
        <w:t xml:space="preserve">ex-convicts and </w:t>
      </w:r>
      <w:r w:rsidR="00F62F9F">
        <w:rPr>
          <w:rFonts w:ascii="Arial" w:hAnsi="Arial" w:cs="Arial"/>
          <w:sz w:val="24"/>
          <w:szCs w:val="24"/>
        </w:rPr>
        <w:t>settlers</w:t>
      </w:r>
      <w:r w:rsidR="003B755C">
        <w:rPr>
          <w:rFonts w:ascii="Arial" w:hAnsi="Arial" w:cs="Arial"/>
          <w:sz w:val="24"/>
          <w:szCs w:val="24"/>
        </w:rPr>
        <w:t>)</w:t>
      </w:r>
      <w:r w:rsidR="008B31B3">
        <w:rPr>
          <w:rFonts w:ascii="Arial" w:hAnsi="Arial" w:cs="Arial"/>
          <w:sz w:val="24"/>
          <w:szCs w:val="24"/>
        </w:rPr>
        <w:t>. P</w:t>
      </w:r>
      <w:r w:rsidR="00383DFD">
        <w:rPr>
          <w:rFonts w:ascii="Arial" w:hAnsi="Arial" w:cs="Arial"/>
          <w:sz w:val="24"/>
          <w:szCs w:val="24"/>
        </w:rPr>
        <w:t>erhaps because she was young and single</w:t>
      </w:r>
      <w:r w:rsidR="008B31B3">
        <w:rPr>
          <w:rFonts w:ascii="Arial" w:hAnsi="Arial" w:cs="Arial"/>
          <w:sz w:val="24"/>
          <w:szCs w:val="24"/>
        </w:rPr>
        <w:t xml:space="preserve">, Harriet </w:t>
      </w:r>
      <w:r w:rsidR="0079642D">
        <w:rPr>
          <w:rFonts w:ascii="Arial" w:hAnsi="Arial" w:cs="Arial"/>
          <w:sz w:val="24"/>
          <w:szCs w:val="24"/>
        </w:rPr>
        <w:t xml:space="preserve">may have fitted </w:t>
      </w:r>
      <w:r w:rsidR="003B755C">
        <w:rPr>
          <w:rFonts w:ascii="Arial" w:hAnsi="Arial" w:cs="Arial"/>
          <w:sz w:val="24"/>
          <w:szCs w:val="24"/>
        </w:rPr>
        <w:t>into general transportation and colonial history. T</w:t>
      </w:r>
      <w:r w:rsidR="004E1301">
        <w:rPr>
          <w:rFonts w:ascii="Arial" w:hAnsi="Arial" w:cs="Arial"/>
          <w:sz w:val="24"/>
          <w:szCs w:val="24"/>
        </w:rPr>
        <w:t>he comm</w:t>
      </w:r>
      <w:r w:rsidR="003B755C">
        <w:rPr>
          <w:rFonts w:ascii="Arial" w:hAnsi="Arial" w:cs="Arial"/>
          <w:sz w:val="24"/>
          <w:szCs w:val="24"/>
        </w:rPr>
        <w:t>utation to penal servitude was part</w:t>
      </w:r>
      <w:r w:rsidR="004E1301">
        <w:rPr>
          <w:rFonts w:ascii="Arial" w:hAnsi="Arial" w:cs="Arial"/>
          <w:sz w:val="24"/>
          <w:szCs w:val="24"/>
        </w:rPr>
        <w:t xml:space="preserve"> of the changing </w:t>
      </w:r>
      <w:r w:rsidR="000577A4">
        <w:rPr>
          <w:rFonts w:ascii="Arial" w:hAnsi="Arial" w:cs="Arial"/>
          <w:sz w:val="24"/>
          <w:szCs w:val="24"/>
        </w:rPr>
        <w:t>policy environment</w:t>
      </w:r>
      <w:r w:rsidR="00752307">
        <w:rPr>
          <w:rFonts w:ascii="Arial" w:hAnsi="Arial" w:cs="Arial"/>
          <w:sz w:val="24"/>
          <w:szCs w:val="24"/>
        </w:rPr>
        <w:t>. Mary James was a</w:t>
      </w:r>
      <w:r w:rsidR="00383DFD">
        <w:rPr>
          <w:rFonts w:ascii="Arial" w:hAnsi="Arial" w:cs="Arial"/>
          <w:sz w:val="24"/>
          <w:szCs w:val="24"/>
        </w:rPr>
        <w:t xml:space="preserve"> </w:t>
      </w:r>
      <w:r w:rsidR="00752307">
        <w:rPr>
          <w:rFonts w:ascii="Arial" w:hAnsi="Arial" w:cs="Arial"/>
          <w:sz w:val="24"/>
          <w:szCs w:val="24"/>
        </w:rPr>
        <w:t xml:space="preserve">mother who had no mental health </w:t>
      </w:r>
      <w:r w:rsidR="00A07781">
        <w:rPr>
          <w:rFonts w:ascii="Arial" w:hAnsi="Arial" w:cs="Arial"/>
          <w:sz w:val="24"/>
          <w:szCs w:val="24"/>
        </w:rPr>
        <w:t>issues acc</w:t>
      </w:r>
      <w:r w:rsidR="003B755C">
        <w:rPr>
          <w:rFonts w:ascii="Arial" w:hAnsi="Arial" w:cs="Arial"/>
          <w:sz w:val="24"/>
          <w:szCs w:val="24"/>
        </w:rPr>
        <w:t>ording to the authorities. S</w:t>
      </w:r>
      <w:r w:rsidR="00A07781">
        <w:rPr>
          <w:rFonts w:ascii="Arial" w:hAnsi="Arial" w:cs="Arial"/>
          <w:sz w:val="24"/>
          <w:szCs w:val="24"/>
        </w:rPr>
        <w:t>he had tried to murder her child</w:t>
      </w:r>
      <w:r w:rsidR="00EE305E">
        <w:rPr>
          <w:rFonts w:ascii="Arial" w:hAnsi="Arial" w:cs="Arial"/>
          <w:sz w:val="24"/>
          <w:szCs w:val="24"/>
        </w:rPr>
        <w:t xml:space="preserve"> </w:t>
      </w:r>
      <w:r w:rsidR="003B755C">
        <w:rPr>
          <w:rFonts w:ascii="Arial" w:hAnsi="Arial" w:cs="Arial"/>
          <w:sz w:val="24"/>
          <w:szCs w:val="24"/>
        </w:rPr>
        <w:t>and h</w:t>
      </w:r>
      <w:r w:rsidR="00EE305E">
        <w:rPr>
          <w:rFonts w:ascii="Arial" w:hAnsi="Arial" w:cs="Arial"/>
          <w:sz w:val="24"/>
          <w:szCs w:val="24"/>
        </w:rPr>
        <w:t xml:space="preserve">er behaviour was erratic and perhaps charged with a physiological damage that </w:t>
      </w:r>
      <w:r w:rsidR="005637BA">
        <w:rPr>
          <w:rFonts w:ascii="Arial" w:hAnsi="Arial" w:cs="Arial"/>
          <w:sz w:val="24"/>
          <w:szCs w:val="24"/>
        </w:rPr>
        <w:t xml:space="preserve">may have been more </w:t>
      </w:r>
      <w:r w:rsidR="005637BA">
        <w:rPr>
          <w:rFonts w:ascii="Arial" w:hAnsi="Arial" w:cs="Arial"/>
          <w:sz w:val="24"/>
          <w:szCs w:val="24"/>
        </w:rPr>
        <w:lastRenderedPageBreak/>
        <w:t xml:space="preserve">than the purely psychologically-influenced behaviours. </w:t>
      </w:r>
      <w:r w:rsidR="003B755C">
        <w:rPr>
          <w:rFonts w:ascii="Arial" w:hAnsi="Arial" w:cs="Arial"/>
          <w:sz w:val="24"/>
          <w:szCs w:val="24"/>
        </w:rPr>
        <w:t>Perhaps s</w:t>
      </w:r>
      <w:r w:rsidR="003B755C" w:rsidRPr="003B755C">
        <w:rPr>
          <w:rFonts w:ascii="Arial" w:hAnsi="Arial" w:cs="Arial"/>
          <w:sz w:val="24"/>
          <w:szCs w:val="24"/>
        </w:rPr>
        <w:t xml:space="preserve">he </w:t>
      </w:r>
      <w:r w:rsidR="003B755C">
        <w:rPr>
          <w:rFonts w:ascii="Arial" w:hAnsi="Arial" w:cs="Arial"/>
          <w:sz w:val="24"/>
          <w:szCs w:val="24"/>
        </w:rPr>
        <w:t>had experienced unrecorded epileptic seizures</w:t>
      </w:r>
      <w:r w:rsidR="003B755C" w:rsidRPr="003B755C">
        <w:rPr>
          <w:rFonts w:ascii="Arial" w:hAnsi="Arial" w:cs="Arial"/>
          <w:sz w:val="24"/>
          <w:szCs w:val="24"/>
        </w:rPr>
        <w:t xml:space="preserve"> </w:t>
      </w:r>
      <w:r w:rsidR="00B820CA">
        <w:rPr>
          <w:rFonts w:ascii="Arial" w:hAnsi="Arial" w:cs="Arial"/>
          <w:sz w:val="24"/>
          <w:szCs w:val="24"/>
        </w:rPr>
        <w:t>(</w:t>
      </w:r>
      <w:r w:rsidR="003B755C" w:rsidRPr="003B755C">
        <w:rPr>
          <w:rFonts w:ascii="Arial" w:hAnsi="Arial" w:cs="Arial"/>
          <w:sz w:val="24"/>
          <w:szCs w:val="24"/>
        </w:rPr>
        <w:t>that without treatment can cause neurological damage</w:t>
      </w:r>
      <w:r w:rsidR="00B820CA">
        <w:rPr>
          <w:rFonts w:ascii="Arial" w:hAnsi="Arial" w:cs="Arial"/>
          <w:sz w:val="24"/>
          <w:szCs w:val="24"/>
        </w:rPr>
        <w:t>)</w:t>
      </w:r>
      <w:r w:rsidR="003B755C" w:rsidRPr="003B755C">
        <w:rPr>
          <w:rFonts w:ascii="Arial" w:hAnsi="Arial" w:cs="Arial"/>
          <w:sz w:val="24"/>
          <w:szCs w:val="24"/>
        </w:rPr>
        <w:t xml:space="preserve">. </w:t>
      </w:r>
      <w:r w:rsidR="00B820CA">
        <w:rPr>
          <w:rFonts w:ascii="Arial" w:hAnsi="Arial" w:cs="Arial"/>
          <w:sz w:val="24"/>
          <w:szCs w:val="24"/>
        </w:rPr>
        <w:t xml:space="preserve">Despite her clashes with authority and her attempt at filicide, </w:t>
      </w:r>
      <w:r w:rsidR="00F62F9F">
        <w:rPr>
          <w:rFonts w:ascii="Arial" w:hAnsi="Arial" w:cs="Arial"/>
          <w:sz w:val="24"/>
          <w:szCs w:val="24"/>
        </w:rPr>
        <w:t>Walter</w:t>
      </w:r>
      <w:r w:rsidR="00752307">
        <w:rPr>
          <w:rFonts w:ascii="Arial" w:hAnsi="Arial" w:cs="Arial"/>
          <w:sz w:val="24"/>
          <w:szCs w:val="24"/>
        </w:rPr>
        <w:t xml:space="preserve"> </w:t>
      </w:r>
      <w:r w:rsidR="00A07781">
        <w:rPr>
          <w:rFonts w:ascii="Arial" w:hAnsi="Arial" w:cs="Arial"/>
          <w:sz w:val="24"/>
          <w:szCs w:val="24"/>
        </w:rPr>
        <w:t xml:space="preserve">was </w:t>
      </w:r>
      <w:r w:rsidR="00752307">
        <w:rPr>
          <w:rFonts w:ascii="Arial" w:hAnsi="Arial" w:cs="Arial"/>
          <w:sz w:val="24"/>
          <w:szCs w:val="24"/>
        </w:rPr>
        <w:t>located</w:t>
      </w:r>
      <w:r w:rsidR="00B820CA">
        <w:rPr>
          <w:rFonts w:ascii="Arial" w:hAnsi="Arial" w:cs="Arial"/>
          <w:sz w:val="24"/>
          <w:szCs w:val="24"/>
        </w:rPr>
        <w:t xml:space="preserve"> at her request. S</w:t>
      </w:r>
      <w:r w:rsidR="00A07781">
        <w:rPr>
          <w:rFonts w:ascii="Arial" w:hAnsi="Arial" w:cs="Arial"/>
          <w:sz w:val="24"/>
          <w:szCs w:val="24"/>
        </w:rPr>
        <w:t xml:space="preserve">he was given as much right to contact </w:t>
      </w:r>
      <w:r w:rsidR="00F62F9F">
        <w:rPr>
          <w:rFonts w:ascii="Arial" w:hAnsi="Arial" w:cs="Arial"/>
          <w:sz w:val="24"/>
          <w:szCs w:val="24"/>
        </w:rPr>
        <w:t xml:space="preserve">with him </w:t>
      </w:r>
      <w:r w:rsidR="00A07781">
        <w:rPr>
          <w:rFonts w:ascii="Arial" w:hAnsi="Arial" w:cs="Arial"/>
          <w:sz w:val="24"/>
          <w:szCs w:val="24"/>
        </w:rPr>
        <w:t xml:space="preserve">as any imprisoned mother </w:t>
      </w:r>
      <w:r w:rsidR="00B820CA">
        <w:rPr>
          <w:rFonts w:ascii="Arial" w:hAnsi="Arial" w:cs="Arial"/>
          <w:sz w:val="24"/>
          <w:szCs w:val="24"/>
        </w:rPr>
        <w:t xml:space="preserve">would have been </w:t>
      </w:r>
      <w:r w:rsidR="00F62F9F">
        <w:rPr>
          <w:rFonts w:ascii="Arial" w:hAnsi="Arial" w:cs="Arial"/>
          <w:sz w:val="24"/>
          <w:szCs w:val="24"/>
        </w:rPr>
        <w:t>with the</w:t>
      </w:r>
      <w:r w:rsidR="00A07781">
        <w:rPr>
          <w:rFonts w:ascii="Arial" w:hAnsi="Arial" w:cs="Arial"/>
          <w:sz w:val="24"/>
          <w:szCs w:val="24"/>
        </w:rPr>
        <w:t xml:space="preserve"> objective of r</w:t>
      </w:r>
      <w:r w:rsidR="00E25CAE">
        <w:rPr>
          <w:rFonts w:ascii="Arial" w:hAnsi="Arial" w:cs="Arial"/>
          <w:sz w:val="24"/>
          <w:szCs w:val="24"/>
        </w:rPr>
        <w:t>euniting them on her release fro</w:t>
      </w:r>
      <w:r w:rsidR="00A07781">
        <w:rPr>
          <w:rFonts w:ascii="Arial" w:hAnsi="Arial" w:cs="Arial"/>
          <w:sz w:val="24"/>
          <w:szCs w:val="24"/>
        </w:rPr>
        <w:t xml:space="preserve">m prison. To what extent this was due to family-oriented policy, </w:t>
      </w:r>
      <w:r w:rsidR="00752307">
        <w:rPr>
          <w:rFonts w:ascii="Arial" w:hAnsi="Arial" w:cs="Arial"/>
          <w:sz w:val="24"/>
          <w:szCs w:val="24"/>
        </w:rPr>
        <w:t xml:space="preserve">a lack of child protection </w:t>
      </w:r>
      <w:r w:rsidR="00A07781">
        <w:rPr>
          <w:rFonts w:ascii="Arial" w:hAnsi="Arial" w:cs="Arial"/>
          <w:sz w:val="24"/>
          <w:szCs w:val="24"/>
        </w:rPr>
        <w:t>or</w:t>
      </w:r>
      <w:r w:rsidR="00752307">
        <w:rPr>
          <w:rFonts w:ascii="Arial" w:hAnsi="Arial" w:cs="Arial"/>
          <w:sz w:val="24"/>
          <w:szCs w:val="24"/>
        </w:rPr>
        <w:t xml:space="preserve"> the economics of getting the </w:t>
      </w:r>
      <w:r w:rsidR="00A07781">
        <w:rPr>
          <w:rFonts w:ascii="Arial" w:hAnsi="Arial" w:cs="Arial"/>
          <w:sz w:val="24"/>
          <w:szCs w:val="24"/>
        </w:rPr>
        <w:t xml:space="preserve">costs of the </w:t>
      </w:r>
      <w:r w:rsidR="00752307">
        <w:rPr>
          <w:rFonts w:ascii="Arial" w:hAnsi="Arial" w:cs="Arial"/>
          <w:sz w:val="24"/>
          <w:szCs w:val="24"/>
        </w:rPr>
        <w:t xml:space="preserve">child off the poor </w:t>
      </w:r>
      <w:r w:rsidR="000577A4">
        <w:rPr>
          <w:rFonts w:ascii="Arial" w:hAnsi="Arial" w:cs="Arial"/>
          <w:sz w:val="24"/>
          <w:szCs w:val="24"/>
        </w:rPr>
        <w:t>rates</w:t>
      </w:r>
      <w:r w:rsidR="00A07781">
        <w:rPr>
          <w:rFonts w:ascii="Arial" w:hAnsi="Arial" w:cs="Arial"/>
          <w:sz w:val="24"/>
          <w:szCs w:val="24"/>
        </w:rPr>
        <w:t xml:space="preserve"> is laden with political and historical </w:t>
      </w:r>
      <w:r w:rsidR="005637BA">
        <w:rPr>
          <w:rFonts w:ascii="Arial" w:hAnsi="Arial" w:cs="Arial"/>
          <w:sz w:val="24"/>
          <w:szCs w:val="24"/>
        </w:rPr>
        <w:t>context that is beyond the ambit of this article</w:t>
      </w:r>
      <w:r w:rsidR="00752307">
        <w:rPr>
          <w:rFonts w:ascii="Arial" w:hAnsi="Arial" w:cs="Arial"/>
          <w:sz w:val="24"/>
          <w:szCs w:val="24"/>
        </w:rPr>
        <w:t xml:space="preserve">. </w:t>
      </w:r>
      <w:r w:rsidR="00F62F9F">
        <w:rPr>
          <w:rFonts w:ascii="Arial" w:hAnsi="Arial" w:cs="Arial"/>
          <w:sz w:val="24"/>
          <w:szCs w:val="24"/>
        </w:rPr>
        <w:t xml:space="preserve">Mary Ann Hall </w:t>
      </w:r>
      <w:r w:rsidR="00A61AD8">
        <w:rPr>
          <w:rFonts w:ascii="Arial" w:hAnsi="Arial" w:cs="Arial"/>
          <w:sz w:val="24"/>
          <w:szCs w:val="24"/>
        </w:rPr>
        <w:t>was a repeat offender, but she still managed to persuade the prison authorities to release her</w:t>
      </w:r>
      <w:r w:rsidR="00F62F9F">
        <w:rPr>
          <w:rFonts w:ascii="Arial" w:hAnsi="Arial" w:cs="Arial"/>
          <w:sz w:val="24"/>
          <w:szCs w:val="24"/>
        </w:rPr>
        <w:t xml:space="preserve"> early on grounds of ill health. To do so, the prison authorities and police worked together to find </w:t>
      </w:r>
      <w:r w:rsidR="00A61AD8">
        <w:rPr>
          <w:rFonts w:ascii="Arial" w:hAnsi="Arial" w:cs="Arial"/>
          <w:sz w:val="24"/>
          <w:szCs w:val="24"/>
        </w:rPr>
        <w:t>her relatives</w:t>
      </w:r>
      <w:r w:rsidR="00F62F9F">
        <w:rPr>
          <w:rFonts w:ascii="Arial" w:hAnsi="Arial" w:cs="Arial"/>
          <w:sz w:val="24"/>
          <w:szCs w:val="24"/>
        </w:rPr>
        <w:t xml:space="preserve"> and </w:t>
      </w:r>
      <w:r w:rsidR="00D06361">
        <w:rPr>
          <w:rFonts w:ascii="Arial" w:hAnsi="Arial" w:cs="Arial"/>
          <w:sz w:val="24"/>
          <w:szCs w:val="24"/>
        </w:rPr>
        <w:t xml:space="preserve">to </w:t>
      </w:r>
      <w:r w:rsidR="006F3E91">
        <w:rPr>
          <w:rFonts w:ascii="Arial" w:hAnsi="Arial" w:cs="Arial"/>
          <w:sz w:val="24"/>
          <w:szCs w:val="24"/>
        </w:rPr>
        <w:t>obtain</w:t>
      </w:r>
      <w:r w:rsidR="00D06361">
        <w:rPr>
          <w:rFonts w:ascii="Arial" w:hAnsi="Arial" w:cs="Arial"/>
          <w:sz w:val="24"/>
          <w:szCs w:val="24"/>
        </w:rPr>
        <w:t xml:space="preserve"> assurances </w:t>
      </w:r>
      <w:r w:rsidR="00F62F9F">
        <w:rPr>
          <w:rFonts w:ascii="Arial" w:hAnsi="Arial" w:cs="Arial"/>
          <w:sz w:val="24"/>
          <w:szCs w:val="24"/>
        </w:rPr>
        <w:t xml:space="preserve">that she would </w:t>
      </w:r>
      <w:r w:rsidR="006F3E91">
        <w:rPr>
          <w:rFonts w:ascii="Arial" w:hAnsi="Arial" w:cs="Arial"/>
          <w:sz w:val="24"/>
          <w:szCs w:val="24"/>
        </w:rPr>
        <w:t>continue</w:t>
      </w:r>
      <w:r w:rsidR="00F62F9F">
        <w:rPr>
          <w:rFonts w:ascii="Arial" w:hAnsi="Arial" w:cs="Arial"/>
          <w:sz w:val="24"/>
          <w:szCs w:val="24"/>
        </w:rPr>
        <w:t xml:space="preserve"> hospital treatment</w:t>
      </w:r>
      <w:r w:rsidR="003C0101">
        <w:rPr>
          <w:rFonts w:ascii="Arial" w:hAnsi="Arial" w:cs="Arial"/>
          <w:sz w:val="24"/>
          <w:szCs w:val="24"/>
        </w:rPr>
        <w:t xml:space="preserve">. </w:t>
      </w:r>
    </w:p>
    <w:p w14:paraId="708302B3" w14:textId="77777777" w:rsidR="003C0101" w:rsidRDefault="003C0101" w:rsidP="00B92FD0">
      <w:pPr>
        <w:spacing w:after="0" w:line="240" w:lineRule="auto"/>
        <w:rPr>
          <w:rFonts w:ascii="Arial" w:hAnsi="Arial" w:cs="Arial"/>
          <w:sz w:val="24"/>
          <w:szCs w:val="24"/>
        </w:rPr>
      </w:pPr>
    </w:p>
    <w:p w14:paraId="6D0B716E" w14:textId="77777777" w:rsidR="00E25CAE" w:rsidRDefault="00E25CAE" w:rsidP="00B92FD0">
      <w:pPr>
        <w:spacing w:after="0" w:line="240" w:lineRule="auto"/>
        <w:rPr>
          <w:rFonts w:ascii="Arial" w:hAnsi="Arial" w:cs="Arial"/>
          <w:sz w:val="24"/>
          <w:szCs w:val="24"/>
        </w:rPr>
      </w:pPr>
      <w:r>
        <w:rPr>
          <w:rFonts w:ascii="Arial" w:hAnsi="Arial" w:cs="Arial"/>
          <w:sz w:val="24"/>
          <w:szCs w:val="24"/>
        </w:rPr>
        <w:t>The article began with positing these particular prisoner grievances as apolitical, set within a complex but revealing polity of deference.  Yet, t</w:t>
      </w:r>
      <w:r w:rsidRPr="008B31B3">
        <w:rPr>
          <w:rFonts w:ascii="Arial" w:hAnsi="Arial" w:cs="Arial"/>
          <w:sz w:val="24"/>
          <w:szCs w:val="24"/>
        </w:rPr>
        <w:t xml:space="preserve">he very </w:t>
      </w:r>
      <w:r>
        <w:rPr>
          <w:rFonts w:ascii="Arial" w:hAnsi="Arial" w:cs="Arial"/>
          <w:sz w:val="24"/>
          <w:szCs w:val="24"/>
        </w:rPr>
        <w:t>existence of</w:t>
      </w:r>
      <w:r w:rsidRPr="008B31B3">
        <w:rPr>
          <w:rFonts w:ascii="Arial" w:hAnsi="Arial" w:cs="Arial"/>
          <w:sz w:val="24"/>
          <w:szCs w:val="24"/>
        </w:rPr>
        <w:t xml:space="preserve"> the primary documents </w:t>
      </w:r>
      <w:r>
        <w:rPr>
          <w:rFonts w:ascii="Arial" w:hAnsi="Arial" w:cs="Arial"/>
          <w:sz w:val="24"/>
          <w:szCs w:val="24"/>
        </w:rPr>
        <w:t>which formed</w:t>
      </w:r>
      <w:r w:rsidRPr="008B31B3">
        <w:rPr>
          <w:rFonts w:ascii="Arial" w:hAnsi="Arial" w:cs="Arial"/>
          <w:sz w:val="24"/>
          <w:szCs w:val="24"/>
        </w:rPr>
        <w:t xml:space="preserve"> the basis </w:t>
      </w:r>
      <w:r w:rsidR="00157466">
        <w:rPr>
          <w:rFonts w:ascii="Arial" w:hAnsi="Arial" w:cs="Arial"/>
          <w:sz w:val="24"/>
          <w:szCs w:val="24"/>
        </w:rPr>
        <w:t>of the latter two cases in this</w:t>
      </w:r>
      <w:r w:rsidRPr="008B31B3">
        <w:rPr>
          <w:rFonts w:ascii="Arial" w:hAnsi="Arial" w:cs="Arial"/>
          <w:sz w:val="24"/>
          <w:szCs w:val="24"/>
        </w:rPr>
        <w:t xml:space="preserve"> article</w:t>
      </w:r>
      <w:r>
        <w:rPr>
          <w:rFonts w:ascii="Arial" w:hAnsi="Arial" w:cs="Arial"/>
          <w:sz w:val="24"/>
          <w:szCs w:val="24"/>
        </w:rPr>
        <w:t xml:space="preserve"> </w:t>
      </w:r>
      <w:r w:rsidRPr="008B31B3">
        <w:rPr>
          <w:rFonts w:ascii="Arial" w:hAnsi="Arial" w:cs="Arial"/>
          <w:sz w:val="24"/>
          <w:szCs w:val="24"/>
        </w:rPr>
        <w:t>– parole licences –</w:t>
      </w:r>
      <w:r>
        <w:rPr>
          <w:rFonts w:ascii="Arial" w:hAnsi="Arial" w:cs="Arial"/>
          <w:sz w:val="24"/>
          <w:szCs w:val="24"/>
        </w:rPr>
        <w:t xml:space="preserve"> hints at </w:t>
      </w:r>
      <w:r w:rsidR="003C0101">
        <w:rPr>
          <w:rFonts w:ascii="Arial" w:hAnsi="Arial" w:cs="Arial"/>
          <w:sz w:val="24"/>
          <w:szCs w:val="24"/>
        </w:rPr>
        <w:t>a</w:t>
      </w:r>
      <w:r>
        <w:rPr>
          <w:rFonts w:ascii="Arial" w:hAnsi="Arial" w:cs="Arial"/>
          <w:sz w:val="24"/>
          <w:szCs w:val="24"/>
        </w:rPr>
        <w:t xml:space="preserve"> </w:t>
      </w:r>
      <w:r w:rsidR="003C0101">
        <w:rPr>
          <w:rFonts w:ascii="Arial" w:hAnsi="Arial" w:cs="Arial"/>
          <w:sz w:val="24"/>
          <w:szCs w:val="24"/>
        </w:rPr>
        <w:t xml:space="preserve">more diffuse </w:t>
      </w:r>
      <w:r>
        <w:rPr>
          <w:rFonts w:ascii="Arial" w:hAnsi="Arial" w:cs="Arial"/>
          <w:sz w:val="24"/>
          <w:szCs w:val="24"/>
        </w:rPr>
        <w:t>politically-laden value</w:t>
      </w:r>
      <w:r w:rsidR="005637BA">
        <w:rPr>
          <w:rFonts w:ascii="Arial" w:hAnsi="Arial" w:cs="Arial"/>
          <w:sz w:val="24"/>
          <w:szCs w:val="24"/>
        </w:rPr>
        <w:t xml:space="preserve"> to convict petitioning</w:t>
      </w:r>
      <w:r w:rsidRPr="008B31B3">
        <w:rPr>
          <w:rFonts w:ascii="Arial" w:hAnsi="Arial" w:cs="Arial"/>
          <w:sz w:val="24"/>
          <w:szCs w:val="24"/>
        </w:rPr>
        <w:t xml:space="preserve">. </w:t>
      </w:r>
      <w:r>
        <w:rPr>
          <w:rFonts w:ascii="Arial" w:hAnsi="Arial" w:cs="Arial"/>
          <w:sz w:val="24"/>
          <w:szCs w:val="24"/>
        </w:rPr>
        <w:t>Certain aspects of the</w:t>
      </w:r>
      <w:r w:rsidR="005637BA">
        <w:rPr>
          <w:rFonts w:ascii="Arial" w:hAnsi="Arial" w:cs="Arial"/>
          <w:sz w:val="24"/>
          <w:szCs w:val="24"/>
        </w:rPr>
        <w:t>se</w:t>
      </w:r>
      <w:r>
        <w:rPr>
          <w:rFonts w:ascii="Arial" w:hAnsi="Arial" w:cs="Arial"/>
          <w:sz w:val="24"/>
          <w:szCs w:val="24"/>
        </w:rPr>
        <w:t xml:space="preserve"> case studies implied that the difference between the political and the apolitical petition is less clear.</w:t>
      </w:r>
      <w:r w:rsidRPr="008B31B3">
        <w:rPr>
          <w:rFonts w:ascii="Arial" w:hAnsi="Arial" w:cs="Arial"/>
          <w:sz w:val="24"/>
          <w:szCs w:val="24"/>
        </w:rPr>
        <w:t xml:space="preserve"> Marginalised people in the nineteenth century were not discouraged from complaining against </w:t>
      </w:r>
      <w:r w:rsidR="003C0101">
        <w:rPr>
          <w:rFonts w:ascii="Arial" w:hAnsi="Arial" w:cs="Arial"/>
          <w:sz w:val="24"/>
          <w:szCs w:val="24"/>
        </w:rPr>
        <w:t xml:space="preserve">harsh and sometimes </w:t>
      </w:r>
      <w:r w:rsidRPr="008B31B3">
        <w:rPr>
          <w:rFonts w:ascii="Arial" w:hAnsi="Arial" w:cs="Arial"/>
          <w:sz w:val="24"/>
          <w:szCs w:val="24"/>
        </w:rPr>
        <w:t xml:space="preserve">neglectful </w:t>
      </w:r>
      <w:r w:rsidR="003C0101">
        <w:rPr>
          <w:rFonts w:ascii="Arial" w:hAnsi="Arial" w:cs="Arial"/>
          <w:sz w:val="24"/>
          <w:szCs w:val="24"/>
        </w:rPr>
        <w:t>institutional care</w:t>
      </w:r>
      <w:r w:rsidRPr="008B31B3">
        <w:rPr>
          <w:rFonts w:ascii="Arial" w:hAnsi="Arial" w:cs="Arial"/>
          <w:sz w:val="24"/>
          <w:szCs w:val="24"/>
        </w:rPr>
        <w:t>. Prisoners were openly encouraged to petition regularly for parole. The rights of these people, their knowledge of those rights and their willingness to use those rights are extraordinary.</w:t>
      </w:r>
    </w:p>
    <w:p w14:paraId="6B0B7215" w14:textId="77777777" w:rsidR="00E62AE2" w:rsidRPr="009D007C" w:rsidRDefault="00E62AE2" w:rsidP="00B92FD0">
      <w:pPr>
        <w:spacing w:after="0" w:line="240" w:lineRule="auto"/>
        <w:rPr>
          <w:rFonts w:ascii="Arial" w:hAnsi="Arial" w:cs="Arial"/>
          <w:sz w:val="24"/>
          <w:szCs w:val="24"/>
        </w:rPr>
      </w:pPr>
    </w:p>
    <w:sectPr w:rsidR="00E62AE2" w:rsidRPr="009D007C">
      <w:footerReference w:type="default" r:id="rId8"/>
      <w:endnotePr>
        <w:numFmt w:val="decimal"/>
      </w:endnotePr>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C8BA78" w15:done="0"/>
  <w15:commentEx w15:paraId="6CA684BA" w15:done="0"/>
  <w15:commentEx w15:paraId="4B3ECC6E" w15:done="0"/>
  <w15:commentEx w15:paraId="4335715A" w15:done="0"/>
  <w15:commentEx w15:paraId="744A57EB" w15:done="0"/>
  <w15:commentEx w15:paraId="631BC47C" w15:done="0"/>
  <w15:commentEx w15:paraId="3B4DBB77" w15:done="0"/>
  <w15:commentEx w15:paraId="301D85B8" w15:done="0"/>
  <w15:commentEx w15:paraId="779FB43D" w15:done="0"/>
  <w15:commentEx w15:paraId="44D284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8BA78" w16cid:durableId="20995A95"/>
  <w16cid:commentId w16cid:paraId="6CA684BA" w16cid:durableId="20995C6B"/>
  <w16cid:commentId w16cid:paraId="4B3ECC6E" w16cid:durableId="209962F8"/>
  <w16cid:commentId w16cid:paraId="4335715A" w16cid:durableId="209960BC"/>
  <w16cid:commentId w16cid:paraId="744A57EB" w16cid:durableId="209961B2"/>
  <w16cid:commentId w16cid:paraId="631BC47C" w16cid:durableId="209963EB"/>
  <w16cid:commentId w16cid:paraId="3B4DBB77" w16cid:durableId="20996422"/>
  <w16cid:commentId w16cid:paraId="301D85B8" w16cid:durableId="2099645D"/>
  <w16cid:commentId w16cid:paraId="779FB43D" w16cid:durableId="20996554"/>
  <w16cid:commentId w16cid:paraId="44D2848B" w16cid:durableId="209965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7831" w14:textId="77777777" w:rsidR="0022414F" w:rsidRDefault="0022414F" w:rsidP="00B30D51">
      <w:pPr>
        <w:spacing w:after="0" w:line="240" w:lineRule="auto"/>
      </w:pPr>
      <w:r>
        <w:separator/>
      </w:r>
    </w:p>
  </w:endnote>
  <w:endnote w:type="continuationSeparator" w:id="0">
    <w:p w14:paraId="2A103457" w14:textId="77777777" w:rsidR="0022414F" w:rsidRDefault="0022414F" w:rsidP="00B30D51">
      <w:pPr>
        <w:spacing w:after="0" w:line="240" w:lineRule="auto"/>
      </w:pPr>
      <w:r>
        <w:continuationSeparator/>
      </w:r>
    </w:p>
  </w:endnote>
  <w:endnote w:id="1">
    <w:p w14:paraId="7338CE28" w14:textId="036DC60D" w:rsidR="002D4328" w:rsidRPr="00E974E3" w:rsidRDefault="002D4328" w:rsidP="00D22735">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See: T. Hitchcock and R. Shoemaker, </w:t>
      </w:r>
      <w:r w:rsidRPr="00E974E3">
        <w:rPr>
          <w:rFonts w:ascii="Arial" w:hAnsi="Arial" w:cs="Arial"/>
          <w:i/>
        </w:rPr>
        <w:t xml:space="preserve">London Lives: Poverty, Crime and the Making of a Modern City, 1690–1800 </w:t>
      </w:r>
      <w:r w:rsidRPr="00E974E3">
        <w:rPr>
          <w:rFonts w:ascii="Arial" w:hAnsi="Arial" w:cs="Arial"/>
        </w:rPr>
        <w:t>(Cambridge, 2015):  268-332; K. Lunn and A. Day, ‘</w:t>
      </w:r>
      <w:r w:rsidRPr="00E974E3">
        <w:rPr>
          <w:rFonts w:ascii="Arial" w:hAnsi="Arial" w:cs="Arial"/>
          <w:lang w:val="en-CA"/>
        </w:rPr>
        <w:t>Deference and defiance: The changing nature of petitioning in British naval dockyards’</w:t>
      </w:r>
      <w:r w:rsidRPr="00E974E3">
        <w:rPr>
          <w:rFonts w:ascii="Arial" w:hAnsi="Arial" w:cs="Arial"/>
        </w:rPr>
        <w:t xml:space="preserve"> </w:t>
      </w:r>
      <w:proofErr w:type="spellStart"/>
      <w:r w:rsidRPr="00E974E3">
        <w:rPr>
          <w:rFonts w:ascii="Arial" w:hAnsi="Arial" w:cs="Arial"/>
          <w:i/>
          <w:lang w:val="en-CA"/>
        </w:rPr>
        <w:t>Internationaal</w:t>
      </w:r>
      <w:proofErr w:type="spellEnd"/>
      <w:r w:rsidRPr="00E974E3">
        <w:rPr>
          <w:rFonts w:ascii="Arial" w:hAnsi="Arial" w:cs="Arial"/>
          <w:i/>
          <w:lang w:val="en-CA"/>
        </w:rPr>
        <w:t xml:space="preserve"> </w:t>
      </w:r>
      <w:proofErr w:type="spellStart"/>
      <w:r w:rsidRPr="00E974E3">
        <w:rPr>
          <w:rFonts w:ascii="Arial" w:hAnsi="Arial" w:cs="Arial"/>
          <w:i/>
          <w:lang w:val="en-CA"/>
        </w:rPr>
        <w:t>Instituut</w:t>
      </w:r>
      <w:proofErr w:type="spellEnd"/>
      <w:r w:rsidRPr="00E974E3">
        <w:rPr>
          <w:rFonts w:ascii="Arial" w:hAnsi="Arial" w:cs="Arial"/>
          <w:i/>
          <w:lang w:val="en-CA"/>
        </w:rPr>
        <w:t xml:space="preserve"> </w:t>
      </w:r>
      <w:proofErr w:type="spellStart"/>
      <w:r w:rsidRPr="00E974E3">
        <w:rPr>
          <w:rFonts w:ascii="Arial" w:hAnsi="Arial" w:cs="Arial"/>
          <w:i/>
          <w:lang w:val="en-CA"/>
        </w:rPr>
        <w:t>voor</w:t>
      </w:r>
      <w:proofErr w:type="spellEnd"/>
      <w:r w:rsidRPr="00E974E3">
        <w:rPr>
          <w:rFonts w:ascii="Arial" w:hAnsi="Arial" w:cs="Arial"/>
          <w:i/>
          <w:lang w:val="en-CA"/>
        </w:rPr>
        <w:t xml:space="preserve"> </w:t>
      </w:r>
      <w:proofErr w:type="spellStart"/>
      <w:r w:rsidRPr="00E974E3">
        <w:rPr>
          <w:rFonts w:ascii="Arial" w:hAnsi="Arial" w:cs="Arial"/>
          <w:i/>
          <w:lang w:val="en-CA"/>
        </w:rPr>
        <w:t>Sociale</w:t>
      </w:r>
      <w:proofErr w:type="spellEnd"/>
      <w:r w:rsidRPr="00E974E3">
        <w:rPr>
          <w:rFonts w:ascii="Arial" w:hAnsi="Arial" w:cs="Arial"/>
          <w:i/>
          <w:lang w:val="en-CA"/>
        </w:rPr>
        <w:t xml:space="preserve"> </w:t>
      </w:r>
      <w:proofErr w:type="spellStart"/>
      <w:r w:rsidRPr="00E974E3">
        <w:rPr>
          <w:rFonts w:ascii="Arial" w:hAnsi="Arial" w:cs="Arial"/>
          <w:i/>
          <w:lang w:val="en-CA"/>
        </w:rPr>
        <w:t>Geschiedenis</w:t>
      </w:r>
      <w:proofErr w:type="spellEnd"/>
      <w:r w:rsidRPr="00E974E3">
        <w:rPr>
          <w:rFonts w:ascii="Arial" w:hAnsi="Arial" w:cs="Arial"/>
          <w:lang w:val="en-CA"/>
        </w:rPr>
        <w:t xml:space="preserve"> 46 (2001): 131</w:t>
      </w:r>
      <w:r w:rsidRPr="00E974E3">
        <w:rPr>
          <w:rFonts w:ascii="Arial" w:hAnsi="Arial" w:cs="Arial"/>
        </w:rPr>
        <w:t xml:space="preserve">; H. Miller, ‘Petitioning and the Corn Laws, 1833-46’ </w:t>
      </w:r>
      <w:r w:rsidRPr="00E974E3">
        <w:rPr>
          <w:rFonts w:ascii="Arial" w:hAnsi="Arial" w:cs="Arial"/>
          <w:i/>
        </w:rPr>
        <w:t>The English Historical Review</w:t>
      </w:r>
      <w:r w:rsidR="007C0BD2" w:rsidRPr="00E974E3">
        <w:rPr>
          <w:rFonts w:ascii="Arial" w:hAnsi="Arial" w:cs="Arial"/>
        </w:rPr>
        <w:t xml:space="preserve">, 127, 527 (2012): </w:t>
      </w:r>
      <w:r w:rsidRPr="00E974E3">
        <w:rPr>
          <w:rFonts w:ascii="Arial" w:hAnsi="Arial" w:cs="Arial"/>
        </w:rPr>
        <w:t xml:space="preserve">887; </w:t>
      </w:r>
      <w:r w:rsidRPr="00E974E3">
        <w:rPr>
          <w:rFonts w:ascii="Arial" w:hAnsi="Arial" w:cs="Arial"/>
          <w:lang w:val="en-CA"/>
        </w:rPr>
        <w:t xml:space="preserve">J. Healey, </w:t>
      </w:r>
      <w:r w:rsidRPr="00E974E3">
        <w:rPr>
          <w:rFonts w:ascii="Arial" w:hAnsi="Arial" w:cs="Arial"/>
          <w:i/>
          <w:lang w:val="en-CA"/>
        </w:rPr>
        <w:t xml:space="preserve">The First Century of Welfare: Poverty and Poor Relief in Lancashire, 1620-1730 </w:t>
      </w:r>
      <w:r w:rsidRPr="00E974E3">
        <w:rPr>
          <w:rFonts w:ascii="Arial" w:hAnsi="Arial" w:cs="Arial"/>
          <w:lang w:val="en-CA"/>
        </w:rPr>
        <w:t xml:space="preserve">(Woodbridge, 2014):  87-104; </w:t>
      </w:r>
      <w:r w:rsidR="00884129" w:rsidRPr="00E974E3">
        <w:rPr>
          <w:rFonts w:ascii="Arial" w:hAnsi="Arial" w:cs="Arial"/>
          <w:lang w:val="en-CA"/>
        </w:rPr>
        <w:t xml:space="preserve">P. </w:t>
      </w:r>
      <w:r w:rsidR="00884129" w:rsidRPr="00E974E3">
        <w:rPr>
          <w:rFonts w:ascii="Arial" w:hAnsi="Arial" w:cs="Arial"/>
        </w:rPr>
        <w:t>King</w:t>
      </w:r>
      <w:r w:rsidRPr="00E974E3">
        <w:rPr>
          <w:rFonts w:ascii="Arial" w:hAnsi="Arial" w:cs="Arial"/>
        </w:rPr>
        <w:t xml:space="preserve">, ‘Legal change, customary right, and social conflict in late eighteenth-century England: the origins of the great gleaning case of 1788’, </w:t>
      </w:r>
      <w:r w:rsidRPr="00E974E3">
        <w:rPr>
          <w:rFonts w:ascii="Arial" w:hAnsi="Arial" w:cs="Arial"/>
          <w:i/>
        </w:rPr>
        <w:t>Law and History Review</w:t>
      </w:r>
      <w:r w:rsidRPr="00E974E3">
        <w:rPr>
          <w:rFonts w:ascii="Arial" w:hAnsi="Arial" w:cs="Arial"/>
        </w:rPr>
        <w:t xml:space="preserve"> 10, 1 (1992): 1-31; </w:t>
      </w:r>
      <w:r w:rsidR="00884129" w:rsidRPr="00E974E3">
        <w:rPr>
          <w:rFonts w:ascii="Arial" w:hAnsi="Arial" w:cs="Arial"/>
        </w:rPr>
        <w:t>P. King</w:t>
      </w:r>
      <w:r w:rsidRPr="00E974E3">
        <w:rPr>
          <w:rFonts w:ascii="Arial" w:hAnsi="Arial" w:cs="Arial"/>
        </w:rPr>
        <w:t xml:space="preserve">, </w:t>
      </w:r>
      <w:r w:rsidRPr="00E974E3">
        <w:rPr>
          <w:rFonts w:ascii="Arial" w:hAnsi="Arial" w:cs="Arial"/>
          <w:i/>
        </w:rPr>
        <w:t>Crime and Law in England, 1750-1840: Remaking Justice from the Margins</w:t>
      </w:r>
      <w:r w:rsidRPr="00E974E3">
        <w:rPr>
          <w:rFonts w:ascii="Arial" w:hAnsi="Arial" w:cs="Arial"/>
        </w:rPr>
        <w:t xml:space="preserve"> (Cambridge: Cambridge University Press, 2006); </w:t>
      </w:r>
      <w:r w:rsidRPr="00E974E3">
        <w:rPr>
          <w:rFonts w:ascii="Arial" w:hAnsi="Arial" w:cs="Arial"/>
          <w:lang w:val="en-CA"/>
        </w:rPr>
        <w:t xml:space="preserve">S. King, ‘”Stop this overwhelming torment of destiny”: negotiating financial aid at times of sickness under the English Old Poor Law, 1800-1840,’ </w:t>
      </w:r>
      <w:r w:rsidRPr="00E974E3">
        <w:rPr>
          <w:rFonts w:ascii="Arial" w:hAnsi="Arial" w:cs="Arial"/>
          <w:i/>
          <w:lang w:val="en-CA"/>
        </w:rPr>
        <w:t xml:space="preserve">Bulletin of the History of Medicine </w:t>
      </w:r>
      <w:r w:rsidR="00FC1F3E" w:rsidRPr="00E974E3">
        <w:rPr>
          <w:rFonts w:ascii="Arial" w:hAnsi="Arial" w:cs="Arial"/>
          <w:lang w:val="en-CA"/>
        </w:rPr>
        <w:t>79 (2005):</w:t>
      </w:r>
      <w:r w:rsidRPr="00E974E3">
        <w:rPr>
          <w:rFonts w:ascii="Arial" w:hAnsi="Arial" w:cs="Arial"/>
          <w:lang w:val="en-CA"/>
        </w:rPr>
        <w:t xml:space="preserve"> 228-60; L. Charlesworth, </w:t>
      </w:r>
      <w:r w:rsidRPr="00E974E3">
        <w:rPr>
          <w:rFonts w:ascii="Arial" w:hAnsi="Arial" w:cs="Arial"/>
          <w:i/>
          <w:lang w:val="en-CA"/>
        </w:rPr>
        <w:t>Welfare’s Forgotten past: A Socio-Legal History of the Poor Law</w:t>
      </w:r>
      <w:r w:rsidRPr="00E974E3">
        <w:rPr>
          <w:rFonts w:ascii="Arial" w:hAnsi="Arial" w:cs="Arial"/>
          <w:lang w:val="en-CA"/>
        </w:rPr>
        <w:t xml:space="preserve"> (Abingdon: Routledge, 2011):  1-6, 50-2; </w:t>
      </w:r>
      <w:r w:rsidRPr="00E974E3">
        <w:rPr>
          <w:rFonts w:ascii="Arial" w:hAnsi="Arial" w:cs="Arial"/>
          <w:iCs/>
          <w:lang w:val="en-CA"/>
        </w:rPr>
        <w:t xml:space="preserve">D. </w:t>
      </w:r>
      <w:r w:rsidRPr="00E974E3">
        <w:rPr>
          <w:rFonts w:ascii="Arial" w:hAnsi="Arial" w:cs="Arial"/>
          <w:iCs/>
        </w:rPr>
        <w:t xml:space="preserve">Englander, ‘From the Abyss: Pauper Petitions and Correspondence in Victorian London’, </w:t>
      </w:r>
      <w:r w:rsidRPr="00E974E3">
        <w:rPr>
          <w:rFonts w:ascii="Arial" w:hAnsi="Arial" w:cs="Arial"/>
          <w:i/>
          <w:iCs/>
        </w:rPr>
        <w:t>London Journal</w:t>
      </w:r>
      <w:r w:rsidR="00FC1F3E" w:rsidRPr="00E974E3">
        <w:rPr>
          <w:rFonts w:ascii="Arial" w:hAnsi="Arial" w:cs="Arial"/>
          <w:iCs/>
        </w:rPr>
        <w:t xml:space="preserve"> 25, 1 (2000): </w:t>
      </w:r>
      <w:r w:rsidRPr="00E974E3">
        <w:rPr>
          <w:rFonts w:ascii="Arial" w:hAnsi="Arial" w:cs="Arial"/>
          <w:iCs/>
        </w:rPr>
        <w:t>71-83.</w:t>
      </w:r>
    </w:p>
  </w:endnote>
  <w:endnote w:id="2">
    <w:p w14:paraId="6549D8A1" w14:textId="518031FE" w:rsidR="002D4328" w:rsidRPr="00E974E3" w:rsidRDefault="002D4328">
      <w:pPr>
        <w:pStyle w:val="EndnoteText"/>
        <w:rPr>
          <w:rFonts w:ascii="Arial" w:hAnsi="Arial" w:cs="Arial"/>
        </w:rPr>
      </w:pPr>
      <w:r w:rsidRPr="00E974E3">
        <w:rPr>
          <w:rStyle w:val="EndnoteReference"/>
          <w:rFonts w:ascii="Arial" w:hAnsi="Arial" w:cs="Arial"/>
        </w:rPr>
        <w:endnoteRef/>
      </w:r>
      <w:r w:rsidR="007C0BD2" w:rsidRPr="00E974E3">
        <w:rPr>
          <w:rFonts w:ascii="Arial" w:hAnsi="Arial" w:cs="Arial"/>
        </w:rPr>
        <w:t xml:space="preserve"> J. </w:t>
      </w:r>
      <w:r w:rsidRPr="00E974E3">
        <w:rPr>
          <w:rFonts w:ascii="Arial" w:hAnsi="Arial" w:cs="Arial"/>
        </w:rPr>
        <w:t xml:space="preserve">Clarke, ‘Going Public: the act of complaining’ in: J. </w:t>
      </w:r>
      <w:proofErr w:type="spellStart"/>
      <w:r w:rsidRPr="00E974E3">
        <w:rPr>
          <w:rFonts w:ascii="Arial" w:hAnsi="Arial" w:cs="Arial"/>
        </w:rPr>
        <w:t>Reinarz</w:t>
      </w:r>
      <w:proofErr w:type="spellEnd"/>
      <w:r w:rsidRPr="00E974E3">
        <w:rPr>
          <w:rFonts w:ascii="Arial" w:hAnsi="Arial" w:cs="Arial"/>
        </w:rPr>
        <w:t xml:space="preserve"> and R. </w:t>
      </w:r>
      <w:proofErr w:type="spellStart"/>
      <w:r w:rsidRPr="00E974E3">
        <w:rPr>
          <w:rFonts w:ascii="Arial" w:hAnsi="Arial" w:cs="Arial"/>
        </w:rPr>
        <w:t>Wynter</w:t>
      </w:r>
      <w:proofErr w:type="spellEnd"/>
      <w:r w:rsidRPr="00E974E3">
        <w:rPr>
          <w:rFonts w:ascii="Arial" w:hAnsi="Arial" w:cs="Arial"/>
        </w:rPr>
        <w:t>, R. (</w:t>
      </w:r>
      <w:proofErr w:type="spellStart"/>
      <w:proofErr w:type="gramStart"/>
      <w:r w:rsidRPr="00E974E3">
        <w:rPr>
          <w:rFonts w:ascii="Arial" w:hAnsi="Arial" w:cs="Arial"/>
        </w:rPr>
        <w:t>eds</w:t>
      </w:r>
      <w:proofErr w:type="spellEnd"/>
      <w:proofErr w:type="gramEnd"/>
      <w:r w:rsidRPr="00E974E3">
        <w:rPr>
          <w:rFonts w:ascii="Arial" w:hAnsi="Arial" w:cs="Arial"/>
        </w:rPr>
        <w:t xml:space="preserve">) </w:t>
      </w:r>
      <w:r w:rsidRPr="00E974E3">
        <w:rPr>
          <w:rFonts w:ascii="Arial" w:hAnsi="Arial" w:cs="Arial"/>
          <w:i/>
          <w:iCs/>
        </w:rPr>
        <w:t>Complaints, Controversies and Grievances in Medicine</w:t>
      </w:r>
      <w:r w:rsidRPr="00E974E3">
        <w:rPr>
          <w:rFonts w:ascii="Arial" w:hAnsi="Arial" w:cs="Arial"/>
        </w:rPr>
        <w:t xml:space="preserve"> (London, 2015):  267.</w:t>
      </w:r>
    </w:p>
  </w:endnote>
  <w:endnote w:id="3">
    <w:p w14:paraId="5D087B51" w14:textId="45E35528" w:rsidR="002D4328" w:rsidRPr="00E974E3" w:rsidRDefault="002D4328" w:rsidP="00237BD7">
      <w:pPr>
        <w:pStyle w:val="EndnoteText"/>
        <w:rPr>
          <w:rFonts w:ascii="Arial" w:hAnsi="Arial" w:cs="Arial"/>
          <w:lang w:val="en-CA"/>
        </w:rPr>
      </w:pPr>
      <w:r w:rsidRPr="00E974E3">
        <w:rPr>
          <w:rStyle w:val="EndnoteReference"/>
          <w:rFonts w:ascii="Arial" w:hAnsi="Arial" w:cs="Arial"/>
        </w:rPr>
        <w:endnoteRef/>
      </w:r>
      <w:r w:rsidRPr="00E974E3">
        <w:rPr>
          <w:rFonts w:ascii="Arial" w:hAnsi="Arial" w:cs="Arial"/>
        </w:rPr>
        <w:t xml:space="preserve"> </w:t>
      </w:r>
      <w:r w:rsidR="007C0BD2" w:rsidRPr="00E974E3">
        <w:rPr>
          <w:rFonts w:ascii="Arial" w:hAnsi="Arial" w:cs="Arial"/>
        </w:rPr>
        <w:t>Ibid.</w:t>
      </w:r>
    </w:p>
  </w:endnote>
  <w:endnote w:id="4">
    <w:p w14:paraId="296FC2AC" w14:textId="1C2B18F4" w:rsidR="002D4328" w:rsidRPr="00E974E3" w:rsidRDefault="002D4328" w:rsidP="0041513D">
      <w:pPr>
        <w:pStyle w:val="EndnoteText"/>
        <w:rPr>
          <w:rFonts w:ascii="Arial" w:hAnsi="Arial" w:cs="Arial"/>
        </w:rPr>
      </w:pPr>
      <w:r w:rsidRPr="00E974E3">
        <w:rPr>
          <w:rStyle w:val="EndnoteReference"/>
          <w:rFonts w:ascii="Arial" w:hAnsi="Arial" w:cs="Arial"/>
        </w:rPr>
        <w:endnoteRef/>
      </w:r>
      <w:r w:rsidR="00854BE3" w:rsidRPr="00E974E3">
        <w:rPr>
          <w:rFonts w:ascii="Arial" w:hAnsi="Arial" w:cs="Arial"/>
        </w:rPr>
        <w:t xml:space="preserve"> B.</w:t>
      </w:r>
      <w:r w:rsidRPr="00E974E3">
        <w:rPr>
          <w:rFonts w:ascii="Arial" w:hAnsi="Arial" w:cs="Arial"/>
        </w:rPr>
        <w:t xml:space="preserve"> Waddell, ‘Writing History from Below: Chronicling and Record-Keeping in Early Modern England’, </w:t>
      </w:r>
      <w:r w:rsidRPr="00E974E3">
        <w:rPr>
          <w:rFonts w:ascii="Arial" w:hAnsi="Arial" w:cs="Arial"/>
          <w:i/>
        </w:rPr>
        <w:t>History Workshop Journal</w:t>
      </w:r>
      <w:r w:rsidRPr="00E974E3">
        <w:rPr>
          <w:rFonts w:ascii="Arial" w:hAnsi="Arial" w:cs="Arial"/>
        </w:rPr>
        <w:t>, 85 (2018)</w:t>
      </w:r>
      <w:r w:rsidR="007C0BD2" w:rsidRPr="00E974E3">
        <w:rPr>
          <w:rFonts w:ascii="Arial" w:hAnsi="Arial" w:cs="Arial"/>
        </w:rPr>
        <w:t>, 239</w:t>
      </w:r>
      <w:r w:rsidRPr="00E974E3">
        <w:rPr>
          <w:rFonts w:ascii="Arial" w:hAnsi="Arial" w:cs="Arial"/>
        </w:rPr>
        <w:t>-264.</w:t>
      </w:r>
    </w:p>
  </w:endnote>
  <w:endnote w:id="5">
    <w:p w14:paraId="3F8BF7B5" w14:textId="581221C0" w:rsidR="002D4328" w:rsidRPr="00E974E3" w:rsidRDefault="002D4328">
      <w:pPr>
        <w:pStyle w:val="EndnoteText"/>
        <w:rPr>
          <w:rFonts w:ascii="Arial" w:hAnsi="Arial" w:cs="Arial"/>
          <w:iCs/>
        </w:rPr>
      </w:pPr>
      <w:r w:rsidRPr="00E974E3">
        <w:rPr>
          <w:rStyle w:val="EndnoteReference"/>
          <w:rFonts w:ascii="Arial" w:hAnsi="Arial" w:cs="Arial"/>
        </w:rPr>
        <w:endnoteRef/>
      </w:r>
      <w:r w:rsidRPr="00E974E3">
        <w:rPr>
          <w:rFonts w:ascii="Arial" w:hAnsi="Arial" w:cs="Arial"/>
        </w:rPr>
        <w:t xml:space="preserve"> </w:t>
      </w:r>
      <w:r w:rsidR="007C0BD2" w:rsidRPr="00E974E3">
        <w:rPr>
          <w:rFonts w:ascii="Arial" w:hAnsi="Arial" w:cs="Arial"/>
        </w:rPr>
        <w:t xml:space="preserve">J. </w:t>
      </w:r>
      <w:r w:rsidR="007C0BD2" w:rsidRPr="00E974E3">
        <w:rPr>
          <w:rFonts w:ascii="Arial" w:hAnsi="Arial" w:cs="Arial"/>
          <w:lang w:val="en-CA"/>
        </w:rPr>
        <w:t>Bourke,</w:t>
      </w:r>
      <w:r w:rsidRPr="00E974E3">
        <w:rPr>
          <w:rFonts w:ascii="Arial" w:hAnsi="Arial" w:cs="Arial"/>
          <w:lang w:val="en-CA"/>
        </w:rPr>
        <w:t xml:space="preserve"> (2018) ‘Police Surgeons and Victims of Rape: Cultures of Harm and Care’, </w:t>
      </w:r>
      <w:r w:rsidRPr="00E974E3">
        <w:rPr>
          <w:rFonts w:ascii="Arial" w:hAnsi="Arial" w:cs="Arial"/>
          <w:i/>
          <w:lang w:val="en-CA"/>
        </w:rPr>
        <w:t>Social History of Medicine</w:t>
      </w:r>
      <w:r w:rsidR="00FC1F3E" w:rsidRPr="00E974E3">
        <w:rPr>
          <w:rFonts w:ascii="Arial" w:hAnsi="Arial" w:cs="Arial"/>
          <w:lang w:val="en-CA"/>
        </w:rPr>
        <w:t xml:space="preserve"> 31 (4), </w:t>
      </w:r>
      <w:r w:rsidRPr="00E974E3">
        <w:rPr>
          <w:rFonts w:ascii="Arial" w:hAnsi="Arial" w:cs="Arial"/>
          <w:lang w:val="en-CA"/>
        </w:rPr>
        <w:t xml:space="preserve"> 711–731;</w:t>
      </w:r>
      <w:r w:rsidRPr="00E974E3">
        <w:rPr>
          <w:rFonts w:ascii="Arial" w:hAnsi="Arial" w:cs="Arial"/>
        </w:rPr>
        <w:t xml:space="preserve"> </w:t>
      </w:r>
      <w:r w:rsidR="00854BE3" w:rsidRPr="00E974E3">
        <w:rPr>
          <w:rFonts w:ascii="Arial" w:hAnsi="Arial" w:cs="Arial"/>
        </w:rPr>
        <w:t xml:space="preserve">C. </w:t>
      </w:r>
      <w:r w:rsidRPr="00E974E3">
        <w:rPr>
          <w:rFonts w:ascii="Arial" w:hAnsi="Arial" w:cs="Arial"/>
        </w:rPr>
        <w:t xml:space="preserve">Cox, C. and </w:t>
      </w:r>
      <w:r w:rsidR="00854BE3" w:rsidRPr="00E974E3">
        <w:rPr>
          <w:rFonts w:ascii="Arial" w:hAnsi="Arial" w:cs="Arial"/>
        </w:rPr>
        <w:t xml:space="preserve">H. </w:t>
      </w:r>
      <w:proofErr w:type="spellStart"/>
      <w:r w:rsidR="00854BE3" w:rsidRPr="00E974E3">
        <w:rPr>
          <w:rFonts w:ascii="Arial" w:hAnsi="Arial" w:cs="Arial"/>
        </w:rPr>
        <w:t>Marland</w:t>
      </w:r>
      <w:proofErr w:type="spellEnd"/>
      <w:r w:rsidR="00854BE3" w:rsidRPr="00E974E3">
        <w:rPr>
          <w:rFonts w:ascii="Arial" w:hAnsi="Arial" w:cs="Arial"/>
        </w:rPr>
        <w:t>,</w:t>
      </w:r>
      <w:r w:rsidRPr="00E974E3">
        <w:rPr>
          <w:rFonts w:ascii="Arial" w:hAnsi="Arial" w:cs="Arial"/>
        </w:rPr>
        <w:t xml:space="preserve"> ‘Broken Minds and Beaten Bodies: Cultures of Harm and the Management of Mental Illness in Mid- to Late Nineteenth-century English and Irish Prisons’ </w:t>
      </w:r>
      <w:r w:rsidRPr="00E974E3">
        <w:rPr>
          <w:rFonts w:ascii="Arial" w:hAnsi="Arial" w:cs="Arial"/>
          <w:i/>
        </w:rPr>
        <w:t>Social History of Medicine</w:t>
      </w:r>
      <w:r w:rsidR="00854BE3" w:rsidRPr="00E974E3">
        <w:rPr>
          <w:rFonts w:ascii="Arial" w:hAnsi="Arial" w:cs="Arial"/>
        </w:rPr>
        <w:t xml:space="preserve"> 31, 4 (2019:</w:t>
      </w:r>
      <w:r w:rsidRPr="00E974E3">
        <w:rPr>
          <w:rFonts w:ascii="Arial" w:hAnsi="Arial" w:cs="Arial"/>
        </w:rPr>
        <w:t xml:space="preserve"> 688–710;</w:t>
      </w:r>
      <w:r w:rsidR="00884129" w:rsidRPr="00E974E3">
        <w:rPr>
          <w:rFonts w:ascii="Arial" w:eastAsiaTheme="minorHAnsi" w:hAnsi="Arial" w:cs="Arial"/>
          <w:lang w:val="en-CA"/>
        </w:rPr>
        <w:t xml:space="preserve"> </w:t>
      </w:r>
      <w:r w:rsidRPr="00E974E3">
        <w:rPr>
          <w:rFonts w:ascii="Arial" w:eastAsiaTheme="minorHAnsi" w:hAnsi="Arial" w:cs="Arial"/>
          <w:lang w:val="en-CA"/>
        </w:rPr>
        <w:t xml:space="preserve">Healey, </w:t>
      </w:r>
      <w:r w:rsidR="00884129" w:rsidRPr="00E974E3">
        <w:rPr>
          <w:rFonts w:ascii="Arial" w:eastAsiaTheme="minorHAnsi" w:hAnsi="Arial" w:cs="Arial"/>
          <w:i/>
          <w:lang w:val="en-CA"/>
        </w:rPr>
        <w:t>The First Century</w:t>
      </w:r>
      <w:r w:rsidR="00FC1F3E" w:rsidRPr="00E974E3">
        <w:rPr>
          <w:rFonts w:ascii="Arial" w:eastAsiaTheme="minorHAnsi" w:hAnsi="Arial" w:cs="Arial"/>
          <w:lang w:val="en-CA"/>
        </w:rPr>
        <w:t xml:space="preserve">: </w:t>
      </w:r>
      <w:r w:rsidRPr="00E974E3">
        <w:rPr>
          <w:rFonts w:ascii="Arial" w:eastAsiaTheme="minorHAnsi" w:hAnsi="Arial" w:cs="Arial"/>
          <w:lang w:val="en-CA"/>
        </w:rPr>
        <w:t xml:space="preserve">127-168; </w:t>
      </w:r>
      <w:r w:rsidRPr="00E974E3">
        <w:rPr>
          <w:rFonts w:ascii="Arial" w:hAnsi="Arial" w:cs="Arial"/>
        </w:rPr>
        <w:t xml:space="preserve">Price, K. (2013) ‘'Where is the Fault?': The Starvation of Edward Cooper at the Isle of Wight Workhouse in 1877’, </w:t>
      </w:r>
      <w:r w:rsidRPr="00E974E3">
        <w:rPr>
          <w:rFonts w:ascii="Arial" w:hAnsi="Arial" w:cs="Arial"/>
          <w:i/>
        </w:rPr>
        <w:t>Social History of Medicine</w:t>
      </w:r>
      <w:r w:rsidRPr="00E974E3">
        <w:rPr>
          <w:rFonts w:ascii="Arial" w:hAnsi="Arial" w:cs="Arial"/>
        </w:rPr>
        <w:t xml:space="preserve">, 26 (1),  21-37; </w:t>
      </w:r>
      <w:r w:rsidRPr="00E974E3">
        <w:rPr>
          <w:rFonts w:ascii="Arial" w:hAnsi="Arial" w:cs="Arial"/>
          <w:lang w:val="en-CA"/>
        </w:rPr>
        <w:t xml:space="preserve">K. </w:t>
      </w:r>
      <w:r w:rsidRPr="00E974E3">
        <w:rPr>
          <w:rFonts w:ascii="Arial" w:hAnsi="Arial" w:cs="Arial"/>
          <w:iCs/>
          <w:lang w:val="en-CA"/>
        </w:rPr>
        <w:t xml:space="preserve">Price, </w:t>
      </w:r>
      <w:r w:rsidRPr="00E974E3">
        <w:rPr>
          <w:rFonts w:ascii="Arial" w:hAnsi="Arial" w:cs="Arial"/>
          <w:i/>
          <w:iCs/>
          <w:lang w:val="en-CA"/>
        </w:rPr>
        <w:t xml:space="preserve">Medical Negligence in Victorian Britain: the Crisis of Care under the English Poor Law, c.1834-1900 </w:t>
      </w:r>
      <w:r w:rsidRPr="00E974E3">
        <w:rPr>
          <w:rFonts w:ascii="Arial" w:hAnsi="Arial" w:cs="Arial"/>
          <w:iCs/>
          <w:lang w:val="en-CA"/>
        </w:rPr>
        <w:t xml:space="preserve">(London, 2015); </w:t>
      </w:r>
      <w:r w:rsidRPr="00E974E3">
        <w:rPr>
          <w:rFonts w:ascii="Arial" w:hAnsi="Arial" w:cs="Arial"/>
          <w:i/>
          <w:iCs/>
          <w:lang w:val="en-CA"/>
        </w:rPr>
        <w:t>passim</w:t>
      </w:r>
      <w:r w:rsidRPr="00E974E3">
        <w:rPr>
          <w:rFonts w:ascii="Arial" w:hAnsi="Arial" w:cs="Arial"/>
          <w:iCs/>
          <w:lang w:val="en-CA"/>
        </w:rPr>
        <w:t>;</w:t>
      </w:r>
      <w:r w:rsidRPr="00E974E3">
        <w:rPr>
          <w:rFonts w:ascii="Arial" w:eastAsiaTheme="minorHAnsi" w:hAnsi="Arial" w:cs="Arial"/>
          <w:lang w:val="en-CA"/>
        </w:rPr>
        <w:t xml:space="preserve"> </w:t>
      </w:r>
      <w:r w:rsidRPr="00E974E3">
        <w:rPr>
          <w:rFonts w:ascii="Arial" w:hAnsi="Arial" w:cs="Arial"/>
          <w:iCs/>
          <w:lang w:val="en-CA"/>
        </w:rPr>
        <w:t xml:space="preserve">J. </w:t>
      </w:r>
      <w:proofErr w:type="spellStart"/>
      <w:r w:rsidRPr="00E974E3">
        <w:rPr>
          <w:rFonts w:ascii="Arial" w:hAnsi="Arial" w:cs="Arial"/>
          <w:iCs/>
          <w:lang w:val="en-CA"/>
        </w:rPr>
        <w:t>Reinarz</w:t>
      </w:r>
      <w:proofErr w:type="spellEnd"/>
      <w:r w:rsidRPr="00E974E3">
        <w:rPr>
          <w:rFonts w:ascii="Arial" w:hAnsi="Arial" w:cs="Arial"/>
          <w:iCs/>
          <w:lang w:val="en-CA"/>
        </w:rPr>
        <w:t xml:space="preserve"> and R. </w:t>
      </w:r>
      <w:proofErr w:type="spellStart"/>
      <w:r w:rsidRPr="00E974E3">
        <w:rPr>
          <w:rFonts w:ascii="Arial" w:hAnsi="Arial" w:cs="Arial"/>
          <w:iCs/>
          <w:lang w:val="en-CA"/>
        </w:rPr>
        <w:t>Wynter</w:t>
      </w:r>
      <w:proofErr w:type="spellEnd"/>
      <w:r w:rsidRPr="00E974E3">
        <w:rPr>
          <w:rFonts w:ascii="Arial" w:hAnsi="Arial" w:cs="Arial"/>
          <w:iCs/>
          <w:lang w:val="en-CA"/>
        </w:rPr>
        <w:t>, R. (</w:t>
      </w:r>
      <w:proofErr w:type="spellStart"/>
      <w:r w:rsidRPr="00E974E3">
        <w:rPr>
          <w:rFonts w:ascii="Arial" w:hAnsi="Arial" w:cs="Arial"/>
          <w:iCs/>
          <w:lang w:val="en-CA"/>
        </w:rPr>
        <w:t>eds</w:t>
      </w:r>
      <w:proofErr w:type="spellEnd"/>
      <w:r w:rsidRPr="00E974E3">
        <w:rPr>
          <w:rFonts w:ascii="Arial" w:hAnsi="Arial" w:cs="Arial"/>
          <w:iCs/>
          <w:lang w:val="en-CA"/>
        </w:rPr>
        <w:t xml:space="preserve">) </w:t>
      </w:r>
      <w:r w:rsidRPr="00E974E3">
        <w:rPr>
          <w:rFonts w:ascii="Arial" w:hAnsi="Arial" w:cs="Arial"/>
          <w:i/>
          <w:iCs/>
          <w:lang w:val="en-CA"/>
        </w:rPr>
        <w:t>Complaints, Controversies and Grievances in Medicine</w:t>
      </w:r>
      <w:r w:rsidRPr="00E974E3">
        <w:rPr>
          <w:rFonts w:ascii="Arial" w:hAnsi="Arial" w:cs="Arial"/>
          <w:iCs/>
          <w:lang w:val="en-CA"/>
        </w:rPr>
        <w:t xml:space="preserve"> (London, 2015); </w:t>
      </w:r>
      <w:r w:rsidR="00166D05" w:rsidRPr="00E974E3">
        <w:rPr>
          <w:rFonts w:ascii="Arial" w:hAnsi="Arial" w:cs="Arial"/>
          <w:iCs/>
          <w:lang w:val="en-CA"/>
        </w:rPr>
        <w:t xml:space="preserve">J. </w:t>
      </w:r>
      <w:r w:rsidR="00166D05" w:rsidRPr="00E974E3">
        <w:rPr>
          <w:rFonts w:ascii="Arial" w:hAnsi="Arial" w:cs="Arial"/>
          <w:iCs/>
        </w:rPr>
        <w:t xml:space="preserve">Stewart, </w:t>
      </w:r>
      <w:r w:rsidRPr="00E974E3">
        <w:rPr>
          <w:rFonts w:ascii="Arial" w:hAnsi="Arial" w:cs="Arial"/>
          <w:iCs/>
        </w:rPr>
        <w:t xml:space="preserve">and </w:t>
      </w:r>
      <w:r w:rsidR="00166D05" w:rsidRPr="00E974E3">
        <w:rPr>
          <w:rFonts w:ascii="Arial" w:hAnsi="Arial" w:cs="Arial"/>
          <w:iCs/>
        </w:rPr>
        <w:t>S. King</w:t>
      </w:r>
      <w:r w:rsidRPr="00E974E3">
        <w:rPr>
          <w:rFonts w:ascii="Arial" w:hAnsi="Arial" w:cs="Arial"/>
          <w:iCs/>
        </w:rPr>
        <w:t xml:space="preserve">, “Death in </w:t>
      </w:r>
      <w:proofErr w:type="spellStart"/>
      <w:r w:rsidRPr="00E974E3">
        <w:rPr>
          <w:rFonts w:ascii="Arial" w:hAnsi="Arial" w:cs="Arial"/>
          <w:iCs/>
        </w:rPr>
        <w:t>Llantrisant</w:t>
      </w:r>
      <w:proofErr w:type="spellEnd"/>
      <w:r w:rsidRPr="00E974E3">
        <w:rPr>
          <w:rFonts w:ascii="Arial" w:hAnsi="Arial" w:cs="Arial"/>
          <w:iCs/>
        </w:rPr>
        <w:t xml:space="preserve">: Henry Williams and the New Poor Law in Wales,” </w:t>
      </w:r>
      <w:r w:rsidRPr="00E974E3">
        <w:rPr>
          <w:rFonts w:ascii="Arial" w:hAnsi="Arial" w:cs="Arial"/>
          <w:i/>
          <w:iCs/>
        </w:rPr>
        <w:t>Rural History</w:t>
      </w:r>
      <w:r w:rsidRPr="00E974E3">
        <w:rPr>
          <w:rFonts w:ascii="Arial" w:hAnsi="Arial" w:cs="Arial"/>
          <w:iCs/>
        </w:rPr>
        <w:t xml:space="preserve"> 15, 1 (2004): 69-87.</w:t>
      </w:r>
    </w:p>
  </w:endnote>
  <w:endnote w:id="6">
    <w:p w14:paraId="77AAAF92" w14:textId="3A0AE925" w:rsidR="002D4328" w:rsidRPr="00E974E3" w:rsidRDefault="002D4328" w:rsidP="0005457E">
      <w:pPr>
        <w:pStyle w:val="EndnoteText"/>
        <w:rPr>
          <w:rFonts w:ascii="Arial" w:hAnsi="Arial" w:cs="Arial"/>
          <w:lang w:val="en-CA"/>
        </w:rPr>
      </w:pPr>
      <w:r w:rsidRPr="00E974E3">
        <w:rPr>
          <w:rStyle w:val="EndnoteReference"/>
          <w:rFonts w:ascii="Arial" w:hAnsi="Arial" w:cs="Arial"/>
        </w:rPr>
        <w:endnoteRef/>
      </w:r>
      <w:r w:rsidRPr="00E974E3">
        <w:rPr>
          <w:rFonts w:ascii="Arial" w:hAnsi="Arial" w:cs="Arial"/>
        </w:rPr>
        <w:t xml:space="preserve"> For examples, see: politicised petition: </w:t>
      </w:r>
      <w:r w:rsidRPr="00E974E3">
        <w:rPr>
          <w:rFonts w:ascii="Arial" w:hAnsi="Arial" w:cs="Arial"/>
          <w:lang w:val="en-CA"/>
        </w:rPr>
        <w:t>Miller, ‘Petitioning and the Corn Laws’</w:t>
      </w:r>
      <w:r w:rsidRPr="00E974E3">
        <w:rPr>
          <w:rFonts w:ascii="Arial" w:hAnsi="Arial" w:cs="Arial"/>
        </w:rPr>
        <w:t xml:space="preserve">; what might be considered individualised grievances, see: M. Ward, ‘A tale of transportation: the case of David Moore’ </w:t>
      </w:r>
      <w:proofErr w:type="spellStart"/>
      <w:r w:rsidRPr="00E974E3">
        <w:rPr>
          <w:rFonts w:ascii="Arial" w:hAnsi="Arial" w:cs="Arial"/>
          <w:i/>
        </w:rPr>
        <w:t>Clogher</w:t>
      </w:r>
      <w:proofErr w:type="spellEnd"/>
      <w:r w:rsidRPr="00E974E3">
        <w:rPr>
          <w:rFonts w:ascii="Arial" w:hAnsi="Arial" w:cs="Arial"/>
          <w:i/>
        </w:rPr>
        <w:t xml:space="preserve"> Record</w:t>
      </w:r>
      <w:r w:rsidR="00FC1F3E" w:rsidRPr="00E974E3">
        <w:rPr>
          <w:rFonts w:ascii="Arial" w:hAnsi="Arial" w:cs="Arial"/>
        </w:rPr>
        <w:t xml:space="preserve"> 22, 1 (2015):</w:t>
      </w:r>
      <w:r w:rsidRPr="00E974E3">
        <w:rPr>
          <w:rFonts w:ascii="Arial" w:hAnsi="Arial" w:cs="Arial"/>
        </w:rPr>
        <w:t xml:space="preserve"> 43-56; Healey, </w:t>
      </w:r>
      <w:r w:rsidR="00884129" w:rsidRPr="00E974E3">
        <w:rPr>
          <w:rFonts w:ascii="Arial" w:hAnsi="Arial" w:cs="Arial"/>
          <w:i/>
        </w:rPr>
        <w:t>The First Century</w:t>
      </w:r>
      <w:r w:rsidRPr="00E974E3">
        <w:rPr>
          <w:rFonts w:ascii="Arial" w:hAnsi="Arial" w:cs="Arial"/>
        </w:rPr>
        <w:t xml:space="preserve">:  87-104; or divorce petitions in </w:t>
      </w:r>
      <w:r w:rsidRPr="00E974E3">
        <w:rPr>
          <w:rFonts w:ascii="Arial" w:hAnsi="Arial" w:cs="Arial"/>
          <w:lang w:val="en-CA"/>
        </w:rPr>
        <w:t xml:space="preserve">W. E. Schneider, </w:t>
      </w:r>
      <w:r w:rsidRPr="00E974E3">
        <w:rPr>
          <w:rFonts w:ascii="Arial" w:hAnsi="Arial" w:cs="Arial"/>
          <w:i/>
          <w:lang w:val="en-CA"/>
        </w:rPr>
        <w:t>Engines of Truth: Producing Veracity in the Victorian Courtroom</w:t>
      </w:r>
      <w:r w:rsidRPr="00E974E3">
        <w:rPr>
          <w:rFonts w:ascii="Arial" w:hAnsi="Arial" w:cs="Arial"/>
          <w:lang w:val="en-CA"/>
        </w:rPr>
        <w:t xml:space="preserve"> (Yale: Yale University Press, 2015)</w:t>
      </w:r>
    </w:p>
  </w:endnote>
  <w:endnote w:id="7">
    <w:p w14:paraId="6A1E658E" w14:textId="668795AB" w:rsidR="002D4328" w:rsidRPr="00E974E3" w:rsidRDefault="002D4328" w:rsidP="002C37FB">
      <w:pPr>
        <w:pStyle w:val="EndnoteText"/>
        <w:rPr>
          <w:rFonts w:ascii="Arial" w:hAnsi="Arial" w:cs="Arial"/>
          <w:u w:val="single"/>
          <w:lang w:val="en-CA"/>
        </w:rPr>
      </w:pPr>
      <w:r w:rsidRPr="00E974E3">
        <w:rPr>
          <w:rStyle w:val="EndnoteReference"/>
          <w:rFonts w:ascii="Arial" w:hAnsi="Arial" w:cs="Arial"/>
        </w:rPr>
        <w:endnoteRef/>
      </w:r>
      <w:r w:rsidRPr="00E974E3">
        <w:rPr>
          <w:rFonts w:ascii="Arial" w:hAnsi="Arial" w:cs="Arial"/>
        </w:rPr>
        <w:t xml:space="preserve"> K. </w:t>
      </w:r>
      <w:proofErr w:type="spellStart"/>
      <w:r w:rsidRPr="00E974E3">
        <w:rPr>
          <w:rFonts w:ascii="Arial" w:hAnsi="Arial" w:cs="Arial"/>
          <w:lang w:val="en-CA"/>
        </w:rPr>
        <w:t>Navickas</w:t>
      </w:r>
      <w:proofErr w:type="spellEnd"/>
      <w:r w:rsidRPr="00E974E3">
        <w:rPr>
          <w:rFonts w:ascii="Arial" w:hAnsi="Arial" w:cs="Arial"/>
          <w:lang w:val="en-CA"/>
        </w:rPr>
        <w:t xml:space="preserve">, ‘The “Bastilles” of the constitution: political prisoners, radicalism, and prison reform in early nineteenth-century England’, </w:t>
      </w:r>
      <w:r w:rsidRPr="00E974E3">
        <w:rPr>
          <w:rFonts w:ascii="Arial" w:hAnsi="Arial" w:cs="Arial"/>
          <w:i/>
          <w:lang w:val="en-CA"/>
        </w:rPr>
        <w:t>Labour History Review</w:t>
      </w:r>
      <w:r w:rsidRPr="00E974E3">
        <w:rPr>
          <w:rFonts w:ascii="Arial" w:hAnsi="Arial" w:cs="Arial"/>
          <w:lang w:val="en-CA"/>
        </w:rPr>
        <w:t xml:space="preserve"> 83, 2 (2018):  117.</w:t>
      </w:r>
    </w:p>
  </w:endnote>
  <w:endnote w:id="8">
    <w:p w14:paraId="2B2AD99F" w14:textId="7A85BC60" w:rsidR="002D4328" w:rsidRPr="00E974E3" w:rsidRDefault="002D4328" w:rsidP="00A6096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Miller, ‘Petitioning and the Corn Laws’:  885.</w:t>
      </w:r>
    </w:p>
  </w:endnote>
  <w:endnote w:id="9">
    <w:p w14:paraId="25EB64DB" w14:textId="5BC8DF59"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 xml:space="preserve">M. Ward, ‘A tale of transportation: the case of David Moore’ </w:t>
      </w:r>
      <w:proofErr w:type="spellStart"/>
      <w:r w:rsidRPr="00E974E3">
        <w:rPr>
          <w:rFonts w:ascii="Arial" w:hAnsi="Arial" w:cs="Arial"/>
          <w:i/>
          <w:lang w:val="en-CA"/>
        </w:rPr>
        <w:t>Clogher</w:t>
      </w:r>
      <w:proofErr w:type="spellEnd"/>
      <w:r w:rsidRPr="00E974E3">
        <w:rPr>
          <w:rFonts w:ascii="Arial" w:hAnsi="Arial" w:cs="Arial"/>
          <w:i/>
          <w:lang w:val="en-CA"/>
        </w:rPr>
        <w:t xml:space="preserve"> Record</w:t>
      </w:r>
      <w:r w:rsidR="00FC1F3E" w:rsidRPr="00E974E3">
        <w:rPr>
          <w:rFonts w:ascii="Arial" w:hAnsi="Arial" w:cs="Arial"/>
          <w:lang w:val="en-CA"/>
        </w:rPr>
        <w:t xml:space="preserve"> 22, 1 (2015): </w:t>
      </w:r>
      <w:r w:rsidRPr="00E974E3">
        <w:rPr>
          <w:rFonts w:ascii="Arial" w:hAnsi="Arial" w:cs="Arial"/>
          <w:lang w:val="en-CA"/>
        </w:rPr>
        <w:t xml:space="preserve">43-56; Healey, </w:t>
      </w:r>
      <w:proofErr w:type="gramStart"/>
      <w:r w:rsidR="00884129" w:rsidRPr="00E974E3">
        <w:rPr>
          <w:rFonts w:ascii="Arial" w:hAnsi="Arial" w:cs="Arial"/>
          <w:i/>
          <w:lang w:val="en-CA"/>
        </w:rPr>
        <w:t>The</w:t>
      </w:r>
      <w:proofErr w:type="gramEnd"/>
      <w:r w:rsidR="00884129" w:rsidRPr="00E974E3">
        <w:rPr>
          <w:rFonts w:ascii="Arial" w:hAnsi="Arial" w:cs="Arial"/>
          <w:i/>
          <w:lang w:val="en-CA"/>
        </w:rPr>
        <w:t xml:space="preserve"> F</w:t>
      </w:r>
      <w:r w:rsidRPr="00E974E3">
        <w:rPr>
          <w:rFonts w:ascii="Arial" w:hAnsi="Arial" w:cs="Arial"/>
          <w:i/>
          <w:lang w:val="en-CA"/>
        </w:rPr>
        <w:t>irst</w:t>
      </w:r>
      <w:r w:rsidR="00884129" w:rsidRPr="00E974E3">
        <w:rPr>
          <w:rFonts w:ascii="Arial" w:hAnsi="Arial" w:cs="Arial"/>
          <w:i/>
          <w:lang w:val="en-CA"/>
        </w:rPr>
        <w:t xml:space="preserve"> Century</w:t>
      </w:r>
      <w:r w:rsidRPr="00E974E3">
        <w:rPr>
          <w:rFonts w:ascii="Arial" w:hAnsi="Arial" w:cs="Arial"/>
          <w:lang w:val="en-CA"/>
        </w:rPr>
        <w:t>:  87-104.</w:t>
      </w:r>
    </w:p>
  </w:endnote>
  <w:endnote w:id="10">
    <w:p w14:paraId="5288F2F5" w14:textId="75927A91" w:rsidR="002D4328" w:rsidRPr="00E974E3" w:rsidRDefault="002D4328" w:rsidP="008746A5">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For a succinct discussion of this blended stigmatisation, see: B.S. Godfrey, C.A. Williams and P. Lawrence, </w:t>
      </w:r>
      <w:r w:rsidRPr="00E974E3">
        <w:rPr>
          <w:rFonts w:ascii="Arial" w:hAnsi="Arial" w:cs="Arial"/>
          <w:i/>
        </w:rPr>
        <w:t xml:space="preserve">History &amp; Crime </w:t>
      </w:r>
      <w:r w:rsidRPr="00E974E3">
        <w:rPr>
          <w:rFonts w:ascii="Arial" w:hAnsi="Arial" w:cs="Arial"/>
        </w:rPr>
        <w:t>(London, 2008):  83-90.</w:t>
      </w:r>
    </w:p>
  </w:endnote>
  <w:endnote w:id="11">
    <w:p w14:paraId="6ADD9331" w14:textId="12B2BB82" w:rsidR="002D4328" w:rsidRPr="00E974E3" w:rsidRDefault="002D4328" w:rsidP="008746A5">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166D05" w:rsidRPr="00E974E3">
        <w:rPr>
          <w:rFonts w:ascii="Arial" w:hAnsi="Arial" w:cs="Arial"/>
          <w:lang w:val="en-CA"/>
        </w:rPr>
        <w:t xml:space="preserve">Stewart and </w:t>
      </w:r>
      <w:r w:rsidRPr="00E974E3">
        <w:rPr>
          <w:rFonts w:ascii="Arial" w:hAnsi="Arial" w:cs="Arial"/>
          <w:lang w:val="en-CA"/>
        </w:rPr>
        <w:t xml:space="preserve">King, ‘Death in </w:t>
      </w:r>
      <w:proofErr w:type="spellStart"/>
      <w:r w:rsidRPr="00E974E3">
        <w:rPr>
          <w:rFonts w:ascii="Arial" w:hAnsi="Arial" w:cs="Arial"/>
          <w:lang w:val="en-CA"/>
        </w:rPr>
        <w:t>Llantrisant</w:t>
      </w:r>
      <w:proofErr w:type="spellEnd"/>
      <w:r w:rsidR="00166D05" w:rsidRPr="00E974E3">
        <w:rPr>
          <w:rFonts w:ascii="Arial" w:hAnsi="Arial" w:cs="Arial"/>
          <w:lang w:val="en-CA"/>
        </w:rPr>
        <w:t>’</w:t>
      </w:r>
      <w:r w:rsidRPr="00E974E3">
        <w:rPr>
          <w:rFonts w:ascii="Arial" w:hAnsi="Arial" w:cs="Arial"/>
          <w:lang w:val="en-US"/>
        </w:rPr>
        <w:t xml:space="preserve">:  82; </w:t>
      </w:r>
      <w:r w:rsidRPr="00E974E3">
        <w:rPr>
          <w:rFonts w:ascii="Arial" w:hAnsi="Arial" w:cs="Arial"/>
        </w:rPr>
        <w:t xml:space="preserve">S. King, ‘Regional patterns in the experiences and treatment of the sick poor, 1800-40: rights, obligations and duties in the rhetoric of paupers,’ </w:t>
      </w:r>
      <w:r w:rsidRPr="00E974E3">
        <w:rPr>
          <w:rFonts w:ascii="Arial" w:hAnsi="Arial" w:cs="Arial"/>
          <w:i/>
        </w:rPr>
        <w:t>Family and Community History</w:t>
      </w:r>
      <w:r w:rsidRPr="00E974E3">
        <w:rPr>
          <w:rFonts w:ascii="Arial" w:hAnsi="Arial" w:cs="Arial"/>
        </w:rPr>
        <w:t xml:space="preserve"> 10 (2007):  61-75;</w:t>
      </w:r>
      <w:r w:rsidRPr="00E974E3">
        <w:rPr>
          <w:rFonts w:ascii="Arial" w:hAnsi="Arial" w:cs="Arial"/>
          <w:iCs/>
          <w:lang w:val="en-CA"/>
        </w:rPr>
        <w:t xml:space="preserve"> see also </w:t>
      </w:r>
      <w:r w:rsidRPr="00E974E3">
        <w:rPr>
          <w:rFonts w:ascii="Arial" w:hAnsi="Arial" w:cs="Arial"/>
        </w:rPr>
        <w:t xml:space="preserve">P. Carter and S. King, ‘Keeping track: modern methods, administration and the Victorian poor law 1834–1871’ </w:t>
      </w:r>
      <w:r w:rsidRPr="00E974E3">
        <w:rPr>
          <w:rFonts w:ascii="Arial" w:hAnsi="Arial" w:cs="Arial"/>
          <w:i/>
        </w:rPr>
        <w:t>Archives</w:t>
      </w:r>
      <w:r w:rsidRPr="00E974E3">
        <w:rPr>
          <w:rFonts w:ascii="Arial" w:hAnsi="Arial" w:cs="Arial"/>
        </w:rPr>
        <w:t xml:space="preserve"> 40, 128 (2014):  43.</w:t>
      </w:r>
    </w:p>
  </w:endnote>
  <w:endnote w:id="12">
    <w:p w14:paraId="5164B81C" w14:textId="69093504" w:rsidR="002D4328" w:rsidRPr="00E974E3" w:rsidRDefault="002D4328" w:rsidP="008746A5">
      <w:pPr>
        <w:pStyle w:val="EndnoteText"/>
        <w:rPr>
          <w:rFonts w:ascii="Arial" w:hAnsi="Arial" w:cs="Arial"/>
          <w:lang w:val="en-CA"/>
        </w:rPr>
      </w:pPr>
      <w:r w:rsidRPr="00E974E3">
        <w:rPr>
          <w:rStyle w:val="EndnoteReference"/>
          <w:rFonts w:ascii="Arial" w:hAnsi="Arial" w:cs="Arial"/>
        </w:rPr>
        <w:endnoteRef/>
      </w:r>
      <w:r w:rsidRPr="00E974E3">
        <w:rPr>
          <w:rFonts w:ascii="Arial" w:hAnsi="Arial" w:cs="Arial"/>
        </w:rPr>
        <w:t xml:space="preserve"> See: A. Tomkins, </w:t>
      </w:r>
      <w:r w:rsidRPr="00E974E3">
        <w:rPr>
          <w:rFonts w:ascii="Arial" w:hAnsi="Arial" w:cs="Arial"/>
          <w:i/>
        </w:rPr>
        <w:t xml:space="preserve">Medical Misadventure in an Age of </w:t>
      </w:r>
      <w:proofErr w:type="spellStart"/>
      <w:r w:rsidRPr="00E974E3">
        <w:rPr>
          <w:rFonts w:ascii="Arial" w:hAnsi="Arial" w:cs="Arial"/>
          <w:i/>
        </w:rPr>
        <w:t>Professionalisation</w:t>
      </w:r>
      <w:proofErr w:type="spellEnd"/>
      <w:r w:rsidRPr="00E974E3">
        <w:rPr>
          <w:rFonts w:ascii="Arial" w:hAnsi="Arial" w:cs="Arial"/>
          <w:i/>
        </w:rPr>
        <w:t>, 1780-1890</w:t>
      </w:r>
      <w:r w:rsidRPr="00E974E3">
        <w:rPr>
          <w:rFonts w:ascii="Arial" w:hAnsi="Arial" w:cs="Arial"/>
        </w:rPr>
        <w:t xml:space="preserve"> (Manchester,</w:t>
      </w:r>
      <w:r w:rsidR="007C0BD2" w:rsidRPr="00E974E3">
        <w:rPr>
          <w:rFonts w:ascii="Arial" w:hAnsi="Arial" w:cs="Arial"/>
        </w:rPr>
        <w:t xml:space="preserve"> Manchester University Press,</w:t>
      </w:r>
      <w:r w:rsidRPr="00E974E3">
        <w:rPr>
          <w:rFonts w:ascii="Arial" w:hAnsi="Arial" w:cs="Arial"/>
        </w:rPr>
        <w:t xml:space="preserve"> 2017): </w:t>
      </w:r>
      <w:r w:rsidR="007C0BD2" w:rsidRPr="00E974E3">
        <w:rPr>
          <w:rFonts w:ascii="Arial" w:hAnsi="Arial" w:cs="Arial"/>
        </w:rPr>
        <w:t xml:space="preserve"> 117-156; I.</w:t>
      </w:r>
      <w:r w:rsidRPr="00E974E3">
        <w:rPr>
          <w:rFonts w:ascii="Arial" w:hAnsi="Arial" w:cs="Arial"/>
        </w:rPr>
        <w:t xml:space="preserve"> Loudon, </w:t>
      </w:r>
      <w:r w:rsidRPr="00E974E3">
        <w:rPr>
          <w:rFonts w:ascii="Arial" w:hAnsi="Arial" w:cs="Arial"/>
          <w:i/>
        </w:rPr>
        <w:t>Medical Care and the General Practitioner, 1750-1850</w:t>
      </w:r>
      <w:r w:rsidR="00FC1F3E" w:rsidRPr="00E974E3">
        <w:rPr>
          <w:rFonts w:ascii="Arial" w:hAnsi="Arial" w:cs="Arial"/>
        </w:rPr>
        <w:t xml:space="preserve"> (Oxford, 1986), </w:t>
      </w:r>
      <w:r w:rsidRPr="00E974E3">
        <w:rPr>
          <w:rFonts w:ascii="Arial" w:hAnsi="Arial" w:cs="Arial"/>
        </w:rPr>
        <w:t xml:space="preserve">77; </w:t>
      </w:r>
      <w:r w:rsidRPr="00E974E3">
        <w:rPr>
          <w:rFonts w:ascii="Arial" w:hAnsi="Arial" w:cs="Arial"/>
          <w:lang w:val="en-CA"/>
        </w:rPr>
        <w:t xml:space="preserve">M. A. Crowther, ‘Paupers or patients? Obstacles to professionalization in the poor law medical service before 1914’, </w:t>
      </w:r>
      <w:r w:rsidRPr="00E974E3">
        <w:rPr>
          <w:rFonts w:ascii="Arial" w:hAnsi="Arial" w:cs="Arial"/>
          <w:i/>
          <w:lang w:val="en-CA"/>
        </w:rPr>
        <w:t>Journal of the History of Medicine and allied Sciences</w:t>
      </w:r>
      <w:r w:rsidRPr="00E974E3">
        <w:rPr>
          <w:rFonts w:ascii="Arial" w:hAnsi="Arial" w:cs="Arial"/>
          <w:lang w:val="en-CA"/>
        </w:rPr>
        <w:t xml:space="preserve"> 39, 1 (1984); </w:t>
      </w:r>
      <w:r w:rsidRPr="00E974E3">
        <w:rPr>
          <w:rFonts w:ascii="Arial" w:hAnsi="Arial" w:cs="Arial"/>
          <w:iCs/>
          <w:lang w:val="en-CA"/>
        </w:rPr>
        <w:t xml:space="preserve">Price, </w:t>
      </w:r>
      <w:r w:rsidRPr="00E974E3">
        <w:rPr>
          <w:rFonts w:ascii="Arial" w:hAnsi="Arial" w:cs="Arial"/>
          <w:i/>
          <w:iCs/>
          <w:lang w:val="en-CA"/>
        </w:rPr>
        <w:t>Medical Negligence</w:t>
      </w:r>
      <w:r w:rsidRPr="00E974E3">
        <w:rPr>
          <w:rFonts w:ascii="Arial" w:hAnsi="Arial" w:cs="Arial"/>
          <w:iCs/>
          <w:lang w:val="en-CA"/>
        </w:rPr>
        <w:t>:  20-47</w:t>
      </w:r>
      <w:r w:rsidRPr="00E974E3">
        <w:rPr>
          <w:rFonts w:ascii="Arial" w:hAnsi="Arial" w:cs="Arial"/>
        </w:rPr>
        <w:t xml:space="preserve">; </w:t>
      </w:r>
      <w:r w:rsidRPr="00E974E3">
        <w:rPr>
          <w:rFonts w:ascii="Arial" w:hAnsi="Arial" w:cs="Arial"/>
          <w:lang w:val="en-CA"/>
        </w:rPr>
        <w:t xml:space="preserve">S. Wildman, </w:t>
      </w:r>
      <w:r w:rsidRPr="00E974E3">
        <w:rPr>
          <w:rFonts w:ascii="Arial" w:hAnsi="Arial" w:cs="Arial"/>
          <w:i/>
          <w:lang w:val="en-CA"/>
        </w:rPr>
        <w:t>‘He’s only a pauper whom nobody owns’: Caring for the Sick in the Warwickshire Poor Law Unions 1834-1914</w:t>
      </w:r>
      <w:r w:rsidRPr="00E974E3">
        <w:rPr>
          <w:rFonts w:ascii="Arial" w:hAnsi="Arial" w:cs="Arial"/>
          <w:lang w:val="en-CA"/>
        </w:rPr>
        <w:t xml:space="preserve"> (Stratford-upon-Avon, 2016)</w:t>
      </w:r>
      <w:r w:rsidRPr="00E974E3">
        <w:rPr>
          <w:rFonts w:ascii="Arial" w:hAnsi="Arial" w:cs="Arial"/>
        </w:rPr>
        <w:t>:  29.</w:t>
      </w:r>
    </w:p>
  </w:endnote>
  <w:endnote w:id="13">
    <w:p w14:paraId="1FF7E703" w14:textId="033AA89A" w:rsidR="002D4328" w:rsidRPr="00E974E3" w:rsidRDefault="002D4328" w:rsidP="008746A5">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S. King, ‘The role of complaint in establishing the rights of the patient and the duties of the doctor, 1800</w:t>
      </w:r>
      <w:r w:rsidR="007C0BD2" w:rsidRPr="00E974E3">
        <w:rPr>
          <w:rFonts w:ascii="Arial" w:hAnsi="Arial" w:cs="Arial"/>
          <w:lang w:val="en-CA"/>
        </w:rPr>
        <w:t xml:space="preserve">-70s’, in J. </w:t>
      </w:r>
      <w:proofErr w:type="spellStart"/>
      <w:r w:rsidR="007C0BD2" w:rsidRPr="00E974E3">
        <w:rPr>
          <w:rFonts w:ascii="Arial" w:hAnsi="Arial" w:cs="Arial"/>
          <w:lang w:val="en-CA"/>
        </w:rPr>
        <w:t>Reinarz</w:t>
      </w:r>
      <w:proofErr w:type="spellEnd"/>
      <w:r w:rsidR="007C0BD2" w:rsidRPr="00E974E3">
        <w:rPr>
          <w:rFonts w:ascii="Arial" w:hAnsi="Arial" w:cs="Arial"/>
          <w:lang w:val="en-CA"/>
        </w:rPr>
        <w:t xml:space="preserve"> and R.</w:t>
      </w:r>
      <w:r w:rsidRPr="00E974E3">
        <w:rPr>
          <w:rFonts w:ascii="Arial" w:hAnsi="Arial" w:cs="Arial"/>
          <w:lang w:val="en-CA"/>
        </w:rPr>
        <w:t xml:space="preserve"> </w:t>
      </w:r>
      <w:proofErr w:type="spellStart"/>
      <w:r w:rsidRPr="00E974E3">
        <w:rPr>
          <w:rFonts w:ascii="Arial" w:hAnsi="Arial" w:cs="Arial"/>
          <w:lang w:val="en-CA"/>
        </w:rPr>
        <w:t>Wynter</w:t>
      </w:r>
      <w:proofErr w:type="spellEnd"/>
      <w:r w:rsidRPr="00E974E3">
        <w:rPr>
          <w:rFonts w:ascii="Arial" w:hAnsi="Arial" w:cs="Arial"/>
          <w:lang w:val="en-CA"/>
        </w:rPr>
        <w:t xml:space="preserve"> (</w:t>
      </w:r>
      <w:proofErr w:type="spellStart"/>
      <w:proofErr w:type="gramStart"/>
      <w:r w:rsidRPr="00E974E3">
        <w:rPr>
          <w:rFonts w:ascii="Arial" w:hAnsi="Arial" w:cs="Arial"/>
          <w:lang w:val="en-CA"/>
        </w:rPr>
        <w:t>eds</w:t>
      </w:r>
      <w:proofErr w:type="spellEnd"/>
      <w:proofErr w:type="gramEnd"/>
      <w:r w:rsidRPr="00E974E3">
        <w:rPr>
          <w:rFonts w:ascii="Arial" w:hAnsi="Arial" w:cs="Arial"/>
          <w:lang w:val="en-CA"/>
        </w:rPr>
        <w:t xml:space="preserve">), </w:t>
      </w:r>
      <w:r w:rsidRPr="00E974E3">
        <w:rPr>
          <w:rFonts w:ascii="Arial" w:hAnsi="Arial" w:cs="Arial"/>
          <w:i/>
          <w:lang w:val="en-CA"/>
        </w:rPr>
        <w:t>Complaints, Controversies and Grievances in Medicine: Historical and Social Science Perspectives</w:t>
      </w:r>
      <w:r w:rsidRPr="00E974E3">
        <w:rPr>
          <w:rFonts w:ascii="Arial" w:hAnsi="Arial" w:cs="Arial"/>
          <w:lang w:val="en-CA"/>
        </w:rPr>
        <w:t xml:space="preserve"> (London, 2015):   164.</w:t>
      </w:r>
    </w:p>
  </w:endnote>
  <w:endnote w:id="14">
    <w:p w14:paraId="04661398" w14:textId="2CB5F9BC" w:rsidR="002D4328" w:rsidRPr="00E974E3" w:rsidRDefault="002D4328" w:rsidP="008746A5">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P. Carter and S. King, ‘Keeping track: modern methods, administration and the Victorian poor law 1834–1871’ </w:t>
      </w:r>
      <w:r w:rsidRPr="00E974E3">
        <w:rPr>
          <w:rFonts w:ascii="Arial" w:hAnsi="Arial" w:cs="Arial"/>
          <w:i/>
        </w:rPr>
        <w:t>Archives</w:t>
      </w:r>
      <w:r w:rsidRPr="00E974E3">
        <w:rPr>
          <w:rFonts w:ascii="Arial" w:hAnsi="Arial" w:cs="Arial"/>
        </w:rPr>
        <w:t xml:space="preserve"> 40, 128 (2014):  43.</w:t>
      </w:r>
    </w:p>
  </w:endnote>
  <w:endnote w:id="15">
    <w:p w14:paraId="5B0A55DB" w14:textId="6F3AD0F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A. Clark, ‘Wild Workhouse Girls and the Liberal Imperial State in Mid-Nineteenth Century Ireland’, </w:t>
      </w:r>
      <w:r w:rsidRPr="00E974E3">
        <w:rPr>
          <w:rFonts w:ascii="Arial" w:hAnsi="Arial" w:cs="Arial"/>
          <w:i/>
        </w:rPr>
        <w:t>Journal of Social History</w:t>
      </w:r>
      <w:r w:rsidRPr="00E974E3">
        <w:rPr>
          <w:rFonts w:ascii="Arial" w:hAnsi="Arial" w:cs="Arial"/>
        </w:rPr>
        <w:t xml:space="preserve"> 39 (2)</w:t>
      </w:r>
      <w:r w:rsidR="00854BE3" w:rsidRPr="00E974E3">
        <w:rPr>
          <w:rFonts w:ascii="Arial" w:hAnsi="Arial" w:cs="Arial"/>
        </w:rPr>
        <w:t>, 389</w:t>
      </w:r>
      <w:r w:rsidRPr="00E974E3">
        <w:rPr>
          <w:rFonts w:ascii="Arial" w:hAnsi="Arial" w:cs="Arial"/>
        </w:rPr>
        <w:t>-409.</w:t>
      </w:r>
    </w:p>
  </w:endnote>
  <w:endnote w:id="16">
    <w:p w14:paraId="368C8FC5" w14:textId="4B187CDF" w:rsidR="002D4328" w:rsidRPr="00E974E3" w:rsidRDefault="002D4328" w:rsidP="008746A5">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R. Klein, </w:t>
      </w:r>
      <w:r w:rsidRPr="00E974E3">
        <w:rPr>
          <w:rFonts w:ascii="Arial" w:hAnsi="Arial" w:cs="Arial"/>
          <w:i/>
        </w:rPr>
        <w:t>Complaints against Doctors: A Study in Professional Accountability</w:t>
      </w:r>
      <w:r w:rsidRPr="00E974E3">
        <w:rPr>
          <w:rFonts w:ascii="Arial" w:hAnsi="Arial" w:cs="Arial"/>
        </w:rPr>
        <w:t xml:space="preserve"> (London: Charles Knight, 1973): 105-6;</w:t>
      </w:r>
      <w:r w:rsidRPr="00E974E3">
        <w:rPr>
          <w:rFonts w:ascii="Arial" w:eastAsiaTheme="minorHAnsi" w:hAnsi="Arial" w:cs="Arial"/>
          <w:iCs/>
          <w:color w:val="333333"/>
          <w:shd w:val="clear" w:color="auto" w:fill="FFFFFF"/>
          <w:lang w:val="en-CA"/>
        </w:rPr>
        <w:t xml:space="preserve"> K. </w:t>
      </w:r>
      <w:r w:rsidRPr="00E974E3">
        <w:rPr>
          <w:rFonts w:ascii="Arial" w:hAnsi="Arial" w:cs="Arial"/>
          <w:iCs/>
          <w:lang w:val="en-CA"/>
        </w:rPr>
        <w:t>Price, ‘</w:t>
      </w:r>
      <w:proofErr w:type="gramStart"/>
      <w:r w:rsidRPr="00E974E3">
        <w:rPr>
          <w:rFonts w:ascii="Arial" w:hAnsi="Arial" w:cs="Arial"/>
          <w:iCs/>
          <w:lang w:val="en-CA"/>
        </w:rPr>
        <w:t>The</w:t>
      </w:r>
      <w:proofErr w:type="gramEnd"/>
      <w:r w:rsidRPr="00E974E3">
        <w:rPr>
          <w:rFonts w:ascii="Arial" w:hAnsi="Arial" w:cs="Arial"/>
          <w:iCs/>
          <w:lang w:val="en-CA"/>
        </w:rPr>
        <w:t xml:space="preserve"> shape of the iceberg: Doctors and neglect under the New Poor Law, c.1871-1900’, in </w:t>
      </w:r>
      <w:proofErr w:type="spellStart"/>
      <w:r w:rsidRPr="00E974E3">
        <w:rPr>
          <w:rFonts w:ascii="Arial" w:hAnsi="Arial" w:cs="Arial"/>
          <w:iCs/>
          <w:lang w:val="en-CA"/>
        </w:rPr>
        <w:t>Reinarz</w:t>
      </w:r>
      <w:proofErr w:type="spellEnd"/>
      <w:r w:rsidRPr="00E974E3">
        <w:rPr>
          <w:rFonts w:ascii="Arial" w:hAnsi="Arial" w:cs="Arial"/>
          <w:iCs/>
          <w:lang w:val="en-CA"/>
        </w:rPr>
        <w:t xml:space="preserve"> and </w:t>
      </w:r>
      <w:proofErr w:type="spellStart"/>
      <w:r w:rsidRPr="00E974E3">
        <w:rPr>
          <w:rFonts w:ascii="Arial" w:hAnsi="Arial" w:cs="Arial"/>
          <w:iCs/>
          <w:lang w:val="en-CA"/>
        </w:rPr>
        <w:t>Wynter</w:t>
      </w:r>
      <w:proofErr w:type="spellEnd"/>
      <w:r w:rsidRPr="00E974E3">
        <w:rPr>
          <w:rFonts w:ascii="Arial" w:hAnsi="Arial" w:cs="Arial"/>
          <w:iCs/>
          <w:lang w:val="en-CA"/>
        </w:rPr>
        <w:t xml:space="preserve">, </w:t>
      </w:r>
      <w:r w:rsidRPr="00E974E3">
        <w:rPr>
          <w:rFonts w:ascii="Arial" w:hAnsi="Arial" w:cs="Arial"/>
          <w:i/>
          <w:iCs/>
          <w:lang w:val="en-CA"/>
        </w:rPr>
        <w:t>Complaints, Controversies and Grievances</w:t>
      </w:r>
      <w:r w:rsidRPr="00E974E3">
        <w:rPr>
          <w:rFonts w:ascii="Arial" w:hAnsi="Arial" w:cs="Arial"/>
          <w:iCs/>
          <w:lang w:val="en-CA"/>
        </w:rPr>
        <w:t>:  129-146.</w:t>
      </w:r>
    </w:p>
  </w:endnote>
  <w:endnote w:id="17">
    <w:p w14:paraId="497450E8" w14:textId="5B553F01" w:rsidR="002D4328" w:rsidRPr="00E974E3" w:rsidRDefault="002D4328" w:rsidP="00D645E4">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166D05" w:rsidRPr="00E974E3">
        <w:rPr>
          <w:rFonts w:ascii="Arial" w:hAnsi="Arial" w:cs="Arial"/>
          <w:lang w:val="en-CA"/>
        </w:rPr>
        <w:t xml:space="preserve">Stewart and </w:t>
      </w:r>
      <w:r w:rsidR="00E974E3" w:rsidRPr="00E974E3">
        <w:rPr>
          <w:rFonts w:ascii="Arial" w:hAnsi="Arial" w:cs="Arial"/>
          <w:lang w:val="en-CA"/>
        </w:rPr>
        <w:t xml:space="preserve">King, ‘Death in </w:t>
      </w:r>
      <w:proofErr w:type="spellStart"/>
      <w:r w:rsidR="00E974E3" w:rsidRPr="00E974E3">
        <w:rPr>
          <w:rFonts w:ascii="Arial" w:hAnsi="Arial" w:cs="Arial"/>
          <w:lang w:val="en-CA"/>
        </w:rPr>
        <w:t>Llantrisant</w:t>
      </w:r>
      <w:proofErr w:type="spellEnd"/>
      <w:r w:rsidR="00E974E3" w:rsidRPr="00E974E3">
        <w:rPr>
          <w:rFonts w:ascii="Arial" w:hAnsi="Arial" w:cs="Arial"/>
        </w:rPr>
        <w:t>: 61</w:t>
      </w:r>
      <w:r w:rsidRPr="00E974E3">
        <w:rPr>
          <w:rFonts w:ascii="Arial" w:hAnsi="Arial" w:cs="Arial"/>
        </w:rPr>
        <w:t xml:space="preserve">-75; T. </w:t>
      </w:r>
      <w:proofErr w:type="spellStart"/>
      <w:r w:rsidRPr="00E974E3">
        <w:rPr>
          <w:rFonts w:ascii="Arial" w:hAnsi="Arial" w:cs="Arial"/>
        </w:rPr>
        <w:t>Sokoll</w:t>
      </w:r>
      <w:proofErr w:type="spellEnd"/>
      <w:r w:rsidRPr="00E974E3">
        <w:rPr>
          <w:rFonts w:ascii="Arial" w:hAnsi="Arial" w:cs="Arial"/>
        </w:rPr>
        <w:t xml:space="preserve">, </w:t>
      </w:r>
      <w:r w:rsidRPr="00E974E3">
        <w:rPr>
          <w:rFonts w:ascii="Arial" w:hAnsi="Arial" w:cs="Arial"/>
          <w:i/>
        </w:rPr>
        <w:t>Essex Pauper Letters, 1731-1837</w:t>
      </w:r>
      <w:r w:rsidRPr="00E974E3">
        <w:rPr>
          <w:rFonts w:ascii="Arial" w:hAnsi="Arial" w:cs="Arial"/>
        </w:rPr>
        <w:t xml:space="preserve"> (Oxford, 2001); T. </w:t>
      </w:r>
      <w:proofErr w:type="spellStart"/>
      <w:r w:rsidRPr="00E974E3">
        <w:rPr>
          <w:rFonts w:ascii="Arial" w:hAnsi="Arial" w:cs="Arial"/>
        </w:rPr>
        <w:t>Sokoll</w:t>
      </w:r>
      <w:proofErr w:type="spellEnd"/>
      <w:r w:rsidRPr="00E974E3">
        <w:rPr>
          <w:rFonts w:ascii="Arial" w:hAnsi="Arial" w:cs="Arial"/>
        </w:rPr>
        <w:t xml:space="preserve">, ‘Writing for relief: rhetoric in English pauper letters, 1800-1834,’ in: A. </w:t>
      </w:r>
      <w:proofErr w:type="spellStart"/>
      <w:r w:rsidRPr="00E974E3">
        <w:rPr>
          <w:rFonts w:ascii="Arial" w:hAnsi="Arial" w:cs="Arial"/>
        </w:rPr>
        <w:t>Gestrich</w:t>
      </w:r>
      <w:proofErr w:type="spellEnd"/>
      <w:r w:rsidRPr="00E974E3">
        <w:rPr>
          <w:rFonts w:ascii="Arial" w:hAnsi="Arial" w:cs="Arial"/>
        </w:rPr>
        <w:t>, S. King and L. Raphael (</w:t>
      </w:r>
      <w:proofErr w:type="spellStart"/>
      <w:proofErr w:type="gramStart"/>
      <w:r w:rsidRPr="00E974E3">
        <w:rPr>
          <w:rFonts w:ascii="Arial" w:hAnsi="Arial" w:cs="Arial"/>
        </w:rPr>
        <w:t>eds</w:t>
      </w:r>
      <w:proofErr w:type="spellEnd"/>
      <w:proofErr w:type="gramEnd"/>
      <w:r w:rsidRPr="00E974E3">
        <w:rPr>
          <w:rFonts w:ascii="Arial" w:hAnsi="Arial" w:cs="Arial"/>
        </w:rPr>
        <w:t xml:space="preserve">), </w:t>
      </w:r>
      <w:r w:rsidRPr="00E974E3">
        <w:rPr>
          <w:rFonts w:ascii="Arial" w:hAnsi="Arial" w:cs="Arial"/>
          <w:i/>
        </w:rPr>
        <w:t>Being Poor in Modern Europe: Historical Perspectives</w:t>
      </w:r>
      <w:r w:rsidRPr="00E974E3">
        <w:rPr>
          <w:rFonts w:ascii="Arial" w:hAnsi="Arial" w:cs="Arial"/>
        </w:rPr>
        <w:t xml:space="preserve"> (Oxford, 2006):  91-112.</w:t>
      </w:r>
    </w:p>
  </w:endnote>
  <w:endnote w:id="18">
    <w:p w14:paraId="0E50B40B" w14:textId="44ED252B" w:rsidR="002D4328" w:rsidRPr="00E974E3" w:rsidRDefault="002D4328" w:rsidP="00FD6F1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proofErr w:type="spellStart"/>
      <w:r w:rsidRPr="00E974E3">
        <w:rPr>
          <w:rFonts w:ascii="Arial" w:hAnsi="Arial" w:cs="Arial"/>
          <w:lang w:val="en-CA"/>
        </w:rPr>
        <w:t>Navickas</w:t>
      </w:r>
      <w:proofErr w:type="spellEnd"/>
      <w:r w:rsidRPr="00E974E3">
        <w:rPr>
          <w:rFonts w:ascii="Arial" w:hAnsi="Arial" w:cs="Arial"/>
          <w:lang w:val="en-CA"/>
        </w:rPr>
        <w:t>, ‘The “Bastilles” of the constitution’:  116-122</w:t>
      </w:r>
      <w:r w:rsidR="00854BE3" w:rsidRPr="00E974E3">
        <w:rPr>
          <w:rFonts w:ascii="Arial" w:hAnsi="Arial" w:cs="Arial"/>
          <w:lang w:val="en-CA"/>
        </w:rPr>
        <w:t>; Cox</w:t>
      </w:r>
      <w:r w:rsidR="007C0BD2" w:rsidRPr="00E974E3">
        <w:rPr>
          <w:rFonts w:ascii="Arial" w:hAnsi="Arial" w:cs="Arial"/>
        </w:rPr>
        <w:t xml:space="preserve"> </w:t>
      </w:r>
      <w:r w:rsidRPr="00E974E3">
        <w:rPr>
          <w:rFonts w:ascii="Arial" w:hAnsi="Arial" w:cs="Arial"/>
        </w:rPr>
        <w:t xml:space="preserve">and </w:t>
      </w:r>
      <w:proofErr w:type="spellStart"/>
      <w:r w:rsidRPr="00E974E3">
        <w:rPr>
          <w:rFonts w:ascii="Arial" w:hAnsi="Arial" w:cs="Arial"/>
        </w:rPr>
        <w:t>Marland</w:t>
      </w:r>
      <w:proofErr w:type="spellEnd"/>
      <w:r w:rsidRPr="00E974E3">
        <w:rPr>
          <w:rFonts w:ascii="Arial" w:hAnsi="Arial" w:cs="Arial"/>
        </w:rPr>
        <w:t>, ‘Broken Minds</w:t>
      </w:r>
      <w:r w:rsidR="00854BE3" w:rsidRPr="00E974E3">
        <w:rPr>
          <w:rFonts w:ascii="Arial" w:hAnsi="Arial" w:cs="Arial"/>
        </w:rPr>
        <w:t xml:space="preserve">’: </w:t>
      </w:r>
      <w:r w:rsidRPr="00E974E3">
        <w:rPr>
          <w:rFonts w:ascii="Arial" w:hAnsi="Arial" w:cs="Arial"/>
        </w:rPr>
        <w:t>688–710.</w:t>
      </w:r>
    </w:p>
  </w:endnote>
  <w:endnote w:id="19">
    <w:p w14:paraId="4917C2B7" w14:textId="21B8F23E" w:rsidR="002D4328" w:rsidRPr="00E974E3" w:rsidRDefault="002D4328" w:rsidP="00E63C37">
      <w:pPr>
        <w:pStyle w:val="EndnoteText"/>
        <w:rPr>
          <w:rFonts w:ascii="Arial" w:hAnsi="Arial" w:cs="Arial"/>
        </w:rPr>
      </w:pPr>
      <w:r w:rsidRPr="00E974E3">
        <w:rPr>
          <w:rStyle w:val="EndnoteReference"/>
          <w:rFonts w:ascii="Arial" w:hAnsi="Arial" w:cs="Arial"/>
        </w:rPr>
        <w:endnoteRef/>
      </w:r>
      <w:r w:rsidR="00884129" w:rsidRPr="00E974E3">
        <w:rPr>
          <w:rFonts w:ascii="Arial" w:hAnsi="Arial" w:cs="Arial"/>
        </w:rPr>
        <w:t xml:space="preserve"> Clarke, ‘Going Public’</w:t>
      </w:r>
      <w:r w:rsidRPr="00E974E3">
        <w:rPr>
          <w:rFonts w:ascii="Arial" w:hAnsi="Arial" w:cs="Arial"/>
        </w:rPr>
        <w:t xml:space="preserve">: </w:t>
      </w:r>
      <w:r w:rsidRPr="00E974E3">
        <w:rPr>
          <w:rFonts w:ascii="Arial" w:hAnsi="Arial" w:cs="Arial"/>
          <w:lang w:val="en-CA"/>
        </w:rPr>
        <w:t xml:space="preserve"> 261 and 265.</w:t>
      </w:r>
    </w:p>
  </w:endnote>
  <w:endnote w:id="20">
    <w:p w14:paraId="2F95D394" w14:textId="446C1A9B" w:rsidR="002D4328" w:rsidRPr="00E974E3" w:rsidRDefault="002D4328" w:rsidP="00E63C37">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Lunn and Day, ‘Deference and defiance</w:t>
      </w:r>
      <w:r w:rsidRPr="00E974E3">
        <w:rPr>
          <w:rFonts w:ascii="Arial" w:hAnsi="Arial" w:cs="Arial"/>
        </w:rPr>
        <w:t xml:space="preserve">:  132, 139; P. </w:t>
      </w:r>
      <w:proofErr w:type="spellStart"/>
      <w:r w:rsidRPr="00E974E3">
        <w:rPr>
          <w:rFonts w:ascii="Arial" w:hAnsi="Arial" w:cs="Arial"/>
        </w:rPr>
        <w:t>Woodfine</w:t>
      </w:r>
      <w:proofErr w:type="spellEnd"/>
      <w:r w:rsidRPr="00E974E3">
        <w:rPr>
          <w:rFonts w:ascii="Arial" w:hAnsi="Arial" w:cs="Arial"/>
        </w:rPr>
        <w:t xml:space="preserve">, ‘Debtors, prisons, and petitions in eighteenth-century England’, </w:t>
      </w:r>
      <w:r w:rsidRPr="00E974E3">
        <w:rPr>
          <w:rFonts w:ascii="Arial" w:hAnsi="Arial" w:cs="Arial"/>
          <w:i/>
        </w:rPr>
        <w:t>Eighteenth-Century Life</w:t>
      </w:r>
      <w:r w:rsidRPr="00E974E3">
        <w:rPr>
          <w:rFonts w:ascii="Arial" w:hAnsi="Arial" w:cs="Arial"/>
        </w:rPr>
        <w:t xml:space="preserve"> 30, 2 (2006):  7.</w:t>
      </w:r>
    </w:p>
  </w:endnote>
  <w:endnote w:id="21">
    <w:p w14:paraId="21E29A3A" w14:textId="02457585" w:rsidR="002D4328" w:rsidRPr="00E974E3" w:rsidRDefault="002D4328" w:rsidP="00D645E4">
      <w:pPr>
        <w:pStyle w:val="EndnoteText"/>
        <w:rPr>
          <w:rFonts w:ascii="Arial" w:hAnsi="Arial" w:cs="Arial"/>
          <w:lang w:val="en-CA"/>
        </w:rPr>
      </w:pPr>
      <w:r w:rsidRPr="00E974E3">
        <w:rPr>
          <w:rStyle w:val="EndnoteReference"/>
          <w:rFonts w:ascii="Arial" w:hAnsi="Arial" w:cs="Arial"/>
        </w:rPr>
        <w:endnoteRef/>
      </w:r>
      <w:r w:rsidRPr="00E974E3">
        <w:rPr>
          <w:rFonts w:ascii="Arial" w:hAnsi="Arial" w:cs="Arial"/>
        </w:rPr>
        <w:t xml:space="preserve"> See: </w:t>
      </w:r>
      <w:proofErr w:type="spellStart"/>
      <w:r w:rsidRPr="00E974E3">
        <w:rPr>
          <w:rFonts w:ascii="Arial" w:hAnsi="Arial" w:cs="Arial"/>
          <w:lang w:val="en-CA"/>
        </w:rPr>
        <w:t>Woodfine</w:t>
      </w:r>
      <w:proofErr w:type="spellEnd"/>
      <w:r w:rsidRPr="00E974E3">
        <w:rPr>
          <w:rFonts w:ascii="Arial" w:hAnsi="Arial" w:cs="Arial"/>
          <w:lang w:val="en-CA"/>
        </w:rPr>
        <w:t>, ‘Debtors, prisons, and petitions’:  7.</w:t>
      </w:r>
    </w:p>
  </w:endnote>
  <w:endnote w:id="22">
    <w:p w14:paraId="0D436529" w14:textId="4CC7F7C1" w:rsidR="002D4328" w:rsidRPr="00E974E3" w:rsidRDefault="002D4328" w:rsidP="00F85CD3">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For traditional views of the transportation era, see: A.G.L. Shaw, </w:t>
      </w:r>
      <w:r w:rsidRPr="00E974E3">
        <w:rPr>
          <w:rFonts w:ascii="Arial" w:hAnsi="Arial" w:cs="Arial"/>
          <w:i/>
        </w:rPr>
        <w:t>Convicts and the Colonies: a Study of Penal Transportation from Great Britain &amp; Ireland to Australia &amp; other parts of the British Empire</w:t>
      </w:r>
      <w:r w:rsidRPr="00E974E3">
        <w:rPr>
          <w:rFonts w:ascii="Arial" w:hAnsi="Arial" w:cs="Arial"/>
        </w:rPr>
        <w:t xml:space="preserve"> (London, 1998); R. Hughes, </w:t>
      </w:r>
      <w:r w:rsidRPr="00E974E3">
        <w:rPr>
          <w:rFonts w:ascii="Arial" w:hAnsi="Arial" w:cs="Arial"/>
          <w:i/>
        </w:rPr>
        <w:t>The Fatal Shore: A History of the Transportation of Convicts to Australia, 1787-1868</w:t>
      </w:r>
      <w:r w:rsidRPr="00E974E3">
        <w:rPr>
          <w:rFonts w:ascii="Arial" w:hAnsi="Arial" w:cs="Arial"/>
        </w:rPr>
        <w:t xml:space="preserve"> (London, 1987); for recent revisionist views, see:</w:t>
      </w:r>
      <w:r w:rsidRPr="00E974E3">
        <w:rPr>
          <w:rFonts w:ascii="Arial" w:eastAsiaTheme="minorHAnsi" w:hAnsi="Arial" w:cs="Arial"/>
          <w:color w:val="3A3A3A"/>
          <w:shd w:val="clear" w:color="auto" w:fill="FFFFFF"/>
          <w:lang w:val="en-CA"/>
        </w:rPr>
        <w:t xml:space="preserve"> E. </w:t>
      </w:r>
      <w:r w:rsidRPr="00E974E3">
        <w:rPr>
          <w:rFonts w:ascii="Arial" w:hAnsi="Arial" w:cs="Arial"/>
          <w:lang w:val="en-CA"/>
        </w:rPr>
        <w:t>Christopher and H. Maxwell-Stewart, 'Convict transportation in global context, c.1700-88',</w:t>
      </w:r>
      <w:r w:rsidRPr="00E974E3">
        <w:rPr>
          <w:rFonts w:ascii="Arial" w:hAnsi="Arial" w:cs="Arial"/>
        </w:rPr>
        <w:t xml:space="preserve"> in </w:t>
      </w:r>
      <w:r w:rsidRPr="00E974E3">
        <w:rPr>
          <w:rFonts w:ascii="Arial" w:hAnsi="Arial" w:cs="Arial"/>
          <w:lang w:val="en-CA"/>
        </w:rPr>
        <w:t>A. Bashford and S. Macintyre (</w:t>
      </w:r>
      <w:proofErr w:type="spellStart"/>
      <w:r w:rsidRPr="00E974E3">
        <w:rPr>
          <w:rFonts w:ascii="Arial" w:hAnsi="Arial" w:cs="Arial"/>
          <w:lang w:val="en-CA"/>
        </w:rPr>
        <w:t>eds</w:t>
      </w:r>
      <w:proofErr w:type="spellEnd"/>
      <w:r w:rsidRPr="00E974E3">
        <w:rPr>
          <w:rFonts w:ascii="Arial" w:hAnsi="Arial" w:cs="Arial"/>
          <w:lang w:val="en-CA"/>
        </w:rPr>
        <w:t xml:space="preserve">) </w:t>
      </w:r>
      <w:r w:rsidRPr="00E974E3">
        <w:rPr>
          <w:rFonts w:ascii="Arial" w:hAnsi="Arial" w:cs="Arial"/>
          <w:i/>
          <w:lang w:val="en-CA"/>
        </w:rPr>
        <w:t>The Cambridge History of Australia: Indigenous and Colonial Australia</w:t>
      </w:r>
      <w:r w:rsidRPr="00E974E3">
        <w:rPr>
          <w:rFonts w:ascii="Arial" w:hAnsi="Arial" w:cs="Arial"/>
          <w:lang w:val="en-CA"/>
        </w:rPr>
        <w:t xml:space="preserve"> (New York, 2013):  68-90;</w:t>
      </w:r>
      <w:r w:rsidRPr="00E974E3">
        <w:rPr>
          <w:rFonts w:ascii="Arial" w:hAnsi="Arial" w:cs="Arial"/>
        </w:rPr>
        <w:t xml:space="preserve"> C. Anderson, ‘Transnational Histories of Penal Transportation: Punishment, Labour and Governance in the British Imperial World, 1788–1939’, </w:t>
      </w:r>
      <w:r w:rsidRPr="00E974E3">
        <w:rPr>
          <w:rFonts w:ascii="Arial" w:hAnsi="Arial" w:cs="Arial"/>
          <w:i/>
          <w:lang w:val="en-CA"/>
        </w:rPr>
        <w:t>Australian Historical Studies</w:t>
      </w:r>
      <w:r w:rsidRPr="00E974E3">
        <w:rPr>
          <w:rFonts w:ascii="Arial" w:hAnsi="Arial" w:cs="Arial"/>
          <w:lang w:val="en-CA"/>
        </w:rPr>
        <w:t xml:space="preserve"> 47, 3 (2016):  381-397; R. </w:t>
      </w:r>
      <w:proofErr w:type="spellStart"/>
      <w:r w:rsidRPr="00E974E3">
        <w:rPr>
          <w:rFonts w:ascii="Arial" w:hAnsi="Arial" w:cs="Arial"/>
          <w:lang w:val="en-CA"/>
        </w:rPr>
        <w:t>Kippen</w:t>
      </w:r>
      <w:proofErr w:type="spellEnd"/>
      <w:r w:rsidRPr="00E974E3">
        <w:rPr>
          <w:rFonts w:ascii="Arial" w:hAnsi="Arial" w:cs="Arial"/>
          <w:lang w:val="en-CA"/>
        </w:rPr>
        <w:t xml:space="preserve"> and J. </w:t>
      </w:r>
      <w:proofErr w:type="spellStart"/>
      <w:r w:rsidRPr="00E974E3">
        <w:rPr>
          <w:rFonts w:ascii="Arial" w:hAnsi="Arial" w:cs="Arial"/>
          <w:lang w:val="en-CA"/>
        </w:rPr>
        <w:t>McCalman</w:t>
      </w:r>
      <w:proofErr w:type="spellEnd"/>
      <w:r w:rsidRPr="00E974E3">
        <w:rPr>
          <w:rFonts w:ascii="Arial" w:hAnsi="Arial" w:cs="Arial"/>
          <w:lang w:val="en-CA"/>
        </w:rPr>
        <w:t xml:space="preserve"> ‘Mortality under and after sentence of male convicts transported to Van Diemen's Land (Tasmania), 1840–1852’ </w:t>
      </w:r>
      <w:r w:rsidRPr="00E974E3">
        <w:rPr>
          <w:rFonts w:ascii="Arial" w:hAnsi="Arial" w:cs="Arial"/>
          <w:i/>
          <w:lang w:val="en-CA"/>
        </w:rPr>
        <w:t>The History of the Family</w:t>
      </w:r>
      <w:r w:rsidRPr="00E974E3">
        <w:rPr>
          <w:rFonts w:ascii="Arial" w:hAnsi="Arial" w:cs="Arial"/>
          <w:lang w:val="en-CA"/>
        </w:rPr>
        <w:t xml:space="preserve"> 20, 3 (2015):  345-365.</w:t>
      </w:r>
    </w:p>
  </w:endnote>
  <w:endnote w:id="23">
    <w:p w14:paraId="6D8C914F" w14:textId="2E7889F2"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See: N. Davie, ‘“Business as Usual”? Britain's First Women's Convict Prison, Brixton 1853-1869', </w:t>
      </w:r>
      <w:r w:rsidRPr="00E974E3">
        <w:rPr>
          <w:rFonts w:ascii="Arial" w:hAnsi="Arial" w:cs="Arial"/>
          <w:i/>
        </w:rPr>
        <w:t>Crimes and Misdemeanours: Deviance and the Law in Historical Perspective</w:t>
      </w:r>
      <w:r w:rsidRPr="00E974E3">
        <w:rPr>
          <w:rFonts w:ascii="Arial" w:hAnsi="Arial" w:cs="Arial"/>
        </w:rPr>
        <w:t xml:space="preserve"> 4, 1 (2010): 37-52.</w:t>
      </w:r>
    </w:p>
  </w:endnote>
  <w:endnote w:id="24">
    <w:p w14:paraId="44AF857A" w14:textId="74B39354" w:rsidR="002D4328" w:rsidRPr="00E974E3" w:rsidRDefault="002D4328" w:rsidP="00D852C5">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proofErr w:type="gramStart"/>
      <w:r w:rsidRPr="00E974E3">
        <w:rPr>
          <w:rFonts w:ascii="Arial" w:hAnsi="Arial" w:cs="Arial"/>
        </w:rPr>
        <w:t xml:space="preserve">De </w:t>
      </w:r>
      <w:proofErr w:type="spellStart"/>
      <w:r w:rsidRPr="00E974E3">
        <w:rPr>
          <w:rFonts w:ascii="Arial" w:hAnsi="Arial" w:cs="Arial"/>
        </w:rPr>
        <w:t>Lacey</w:t>
      </w:r>
      <w:proofErr w:type="spellEnd"/>
      <w:r w:rsidRPr="00E974E3">
        <w:rPr>
          <w:rFonts w:ascii="Arial" w:hAnsi="Arial" w:cs="Arial"/>
        </w:rPr>
        <w:t>, M. `Grinding Men Good?</w:t>
      </w:r>
      <w:proofErr w:type="gramEnd"/>
      <w:r w:rsidRPr="00E974E3">
        <w:rPr>
          <w:rFonts w:ascii="Arial" w:hAnsi="Arial" w:cs="Arial"/>
        </w:rPr>
        <w:t xml:space="preserve"> Lancashire’s Prisons at Mid Century’, in V. Bailey (</w:t>
      </w:r>
      <w:proofErr w:type="spellStart"/>
      <w:r w:rsidRPr="00E974E3">
        <w:rPr>
          <w:rFonts w:ascii="Arial" w:hAnsi="Arial" w:cs="Arial"/>
        </w:rPr>
        <w:t>ed</w:t>
      </w:r>
      <w:proofErr w:type="spellEnd"/>
      <w:r w:rsidRPr="00E974E3">
        <w:rPr>
          <w:rFonts w:ascii="Arial" w:hAnsi="Arial" w:cs="Arial"/>
        </w:rPr>
        <w:t xml:space="preserve">) </w:t>
      </w:r>
      <w:r w:rsidRPr="00E974E3">
        <w:rPr>
          <w:rFonts w:ascii="Arial" w:hAnsi="Arial" w:cs="Arial"/>
          <w:i/>
        </w:rPr>
        <w:t>Policing and Punishment in Nineteenth Century Britain</w:t>
      </w:r>
      <w:r w:rsidRPr="00E974E3">
        <w:rPr>
          <w:rFonts w:ascii="Arial" w:hAnsi="Arial" w:cs="Arial"/>
        </w:rPr>
        <w:t xml:space="preserve"> (London, 1981): 182-217; R. </w:t>
      </w:r>
      <w:proofErr w:type="spellStart"/>
      <w:r w:rsidRPr="00E974E3">
        <w:rPr>
          <w:rFonts w:ascii="Arial" w:hAnsi="Arial" w:cs="Arial"/>
        </w:rPr>
        <w:t>Tuffin</w:t>
      </w:r>
      <w:proofErr w:type="spellEnd"/>
      <w:r w:rsidRPr="00E974E3">
        <w:rPr>
          <w:rFonts w:ascii="Arial" w:hAnsi="Arial" w:cs="Arial"/>
        </w:rPr>
        <w:t xml:space="preserve">, M. Gibbs, D. Roberts, H. Maxwell-Stewart, D. Roe, J. Steele, S. Hood and B. Godfrey, ‘Landscapes of production and punishment: convict labour in the Australian context’ </w:t>
      </w:r>
      <w:r w:rsidRPr="00E974E3">
        <w:rPr>
          <w:rFonts w:ascii="Arial" w:hAnsi="Arial" w:cs="Arial"/>
          <w:i/>
        </w:rPr>
        <w:t>Journal of Social Archaeology</w:t>
      </w:r>
      <w:r w:rsidRPr="00E974E3">
        <w:rPr>
          <w:rFonts w:ascii="Arial" w:hAnsi="Arial" w:cs="Arial"/>
        </w:rPr>
        <w:t xml:space="preserve"> 18, 1 (2018):  50–76.</w:t>
      </w:r>
    </w:p>
  </w:endnote>
  <w:endnote w:id="25">
    <w:p w14:paraId="1CA063E0"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For example, see House of Commons Parliamentary Papers: ‘Dietaries for Convicts &amp; Return to an Address of the Honourable The House of Commons, 27 February 1857’; ‘Convict Prison Dietaries </w:t>
      </w:r>
      <w:r w:rsidRPr="00E974E3">
        <w:rPr>
          <w:rFonts w:ascii="Arial" w:hAnsi="Arial" w:cs="Arial"/>
          <w:lang w:val="en-CA"/>
        </w:rPr>
        <w:t xml:space="preserve">&amp; Return to an Address of the Honourable The House of Commons, 17 June </w:t>
      </w:r>
      <w:r w:rsidRPr="00E974E3">
        <w:rPr>
          <w:rFonts w:ascii="Arial" w:hAnsi="Arial" w:cs="Arial"/>
        </w:rPr>
        <w:t>1864’ and ‘Report from the Departmental Committee on Prisons, 1895 [Gladstone Report].</w:t>
      </w:r>
    </w:p>
  </w:endnote>
  <w:endnote w:id="26">
    <w:p w14:paraId="502457F3" w14:textId="303AAB66" w:rsidR="002D4328" w:rsidRPr="00E974E3" w:rsidRDefault="002D4328" w:rsidP="00E012D2">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See </w:t>
      </w:r>
      <w:r w:rsidRPr="00E974E3">
        <w:rPr>
          <w:rFonts w:ascii="Arial" w:hAnsi="Arial" w:cs="Arial"/>
          <w:lang w:val="en-CA"/>
        </w:rPr>
        <w:t xml:space="preserve">Licences of Parole for Female Convicts, 1853-1871, </w:t>
      </w:r>
      <w:proofErr w:type="gramStart"/>
      <w:r w:rsidRPr="00E974E3">
        <w:rPr>
          <w:rFonts w:ascii="Arial" w:hAnsi="Arial" w:cs="Arial"/>
          <w:lang w:val="en-CA"/>
        </w:rPr>
        <w:t>1883</w:t>
      </w:r>
      <w:proofErr w:type="gramEnd"/>
      <w:r w:rsidRPr="00E974E3">
        <w:rPr>
          <w:rFonts w:ascii="Arial" w:hAnsi="Arial" w:cs="Arial"/>
          <w:lang w:val="en-CA"/>
        </w:rPr>
        <w:t xml:space="preserve">-1887: https://www.digitalpanopticon.org and </w:t>
      </w:r>
      <w:r w:rsidRPr="00E974E3">
        <w:rPr>
          <w:rFonts w:ascii="Arial" w:hAnsi="Arial" w:cs="Arial"/>
          <w:i/>
          <w:lang w:val="en-CA"/>
        </w:rPr>
        <w:t>Ancestry</w:t>
      </w:r>
      <w:r w:rsidRPr="00E974E3">
        <w:rPr>
          <w:rFonts w:ascii="Arial" w:hAnsi="Arial" w:cs="Arial"/>
          <w:lang w:val="en-CA"/>
        </w:rPr>
        <w:t>. https://www.ancestry.co.uk, Licences of Parole for Female Convicts, 1853-1871, 1883-1887.</w:t>
      </w:r>
    </w:p>
  </w:endnote>
  <w:endnote w:id="27">
    <w:p w14:paraId="1D4EDB5F" w14:textId="2827F8B3"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 xml:space="preserve">R.F. Quinton, </w:t>
      </w:r>
      <w:r w:rsidRPr="00E974E3">
        <w:rPr>
          <w:rFonts w:ascii="Arial" w:hAnsi="Arial" w:cs="Arial"/>
          <w:i/>
          <w:iCs/>
          <w:lang w:val="en-CA"/>
        </w:rPr>
        <w:t xml:space="preserve">Crime and Criminals 1876-1910 </w:t>
      </w:r>
      <w:r w:rsidRPr="00E974E3">
        <w:rPr>
          <w:rFonts w:ascii="Arial" w:hAnsi="Arial" w:cs="Arial"/>
          <w:lang w:val="en-CA"/>
        </w:rPr>
        <w:t xml:space="preserve">(London, 1910): </w:t>
      </w:r>
      <w:r w:rsidRPr="00E974E3">
        <w:rPr>
          <w:rFonts w:ascii="Arial" w:hAnsi="Arial" w:cs="Arial"/>
        </w:rPr>
        <w:t xml:space="preserve"> 209-210.</w:t>
      </w:r>
    </w:p>
  </w:endnote>
  <w:endnote w:id="28">
    <w:p w14:paraId="75429A09" w14:textId="285CAEA5"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E27BC5" w:rsidRPr="00E974E3">
        <w:rPr>
          <w:rFonts w:ascii="Arial" w:hAnsi="Arial" w:cs="Arial"/>
          <w:lang w:val="en-CA"/>
        </w:rPr>
        <w:t>Ibid</w:t>
      </w:r>
      <w:r w:rsidRPr="00E974E3">
        <w:rPr>
          <w:rFonts w:ascii="Arial" w:hAnsi="Arial" w:cs="Arial"/>
          <w:lang w:val="en-CA"/>
        </w:rPr>
        <w:t xml:space="preserve">: </w:t>
      </w:r>
      <w:r w:rsidRPr="00E974E3">
        <w:rPr>
          <w:rFonts w:ascii="Arial" w:hAnsi="Arial" w:cs="Arial"/>
        </w:rPr>
        <w:t xml:space="preserve"> 210.</w:t>
      </w:r>
    </w:p>
  </w:endnote>
  <w:endnote w:id="29">
    <w:p w14:paraId="171C32E6" w14:textId="3DBA0E30"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 xml:space="preserve">Ibid: </w:t>
      </w:r>
      <w:r w:rsidRPr="00E974E3">
        <w:rPr>
          <w:rFonts w:ascii="Arial" w:hAnsi="Arial" w:cs="Arial"/>
        </w:rPr>
        <w:t xml:space="preserve"> 210.</w:t>
      </w:r>
    </w:p>
  </w:endnote>
  <w:endnote w:id="30">
    <w:p w14:paraId="2FD95D20" w14:textId="6B65E3AA"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Ward, ‘A tale of transportation’:</w:t>
      </w:r>
      <w:r w:rsidRPr="00E974E3">
        <w:rPr>
          <w:rFonts w:ascii="Arial" w:eastAsiaTheme="minorHAnsi" w:hAnsi="Arial" w:cs="Arial"/>
          <w:lang w:val="en-CA"/>
        </w:rPr>
        <w:t xml:space="preserve"> </w:t>
      </w:r>
      <w:r w:rsidRPr="00E974E3">
        <w:rPr>
          <w:rFonts w:ascii="Arial" w:hAnsi="Arial" w:cs="Arial"/>
          <w:lang w:val="en-CA"/>
        </w:rPr>
        <w:t xml:space="preserve"> 43-56.</w:t>
      </w:r>
    </w:p>
  </w:endnote>
  <w:endnote w:id="31">
    <w:p w14:paraId="40D6579C" w14:textId="52B998E2" w:rsidR="002D4328" w:rsidRPr="00E974E3" w:rsidRDefault="002D4328" w:rsidP="00D5166D">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 xml:space="preserve">Quinton, </w:t>
      </w:r>
      <w:r w:rsidRPr="00E974E3">
        <w:rPr>
          <w:rFonts w:ascii="Arial" w:hAnsi="Arial" w:cs="Arial"/>
          <w:i/>
          <w:iCs/>
          <w:lang w:val="en-CA"/>
        </w:rPr>
        <w:t>Crime and Criminals</w:t>
      </w:r>
      <w:r w:rsidRPr="00E974E3">
        <w:rPr>
          <w:rFonts w:ascii="Arial" w:hAnsi="Arial" w:cs="Arial"/>
          <w:lang w:val="en-CA"/>
        </w:rPr>
        <w:t xml:space="preserve">: </w:t>
      </w:r>
      <w:r w:rsidRPr="00E974E3">
        <w:rPr>
          <w:rFonts w:ascii="Arial" w:hAnsi="Arial" w:cs="Arial"/>
        </w:rPr>
        <w:t xml:space="preserve"> 212.</w:t>
      </w:r>
    </w:p>
  </w:endnote>
  <w:endnote w:id="32">
    <w:p w14:paraId="79EBE458" w14:textId="77777777" w:rsidR="002D4328" w:rsidRPr="00E974E3" w:rsidRDefault="002D4328" w:rsidP="00416539">
      <w:pPr>
        <w:pStyle w:val="EndnoteText"/>
        <w:rPr>
          <w:rFonts w:ascii="Arial" w:hAnsi="Arial" w:cs="Arial"/>
          <w:lang w:val="en-CA"/>
        </w:rPr>
      </w:pPr>
      <w:r w:rsidRPr="00E974E3">
        <w:rPr>
          <w:rStyle w:val="EndnoteReference"/>
          <w:rFonts w:ascii="Arial" w:hAnsi="Arial" w:cs="Arial"/>
        </w:rPr>
        <w:endnoteRef/>
      </w:r>
      <w:r w:rsidRPr="00E974E3">
        <w:rPr>
          <w:rFonts w:ascii="Arial" w:hAnsi="Arial" w:cs="Arial"/>
        </w:rPr>
        <w:t xml:space="preserve"> </w:t>
      </w:r>
      <w:proofErr w:type="gramStart"/>
      <w:r w:rsidRPr="00E974E3">
        <w:rPr>
          <w:rFonts w:ascii="Arial" w:hAnsi="Arial" w:cs="Arial"/>
        </w:rPr>
        <w:t xml:space="preserve">Digital </w:t>
      </w:r>
      <w:proofErr w:type="spellStart"/>
      <w:r w:rsidRPr="00E974E3">
        <w:rPr>
          <w:rFonts w:ascii="Arial" w:hAnsi="Arial" w:cs="Arial"/>
        </w:rPr>
        <w:t>Panopticon</w:t>
      </w:r>
      <w:proofErr w:type="spellEnd"/>
      <w:r w:rsidRPr="00E974E3">
        <w:rPr>
          <w:rFonts w:ascii="Arial" w:hAnsi="Arial" w:cs="Arial"/>
        </w:rPr>
        <w:t xml:space="preserve"> </w:t>
      </w:r>
      <w:r w:rsidRPr="00E974E3">
        <w:rPr>
          <w:rFonts w:ascii="Arial" w:hAnsi="Arial" w:cs="Arial"/>
          <w:lang w:val="en-CA"/>
        </w:rPr>
        <w:t xml:space="preserve">Harriet Brown Life archive ID obpdef1-504-18530404 https://www.digitalpanopticon.org; Old Bailey Proceedings Online (www.oldbaileyonline.org, version 8.0, 20 December 2018), April 1853, trial of Harriet Brown (t18530404-504) (Hereafter OBO HB); Harriet Brown Convict Petitions </w:t>
      </w:r>
      <w:hyperlink r:id="rId1" w:history="1">
        <w:r w:rsidRPr="00E974E3">
          <w:rPr>
            <w:rStyle w:val="Hyperlink"/>
            <w:rFonts w:ascii="Arial" w:hAnsi="Arial" w:cs="Arial"/>
            <w:lang w:val="en-CA"/>
          </w:rPr>
          <w:t>https://www.findmypast.co.uk</w:t>
        </w:r>
      </w:hyperlink>
      <w:r w:rsidRPr="00E974E3">
        <w:rPr>
          <w:rFonts w:ascii="Arial" w:hAnsi="Arial" w:cs="Arial"/>
          <w:lang w:val="en-CA"/>
        </w:rPr>
        <w:t xml:space="preserve"> (hereafter FMP HB).</w:t>
      </w:r>
      <w:proofErr w:type="gramEnd"/>
    </w:p>
  </w:endnote>
  <w:endnote w:id="33">
    <w:p w14:paraId="69A3FAA7"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proofErr w:type="gramStart"/>
      <w:r w:rsidRPr="00E974E3">
        <w:rPr>
          <w:rFonts w:ascii="Arial" w:hAnsi="Arial" w:cs="Arial"/>
        </w:rPr>
        <w:t xml:space="preserve">Ibid; </w:t>
      </w:r>
      <w:r w:rsidRPr="00E974E3">
        <w:rPr>
          <w:rFonts w:ascii="Arial" w:hAnsi="Arial" w:cs="Arial"/>
          <w:lang w:val="en-CA"/>
        </w:rPr>
        <w:t>https://www.digitalpanopticon.org.</w:t>
      </w:r>
      <w:proofErr w:type="gramEnd"/>
      <w:r w:rsidRPr="00E974E3">
        <w:rPr>
          <w:rFonts w:ascii="Arial" w:hAnsi="Arial" w:cs="Arial"/>
        </w:rPr>
        <w:t xml:space="preserve"> </w:t>
      </w:r>
      <w:proofErr w:type="gramStart"/>
      <w:r w:rsidRPr="00E974E3">
        <w:rPr>
          <w:rFonts w:ascii="Arial" w:hAnsi="Arial" w:cs="Arial"/>
          <w:lang w:val="en-CA"/>
        </w:rPr>
        <w:t xml:space="preserve">The Digital </w:t>
      </w:r>
      <w:proofErr w:type="spellStart"/>
      <w:r w:rsidRPr="00E974E3">
        <w:rPr>
          <w:rFonts w:ascii="Arial" w:hAnsi="Arial" w:cs="Arial"/>
          <w:lang w:val="en-CA"/>
        </w:rPr>
        <w:t>Panopticon</w:t>
      </w:r>
      <w:proofErr w:type="spellEnd"/>
      <w:r w:rsidRPr="00E974E3">
        <w:rPr>
          <w:rFonts w:ascii="Arial" w:hAnsi="Arial" w:cs="Arial"/>
          <w:lang w:val="en-CA"/>
        </w:rPr>
        <w:t xml:space="preserve"> Search Builder; 31 results.</w:t>
      </w:r>
      <w:proofErr w:type="gramEnd"/>
      <w:r w:rsidRPr="00E974E3">
        <w:rPr>
          <w:rFonts w:ascii="Arial" w:hAnsi="Arial" w:cs="Arial"/>
          <w:lang w:val="en-CA"/>
        </w:rPr>
        <w:t xml:space="preserve"> (https://www.digitalpanopticon.org/search?e0.type.t.t=root&amp;e0._all.s.s=uttering&amp;e0.archive_size.i.l=&amp;e0.archive_size.i.h=&amp;e2.type.t.t=tried&amp;e2.date.d.ld=&amp;e2.date.d.lm=&amp;e2.date.d.ly=1853&amp;e2.date.d.hd=&amp;e2.date.d.hm=&amp;e2.date.d.hy=1863&amp;e2.offence_category.to.x=uttering). Version 1.1, consulted 29th May 2019.</w:t>
      </w:r>
    </w:p>
  </w:endnote>
  <w:endnote w:id="34">
    <w:p w14:paraId="52D3CE14"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proofErr w:type="gramStart"/>
      <w:r w:rsidRPr="00E974E3">
        <w:rPr>
          <w:rFonts w:ascii="Arial" w:hAnsi="Arial" w:cs="Arial"/>
          <w:lang w:val="en-CA"/>
        </w:rPr>
        <w:t xml:space="preserve">FMP HB </w:t>
      </w:r>
      <w:r w:rsidRPr="00E974E3">
        <w:rPr>
          <w:rFonts w:ascii="Arial" w:hAnsi="Arial" w:cs="Arial"/>
        </w:rPr>
        <w:t>Prison Chaplain’s annotation on letter.</w:t>
      </w:r>
      <w:proofErr w:type="gramEnd"/>
    </w:p>
  </w:endnote>
  <w:endnote w:id="35">
    <w:p w14:paraId="2295C74F" w14:textId="77777777" w:rsidR="002D4328" w:rsidRPr="00E974E3" w:rsidRDefault="002D4328" w:rsidP="00826EC0">
      <w:pPr>
        <w:spacing w:after="0" w:line="240" w:lineRule="auto"/>
        <w:rPr>
          <w:rFonts w:ascii="Arial" w:hAnsi="Arial" w:cs="Arial"/>
          <w:sz w:val="20"/>
          <w:szCs w:val="20"/>
        </w:rPr>
      </w:pPr>
      <w:r w:rsidRPr="00E974E3">
        <w:rPr>
          <w:rStyle w:val="EndnoteReference"/>
          <w:rFonts w:ascii="Arial" w:hAnsi="Arial" w:cs="Arial"/>
          <w:sz w:val="20"/>
          <w:szCs w:val="20"/>
        </w:rPr>
        <w:endnoteRef/>
      </w:r>
      <w:r w:rsidRPr="00E974E3">
        <w:rPr>
          <w:rFonts w:ascii="Arial" w:hAnsi="Arial" w:cs="Arial"/>
          <w:sz w:val="20"/>
          <w:szCs w:val="20"/>
        </w:rPr>
        <w:t xml:space="preserve"> FMP HB (no date, seems to be 1854) Petition by Brown.</w:t>
      </w:r>
    </w:p>
  </w:endnote>
  <w:endnote w:id="36">
    <w:p w14:paraId="670BE6B5"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 xml:space="preserve">FMP HB </w:t>
      </w:r>
      <w:r w:rsidRPr="00E974E3">
        <w:rPr>
          <w:rFonts w:ascii="Arial" w:hAnsi="Arial" w:cs="Arial"/>
        </w:rPr>
        <w:t>Inquiry made and reply received on May 3, 1856.</w:t>
      </w:r>
    </w:p>
  </w:endnote>
  <w:endnote w:id="37">
    <w:p w14:paraId="4E9E92C2"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 xml:space="preserve">FMP HB </w:t>
      </w:r>
      <w:r w:rsidRPr="00E974E3">
        <w:rPr>
          <w:rFonts w:ascii="Arial" w:hAnsi="Arial" w:cs="Arial"/>
        </w:rPr>
        <w:t>Letter received November, 1853.</w:t>
      </w:r>
    </w:p>
  </w:endnote>
  <w:endnote w:id="38">
    <w:p w14:paraId="3470F09F" w14:textId="10F438D3"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E27BC5" w:rsidRPr="00E974E3">
        <w:rPr>
          <w:rFonts w:ascii="Arial" w:hAnsi="Arial" w:cs="Arial"/>
          <w:lang w:val="en-CA"/>
        </w:rPr>
        <w:t>Ibid</w:t>
      </w:r>
      <w:r w:rsidRPr="00E974E3">
        <w:rPr>
          <w:rFonts w:ascii="Arial" w:hAnsi="Arial" w:cs="Arial"/>
          <w:lang w:val="en-CA"/>
        </w:rPr>
        <w:t>.</w:t>
      </w:r>
    </w:p>
  </w:endnote>
  <w:endnote w:id="39">
    <w:p w14:paraId="6BCBDCED" w14:textId="03FE2922"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E27BC5" w:rsidRPr="00E974E3">
        <w:rPr>
          <w:rFonts w:ascii="Arial" w:hAnsi="Arial" w:cs="Arial"/>
          <w:lang w:val="en-CA"/>
        </w:rPr>
        <w:t>Ibid</w:t>
      </w:r>
      <w:r w:rsidRPr="00E974E3">
        <w:rPr>
          <w:rFonts w:ascii="Arial" w:hAnsi="Arial" w:cs="Arial"/>
          <w:lang w:val="en-CA"/>
        </w:rPr>
        <w:t>.</w:t>
      </w:r>
    </w:p>
  </w:endnote>
  <w:endnote w:id="40">
    <w:p w14:paraId="06E74FC9" w14:textId="69EDBA55" w:rsidR="00AA1F54" w:rsidRPr="00E974E3" w:rsidRDefault="00AA1F54" w:rsidP="00AA1F54">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7C0BD2" w:rsidRPr="00E974E3">
        <w:rPr>
          <w:rFonts w:ascii="Arial" w:hAnsi="Arial" w:cs="Arial"/>
        </w:rPr>
        <w:t>J.H. Baker</w:t>
      </w:r>
      <w:r w:rsidRPr="00E974E3">
        <w:rPr>
          <w:rFonts w:ascii="Arial" w:hAnsi="Arial" w:cs="Arial"/>
          <w:i/>
        </w:rPr>
        <w:t xml:space="preserve">, </w:t>
      </w:r>
      <w:proofErr w:type="gramStart"/>
      <w:r w:rsidRPr="00E974E3">
        <w:rPr>
          <w:rFonts w:ascii="Arial" w:hAnsi="Arial" w:cs="Arial"/>
          <w:i/>
        </w:rPr>
        <w:t>An</w:t>
      </w:r>
      <w:proofErr w:type="gramEnd"/>
      <w:r w:rsidRPr="00E974E3">
        <w:rPr>
          <w:rFonts w:ascii="Arial" w:hAnsi="Arial" w:cs="Arial"/>
          <w:i/>
        </w:rPr>
        <w:t xml:space="preserve"> Introduction to English Legal History. Third Edition</w:t>
      </w:r>
      <w:r w:rsidR="007C0BD2" w:rsidRPr="00E974E3">
        <w:rPr>
          <w:rFonts w:ascii="Arial" w:hAnsi="Arial" w:cs="Arial"/>
        </w:rPr>
        <w:t xml:space="preserve"> (London: Butterworths, 1990): </w:t>
      </w:r>
      <w:r w:rsidRPr="00E974E3">
        <w:rPr>
          <w:rFonts w:ascii="Arial" w:hAnsi="Arial" w:cs="Arial"/>
        </w:rPr>
        <w:t>426-7.</w:t>
      </w:r>
    </w:p>
  </w:endnote>
  <w:endnote w:id="41">
    <w:p w14:paraId="72EC83D8" w14:textId="77777777" w:rsidR="002D4328" w:rsidRPr="00E974E3" w:rsidRDefault="002D4328" w:rsidP="00826EC0">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proofErr w:type="gramStart"/>
      <w:r w:rsidRPr="00E974E3">
        <w:rPr>
          <w:rFonts w:ascii="Arial" w:hAnsi="Arial" w:cs="Arial"/>
          <w:lang w:val="en-CA"/>
        </w:rPr>
        <w:t xml:space="preserve">FMP HB </w:t>
      </w:r>
      <w:r w:rsidRPr="00E974E3">
        <w:rPr>
          <w:rFonts w:ascii="Arial" w:hAnsi="Arial" w:cs="Arial"/>
        </w:rPr>
        <w:t>Petition.</w:t>
      </w:r>
      <w:proofErr w:type="gramEnd"/>
      <w:r w:rsidRPr="00E974E3">
        <w:rPr>
          <w:rFonts w:ascii="Arial" w:hAnsi="Arial" w:cs="Arial"/>
        </w:rPr>
        <w:t xml:space="preserve"> </w:t>
      </w:r>
      <w:r w:rsidRPr="00E974E3">
        <w:rPr>
          <w:rFonts w:ascii="Arial" w:hAnsi="Arial" w:cs="Arial"/>
          <w:lang w:val="en-CA"/>
        </w:rPr>
        <w:t>1857.</w:t>
      </w:r>
    </w:p>
  </w:endnote>
  <w:endnote w:id="42">
    <w:p w14:paraId="768AEDA7"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 xml:space="preserve">FMP HB </w:t>
      </w:r>
      <w:r w:rsidRPr="00E974E3">
        <w:rPr>
          <w:rFonts w:ascii="Arial" w:hAnsi="Arial" w:cs="Arial"/>
        </w:rPr>
        <w:t>Prison chaplain’s annotated words.</w:t>
      </w:r>
    </w:p>
  </w:endnote>
  <w:endnote w:id="43">
    <w:p w14:paraId="4ACC06FE" w14:textId="07DC1C3E" w:rsidR="002D4328" w:rsidRPr="00E974E3" w:rsidRDefault="002D4328">
      <w:pPr>
        <w:pStyle w:val="EndnoteText"/>
        <w:rPr>
          <w:rFonts w:ascii="Arial" w:hAnsi="Arial" w:cs="Arial"/>
          <w:lang w:val="en-CA"/>
        </w:rPr>
      </w:pPr>
      <w:r w:rsidRPr="00E974E3">
        <w:rPr>
          <w:rStyle w:val="EndnoteReference"/>
          <w:rFonts w:ascii="Arial" w:hAnsi="Arial" w:cs="Arial"/>
        </w:rPr>
        <w:endnoteRef/>
      </w:r>
      <w:r w:rsidRPr="00E974E3">
        <w:rPr>
          <w:rFonts w:ascii="Arial" w:hAnsi="Arial" w:cs="Arial"/>
        </w:rPr>
        <w:t xml:space="preserve"> </w:t>
      </w:r>
      <w:r w:rsidR="007C0BD2" w:rsidRPr="00E974E3">
        <w:rPr>
          <w:rFonts w:ascii="Arial" w:hAnsi="Arial" w:cs="Arial"/>
        </w:rPr>
        <w:t xml:space="preserve">C. </w:t>
      </w:r>
      <w:r w:rsidR="007C0BD2" w:rsidRPr="00E974E3">
        <w:rPr>
          <w:rFonts w:ascii="Arial" w:hAnsi="Arial" w:cs="Arial"/>
          <w:lang w:val="en-CA"/>
        </w:rPr>
        <w:t>Emsley,</w:t>
      </w:r>
      <w:r w:rsidRPr="00E974E3">
        <w:rPr>
          <w:rFonts w:ascii="Arial" w:hAnsi="Arial" w:cs="Arial"/>
          <w:lang w:val="en-CA"/>
        </w:rPr>
        <w:t xml:space="preserve"> </w:t>
      </w:r>
      <w:r w:rsidRPr="00E974E3">
        <w:rPr>
          <w:rFonts w:ascii="Arial" w:hAnsi="Arial" w:cs="Arial"/>
          <w:i/>
          <w:lang w:val="en-CA"/>
        </w:rPr>
        <w:t>Crime and Society in England, 1750-1900</w:t>
      </w:r>
      <w:r w:rsidRPr="00E974E3">
        <w:rPr>
          <w:rFonts w:ascii="Arial" w:hAnsi="Arial" w:cs="Arial"/>
          <w:lang w:val="en-CA"/>
        </w:rPr>
        <w:t xml:space="preserve">. </w:t>
      </w:r>
      <w:proofErr w:type="gramStart"/>
      <w:r w:rsidRPr="00E974E3">
        <w:rPr>
          <w:rFonts w:ascii="Arial" w:hAnsi="Arial" w:cs="Arial"/>
          <w:i/>
          <w:lang w:val="en-CA"/>
        </w:rPr>
        <w:t>3rd edition</w:t>
      </w:r>
      <w:r w:rsidRPr="00E974E3">
        <w:rPr>
          <w:rFonts w:ascii="Arial" w:hAnsi="Arial" w:cs="Arial"/>
          <w:lang w:val="en-CA"/>
        </w:rPr>
        <w:t>.</w:t>
      </w:r>
      <w:proofErr w:type="gramEnd"/>
      <w:r w:rsidRPr="00E974E3">
        <w:rPr>
          <w:rFonts w:ascii="Arial" w:hAnsi="Arial" w:cs="Arial"/>
          <w:lang w:val="en-CA"/>
        </w:rPr>
        <w:t xml:space="preserve"> (Pearson Longman</w:t>
      </w:r>
      <w:r w:rsidR="007C0BD2" w:rsidRPr="00E974E3">
        <w:rPr>
          <w:rFonts w:ascii="Arial" w:hAnsi="Arial" w:cs="Arial"/>
          <w:lang w:val="en-CA"/>
        </w:rPr>
        <w:t>, 2004</w:t>
      </w:r>
      <w:r w:rsidRPr="00E974E3">
        <w:rPr>
          <w:rFonts w:ascii="Arial" w:hAnsi="Arial" w:cs="Arial"/>
          <w:lang w:val="en-CA"/>
        </w:rPr>
        <w:t>):  248-292.</w:t>
      </w:r>
    </w:p>
  </w:endnote>
  <w:endnote w:id="44">
    <w:p w14:paraId="10352AB3" w14:textId="2FD19F9B" w:rsidR="002D4328" w:rsidRPr="00E974E3" w:rsidRDefault="002D4328">
      <w:pPr>
        <w:pStyle w:val="EndnoteText"/>
        <w:rPr>
          <w:rFonts w:ascii="Arial" w:hAnsi="Arial" w:cs="Arial"/>
          <w:lang w:val="en-CA"/>
        </w:rPr>
      </w:pPr>
      <w:r w:rsidRPr="00E974E3">
        <w:rPr>
          <w:rStyle w:val="EndnoteReference"/>
          <w:rFonts w:ascii="Arial" w:hAnsi="Arial" w:cs="Arial"/>
        </w:rPr>
        <w:endnoteRef/>
      </w:r>
      <w:r w:rsidRPr="00E974E3">
        <w:rPr>
          <w:rFonts w:ascii="Arial" w:hAnsi="Arial" w:cs="Arial"/>
        </w:rPr>
        <w:t xml:space="preserve"> </w:t>
      </w:r>
      <w:r w:rsidR="007C0BD2" w:rsidRPr="00E974E3">
        <w:rPr>
          <w:rFonts w:ascii="Arial" w:hAnsi="Arial" w:cs="Arial"/>
        </w:rPr>
        <w:t xml:space="preserve">B. </w:t>
      </w:r>
      <w:r w:rsidR="007C0BD2" w:rsidRPr="00E974E3">
        <w:rPr>
          <w:rFonts w:ascii="Arial" w:hAnsi="Arial" w:cs="Arial"/>
          <w:lang w:val="en-CA"/>
        </w:rPr>
        <w:t>Godfrey,</w:t>
      </w:r>
      <w:r w:rsidRPr="00E974E3">
        <w:rPr>
          <w:rFonts w:ascii="Arial" w:hAnsi="Arial" w:cs="Arial"/>
          <w:lang w:val="en-CA"/>
        </w:rPr>
        <w:t xml:space="preserve"> ‘A Historical Perspective on Criminal Justice Responses to Female and Male Offending’ in: </w:t>
      </w:r>
      <w:r w:rsidRPr="00E974E3">
        <w:rPr>
          <w:rFonts w:ascii="Arial" w:hAnsi="Arial" w:cs="Arial"/>
          <w:i/>
          <w:lang w:val="en-CA"/>
        </w:rPr>
        <w:t>Oxford Handbook on Gender, Sex, and Crime</w:t>
      </w:r>
      <w:r w:rsidR="007C0BD2" w:rsidRPr="00E974E3">
        <w:rPr>
          <w:rFonts w:ascii="Arial" w:hAnsi="Arial" w:cs="Arial"/>
          <w:lang w:val="en-CA"/>
        </w:rPr>
        <w:t xml:space="preserve"> (</w:t>
      </w:r>
      <w:r w:rsidRPr="00E974E3">
        <w:rPr>
          <w:rFonts w:ascii="Arial" w:hAnsi="Arial" w:cs="Arial"/>
          <w:lang w:val="en-CA"/>
        </w:rPr>
        <w:t>Oxford: Oxford University Press</w:t>
      </w:r>
      <w:r w:rsidR="007C0BD2" w:rsidRPr="00E974E3">
        <w:rPr>
          <w:rFonts w:ascii="Arial" w:hAnsi="Arial" w:cs="Arial"/>
          <w:lang w:val="en-CA"/>
        </w:rPr>
        <w:t>, 2013)</w:t>
      </w:r>
      <w:r w:rsidRPr="00E974E3">
        <w:rPr>
          <w:rFonts w:ascii="Arial" w:hAnsi="Arial" w:cs="Arial"/>
          <w:lang w:val="en-CA"/>
        </w:rPr>
        <w:t>.</w:t>
      </w:r>
    </w:p>
  </w:endnote>
  <w:endnote w:id="45">
    <w:p w14:paraId="62B3C222"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hyperlink r:id="rId2" w:history="1">
        <w:proofErr w:type="gramStart"/>
        <w:r w:rsidRPr="00E974E3">
          <w:rPr>
            <w:rStyle w:val="Hyperlink"/>
            <w:rFonts w:ascii="Arial" w:hAnsi="Arial" w:cs="Arial"/>
            <w:lang w:val="en-CA"/>
          </w:rPr>
          <w:t>https://www.digitalpanopticon.org</w:t>
        </w:r>
      </w:hyperlink>
      <w:r w:rsidRPr="00E974E3">
        <w:rPr>
          <w:rFonts w:ascii="Arial" w:hAnsi="Arial" w:cs="Arial"/>
          <w:lang w:val="en-CA"/>
        </w:rPr>
        <w:t>; Licences of Parole for Female Convicts, 1853-1871, 1883-1887.</w:t>
      </w:r>
      <w:proofErr w:type="gramEnd"/>
    </w:p>
  </w:endnote>
  <w:endnote w:id="46">
    <w:p w14:paraId="252B7988" w14:textId="77777777" w:rsidR="002D4328" w:rsidRPr="00E974E3" w:rsidRDefault="002D4328">
      <w:pPr>
        <w:pStyle w:val="EndnoteText"/>
        <w:rPr>
          <w:rFonts w:ascii="Arial" w:hAnsi="Arial" w:cs="Arial"/>
          <w:lang w:val="en-CA"/>
        </w:rPr>
      </w:pPr>
      <w:r w:rsidRPr="00E974E3">
        <w:rPr>
          <w:rStyle w:val="EndnoteReference"/>
          <w:rFonts w:ascii="Arial" w:hAnsi="Arial" w:cs="Arial"/>
        </w:rPr>
        <w:endnoteRef/>
      </w:r>
      <w:r w:rsidRPr="00E974E3">
        <w:rPr>
          <w:rFonts w:ascii="Arial" w:hAnsi="Arial" w:cs="Arial"/>
        </w:rPr>
        <w:t xml:space="preserve"> </w:t>
      </w:r>
      <w:proofErr w:type="gramStart"/>
      <w:r w:rsidRPr="00E974E3">
        <w:rPr>
          <w:rFonts w:ascii="Arial" w:hAnsi="Arial" w:cs="Arial"/>
        </w:rPr>
        <w:t xml:space="preserve">Digital </w:t>
      </w:r>
      <w:proofErr w:type="spellStart"/>
      <w:r w:rsidRPr="00E974E3">
        <w:rPr>
          <w:rFonts w:ascii="Arial" w:hAnsi="Arial" w:cs="Arial"/>
        </w:rPr>
        <w:t>Panopticon</w:t>
      </w:r>
      <w:proofErr w:type="spellEnd"/>
      <w:r w:rsidRPr="00E974E3">
        <w:rPr>
          <w:rFonts w:ascii="Arial" w:hAnsi="Arial" w:cs="Arial"/>
        </w:rPr>
        <w:t xml:space="preserve"> Mary James </w:t>
      </w:r>
      <w:r w:rsidRPr="00E974E3">
        <w:rPr>
          <w:rFonts w:ascii="Arial" w:hAnsi="Arial" w:cs="Arial"/>
          <w:lang w:val="en-CA"/>
        </w:rPr>
        <w:t xml:space="preserve">Life archive ID obpdef1-645-18780624 </w:t>
      </w:r>
      <w:hyperlink r:id="rId3" w:history="1">
        <w:r w:rsidRPr="00E974E3">
          <w:rPr>
            <w:rStyle w:val="Hyperlink"/>
            <w:rFonts w:ascii="Arial" w:hAnsi="Arial" w:cs="Arial"/>
            <w:lang w:val="en-CA"/>
          </w:rPr>
          <w:t>https://www.digitalpanopticon.org</w:t>
        </w:r>
      </w:hyperlink>
      <w:r w:rsidRPr="00E974E3">
        <w:rPr>
          <w:rFonts w:ascii="Arial" w:hAnsi="Arial" w:cs="Arial"/>
          <w:lang w:val="en-CA"/>
        </w:rPr>
        <w:t>; Licences of Parole for Female Convicts, 1853-1871, 1883-1887.</w:t>
      </w:r>
      <w:proofErr w:type="gramEnd"/>
      <w:r w:rsidRPr="00E974E3">
        <w:rPr>
          <w:rFonts w:ascii="Arial" w:hAnsi="Arial" w:cs="Arial"/>
          <w:lang w:val="en-CA"/>
        </w:rPr>
        <w:t xml:space="preserve"> </w:t>
      </w:r>
      <w:proofErr w:type="gramStart"/>
      <w:r w:rsidRPr="00E974E3">
        <w:rPr>
          <w:rFonts w:ascii="Arial" w:hAnsi="Arial" w:cs="Arial"/>
          <w:i/>
          <w:lang w:val="en-CA"/>
        </w:rPr>
        <w:t>Ancestry</w:t>
      </w:r>
      <w:r w:rsidRPr="00E974E3">
        <w:rPr>
          <w:rFonts w:ascii="Arial" w:hAnsi="Arial" w:cs="Arial"/>
          <w:lang w:val="en-CA"/>
        </w:rPr>
        <w:t>.</w:t>
      </w:r>
      <w:proofErr w:type="gramEnd"/>
      <w:r w:rsidRPr="00E974E3">
        <w:rPr>
          <w:rFonts w:ascii="Arial" w:hAnsi="Arial" w:cs="Arial"/>
          <w:lang w:val="en-CA"/>
        </w:rPr>
        <w:t xml:space="preserve"> https://www.ancestry.co.uk. Accessed 8 June 2017;</w:t>
      </w:r>
      <w:r w:rsidRPr="00E974E3">
        <w:rPr>
          <w:rFonts w:ascii="Arial" w:hAnsi="Arial" w:cs="Arial"/>
        </w:rPr>
        <w:t xml:space="preserve"> </w:t>
      </w:r>
      <w:r w:rsidRPr="00E974E3">
        <w:rPr>
          <w:rFonts w:ascii="Arial" w:hAnsi="Arial" w:cs="Arial"/>
          <w:lang w:val="en-CA"/>
        </w:rPr>
        <w:t>Old Bailey Proceedings Online (www.oldbaileyonline.org, version 8.0, 20 December 2018), June 1878, trial of Mary James (24) (t18780624-645) (hereafter OBO MJ):</w:t>
      </w:r>
      <w:r w:rsidRPr="00E974E3">
        <w:rPr>
          <w:rFonts w:ascii="Arial" w:eastAsiaTheme="minorHAnsi" w:hAnsi="Arial" w:cs="Arial"/>
          <w:lang w:val="en-CA"/>
        </w:rPr>
        <w:t xml:space="preserve"> </w:t>
      </w:r>
      <w:r w:rsidRPr="00E974E3">
        <w:rPr>
          <w:rFonts w:ascii="Arial" w:hAnsi="Arial" w:cs="Arial"/>
          <w:lang w:val="en-CA"/>
        </w:rPr>
        <w:t xml:space="preserve">OBO MJ Cross examination of Michael Finn.   </w:t>
      </w:r>
    </w:p>
  </w:endnote>
  <w:endnote w:id="47">
    <w:p w14:paraId="0FE20E75"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proofErr w:type="gramStart"/>
      <w:r w:rsidRPr="00E974E3">
        <w:rPr>
          <w:rFonts w:ascii="Arial" w:hAnsi="Arial" w:cs="Arial"/>
          <w:lang w:val="en-CA"/>
        </w:rPr>
        <w:t>OBO MJ Cross examinations.</w:t>
      </w:r>
      <w:proofErr w:type="gramEnd"/>
    </w:p>
  </w:endnote>
  <w:endnote w:id="48">
    <w:p w14:paraId="6E514CE2" w14:textId="0273BF86"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proofErr w:type="gramStart"/>
      <w:r w:rsidRPr="00E974E3">
        <w:rPr>
          <w:rFonts w:ascii="Arial" w:hAnsi="Arial" w:cs="Arial"/>
        </w:rPr>
        <w:t>OBO MJ Cross examination of Richard White (police inspector).</w:t>
      </w:r>
      <w:proofErr w:type="gramEnd"/>
      <w:r w:rsidRPr="00E974E3">
        <w:rPr>
          <w:rFonts w:ascii="Arial" w:hAnsi="Arial" w:cs="Arial"/>
        </w:rPr>
        <w:t xml:space="preserve"> Resuscitation techniques were taught to civilians </w:t>
      </w:r>
      <w:r w:rsidR="007C0BD2" w:rsidRPr="00E974E3">
        <w:rPr>
          <w:rFonts w:ascii="Arial" w:hAnsi="Arial" w:cs="Arial"/>
        </w:rPr>
        <w:t>by the Royal Humane Society: J.</w:t>
      </w:r>
      <w:r w:rsidRPr="00E974E3">
        <w:rPr>
          <w:rFonts w:ascii="Arial" w:hAnsi="Arial" w:cs="Arial"/>
        </w:rPr>
        <w:t xml:space="preserve"> Price, </w:t>
      </w:r>
      <w:r w:rsidRPr="00E974E3">
        <w:rPr>
          <w:rFonts w:ascii="Arial" w:hAnsi="Arial" w:cs="Arial"/>
          <w:i/>
        </w:rPr>
        <w:t>Everyday Heroism: Victorian Constructions of the Heroic Civilian</w:t>
      </w:r>
      <w:r w:rsidRPr="00E974E3">
        <w:rPr>
          <w:rFonts w:ascii="Arial" w:hAnsi="Arial" w:cs="Arial"/>
        </w:rPr>
        <w:t xml:space="preserve"> (Bloomsbury: London, 2014).</w:t>
      </w:r>
    </w:p>
  </w:endnote>
  <w:endnote w:id="49">
    <w:p w14:paraId="3FFF64A6"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Ibid.</w:t>
      </w:r>
    </w:p>
  </w:endnote>
  <w:endnote w:id="50">
    <w:p w14:paraId="43C51988" w14:textId="5265C6D9" w:rsidR="002D4328" w:rsidRPr="00E974E3" w:rsidRDefault="002D4328" w:rsidP="0017692F">
      <w:pPr>
        <w:pStyle w:val="EndnoteText"/>
        <w:rPr>
          <w:rFonts w:ascii="Arial" w:hAnsi="Arial" w:cs="Arial"/>
        </w:rPr>
      </w:pPr>
      <w:r w:rsidRPr="00E974E3">
        <w:rPr>
          <w:rStyle w:val="EndnoteReference"/>
          <w:rFonts w:ascii="Arial" w:hAnsi="Arial" w:cs="Arial"/>
        </w:rPr>
        <w:endnoteRef/>
      </w:r>
      <w:r w:rsidR="00E27BC5" w:rsidRPr="00E974E3">
        <w:rPr>
          <w:rFonts w:ascii="Arial" w:hAnsi="Arial" w:cs="Arial"/>
        </w:rPr>
        <w:t xml:space="preserve"> See: Davie, '“Business as usual”</w:t>
      </w:r>
      <w:r w:rsidRPr="00E974E3">
        <w:rPr>
          <w:rFonts w:ascii="Arial" w:hAnsi="Arial" w:cs="Arial"/>
        </w:rPr>
        <w:t>: 37-52.</w:t>
      </w:r>
    </w:p>
  </w:endnote>
  <w:endnote w:id="51">
    <w:p w14:paraId="7B715F74"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Record of Petitions to the Secretary of State in Licence 74221: </w:t>
      </w:r>
      <w:r w:rsidRPr="00E974E3">
        <w:rPr>
          <w:rFonts w:ascii="Arial" w:hAnsi="Arial" w:cs="Arial"/>
          <w:lang w:val="en-CA"/>
        </w:rPr>
        <w:t xml:space="preserve">Licences of Parole for Female Convicts, 1853-1871, 1883-1887. </w:t>
      </w:r>
      <w:proofErr w:type="gramStart"/>
      <w:r w:rsidRPr="00E974E3">
        <w:rPr>
          <w:rFonts w:ascii="Arial" w:hAnsi="Arial" w:cs="Arial"/>
          <w:i/>
          <w:lang w:val="en-CA"/>
        </w:rPr>
        <w:t>Ancestry</w:t>
      </w:r>
      <w:r w:rsidRPr="00E974E3">
        <w:rPr>
          <w:rFonts w:ascii="Arial" w:hAnsi="Arial" w:cs="Arial"/>
          <w:lang w:val="en-CA"/>
        </w:rPr>
        <w:t>.</w:t>
      </w:r>
      <w:proofErr w:type="gramEnd"/>
      <w:r w:rsidRPr="00E974E3">
        <w:rPr>
          <w:rFonts w:ascii="Arial" w:hAnsi="Arial" w:cs="Arial"/>
          <w:lang w:val="en-CA"/>
        </w:rPr>
        <w:t xml:space="preserve"> https://www.ancestry.co.uk. </w:t>
      </w:r>
      <w:proofErr w:type="gramStart"/>
      <w:r w:rsidRPr="00E974E3">
        <w:rPr>
          <w:rFonts w:ascii="Arial" w:hAnsi="Arial" w:cs="Arial"/>
          <w:lang w:val="en-CA"/>
        </w:rPr>
        <w:t>Accessed 8 June 2017.</w:t>
      </w:r>
      <w:proofErr w:type="gramEnd"/>
    </w:p>
  </w:endnote>
  <w:endnote w:id="52">
    <w:p w14:paraId="4767D84E"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Ibid.</w:t>
      </w:r>
    </w:p>
  </w:endnote>
  <w:endnote w:id="53">
    <w:p w14:paraId="75E20937" w14:textId="516C8888"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7C0BD2" w:rsidRPr="00E974E3">
        <w:rPr>
          <w:rFonts w:ascii="Arial" w:hAnsi="Arial" w:cs="Arial"/>
        </w:rPr>
        <w:t xml:space="preserve">J.H. </w:t>
      </w:r>
      <w:r w:rsidR="007C0BD2" w:rsidRPr="00E974E3">
        <w:rPr>
          <w:rFonts w:ascii="Arial" w:hAnsi="Arial" w:cs="Arial"/>
          <w:lang w:val="en-CA"/>
        </w:rPr>
        <w:t>Baker</w:t>
      </w:r>
      <w:r w:rsidRPr="00E974E3">
        <w:rPr>
          <w:rFonts w:ascii="Arial" w:hAnsi="Arial" w:cs="Arial"/>
          <w:i/>
          <w:lang w:val="en-CA"/>
        </w:rPr>
        <w:t xml:space="preserve">, </w:t>
      </w:r>
      <w:proofErr w:type="gramStart"/>
      <w:r w:rsidRPr="00E974E3">
        <w:rPr>
          <w:rFonts w:ascii="Arial" w:hAnsi="Arial" w:cs="Arial"/>
          <w:i/>
          <w:lang w:val="en-CA"/>
        </w:rPr>
        <w:t>An</w:t>
      </w:r>
      <w:proofErr w:type="gramEnd"/>
      <w:r w:rsidRPr="00E974E3">
        <w:rPr>
          <w:rFonts w:ascii="Arial" w:hAnsi="Arial" w:cs="Arial"/>
          <w:i/>
          <w:lang w:val="en-CA"/>
        </w:rPr>
        <w:t xml:space="preserve"> Introduction to English Legal History. Third Edition</w:t>
      </w:r>
      <w:r w:rsidRPr="00E974E3">
        <w:rPr>
          <w:rFonts w:ascii="Arial" w:hAnsi="Arial" w:cs="Arial"/>
          <w:lang w:val="en-CA"/>
        </w:rPr>
        <w:t xml:space="preserve"> (London: Butterworths, 1990):  427.</w:t>
      </w:r>
    </w:p>
  </w:endnote>
  <w:endnote w:id="54">
    <w:p w14:paraId="7B887DDC"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Ibid.</w:t>
      </w:r>
    </w:p>
  </w:endnote>
  <w:endnote w:id="55">
    <w:p w14:paraId="3E515CEE" w14:textId="2104557D"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D. Grey, ‘Parenting, Infanticide, and the State in England and Wales, 1870-1950’ in Hester Barron and Claudia </w:t>
      </w:r>
      <w:proofErr w:type="spellStart"/>
      <w:r w:rsidRPr="00E974E3">
        <w:rPr>
          <w:rFonts w:ascii="Arial" w:hAnsi="Arial" w:cs="Arial"/>
        </w:rPr>
        <w:t>Siebrecht</w:t>
      </w:r>
      <w:proofErr w:type="spellEnd"/>
      <w:r w:rsidRPr="00E974E3">
        <w:rPr>
          <w:rFonts w:ascii="Arial" w:hAnsi="Arial" w:cs="Arial"/>
        </w:rPr>
        <w:t xml:space="preserve"> (eds.) </w:t>
      </w:r>
      <w:r w:rsidRPr="00E974E3">
        <w:rPr>
          <w:rFonts w:ascii="Arial" w:hAnsi="Arial" w:cs="Arial"/>
          <w:i/>
        </w:rPr>
        <w:t>Parenting and the State in Britain and Europe, 1870-1950: Raising the Nation</w:t>
      </w:r>
      <w:r w:rsidRPr="00E974E3">
        <w:rPr>
          <w:rFonts w:ascii="Arial" w:hAnsi="Arial" w:cs="Arial"/>
        </w:rPr>
        <w:t xml:space="preserve"> (Basingstoke, 2017), 76-7.</w:t>
      </w:r>
    </w:p>
  </w:endnote>
  <w:endnote w:id="56">
    <w:p w14:paraId="5266E19D" w14:textId="3E506EC2" w:rsidR="002D4328" w:rsidRPr="00E974E3" w:rsidRDefault="002D4328" w:rsidP="00D0574D">
      <w:pPr>
        <w:pStyle w:val="EndnoteText"/>
        <w:rPr>
          <w:rFonts w:ascii="Arial" w:hAnsi="Arial" w:cs="Arial"/>
          <w:lang w:val="en-CA"/>
        </w:rPr>
      </w:pPr>
      <w:r w:rsidRPr="00E974E3">
        <w:rPr>
          <w:rStyle w:val="EndnoteReference"/>
          <w:rFonts w:ascii="Arial" w:hAnsi="Arial" w:cs="Arial"/>
        </w:rPr>
        <w:endnoteRef/>
      </w:r>
      <w:r w:rsidRPr="00E974E3">
        <w:rPr>
          <w:rFonts w:ascii="Arial" w:hAnsi="Arial" w:cs="Arial"/>
        </w:rPr>
        <w:t xml:space="preserve"> See: B. S. Godfrey and P. Lawrence, </w:t>
      </w:r>
      <w:r w:rsidRPr="00E974E3">
        <w:rPr>
          <w:rFonts w:ascii="Arial" w:hAnsi="Arial" w:cs="Arial"/>
          <w:i/>
        </w:rPr>
        <w:t>Crime and Justice 1750-1950</w:t>
      </w:r>
      <w:r w:rsidRPr="00E974E3">
        <w:rPr>
          <w:rFonts w:ascii="Arial" w:hAnsi="Arial" w:cs="Arial"/>
        </w:rPr>
        <w:t xml:space="preserve"> (</w:t>
      </w:r>
      <w:proofErr w:type="spellStart"/>
      <w:r w:rsidRPr="00E974E3">
        <w:rPr>
          <w:rFonts w:ascii="Arial" w:hAnsi="Arial" w:cs="Arial"/>
        </w:rPr>
        <w:t>Willan</w:t>
      </w:r>
      <w:proofErr w:type="spellEnd"/>
      <w:r w:rsidRPr="00E974E3">
        <w:rPr>
          <w:rFonts w:ascii="Arial" w:hAnsi="Arial" w:cs="Arial"/>
        </w:rPr>
        <w:t xml:space="preserve"> Publishing, </w:t>
      </w:r>
      <w:proofErr w:type="spellStart"/>
      <w:r w:rsidRPr="00E974E3">
        <w:rPr>
          <w:rFonts w:ascii="Arial" w:hAnsi="Arial" w:cs="Arial"/>
        </w:rPr>
        <w:t>Cullompton</w:t>
      </w:r>
      <w:proofErr w:type="spellEnd"/>
      <w:r w:rsidRPr="00E974E3">
        <w:rPr>
          <w:rFonts w:ascii="Arial" w:hAnsi="Arial" w:cs="Arial"/>
        </w:rPr>
        <w:t xml:space="preserve">, 2005:  141-7; </w:t>
      </w:r>
      <w:r w:rsidRPr="00E974E3">
        <w:rPr>
          <w:rFonts w:ascii="Arial" w:hAnsi="Arial" w:cs="Arial"/>
          <w:lang w:val="en-CA"/>
        </w:rPr>
        <w:t xml:space="preserve">Godfrey, B. (2013) ‘A Historical Perspective on Criminal Justice Responses to Female and Male Offending’ in: </w:t>
      </w:r>
      <w:r w:rsidRPr="00E974E3">
        <w:rPr>
          <w:rFonts w:ascii="Arial" w:hAnsi="Arial" w:cs="Arial"/>
          <w:i/>
          <w:lang w:val="en-CA"/>
        </w:rPr>
        <w:t>Oxford Handbook on Gender, Sex, and Crime</w:t>
      </w:r>
      <w:r w:rsidRPr="00E974E3">
        <w:rPr>
          <w:rFonts w:ascii="Arial" w:hAnsi="Arial" w:cs="Arial"/>
          <w:lang w:val="en-CA"/>
        </w:rPr>
        <w:t>. Oxford: Oxford University Press</w:t>
      </w:r>
      <w:r w:rsidRPr="00E974E3">
        <w:rPr>
          <w:rFonts w:ascii="Arial" w:hAnsi="Arial" w:cs="Arial"/>
        </w:rPr>
        <w:t xml:space="preserve">; L. Williams, </w:t>
      </w:r>
      <w:r w:rsidRPr="00E974E3">
        <w:rPr>
          <w:rFonts w:ascii="Arial" w:hAnsi="Arial" w:cs="Arial"/>
          <w:i/>
        </w:rPr>
        <w:t>Wayward Women: Female Offending in Victorian England</w:t>
      </w:r>
      <w:r w:rsidRPr="00E974E3">
        <w:rPr>
          <w:rFonts w:ascii="Arial" w:hAnsi="Arial" w:cs="Arial"/>
        </w:rPr>
        <w:t xml:space="preserve"> (Barnsley, 2016).</w:t>
      </w:r>
    </w:p>
  </w:endnote>
  <w:endnote w:id="57">
    <w:p w14:paraId="4FEA24FE" w14:textId="1AC147C5"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Quinton, </w:t>
      </w:r>
      <w:r w:rsidR="00E974E3" w:rsidRPr="00E974E3">
        <w:rPr>
          <w:rFonts w:ascii="Arial" w:hAnsi="Arial" w:cs="Arial"/>
          <w:i/>
          <w:iCs/>
        </w:rPr>
        <w:t>Crime and Criminals</w:t>
      </w:r>
      <w:r w:rsidR="00E974E3" w:rsidRPr="00E974E3">
        <w:rPr>
          <w:rFonts w:ascii="Arial" w:hAnsi="Arial" w:cs="Arial"/>
          <w:lang w:val="en-CA"/>
        </w:rPr>
        <w:t xml:space="preserve">: </w:t>
      </w:r>
      <w:r w:rsidRPr="00E974E3">
        <w:rPr>
          <w:rFonts w:ascii="Arial" w:hAnsi="Arial" w:cs="Arial"/>
          <w:lang w:val="en-CA"/>
        </w:rPr>
        <w:t>13.</w:t>
      </w:r>
    </w:p>
  </w:endnote>
  <w:endnote w:id="58">
    <w:p w14:paraId="6499FFC2" w14:textId="4CE7A6F4"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E27BC5" w:rsidRPr="00E974E3">
        <w:rPr>
          <w:rFonts w:ascii="Arial" w:hAnsi="Arial" w:cs="Arial"/>
          <w:lang w:val="en-CA"/>
        </w:rPr>
        <w:t>Ibid</w:t>
      </w:r>
      <w:r w:rsidRPr="00E974E3">
        <w:rPr>
          <w:rFonts w:ascii="Arial" w:hAnsi="Arial" w:cs="Arial"/>
          <w:lang w:val="en-CA"/>
        </w:rPr>
        <w:t>:  13.</w:t>
      </w:r>
    </w:p>
  </w:endnote>
  <w:endnote w:id="59">
    <w:p w14:paraId="02F5AD5E" w14:textId="00049970"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For example, see: </w:t>
      </w:r>
      <w:r w:rsidR="007C0BD2" w:rsidRPr="00E974E3">
        <w:rPr>
          <w:rFonts w:ascii="Arial" w:hAnsi="Arial" w:cs="Arial"/>
        </w:rPr>
        <w:t xml:space="preserve">T. Patmore, </w:t>
      </w:r>
      <w:r w:rsidRPr="00E974E3">
        <w:rPr>
          <w:rFonts w:ascii="Arial" w:hAnsi="Arial" w:cs="Arial"/>
        </w:rPr>
        <w:t xml:space="preserve">‘Some points bearing on malingering’, </w:t>
      </w:r>
      <w:r w:rsidRPr="00E974E3">
        <w:rPr>
          <w:rFonts w:ascii="Arial" w:hAnsi="Arial" w:cs="Arial"/>
          <w:i/>
        </w:rPr>
        <w:t>British Medical Journal</w:t>
      </w:r>
      <w:r w:rsidRPr="00E974E3">
        <w:rPr>
          <w:rFonts w:ascii="Arial" w:hAnsi="Arial" w:cs="Arial"/>
        </w:rPr>
        <w:t xml:space="preserve"> (February 3, 1894):  238-239; for context, see: S. Watson, “Malingers”, the “Weak-minded” and the “Moral-Imbecile”: How the English Prison Medical Officer Became an Expert in Mental Deficiency,‟ in M. Clark and C. Crawford (eds.), </w:t>
      </w:r>
      <w:r w:rsidRPr="00E974E3">
        <w:rPr>
          <w:rFonts w:ascii="Arial" w:hAnsi="Arial" w:cs="Arial"/>
          <w:i/>
        </w:rPr>
        <w:t xml:space="preserve">Legal Medicine in History </w:t>
      </w:r>
      <w:r w:rsidRPr="00E974E3">
        <w:rPr>
          <w:rFonts w:ascii="Arial" w:hAnsi="Arial" w:cs="Arial"/>
        </w:rPr>
        <w:t>(Cambridge, 1994)  223-41.</w:t>
      </w:r>
    </w:p>
  </w:endnote>
  <w:endnote w:id="60">
    <w:p w14:paraId="2608943D"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proofErr w:type="gramStart"/>
      <w:r w:rsidRPr="00E974E3">
        <w:rPr>
          <w:rFonts w:ascii="Arial" w:hAnsi="Arial" w:cs="Arial"/>
        </w:rPr>
        <w:t>1851 England Census.</w:t>
      </w:r>
      <w:proofErr w:type="gramEnd"/>
      <w:r w:rsidRPr="00E974E3">
        <w:rPr>
          <w:rFonts w:ascii="Arial" w:hAnsi="Arial" w:cs="Arial"/>
        </w:rPr>
        <w:t xml:space="preserve"> </w:t>
      </w:r>
      <w:proofErr w:type="gramStart"/>
      <w:r w:rsidRPr="00E974E3">
        <w:rPr>
          <w:rFonts w:ascii="Arial" w:hAnsi="Arial" w:cs="Arial"/>
        </w:rPr>
        <w:t>Ancestry.</w:t>
      </w:r>
      <w:proofErr w:type="gramEnd"/>
      <w:r w:rsidRPr="00E974E3">
        <w:rPr>
          <w:rFonts w:ascii="Arial" w:hAnsi="Arial" w:cs="Arial"/>
        </w:rPr>
        <w:t xml:space="preserve"> https://www.ancestry.co.uk. </w:t>
      </w:r>
      <w:proofErr w:type="gramStart"/>
      <w:r w:rsidRPr="00E974E3">
        <w:rPr>
          <w:rFonts w:ascii="Arial" w:hAnsi="Arial" w:cs="Arial"/>
        </w:rPr>
        <w:t>[Accessed 8 June 2017].</w:t>
      </w:r>
      <w:proofErr w:type="gramEnd"/>
    </w:p>
  </w:endnote>
  <w:endnote w:id="61">
    <w:p w14:paraId="322BBEA2"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Licence 6741: Licences of Parole for Female Convicts, 1853-1871, 1883-1887. </w:t>
      </w:r>
      <w:proofErr w:type="gramStart"/>
      <w:r w:rsidRPr="00E974E3">
        <w:rPr>
          <w:rFonts w:ascii="Arial" w:hAnsi="Arial" w:cs="Arial"/>
          <w:i/>
        </w:rPr>
        <w:t>Ancestry</w:t>
      </w:r>
      <w:r w:rsidRPr="00E974E3">
        <w:rPr>
          <w:rFonts w:ascii="Arial" w:hAnsi="Arial" w:cs="Arial"/>
        </w:rPr>
        <w:t>.</w:t>
      </w:r>
      <w:proofErr w:type="gramEnd"/>
      <w:r w:rsidRPr="00E974E3">
        <w:rPr>
          <w:rFonts w:ascii="Arial" w:hAnsi="Arial" w:cs="Arial"/>
        </w:rPr>
        <w:t xml:space="preserve"> https://www.ancestry.co.uk. </w:t>
      </w:r>
      <w:proofErr w:type="gramStart"/>
      <w:r w:rsidRPr="00E974E3">
        <w:rPr>
          <w:rFonts w:ascii="Arial" w:hAnsi="Arial" w:cs="Arial"/>
        </w:rPr>
        <w:t>Accessed 8 June 2017.</w:t>
      </w:r>
      <w:proofErr w:type="gramEnd"/>
    </w:p>
  </w:endnote>
  <w:endnote w:id="62">
    <w:p w14:paraId="533D087E"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Ibid.</w:t>
      </w:r>
    </w:p>
  </w:endnote>
  <w:endnote w:id="63">
    <w:p w14:paraId="677BBA17" w14:textId="77777777" w:rsidR="002D4328" w:rsidRPr="00E974E3" w:rsidRDefault="002D4328" w:rsidP="00D668E9">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S. </w:t>
      </w:r>
      <w:proofErr w:type="spellStart"/>
      <w:r w:rsidRPr="00E974E3">
        <w:rPr>
          <w:rFonts w:ascii="Arial" w:hAnsi="Arial" w:cs="Arial"/>
          <w:lang w:val="en-CA"/>
        </w:rPr>
        <w:t>McConville</w:t>
      </w:r>
      <w:proofErr w:type="spellEnd"/>
      <w:r w:rsidRPr="00E974E3">
        <w:rPr>
          <w:rFonts w:ascii="Arial" w:hAnsi="Arial" w:cs="Arial"/>
          <w:lang w:val="en-CA"/>
        </w:rPr>
        <w:t xml:space="preserve">, </w:t>
      </w:r>
      <w:r w:rsidRPr="00E974E3">
        <w:rPr>
          <w:rFonts w:ascii="Arial" w:hAnsi="Arial" w:cs="Arial"/>
          <w:i/>
        </w:rPr>
        <w:t>English Local Prisons, 1860-1900: Next only to Death</w:t>
      </w:r>
      <w:r w:rsidRPr="00E974E3">
        <w:rPr>
          <w:rFonts w:ascii="Arial" w:hAnsi="Arial" w:cs="Arial"/>
        </w:rPr>
        <w:t xml:space="preserve"> (London, 1995): p. 343.</w:t>
      </w:r>
    </w:p>
  </w:endnote>
  <w:endnote w:id="64">
    <w:p w14:paraId="109EE8EA" w14:textId="54CEB848"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7C0BD2" w:rsidRPr="00E974E3">
        <w:rPr>
          <w:rFonts w:ascii="Arial" w:hAnsi="Arial" w:cs="Arial"/>
        </w:rPr>
        <w:t>Ibid:</w:t>
      </w:r>
      <w:r w:rsidRPr="00E974E3">
        <w:rPr>
          <w:rFonts w:ascii="Arial" w:hAnsi="Arial" w:cs="Arial"/>
        </w:rPr>
        <w:t xml:space="preserve"> 343.</w:t>
      </w:r>
    </w:p>
  </w:endnote>
  <w:endnote w:id="65">
    <w:p w14:paraId="3B5A0358" w14:textId="2F644428" w:rsidR="002D4328" w:rsidRPr="00E974E3" w:rsidRDefault="002D4328" w:rsidP="00CF3487">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7C0BD2" w:rsidRPr="00E974E3">
        <w:rPr>
          <w:rFonts w:ascii="Arial" w:hAnsi="Arial" w:cs="Arial"/>
        </w:rPr>
        <w:t xml:space="preserve">Ibid: </w:t>
      </w:r>
      <w:r w:rsidRPr="00E974E3">
        <w:rPr>
          <w:rFonts w:ascii="Arial" w:hAnsi="Arial" w:cs="Arial"/>
        </w:rPr>
        <w:t>342; Davie.</w:t>
      </w:r>
    </w:p>
  </w:endnote>
  <w:endnote w:id="66">
    <w:p w14:paraId="073F1280" w14:textId="77777777" w:rsidR="002D4328" w:rsidRPr="00E974E3" w:rsidRDefault="002D4328" w:rsidP="000362D6">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 xml:space="preserve">Licence 6741: Licences of Parole for Female Convicts, 1853-1871, 1883-1887. </w:t>
      </w:r>
      <w:proofErr w:type="gramStart"/>
      <w:r w:rsidRPr="00E974E3">
        <w:rPr>
          <w:rFonts w:ascii="Arial" w:hAnsi="Arial" w:cs="Arial"/>
          <w:i/>
          <w:lang w:val="en-CA"/>
        </w:rPr>
        <w:t>Ancestry</w:t>
      </w:r>
      <w:r w:rsidRPr="00E974E3">
        <w:rPr>
          <w:rFonts w:ascii="Arial" w:hAnsi="Arial" w:cs="Arial"/>
          <w:lang w:val="en-CA"/>
        </w:rPr>
        <w:t>.</w:t>
      </w:r>
      <w:proofErr w:type="gramEnd"/>
      <w:r w:rsidRPr="00E974E3">
        <w:rPr>
          <w:rFonts w:ascii="Arial" w:hAnsi="Arial" w:cs="Arial"/>
          <w:lang w:val="en-CA"/>
        </w:rPr>
        <w:t xml:space="preserve"> https://www.ancestry.co.uk. </w:t>
      </w:r>
      <w:proofErr w:type="gramStart"/>
      <w:r w:rsidRPr="00E974E3">
        <w:rPr>
          <w:rFonts w:ascii="Arial" w:hAnsi="Arial" w:cs="Arial"/>
          <w:lang w:val="en-CA"/>
        </w:rPr>
        <w:t>Accessed 8 June 2017</w:t>
      </w:r>
      <w:r w:rsidRPr="00E974E3">
        <w:rPr>
          <w:rFonts w:ascii="Arial" w:hAnsi="Arial" w:cs="Arial"/>
        </w:rPr>
        <w:t>.</w:t>
      </w:r>
      <w:proofErr w:type="gramEnd"/>
    </w:p>
  </w:endnote>
  <w:endnote w:id="67">
    <w:p w14:paraId="19B56F93" w14:textId="77777777" w:rsidR="002D4328" w:rsidRPr="00E974E3" w:rsidRDefault="002D4328" w:rsidP="000362D6">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Ibid.</w:t>
      </w:r>
    </w:p>
  </w:endnote>
  <w:endnote w:id="68">
    <w:p w14:paraId="60862148" w14:textId="77777777" w:rsidR="002D4328" w:rsidRPr="00E974E3" w:rsidRDefault="002D4328" w:rsidP="000362D6">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Ibid.</w:t>
      </w:r>
    </w:p>
  </w:endnote>
  <w:endnote w:id="69">
    <w:p w14:paraId="14B7C0EB"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Ibid.</w:t>
      </w:r>
    </w:p>
  </w:endnote>
  <w:endnote w:id="70">
    <w:p w14:paraId="6870B137"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Ibid.</w:t>
      </w:r>
    </w:p>
  </w:endnote>
  <w:endnote w:id="71">
    <w:p w14:paraId="464B6D83" w14:textId="77777777"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Pr="00E974E3">
        <w:rPr>
          <w:rFonts w:ascii="Arial" w:hAnsi="Arial" w:cs="Arial"/>
          <w:lang w:val="en-CA"/>
        </w:rPr>
        <w:t>Ibid.</w:t>
      </w:r>
    </w:p>
  </w:endnote>
  <w:endnote w:id="72">
    <w:p w14:paraId="56B50EF5" w14:textId="60F1E9FE"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r w:rsidR="007C0BD2" w:rsidRPr="00E974E3">
        <w:rPr>
          <w:rFonts w:ascii="Arial" w:hAnsi="Arial" w:cs="Arial"/>
        </w:rPr>
        <w:t>K. Price and B. Godfrey, (2019) ‘Victorian systems will not solve modern prison health problems’, Lancet, 393, (10169), pp. 312-313.</w:t>
      </w:r>
    </w:p>
  </w:endnote>
  <w:endnote w:id="73">
    <w:p w14:paraId="7B0BBB12" w14:textId="6920831C" w:rsidR="002D4328" w:rsidRPr="00E974E3" w:rsidRDefault="002D4328">
      <w:pPr>
        <w:pStyle w:val="EndnoteText"/>
        <w:rPr>
          <w:rFonts w:ascii="Arial" w:hAnsi="Arial" w:cs="Arial"/>
        </w:rPr>
      </w:pPr>
      <w:r w:rsidRPr="00E974E3">
        <w:rPr>
          <w:rStyle w:val="EndnoteReference"/>
          <w:rFonts w:ascii="Arial" w:hAnsi="Arial" w:cs="Arial"/>
        </w:rPr>
        <w:endnoteRef/>
      </w:r>
      <w:r w:rsidRPr="00E974E3">
        <w:rPr>
          <w:rFonts w:ascii="Arial" w:hAnsi="Arial" w:cs="Arial"/>
        </w:rPr>
        <w:t xml:space="preserve"> </w:t>
      </w:r>
      <w:proofErr w:type="spellStart"/>
      <w:r w:rsidRPr="00E974E3">
        <w:rPr>
          <w:rFonts w:ascii="Arial" w:hAnsi="Arial" w:cs="Arial"/>
        </w:rPr>
        <w:t>McConville</w:t>
      </w:r>
      <w:proofErr w:type="spellEnd"/>
      <w:r w:rsidRPr="00E974E3">
        <w:rPr>
          <w:rFonts w:ascii="Arial" w:hAnsi="Arial" w:cs="Arial"/>
        </w:rPr>
        <w:t xml:space="preserve">, </w:t>
      </w:r>
      <w:r w:rsidRPr="00E974E3">
        <w:rPr>
          <w:rFonts w:ascii="Arial" w:hAnsi="Arial" w:cs="Arial"/>
          <w:i/>
          <w:lang w:val="en-CA"/>
        </w:rPr>
        <w:t>English Local Prisons</w:t>
      </w:r>
      <w:r w:rsidRPr="00E974E3">
        <w:rPr>
          <w:rFonts w:ascii="Arial" w:hAnsi="Arial" w:cs="Arial"/>
        </w:rPr>
        <w:t>:  343.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80053"/>
      <w:docPartObj>
        <w:docPartGallery w:val="Page Numbers (Bottom of Page)"/>
        <w:docPartUnique/>
      </w:docPartObj>
    </w:sdtPr>
    <w:sdtEndPr>
      <w:rPr>
        <w:noProof/>
      </w:rPr>
    </w:sdtEndPr>
    <w:sdtContent>
      <w:p w14:paraId="116AC4AC" w14:textId="77777777" w:rsidR="002D4328" w:rsidRDefault="002D4328">
        <w:pPr>
          <w:pStyle w:val="Footer"/>
          <w:jc w:val="center"/>
        </w:pPr>
        <w:r>
          <w:fldChar w:fldCharType="begin"/>
        </w:r>
        <w:r>
          <w:instrText xml:space="preserve"> PAGE   \* MERGEFORMAT </w:instrText>
        </w:r>
        <w:r>
          <w:fldChar w:fldCharType="separate"/>
        </w:r>
        <w:r w:rsidR="00393A4E">
          <w:rPr>
            <w:noProof/>
          </w:rPr>
          <w:t>1</w:t>
        </w:r>
        <w:r>
          <w:rPr>
            <w:noProof/>
          </w:rPr>
          <w:fldChar w:fldCharType="end"/>
        </w:r>
      </w:p>
    </w:sdtContent>
  </w:sdt>
  <w:p w14:paraId="4807ACC3" w14:textId="77777777" w:rsidR="002D4328" w:rsidRDefault="002D4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57EED" w14:textId="77777777" w:rsidR="0022414F" w:rsidRDefault="0022414F" w:rsidP="00B30D51">
      <w:pPr>
        <w:spacing w:after="0" w:line="240" w:lineRule="auto"/>
      </w:pPr>
      <w:r>
        <w:separator/>
      </w:r>
    </w:p>
  </w:footnote>
  <w:footnote w:type="continuationSeparator" w:id="0">
    <w:p w14:paraId="2361E463" w14:textId="77777777" w:rsidR="0022414F" w:rsidRDefault="0022414F" w:rsidP="00B30D5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e Price">
    <w15:presenceInfo w15:providerId="AD" w15:userId="S-1-5-21-3685816821-1215056363-1987234180-8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D0"/>
    <w:rsid w:val="000001E2"/>
    <w:rsid w:val="000017A8"/>
    <w:rsid w:val="00002809"/>
    <w:rsid w:val="00003D52"/>
    <w:rsid w:val="00010F09"/>
    <w:rsid w:val="00012285"/>
    <w:rsid w:val="00012E37"/>
    <w:rsid w:val="000165F1"/>
    <w:rsid w:val="00016A3A"/>
    <w:rsid w:val="00016E16"/>
    <w:rsid w:val="00026816"/>
    <w:rsid w:val="00032417"/>
    <w:rsid w:val="000362D6"/>
    <w:rsid w:val="00037A54"/>
    <w:rsid w:val="00043595"/>
    <w:rsid w:val="0005457E"/>
    <w:rsid w:val="000577A4"/>
    <w:rsid w:val="00062252"/>
    <w:rsid w:val="000635DD"/>
    <w:rsid w:val="00063AF0"/>
    <w:rsid w:val="00066308"/>
    <w:rsid w:val="00071931"/>
    <w:rsid w:val="000754C6"/>
    <w:rsid w:val="00075ED6"/>
    <w:rsid w:val="00077BB4"/>
    <w:rsid w:val="00082A76"/>
    <w:rsid w:val="00084980"/>
    <w:rsid w:val="00084BD5"/>
    <w:rsid w:val="00087A06"/>
    <w:rsid w:val="00093413"/>
    <w:rsid w:val="00093C73"/>
    <w:rsid w:val="000A12B7"/>
    <w:rsid w:val="000A4DA8"/>
    <w:rsid w:val="000A68E3"/>
    <w:rsid w:val="000B02D2"/>
    <w:rsid w:val="000B2BEC"/>
    <w:rsid w:val="000B44A3"/>
    <w:rsid w:val="000B45A4"/>
    <w:rsid w:val="000C074C"/>
    <w:rsid w:val="000C74FE"/>
    <w:rsid w:val="000D13A3"/>
    <w:rsid w:val="000D19C0"/>
    <w:rsid w:val="000D5284"/>
    <w:rsid w:val="000D6B87"/>
    <w:rsid w:val="000E03D9"/>
    <w:rsid w:val="000E768A"/>
    <w:rsid w:val="000F5EC5"/>
    <w:rsid w:val="000F7143"/>
    <w:rsid w:val="00104C2B"/>
    <w:rsid w:val="00106140"/>
    <w:rsid w:val="001109EE"/>
    <w:rsid w:val="0011265D"/>
    <w:rsid w:val="00113FFF"/>
    <w:rsid w:val="001159DA"/>
    <w:rsid w:val="00115F1E"/>
    <w:rsid w:val="001229DD"/>
    <w:rsid w:val="00123B19"/>
    <w:rsid w:val="001264AA"/>
    <w:rsid w:val="001266D3"/>
    <w:rsid w:val="00127381"/>
    <w:rsid w:val="00134115"/>
    <w:rsid w:val="0013618A"/>
    <w:rsid w:val="001419E8"/>
    <w:rsid w:val="00142BA5"/>
    <w:rsid w:val="001439A8"/>
    <w:rsid w:val="00150C18"/>
    <w:rsid w:val="00153065"/>
    <w:rsid w:val="00157466"/>
    <w:rsid w:val="00163586"/>
    <w:rsid w:val="00164122"/>
    <w:rsid w:val="00165080"/>
    <w:rsid w:val="00165A54"/>
    <w:rsid w:val="00166D05"/>
    <w:rsid w:val="00171815"/>
    <w:rsid w:val="00172D30"/>
    <w:rsid w:val="00172FA6"/>
    <w:rsid w:val="00173BA6"/>
    <w:rsid w:val="0017569B"/>
    <w:rsid w:val="00176558"/>
    <w:rsid w:val="0017692F"/>
    <w:rsid w:val="00177D6D"/>
    <w:rsid w:val="00186091"/>
    <w:rsid w:val="00187CB7"/>
    <w:rsid w:val="00191965"/>
    <w:rsid w:val="001935FC"/>
    <w:rsid w:val="00196BC8"/>
    <w:rsid w:val="001A78BC"/>
    <w:rsid w:val="001B380F"/>
    <w:rsid w:val="001B3EF8"/>
    <w:rsid w:val="001B61A0"/>
    <w:rsid w:val="001B7724"/>
    <w:rsid w:val="001D1D60"/>
    <w:rsid w:val="001D2026"/>
    <w:rsid w:val="001D69AE"/>
    <w:rsid w:val="001E6377"/>
    <w:rsid w:val="001E795C"/>
    <w:rsid w:val="001E7AFD"/>
    <w:rsid w:val="001E7B5C"/>
    <w:rsid w:val="001F7510"/>
    <w:rsid w:val="00201168"/>
    <w:rsid w:val="002034A8"/>
    <w:rsid w:val="00204E56"/>
    <w:rsid w:val="00206B56"/>
    <w:rsid w:val="00207934"/>
    <w:rsid w:val="002153CE"/>
    <w:rsid w:val="00216B75"/>
    <w:rsid w:val="0022042E"/>
    <w:rsid w:val="0022158B"/>
    <w:rsid w:val="0022414F"/>
    <w:rsid w:val="00230B88"/>
    <w:rsid w:val="00233479"/>
    <w:rsid w:val="00235FB9"/>
    <w:rsid w:val="0023604C"/>
    <w:rsid w:val="00237446"/>
    <w:rsid w:val="00237BD7"/>
    <w:rsid w:val="00240A5E"/>
    <w:rsid w:val="002412FA"/>
    <w:rsid w:val="0024327C"/>
    <w:rsid w:val="002468BF"/>
    <w:rsid w:val="00246E8A"/>
    <w:rsid w:val="00255FB6"/>
    <w:rsid w:val="00260B40"/>
    <w:rsid w:val="0026163C"/>
    <w:rsid w:val="0026291D"/>
    <w:rsid w:val="00265606"/>
    <w:rsid w:val="002656C3"/>
    <w:rsid w:val="00265AEE"/>
    <w:rsid w:val="00265EFE"/>
    <w:rsid w:val="00271C23"/>
    <w:rsid w:val="0027541E"/>
    <w:rsid w:val="00275F74"/>
    <w:rsid w:val="002827DA"/>
    <w:rsid w:val="00282C77"/>
    <w:rsid w:val="00283536"/>
    <w:rsid w:val="00283A6A"/>
    <w:rsid w:val="002843F9"/>
    <w:rsid w:val="00285818"/>
    <w:rsid w:val="002861CF"/>
    <w:rsid w:val="00286656"/>
    <w:rsid w:val="002930DB"/>
    <w:rsid w:val="002950B5"/>
    <w:rsid w:val="002A1148"/>
    <w:rsid w:val="002A1555"/>
    <w:rsid w:val="002A4764"/>
    <w:rsid w:val="002A548D"/>
    <w:rsid w:val="002A72E0"/>
    <w:rsid w:val="002B0179"/>
    <w:rsid w:val="002B13C0"/>
    <w:rsid w:val="002C37FB"/>
    <w:rsid w:val="002C4DD1"/>
    <w:rsid w:val="002C75D2"/>
    <w:rsid w:val="002D007D"/>
    <w:rsid w:val="002D0B78"/>
    <w:rsid w:val="002D4328"/>
    <w:rsid w:val="002D4E85"/>
    <w:rsid w:val="002D5039"/>
    <w:rsid w:val="002D51A9"/>
    <w:rsid w:val="002D608C"/>
    <w:rsid w:val="002D70E9"/>
    <w:rsid w:val="002D7C30"/>
    <w:rsid w:val="002E30D1"/>
    <w:rsid w:val="002E32C9"/>
    <w:rsid w:val="002E5890"/>
    <w:rsid w:val="002E59CC"/>
    <w:rsid w:val="002F2C57"/>
    <w:rsid w:val="002F46B0"/>
    <w:rsid w:val="00302457"/>
    <w:rsid w:val="00305E19"/>
    <w:rsid w:val="00306158"/>
    <w:rsid w:val="0031243B"/>
    <w:rsid w:val="003136CD"/>
    <w:rsid w:val="00314AF8"/>
    <w:rsid w:val="0031712C"/>
    <w:rsid w:val="0032155F"/>
    <w:rsid w:val="00323BE6"/>
    <w:rsid w:val="00323DF1"/>
    <w:rsid w:val="003250BC"/>
    <w:rsid w:val="00325AEE"/>
    <w:rsid w:val="003267DD"/>
    <w:rsid w:val="00327741"/>
    <w:rsid w:val="003326E4"/>
    <w:rsid w:val="003352B2"/>
    <w:rsid w:val="00337B25"/>
    <w:rsid w:val="00341C73"/>
    <w:rsid w:val="0034342F"/>
    <w:rsid w:val="003435EF"/>
    <w:rsid w:val="00344B09"/>
    <w:rsid w:val="00346961"/>
    <w:rsid w:val="00351116"/>
    <w:rsid w:val="003617D2"/>
    <w:rsid w:val="00362495"/>
    <w:rsid w:val="003637F1"/>
    <w:rsid w:val="00371A20"/>
    <w:rsid w:val="003773D0"/>
    <w:rsid w:val="00377EDF"/>
    <w:rsid w:val="00381557"/>
    <w:rsid w:val="00381661"/>
    <w:rsid w:val="00383DFD"/>
    <w:rsid w:val="00383F02"/>
    <w:rsid w:val="003866A3"/>
    <w:rsid w:val="003931AF"/>
    <w:rsid w:val="00393376"/>
    <w:rsid w:val="00393A4E"/>
    <w:rsid w:val="0039514B"/>
    <w:rsid w:val="003976A9"/>
    <w:rsid w:val="003A2377"/>
    <w:rsid w:val="003A5DEB"/>
    <w:rsid w:val="003B6AF7"/>
    <w:rsid w:val="003B755C"/>
    <w:rsid w:val="003C0101"/>
    <w:rsid w:val="003C6A5F"/>
    <w:rsid w:val="003D11BB"/>
    <w:rsid w:val="003D2340"/>
    <w:rsid w:val="003D5BB4"/>
    <w:rsid w:val="003D7775"/>
    <w:rsid w:val="003F3354"/>
    <w:rsid w:val="003F4592"/>
    <w:rsid w:val="003F5EB5"/>
    <w:rsid w:val="003F6206"/>
    <w:rsid w:val="003F7230"/>
    <w:rsid w:val="00404471"/>
    <w:rsid w:val="0040594D"/>
    <w:rsid w:val="004069E4"/>
    <w:rsid w:val="00412785"/>
    <w:rsid w:val="00412BF5"/>
    <w:rsid w:val="0041513D"/>
    <w:rsid w:val="00416539"/>
    <w:rsid w:val="004226FA"/>
    <w:rsid w:val="00423626"/>
    <w:rsid w:val="004240D7"/>
    <w:rsid w:val="00426C5C"/>
    <w:rsid w:val="00432F64"/>
    <w:rsid w:val="00432FA6"/>
    <w:rsid w:val="00435969"/>
    <w:rsid w:val="00445CBB"/>
    <w:rsid w:val="00446731"/>
    <w:rsid w:val="00451C1C"/>
    <w:rsid w:val="00452A6A"/>
    <w:rsid w:val="00457216"/>
    <w:rsid w:val="004611DD"/>
    <w:rsid w:val="0046400B"/>
    <w:rsid w:val="004648B5"/>
    <w:rsid w:val="00473828"/>
    <w:rsid w:val="00474269"/>
    <w:rsid w:val="00476C9A"/>
    <w:rsid w:val="00486340"/>
    <w:rsid w:val="004943B8"/>
    <w:rsid w:val="004A1927"/>
    <w:rsid w:val="004A1A9F"/>
    <w:rsid w:val="004A1E5C"/>
    <w:rsid w:val="004A6ACC"/>
    <w:rsid w:val="004C0B83"/>
    <w:rsid w:val="004C1E2B"/>
    <w:rsid w:val="004C4C9E"/>
    <w:rsid w:val="004C5D09"/>
    <w:rsid w:val="004C659D"/>
    <w:rsid w:val="004C7612"/>
    <w:rsid w:val="004D33B9"/>
    <w:rsid w:val="004D7B02"/>
    <w:rsid w:val="004E1301"/>
    <w:rsid w:val="004E2D04"/>
    <w:rsid w:val="004E42D5"/>
    <w:rsid w:val="004E4EF5"/>
    <w:rsid w:val="004E67E0"/>
    <w:rsid w:val="004F1374"/>
    <w:rsid w:val="004F2506"/>
    <w:rsid w:val="004F37BB"/>
    <w:rsid w:val="004F78A6"/>
    <w:rsid w:val="00500B4E"/>
    <w:rsid w:val="00503E73"/>
    <w:rsid w:val="00511AF6"/>
    <w:rsid w:val="005139F6"/>
    <w:rsid w:val="0051626D"/>
    <w:rsid w:val="00520819"/>
    <w:rsid w:val="00522369"/>
    <w:rsid w:val="00523715"/>
    <w:rsid w:val="00524D53"/>
    <w:rsid w:val="00542200"/>
    <w:rsid w:val="0054599C"/>
    <w:rsid w:val="005522B7"/>
    <w:rsid w:val="00554077"/>
    <w:rsid w:val="005558B3"/>
    <w:rsid w:val="00560907"/>
    <w:rsid w:val="005636D2"/>
    <w:rsid w:val="005637BA"/>
    <w:rsid w:val="00565D2D"/>
    <w:rsid w:val="005663C3"/>
    <w:rsid w:val="00567362"/>
    <w:rsid w:val="00571CFB"/>
    <w:rsid w:val="00575F22"/>
    <w:rsid w:val="00585AD5"/>
    <w:rsid w:val="00586D72"/>
    <w:rsid w:val="00587941"/>
    <w:rsid w:val="00590705"/>
    <w:rsid w:val="005932D4"/>
    <w:rsid w:val="005964F2"/>
    <w:rsid w:val="005A0D4B"/>
    <w:rsid w:val="005A66F7"/>
    <w:rsid w:val="005A6A3F"/>
    <w:rsid w:val="005B6A41"/>
    <w:rsid w:val="005B6C05"/>
    <w:rsid w:val="005C1D6C"/>
    <w:rsid w:val="005D1E4B"/>
    <w:rsid w:val="005D4274"/>
    <w:rsid w:val="005E4566"/>
    <w:rsid w:val="005E4759"/>
    <w:rsid w:val="005E60B5"/>
    <w:rsid w:val="005E659A"/>
    <w:rsid w:val="005F0C4A"/>
    <w:rsid w:val="005F13BC"/>
    <w:rsid w:val="005F141A"/>
    <w:rsid w:val="005F1AC9"/>
    <w:rsid w:val="005F4693"/>
    <w:rsid w:val="005F6EF2"/>
    <w:rsid w:val="00600DB8"/>
    <w:rsid w:val="00603422"/>
    <w:rsid w:val="00603507"/>
    <w:rsid w:val="006056AA"/>
    <w:rsid w:val="006060CB"/>
    <w:rsid w:val="00613C5E"/>
    <w:rsid w:val="00617588"/>
    <w:rsid w:val="00620E20"/>
    <w:rsid w:val="00623B7F"/>
    <w:rsid w:val="00624C5B"/>
    <w:rsid w:val="006251BE"/>
    <w:rsid w:val="00630147"/>
    <w:rsid w:val="0063297B"/>
    <w:rsid w:val="00637424"/>
    <w:rsid w:val="00642FAA"/>
    <w:rsid w:val="00646BD8"/>
    <w:rsid w:val="00647A59"/>
    <w:rsid w:val="006525CF"/>
    <w:rsid w:val="00664427"/>
    <w:rsid w:val="00664C8A"/>
    <w:rsid w:val="00665DAF"/>
    <w:rsid w:val="006701D9"/>
    <w:rsid w:val="00671216"/>
    <w:rsid w:val="00673150"/>
    <w:rsid w:val="00673587"/>
    <w:rsid w:val="00674CF5"/>
    <w:rsid w:val="00675CAD"/>
    <w:rsid w:val="00686C4D"/>
    <w:rsid w:val="00690967"/>
    <w:rsid w:val="00691A3F"/>
    <w:rsid w:val="00695796"/>
    <w:rsid w:val="006A05C9"/>
    <w:rsid w:val="006A14FD"/>
    <w:rsid w:val="006A39C5"/>
    <w:rsid w:val="006A4E7B"/>
    <w:rsid w:val="006B01BE"/>
    <w:rsid w:val="006B1498"/>
    <w:rsid w:val="006B6BC1"/>
    <w:rsid w:val="006C3F33"/>
    <w:rsid w:val="006C5C7A"/>
    <w:rsid w:val="006D06C7"/>
    <w:rsid w:val="006D6AB1"/>
    <w:rsid w:val="006E019D"/>
    <w:rsid w:val="006E1A97"/>
    <w:rsid w:val="006E1C45"/>
    <w:rsid w:val="006E3973"/>
    <w:rsid w:val="006E5996"/>
    <w:rsid w:val="006E6359"/>
    <w:rsid w:val="006E6DE8"/>
    <w:rsid w:val="006F09E1"/>
    <w:rsid w:val="006F3E91"/>
    <w:rsid w:val="006F71A6"/>
    <w:rsid w:val="0070033C"/>
    <w:rsid w:val="0070090F"/>
    <w:rsid w:val="0070166B"/>
    <w:rsid w:val="00706E8C"/>
    <w:rsid w:val="007105B0"/>
    <w:rsid w:val="00710C39"/>
    <w:rsid w:val="007119C8"/>
    <w:rsid w:val="00713E70"/>
    <w:rsid w:val="00721FE2"/>
    <w:rsid w:val="00724A41"/>
    <w:rsid w:val="007269D8"/>
    <w:rsid w:val="00731D44"/>
    <w:rsid w:val="007341BB"/>
    <w:rsid w:val="00735079"/>
    <w:rsid w:val="007376B3"/>
    <w:rsid w:val="00737916"/>
    <w:rsid w:val="00742932"/>
    <w:rsid w:val="00744CF5"/>
    <w:rsid w:val="00746337"/>
    <w:rsid w:val="00747397"/>
    <w:rsid w:val="00752307"/>
    <w:rsid w:val="0075284D"/>
    <w:rsid w:val="00754086"/>
    <w:rsid w:val="00760564"/>
    <w:rsid w:val="007611DB"/>
    <w:rsid w:val="007652AC"/>
    <w:rsid w:val="00767C07"/>
    <w:rsid w:val="00774449"/>
    <w:rsid w:val="00782222"/>
    <w:rsid w:val="007929BD"/>
    <w:rsid w:val="00793A9B"/>
    <w:rsid w:val="00793FCA"/>
    <w:rsid w:val="00794DD9"/>
    <w:rsid w:val="0079642D"/>
    <w:rsid w:val="007B2719"/>
    <w:rsid w:val="007B3A2C"/>
    <w:rsid w:val="007B5825"/>
    <w:rsid w:val="007C0864"/>
    <w:rsid w:val="007C0BD2"/>
    <w:rsid w:val="007C2BF0"/>
    <w:rsid w:val="007C3D70"/>
    <w:rsid w:val="007C623F"/>
    <w:rsid w:val="007C7D4D"/>
    <w:rsid w:val="007D2DFF"/>
    <w:rsid w:val="007D5839"/>
    <w:rsid w:val="007D6EF8"/>
    <w:rsid w:val="007D787D"/>
    <w:rsid w:val="007D7B97"/>
    <w:rsid w:val="007E0139"/>
    <w:rsid w:val="007E286F"/>
    <w:rsid w:val="007E6564"/>
    <w:rsid w:val="007E7363"/>
    <w:rsid w:val="007F18FB"/>
    <w:rsid w:val="007F3C8E"/>
    <w:rsid w:val="007F45E0"/>
    <w:rsid w:val="007F565E"/>
    <w:rsid w:val="00800C53"/>
    <w:rsid w:val="008022C3"/>
    <w:rsid w:val="008029BE"/>
    <w:rsid w:val="008038E9"/>
    <w:rsid w:val="00804B99"/>
    <w:rsid w:val="00805092"/>
    <w:rsid w:val="00805AFF"/>
    <w:rsid w:val="008072AC"/>
    <w:rsid w:val="0080753C"/>
    <w:rsid w:val="0081026F"/>
    <w:rsid w:val="0081116F"/>
    <w:rsid w:val="008122CE"/>
    <w:rsid w:val="008215E2"/>
    <w:rsid w:val="008252B4"/>
    <w:rsid w:val="00826EC0"/>
    <w:rsid w:val="008320D4"/>
    <w:rsid w:val="00832FB9"/>
    <w:rsid w:val="008332EC"/>
    <w:rsid w:val="00836853"/>
    <w:rsid w:val="00836B98"/>
    <w:rsid w:val="00843A5C"/>
    <w:rsid w:val="00851F76"/>
    <w:rsid w:val="00854BE3"/>
    <w:rsid w:val="00855D3C"/>
    <w:rsid w:val="00857E36"/>
    <w:rsid w:val="008676DB"/>
    <w:rsid w:val="0087024B"/>
    <w:rsid w:val="00870A5D"/>
    <w:rsid w:val="00873FC6"/>
    <w:rsid w:val="00874134"/>
    <w:rsid w:val="00874175"/>
    <w:rsid w:val="008746A5"/>
    <w:rsid w:val="00876A94"/>
    <w:rsid w:val="00877190"/>
    <w:rsid w:val="00882B8C"/>
    <w:rsid w:val="00884129"/>
    <w:rsid w:val="00884D60"/>
    <w:rsid w:val="0088695D"/>
    <w:rsid w:val="0089505B"/>
    <w:rsid w:val="008966C4"/>
    <w:rsid w:val="008A07B7"/>
    <w:rsid w:val="008A5072"/>
    <w:rsid w:val="008A510A"/>
    <w:rsid w:val="008A534E"/>
    <w:rsid w:val="008A627A"/>
    <w:rsid w:val="008B24A2"/>
    <w:rsid w:val="008B2E3C"/>
    <w:rsid w:val="008B31B3"/>
    <w:rsid w:val="008B7788"/>
    <w:rsid w:val="008B7D60"/>
    <w:rsid w:val="008C2645"/>
    <w:rsid w:val="008C2A17"/>
    <w:rsid w:val="008C53AE"/>
    <w:rsid w:val="008C7311"/>
    <w:rsid w:val="008D0355"/>
    <w:rsid w:val="008D4436"/>
    <w:rsid w:val="008E1810"/>
    <w:rsid w:val="008E3D91"/>
    <w:rsid w:val="008E7AC5"/>
    <w:rsid w:val="008F52D6"/>
    <w:rsid w:val="009019FA"/>
    <w:rsid w:val="00905DF3"/>
    <w:rsid w:val="00912CDD"/>
    <w:rsid w:val="009227E6"/>
    <w:rsid w:val="009239FF"/>
    <w:rsid w:val="00923CC5"/>
    <w:rsid w:val="009247B6"/>
    <w:rsid w:val="009328BD"/>
    <w:rsid w:val="00935A0C"/>
    <w:rsid w:val="00935F94"/>
    <w:rsid w:val="00937FC1"/>
    <w:rsid w:val="0094296C"/>
    <w:rsid w:val="00951A8C"/>
    <w:rsid w:val="00961CFA"/>
    <w:rsid w:val="0096524B"/>
    <w:rsid w:val="009660B7"/>
    <w:rsid w:val="00967D4C"/>
    <w:rsid w:val="009707B9"/>
    <w:rsid w:val="00972636"/>
    <w:rsid w:val="00972A80"/>
    <w:rsid w:val="00985683"/>
    <w:rsid w:val="00995EBE"/>
    <w:rsid w:val="00995F84"/>
    <w:rsid w:val="009A14A9"/>
    <w:rsid w:val="009A16AD"/>
    <w:rsid w:val="009A1F21"/>
    <w:rsid w:val="009A45EB"/>
    <w:rsid w:val="009A4C18"/>
    <w:rsid w:val="009A60F2"/>
    <w:rsid w:val="009B1B34"/>
    <w:rsid w:val="009C0F4F"/>
    <w:rsid w:val="009C0F94"/>
    <w:rsid w:val="009C6622"/>
    <w:rsid w:val="009C6EB7"/>
    <w:rsid w:val="009C7A80"/>
    <w:rsid w:val="009D007C"/>
    <w:rsid w:val="009D4E69"/>
    <w:rsid w:val="009D7CED"/>
    <w:rsid w:val="009E5778"/>
    <w:rsid w:val="009E6764"/>
    <w:rsid w:val="00A012AE"/>
    <w:rsid w:val="00A030AD"/>
    <w:rsid w:val="00A06D16"/>
    <w:rsid w:val="00A06E8F"/>
    <w:rsid w:val="00A07781"/>
    <w:rsid w:val="00A07C4B"/>
    <w:rsid w:val="00A07D3B"/>
    <w:rsid w:val="00A13CA3"/>
    <w:rsid w:val="00A162CC"/>
    <w:rsid w:val="00A26E1E"/>
    <w:rsid w:val="00A27AC2"/>
    <w:rsid w:val="00A30E06"/>
    <w:rsid w:val="00A30EB6"/>
    <w:rsid w:val="00A31A7D"/>
    <w:rsid w:val="00A36553"/>
    <w:rsid w:val="00A433FC"/>
    <w:rsid w:val="00A43C8C"/>
    <w:rsid w:val="00A43CF9"/>
    <w:rsid w:val="00A44D90"/>
    <w:rsid w:val="00A45C2D"/>
    <w:rsid w:val="00A47F68"/>
    <w:rsid w:val="00A519B6"/>
    <w:rsid w:val="00A56B4C"/>
    <w:rsid w:val="00A57BFE"/>
    <w:rsid w:val="00A60968"/>
    <w:rsid w:val="00A61AD8"/>
    <w:rsid w:val="00A64738"/>
    <w:rsid w:val="00A647CE"/>
    <w:rsid w:val="00A66E40"/>
    <w:rsid w:val="00A73520"/>
    <w:rsid w:val="00A81BC5"/>
    <w:rsid w:val="00A8224C"/>
    <w:rsid w:val="00A8449E"/>
    <w:rsid w:val="00A8553D"/>
    <w:rsid w:val="00A8756B"/>
    <w:rsid w:val="00A90000"/>
    <w:rsid w:val="00A94249"/>
    <w:rsid w:val="00A96DD0"/>
    <w:rsid w:val="00A972EA"/>
    <w:rsid w:val="00AA1F54"/>
    <w:rsid w:val="00AA4345"/>
    <w:rsid w:val="00AB7E13"/>
    <w:rsid w:val="00AC0408"/>
    <w:rsid w:val="00AC09E3"/>
    <w:rsid w:val="00AC5ADA"/>
    <w:rsid w:val="00AC5F90"/>
    <w:rsid w:val="00AC71F6"/>
    <w:rsid w:val="00AD19D2"/>
    <w:rsid w:val="00AD2BBF"/>
    <w:rsid w:val="00AD4C12"/>
    <w:rsid w:val="00AE2C71"/>
    <w:rsid w:val="00AE32CC"/>
    <w:rsid w:val="00AE3B0E"/>
    <w:rsid w:val="00AF3D80"/>
    <w:rsid w:val="00AF4DEE"/>
    <w:rsid w:val="00AF4F6B"/>
    <w:rsid w:val="00B00C13"/>
    <w:rsid w:val="00B04CB1"/>
    <w:rsid w:val="00B07325"/>
    <w:rsid w:val="00B11BAF"/>
    <w:rsid w:val="00B120DD"/>
    <w:rsid w:val="00B12E33"/>
    <w:rsid w:val="00B1346E"/>
    <w:rsid w:val="00B1577D"/>
    <w:rsid w:val="00B15FAB"/>
    <w:rsid w:val="00B17301"/>
    <w:rsid w:val="00B23CA7"/>
    <w:rsid w:val="00B24762"/>
    <w:rsid w:val="00B25430"/>
    <w:rsid w:val="00B30047"/>
    <w:rsid w:val="00B30D51"/>
    <w:rsid w:val="00B31975"/>
    <w:rsid w:val="00B32FE5"/>
    <w:rsid w:val="00B351FE"/>
    <w:rsid w:val="00B428D0"/>
    <w:rsid w:val="00B4366E"/>
    <w:rsid w:val="00B4667D"/>
    <w:rsid w:val="00B4688C"/>
    <w:rsid w:val="00B530B1"/>
    <w:rsid w:val="00B56267"/>
    <w:rsid w:val="00B62C94"/>
    <w:rsid w:val="00B65609"/>
    <w:rsid w:val="00B6798A"/>
    <w:rsid w:val="00B70476"/>
    <w:rsid w:val="00B753C9"/>
    <w:rsid w:val="00B77611"/>
    <w:rsid w:val="00B81F84"/>
    <w:rsid w:val="00B820CA"/>
    <w:rsid w:val="00B8510B"/>
    <w:rsid w:val="00B909A4"/>
    <w:rsid w:val="00B9203D"/>
    <w:rsid w:val="00B92FD0"/>
    <w:rsid w:val="00B933A0"/>
    <w:rsid w:val="00BB0961"/>
    <w:rsid w:val="00BB1553"/>
    <w:rsid w:val="00BB1A97"/>
    <w:rsid w:val="00BB1C16"/>
    <w:rsid w:val="00BB38B0"/>
    <w:rsid w:val="00BB5891"/>
    <w:rsid w:val="00BB6465"/>
    <w:rsid w:val="00BC344B"/>
    <w:rsid w:val="00BC4B56"/>
    <w:rsid w:val="00BC4C63"/>
    <w:rsid w:val="00BC59A1"/>
    <w:rsid w:val="00BD1741"/>
    <w:rsid w:val="00BD1F9F"/>
    <w:rsid w:val="00BD2F65"/>
    <w:rsid w:val="00BD586B"/>
    <w:rsid w:val="00BE1739"/>
    <w:rsid w:val="00BE6C2C"/>
    <w:rsid w:val="00BF0436"/>
    <w:rsid w:val="00BF2943"/>
    <w:rsid w:val="00C0317B"/>
    <w:rsid w:val="00C03ABA"/>
    <w:rsid w:val="00C057CE"/>
    <w:rsid w:val="00C06468"/>
    <w:rsid w:val="00C10035"/>
    <w:rsid w:val="00C13A2B"/>
    <w:rsid w:val="00C14892"/>
    <w:rsid w:val="00C23ABD"/>
    <w:rsid w:val="00C23E0D"/>
    <w:rsid w:val="00C30E6E"/>
    <w:rsid w:val="00C31E57"/>
    <w:rsid w:val="00C32227"/>
    <w:rsid w:val="00C420B0"/>
    <w:rsid w:val="00C42BEC"/>
    <w:rsid w:val="00C43E0E"/>
    <w:rsid w:val="00C44499"/>
    <w:rsid w:val="00C4486F"/>
    <w:rsid w:val="00C44CCE"/>
    <w:rsid w:val="00C462DF"/>
    <w:rsid w:val="00C46531"/>
    <w:rsid w:val="00C479EF"/>
    <w:rsid w:val="00C47A14"/>
    <w:rsid w:val="00C53B87"/>
    <w:rsid w:val="00C57FBC"/>
    <w:rsid w:val="00C60F5E"/>
    <w:rsid w:val="00C671E1"/>
    <w:rsid w:val="00C7045B"/>
    <w:rsid w:val="00C750DD"/>
    <w:rsid w:val="00C7611B"/>
    <w:rsid w:val="00C81439"/>
    <w:rsid w:val="00C821E3"/>
    <w:rsid w:val="00C86B90"/>
    <w:rsid w:val="00C86BC9"/>
    <w:rsid w:val="00C92158"/>
    <w:rsid w:val="00C939C4"/>
    <w:rsid w:val="00C93D59"/>
    <w:rsid w:val="00CA014E"/>
    <w:rsid w:val="00CA2217"/>
    <w:rsid w:val="00CB00AE"/>
    <w:rsid w:val="00CB12A1"/>
    <w:rsid w:val="00CB233F"/>
    <w:rsid w:val="00CB4B42"/>
    <w:rsid w:val="00CB52D2"/>
    <w:rsid w:val="00CB589F"/>
    <w:rsid w:val="00CC023A"/>
    <w:rsid w:val="00CC6E36"/>
    <w:rsid w:val="00CD5C4D"/>
    <w:rsid w:val="00CE091F"/>
    <w:rsid w:val="00CF3487"/>
    <w:rsid w:val="00CF4658"/>
    <w:rsid w:val="00D01947"/>
    <w:rsid w:val="00D0574D"/>
    <w:rsid w:val="00D05E47"/>
    <w:rsid w:val="00D06361"/>
    <w:rsid w:val="00D11661"/>
    <w:rsid w:val="00D1483A"/>
    <w:rsid w:val="00D17D7A"/>
    <w:rsid w:val="00D21773"/>
    <w:rsid w:val="00D22735"/>
    <w:rsid w:val="00D2418F"/>
    <w:rsid w:val="00D24341"/>
    <w:rsid w:val="00D31CE6"/>
    <w:rsid w:val="00D33D79"/>
    <w:rsid w:val="00D377DC"/>
    <w:rsid w:val="00D46E17"/>
    <w:rsid w:val="00D5166D"/>
    <w:rsid w:val="00D51CBA"/>
    <w:rsid w:val="00D5255B"/>
    <w:rsid w:val="00D551E0"/>
    <w:rsid w:val="00D645E4"/>
    <w:rsid w:val="00D64E28"/>
    <w:rsid w:val="00D668E9"/>
    <w:rsid w:val="00D67631"/>
    <w:rsid w:val="00D67F45"/>
    <w:rsid w:val="00D7048D"/>
    <w:rsid w:val="00D70ABA"/>
    <w:rsid w:val="00D70E8E"/>
    <w:rsid w:val="00D71142"/>
    <w:rsid w:val="00D76D03"/>
    <w:rsid w:val="00D814F4"/>
    <w:rsid w:val="00D82017"/>
    <w:rsid w:val="00D852C5"/>
    <w:rsid w:val="00D92EC6"/>
    <w:rsid w:val="00D95916"/>
    <w:rsid w:val="00D96E62"/>
    <w:rsid w:val="00DA0078"/>
    <w:rsid w:val="00DA2336"/>
    <w:rsid w:val="00DA279F"/>
    <w:rsid w:val="00DA4183"/>
    <w:rsid w:val="00DA5FC7"/>
    <w:rsid w:val="00DA72A9"/>
    <w:rsid w:val="00DB02D5"/>
    <w:rsid w:val="00DB29F4"/>
    <w:rsid w:val="00DB2DAF"/>
    <w:rsid w:val="00DB6FE3"/>
    <w:rsid w:val="00DB72B4"/>
    <w:rsid w:val="00DC03FC"/>
    <w:rsid w:val="00DC391E"/>
    <w:rsid w:val="00DC7814"/>
    <w:rsid w:val="00DD0FB7"/>
    <w:rsid w:val="00DD11DE"/>
    <w:rsid w:val="00DD3216"/>
    <w:rsid w:val="00DD3767"/>
    <w:rsid w:val="00DD74BE"/>
    <w:rsid w:val="00DD799F"/>
    <w:rsid w:val="00DE32DC"/>
    <w:rsid w:val="00DE3AD9"/>
    <w:rsid w:val="00DE63BB"/>
    <w:rsid w:val="00DE7177"/>
    <w:rsid w:val="00DE7305"/>
    <w:rsid w:val="00DF2617"/>
    <w:rsid w:val="00DF381B"/>
    <w:rsid w:val="00E012D2"/>
    <w:rsid w:val="00E01C4F"/>
    <w:rsid w:val="00E02761"/>
    <w:rsid w:val="00E029CA"/>
    <w:rsid w:val="00E07406"/>
    <w:rsid w:val="00E112DC"/>
    <w:rsid w:val="00E1441C"/>
    <w:rsid w:val="00E15650"/>
    <w:rsid w:val="00E1622B"/>
    <w:rsid w:val="00E1752C"/>
    <w:rsid w:val="00E25865"/>
    <w:rsid w:val="00E25CAE"/>
    <w:rsid w:val="00E26F97"/>
    <w:rsid w:val="00E27BC5"/>
    <w:rsid w:val="00E3008C"/>
    <w:rsid w:val="00E30616"/>
    <w:rsid w:val="00E330E5"/>
    <w:rsid w:val="00E35639"/>
    <w:rsid w:val="00E43221"/>
    <w:rsid w:val="00E4415A"/>
    <w:rsid w:val="00E4536A"/>
    <w:rsid w:val="00E5522F"/>
    <w:rsid w:val="00E55CC4"/>
    <w:rsid w:val="00E571FD"/>
    <w:rsid w:val="00E60294"/>
    <w:rsid w:val="00E617F1"/>
    <w:rsid w:val="00E62300"/>
    <w:rsid w:val="00E62AE2"/>
    <w:rsid w:val="00E63C37"/>
    <w:rsid w:val="00E64FD9"/>
    <w:rsid w:val="00E67D45"/>
    <w:rsid w:val="00E74BD1"/>
    <w:rsid w:val="00E81FEC"/>
    <w:rsid w:val="00E910F3"/>
    <w:rsid w:val="00E911B9"/>
    <w:rsid w:val="00E95D3E"/>
    <w:rsid w:val="00E966D0"/>
    <w:rsid w:val="00E974E3"/>
    <w:rsid w:val="00EA199D"/>
    <w:rsid w:val="00EA3E78"/>
    <w:rsid w:val="00EA73A4"/>
    <w:rsid w:val="00EB0306"/>
    <w:rsid w:val="00EB0B82"/>
    <w:rsid w:val="00EB48A4"/>
    <w:rsid w:val="00EB6F42"/>
    <w:rsid w:val="00EC54A5"/>
    <w:rsid w:val="00EC670A"/>
    <w:rsid w:val="00EC6DAF"/>
    <w:rsid w:val="00EC7282"/>
    <w:rsid w:val="00EC72FB"/>
    <w:rsid w:val="00ED06E8"/>
    <w:rsid w:val="00ED6852"/>
    <w:rsid w:val="00ED77F5"/>
    <w:rsid w:val="00EE305E"/>
    <w:rsid w:val="00EF1228"/>
    <w:rsid w:val="00EF246F"/>
    <w:rsid w:val="00EF43BD"/>
    <w:rsid w:val="00EF60E7"/>
    <w:rsid w:val="00EF7E18"/>
    <w:rsid w:val="00F02CC5"/>
    <w:rsid w:val="00F07E01"/>
    <w:rsid w:val="00F21B58"/>
    <w:rsid w:val="00F240A7"/>
    <w:rsid w:val="00F241F4"/>
    <w:rsid w:val="00F314FC"/>
    <w:rsid w:val="00F31B0B"/>
    <w:rsid w:val="00F32D9E"/>
    <w:rsid w:val="00F33719"/>
    <w:rsid w:val="00F3753D"/>
    <w:rsid w:val="00F37DC6"/>
    <w:rsid w:val="00F42FBE"/>
    <w:rsid w:val="00F443F2"/>
    <w:rsid w:val="00F44B14"/>
    <w:rsid w:val="00F47355"/>
    <w:rsid w:val="00F4757D"/>
    <w:rsid w:val="00F52CDB"/>
    <w:rsid w:val="00F62F9F"/>
    <w:rsid w:val="00F64AE4"/>
    <w:rsid w:val="00F66449"/>
    <w:rsid w:val="00F70C3F"/>
    <w:rsid w:val="00F732CD"/>
    <w:rsid w:val="00F763EB"/>
    <w:rsid w:val="00F772AE"/>
    <w:rsid w:val="00F7796E"/>
    <w:rsid w:val="00F80B71"/>
    <w:rsid w:val="00F82448"/>
    <w:rsid w:val="00F82EDB"/>
    <w:rsid w:val="00F847E6"/>
    <w:rsid w:val="00F855AA"/>
    <w:rsid w:val="00F85CD3"/>
    <w:rsid w:val="00F87D71"/>
    <w:rsid w:val="00F9001A"/>
    <w:rsid w:val="00F92CF5"/>
    <w:rsid w:val="00F95661"/>
    <w:rsid w:val="00F96858"/>
    <w:rsid w:val="00F96ACD"/>
    <w:rsid w:val="00FA067B"/>
    <w:rsid w:val="00FA2676"/>
    <w:rsid w:val="00FA2CFD"/>
    <w:rsid w:val="00FA3562"/>
    <w:rsid w:val="00FA3CEB"/>
    <w:rsid w:val="00FA41EB"/>
    <w:rsid w:val="00FA5B63"/>
    <w:rsid w:val="00FA7398"/>
    <w:rsid w:val="00FB047F"/>
    <w:rsid w:val="00FB2E6D"/>
    <w:rsid w:val="00FB316E"/>
    <w:rsid w:val="00FB3F9D"/>
    <w:rsid w:val="00FB420C"/>
    <w:rsid w:val="00FB4CF3"/>
    <w:rsid w:val="00FC1F3E"/>
    <w:rsid w:val="00FC3762"/>
    <w:rsid w:val="00FC78E9"/>
    <w:rsid w:val="00FC7948"/>
    <w:rsid w:val="00FD0EF7"/>
    <w:rsid w:val="00FD22D9"/>
    <w:rsid w:val="00FD45C2"/>
    <w:rsid w:val="00FD6F18"/>
    <w:rsid w:val="00FE18DA"/>
    <w:rsid w:val="00FE377C"/>
    <w:rsid w:val="00FE3DBA"/>
    <w:rsid w:val="00FF1009"/>
    <w:rsid w:val="00FF24A6"/>
    <w:rsid w:val="00FF4ADB"/>
    <w:rsid w:val="00FF5CC6"/>
    <w:rsid w:val="00FF5E8A"/>
    <w:rsid w:val="00FF6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30D51"/>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B30D51"/>
    <w:rPr>
      <w:rFonts w:ascii="Times New Roman" w:eastAsia="Times New Roman" w:hAnsi="Times New Roman" w:cs="Times New Roman"/>
      <w:sz w:val="20"/>
      <w:szCs w:val="20"/>
      <w:lang w:val="en-GB"/>
    </w:rPr>
  </w:style>
  <w:style w:type="character" w:styleId="EndnoteReference">
    <w:name w:val="endnote reference"/>
    <w:basedOn w:val="DefaultParagraphFont"/>
    <w:rsid w:val="00B30D51"/>
    <w:rPr>
      <w:vertAlign w:val="superscript"/>
    </w:rPr>
  </w:style>
  <w:style w:type="paragraph" w:styleId="FootnoteText">
    <w:name w:val="footnote text"/>
    <w:basedOn w:val="Normal"/>
    <w:link w:val="FootnoteTextChar"/>
    <w:semiHidden/>
    <w:rsid w:val="00B933A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933A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933A0"/>
    <w:rPr>
      <w:vertAlign w:val="superscript"/>
    </w:rPr>
  </w:style>
  <w:style w:type="paragraph" w:styleId="BalloonText">
    <w:name w:val="Balloon Text"/>
    <w:basedOn w:val="Normal"/>
    <w:link w:val="BalloonTextChar"/>
    <w:uiPriority w:val="99"/>
    <w:semiHidden/>
    <w:unhideWhenUsed/>
    <w:rsid w:val="009D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7C"/>
    <w:rPr>
      <w:rFonts w:ascii="Tahoma" w:hAnsi="Tahoma" w:cs="Tahoma"/>
      <w:sz w:val="16"/>
      <w:szCs w:val="16"/>
    </w:rPr>
  </w:style>
  <w:style w:type="paragraph" w:styleId="NormalWeb">
    <w:name w:val="Normal (Web)"/>
    <w:basedOn w:val="Normal"/>
    <w:uiPriority w:val="99"/>
    <w:semiHidden/>
    <w:unhideWhenUsed/>
    <w:rsid w:val="00B31975"/>
    <w:rPr>
      <w:rFonts w:ascii="Times New Roman" w:hAnsi="Times New Roman" w:cs="Times New Roman"/>
      <w:sz w:val="24"/>
      <w:szCs w:val="24"/>
    </w:rPr>
  </w:style>
  <w:style w:type="character" w:styleId="Hyperlink">
    <w:name w:val="Hyperlink"/>
    <w:basedOn w:val="DefaultParagraphFont"/>
    <w:uiPriority w:val="99"/>
    <w:unhideWhenUsed/>
    <w:rsid w:val="001A78BC"/>
    <w:rPr>
      <w:color w:val="0000FF" w:themeColor="hyperlink"/>
      <w:u w:val="single"/>
    </w:rPr>
  </w:style>
  <w:style w:type="paragraph" w:styleId="Header">
    <w:name w:val="header"/>
    <w:basedOn w:val="Normal"/>
    <w:link w:val="HeaderChar"/>
    <w:uiPriority w:val="99"/>
    <w:unhideWhenUsed/>
    <w:rsid w:val="0097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7B9"/>
  </w:style>
  <w:style w:type="paragraph" w:styleId="Footer">
    <w:name w:val="footer"/>
    <w:basedOn w:val="Normal"/>
    <w:link w:val="FooterChar"/>
    <w:uiPriority w:val="99"/>
    <w:unhideWhenUsed/>
    <w:rsid w:val="0097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7B9"/>
  </w:style>
  <w:style w:type="character" w:styleId="CommentReference">
    <w:name w:val="annotation reference"/>
    <w:basedOn w:val="DefaultParagraphFont"/>
    <w:uiPriority w:val="99"/>
    <w:semiHidden/>
    <w:unhideWhenUsed/>
    <w:rsid w:val="00C92158"/>
    <w:rPr>
      <w:sz w:val="16"/>
      <w:szCs w:val="16"/>
    </w:rPr>
  </w:style>
  <w:style w:type="paragraph" w:styleId="CommentText">
    <w:name w:val="annotation text"/>
    <w:basedOn w:val="Normal"/>
    <w:link w:val="CommentTextChar"/>
    <w:uiPriority w:val="99"/>
    <w:semiHidden/>
    <w:unhideWhenUsed/>
    <w:rsid w:val="00C92158"/>
    <w:pPr>
      <w:spacing w:line="240" w:lineRule="auto"/>
    </w:pPr>
    <w:rPr>
      <w:sz w:val="20"/>
      <w:szCs w:val="20"/>
    </w:rPr>
  </w:style>
  <w:style w:type="character" w:customStyle="1" w:styleId="CommentTextChar">
    <w:name w:val="Comment Text Char"/>
    <w:basedOn w:val="DefaultParagraphFont"/>
    <w:link w:val="CommentText"/>
    <w:uiPriority w:val="99"/>
    <w:semiHidden/>
    <w:rsid w:val="00C92158"/>
    <w:rPr>
      <w:sz w:val="20"/>
      <w:szCs w:val="20"/>
    </w:rPr>
  </w:style>
  <w:style w:type="paragraph" w:styleId="CommentSubject">
    <w:name w:val="annotation subject"/>
    <w:basedOn w:val="CommentText"/>
    <w:next w:val="CommentText"/>
    <w:link w:val="CommentSubjectChar"/>
    <w:uiPriority w:val="99"/>
    <w:semiHidden/>
    <w:unhideWhenUsed/>
    <w:rsid w:val="00C92158"/>
    <w:rPr>
      <w:b/>
      <w:bCs/>
    </w:rPr>
  </w:style>
  <w:style w:type="character" w:customStyle="1" w:styleId="CommentSubjectChar">
    <w:name w:val="Comment Subject Char"/>
    <w:basedOn w:val="CommentTextChar"/>
    <w:link w:val="CommentSubject"/>
    <w:uiPriority w:val="99"/>
    <w:semiHidden/>
    <w:rsid w:val="00C921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30D51"/>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B30D51"/>
    <w:rPr>
      <w:rFonts w:ascii="Times New Roman" w:eastAsia="Times New Roman" w:hAnsi="Times New Roman" w:cs="Times New Roman"/>
      <w:sz w:val="20"/>
      <w:szCs w:val="20"/>
      <w:lang w:val="en-GB"/>
    </w:rPr>
  </w:style>
  <w:style w:type="character" w:styleId="EndnoteReference">
    <w:name w:val="endnote reference"/>
    <w:basedOn w:val="DefaultParagraphFont"/>
    <w:rsid w:val="00B30D51"/>
    <w:rPr>
      <w:vertAlign w:val="superscript"/>
    </w:rPr>
  </w:style>
  <w:style w:type="paragraph" w:styleId="FootnoteText">
    <w:name w:val="footnote text"/>
    <w:basedOn w:val="Normal"/>
    <w:link w:val="FootnoteTextChar"/>
    <w:semiHidden/>
    <w:rsid w:val="00B933A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933A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933A0"/>
    <w:rPr>
      <w:vertAlign w:val="superscript"/>
    </w:rPr>
  </w:style>
  <w:style w:type="paragraph" w:styleId="BalloonText">
    <w:name w:val="Balloon Text"/>
    <w:basedOn w:val="Normal"/>
    <w:link w:val="BalloonTextChar"/>
    <w:uiPriority w:val="99"/>
    <w:semiHidden/>
    <w:unhideWhenUsed/>
    <w:rsid w:val="009D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7C"/>
    <w:rPr>
      <w:rFonts w:ascii="Tahoma" w:hAnsi="Tahoma" w:cs="Tahoma"/>
      <w:sz w:val="16"/>
      <w:szCs w:val="16"/>
    </w:rPr>
  </w:style>
  <w:style w:type="paragraph" w:styleId="NormalWeb">
    <w:name w:val="Normal (Web)"/>
    <w:basedOn w:val="Normal"/>
    <w:uiPriority w:val="99"/>
    <w:semiHidden/>
    <w:unhideWhenUsed/>
    <w:rsid w:val="00B31975"/>
    <w:rPr>
      <w:rFonts w:ascii="Times New Roman" w:hAnsi="Times New Roman" w:cs="Times New Roman"/>
      <w:sz w:val="24"/>
      <w:szCs w:val="24"/>
    </w:rPr>
  </w:style>
  <w:style w:type="character" w:styleId="Hyperlink">
    <w:name w:val="Hyperlink"/>
    <w:basedOn w:val="DefaultParagraphFont"/>
    <w:uiPriority w:val="99"/>
    <w:unhideWhenUsed/>
    <w:rsid w:val="001A78BC"/>
    <w:rPr>
      <w:color w:val="0000FF" w:themeColor="hyperlink"/>
      <w:u w:val="single"/>
    </w:rPr>
  </w:style>
  <w:style w:type="paragraph" w:styleId="Header">
    <w:name w:val="header"/>
    <w:basedOn w:val="Normal"/>
    <w:link w:val="HeaderChar"/>
    <w:uiPriority w:val="99"/>
    <w:unhideWhenUsed/>
    <w:rsid w:val="0097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7B9"/>
  </w:style>
  <w:style w:type="paragraph" w:styleId="Footer">
    <w:name w:val="footer"/>
    <w:basedOn w:val="Normal"/>
    <w:link w:val="FooterChar"/>
    <w:uiPriority w:val="99"/>
    <w:unhideWhenUsed/>
    <w:rsid w:val="0097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7B9"/>
  </w:style>
  <w:style w:type="character" w:styleId="CommentReference">
    <w:name w:val="annotation reference"/>
    <w:basedOn w:val="DefaultParagraphFont"/>
    <w:uiPriority w:val="99"/>
    <w:semiHidden/>
    <w:unhideWhenUsed/>
    <w:rsid w:val="00C92158"/>
    <w:rPr>
      <w:sz w:val="16"/>
      <w:szCs w:val="16"/>
    </w:rPr>
  </w:style>
  <w:style w:type="paragraph" w:styleId="CommentText">
    <w:name w:val="annotation text"/>
    <w:basedOn w:val="Normal"/>
    <w:link w:val="CommentTextChar"/>
    <w:uiPriority w:val="99"/>
    <w:semiHidden/>
    <w:unhideWhenUsed/>
    <w:rsid w:val="00C92158"/>
    <w:pPr>
      <w:spacing w:line="240" w:lineRule="auto"/>
    </w:pPr>
    <w:rPr>
      <w:sz w:val="20"/>
      <w:szCs w:val="20"/>
    </w:rPr>
  </w:style>
  <w:style w:type="character" w:customStyle="1" w:styleId="CommentTextChar">
    <w:name w:val="Comment Text Char"/>
    <w:basedOn w:val="DefaultParagraphFont"/>
    <w:link w:val="CommentText"/>
    <w:uiPriority w:val="99"/>
    <w:semiHidden/>
    <w:rsid w:val="00C92158"/>
    <w:rPr>
      <w:sz w:val="20"/>
      <w:szCs w:val="20"/>
    </w:rPr>
  </w:style>
  <w:style w:type="paragraph" w:styleId="CommentSubject">
    <w:name w:val="annotation subject"/>
    <w:basedOn w:val="CommentText"/>
    <w:next w:val="CommentText"/>
    <w:link w:val="CommentSubjectChar"/>
    <w:uiPriority w:val="99"/>
    <w:semiHidden/>
    <w:unhideWhenUsed/>
    <w:rsid w:val="00C92158"/>
    <w:rPr>
      <w:b/>
      <w:bCs/>
    </w:rPr>
  </w:style>
  <w:style w:type="character" w:customStyle="1" w:styleId="CommentSubjectChar">
    <w:name w:val="Comment Subject Char"/>
    <w:basedOn w:val="CommentTextChar"/>
    <w:link w:val="CommentSubject"/>
    <w:uiPriority w:val="99"/>
    <w:semiHidden/>
    <w:rsid w:val="00C921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204">
      <w:bodyDiv w:val="1"/>
      <w:marLeft w:val="0"/>
      <w:marRight w:val="0"/>
      <w:marTop w:val="0"/>
      <w:marBottom w:val="0"/>
      <w:divBdr>
        <w:top w:val="none" w:sz="0" w:space="0" w:color="auto"/>
        <w:left w:val="none" w:sz="0" w:space="0" w:color="auto"/>
        <w:bottom w:val="none" w:sz="0" w:space="0" w:color="auto"/>
        <w:right w:val="none" w:sz="0" w:space="0" w:color="auto"/>
      </w:divBdr>
    </w:div>
    <w:div w:id="107164730">
      <w:bodyDiv w:val="1"/>
      <w:marLeft w:val="0"/>
      <w:marRight w:val="0"/>
      <w:marTop w:val="0"/>
      <w:marBottom w:val="0"/>
      <w:divBdr>
        <w:top w:val="none" w:sz="0" w:space="0" w:color="auto"/>
        <w:left w:val="none" w:sz="0" w:space="0" w:color="auto"/>
        <w:bottom w:val="none" w:sz="0" w:space="0" w:color="auto"/>
        <w:right w:val="none" w:sz="0" w:space="0" w:color="auto"/>
      </w:divBdr>
    </w:div>
    <w:div w:id="283510481">
      <w:bodyDiv w:val="1"/>
      <w:marLeft w:val="0"/>
      <w:marRight w:val="0"/>
      <w:marTop w:val="0"/>
      <w:marBottom w:val="0"/>
      <w:divBdr>
        <w:top w:val="none" w:sz="0" w:space="0" w:color="auto"/>
        <w:left w:val="none" w:sz="0" w:space="0" w:color="auto"/>
        <w:bottom w:val="none" w:sz="0" w:space="0" w:color="auto"/>
        <w:right w:val="none" w:sz="0" w:space="0" w:color="auto"/>
      </w:divBdr>
    </w:div>
    <w:div w:id="443498384">
      <w:bodyDiv w:val="1"/>
      <w:marLeft w:val="0"/>
      <w:marRight w:val="0"/>
      <w:marTop w:val="0"/>
      <w:marBottom w:val="0"/>
      <w:divBdr>
        <w:top w:val="none" w:sz="0" w:space="0" w:color="auto"/>
        <w:left w:val="none" w:sz="0" w:space="0" w:color="auto"/>
        <w:bottom w:val="none" w:sz="0" w:space="0" w:color="auto"/>
        <w:right w:val="none" w:sz="0" w:space="0" w:color="auto"/>
      </w:divBdr>
    </w:div>
    <w:div w:id="553195688">
      <w:bodyDiv w:val="1"/>
      <w:marLeft w:val="0"/>
      <w:marRight w:val="0"/>
      <w:marTop w:val="0"/>
      <w:marBottom w:val="0"/>
      <w:divBdr>
        <w:top w:val="none" w:sz="0" w:space="0" w:color="auto"/>
        <w:left w:val="none" w:sz="0" w:space="0" w:color="auto"/>
        <w:bottom w:val="none" w:sz="0" w:space="0" w:color="auto"/>
        <w:right w:val="none" w:sz="0" w:space="0" w:color="auto"/>
      </w:divBdr>
    </w:div>
    <w:div w:id="676927728">
      <w:bodyDiv w:val="1"/>
      <w:marLeft w:val="0"/>
      <w:marRight w:val="0"/>
      <w:marTop w:val="0"/>
      <w:marBottom w:val="0"/>
      <w:divBdr>
        <w:top w:val="none" w:sz="0" w:space="0" w:color="auto"/>
        <w:left w:val="none" w:sz="0" w:space="0" w:color="auto"/>
        <w:bottom w:val="none" w:sz="0" w:space="0" w:color="auto"/>
        <w:right w:val="none" w:sz="0" w:space="0" w:color="auto"/>
      </w:divBdr>
    </w:div>
    <w:div w:id="778640575">
      <w:bodyDiv w:val="1"/>
      <w:marLeft w:val="0"/>
      <w:marRight w:val="0"/>
      <w:marTop w:val="0"/>
      <w:marBottom w:val="0"/>
      <w:divBdr>
        <w:top w:val="none" w:sz="0" w:space="0" w:color="auto"/>
        <w:left w:val="none" w:sz="0" w:space="0" w:color="auto"/>
        <w:bottom w:val="none" w:sz="0" w:space="0" w:color="auto"/>
        <w:right w:val="none" w:sz="0" w:space="0" w:color="auto"/>
      </w:divBdr>
    </w:div>
    <w:div w:id="818964210">
      <w:bodyDiv w:val="1"/>
      <w:marLeft w:val="0"/>
      <w:marRight w:val="0"/>
      <w:marTop w:val="0"/>
      <w:marBottom w:val="0"/>
      <w:divBdr>
        <w:top w:val="none" w:sz="0" w:space="0" w:color="auto"/>
        <w:left w:val="none" w:sz="0" w:space="0" w:color="auto"/>
        <w:bottom w:val="none" w:sz="0" w:space="0" w:color="auto"/>
        <w:right w:val="none" w:sz="0" w:space="0" w:color="auto"/>
      </w:divBdr>
    </w:div>
    <w:div w:id="940841568">
      <w:bodyDiv w:val="1"/>
      <w:marLeft w:val="0"/>
      <w:marRight w:val="0"/>
      <w:marTop w:val="0"/>
      <w:marBottom w:val="0"/>
      <w:divBdr>
        <w:top w:val="none" w:sz="0" w:space="0" w:color="auto"/>
        <w:left w:val="none" w:sz="0" w:space="0" w:color="auto"/>
        <w:bottom w:val="none" w:sz="0" w:space="0" w:color="auto"/>
        <w:right w:val="none" w:sz="0" w:space="0" w:color="auto"/>
      </w:divBdr>
    </w:div>
    <w:div w:id="941258477">
      <w:bodyDiv w:val="1"/>
      <w:marLeft w:val="0"/>
      <w:marRight w:val="0"/>
      <w:marTop w:val="0"/>
      <w:marBottom w:val="0"/>
      <w:divBdr>
        <w:top w:val="none" w:sz="0" w:space="0" w:color="auto"/>
        <w:left w:val="none" w:sz="0" w:space="0" w:color="auto"/>
        <w:bottom w:val="none" w:sz="0" w:space="0" w:color="auto"/>
        <w:right w:val="none" w:sz="0" w:space="0" w:color="auto"/>
      </w:divBdr>
    </w:div>
    <w:div w:id="1020861674">
      <w:bodyDiv w:val="1"/>
      <w:marLeft w:val="0"/>
      <w:marRight w:val="0"/>
      <w:marTop w:val="0"/>
      <w:marBottom w:val="0"/>
      <w:divBdr>
        <w:top w:val="none" w:sz="0" w:space="0" w:color="auto"/>
        <w:left w:val="none" w:sz="0" w:space="0" w:color="auto"/>
        <w:bottom w:val="none" w:sz="0" w:space="0" w:color="auto"/>
        <w:right w:val="none" w:sz="0" w:space="0" w:color="auto"/>
      </w:divBdr>
    </w:div>
    <w:div w:id="1041788330">
      <w:bodyDiv w:val="1"/>
      <w:marLeft w:val="0"/>
      <w:marRight w:val="0"/>
      <w:marTop w:val="0"/>
      <w:marBottom w:val="0"/>
      <w:divBdr>
        <w:top w:val="none" w:sz="0" w:space="0" w:color="auto"/>
        <w:left w:val="none" w:sz="0" w:space="0" w:color="auto"/>
        <w:bottom w:val="none" w:sz="0" w:space="0" w:color="auto"/>
        <w:right w:val="none" w:sz="0" w:space="0" w:color="auto"/>
      </w:divBdr>
    </w:div>
    <w:div w:id="1248153162">
      <w:bodyDiv w:val="1"/>
      <w:marLeft w:val="0"/>
      <w:marRight w:val="0"/>
      <w:marTop w:val="0"/>
      <w:marBottom w:val="0"/>
      <w:divBdr>
        <w:top w:val="none" w:sz="0" w:space="0" w:color="auto"/>
        <w:left w:val="none" w:sz="0" w:space="0" w:color="auto"/>
        <w:bottom w:val="none" w:sz="0" w:space="0" w:color="auto"/>
        <w:right w:val="none" w:sz="0" w:space="0" w:color="auto"/>
      </w:divBdr>
    </w:div>
    <w:div w:id="1325087252">
      <w:bodyDiv w:val="1"/>
      <w:marLeft w:val="0"/>
      <w:marRight w:val="0"/>
      <w:marTop w:val="0"/>
      <w:marBottom w:val="0"/>
      <w:divBdr>
        <w:top w:val="none" w:sz="0" w:space="0" w:color="auto"/>
        <w:left w:val="none" w:sz="0" w:space="0" w:color="auto"/>
        <w:bottom w:val="none" w:sz="0" w:space="0" w:color="auto"/>
        <w:right w:val="none" w:sz="0" w:space="0" w:color="auto"/>
      </w:divBdr>
    </w:div>
    <w:div w:id="1359890620">
      <w:bodyDiv w:val="1"/>
      <w:marLeft w:val="0"/>
      <w:marRight w:val="0"/>
      <w:marTop w:val="0"/>
      <w:marBottom w:val="0"/>
      <w:divBdr>
        <w:top w:val="none" w:sz="0" w:space="0" w:color="auto"/>
        <w:left w:val="none" w:sz="0" w:space="0" w:color="auto"/>
        <w:bottom w:val="none" w:sz="0" w:space="0" w:color="auto"/>
        <w:right w:val="none" w:sz="0" w:space="0" w:color="auto"/>
      </w:divBdr>
    </w:div>
    <w:div w:id="1725253849">
      <w:bodyDiv w:val="1"/>
      <w:marLeft w:val="0"/>
      <w:marRight w:val="0"/>
      <w:marTop w:val="0"/>
      <w:marBottom w:val="0"/>
      <w:divBdr>
        <w:top w:val="none" w:sz="0" w:space="0" w:color="auto"/>
        <w:left w:val="none" w:sz="0" w:space="0" w:color="auto"/>
        <w:bottom w:val="none" w:sz="0" w:space="0" w:color="auto"/>
        <w:right w:val="none" w:sz="0" w:space="0" w:color="auto"/>
      </w:divBdr>
    </w:div>
    <w:div w:id="18932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s://www.digitalpanopticon.org" TargetMode="External"/><Relationship Id="rId2" Type="http://schemas.openxmlformats.org/officeDocument/2006/relationships/hyperlink" Target="https://www.digitalpanopticon.org" TargetMode="External"/><Relationship Id="rId1" Type="http://schemas.openxmlformats.org/officeDocument/2006/relationships/hyperlink" Target="https://www.findmypa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E02E7AE-413D-4A23-AD48-16E21CF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6924</Words>
  <Characters>39472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Kim Price</cp:lastModifiedBy>
  <cp:revision>12</cp:revision>
  <cp:lastPrinted>2018-12-14T18:12:00Z</cp:lastPrinted>
  <dcterms:created xsi:type="dcterms:W3CDTF">2019-05-30T00:13:00Z</dcterms:created>
  <dcterms:modified xsi:type="dcterms:W3CDTF">2019-06-28T12:26:00Z</dcterms:modified>
</cp:coreProperties>
</file>