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566F" w14:textId="77777777" w:rsidR="007A7D19" w:rsidRPr="00DC6757" w:rsidRDefault="00311222" w:rsidP="007A7D19">
      <w:pPr>
        <w:rPr>
          <w:rFonts w:ascii="Times New Roman" w:hAnsi="Times New Roman" w:cs="Times New Roman"/>
          <w:b/>
          <w:sz w:val="24"/>
          <w:szCs w:val="24"/>
        </w:rPr>
      </w:pPr>
      <w:r w:rsidRPr="00DC6757">
        <w:rPr>
          <w:rFonts w:ascii="Times New Roman" w:hAnsi="Times New Roman" w:cs="Times New Roman"/>
          <w:b/>
          <w:sz w:val="24"/>
          <w:szCs w:val="24"/>
        </w:rPr>
        <w:t>I</w:t>
      </w:r>
      <w:r w:rsidR="007A7D19" w:rsidRPr="00DC6757">
        <w:rPr>
          <w:rFonts w:ascii="Times New Roman" w:hAnsi="Times New Roman" w:cs="Times New Roman"/>
          <w:b/>
          <w:sz w:val="24"/>
          <w:szCs w:val="24"/>
        </w:rPr>
        <w:t>ncorporating sub-organismal processes into dynamic energy budget models</w:t>
      </w:r>
      <w:r w:rsidRPr="00DC6757">
        <w:rPr>
          <w:rFonts w:ascii="Times New Roman" w:hAnsi="Times New Roman" w:cs="Times New Roman"/>
          <w:b/>
          <w:sz w:val="24"/>
          <w:szCs w:val="24"/>
        </w:rPr>
        <w:t xml:space="preserve"> for ecological risk assessment</w:t>
      </w:r>
    </w:p>
    <w:p w14:paraId="3481D25E"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Cheryl A. Murphy</w:t>
      </w:r>
      <w:r w:rsidR="00160C66" w:rsidRPr="00DC6757">
        <w:rPr>
          <w:rFonts w:ascii="Times New Roman" w:hAnsi="Times New Roman" w:cs="Times New Roman"/>
          <w:sz w:val="24"/>
          <w:szCs w:val="24"/>
        </w:rPr>
        <w:t>*</w:t>
      </w:r>
    </w:p>
    <w:p w14:paraId="73702528" w14:textId="77777777" w:rsidR="00311222" w:rsidRPr="00DC6757" w:rsidRDefault="00311222" w:rsidP="00311222">
      <w:pPr>
        <w:spacing w:after="120" w:line="240" w:lineRule="auto"/>
        <w:rPr>
          <w:rFonts w:ascii="Times New Roman" w:hAnsi="Times New Roman" w:cs="Times New Roman"/>
          <w:sz w:val="24"/>
          <w:szCs w:val="24"/>
        </w:rPr>
      </w:pPr>
      <w:r w:rsidRPr="00DC6757">
        <w:rPr>
          <w:rFonts w:ascii="Times New Roman" w:hAnsi="Times New Roman" w:cs="Times New Roman"/>
          <w:sz w:val="24"/>
          <w:szCs w:val="24"/>
        </w:rPr>
        <w:t>Department of Fisheries and Wildlife, Michigan State University, East Lansing, MI, United States</w:t>
      </w:r>
    </w:p>
    <w:p w14:paraId="304E5489"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Roger M. Nisbet</w:t>
      </w:r>
      <w:r w:rsidR="00160C66" w:rsidRPr="00DC6757">
        <w:rPr>
          <w:rFonts w:ascii="Times New Roman" w:hAnsi="Times New Roman" w:cs="Times New Roman"/>
          <w:sz w:val="24"/>
          <w:szCs w:val="24"/>
        </w:rPr>
        <w:t>*</w:t>
      </w:r>
    </w:p>
    <w:p w14:paraId="480DDFEA" w14:textId="77777777" w:rsidR="00311222" w:rsidRPr="00DC6757" w:rsidRDefault="00311222" w:rsidP="00311222">
      <w:pPr>
        <w:spacing w:after="120" w:line="240" w:lineRule="auto"/>
        <w:rPr>
          <w:rFonts w:ascii="Times New Roman" w:hAnsi="Times New Roman" w:cs="Times New Roman"/>
          <w:sz w:val="24"/>
          <w:szCs w:val="24"/>
        </w:rPr>
      </w:pPr>
      <w:r w:rsidRPr="00DC6757">
        <w:rPr>
          <w:rFonts w:ascii="Times New Roman" w:hAnsi="Times New Roman" w:cs="Times New Roman"/>
          <w:sz w:val="24"/>
          <w:szCs w:val="24"/>
        </w:rPr>
        <w:t>Department of Ecology, Evolution and Marine Biology, University of California, Santa Barbara, CA, United States</w:t>
      </w:r>
    </w:p>
    <w:p w14:paraId="5753ED2C"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Philipp Antczak</w:t>
      </w:r>
    </w:p>
    <w:p w14:paraId="49BE90AB" w14:textId="77777777" w:rsidR="00311222" w:rsidRPr="00DC6757" w:rsidRDefault="00311222" w:rsidP="00311222">
      <w:pPr>
        <w:spacing w:after="120" w:line="240" w:lineRule="auto"/>
        <w:rPr>
          <w:rFonts w:ascii="Times New Roman" w:hAnsi="Times New Roman" w:cs="Times New Roman"/>
          <w:sz w:val="24"/>
          <w:szCs w:val="24"/>
        </w:rPr>
      </w:pPr>
      <w:r w:rsidRPr="00DC6757">
        <w:rPr>
          <w:rFonts w:ascii="Times New Roman" w:hAnsi="Times New Roman" w:cs="Times New Roman"/>
          <w:sz w:val="24"/>
          <w:szCs w:val="24"/>
        </w:rPr>
        <w:t>Institute for Integrative Biology, University of Liverpool, Liverpool, United Kingdom</w:t>
      </w:r>
    </w:p>
    <w:p w14:paraId="2EC0C83D" w14:textId="77777777" w:rsidR="00311222" w:rsidRPr="00DC6757" w:rsidRDefault="00311222" w:rsidP="00311222">
      <w:pPr>
        <w:pStyle w:val="Body1"/>
        <w:rPr>
          <w:rFonts w:ascii="Times New Roman" w:hAnsi="Times New Roman"/>
        </w:rPr>
      </w:pPr>
      <w:proofErr w:type="spellStart"/>
      <w:r w:rsidRPr="00DC6757">
        <w:rPr>
          <w:rFonts w:ascii="Times New Roman" w:hAnsi="Times New Roman"/>
        </w:rPr>
        <w:t>Natàlia</w:t>
      </w:r>
      <w:proofErr w:type="spellEnd"/>
      <w:r w:rsidRPr="00DC6757">
        <w:rPr>
          <w:rFonts w:ascii="Times New Roman" w:hAnsi="Times New Roman"/>
        </w:rPr>
        <w:t xml:space="preserve"> Garcia-Reyero</w:t>
      </w:r>
    </w:p>
    <w:p w14:paraId="34CE9704" w14:textId="77777777" w:rsidR="00311222" w:rsidRPr="00DC6757" w:rsidRDefault="00311222" w:rsidP="00311222">
      <w:pPr>
        <w:pStyle w:val="Body1"/>
        <w:spacing w:after="120"/>
        <w:rPr>
          <w:rFonts w:ascii="Times New Roman" w:hAnsi="Times New Roman"/>
        </w:rPr>
      </w:pPr>
      <w:r w:rsidRPr="00DC6757">
        <w:rPr>
          <w:rFonts w:ascii="Times New Roman" w:hAnsi="Times New Roman"/>
        </w:rPr>
        <w:t>Environmental Laboratory, US Army Engineer Research &amp; Development Center, Vicksburg, MS, United States</w:t>
      </w:r>
    </w:p>
    <w:p w14:paraId="74843989"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Andre Gergs</w:t>
      </w:r>
    </w:p>
    <w:p w14:paraId="0FA028BF" w14:textId="77777777" w:rsidR="00311222" w:rsidRPr="00DC6757" w:rsidRDefault="00311222" w:rsidP="00311222">
      <w:pPr>
        <w:spacing w:after="12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rPr>
        <w:t>gaiac</w:t>
      </w:r>
      <w:proofErr w:type="spellEnd"/>
      <w:r w:rsidRPr="00DC6757">
        <w:rPr>
          <w:rFonts w:ascii="Times New Roman" w:hAnsi="Times New Roman" w:cs="Times New Roman"/>
          <w:sz w:val="24"/>
          <w:szCs w:val="24"/>
        </w:rPr>
        <w:t xml:space="preserve"> - Research Institute for Ecosystem Analysis and Assessment, Aachen, Germany</w:t>
      </w:r>
    </w:p>
    <w:p w14:paraId="0E47D120" w14:textId="77777777" w:rsidR="00311222" w:rsidRPr="00DC6757" w:rsidRDefault="00311222" w:rsidP="00311222">
      <w:pPr>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rPr>
        <w:t>Konstadia</w:t>
      </w:r>
      <w:proofErr w:type="spellEnd"/>
      <w:r w:rsidRPr="00DC6757">
        <w:rPr>
          <w:rFonts w:ascii="Times New Roman" w:hAnsi="Times New Roman" w:cs="Times New Roman"/>
          <w:sz w:val="24"/>
          <w:szCs w:val="24"/>
        </w:rPr>
        <w:t xml:space="preserve"> Lika</w:t>
      </w:r>
    </w:p>
    <w:p w14:paraId="742E72C4" w14:textId="77777777" w:rsidR="00311222" w:rsidRPr="00DC6757" w:rsidRDefault="00311222" w:rsidP="00311222">
      <w:pPr>
        <w:spacing w:after="120" w:line="240" w:lineRule="auto"/>
        <w:rPr>
          <w:rFonts w:ascii="Times New Roman" w:hAnsi="Times New Roman" w:cs="Times New Roman"/>
          <w:sz w:val="24"/>
          <w:szCs w:val="24"/>
        </w:rPr>
      </w:pPr>
      <w:r w:rsidRPr="00DC6757">
        <w:rPr>
          <w:rFonts w:ascii="Times New Roman" w:hAnsi="Times New Roman" w:cs="Times New Roman"/>
          <w:sz w:val="24"/>
          <w:szCs w:val="24"/>
        </w:rPr>
        <w:t xml:space="preserve">Department of Biology, University of Crete, </w:t>
      </w:r>
      <w:proofErr w:type="spellStart"/>
      <w:r w:rsidRPr="00DC6757">
        <w:rPr>
          <w:rFonts w:ascii="Times New Roman" w:hAnsi="Times New Roman" w:cs="Times New Roman"/>
          <w:sz w:val="24"/>
          <w:szCs w:val="24"/>
        </w:rPr>
        <w:t>Voutes</w:t>
      </w:r>
      <w:proofErr w:type="spellEnd"/>
      <w:r w:rsidRPr="00DC6757">
        <w:rPr>
          <w:rFonts w:ascii="Times New Roman" w:hAnsi="Times New Roman" w:cs="Times New Roman"/>
          <w:sz w:val="24"/>
          <w:szCs w:val="24"/>
        </w:rPr>
        <w:t xml:space="preserve"> University Campus, Heraklion, Greece</w:t>
      </w:r>
    </w:p>
    <w:p w14:paraId="34F5C79C" w14:textId="77777777" w:rsidR="00311222" w:rsidRPr="00DC6757" w:rsidRDefault="00311222" w:rsidP="00311222">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Teresa Mathews</w:t>
      </w:r>
    </w:p>
    <w:p w14:paraId="53F76FA2" w14:textId="77777777" w:rsidR="00311222" w:rsidRPr="00DC6757" w:rsidRDefault="00311222" w:rsidP="00311222">
      <w:pPr>
        <w:spacing w:after="12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Environmental Sciences Division, Oak Ridge National Laboratory, Oak Ridge, TN, United States</w:t>
      </w:r>
    </w:p>
    <w:p w14:paraId="56826A06"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Erik B. Muller</w:t>
      </w:r>
    </w:p>
    <w:p w14:paraId="642A4FA7" w14:textId="77777777" w:rsidR="00160C66" w:rsidRPr="00DC6757" w:rsidRDefault="004C545B" w:rsidP="00311222">
      <w:pPr>
        <w:shd w:val="clear" w:color="auto" w:fill="FFFFFF"/>
        <w:spacing w:after="0"/>
        <w:textAlignment w:val="bottom"/>
        <w:rPr>
          <w:rFonts w:ascii="Times New Roman" w:hAnsi="Times New Roman" w:cs="Times New Roman"/>
          <w:sz w:val="24"/>
          <w:szCs w:val="24"/>
        </w:rPr>
      </w:pPr>
      <w:r w:rsidRPr="00DC6757">
        <w:rPr>
          <w:rFonts w:ascii="Times New Roman" w:hAnsi="Times New Roman" w:cs="Times New Roman"/>
          <w:sz w:val="24"/>
          <w:szCs w:val="24"/>
        </w:rPr>
        <w:t>Department of Biology,</w:t>
      </w:r>
      <w:r w:rsidR="00160C66" w:rsidRPr="00DC6757">
        <w:rPr>
          <w:rFonts w:ascii="Times New Roman" w:hAnsi="Times New Roman" w:cs="Times New Roman"/>
          <w:sz w:val="24"/>
          <w:szCs w:val="24"/>
        </w:rPr>
        <w:t xml:space="preserve"> Norwegian University of Science and Technology, Trondheim, Norway</w:t>
      </w:r>
    </w:p>
    <w:p w14:paraId="463EB3F3" w14:textId="77777777" w:rsidR="00444EDB" w:rsidRPr="00DC6757" w:rsidRDefault="00444EDB" w:rsidP="00311222">
      <w:pPr>
        <w:shd w:val="clear" w:color="auto" w:fill="FFFFFF"/>
        <w:spacing w:after="0"/>
        <w:textAlignment w:val="bottom"/>
        <w:rPr>
          <w:rFonts w:ascii="Times New Roman" w:hAnsi="Times New Roman" w:cs="Times New Roman"/>
          <w:sz w:val="24"/>
          <w:szCs w:val="24"/>
        </w:rPr>
      </w:pPr>
      <w:r w:rsidRPr="00DC6757">
        <w:rPr>
          <w:rFonts w:ascii="Times New Roman" w:hAnsi="Times New Roman" w:cs="Times New Roman"/>
          <w:sz w:val="24"/>
          <w:szCs w:val="24"/>
        </w:rPr>
        <w:t>Marine Science Institute, University of California, Santa Barbara, CA, United States</w:t>
      </w:r>
    </w:p>
    <w:p w14:paraId="6E8A5BE6" w14:textId="77777777" w:rsidR="00160C66" w:rsidRPr="00DC6757" w:rsidRDefault="00160C66" w:rsidP="00311222">
      <w:pPr>
        <w:shd w:val="clear" w:color="auto" w:fill="FFFFFF"/>
        <w:spacing w:after="0"/>
        <w:textAlignment w:val="bottom"/>
        <w:rPr>
          <w:rFonts w:ascii="Times New Roman" w:hAnsi="Times New Roman" w:cs="Times New Roman"/>
          <w:sz w:val="24"/>
          <w:szCs w:val="24"/>
        </w:rPr>
      </w:pPr>
    </w:p>
    <w:p w14:paraId="4CF4729A" w14:textId="77777777" w:rsidR="00311222" w:rsidRPr="00DC6757" w:rsidRDefault="00311222" w:rsidP="00311222">
      <w:pPr>
        <w:shd w:val="clear" w:color="auto" w:fill="FFFFFF"/>
        <w:spacing w:after="0"/>
        <w:textAlignment w:val="bottom"/>
        <w:rPr>
          <w:rFonts w:ascii="Times New Roman" w:hAnsi="Times New Roman" w:cs="Times New Roman"/>
          <w:sz w:val="24"/>
          <w:szCs w:val="24"/>
        </w:rPr>
      </w:pPr>
      <w:r w:rsidRPr="00DC6757">
        <w:rPr>
          <w:rFonts w:ascii="Times New Roman" w:hAnsi="Times New Roman" w:cs="Times New Roman"/>
          <w:sz w:val="24"/>
          <w:szCs w:val="24"/>
        </w:rPr>
        <w:t xml:space="preserve">Diane </w:t>
      </w:r>
      <w:proofErr w:type="spellStart"/>
      <w:r w:rsidRPr="00DC6757">
        <w:rPr>
          <w:rFonts w:ascii="Times New Roman" w:hAnsi="Times New Roman" w:cs="Times New Roman"/>
          <w:sz w:val="24"/>
          <w:szCs w:val="24"/>
        </w:rPr>
        <w:t>Nacci</w:t>
      </w:r>
      <w:proofErr w:type="spellEnd"/>
    </w:p>
    <w:p w14:paraId="58DD5516" w14:textId="77777777" w:rsidR="00311222" w:rsidRPr="00DC6757" w:rsidRDefault="00311222" w:rsidP="00311222">
      <w:pPr>
        <w:shd w:val="clear" w:color="auto" w:fill="FFFFFF"/>
        <w:spacing w:after="120"/>
        <w:textAlignment w:val="bottom"/>
        <w:rPr>
          <w:rFonts w:ascii="Times New Roman" w:hAnsi="Times New Roman" w:cs="Times New Roman"/>
          <w:sz w:val="24"/>
          <w:szCs w:val="24"/>
        </w:rPr>
      </w:pPr>
      <w:r w:rsidRPr="00DC6757">
        <w:rPr>
          <w:rFonts w:ascii="Times New Roman" w:eastAsia="Times New Roman" w:hAnsi="Times New Roman" w:cs="Times New Roman"/>
          <w:color w:val="000000"/>
          <w:sz w:val="24"/>
          <w:szCs w:val="24"/>
        </w:rPr>
        <w:t>US Environmental Protection Agency, Office of Research and Development, Narragansett, RI, United States</w:t>
      </w:r>
    </w:p>
    <w:p w14:paraId="3E161059" w14:textId="77777777" w:rsidR="00311222" w:rsidRPr="00DC6757" w:rsidRDefault="00311222" w:rsidP="00311222">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Angela Peace</w:t>
      </w:r>
    </w:p>
    <w:p w14:paraId="6F7DFAA0" w14:textId="77777777" w:rsidR="00311222" w:rsidRPr="00DC6757" w:rsidRDefault="00311222" w:rsidP="00311222">
      <w:pPr>
        <w:spacing w:after="120" w:line="240" w:lineRule="auto"/>
        <w:rPr>
          <w:rFonts w:ascii="Times New Roman" w:hAnsi="Times New Roman" w:cs="Times New Roman"/>
          <w:sz w:val="24"/>
          <w:szCs w:val="24"/>
        </w:rPr>
      </w:pPr>
      <w:r w:rsidRPr="00DC6757">
        <w:rPr>
          <w:rFonts w:ascii="Times New Roman" w:hAnsi="Times New Roman" w:cs="Times New Roman"/>
          <w:sz w:val="24"/>
          <w:szCs w:val="24"/>
        </w:rPr>
        <w:t>Department of Mathematics and Statistics, Texas Tech University, Lubbock, TX, United States</w:t>
      </w:r>
    </w:p>
    <w:p w14:paraId="4F04B33A" w14:textId="77777777" w:rsidR="00311222" w:rsidRPr="00DC6757" w:rsidRDefault="00311222" w:rsidP="00311222">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 xml:space="preserve">Christopher H. </w:t>
      </w:r>
      <w:proofErr w:type="spellStart"/>
      <w:r w:rsidRPr="00DC6757">
        <w:rPr>
          <w:rFonts w:ascii="Times New Roman" w:hAnsi="Times New Roman" w:cs="Times New Roman"/>
          <w:sz w:val="24"/>
          <w:szCs w:val="24"/>
          <w:lang w:val="en-GB"/>
        </w:rPr>
        <w:t>Remien</w:t>
      </w:r>
      <w:proofErr w:type="spellEnd"/>
    </w:p>
    <w:p w14:paraId="025C8F84" w14:textId="77777777" w:rsidR="00311222" w:rsidRPr="00DC6757" w:rsidRDefault="00311222" w:rsidP="00311222">
      <w:pPr>
        <w:spacing w:after="12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Department of Mathematics, University of Idaho, Moscow, ID, United States</w:t>
      </w:r>
    </w:p>
    <w:p w14:paraId="33FA6D75" w14:textId="0B7DEE28" w:rsidR="00311222" w:rsidRPr="00DC6757" w:rsidRDefault="00311222" w:rsidP="00311222">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Irvin R.</w:t>
      </w:r>
      <w:r w:rsidR="00DC6757">
        <w:rPr>
          <w:rFonts w:ascii="Times New Roman" w:hAnsi="Times New Roman" w:cs="Times New Roman"/>
          <w:sz w:val="24"/>
          <w:szCs w:val="24"/>
          <w:lang w:val="en-GB"/>
        </w:rPr>
        <w:t xml:space="preserve"> </w:t>
      </w:r>
      <w:r w:rsidRPr="00DC6757">
        <w:rPr>
          <w:rFonts w:ascii="Times New Roman" w:hAnsi="Times New Roman" w:cs="Times New Roman"/>
          <w:sz w:val="24"/>
          <w:szCs w:val="24"/>
          <w:lang w:val="en-GB"/>
        </w:rPr>
        <w:t>Schultz</w:t>
      </w:r>
      <w:r w:rsidR="00160C66" w:rsidRPr="00DC6757">
        <w:rPr>
          <w:rFonts w:ascii="Times New Roman" w:hAnsi="Times New Roman" w:cs="Times New Roman"/>
          <w:sz w:val="24"/>
          <w:szCs w:val="24"/>
          <w:lang w:val="en-GB"/>
        </w:rPr>
        <w:t>†</w:t>
      </w:r>
    </w:p>
    <w:p w14:paraId="2945E551" w14:textId="77777777" w:rsidR="00311222" w:rsidRPr="00DC6757" w:rsidRDefault="00311222" w:rsidP="00311222">
      <w:pPr>
        <w:spacing w:after="12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 xml:space="preserve">Pacific NW National </w:t>
      </w:r>
      <w:r w:rsidR="00BC3596" w:rsidRPr="00DC6757">
        <w:rPr>
          <w:rFonts w:ascii="Times New Roman" w:hAnsi="Times New Roman" w:cs="Times New Roman"/>
          <w:sz w:val="24"/>
          <w:szCs w:val="24"/>
          <w:lang w:val="en-GB"/>
        </w:rPr>
        <w:t>Laboratory</w:t>
      </w:r>
      <w:r w:rsidRPr="00DC6757">
        <w:rPr>
          <w:rFonts w:ascii="Times New Roman" w:hAnsi="Times New Roman" w:cs="Times New Roman"/>
          <w:sz w:val="24"/>
          <w:szCs w:val="24"/>
          <w:lang w:val="en-GB"/>
        </w:rPr>
        <w:t xml:space="preserve"> – Marine Sciences Lab, Sequim WA, United States</w:t>
      </w:r>
    </w:p>
    <w:p w14:paraId="797B2DAA" w14:textId="77777777" w:rsidR="00160C66" w:rsidRPr="00DC6757" w:rsidRDefault="00160C66" w:rsidP="00160C66">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Louise M. Stevenson</w:t>
      </w:r>
    </w:p>
    <w:p w14:paraId="0593B96A" w14:textId="77777777" w:rsidR="00160C66" w:rsidRPr="00DC6757" w:rsidRDefault="00160C66" w:rsidP="00160C66">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rPr>
        <w:t>Department of Ecology, Evolution and Marine Biology, University of California, Santa Barbara, CA, United States</w:t>
      </w:r>
    </w:p>
    <w:p w14:paraId="0F3CC54B" w14:textId="77777777" w:rsidR="00160C66" w:rsidRPr="00DC6757" w:rsidRDefault="00160C66" w:rsidP="00160C66">
      <w:pPr>
        <w:spacing w:after="0" w:line="240" w:lineRule="auto"/>
        <w:rPr>
          <w:rFonts w:ascii="Times New Roman" w:hAnsi="Times New Roman" w:cs="Times New Roman"/>
          <w:sz w:val="24"/>
          <w:szCs w:val="24"/>
          <w:lang w:val="en-GB"/>
        </w:rPr>
      </w:pPr>
    </w:p>
    <w:p w14:paraId="2969810D" w14:textId="77777777" w:rsidR="00311222" w:rsidRPr="00DC6757" w:rsidRDefault="00311222" w:rsidP="00160C66">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Karen H. Watanabe</w:t>
      </w:r>
    </w:p>
    <w:p w14:paraId="4F88890B" w14:textId="77777777" w:rsidR="00311222" w:rsidRPr="00DC6757" w:rsidRDefault="00311222" w:rsidP="00160C66">
      <w:pPr>
        <w:spacing w:after="0" w:line="240" w:lineRule="auto"/>
        <w:rPr>
          <w:rFonts w:ascii="Times New Roman" w:hAnsi="Times New Roman" w:cs="Times New Roman"/>
          <w:sz w:val="24"/>
          <w:szCs w:val="24"/>
          <w:lang w:val="en-GB"/>
        </w:rPr>
      </w:pPr>
      <w:r w:rsidRPr="00DC6757">
        <w:rPr>
          <w:rFonts w:ascii="Times New Roman" w:hAnsi="Times New Roman" w:cs="Times New Roman"/>
          <w:sz w:val="24"/>
          <w:szCs w:val="24"/>
          <w:lang w:val="en-GB"/>
        </w:rPr>
        <w:t>School of Mathematical and Natural Sciences, Arizona State University, Glendale, AZ, United States</w:t>
      </w:r>
    </w:p>
    <w:p w14:paraId="43FE431D" w14:textId="77777777" w:rsidR="004D7DC4" w:rsidRPr="00DC6757" w:rsidRDefault="004D7DC4" w:rsidP="00160C66">
      <w:pPr>
        <w:rPr>
          <w:rFonts w:ascii="Times New Roman" w:hAnsi="Times New Roman" w:cs="Times New Roman"/>
          <w:sz w:val="24"/>
          <w:szCs w:val="24"/>
        </w:rPr>
      </w:pPr>
    </w:p>
    <w:p w14:paraId="0C617A64" w14:textId="77777777" w:rsidR="00160C66" w:rsidRPr="00DC6757" w:rsidRDefault="00160C66" w:rsidP="00160C66">
      <w:pPr>
        <w:rPr>
          <w:rFonts w:ascii="Times New Roman" w:hAnsi="Times New Roman" w:cs="Times New Roman"/>
          <w:sz w:val="24"/>
          <w:szCs w:val="24"/>
        </w:rPr>
      </w:pPr>
      <w:r w:rsidRPr="00DC6757">
        <w:rPr>
          <w:rFonts w:ascii="Times New Roman" w:hAnsi="Times New Roman" w:cs="Times New Roman"/>
          <w:sz w:val="24"/>
          <w:szCs w:val="24"/>
        </w:rPr>
        <w:lastRenderedPageBreak/>
        <w:t xml:space="preserve">*Co-leaders of the </w:t>
      </w:r>
      <w:proofErr w:type="spellStart"/>
      <w:r w:rsidRPr="00DC6757">
        <w:rPr>
          <w:rFonts w:ascii="Times New Roman" w:hAnsi="Times New Roman" w:cs="Times New Roman"/>
          <w:sz w:val="24"/>
          <w:szCs w:val="24"/>
        </w:rPr>
        <w:t>NIMBioS</w:t>
      </w:r>
      <w:proofErr w:type="spellEnd"/>
      <w:r w:rsidRPr="00DC6757">
        <w:rPr>
          <w:rFonts w:ascii="Times New Roman" w:hAnsi="Times New Roman" w:cs="Times New Roman"/>
          <w:sz w:val="24"/>
          <w:szCs w:val="24"/>
        </w:rPr>
        <w:t xml:space="preserve"> working group</w:t>
      </w:r>
      <w:r w:rsidR="004C545B" w:rsidRPr="00DC6757">
        <w:rPr>
          <w:rFonts w:ascii="Times New Roman" w:hAnsi="Times New Roman" w:cs="Times New Roman"/>
          <w:sz w:val="24"/>
          <w:szCs w:val="24"/>
        </w:rPr>
        <w:t xml:space="preserve">; address correspondence to Cheryl Murphy, </w:t>
      </w:r>
      <w:hyperlink r:id="rId8" w:history="1">
        <w:r w:rsidR="004C545B" w:rsidRPr="00DC6757">
          <w:rPr>
            <w:rStyle w:val="Hyperlink"/>
            <w:rFonts w:ascii="Times New Roman" w:hAnsi="Times New Roman" w:cs="Times New Roman"/>
            <w:sz w:val="24"/>
            <w:szCs w:val="24"/>
          </w:rPr>
          <w:t>camurphy@msu.edu</w:t>
        </w:r>
      </w:hyperlink>
      <w:r w:rsidR="004C545B" w:rsidRPr="00DC6757">
        <w:rPr>
          <w:rFonts w:ascii="Times New Roman" w:hAnsi="Times New Roman" w:cs="Times New Roman"/>
          <w:sz w:val="24"/>
          <w:szCs w:val="24"/>
        </w:rPr>
        <w:t xml:space="preserve"> or Roger Nisbet </w:t>
      </w:r>
      <w:hyperlink r:id="rId9" w:history="1">
        <w:r w:rsidR="00AA462F" w:rsidRPr="00DC6757">
          <w:rPr>
            <w:rStyle w:val="Hyperlink"/>
            <w:rFonts w:ascii="Times New Roman" w:hAnsi="Times New Roman" w:cs="Times New Roman"/>
            <w:sz w:val="24"/>
            <w:szCs w:val="24"/>
          </w:rPr>
          <w:t>rogernisbet@ucsb.edu</w:t>
        </w:r>
      </w:hyperlink>
    </w:p>
    <w:p w14:paraId="12A1136A" w14:textId="77777777" w:rsidR="004C545B" w:rsidRPr="00DC6757" w:rsidRDefault="004C545B" w:rsidP="00160C66">
      <w:pPr>
        <w:rPr>
          <w:rFonts w:ascii="Times New Roman" w:hAnsi="Times New Roman" w:cs="Times New Roman"/>
          <w:sz w:val="24"/>
          <w:szCs w:val="24"/>
        </w:rPr>
      </w:pPr>
    </w:p>
    <w:p w14:paraId="48728F1E" w14:textId="77777777" w:rsidR="00160C66" w:rsidRPr="00DC6757" w:rsidRDefault="00160C66" w:rsidP="00160C66">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 xml:space="preserve"> </w:t>
      </w:r>
      <w:r w:rsidRPr="00DC6757">
        <w:rPr>
          <w:rFonts w:ascii="Times New Roman" w:hAnsi="Times New Roman" w:cs="Times New Roman"/>
          <w:sz w:val="24"/>
          <w:szCs w:val="24"/>
          <w:lang w:val="en-GB"/>
        </w:rPr>
        <w:t xml:space="preserve">†Current address: </w:t>
      </w:r>
      <w:proofErr w:type="spellStart"/>
      <w:r w:rsidRPr="00DC6757">
        <w:rPr>
          <w:rFonts w:ascii="Times New Roman" w:hAnsi="Times New Roman" w:cs="Times New Roman"/>
          <w:sz w:val="24"/>
          <w:szCs w:val="24"/>
        </w:rPr>
        <w:t>Lynker</w:t>
      </w:r>
      <w:proofErr w:type="spellEnd"/>
      <w:r w:rsidRPr="00DC6757">
        <w:rPr>
          <w:rFonts w:ascii="Times New Roman" w:hAnsi="Times New Roman" w:cs="Times New Roman"/>
          <w:sz w:val="24"/>
          <w:szCs w:val="24"/>
        </w:rPr>
        <w:t xml:space="preserve"> Technologies, Northwest Fisheries Science Center, National Marine Fisheries Service, National Oceanic and Atmospheric Administration, 2725 Montlake Blvd</w:t>
      </w:r>
    </w:p>
    <w:p w14:paraId="6DE941EB" w14:textId="77777777" w:rsidR="00160C66" w:rsidRPr="00DC6757" w:rsidRDefault="00160C66" w:rsidP="00160C66">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E, Seattle, WA 98112, USA.</w:t>
      </w:r>
    </w:p>
    <w:p w14:paraId="2892D447" w14:textId="77777777" w:rsidR="00160C66" w:rsidRPr="00DC6757" w:rsidRDefault="00160C66" w:rsidP="00160C66">
      <w:pPr>
        <w:rPr>
          <w:rFonts w:ascii="Times New Roman" w:hAnsi="Times New Roman" w:cs="Times New Roman"/>
          <w:sz w:val="24"/>
          <w:szCs w:val="24"/>
        </w:rPr>
      </w:pPr>
    </w:p>
    <w:p w14:paraId="23E65DAB" w14:textId="77777777" w:rsidR="004D7DC4" w:rsidRPr="00DC6757" w:rsidRDefault="004D7DC4" w:rsidP="007A7D19">
      <w:pPr>
        <w:rPr>
          <w:rFonts w:ascii="Times New Roman" w:hAnsi="Times New Roman" w:cs="Times New Roman"/>
          <w:sz w:val="24"/>
          <w:szCs w:val="24"/>
        </w:rPr>
      </w:pPr>
    </w:p>
    <w:p w14:paraId="57A43399" w14:textId="77777777" w:rsidR="004D7DC4" w:rsidRPr="00DC6757" w:rsidRDefault="004D7DC4" w:rsidP="007A7D19">
      <w:pPr>
        <w:rPr>
          <w:rFonts w:ascii="Times New Roman" w:hAnsi="Times New Roman" w:cs="Times New Roman"/>
          <w:sz w:val="24"/>
          <w:szCs w:val="24"/>
        </w:rPr>
      </w:pPr>
    </w:p>
    <w:p w14:paraId="515C638D" w14:textId="77777777" w:rsidR="004D7DC4" w:rsidRPr="00DC6757" w:rsidRDefault="004D7DC4" w:rsidP="004D7DC4">
      <w:pPr>
        <w:rPr>
          <w:rFonts w:ascii="Times New Roman" w:hAnsi="Times New Roman" w:cs="Times New Roman"/>
          <w:b/>
          <w:sz w:val="24"/>
          <w:szCs w:val="24"/>
        </w:rPr>
      </w:pPr>
      <w:r w:rsidRPr="00DC6757">
        <w:rPr>
          <w:rFonts w:ascii="Times New Roman" w:hAnsi="Times New Roman" w:cs="Times New Roman"/>
          <w:b/>
          <w:sz w:val="24"/>
          <w:szCs w:val="24"/>
        </w:rPr>
        <w:t>ABSTRACT</w:t>
      </w:r>
    </w:p>
    <w:p w14:paraId="6063F26F" w14:textId="4A3DEADA" w:rsidR="007F0ABB" w:rsidRPr="00DC6757" w:rsidRDefault="007F0ABB" w:rsidP="007F0ABB">
      <w:pPr>
        <w:rPr>
          <w:rFonts w:ascii="Times New Roman" w:hAnsi="Times New Roman" w:cs="Times New Roman"/>
          <w:sz w:val="24"/>
          <w:szCs w:val="24"/>
        </w:rPr>
      </w:pPr>
      <w:r w:rsidRPr="00DC6757">
        <w:rPr>
          <w:rFonts w:ascii="Times New Roman" w:hAnsi="Times New Roman" w:cs="Times New Roman"/>
          <w:sz w:val="24"/>
          <w:szCs w:val="24"/>
        </w:rPr>
        <w:t>A working group at the National Center for Mathematical and Biological Synthesis (</w:t>
      </w:r>
      <w:proofErr w:type="spellStart"/>
      <w:r w:rsidRPr="00DC6757">
        <w:rPr>
          <w:rFonts w:ascii="Times New Roman" w:hAnsi="Times New Roman" w:cs="Times New Roman"/>
          <w:sz w:val="24"/>
          <w:szCs w:val="24"/>
        </w:rPr>
        <w:t>NIMBioS</w:t>
      </w:r>
      <w:proofErr w:type="spellEnd"/>
      <w:r w:rsidRPr="00DC6757">
        <w:rPr>
          <w:rFonts w:ascii="Times New Roman" w:hAnsi="Times New Roman" w:cs="Times New Roman"/>
          <w:sz w:val="24"/>
          <w:szCs w:val="24"/>
        </w:rPr>
        <w:t xml:space="preserve">) </w:t>
      </w:r>
      <w:r w:rsidR="001B1BF1" w:rsidRPr="00DC6757">
        <w:rPr>
          <w:rFonts w:ascii="Times New Roman" w:hAnsi="Times New Roman" w:cs="Times New Roman"/>
          <w:sz w:val="24"/>
          <w:szCs w:val="24"/>
        </w:rPr>
        <w:t>explored</w:t>
      </w:r>
      <w:r w:rsidRPr="00DC6757">
        <w:rPr>
          <w:rFonts w:ascii="Times New Roman" w:hAnsi="Times New Roman" w:cs="Times New Roman"/>
          <w:sz w:val="24"/>
          <w:szCs w:val="24"/>
        </w:rPr>
        <w:t xml:space="preserve"> the feasibility of integrating two complementary approaches relevant to ecological risk assessment. Adverse outcome pathway (AOP) models provide “bottom-up” mechanisms to predict specific toxicological effects that could impact an individual’s ability to grow, reproduce, and/or survive</w:t>
      </w:r>
      <w:r w:rsidR="00B11DC5" w:rsidRPr="00DC6757">
        <w:rPr>
          <w:rFonts w:ascii="Times New Roman" w:hAnsi="Times New Roman" w:cs="Times New Roman"/>
          <w:sz w:val="24"/>
          <w:szCs w:val="24"/>
        </w:rPr>
        <w:t xml:space="preserve"> from a molecular initiating event</w:t>
      </w:r>
      <w:r w:rsidRPr="00DC6757">
        <w:rPr>
          <w:rFonts w:ascii="Times New Roman" w:hAnsi="Times New Roman" w:cs="Times New Roman"/>
          <w:sz w:val="24"/>
          <w:szCs w:val="24"/>
        </w:rPr>
        <w:t xml:space="preserve">. Dynamic Energy Budget (DEB) models offer a “top-down” approach that reverse engineers stressor effects on growth, reproduction, and/or survival into modular characterizations related to the acquisition and processing of </w:t>
      </w:r>
      <w:r w:rsidR="001B1BF1" w:rsidRPr="00DC6757">
        <w:rPr>
          <w:rFonts w:ascii="Times New Roman" w:hAnsi="Times New Roman" w:cs="Times New Roman"/>
          <w:sz w:val="24"/>
          <w:szCs w:val="24"/>
        </w:rPr>
        <w:t xml:space="preserve">energy </w:t>
      </w:r>
      <w:r w:rsidRPr="00DC6757">
        <w:rPr>
          <w:rFonts w:ascii="Times New Roman" w:hAnsi="Times New Roman" w:cs="Times New Roman"/>
          <w:sz w:val="24"/>
          <w:szCs w:val="24"/>
        </w:rPr>
        <w:t xml:space="preserve">resources. Thus, AOP models quantify linkages between measurable molecular, cellular or organ-level events, but they do not offer an explicit route to </w:t>
      </w:r>
      <w:proofErr w:type="spellStart"/>
      <w:r w:rsidRPr="00DC6757">
        <w:rPr>
          <w:rFonts w:ascii="Times New Roman" w:hAnsi="Times New Roman" w:cs="Times New Roman"/>
          <w:sz w:val="24"/>
          <w:szCs w:val="24"/>
        </w:rPr>
        <w:t>integratively</w:t>
      </w:r>
      <w:proofErr w:type="spellEnd"/>
      <w:r w:rsidRPr="00DC6757">
        <w:rPr>
          <w:rFonts w:ascii="Times New Roman" w:hAnsi="Times New Roman" w:cs="Times New Roman"/>
          <w:sz w:val="24"/>
          <w:szCs w:val="24"/>
        </w:rPr>
        <w:t xml:space="preserve"> characterize stressor effects at higher levels of organization. While DEB models provide the inherent basis to link effects on individuals to those at the </w:t>
      </w:r>
      <w:r w:rsidR="00B11DC5" w:rsidRPr="00DC6757">
        <w:rPr>
          <w:rFonts w:ascii="Times New Roman" w:hAnsi="Times New Roman" w:cs="Times New Roman"/>
          <w:sz w:val="24"/>
          <w:szCs w:val="24"/>
        </w:rPr>
        <w:t>population</w:t>
      </w:r>
      <w:r w:rsidRPr="00DC6757">
        <w:rPr>
          <w:rFonts w:ascii="Times New Roman" w:hAnsi="Times New Roman" w:cs="Times New Roman"/>
          <w:sz w:val="24"/>
          <w:szCs w:val="24"/>
        </w:rPr>
        <w:t xml:space="preserve"> and ecosystem levels, their use of abstract variables obscures mechanistic connections to </w:t>
      </w:r>
      <w:proofErr w:type="spellStart"/>
      <w:r w:rsidRPr="00DC6757">
        <w:rPr>
          <w:rFonts w:ascii="Times New Roman" w:hAnsi="Times New Roman" w:cs="Times New Roman"/>
          <w:sz w:val="24"/>
          <w:szCs w:val="24"/>
        </w:rPr>
        <w:t>suborganismal</w:t>
      </w:r>
      <w:proofErr w:type="spellEnd"/>
      <w:r w:rsidRPr="00DC6757">
        <w:rPr>
          <w:rFonts w:ascii="Times New Roman" w:hAnsi="Times New Roman" w:cs="Times New Roman"/>
          <w:sz w:val="24"/>
          <w:szCs w:val="24"/>
        </w:rPr>
        <w:t xml:space="preserve"> biology. To take advantage of both approaches, we developed a</w:t>
      </w:r>
      <w:r w:rsidR="00A148C8" w:rsidRPr="00DC6757">
        <w:rPr>
          <w:rFonts w:ascii="Times New Roman" w:hAnsi="Times New Roman" w:cs="Times New Roman"/>
          <w:sz w:val="24"/>
          <w:szCs w:val="24"/>
        </w:rPr>
        <w:t xml:space="preserve"> conceptual model</w:t>
      </w:r>
      <w:r w:rsidRPr="00DC6757">
        <w:rPr>
          <w:rFonts w:ascii="Times New Roman" w:hAnsi="Times New Roman" w:cs="Times New Roman"/>
          <w:sz w:val="24"/>
          <w:szCs w:val="24"/>
        </w:rPr>
        <w:t xml:space="preserve"> to link DEB and AOP models by interpreting AOP key events as measures of damage-inducing processes affecting DEB variables</w:t>
      </w:r>
      <w:r w:rsidR="008361BD" w:rsidRPr="00DC6757">
        <w:rPr>
          <w:rFonts w:ascii="Times New Roman" w:hAnsi="Times New Roman" w:cs="Times New Roman"/>
          <w:sz w:val="24"/>
          <w:szCs w:val="24"/>
        </w:rPr>
        <w:t xml:space="preserve"> and rates</w:t>
      </w:r>
      <w:r w:rsidRPr="00DC6757">
        <w:rPr>
          <w:rFonts w:ascii="Times New Roman" w:hAnsi="Times New Roman" w:cs="Times New Roman"/>
          <w:sz w:val="24"/>
          <w:szCs w:val="24"/>
        </w:rPr>
        <w:t>. We report on the type and structure of data that are generated for AOP models that may also be useful for DEB models.</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We also report on case studies under development that merge information collected for AOPs with DEB </w:t>
      </w:r>
      <w:proofErr w:type="gramStart"/>
      <w:r w:rsidRPr="00DC6757">
        <w:rPr>
          <w:rFonts w:ascii="Times New Roman" w:hAnsi="Times New Roman" w:cs="Times New Roman"/>
          <w:sz w:val="24"/>
          <w:szCs w:val="24"/>
        </w:rPr>
        <w:t>models, and</w:t>
      </w:r>
      <w:proofErr w:type="gramEnd"/>
      <w:r w:rsidRPr="00DC6757">
        <w:rPr>
          <w:rFonts w:ascii="Times New Roman" w:hAnsi="Times New Roman" w:cs="Times New Roman"/>
          <w:sz w:val="24"/>
          <w:szCs w:val="24"/>
        </w:rPr>
        <w:t xml:space="preserve"> highlight some of the challenges. Finally, we discuss how the linkage of these two approaches can improve ecological risk assessment, with possibilities for progress in predicting population responses to toxicant exposures within realistic environments. </w:t>
      </w:r>
    </w:p>
    <w:p w14:paraId="755880D6" w14:textId="77777777" w:rsidR="007F0ABB" w:rsidRPr="00DC6757" w:rsidRDefault="007F0ABB" w:rsidP="007A7D19">
      <w:pPr>
        <w:rPr>
          <w:rFonts w:ascii="Times New Roman" w:hAnsi="Times New Roman" w:cs="Times New Roman"/>
          <w:sz w:val="24"/>
          <w:szCs w:val="24"/>
        </w:rPr>
      </w:pPr>
    </w:p>
    <w:p w14:paraId="5F537CE3" w14:textId="77777777" w:rsidR="004C545B" w:rsidRPr="00DC6757" w:rsidRDefault="004C545B" w:rsidP="007A7D19">
      <w:pPr>
        <w:rPr>
          <w:rFonts w:ascii="Times New Roman" w:hAnsi="Times New Roman" w:cs="Times New Roman"/>
          <w:b/>
          <w:sz w:val="24"/>
          <w:szCs w:val="24"/>
        </w:rPr>
      </w:pPr>
      <w:r w:rsidRPr="00DC6757">
        <w:rPr>
          <w:rFonts w:ascii="Times New Roman" w:hAnsi="Times New Roman" w:cs="Times New Roman"/>
          <w:b/>
          <w:sz w:val="24"/>
          <w:szCs w:val="24"/>
        </w:rPr>
        <w:t>Running head: Linking AOP to DEB</w:t>
      </w:r>
    </w:p>
    <w:p w14:paraId="20EB0714" w14:textId="77777777" w:rsidR="007F0ABB" w:rsidRPr="00DC6757" w:rsidRDefault="004C545B" w:rsidP="007A7D19">
      <w:pPr>
        <w:rPr>
          <w:rFonts w:ascii="Times New Roman" w:hAnsi="Times New Roman" w:cs="Times New Roman"/>
          <w:sz w:val="24"/>
          <w:szCs w:val="24"/>
        </w:rPr>
      </w:pPr>
      <w:r w:rsidRPr="00DC6757">
        <w:rPr>
          <w:rFonts w:ascii="Times New Roman" w:hAnsi="Times New Roman" w:cs="Times New Roman"/>
          <w:b/>
          <w:sz w:val="24"/>
          <w:szCs w:val="24"/>
        </w:rPr>
        <w:t xml:space="preserve">KEYWORDS: </w:t>
      </w:r>
      <w:r w:rsidRPr="00DC6757">
        <w:rPr>
          <w:rFonts w:ascii="Times New Roman" w:hAnsi="Times New Roman" w:cs="Times New Roman"/>
          <w:sz w:val="24"/>
          <w:szCs w:val="24"/>
        </w:rPr>
        <w:t xml:space="preserve">adverse outcome pathways, dynamic energy budgets, ecological risk assessment, </w:t>
      </w:r>
      <w:proofErr w:type="spellStart"/>
      <w:r w:rsidRPr="00DC6757">
        <w:rPr>
          <w:rFonts w:ascii="Times New Roman" w:hAnsi="Times New Roman" w:cs="Times New Roman"/>
          <w:sz w:val="24"/>
          <w:szCs w:val="24"/>
        </w:rPr>
        <w:t>suborganismal</w:t>
      </w:r>
      <w:proofErr w:type="spellEnd"/>
      <w:r w:rsidRPr="00DC6757">
        <w:rPr>
          <w:rFonts w:ascii="Times New Roman" w:hAnsi="Times New Roman" w:cs="Times New Roman"/>
          <w:sz w:val="24"/>
          <w:szCs w:val="24"/>
        </w:rPr>
        <w:t xml:space="preserve"> processes</w:t>
      </w:r>
      <w:r w:rsidR="0053083E" w:rsidRPr="00DC6757">
        <w:rPr>
          <w:rFonts w:ascii="Times New Roman" w:hAnsi="Times New Roman" w:cs="Times New Roman"/>
          <w:sz w:val="24"/>
          <w:szCs w:val="24"/>
        </w:rPr>
        <w:t>, mechanistic, new quantitative methods</w:t>
      </w:r>
    </w:p>
    <w:p w14:paraId="737B5258" w14:textId="77777777" w:rsidR="004C545B" w:rsidRPr="00DC6757" w:rsidRDefault="004C545B" w:rsidP="004D7DC4">
      <w:pPr>
        <w:spacing w:after="0" w:line="240" w:lineRule="auto"/>
        <w:rPr>
          <w:rFonts w:ascii="Times New Roman" w:hAnsi="Times New Roman" w:cs="Times New Roman"/>
          <w:b/>
          <w:sz w:val="24"/>
          <w:szCs w:val="24"/>
        </w:rPr>
      </w:pPr>
    </w:p>
    <w:p w14:paraId="5D12F021" w14:textId="77777777" w:rsidR="004C545B" w:rsidRPr="00DC6757" w:rsidRDefault="004C545B" w:rsidP="004D7DC4">
      <w:pPr>
        <w:spacing w:after="0" w:line="240" w:lineRule="auto"/>
        <w:rPr>
          <w:rFonts w:ascii="Times New Roman" w:hAnsi="Times New Roman" w:cs="Times New Roman"/>
          <w:b/>
          <w:sz w:val="24"/>
          <w:szCs w:val="24"/>
        </w:rPr>
      </w:pPr>
    </w:p>
    <w:p w14:paraId="3A930D10" w14:textId="77777777" w:rsidR="004C545B" w:rsidRPr="00DC6757" w:rsidRDefault="004C545B" w:rsidP="004D7DC4">
      <w:pPr>
        <w:spacing w:after="0" w:line="240" w:lineRule="auto"/>
        <w:rPr>
          <w:rFonts w:ascii="Times New Roman" w:hAnsi="Times New Roman" w:cs="Times New Roman"/>
          <w:b/>
          <w:sz w:val="24"/>
          <w:szCs w:val="24"/>
        </w:rPr>
      </w:pPr>
    </w:p>
    <w:p w14:paraId="3668E7F2" w14:textId="77777777" w:rsidR="00C16B36" w:rsidRPr="00DC6757" w:rsidRDefault="00C16B36" w:rsidP="0053083E">
      <w:pPr>
        <w:spacing w:after="0" w:line="480" w:lineRule="auto"/>
        <w:rPr>
          <w:rFonts w:ascii="Times New Roman" w:hAnsi="Times New Roman" w:cs="Times New Roman"/>
          <w:b/>
          <w:sz w:val="24"/>
          <w:szCs w:val="24"/>
        </w:rPr>
      </w:pPr>
    </w:p>
    <w:p w14:paraId="7196ED2D" w14:textId="77777777" w:rsidR="004D7DC4" w:rsidRPr="00DC6757" w:rsidRDefault="004D7DC4" w:rsidP="0053083E">
      <w:pPr>
        <w:spacing w:after="0" w:line="480" w:lineRule="auto"/>
        <w:rPr>
          <w:rFonts w:ascii="Times New Roman" w:hAnsi="Times New Roman" w:cs="Times New Roman"/>
          <w:b/>
          <w:sz w:val="24"/>
          <w:szCs w:val="24"/>
        </w:rPr>
      </w:pPr>
      <w:r w:rsidRPr="00DC6757">
        <w:rPr>
          <w:rFonts w:ascii="Times New Roman" w:hAnsi="Times New Roman" w:cs="Times New Roman"/>
          <w:b/>
          <w:sz w:val="24"/>
          <w:szCs w:val="24"/>
        </w:rPr>
        <w:lastRenderedPageBreak/>
        <w:t xml:space="preserve"> </w:t>
      </w:r>
      <w:r w:rsidR="00E4666F" w:rsidRPr="00DC6757">
        <w:rPr>
          <w:rFonts w:ascii="Times New Roman" w:hAnsi="Times New Roman" w:cs="Times New Roman"/>
          <w:b/>
          <w:sz w:val="24"/>
          <w:szCs w:val="24"/>
        </w:rPr>
        <w:t>Introduction</w:t>
      </w:r>
    </w:p>
    <w:p w14:paraId="4615D561" w14:textId="570BAC7B" w:rsidR="009013CC" w:rsidRPr="00DC6757" w:rsidRDefault="00E10C52" w:rsidP="0053083E">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Ecological risk as</w:t>
      </w:r>
      <w:r w:rsidR="005B5BBA" w:rsidRPr="00DC6757">
        <w:rPr>
          <w:rFonts w:ascii="Times New Roman" w:hAnsi="Times New Roman" w:cs="Times New Roman"/>
          <w:sz w:val="24"/>
          <w:szCs w:val="24"/>
        </w:rPr>
        <w:t>sessment</w:t>
      </w:r>
      <w:r w:rsidR="00562E7D" w:rsidRPr="00DC6757">
        <w:rPr>
          <w:rFonts w:ascii="Times New Roman" w:hAnsi="Times New Roman" w:cs="Times New Roman"/>
          <w:sz w:val="24"/>
          <w:szCs w:val="24"/>
        </w:rPr>
        <w:t xml:space="preserve"> </w:t>
      </w:r>
      <w:r w:rsidR="0045088B" w:rsidRPr="00DC6757">
        <w:rPr>
          <w:rFonts w:ascii="Times New Roman" w:hAnsi="Times New Roman" w:cs="Times New Roman"/>
          <w:sz w:val="24"/>
          <w:szCs w:val="24"/>
        </w:rPr>
        <w:t xml:space="preserve">is often </w:t>
      </w:r>
      <w:r w:rsidR="007F0ABB" w:rsidRPr="00DC6757">
        <w:rPr>
          <w:rFonts w:ascii="Times New Roman" w:hAnsi="Times New Roman" w:cs="Times New Roman"/>
          <w:sz w:val="24"/>
          <w:szCs w:val="24"/>
        </w:rPr>
        <w:t xml:space="preserve">based on estimates of biological impact (or hazard) but </w:t>
      </w:r>
      <w:r w:rsidR="009D3343" w:rsidRPr="00DC6757">
        <w:rPr>
          <w:rFonts w:ascii="Times New Roman" w:hAnsi="Times New Roman" w:cs="Times New Roman"/>
          <w:sz w:val="24"/>
          <w:szCs w:val="24"/>
        </w:rPr>
        <w:t xml:space="preserve">it is </w:t>
      </w:r>
      <w:r w:rsidR="007F0ABB" w:rsidRPr="00DC6757">
        <w:rPr>
          <w:rFonts w:ascii="Times New Roman" w:hAnsi="Times New Roman" w:cs="Times New Roman"/>
          <w:sz w:val="24"/>
          <w:szCs w:val="24"/>
        </w:rPr>
        <w:t xml:space="preserve">intended </w:t>
      </w:r>
      <w:r w:rsidR="0045088B" w:rsidRPr="00DC6757">
        <w:rPr>
          <w:rFonts w:ascii="Times New Roman" w:hAnsi="Times New Roman" w:cs="Times New Roman"/>
          <w:sz w:val="24"/>
          <w:szCs w:val="24"/>
        </w:rPr>
        <w:t xml:space="preserve">to support </w:t>
      </w:r>
      <w:r w:rsidR="00DF403E" w:rsidRPr="00DC6757">
        <w:rPr>
          <w:rFonts w:ascii="Times New Roman" w:hAnsi="Times New Roman" w:cs="Times New Roman"/>
          <w:sz w:val="24"/>
          <w:szCs w:val="24"/>
        </w:rPr>
        <w:t>decisions</w:t>
      </w:r>
      <w:r w:rsidR="008E3171" w:rsidRPr="00DC6757">
        <w:rPr>
          <w:rFonts w:ascii="Times New Roman" w:hAnsi="Times New Roman" w:cs="Times New Roman"/>
          <w:sz w:val="24"/>
          <w:szCs w:val="24"/>
        </w:rPr>
        <w:t>, in conjunction with exposure,</w:t>
      </w:r>
      <w:r w:rsidR="00DF403E" w:rsidRPr="00DC6757">
        <w:rPr>
          <w:rFonts w:ascii="Times New Roman" w:hAnsi="Times New Roman" w:cs="Times New Roman"/>
          <w:sz w:val="24"/>
          <w:szCs w:val="24"/>
        </w:rPr>
        <w:t xml:space="preserve"> </w:t>
      </w:r>
      <w:r w:rsidR="00D45B24" w:rsidRPr="00DC6757">
        <w:rPr>
          <w:rFonts w:ascii="Times New Roman" w:hAnsi="Times New Roman" w:cs="Times New Roman"/>
          <w:sz w:val="24"/>
          <w:szCs w:val="24"/>
        </w:rPr>
        <w:t xml:space="preserve">towards </w:t>
      </w:r>
      <w:r w:rsidR="007F0ABB" w:rsidRPr="00DC6757">
        <w:rPr>
          <w:rFonts w:ascii="Times New Roman" w:hAnsi="Times New Roman" w:cs="Times New Roman"/>
          <w:sz w:val="24"/>
          <w:szCs w:val="24"/>
        </w:rPr>
        <w:t xml:space="preserve">the </w:t>
      </w:r>
      <w:r w:rsidR="00DF403E" w:rsidRPr="00DC6757">
        <w:rPr>
          <w:rFonts w:ascii="Times New Roman" w:hAnsi="Times New Roman" w:cs="Times New Roman"/>
          <w:sz w:val="24"/>
          <w:szCs w:val="24"/>
        </w:rPr>
        <w:t>risk</w:t>
      </w:r>
      <w:r w:rsidR="007F0ABB" w:rsidRPr="00DC6757">
        <w:rPr>
          <w:rFonts w:ascii="Times New Roman" w:hAnsi="Times New Roman" w:cs="Times New Roman"/>
          <w:sz w:val="24"/>
          <w:szCs w:val="24"/>
        </w:rPr>
        <w:t>s</w:t>
      </w:r>
      <w:r w:rsidR="00DF403E" w:rsidRPr="00DC6757">
        <w:rPr>
          <w:rFonts w:ascii="Times New Roman" w:hAnsi="Times New Roman" w:cs="Times New Roman"/>
          <w:sz w:val="24"/>
          <w:szCs w:val="24"/>
        </w:rPr>
        <w:t xml:space="preserve"> of introduced chemicals </w:t>
      </w:r>
      <w:r w:rsidR="007F0ABB" w:rsidRPr="00DC6757">
        <w:rPr>
          <w:rFonts w:ascii="Times New Roman" w:hAnsi="Times New Roman" w:cs="Times New Roman"/>
          <w:sz w:val="24"/>
          <w:szCs w:val="24"/>
        </w:rPr>
        <w:t>on populations, communities and ecosystems</w:t>
      </w:r>
      <w:r w:rsidR="009D3343" w:rsidRPr="00DC6757">
        <w:rPr>
          <w:rFonts w:ascii="Times New Roman" w:hAnsi="Times New Roman" w:cs="Times New Roman"/>
          <w:sz w:val="24"/>
          <w:szCs w:val="24"/>
        </w:rPr>
        <w:t xml:space="preserve"> </w:t>
      </w:r>
      <w:r w:rsidR="00673082" w:rsidRPr="00DC6757">
        <w:rPr>
          <w:rFonts w:ascii="Times New Roman" w:hAnsi="Times New Roman" w:cs="Times New Roman"/>
          <w:sz w:val="24"/>
          <w:szCs w:val="24"/>
        </w:rPr>
        <w:t xml:space="preserve">(Landis </w:t>
      </w:r>
      <w:r w:rsidR="0053083E" w:rsidRPr="00DC6757">
        <w:rPr>
          <w:rFonts w:ascii="Times New Roman" w:hAnsi="Times New Roman" w:cs="Times New Roman"/>
          <w:sz w:val="24"/>
          <w:szCs w:val="24"/>
        </w:rPr>
        <w:t>et al.</w:t>
      </w:r>
      <w:r w:rsidR="00673082" w:rsidRPr="00DC6757">
        <w:rPr>
          <w:rFonts w:ascii="Times New Roman" w:hAnsi="Times New Roman" w:cs="Times New Roman"/>
          <w:sz w:val="24"/>
          <w:szCs w:val="24"/>
        </w:rPr>
        <w:t xml:space="preserve"> 2003</w:t>
      </w:r>
      <w:r w:rsidR="00133BFA" w:rsidRPr="00DC6757">
        <w:rPr>
          <w:rFonts w:ascii="Times New Roman" w:hAnsi="Times New Roman" w:cs="Times New Roman"/>
          <w:sz w:val="24"/>
          <w:szCs w:val="24"/>
        </w:rPr>
        <w:t>)</w:t>
      </w:r>
      <w:r w:rsidR="00DF403E"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A43E2A" w:rsidRPr="00DC6757">
        <w:rPr>
          <w:rFonts w:ascii="Times New Roman" w:hAnsi="Times New Roman" w:cs="Times New Roman"/>
          <w:sz w:val="24"/>
          <w:szCs w:val="24"/>
        </w:rPr>
        <w:t xml:space="preserve">However, if we </w:t>
      </w:r>
      <w:r w:rsidR="00FF5812" w:rsidRPr="00DC6757">
        <w:rPr>
          <w:rFonts w:ascii="Times New Roman" w:hAnsi="Times New Roman" w:cs="Times New Roman"/>
          <w:sz w:val="24"/>
          <w:szCs w:val="24"/>
        </w:rPr>
        <w:t xml:space="preserve">were to require natural population or community level data on </w:t>
      </w:r>
      <w:r w:rsidR="00A43E2A" w:rsidRPr="00DC6757">
        <w:rPr>
          <w:rFonts w:ascii="Times New Roman" w:hAnsi="Times New Roman" w:cs="Times New Roman"/>
          <w:sz w:val="24"/>
          <w:szCs w:val="24"/>
        </w:rPr>
        <w:t>the biological impact of chemical</w:t>
      </w:r>
      <w:r w:rsidR="00FF5812" w:rsidRPr="00DC6757">
        <w:rPr>
          <w:rFonts w:ascii="Times New Roman" w:hAnsi="Times New Roman" w:cs="Times New Roman"/>
          <w:sz w:val="24"/>
          <w:szCs w:val="24"/>
        </w:rPr>
        <w:t>, we</w:t>
      </w:r>
      <w:r w:rsidR="00A43E2A" w:rsidRPr="00DC6757">
        <w:rPr>
          <w:rFonts w:ascii="Times New Roman" w:hAnsi="Times New Roman" w:cs="Times New Roman"/>
          <w:sz w:val="24"/>
          <w:szCs w:val="24"/>
        </w:rPr>
        <w:t xml:space="preserve"> would </w:t>
      </w:r>
      <w:r w:rsidR="00FF5812" w:rsidRPr="00DC6757">
        <w:rPr>
          <w:rFonts w:ascii="Times New Roman" w:hAnsi="Times New Roman" w:cs="Times New Roman"/>
          <w:sz w:val="24"/>
          <w:szCs w:val="24"/>
        </w:rPr>
        <w:t xml:space="preserve">likely </w:t>
      </w:r>
      <w:r w:rsidR="00A43E2A" w:rsidRPr="00DC6757">
        <w:rPr>
          <w:rFonts w:ascii="Times New Roman" w:hAnsi="Times New Roman" w:cs="Times New Roman"/>
          <w:sz w:val="24"/>
          <w:szCs w:val="24"/>
        </w:rPr>
        <w:t>be estimating the impact too late</w:t>
      </w:r>
      <w:r w:rsidR="00DE49A3" w:rsidRPr="00DC6757">
        <w:rPr>
          <w:rFonts w:ascii="Times New Roman" w:hAnsi="Times New Roman" w:cs="Times New Roman"/>
          <w:sz w:val="24"/>
          <w:szCs w:val="24"/>
        </w:rPr>
        <w:t xml:space="preserve"> - </w:t>
      </w:r>
      <w:r w:rsidR="00AB6485" w:rsidRPr="00DC6757">
        <w:rPr>
          <w:rFonts w:ascii="Times New Roman" w:hAnsi="Times New Roman" w:cs="Times New Roman"/>
          <w:sz w:val="24"/>
          <w:szCs w:val="24"/>
        </w:rPr>
        <w:t xml:space="preserve">usually </w:t>
      </w:r>
      <w:r w:rsidR="00DF403E" w:rsidRPr="00DC6757">
        <w:rPr>
          <w:rFonts w:ascii="Times New Roman" w:hAnsi="Times New Roman" w:cs="Times New Roman"/>
          <w:sz w:val="24"/>
          <w:szCs w:val="24"/>
        </w:rPr>
        <w:t>after the exposure and</w:t>
      </w:r>
      <w:r w:rsidR="00DE49A3" w:rsidRPr="00DC6757">
        <w:rPr>
          <w:rFonts w:ascii="Times New Roman" w:hAnsi="Times New Roman" w:cs="Times New Roman"/>
          <w:sz w:val="24"/>
          <w:szCs w:val="24"/>
        </w:rPr>
        <w:t xml:space="preserve"> potential</w:t>
      </w:r>
      <w:r w:rsidR="00DF403E" w:rsidRPr="00DC6757">
        <w:rPr>
          <w:rFonts w:ascii="Times New Roman" w:hAnsi="Times New Roman" w:cs="Times New Roman"/>
          <w:sz w:val="24"/>
          <w:szCs w:val="24"/>
        </w:rPr>
        <w:t xml:space="preserve"> population decline has occurred.</w:t>
      </w:r>
      <w:r w:rsidR="00DC6757">
        <w:rPr>
          <w:rFonts w:ascii="Times New Roman" w:hAnsi="Times New Roman" w:cs="Times New Roman"/>
          <w:sz w:val="24"/>
          <w:szCs w:val="24"/>
        </w:rPr>
        <w:t xml:space="preserve"> </w:t>
      </w:r>
      <w:proofErr w:type="gramStart"/>
      <w:r w:rsidR="00FF5812" w:rsidRPr="00DC6757">
        <w:rPr>
          <w:rFonts w:ascii="Times New Roman" w:hAnsi="Times New Roman" w:cs="Times New Roman"/>
          <w:sz w:val="24"/>
          <w:szCs w:val="24"/>
        </w:rPr>
        <w:t>Thus</w:t>
      </w:r>
      <w:proofErr w:type="gramEnd"/>
      <w:r w:rsidR="00FF5812" w:rsidRPr="00DC6757">
        <w:rPr>
          <w:rFonts w:ascii="Times New Roman" w:hAnsi="Times New Roman" w:cs="Times New Roman"/>
          <w:sz w:val="24"/>
          <w:szCs w:val="24"/>
        </w:rPr>
        <w:t xml:space="preserve"> </w:t>
      </w:r>
      <w:r w:rsidR="00B11DC5" w:rsidRPr="00DC6757">
        <w:rPr>
          <w:rFonts w:ascii="Times New Roman" w:hAnsi="Times New Roman" w:cs="Times New Roman"/>
          <w:sz w:val="24"/>
          <w:szCs w:val="24"/>
        </w:rPr>
        <w:t xml:space="preserve">prospective </w:t>
      </w:r>
      <w:r w:rsidR="00FF5812" w:rsidRPr="00DC6757">
        <w:rPr>
          <w:rFonts w:ascii="Times New Roman" w:hAnsi="Times New Roman" w:cs="Times New Roman"/>
          <w:sz w:val="24"/>
          <w:szCs w:val="24"/>
        </w:rPr>
        <w:t xml:space="preserve">ecological risk assessment inevitably involves integrating information at multiple levels of </w:t>
      </w:r>
      <w:r w:rsidR="007F1364" w:rsidRPr="00DC6757">
        <w:rPr>
          <w:rFonts w:ascii="Times New Roman" w:hAnsi="Times New Roman" w:cs="Times New Roman"/>
          <w:sz w:val="24"/>
          <w:szCs w:val="24"/>
        </w:rPr>
        <w:t xml:space="preserve">biological </w:t>
      </w:r>
      <w:r w:rsidR="00FF5812" w:rsidRPr="00DC6757">
        <w:rPr>
          <w:rFonts w:ascii="Times New Roman" w:hAnsi="Times New Roman" w:cs="Times New Roman"/>
          <w:sz w:val="24"/>
          <w:szCs w:val="24"/>
        </w:rPr>
        <w:t>organization.</w:t>
      </w:r>
      <w:r w:rsidR="00DC6757">
        <w:rPr>
          <w:rFonts w:ascii="Times New Roman" w:hAnsi="Times New Roman" w:cs="Times New Roman"/>
          <w:sz w:val="24"/>
          <w:szCs w:val="24"/>
        </w:rPr>
        <w:t xml:space="preserve"> </w:t>
      </w:r>
      <w:r w:rsidR="00FF5812" w:rsidRPr="00DC6757">
        <w:rPr>
          <w:rFonts w:ascii="Times New Roman" w:hAnsi="Times New Roman" w:cs="Times New Roman"/>
          <w:sz w:val="24"/>
          <w:szCs w:val="24"/>
        </w:rPr>
        <w:t>There is no ideal resolution of this problem – all approaches have pros and cons (Rohr et al</w:t>
      </w:r>
      <w:r w:rsidR="0053083E" w:rsidRPr="00DC6757">
        <w:rPr>
          <w:rFonts w:ascii="Times New Roman" w:hAnsi="Times New Roman" w:cs="Times New Roman"/>
          <w:sz w:val="24"/>
          <w:szCs w:val="24"/>
        </w:rPr>
        <w:t>.</w:t>
      </w:r>
      <w:r w:rsidR="00FF5812" w:rsidRPr="00DC6757">
        <w:rPr>
          <w:rFonts w:ascii="Times New Roman" w:hAnsi="Times New Roman" w:cs="Times New Roman"/>
          <w:sz w:val="24"/>
          <w:szCs w:val="24"/>
        </w:rPr>
        <w:t xml:space="preserve"> 2016) – but t</w:t>
      </w:r>
      <w:r w:rsidR="00A43E2A" w:rsidRPr="00DC6757">
        <w:rPr>
          <w:rFonts w:ascii="Times New Roman" w:hAnsi="Times New Roman" w:cs="Times New Roman"/>
          <w:sz w:val="24"/>
          <w:szCs w:val="24"/>
        </w:rPr>
        <w:t xml:space="preserve">o be effective and proactive, we must measure the impact of a chemical </w:t>
      </w:r>
      <w:r w:rsidR="003E6017" w:rsidRPr="00DC6757">
        <w:rPr>
          <w:rFonts w:ascii="Times New Roman" w:hAnsi="Times New Roman" w:cs="Times New Roman"/>
          <w:sz w:val="24"/>
          <w:szCs w:val="24"/>
        </w:rPr>
        <w:t>and breakdown products</w:t>
      </w:r>
      <w:r w:rsidR="00A43E2A" w:rsidRPr="00DC6757">
        <w:rPr>
          <w:rFonts w:ascii="Times New Roman" w:hAnsi="Times New Roman" w:cs="Times New Roman"/>
          <w:sz w:val="24"/>
          <w:szCs w:val="24"/>
        </w:rPr>
        <w:t xml:space="preserve"> </w:t>
      </w:r>
      <w:r w:rsidR="00FF5812" w:rsidRPr="00DC6757">
        <w:rPr>
          <w:rFonts w:ascii="Times New Roman" w:hAnsi="Times New Roman" w:cs="Times New Roman"/>
          <w:sz w:val="24"/>
          <w:szCs w:val="24"/>
        </w:rPr>
        <w:t xml:space="preserve">over a range of doses </w:t>
      </w:r>
      <w:r w:rsidR="00A43E2A" w:rsidRPr="00DC6757">
        <w:rPr>
          <w:rFonts w:ascii="Times New Roman" w:hAnsi="Times New Roman" w:cs="Times New Roman"/>
          <w:sz w:val="24"/>
          <w:szCs w:val="24"/>
        </w:rPr>
        <w:t>in controlled laboratory experiments.</w:t>
      </w:r>
      <w:r w:rsid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 xml:space="preserve">With </w:t>
      </w:r>
      <w:r w:rsidR="00DF403E" w:rsidRPr="00DC6757">
        <w:rPr>
          <w:rFonts w:ascii="Times New Roman" w:hAnsi="Times New Roman" w:cs="Times New Roman"/>
          <w:sz w:val="24"/>
          <w:szCs w:val="24"/>
        </w:rPr>
        <w:t>over 80,000 chemicals</w:t>
      </w:r>
      <w:r w:rsidR="002E5D10" w:rsidRPr="00DC6757">
        <w:rPr>
          <w:rFonts w:ascii="Times New Roman" w:hAnsi="Times New Roman" w:cs="Times New Roman"/>
          <w:sz w:val="24"/>
          <w:szCs w:val="24"/>
        </w:rPr>
        <w:t xml:space="preserve"> and millions of species</w:t>
      </w:r>
      <w:r w:rsidR="00133BFA" w:rsidRPr="00DC6757">
        <w:rPr>
          <w:rFonts w:ascii="Times New Roman" w:hAnsi="Times New Roman" w:cs="Times New Roman"/>
          <w:sz w:val="24"/>
          <w:szCs w:val="24"/>
        </w:rPr>
        <w:t>, many</w:t>
      </w:r>
      <w:r w:rsidR="002E5D10" w:rsidRP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 xml:space="preserve">of which </w:t>
      </w:r>
      <w:r w:rsidR="002E5D10" w:rsidRPr="00DC6757">
        <w:rPr>
          <w:rFonts w:ascii="Times New Roman" w:hAnsi="Times New Roman" w:cs="Times New Roman"/>
          <w:sz w:val="24"/>
          <w:szCs w:val="24"/>
        </w:rPr>
        <w:t>are endangered</w:t>
      </w:r>
      <w:r w:rsidR="003E25A7" w:rsidRPr="00DC6757">
        <w:rPr>
          <w:rFonts w:ascii="Times New Roman" w:hAnsi="Times New Roman" w:cs="Times New Roman"/>
          <w:sz w:val="24"/>
          <w:szCs w:val="24"/>
        </w:rPr>
        <w:t xml:space="preserve"> (</w:t>
      </w:r>
      <w:r w:rsidR="00F26845" w:rsidRPr="00DC6757">
        <w:rPr>
          <w:rFonts w:ascii="Times New Roman" w:hAnsi="Times New Roman" w:cs="Times New Roman"/>
          <w:sz w:val="24"/>
          <w:szCs w:val="24"/>
        </w:rPr>
        <w:t xml:space="preserve">Zimmerman and </w:t>
      </w:r>
      <w:proofErr w:type="spellStart"/>
      <w:r w:rsidR="00F26845" w:rsidRPr="00DC6757">
        <w:rPr>
          <w:rFonts w:ascii="Times New Roman" w:hAnsi="Times New Roman" w:cs="Times New Roman"/>
          <w:sz w:val="24"/>
          <w:szCs w:val="24"/>
        </w:rPr>
        <w:t>Anastas</w:t>
      </w:r>
      <w:proofErr w:type="spellEnd"/>
      <w:r w:rsidR="00F26845" w:rsidRPr="00DC6757">
        <w:rPr>
          <w:rFonts w:ascii="Times New Roman" w:hAnsi="Times New Roman" w:cs="Times New Roman"/>
          <w:sz w:val="24"/>
          <w:szCs w:val="24"/>
        </w:rPr>
        <w:t>, 2015</w:t>
      </w:r>
      <w:r w:rsidR="00673082" w:rsidRPr="00DC6757">
        <w:rPr>
          <w:rFonts w:ascii="Times New Roman" w:hAnsi="Times New Roman" w:cs="Times New Roman"/>
          <w:sz w:val="24"/>
          <w:szCs w:val="24"/>
        </w:rPr>
        <w:t>)</w:t>
      </w:r>
      <w:r w:rsidR="007F1364" w:rsidRPr="00DC6757">
        <w:rPr>
          <w:rFonts w:ascii="Times New Roman" w:hAnsi="Times New Roman" w:cs="Times New Roman"/>
          <w:sz w:val="24"/>
          <w:szCs w:val="24"/>
        </w:rPr>
        <w:t>, toxicity testing at the whole organism level</w:t>
      </w:r>
      <w:r w:rsidR="00771CE1" w:rsidRPr="00DC6757">
        <w:rPr>
          <w:rFonts w:ascii="Times New Roman" w:hAnsi="Times New Roman" w:cs="Times New Roman"/>
          <w:sz w:val="24"/>
          <w:szCs w:val="24"/>
        </w:rPr>
        <w:t xml:space="preserve"> for each species, and each compound and </w:t>
      </w:r>
      <w:r w:rsidR="00346C66" w:rsidRPr="00DC6757">
        <w:rPr>
          <w:rFonts w:ascii="Times New Roman" w:hAnsi="Times New Roman" w:cs="Times New Roman"/>
          <w:sz w:val="24"/>
          <w:szCs w:val="24"/>
        </w:rPr>
        <w:t>every</w:t>
      </w:r>
      <w:r w:rsidR="00DC6757">
        <w:rPr>
          <w:rFonts w:ascii="Times New Roman" w:hAnsi="Times New Roman" w:cs="Times New Roman"/>
          <w:sz w:val="24"/>
          <w:szCs w:val="24"/>
        </w:rPr>
        <w:t xml:space="preserve"> </w:t>
      </w:r>
      <w:r w:rsidR="00771CE1" w:rsidRPr="00DC6757">
        <w:rPr>
          <w:rFonts w:ascii="Times New Roman" w:hAnsi="Times New Roman" w:cs="Times New Roman"/>
          <w:sz w:val="24"/>
          <w:szCs w:val="24"/>
        </w:rPr>
        <w:t>potential combination</w:t>
      </w:r>
      <w:r w:rsidR="007F1364" w:rsidRPr="00DC6757">
        <w:rPr>
          <w:rFonts w:ascii="Times New Roman" w:hAnsi="Times New Roman" w:cs="Times New Roman"/>
          <w:sz w:val="24"/>
          <w:szCs w:val="24"/>
        </w:rPr>
        <w:t xml:space="preserve"> is infeasible</w:t>
      </w:r>
      <w:r w:rsidR="002E5D10"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Further,</w:t>
      </w:r>
      <w:r w:rsidR="00A43E2A" w:rsidRPr="00DC6757">
        <w:rPr>
          <w:rFonts w:ascii="Times New Roman" w:hAnsi="Times New Roman" w:cs="Times New Roman"/>
          <w:sz w:val="24"/>
          <w:szCs w:val="24"/>
        </w:rPr>
        <w:t xml:space="preserve"> there are increasing concerns surrounding animal welfare and regulations surrounding animal testing.</w:t>
      </w:r>
      <w:r w:rsidR="00DC6757">
        <w:rPr>
          <w:rFonts w:ascii="Times New Roman" w:hAnsi="Times New Roman" w:cs="Times New Roman"/>
          <w:sz w:val="24"/>
          <w:szCs w:val="24"/>
        </w:rPr>
        <w:t xml:space="preserve"> </w:t>
      </w:r>
      <w:r w:rsidR="009C7754" w:rsidRPr="00DC6757">
        <w:rPr>
          <w:rFonts w:ascii="Times New Roman" w:hAnsi="Times New Roman" w:cs="Times New Roman"/>
          <w:sz w:val="24"/>
          <w:szCs w:val="24"/>
        </w:rPr>
        <w:t xml:space="preserve">In </w:t>
      </w:r>
      <w:r w:rsidR="007F1364" w:rsidRPr="00DC6757">
        <w:rPr>
          <w:rFonts w:ascii="Times New Roman" w:hAnsi="Times New Roman" w:cs="Times New Roman"/>
          <w:sz w:val="24"/>
          <w:szCs w:val="24"/>
        </w:rPr>
        <w:t xml:space="preserve">2007, in the US, </w:t>
      </w:r>
      <w:r w:rsidR="003E6017" w:rsidRPr="00DC6757">
        <w:rPr>
          <w:rFonts w:ascii="Times New Roman" w:hAnsi="Times New Roman" w:cs="Times New Roman"/>
          <w:sz w:val="24"/>
          <w:szCs w:val="24"/>
        </w:rPr>
        <w:t>National Research Council</w:t>
      </w:r>
      <w:r w:rsidR="007F1364" w:rsidRPr="00DC6757">
        <w:rPr>
          <w:rFonts w:ascii="Times New Roman" w:hAnsi="Times New Roman" w:cs="Times New Roman"/>
          <w:sz w:val="24"/>
          <w:szCs w:val="24"/>
        </w:rPr>
        <w:t xml:space="preserve"> </w:t>
      </w:r>
      <w:r w:rsidR="003E6017" w:rsidRPr="00DC6757">
        <w:rPr>
          <w:rFonts w:ascii="Times New Roman" w:hAnsi="Times New Roman" w:cs="Times New Roman"/>
          <w:sz w:val="24"/>
          <w:szCs w:val="24"/>
        </w:rPr>
        <w:t>recogn</w:t>
      </w:r>
      <w:r w:rsidR="009E035C" w:rsidRPr="00DC6757">
        <w:rPr>
          <w:rFonts w:ascii="Times New Roman" w:hAnsi="Times New Roman" w:cs="Times New Roman"/>
          <w:sz w:val="24"/>
          <w:szCs w:val="24"/>
        </w:rPr>
        <w:t>ized the limitations in the current</w:t>
      </w:r>
      <w:r w:rsidR="003E6017" w:rsidRPr="00DC6757">
        <w:rPr>
          <w:rFonts w:ascii="Times New Roman" w:hAnsi="Times New Roman" w:cs="Times New Roman"/>
          <w:sz w:val="24"/>
          <w:szCs w:val="24"/>
        </w:rPr>
        <w:t xml:space="preserve"> status </w:t>
      </w:r>
      <w:r w:rsidR="007F1364" w:rsidRPr="00DC6757">
        <w:rPr>
          <w:rFonts w:ascii="Times New Roman" w:hAnsi="Times New Roman" w:cs="Times New Roman"/>
          <w:sz w:val="24"/>
          <w:szCs w:val="24"/>
        </w:rPr>
        <w:t xml:space="preserve">of </w:t>
      </w:r>
      <w:r w:rsidR="003E6017" w:rsidRPr="00DC6757">
        <w:rPr>
          <w:rFonts w:ascii="Times New Roman" w:hAnsi="Times New Roman" w:cs="Times New Roman"/>
          <w:sz w:val="24"/>
          <w:szCs w:val="24"/>
        </w:rPr>
        <w:t xml:space="preserve">toxicological testing and called </w:t>
      </w:r>
      <w:r w:rsidR="002E5D10" w:rsidRPr="00DC6757">
        <w:rPr>
          <w:rFonts w:ascii="Times New Roman" w:hAnsi="Times New Roman" w:cs="Times New Roman"/>
          <w:sz w:val="24"/>
          <w:szCs w:val="24"/>
        </w:rPr>
        <w:t>for</w:t>
      </w:r>
      <w:r w:rsidR="005B5BBA" w:rsidRPr="00DC6757">
        <w:rPr>
          <w:rFonts w:ascii="Times New Roman" w:hAnsi="Times New Roman" w:cs="Times New Roman"/>
          <w:sz w:val="24"/>
          <w:szCs w:val="24"/>
        </w:rPr>
        <w:t xml:space="preserve"> action</w:t>
      </w:r>
      <w:r w:rsidR="00AB6485" w:rsidRPr="00DC6757">
        <w:rPr>
          <w:rFonts w:ascii="Times New Roman" w:hAnsi="Times New Roman" w:cs="Times New Roman"/>
          <w:sz w:val="24"/>
          <w:szCs w:val="24"/>
        </w:rPr>
        <w:t xml:space="preserve"> to </w:t>
      </w:r>
      <w:r w:rsidR="003E6017" w:rsidRPr="00DC6757">
        <w:rPr>
          <w:rFonts w:ascii="Times New Roman" w:hAnsi="Times New Roman" w:cs="Times New Roman"/>
          <w:sz w:val="24"/>
          <w:szCs w:val="24"/>
        </w:rPr>
        <w:t xml:space="preserve">radically </w:t>
      </w:r>
      <w:r w:rsidR="009E035C" w:rsidRPr="00DC6757">
        <w:rPr>
          <w:rFonts w:ascii="Times New Roman" w:hAnsi="Times New Roman" w:cs="Times New Roman"/>
          <w:sz w:val="24"/>
          <w:szCs w:val="24"/>
        </w:rPr>
        <w:t>improve toxicological evaluation</w:t>
      </w:r>
      <w:r w:rsidR="00581B02" w:rsidRPr="00DC6757">
        <w:rPr>
          <w:rFonts w:ascii="Times New Roman" w:hAnsi="Times New Roman" w:cs="Times New Roman"/>
          <w:sz w:val="24"/>
          <w:szCs w:val="24"/>
        </w:rPr>
        <w:t xml:space="preserve"> for individuals</w:t>
      </w:r>
      <w:r w:rsidR="003E6017" w:rsidRPr="00DC6757">
        <w:rPr>
          <w:rFonts w:ascii="Times New Roman" w:hAnsi="Times New Roman" w:cs="Times New Roman"/>
          <w:sz w:val="24"/>
          <w:szCs w:val="24"/>
        </w:rPr>
        <w:t>. The shift required</w:t>
      </w:r>
      <w:r w:rsidR="005B5BBA" w:rsidRPr="00DC6757">
        <w:rPr>
          <w:rFonts w:ascii="Times New Roman" w:hAnsi="Times New Roman" w:cs="Times New Roman"/>
          <w:sz w:val="24"/>
          <w:szCs w:val="24"/>
        </w:rPr>
        <w:t xml:space="preserve"> much of the science that is</w:t>
      </w:r>
      <w:r w:rsidR="002E5D10" w:rsidRPr="00DC6757">
        <w:rPr>
          <w:rFonts w:ascii="Times New Roman" w:hAnsi="Times New Roman" w:cs="Times New Roman"/>
          <w:sz w:val="24"/>
          <w:szCs w:val="24"/>
        </w:rPr>
        <w:t xml:space="preserve"> </w:t>
      </w:r>
      <w:r w:rsidR="005B5BBA" w:rsidRPr="00DC6757">
        <w:rPr>
          <w:rFonts w:ascii="Times New Roman" w:hAnsi="Times New Roman" w:cs="Times New Roman"/>
          <w:sz w:val="24"/>
          <w:szCs w:val="24"/>
        </w:rPr>
        <w:t>focused</w:t>
      </w:r>
      <w:r w:rsidR="002E5D10" w:rsidRPr="00DC6757">
        <w:rPr>
          <w:rFonts w:ascii="Times New Roman" w:hAnsi="Times New Roman" w:cs="Times New Roman"/>
          <w:sz w:val="24"/>
          <w:szCs w:val="24"/>
        </w:rPr>
        <w:t xml:space="preserve"> on testing the harmful e</w:t>
      </w:r>
      <w:r w:rsidR="003E6017" w:rsidRPr="00DC6757">
        <w:rPr>
          <w:rFonts w:ascii="Times New Roman" w:hAnsi="Times New Roman" w:cs="Times New Roman"/>
          <w:sz w:val="24"/>
          <w:szCs w:val="24"/>
        </w:rPr>
        <w:t>ffects of chemicals</w:t>
      </w:r>
      <w:r w:rsidR="00DC6757">
        <w:rPr>
          <w:rFonts w:ascii="Times New Roman" w:hAnsi="Times New Roman" w:cs="Times New Roman"/>
          <w:sz w:val="24"/>
          <w:szCs w:val="24"/>
        </w:rPr>
        <w:t xml:space="preserve"> </w:t>
      </w:r>
      <w:r w:rsidR="003E6017" w:rsidRPr="00DC6757">
        <w:rPr>
          <w:rFonts w:ascii="Times New Roman" w:hAnsi="Times New Roman" w:cs="Times New Roman"/>
          <w:sz w:val="24"/>
          <w:szCs w:val="24"/>
        </w:rPr>
        <w:t>to move</w:t>
      </w:r>
      <w:r w:rsidR="002E5D10" w:rsidRP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 xml:space="preserve">towards development of </w:t>
      </w:r>
      <w:r w:rsidR="002E5D10" w:rsidRPr="00DC6757">
        <w:rPr>
          <w:rFonts w:ascii="Times New Roman" w:hAnsi="Times New Roman" w:cs="Times New Roman"/>
          <w:sz w:val="24"/>
          <w:szCs w:val="24"/>
        </w:rPr>
        <w:t xml:space="preserve">techniques </w:t>
      </w:r>
      <w:r w:rsidR="003E6017" w:rsidRPr="00DC6757">
        <w:rPr>
          <w:rFonts w:ascii="Times New Roman" w:hAnsi="Times New Roman" w:cs="Times New Roman"/>
          <w:sz w:val="24"/>
          <w:szCs w:val="24"/>
        </w:rPr>
        <w:t>that are focu</w:t>
      </w:r>
      <w:r w:rsidR="00133BFA" w:rsidRPr="00DC6757">
        <w:rPr>
          <w:rFonts w:ascii="Times New Roman" w:hAnsi="Times New Roman" w:cs="Times New Roman"/>
          <w:sz w:val="24"/>
          <w:szCs w:val="24"/>
        </w:rPr>
        <w:t>s</w:t>
      </w:r>
      <w:r w:rsidR="003E6017" w:rsidRPr="00DC6757">
        <w:rPr>
          <w:rFonts w:ascii="Times New Roman" w:hAnsi="Times New Roman" w:cs="Times New Roman"/>
          <w:sz w:val="24"/>
          <w:szCs w:val="24"/>
        </w:rPr>
        <w:t>e</w:t>
      </w:r>
      <w:r w:rsidR="00133BFA" w:rsidRPr="00DC6757">
        <w:rPr>
          <w:rFonts w:ascii="Times New Roman" w:hAnsi="Times New Roman" w:cs="Times New Roman"/>
          <w:sz w:val="24"/>
          <w:szCs w:val="24"/>
        </w:rPr>
        <w:t>d on</w:t>
      </w:r>
      <w:r w:rsidR="003E6017" w:rsidRPr="00DC6757">
        <w:rPr>
          <w:rFonts w:ascii="Times New Roman" w:hAnsi="Times New Roman" w:cs="Times New Roman"/>
          <w:sz w:val="24"/>
          <w:szCs w:val="24"/>
        </w:rPr>
        <w:t xml:space="preserve"> </w:t>
      </w:r>
      <w:r w:rsidR="002E5D10" w:rsidRPr="00DC6757">
        <w:rPr>
          <w:rFonts w:ascii="Times New Roman" w:hAnsi="Times New Roman" w:cs="Times New Roman"/>
          <w:i/>
          <w:sz w:val="24"/>
          <w:szCs w:val="24"/>
        </w:rPr>
        <w:t>i</w:t>
      </w:r>
      <w:r w:rsidR="00A43E2A" w:rsidRPr="00DC6757">
        <w:rPr>
          <w:rFonts w:ascii="Times New Roman" w:hAnsi="Times New Roman" w:cs="Times New Roman"/>
          <w:i/>
          <w:sz w:val="24"/>
          <w:szCs w:val="24"/>
        </w:rPr>
        <w:t>n v</w:t>
      </w:r>
      <w:r w:rsidR="005B5BBA" w:rsidRPr="00DC6757">
        <w:rPr>
          <w:rFonts w:ascii="Times New Roman" w:hAnsi="Times New Roman" w:cs="Times New Roman"/>
          <w:i/>
          <w:sz w:val="24"/>
          <w:szCs w:val="24"/>
        </w:rPr>
        <w:t>itro</w:t>
      </w:r>
      <w:r w:rsidR="005B5BBA" w:rsidRPr="00DC6757">
        <w:rPr>
          <w:rFonts w:ascii="Times New Roman" w:hAnsi="Times New Roman" w:cs="Times New Roman"/>
          <w:sz w:val="24"/>
          <w:szCs w:val="24"/>
        </w:rPr>
        <w:t xml:space="preserve"> and </w:t>
      </w:r>
      <w:r w:rsidR="005B5BBA" w:rsidRPr="00DC6757">
        <w:rPr>
          <w:rFonts w:ascii="Times New Roman" w:hAnsi="Times New Roman" w:cs="Times New Roman"/>
          <w:i/>
          <w:sz w:val="24"/>
          <w:szCs w:val="24"/>
        </w:rPr>
        <w:t>in silico</w:t>
      </w:r>
      <w:r w:rsidR="005B5BBA" w:rsidRPr="00DC6757">
        <w:rPr>
          <w:rFonts w:ascii="Times New Roman" w:hAnsi="Times New Roman" w:cs="Times New Roman"/>
          <w:sz w:val="24"/>
          <w:szCs w:val="24"/>
        </w:rPr>
        <w:t xml:space="preserve"> testing to </w:t>
      </w:r>
      <w:r w:rsidR="0027489C" w:rsidRPr="00DC6757">
        <w:rPr>
          <w:rFonts w:ascii="Times New Roman" w:hAnsi="Times New Roman" w:cs="Times New Roman"/>
          <w:sz w:val="24"/>
          <w:szCs w:val="24"/>
        </w:rPr>
        <w:t>extrapolate</w:t>
      </w:r>
      <w:r w:rsidR="002E5D10" w:rsidRPr="00DC6757">
        <w:rPr>
          <w:rFonts w:ascii="Times New Roman" w:hAnsi="Times New Roman" w:cs="Times New Roman"/>
          <w:sz w:val="24"/>
          <w:szCs w:val="24"/>
        </w:rPr>
        <w:t xml:space="preserve"> molecular and cellular level </w:t>
      </w:r>
      <w:r w:rsidR="00A43E2A" w:rsidRPr="00DC6757">
        <w:rPr>
          <w:rFonts w:ascii="Times New Roman" w:hAnsi="Times New Roman" w:cs="Times New Roman"/>
          <w:sz w:val="24"/>
          <w:szCs w:val="24"/>
        </w:rPr>
        <w:t>effects to the whole organism</w:t>
      </w:r>
      <w:r w:rsidR="00DC6757">
        <w:rPr>
          <w:rFonts w:ascii="Times New Roman" w:hAnsi="Times New Roman" w:cs="Times New Roman"/>
          <w:sz w:val="24"/>
          <w:szCs w:val="24"/>
        </w:rPr>
        <w:t xml:space="preserve"> </w:t>
      </w:r>
      <w:r w:rsidR="00FE31D9" w:rsidRPr="00DC6757">
        <w:rPr>
          <w:rFonts w:ascii="Times New Roman" w:hAnsi="Times New Roman" w:cs="Times New Roman"/>
          <w:sz w:val="24"/>
          <w:szCs w:val="24"/>
        </w:rPr>
        <w:t>(National Research Council, 2007)</w:t>
      </w:r>
      <w:r w:rsidR="002E5D10" w:rsidRPr="00DC6757">
        <w:rPr>
          <w:rFonts w:ascii="Times New Roman" w:hAnsi="Times New Roman" w:cs="Times New Roman"/>
          <w:sz w:val="24"/>
          <w:szCs w:val="24"/>
        </w:rPr>
        <w:t xml:space="preserve">. </w:t>
      </w:r>
      <w:r w:rsidR="00581B02" w:rsidRPr="00DC6757">
        <w:rPr>
          <w:rFonts w:ascii="Times New Roman" w:hAnsi="Times New Roman" w:cs="Times New Roman"/>
          <w:sz w:val="24"/>
          <w:szCs w:val="24"/>
        </w:rPr>
        <w:t>This</w:t>
      </w:r>
      <w:r w:rsidR="00FE71DB" w:rsidRPr="00DC6757">
        <w:rPr>
          <w:rFonts w:ascii="Times New Roman" w:hAnsi="Times New Roman" w:cs="Times New Roman"/>
          <w:sz w:val="24"/>
          <w:szCs w:val="24"/>
        </w:rPr>
        <w:t xml:space="preserve"> new</w:t>
      </w:r>
      <w:r w:rsidR="00581B02" w:rsidRPr="00DC6757">
        <w:rPr>
          <w:rFonts w:ascii="Times New Roman" w:hAnsi="Times New Roman" w:cs="Times New Roman"/>
          <w:sz w:val="24"/>
          <w:szCs w:val="24"/>
        </w:rPr>
        <w:t xml:space="preserve"> framework, designed for the protection of human health, was adopted by environmental scientists and managers to assess the risks of environmental chemicals to fish, wildlife and ultimately ecosystem health, and the framework that originally extrapolated from the molecular to the individual had to extend to the population level for ecological risk assessment </w:t>
      </w:r>
      <w:r w:rsidR="00581B02" w:rsidRPr="00DC6757">
        <w:rPr>
          <w:rFonts w:ascii="Times New Roman" w:hAnsi="Times New Roman" w:cs="Times New Roman"/>
          <w:sz w:val="24"/>
          <w:szCs w:val="24"/>
        </w:rPr>
        <w:lastRenderedPageBreak/>
        <w:t>(Villeneuve and Garcia-Reyero 2011).</w:t>
      </w:r>
      <w:r w:rsidR="00FE71DB" w:rsidRPr="00DC6757">
        <w:rPr>
          <w:rFonts w:ascii="Times New Roman" w:hAnsi="Times New Roman" w:cs="Times New Roman"/>
          <w:sz w:val="24"/>
          <w:szCs w:val="24"/>
        </w:rPr>
        <w:t>Recently, in support of this new framework, the US passed</w:t>
      </w:r>
      <w:r w:rsidR="001406A7" w:rsidRPr="00DC6757">
        <w:rPr>
          <w:rFonts w:ascii="Times New Roman" w:hAnsi="Times New Roman" w:cs="Times New Roman"/>
          <w:sz w:val="24"/>
          <w:szCs w:val="24"/>
        </w:rPr>
        <w:t xml:space="preserve"> </w:t>
      </w:r>
      <w:r w:rsidR="009E035C" w:rsidRPr="00DC6757">
        <w:rPr>
          <w:rFonts w:ascii="Times New Roman" w:hAnsi="Times New Roman" w:cs="Times New Roman"/>
          <w:sz w:val="24"/>
          <w:szCs w:val="24"/>
        </w:rPr>
        <w:t>bipartisan reforms to the Toxic Substance Control Act (TCSA) in 2016 that embraced alternative testing strategies that include mechanism</w:t>
      </w:r>
      <w:r w:rsidR="00960126" w:rsidRPr="00DC6757">
        <w:rPr>
          <w:rFonts w:ascii="Times New Roman" w:hAnsi="Times New Roman" w:cs="Times New Roman"/>
          <w:sz w:val="24"/>
          <w:szCs w:val="24"/>
        </w:rPr>
        <w:t>s</w:t>
      </w:r>
      <w:r w:rsidR="009E035C" w:rsidRPr="00DC6757">
        <w:rPr>
          <w:rFonts w:ascii="Times New Roman" w:hAnsi="Times New Roman" w:cs="Times New Roman"/>
          <w:sz w:val="24"/>
          <w:szCs w:val="24"/>
        </w:rPr>
        <w:t xml:space="preserve"> based </w:t>
      </w:r>
      <w:r w:rsidR="009E035C" w:rsidRPr="00DC6757">
        <w:rPr>
          <w:rFonts w:ascii="Times New Roman" w:hAnsi="Times New Roman" w:cs="Times New Roman"/>
          <w:i/>
          <w:sz w:val="24"/>
          <w:szCs w:val="24"/>
        </w:rPr>
        <w:t>in vitro</w:t>
      </w:r>
      <w:r w:rsidR="009E035C" w:rsidRPr="00DC6757">
        <w:rPr>
          <w:rFonts w:ascii="Times New Roman" w:hAnsi="Times New Roman" w:cs="Times New Roman"/>
          <w:sz w:val="24"/>
          <w:szCs w:val="24"/>
        </w:rPr>
        <w:t xml:space="preserve"> assays and </w:t>
      </w:r>
      <w:r w:rsidR="009E035C" w:rsidRPr="00DC6757">
        <w:rPr>
          <w:rFonts w:ascii="Times New Roman" w:hAnsi="Times New Roman" w:cs="Times New Roman"/>
          <w:i/>
          <w:sz w:val="24"/>
          <w:szCs w:val="24"/>
        </w:rPr>
        <w:t>in silico</w:t>
      </w:r>
      <w:r w:rsidR="009E035C" w:rsidRPr="00DC6757">
        <w:rPr>
          <w:rFonts w:ascii="Times New Roman" w:hAnsi="Times New Roman" w:cs="Times New Roman"/>
          <w:sz w:val="24"/>
          <w:szCs w:val="24"/>
        </w:rPr>
        <w:t xml:space="preserve"> approaches (Nel and Malloy, 2017).</w:t>
      </w:r>
      <w:r w:rsidR="009013CC" w:rsidRPr="00DC6757">
        <w:rPr>
          <w:rFonts w:ascii="Times New Roman" w:hAnsi="Times New Roman" w:cs="Times New Roman"/>
          <w:sz w:val="24"/>
          <w:szCs w:val="24"/>
        </w:rPr>
        <w:t xml:space="preserve"> </w:t>
      </w:r>
    </w:p>
    <w:p w14:paraId="4EA7B1CB" w14:textId="660346F3" w:rsidR="007F1364" w:rsidRPr="00DC6757" w:rsidRDefault="00B11DC5" w:rsidP="0053083E">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 </w:t>
      </w:r>
      <w:r w:rsidR="00DB6358" w:rsidRPr="00DC6757">
        <w:rPr>
          <w:rFonts w:ascii="Times New Roman" w:hAnsi="Times New Roman" w:cs="Times New Roman"/>
          <w:sz w:val="24"/>
          <w:szCs w:val="24"/>
        </w:rPr>
        <w:t>W</w:t>
      </w:r>
      <w:r w:rsidRPr="00DC6757">
        <w:rPr>
          <w:rFonts w:ascii="Times New Roman" w:hAnsi="Times New Roman" w:cs="Times New Roman"/>
          <w:sz w:val="24"/>
          <w:szCs w:val="24"/>
        </w:rPr>
        <w:t>e propose a</w:t>
      </w:r>
      <w:r w:rsidR="007F1364" w:rsidRPr="00DC6757">
        <w:rPr>
          <w:rFonts w:ascii="Times New Roman" w:hAnsi="Times New Roman" w:cs="Times New Roman"/>
          <w:sz w:val="24"/>
          <w:szCs w:val="24"/>
        </w:rPr>
        <w:t xml:space="preserve"> </w:t>
      </w:r>
      <w:r w:rsidR="00A148C8" w:rsidRPr="00DC6757">
        <w:rPr>
          <w:rFonts w:ascii="Times New Roman" w:hAnsi="Times New Roman" w:cs="Times New Roman"/>
          <w:sz w:val="24"/>
          <w:szCs w:val="24"/>
        </w:rPr>
        <w:t>conceptual model</w:t>
      </w:r>
      <w:r w:rsidR="007F1364" w:rsidRPr="00DC6757">
        <w:rPr>
          <w:rFonts w:ascii="Times New Roman" w:hAnsi="Times New Roman" w:cs="Times New Roman"/>
          <w:sz w:val="24"/>
          <w:szCs w:val="24"/>
        </w:rPr>
        <w:t xml:space="preserve"> that would allow for the extrapolation of toxicological impacts to populations from molecular level responses to chemicals.</w:t>
      </w:r>
      <w:r w:rsid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 xml:space="preserve">This </w:t>
      </w:r>
      <w:r w:rsidR="00A148C8" w:rsidRPr="00DC6757">
        <w:rPr>
          <w:rFonts w:ascii="Times New Roman" w:hAnsi="Times New Roman" w:cs="Times New Roman"/>
          <w:sz w:val="24"/>
          <w:szCs w:val="24"/>
        </w:rPr>
        <w:t xml:space="preserve">concept </w:t>
      </w:r>
      <w:r w:rsidR="007F1364" w:rsidRPr="00DC6757">
        <w:rPr>
          <w:rFonts w:ascii="Times New Roman" w:hAnsi="Times New Roman" w:cs="Times New Roman"/>
          <w:sz w:val="24"/>
          <w:szCs w:val="24"/>
        </w:rPr>
        <w:t>will integrate two complementary modeling approaches relevant to ecological risk assessment—adverse outcome pathway (AOP) and Dynamic Energy Budget (DEB) models. Adverse outcome pathway models provide “bottom-up” mechanisms to predict specific toxicological effects that could impact an individual’s ability to grow, reproduce, and/or survive from a molecular initiating event (</w:t>
      </w:r>
      <w:proofErr w:type="spellStart"/>
      <w:r w:rsidR="007F1364" w:rsidRPr="00DC6757">
        <w:rPr>
          <w:rFonts w:ascii="Times New Roman" w:hAnsi="Times New Roman" w:cs="Times New Roman"/>
          <w:sz w:val="24"/>
          <w:szCs w:val="24"/>
        </w:rPr>
        <w:t>Ankley</w:t>
      </w:r>
      <w:proofErr w:type="spellEnd"/>
      <w:r w:rsidR="007F1364" w:rsidRPr="00DC6757">
        <w:rPr>
          <w:rFonts w:ascii="Times New Roman" w:hAnsi="Times New Roman" w:cs="Times New Roman"/>
          <w:sz w:val="24"/>
          <w:szCs w:val="24"/>
        </w:rPr>
        <w:t xml:space="preserve"> et al 2010). Dynamic Energy Budget models offer a “top-down” approach that reverse engineers stressor effects on growth, reproduction, and/or survival </w:t>
      </w:r>
      <w:r w:rsidR="00D45B24" w:rsidRPr="00DC6757">
        <w:rPr>
          <w:rFonts w:ascii="Times New Roman" w:hAnsi="Times New Roman" w:cs="Times New Roman"/>
          <w:sz w:val="24"/>
          <w:szCs w:val="24"/>
        </w:rPr>
        <w:t>by compartmentalizing</w:t>
      </w:r>
      <w:r w:rsidR="007F1364" w:rsidRPr="00DC6757">
        <w:rPr>
          <w:rFonts w:ascii="Times New Roman" w:hAnsi="Times New Roman" w:cs="Times New Roman"/>
          <w:sz w:val="24"/>
          <w:szCs w:val="24"/>
        </w:rPr>
        <w:t xml:space="preserve"> re</w:t>
      </w:r>
      <w:r w:rsidR="00D45B24" w:rsidRPr="00DC6757">
        <w:rPr>
          <w:rFonts w:ascii="Times New Roman" w:hAnsi="Times New Roman" w:cs="Times New Roman"/>
          <w:sz w:val="24"/>
          <w:szCs w:val="24"/>
        </w:rPr>
        <w:t>sources based on</w:t>
      </w:r>
      <w:r w:rsidR="007F1364" w:rsidRPr="00DC6757">
        <w:rPr>
          <w:rFonts w:ascii="Times New Roman" w:hAnsi="Times New Roman" w:cs="Times New Roman"/>
          <w:sz w:val="24"/>
          <w:szCs w:val="24"/>
        </w:rPr>
        <w:t xml:space="preserve"> the</w:t>
      </w:r>
      <w:r w:rsidR="00D45B24" w:rsidRPr="00DC6757">
        <w:rPr>
          <w:rFonts w:ascii="Times New Roman" w:hAnsi="Times New Roman" w:cs="Times New Roman"/>
          <w:sz w:val="24"/>
          <w:szCs w:val="24"/>
        </w:rPr>
        <w:t>ir</w:t>
      </w:r>
      <w:r w:rsidR="007F1364" w:rsidRPr="00DC6757">
        <w:rPr>
          <w:rFonts w:ascii="Times New Roman" w:hAnsi="Times New Roman" w:cs="Times New Roman"/>
          <w:sz w:val="24"/>
          <w:szCs w:val="24"/>
        </w:rPr>
        <w:t xml:space="preserve"> acquisition and processing.</w:t>
      </w:r>
    </w:p>
    <w:p w14:paraId="125CA47F" w14:textId="77777777" w:rsidR="00C20404" w:rsidRPr="00DC6757" w:rsidRDefault="00C20404" w:rsidP="00E4666F">
      <w:pPr>
        <w:spacing w:after="0" w:line="480" w:lineRule="auto"/>
        <w:rPr>
          <w:rFonts w:ascii="Times New Roman" w:hAnsi="Times New Roman" w:cs="Times New Roman"/>
          <w:sz w:val="24"/>
          <w:szCs w:val="24"/>
        </w:rPr>
      </w:pPr>
    </w:p>
    <w:p w14:paraId="071F5742" w14:textId="77777777" w:rsidR="00C20404" w:rsidRPr="00DC6757" w:rsidRDefault="00C20404" w:rsidP="00E4666F">
      <w:pPr>
        <w:spacing w:after="0" w:line="480" w:lineRule="auto"/>
        <w:rPr>
          <w:rFonts w:ascii="Times New Roman" w:hAnsi="Times New Roman" w:cs="Times New Roman"/>
          <w:b/>
          <w:sz w:val="24"/>
          <w:szCs w:val="24"/>
        </w:rPr>
      </w:pPr>
      <w:r w:rsidRPr="00DC6757">
        <w:rPr>
          <w:rFonts w:ascii="Times New Roman" w:hAnsi="Times New Roman" w:cs="Times New Roman"/>
          <w:b/>
          <w:sz w:val="24"/>
          <w:szCs w:val="24"/>
        </w:rPr>
        <w:t>Adverse Out</w:t>
      </w:r>
      <w:r w:rsidR="00E4666F" w:rsidRPr="00DC6757">
        <w:rPr>
          <w:rFonts w:ascii="Times New Roman" w:hAnsi="Times New Roman" w:cs="Times New Roman"/>
          <w:b/>
          <w:sz w:val="24"/>
          <w:szCs w:val="24"/>
        </w:rPr>
        <w:t>come Pathways and Ecotoxicology</w:t>
      </w:r>
    </w:p>
    <w:p w14:paraId="58633E84" w14:textId="0E56C0A3" w:rsidR="009013CC" w:rsidRPr="00DC6757" w:rsidRDefault="009013CC" w:rsidP="0053083E">
      <w:pPr>
        <w:spacing w:after="0" w:line="480" w:lineRule="auto"/>
        <w:rPr>
          <w:rFonts w:ascii="Times New Roman" w:hAnsi="Times New Roman" w:cs="Times New Roman"/>
          <w:sz w:val="24"/>
          <w:szCs w:val="24"/>
        </w:rPr>
      </w:pPr>
      <w:r w:rsidRPr="00DC6757">
        <w:rPr>
          <w:rFonts w:ascii="Times New Roman" w:hAnsi="Times New Roman" w:cs="Times New Roman"/>
          <w:sz w:val="24"/>
          <w:szCs w:val="24"/>
        </w:rPr>
        <w:tab/>
      </w:r>
      <w:r w:rsidR="007F0ABB" w:rsidRPr="00DC6757">
        <w:rPr>
          <w:rFonts w:ascii="Times New Roman" w:hAnsi="Times New Roman" w:cs="Times New Roman"/>
          <w:sz w:val="24"/>
          <w:szCs w:val="24"/>
        </w:rPr>
        <w:t xml:space="preserve">An important </w:t>
      </w:r>
      <w:r w:rsidR="00D502DD" w:rsidRPr="00DC6757">
        <w:rPr>
          <w:rFonts w:ascii="Times New Roman" w:hAnsi="Times New Roman" w:cs="Times New Roman"/>
          <w:sz w:val="24"/>
          <w:szCs w:val="24"/>
        </w:rPr>
        <w:t xml:space="preserve">bottom-up </w:t>
      </w:r>
      <w:r w:rsidR="002E5D10" w:rsidRPr="00DC6757">
        <w:rPr>
          <w:rFonts w:ascii="Times New Roman" w:hAnsi="Times New Roman" w:cs="Times New Roman"/>
          <w:sz w:val="24"/>
          <w:szCs w:val="24"/>
        </w:rPr>
        <w:t xml:space="preserve">approach </w:t>
      </w:r>
      <w:r w:rsidR="005B5BBA" w:rsidRPr="00DC6757">
        <w:rPr>
          <w:rFonts w:ascii="Times New Roman" w:hAnsi="Times New Roman" w:cs="Times New Roman"/>
          <w:sz w:val="24"/>
          <w:szCs w:val="24"/>
        </w:rPr>
        <w:t xml:space="preserve">is </w:t>
      </w:r>
      <w:r w:rsidR="003E6017" w:rsidRPr="00DC6757">
        <w:rPr>
          <w:rFonts w:ascii="Times New Roman" w:hAnsi="Times New Roman" w:cs="Times New Roman"/>
          <w:sz w:val="24"/>
          <w:szCs w:val="24"/>
        </w:rPr>
        <w:t>called the</w:t>
      </w:r>
      <w:r w:rsidR="002E5D10" w:rsidRPr="00DC6757">
        <w:rPr>
          <w:rFonts w:ascii="Times New Roman" w:hAnsi="Times New Roman" w:cs="Times New Roman"/>
          <w:sz w:val="24"/>
          <w:szCs w:val="24"/>
        </w:rPr>
        <w:t xml:space="preserve"> adverse outcome pathway (AOP) framework (</w:t>
      </w:r>
      <w:proofErr w:type="spellStart"/>
      <w:r w:rsidR="002E5D10" w:rsidRPr="00DC6757">
        <w:rPr>
          <w:rFonts w:ascii="Times New Roman" w:hAnsi="Times New Roman" w:cs="Times New Roman"/>
          <w:sz w:val="24"/>
          <w:szCs w:val="24"/>
        </w:rPr>
        <w:t>Ankley</w:t>
      </w:r>
      <w:proofErr w:type="spellEnd"/>
      <w:r w:rsidR="002E5D10" w:rsidRPr="00DC6757">
        <w:rPr>
          <w:rFonts w:ascii="Times New Roman" w:hAnsi="Times New Roman" w:cs="Times New Roman"/>
          <w:sz w:val="24"/>
          <w:szCs w:val="24"/>
        </w:rPr>
        <w:t xml:space="preserve"> et al</w:t>
      </w:r>
      <w:r w:rsidR="0053083E" w:rsidRPr="00DC6757">
        <w:rPr>
          <w:rFonts w:ascii="Times New Roman" w:hAnsi="Times New Roman" w:cs="Times New Roman"/>
          <w:sz w:val="24"/>
          <w:szCs w:val="24"/>
        </w:rPr>
        <w:t>.</w:t>
      </w:r>
      <w:r w:rsidR="002E5D10" w:rsidRPr="00DC6757">
        <w:rPr>
          <w:rFonts w:ascii="Times New Roman" w:hAnsi="Times New Roman" w:cs="Times New Roman"/>
          <w:sz w:val="24"/>
          <w:szCs w:val="24"/>
        </w:rPr>
        <w:t xml:space="preserve"> 2010). </w:t>
      </w:r>
      <w:r w:rsidR="00A43E2A" w:rsidRPr="00DC6757">
        <w:rPr>
          <w:rFonts w:ascii="Times New Roman" w:hAnsi="Times New Roman" w:cs="Times New Roman"/>
          <w:sz w:val="24"/>
          <w:szCs w:val="24"/>
        </w:rPr>
        <w:t xml:space="preserve">The </w:t>
      </w:r>
      <w:r w:rsidR="002E5D10" w:rsidRPr="00DC6757">
        <w:rPr>
          <w:rFonts w:ascii="Times New Roman" w:hAnsi="Times New Roman" w:cs="Times New Roman"/>
          <w:sz w:val="24"/>
          <w:szCs w:val="24"/>
        </w:rPr>
        <w:t>AOP</w:t>
      </w:r>
      <w:r w:rsidR="00A43E2A" w:rsidRPr="00DC6757">
        <w:rPr>
          <w:rFonts w:ascii="Times New Roman" w:hAnsi="Times New Roman" w:cs="Times New Roman"/>
          <w:sz w:val="24"/>
          <w:szCs w:val="24"/>
        </w:rPr>
        <w:t xml:space="preserve"> framework</w:t>
      </w:r>
      <w:r w:rsidR="00E327E3" w:rsidRPr="00DC6757">
        <w:rPr>
          <w:rFonts w:ascii="Times New Roman" w:hAnsi="Times New Roman" w:cs="Times New Roman"/>
          <w:sz w:val="24"/>
          <w:szCs w:val="24"/>
        </w:rPr>
        <w:t xml:space="preserve"> </w:t>
      </w:r>
      <w:r w:rsidR="00D45B24" w:rsidRPr="00DC6757">
        <w:rPr>
          <w:rFonts w:ascii="Times New Roman" w:hAnsi="Times New Roman" w:cs="Times New Roman"/>
          <w:sz w:val="24"/>
          <w:szCs w:val="24"/>
        </w:rPr>
        <w:t>was conceptualized by integrating concepts across (eco)toxicology</w:t>
      </w:r>
      <w:r w:rsidR="00EF138C" w:rsidRPr="00DC6757">
        <w:rPr>
          <w:rFonts w:ascii="Times New Roman" w:hAnsi="Times New Roman" w:cs="Times New Roman"/>
          <w:sz w:val="24"/>
          <w:szCs w:val="24"/>
        </w:rPr>
        <w:t xml:space="preserve"> (including mode-of action framework)</w:t>
      </w:r>
      <w:r w:rsidR="000335C0" w:rsidRPr="00DC6757">
        <w:rPr>
          <w:rFonts w:ascii="Times New Roman" w:hAnsi="Times New Roman" w:cs="Times New Roman"/>
          <w:sz w:val="24"/>
          <w:szCs w:val="24"/>
        </w:rPr>
        <w:t>,</w:t>
      </w:r>
      <w:r w:rsidR="002D2020" w:rsidRPr="00DC6757">
        <w:rPr>
          <w:rFonts w:ascii="Times New Roman" w:hAnsi="Times New Roman" w:cs="Times New Roman"/>
          <w:sz w:val="24"/>
          <w:szCs w:val="24"/>
        </w:rPr>
        <w:t xml:space="preserve"> which originally included </w:t>
      </w:r>
      <w:r w:rsidR="0053083E" w:rsidRPr="00DC6757">
        <w:rPr>
          <w:rFonts w:ascii="Times New Roman" w:hAnsi="Times New Roman" w:cs="Times New Roman"/>
          <w:sz w:val="24"/>
          <w:szCs w:val="24"/>
        </w:rPr>
        <w:t>chemical-</w:t>
      </w:r>
      <w:r w:rsidR="002D2020" w:rsidRPr="00DC6757">
        <w:rPr>
          <w:rFonts w:ascii="Times New Roman" w:hAnsi="Times New Roman" w:cs="Times New Roman"/>
          <w:sz w:val="24"/>
          <w:szCs w:val="24"/>
        </w:rPr>
        <w:t>specific mechanistic information into hazard assessment</w:t>
      </w:r>
      <w:r w:rsidR="00D45B24" w:rsidRPr="00DC6757">
        <w:rPr>
          <w:rFonts w:ascii="Times New Roman" w:hAnsi="Times New Roman" w:cs="Times New Roman"/>
          <w:sz w:val="24"/>
          <w:szCs w:val="24"/>
        </w:rPr>
        <w:t xml:space="preserve">, to </w:t>
      </w:r>
      <w:r w:rsidR="0093193F" w:rsidRPr="00DC6757">
        <w:rPr>
          <w:rFonts w:ascii="Times New Roman" w:hAnsi="Times New Roman" w:cs="Times New Roman"/>
          <w:sz w:val="24"/>
          <w:szCs w:val="24"/>
        </w:rPr>
        <w:t>aid in</w:t>
      </w:r>
      <w:r w:rsidR="00D45B24" w:rsidRPr="00DC6757">
        <w:rPr>
          <w:rFonts w:ascii="Times New Roman" w:hAnsi="Times New Roman" w:cs="Times New Roman"/>
          <w:sz w:val="24"/>
          <w:szCs w:val="24"/>
        </w:rPr>
        <w:t xml:space="preserve"> risk assessment</w:t>
      </w:r>
      <w:r w:rsidR="0093193F" w:rsidRPr="00DC6757">
        <w:rPr>
          <w:rFonts w:ascii="Times New Roman" w:hAnsi="Times New Roman" w:cs="Times New Roman"/>
          <w:sz w:val="24"/>
          <w:szCs w:val="24"/>
        </w:rPr>
        <w:t xml:space="preserve"> and understanding of stressor mediated adverse outcomes</w:t>
      </w:r>
      <w:r w:rsidR="002D2020" w:rsidRPr="00DC6757">
        <w:rPr>
          <w:rFonts w:ascii="Times New Roman" w:hAnsi="Times New Roman" w:cs="Times New Roman"/>
          <w:sz w:val="24"/>
          <w:szCs w:val="24"/>
        </w:rPr>
        <w:t xml:space="preserve"> (Meek et al</w:t>
      </w:r>
      <w:r w:rsidR="0053083E" w:rsidRPr="00DC6757">
        <w:rPr>
          <w:rFonts w:ascii="Times New Roman" w:hAnsi="Times New Roman" w:cs="Times New Roman"/>
          <w:sz w:val="24"/>
          <w:szCs w:val="24"/>
        </w:rPr>
        <w:t>.</w:t>
      </w:r>
      <w:r w:rsidR="002D2020" w:rsidRPr="00DC6757">
        <w:rPr>
          <w:rFonts w:ascii="Times New Roman" w:hAnsi="Times New Roman" w:cs="Times New Roman"/>
          <w:sz w:val="24"/>
          <w:szCs w:val="24"/>
        </w:rPr>
        <w:t xml:space="preserve"> 2003; Seed et al</w:t>
      </w:r>
      <w:r w:rsidR="0053083E" w:rsidRPr="00DC6757">
        <w:rPr>
          <w:rFonts w:ascii="Times New Roman" w:hAnsi="Times New Roman" w:cs="Times New Roman"/>
          <w:sz w:val="24"/>
          <w:szCs w:val="24"/>
        </w:rPr>
        <w:t>.</w:t>
      </w:r>
      <w:r w:rsidR="002D2020" w:rsidRPr="00DC6757">
        <w:rPr>
          <w:rFonts w:ascii="Times New Roman" w:hAnsi="Times New Roman" w:cs="Times New Roman"/>
          <w:sz w:val="24"/>
          <w:szCs w:val="24"/>
        </w:rPr>
        <w:t xml:space="preserve"> 2005, </w:t>
      </w:r>
      <w:proofErr w:type="spellStart"/>
      <w:r w:rsidR="002D2020" w:rsidRPr="00DC6757">
        <w:rPr>
          <w:rFonts w:ascii="Times New Roman" w:hAnsi="Times New Roman" w:cs="Times New Roman"/>
          <w:sz w:val="24"/>
          <w:szCs w:val="24"/>
        </w:rPr>
        <w:t>Boobis</w:t>
      </w:r>
      <w:proofErr w:type="spellEnd"/>
      <w:r w:rsidR="002D2020" w:rsidRPr="00DC6757">
        <w:rPr>
          <w:rFonts w:ascii="Times New Roman" w:hAnsi="Times New Roman" w:cs="Times New Roman"/>
          <w:sz w:val="24"/>
          <w:szCs w:val="24"/>
        </w:rPr>
        <w:t xml:space="preserve"> et al</w:t>
      </w:r>
      <w:r w:rsidR="0053083E" w:rsidRPr="00DC6757">
        <w:rPr>
          <w:rFonts w:ascii="Times New Roman" w:hAnsi="Times New Roman" w:cs="Times New Roman"/>
          <w:sz w:val="24"/>
          <w:szCs w:val="24"/>
        </w:rPr>
        <w:t>.</w:t>
      </w:r>
      <w:r w:rsidR="002D2020" w:rsidRPr="00DC6757">
        <w:rPr>
          <w:rFonts w:ascii="Times New Roman" w:hAnsi="Times New Roman" w:cs="Times New Roman"/>
          <w:sz w:val="24"/>
          <w:szCs w:val="24"/>
        </w:rPr>
        <w:t xml:space="preserve"> 2006, 2008).</w:t>
      </w:r>
      <w:r w:rsidR="00DC6757">
        <w:rPr>
          <w:rFonts w:ascii="Times New Roman" w:hAnsi="Times New Roman" w:cs="Times New Roman"/>
          <w:sz w:val="24"/>
          <w:szCs w:val="24"/>
        </w:rPr>
        <w:t xml:space="preserve"> </w:t>
      </w:r>
      <w:r w:rsidR="002D2020" w:rsidRPr="00DC6757">
        <w:rPr>
          <w:rFonts w:ascii="Times New Roman" w:hAnsi="Times New Roman" w:cs="Times New Roman"/>
          <w:sz w:val="24"/>
          <w:szCs w:val="24"/>
        </w:rPr>
        <w:t xml:space="preserve">The AOP, however, is chemical agnostic </w:t>
      </w:r>
      <w:r w:rsidR="00E327E3" w:rsidRPr="00DC6757">
        <w:rPr>
          <w:rFonts w:ascii="Times New Roman" w:hAnsi="Times New Roman" w:cs="Times New Roman"/>
          <w:sz w:val="24"/>
          <w:szCs w:val="24"/>
        </w:rPr>
        <w:t xml:space="preserve">and </w:t>
      </w:r>
      <w:r w:rsidR="00A43E2A" w:rsidRPr="00DC6757">
        <w:rPr>
          <w:rFonts w:ascii="Times New Roman" w:hAnsi="Times New Roman" w:cs="Times New Roman"/>
          <w:sz w:val="24"/>
          <w:szCs w:val="24"/>
        </w:rPr>
        <w:t xml:space="preserve">conceptualizes the </w:t>
      </w:r>
      <w:r w:rsidR="0093193F" w:rsidRPr="00DC6757">
        <w:rPr>
          <w:rFonts w:ascii="Times New Roman" w:hAnsi="Times New Roman" w:cs="Times New Roman"/>
          <w:sz w:val="24"/>
          <w:szCs w:val="24"/>
        </w:rPr>
        <w:t xml:space="preserve">cause-effect relationships </w:t>
      </w:r>
      <w:r w:rsidR="00A43E2A" w:rsidRPr="00DC6757">
        <w:rPr>
          <w:rFonts w:ascii="Times New Roman" w:hAnsi="Times New Roman" w:cs="Times New Roman"/>
          <w:sz w:val="24"/>
          <w:szCs w:val="24"/>
        </w:rPr>
        <w:t>from</w:t>
      </w:r>
      <w:r w:rsidR="0093193F" w:rsidRPr="00DC6757">
        <w:rPr>
          <w:rFonts w:ascii="Times New Roman" w:hAnsi="Times New Roman" w:cs="Times New Roman"/>
          <w:sz w:val="24"/>
          <w:szCs w:val="24"/>
        </w:rPr>
        <w:t xml:space="preserve"> the (molecular) initiating event</w:t>
      </w:r>
      <w:r w:rsidR="00A43E2A" w:rsidRPr="00DC6757">
        <w:rPr>
          <w:rFonts w:ascii="Times New Roman" w:hAnsi="Times New Roman" w:cs="Times New Roman"/>
          <w:sz w:val="24"/>
          <w:szCs w:val="24"/>
        </w:rPr>
        <w:t xml:space="preserve"> to </w:t>
      </w:r>
      <w:r w:rsidR="0093193F" w:rsidRPr="00DC6757">
        <w:rPr>
          <w:rFonts w:ascii="Times New Roman" w:hAnsi="Times New Roman" w:cs="Times New Roman"/>
          <w:sz w:val="24"/>
          <w:szCs w:val="24"/>
        </w:rPr>
        <w:t xml:space="preserve">higher level adverse outcomes, including changes at the population level, </w:t>
      </w:r>
      <w:r w:rsidR="00E327E3" w:rsidRPr="00DC6757">
        <w:rPr>
          <w:rFonts w:ascii="Times New Roman" w:hAnsi="Times New Roman" w:cs="Times New Roman"/>
          <w:sz w:val="24"/>
          <w:szCs w:val="24"/>
        </w:rPr>
        <w:t xml:space="preserve">as a first step to </w:t>
      </w:r>
      <w:r w:rsidR="00A43E2A" w:rsidRPr="00DC6757">
        <w:rPr>
          <w:rFonts w:ascii="Times New Roman" w:hAnsi="Times New Roman" w:cs="Times New Roman"/>
          <w:sz w:val="24"/>
          <w:szCs w:val="24"/>
        </w:rPr>
        <w:t xml:space="preserve">inform human and ecological risk assessment </w:t>
      </w:r>
      <w:r w:rsidR="00A43E2A" w:rsidRPr="00DC6757">
        <w:rPr>
          <w:rFonts w:ascii="Times New Roman" w:hAnsi="Times New Roman" w:cs="Times New Roman"/>
          <w:sz w:val="24"/>
          <w:szCs w:val="24"/>
        </w:rPr>
        <w:lastRenderedPageBreak/>
        <w:t>(</w:t>
      </w:r>
      <w:proofErr w:type="spellStart"/>
      <w:r w:rsidR="00A43E2A" w:rsidRPr="00DC6757">
        <w:rPr>
          <w:rFonts w:ascii="Times New Roman" w:hAnsi="Times New Roman" w:cs="Times New Roman"/>
          <w:sz w:val="24"/>
          <w:szCs w:val="24"/>
        </w:rPr>
        <w:t>Ankley</w:t>
      </w:r>
      <w:proofErr w:type="spellEnd"/>
      <w:r w:rsidR="00A43E2A" w:rsidRPr="00DC6757">
        <w:rPr>
          <w:rFonts w:ascii="Times New Roman" w:hAnsi="Times New Roman" w:cs="Times New Roman"/>
          <w:sz w:val="24"/>
          <w:szCs w:val="24"/>
        </w:rPr>
        <w:t xml:space="preserve"> et al.</w:t>
      </w:r>
      <w:r w:rsidR="00AB6485" w:rsidRPr="00DC6757">
        <w:rPr>
          <w:rFonts w:ascii="Times New Roman" w:hAnsi="Times New Roman" w:cs="Times New Roman"/>
          <w:sz w:val="24"/>
          <w:szCs w:val="24"/>
        </w:rPr>
        <w:t xml:space="preserve"> 2010</w:t>
      </w:r>
      <w:r w:rsidR="00245CDD" w:rsidRPr="00DC6757">
        <w:rPr>
          <w:rFonts w:ascii="Times New Roman" w:hAnsi="Times New Roman" w:cs="Times New Roman"/>
          <w:sz w:val="24"/>
          <w:szCs w:val="24"/>
        </w:rPr>
        <w:t>; Villeneuve et al</w:t>
      </w:r>
      <w:r w:rsidR="006F2A52" w:rsidRPr="00DC6757">
        <w:rPr>
          <w:rFonts w:ascii="Times New Roman" w:hAnsi="Times New Roman" w:cs="Times New Roman"/>
          <w:sz w:val="24"/>
          <w:szCs w:val="24"/>
        </w:rPr>
        <w:t>.</w:t>
      </w:r>
      <w:r w:rsidR="00245CDD" w:rsidRPr="00DC6757">
        <w:rPr>
          <w:rFonts w:ascii="Times New Roman" w:hAnsi="Times New Roman" w:cs="Times New Roman"/>
          <w:sz w:val="24"/>
          <w:szCs w:val="24"/>
        </w:rPr>
        <w:t xml:space="preserve"> 2014</w:t>
      </w:r>
      <w:r w:rsidR="00AB6485" w:rsidRPr="00DC6757">
        <w:rPr>
          <w:rFonts w:ascii="Times New Roman" w:hAnsi="Times New Roman" w:cs="Times New Roman"/>
          <w:sz w:val="24"/>
          <w:szCs w:val="24"/>
        </w:rPr>
        <w:t>). The AOP framework</w:t>
      </w:r>
      <w:r w:rsidR="00EF138C" w:rsidRPr="00DC6757">
        <w:rPr>
          <w:rFonts w:ascii="Times New Roman" w:hAnsi="Times New Roman" w:cs="Times New Roman"/>
          <w:sz w:val="24"/>
          <w:szCs w:val="24"/>
        </w:rPr>
        <w:t xml:space="preserve"> has </w:t>
      </w:r>
      <w:r w:rsidR="009D01C0" w:rsidRPr="00DC6757">
        <w:rPr>
          <w:rFonts w:ascii="Times New Roman" w:hAnsi="Times New Roman" w:cs="Times New Roman"/>
          <w:sz w:val="24"/>
          <w:szCs w:val="24"/>
        </w:rPr>
        <w:t>been used as an</w:t>
      </w:r>
      <w:r w:rsidR="00A43E2A" w:rsidRPr="00DC6757">
        <w:rPr>
          <w:rFonts w:ascii="Times New Roman" w:hAnsi="Times New Roman" w:cs="Times New Roman"/>
          <w:sz w:val="24"/>
          <w:szCs w:val="24"/>
        </w:rPr>
        <w:t xml:space="preserve"> effective tool for arranging information at the sub-organismal levels of organization and </w:t>
      </w:r>
      <w:r w:rsidR="0093193F" w:rsidRPr="00DC6757">
        <w:rPr>
          <w:rFonts w:ascii="Times New Roman" w:hAnsi="Times New Roman" w:cs="Times New Roman"/>
          <w:sz w:val="24"/>
          <w:szCs w:val="24"/>
        </w:rPr>
        <w:t xml:space="preserve">as an </w:t>
      </w:r>
      <w:r w:rsidR="00A43E2A" w:rsidRPr="00DC6757">
        <w:rPr>
          <w:rFonts w:ascii="Times New Roman" w:hAnsi="Times New Roman" w:cs="Times New Roman"/>
          <w:sz w:val="24"/>
          <w:szCs w:val="24"/>
        </w:rPr>
        <w:t xml:space="preserve">aid in interpreting data from high-throughput screening methods for the purpose of risk assessment. With these methods, the potential </w:t>
      </w:r>
      <w:r w:rsidR="0039731E" w:rsidRPr="00DC6757">
        <w:rPr>
          <w:rFonts w:ascii="Times New Roman" w:hAnsi="Times New Roman" w:cs="Times New Roman"/>
          <w:sz w:val="24"/>
          <w:szCs w:val="24"/>
        </w:rPr>
        <w:t xml:space="preserve">for </w:t>
      </w:r>
      <w:r w:rsidR="00A43E2A" w:rsidRPr="00DC6757">
        <w:rPr>
          <w:rFonts w:ascii="Times New Roman" w:hAnsi="Times New Roman" w:cs="Times New Roman"/>
          <w:sz w:val="24"/>
          <w:szCs w:val="24"/>
        </w:rPr>
        <w:t>thousands of chemicals to interact with molecular and cellular processes can be determine</w:t>
      </w:r>
      <w:r w:rsidR="007F1364" w:rsidRPr="00DC6757">
        <w:rPr>
          <w:rFonts w:ascii="Times New Roman" w:hAnsi="Times New Roman" w:cs="Times New Roman"/>
          <w:sz w:val="24"/>
          <w:szCs w:val="24"/>
        </w:rPr>
        <w:t xml:space="preserve">d rapidly and cost efficiently. </w:t>
      </w:r>
      <w:r w:rsidR="00C31717" w:rsidRPr="00DC6757">
        <w:rPr>
          <w:rFonts w:ascii="Times New Roman" w:hAnsi="Times New Roman" w:cs="Times New Roman"/>
          <w:sz w:val="24"/>
          <w:szCs w:val="24"/>
        </w:rPr>
        <w:t>These methods may be useful f</w:t>
      </w:r>
      <w:r w:rsidR="00A43E2A" w:rsidRPr="00DC6757">
        <w:rPr>
          <w:rFonts w:ascii="Times New Roman" w:hAnsi="Times New Roman" w:cs="Times New Roman"/>
          <w:sz w:val="24"/>
          <w:szCs w:val="24"/>
        </w:rPr>
        <w:t>or human health risk assessment</w:t>
      </w:r>
      <w:r w:rsidR="007F1364" w:rsidRPr="00DC6757">
        <w:rPr>
          <w:rFonts w:ascii="Times New Roman" w:hAnsi="Times New Roman" w:cs="Times New Roman"/>
          <w:sz w:val="24"/>
          <w:szCs w:val="24"/>
        </w:rPr>
        <w:t>s</w:t>
      </w:r>
      <w:r w:rsidR="00A43E2A" w:rsidRPr="00DC6757">
        <w:rPr>
          <w:rFonts w:ascii="Times New Roman" w:hAnsi="Times New Roman" w:cs="Times New Roman"/>
          <w:sz w:val="24"/>
          <w:szCs w:val="24"/>
        </w:rPr>
        <w:t xml:space="preserve"> which focuses on the protection of the individual</w:t>
      </w:r>
      <w:r w:rsidR="00C31717" w:rsidRPr="00DC6757">
        <w:rPr>
          <w:rFonts w:ascii="Times New Roman" w:hAnsi="Times New Roman" w:cs="Times New Roman"/>
          <w:sz w:val="24"/>
          <w:szCs w:val="24"/>
        </w:rPr>
        <w:t xml:space="preserve"> because</w:t>
      </w:r>
      <w:r w:rsidR="00A43E2A" w:rsidRPr="00DC6757">
        <w:rPr>
          <w:rFonts w:ascii="Times New Roman" w:hAnsi="Times New Roman" w:cs="Times New Roman"/>
          <w:sz w:val="24"/>
          <w:szCs w:val="24"/>
        </w:rPr>
        <w:t xml:space="preserve"> AOPs that link lower level events to organismal level responses may be </w:t>
      </w:r>
      <w:proofErr w:type="gramStart"/>
      <w:r w:rsidR="00A43E2A" w:rsidRPr="00DC6757">
        <w:rPr>
          <w:rFonts w:ascii="Times New Roman" w:hAnsi="Times New Roman" w:cs="Times New Roman"/>
          <w:sz w:val="24"/>
          <w:szCs w:val="24"/>
        </w:rPr>
        <w:t>sufficient</w:t>
      </w:r>
      <w:proofErr w:type="gramEnd"/>
      <w:r w:rsidR="007F1364" w:rsidRPr="00DC6757">
        <w:rPr>
          <w:rFonts w:ascii="Times New Roman" w:hAnsi="Times New Roman" w:cs="Times New Roman"/>
          <w:sz w:val="24"/>
          <w:szCs w:val="24"/>
        </w:rPr>
        <w:t xml:space="preserve"> to indicate risk</w:t>
      </w:r>
      <w:r w:rsidR="00A43E2A"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39731E" w:rsidRPr="00DC6757">
        <w:rPr>
          <w:rFonts w:ascii="Times New Roman" w:hAnsi="Times New Roman" w:cs="Times New Roman"/>
          <w:sz w:val="24"/>
          <w:szCs w:val="24"/>
        </w:rPr>
        <w:t>For example</w:t>
      </w:r>
      <w:r w:rsidR="00A43E2A" w:rsidRPr="00DC6757">
        <w:rPr>
          <w:rFonts w:ascii="Times New Roman" w:hAnsi="Times New Roman" w:cs="Times New Roman"/>
          <w:sz w:val="24"/>
          <w:szCs w:val="24"/>
        </w:rPr>
        <w:t>, adverse outcomes may include cellular endpoints such as skin sensitization, or</w:t>
      </w:r>
      <w:r w:rsidR="0093193F" w:rsidRPr="00DC6757">
        <w:rPr>
          <w:rFonts w:ascii="Times New Roman" w:hAnsi="Times New Roman" w:cs="Times New Roman"/>
          <w:sz w:val="24"/>
          <w:szCs w:val="24"/>
        </w:rPr>
        <w:t xml:space="preserve"> abnormal</w:t>
      </w:r>
      <w:r w:rsidR="00A43E2A" w:rsidRPr="00DC6757">
        <w:rPr>
          <w:rFonts w:ascii="Times New Roman" w:hAnsi="Times New Roman" w:cs="Times New Roman"/>
          <w:sz w:val="24"/>
          <w:szCs w:val="24"/>
        </w:rPr>
        <w:t xml:space="preserve"> cell proliferation</w:t>
      </w:r>
      <w:r w:rsidRPr="00DC6757">
        <w:rPr>
          <w:rFonts w:ascii="Times New Roman" w:hAnsi="Times New Roman" w:cs="Times New Roman"/>
          <w:sz w:val="24"/>
          <w:szCs w:val="24"/>
        </w:rPr>
        <w:t xml:space="preserve"> (Nel and Malloy 2017)</w:t>
      </w:r>
      <w:r w:rsidR="0039731E" w:rsidRPr="00DC6757">
        <w:rPr>
          <w:rFonts w:ascii="Times New Roman" w:hAnsi="Times New Roman" w:cs="Times New Roman"/>
          <w:sz w:val="24"/>
          <w:szCs w:val="24"/>
        </w:rPr>
        <w:t>,</w:t>
      </w:r>
      <w:r w:rsidR="00A43E2A" w:rsidRPr="00DC6757">
        <w:rPr>
          <w:rFonts w:ascii="Times New Roman" w:hAnsi="Times New Roman" w:cs="Times New Roman"/>
          <w:sz w:val="24"/>
          <w:szCs w:val="24"/>
        </w:rPr>
        <w:t xml:space="preserve"> </w:t>
      </w:r>
      <w:r w:rsidR="0039731E" w:rsidRPr="00DC6757">
        <w:rPr>
          <w:rFonts w:ascii="Times New Roman" w:hAnsi="Times New Roman" w:cs="Times New Roman"/>
          <w:sz w:val="24"/>
          <w:szCs w:val="24"/>
        </w:rPr>
        <w:t>but how those interactions translate into impacts on organismal performance and ecological processes remains uncertain (Margiotta-Casaluci et al. 2016).</w:t>
      </w:r>
      <w:r w:rsidR="00DC6757">
        <w:rPr>
          <w:rFonts w:ascii="Times New Roman" w:hAnsi="Times New Roman" w:cs="Times New Roman"/>
          <w:sz w:val="24"/>
          <w:szCs w:val="24"/>
        </w:rPr>
        <w:t xml:space="preserve"> </w:t>
      </w:r>
      <w:r w:rsidR="00A43E2A" w:rsidRPr="00DC6757">
        <w:rPr>
          <w:rFonts w:ascii="Times New Roman" w:hAnsi="Times New Roman" w:cs="Times New Roman"/>
          <w:sz w:val="24"/>
          <w:szCs w:val="24"/>
        </w:rPr>
        <w:t xml:space="preserve">Ecological risk assessments are generally concerned with the protection of populations, food webs, or ecosystems, </w:t>
      </w:r>
      <w:r w:rsidRPr="00DC6757">
        <w:rPr>
          <w:rFonts w:ascii="Times New Roman" w:hAnsi="Times New Roman" w:cs="Times New Roman"/>
          <w:sz w:val="24"/>
          <w:szCs w:val="24"/>
        </w:rPr>
        <w:t xml:space="preserve">and </w:t>
      </w:r>
      <w:r w:rsidR="00A43E2A" w:rsidRPr="00DC6757">
        <w:rPr>
          <w:rFonts w:ascii="Times New Roman" w:hAnsi="Times New Roman" w:cs="Times New Roman"/>
          <w:sz w:val="24"/>
          <w:szCs w:val="24"/>
        </w:rPr>
        <w:t>there is a critical need to develop AOPs that inform these higher levels</w:t>
      </w:r>
      <w:r w:rsidR="006E6B9E" w:rsidRPr="00DC6757">
        <w:rPr>
          <w:rFonts w:ascii="Times New Roman" w:hAnsi="Times New Roman" w:cs="Times New Roman"/>
          <w:sz w:val="24"/>
          <w:szCs w:val="24"/>
        </w:rPr>
        <w:t xml:space="preserve"> of biological organization (</w:t>
      </w:r>
      <w:r w:rsidR="004B7AB1" w:rsidRPr="00DC6757">
        <w:rPr>
          <w:rFonts w:ascii="Times New Roman" w:hAnsi="Times New Roman" w:cs="Times New Roman"/>
          <w:sz w:val="24"/>
          <w:szCs w:val="24"/>
        </w:rPr>
        <w:t>Rohr et al</w:t>
      </w:r>
      <w:r w:rsidR="0053083E" w:rsidRPr="00DC6757">
        <w:rPr>
          <w:rFonts w:ascii="Times New Roman" w:hAnsi="Times New Roman" w:cs="Times New Roman"/>
          <w:sz w:val="24"/>
          <w:szCs w:val="24"/>
        </w:rPr>
        <w:t>.</w:t>
      </w:r>
      <w:r w:rsidR="004B7AB1" w:rsidRPr="00DC6757">
        <w:rPr>
          <w:rFonts w:ascii="Times New Roman" w:hAnsi="Times New Roman" w:cs="Times New Roman"/>
          <w:sz w:val="24"/>
          <w:szCs w:val="24"/>
        </w:rPr>
        <w:t xml:space="preserve"> 2017</w:t>
      </w:r>
      <w:r w:rsidRPr="00DC6757">
        <w:rPr>
          <w:rFonts w:ascii="Times New Roman" w:hAnsi="Times New Roman" w:cs="Times New Roman"/>
          <w:sz w:val="24"/>
          <w:szCs w:val="24"/>
        </w:rPr>
        <w:t>)</w:t>
      </w:r>
      <w:r w:rsidR="00D502DD"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D502DD" w:rsidRPr="00DC6757">
        <w:rPr>
          <w:rFonts w:ascii="Times New Roman" w:hAnsi="Times New Roman" w:cs="Times New Roman"/>
          <w:sz w:val="24"/>
          <w:szCs w:val="24"/>
        </w:rPr>
        <w:t xml:space="preserve">Cellular and molecular data </w:t>
      </w:r>
      <w:r w:rsidR="0039731E" w:rsidRPr="00DC6757">
        <w:rPr>
          <w:rFonts w:ascii="Times New Roman" w:hAnsi="Times New Roman" w:cs="Times New Roman"/>
          <w:sz w:val="24"/>
          <w:szCs w:val="24"/>
        </w:rPr>
        <w:t xml:space="preserve">may </w:t>
      </w:r>
      <w:r w:rsidR="00D502DD" w:rsidRPr="00DC6757">
        <w:rPr>
          <w:rFonts w:ascii="Times New Roman" w:hAnsi="Times New Roman" w:cs="Times New Roman"/>
          <w:sz w:val="24"/>
          <w:szCs w:val="24"/>
        </w:rPr>
        <w:t xml:space="preserve">never be </w:t>
      </w:r>
      <w:proofErr w:type="gramStart"/>
      <w:r w:rsidR="00D502DD" w:rsidRPr="00DC6757">
        <w:rPr>
          <w:rFonts w:ascii="Times New Roman" w:hAnsi="Times New Roman" w:cs="Times New Roman"/>
          <w:sz w:val="24"/>
          <w:szCs w:val="24"/>
        </w:rPr>
        <w:t>sufficient</w:t>
      </w:r>
      <w:proofErr w:type="gramEnd"/>
      <w:r w:rsidR="00D502DD" w:rsidRPr="00DC6757">
        <w:rPr>
          <w:rFonts w:ascii="Times New Roman" w:hAnsi="Times New Roman" w:cs="Times New Roman"/>
          <w:sz w:val="24"/>
          <w:szCs w:val="24"/>
        </w:rPr>
        <w:t xml:space="preserve"> for prediction of ecological impacts, but they could be used to predict,</w:t>
      </w:r>
      <w:r w:rsidRPr="00DC6757">
        <w:rPr>
          <w:rFonts w:ascii="Times New Roman" w:hAnsi="Times New Roman" w:cs="Times New Roman"/>
          <w:sz w:val="24"/>
          <w:szCs w:val="24"/>
        </w:rPr>
        <w:t xml:space="preserve"> for </w:t>
      </w:r>
      <w:r w:rsidR="00D502DD" w:rsidRPr="00DC6757">
        <w:rPr>
          <w:rFonts w:ascii="Times New Roman" w:hAnsi="Times New Roman" w:cs="Times New Roman"/>
          <w:sz w:val="24"/>
          <w:szCs w:val="24"/>
        </w:rPr>
        <w:t>example</w:t>
      </w:r>
      <w:r w:rsidRPr="00DC6757">
        <w:rPr>
          <w:rFonts w:ascii="Times New Roman" w:hAnsi="Times New Roman" w:cs="Times New Roman"/>
          <w:sz w:val="24"/>
          <w:szCs w:val="24"/>
        </w:rPr>
        <w:t xml:space="preserve">, </w:t>
      </w:r>
      <w:r w:rsidR="00A43E2A" w:rsidRPr="00DC6757">
        <w:rPr>
          <w:rFonts w:ascii="Times New Roman" w:hAnsi="Times New Roman" w:cs="Times New Roman"/>
          <w:sz w:val="24"/>
          <w:szCs w:val="24"/>
        </w:rPr>
        <w:t>d</w:t>
      </w:r>
      <w:r w:rsidR="00D502DD" w:rsidRPr="00DC6757">
        <w:rPr>
          <w:rFonts w:ascii="Times New Roman" w:hAnsi="Times New Roman" w:cs="Times New Roman"/>
          <w:sz w:val="24"/>
          <w:szCs w:val="24"/>
        </w:rPr>
        <w:t>i</w:t>
      </w:r>
      <w:r w:rsidR="00A43E2A" w:rsidRPr="00DC6757">
        <w:rPr>
          <w:rFonts w:ascii="Times New Roman" w:hAnsi="Times New Roman" w:cs="Times New Roman"/>
          <w:sz w:val="24"/>
          <w:szCs w:val="24"/>
        </w:rPr>
        <w:t>verse outcomes on individuals that relate to the general processes of growth, survival and reproduction</w:t>
      </w:r>
      <w:r w:rsidR="00C31717" w:rsidRPr="00DC6757">
        <w:rPr>
          <w:rFonts w:ascii="Times New Roman" w:hAnsi="Times New Roman" w:cs="Times New Roman"/>
          <w:sz w:val="24"/>
          <w:szCs w:val="24"/>
        </w:rPr>
        <w:t>. These general</w:t>
      </w:r>
      <w:r w:rsidR="00A43E2A" w:rsidRPr="00DC6757">
        <w:rPr>
          <w:rFonts w:ascii="Times New Roman" w:hAnsi="Times New Roman" w:cs="Times New Roman"/>
          <w:sz w:val="24"/>
          <w:szCs w:val="24"/>
        </w:rPr>
        <w:t xml:space="preserve"> processes are </w:t>
      </w:r>
      <w:r w:rsidR="00C31717" w:rsidRPr="00DC6757">
        <w:rPr>
          <w:rFonts w:ascii="Times New Roman" w:hAnsi="Times New Roman" w:cs="Times New Roman"/>
          <w:sz w:val="24"/>
          <w:szCs w:val="24"/>
        </w:rPr>
        <w:t xml:space="preserve">used </w:t>
      </w:r>
      <w:r w:rsidR="00DC6757" w:rsidRPr="00DC6757">
        <w:rPr>
          <w:rFonts w:ascii="Times New Roman" w:hAnsi="Times New Roman" w:cs="Times New Roman"/>
          <w:sz w:val="24"/>
          <w:szCs w:val="24"/>
        </w:rPr>
        <w:t>for population</w:t>
      </w:r>
      <w:r w:rsidR="00A43E2A" w:rsidRPr="00DC6757">
        <w:rPr>
          <w:rFonts w:ascii="Times New Roman" w:hAnsi="Times New Roman" w:cs="Times New Roman"/>
          <w:sz w:val="24"/>
          <w:szCs w:val="24"/>
        </w:rPr>
        <w:t>-level assessments (Kramer et al. 2011).</w:t>
      </w:r>
      <w:r w:rsidR="00DC6757">
        <w:rPr>
          <w:rFonts w:ascii="Times New Roman" w:hAnsi="Times New Roman" w:cs="Times New Roman"/>
          <w:sz w:val="24"/>
          <w:szCs w:val="24"/>
        </w:rPr>
        <w:t xml:space="preserve"> </w:t>
      </w:r>
    </w:p>
    <w:p w14:paraId="726228FD" w14:textId="3128DB72" w:rsidR="005B5BBA" w:rsidRPr="00DC6757" w:rsidRDefault="00A56178" w:rsidP="00A56178">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To improve the </w:t>
      </w:r>
      <w:r w:rsidR="003E6017" w:rsidRPr="00DC6757">
        <w:rPr>
          <w:rFonts w:ascii="Times New Roman" w:hAnsi="Times New Roman" w:cs="Times New Roman"/>
          <w:sz w:val="24"/>
          <w:szCs w:val="24"/>
        </w:rPr>
        <w:t>use</w:t>
      </w:r>
      <w:r w:rsidRPr="00DC6757">
        <w:rPr>
          <w:rFonts w:ascii="Times New Roman" w:hAnsi="Times New Roman" w:cs="Times New Roman"/>
          <w:sz w:val="24"/>
          <w:szCs w:val="24"/>
        </w:rPr>
        <w:t xml:space="preserve"> of</w:t>
      </w:r>
      <w:r w:rsidR="003E6017" w:rsidRPr="00DC6757">
        <w:rPr>
          <w:rFonts w:ascii="Times New Roman" w:hAnsi="Times New Roman" w:cs="Times New Roman"/>
          <w:sz w:val="24"/>
          <w:szCs w:val="24"/>
        </w:rPr>
        <w:t xml:space="preserve"> </w:t>
      </w:r>
      <w:r w:rsidR="007F1364" w:rsidRPr="00DC6757">
        <w:rPr>
          <w:rFonts w:ascii="Times New Roman" w:hAnsi="Times New Roman" w:cs="Times New Roman"/>
          <w:sz w:val="24"/>
          <w:szCs w:val="24"/>
        </w:rPr>
        <w:t>AOPs</w:t>
      </w:r>
      <w:r w:rsidR="003E6017" w:rsidRPr="00DC6757">
        <w:rPr>
          <w:rFonts w:ascii="Times New Roman" w:hAnsi="Times New Roman" w:cs="Times New Roman"/>
          <w:sz w:val="24"/>
          <w:szCs w:val="24"/>
        </w:rPr>
        <w:t xml:space="preserve"> in </w:t>
      </w:r>
      <w:r w:rsidR="009013CC" w:rsidRPr="00DC6757">
        <w:rPr>
          <w:rFonts w:ascii="Times New Roman" w:hAnsi="Times New Roman" w:cs="Times New Roman"/>
          <w:sz w:val="24"/>
          <w:szCs w:val="24"/>
        </w:rPr>
        <w:t xml:space="preserve">ecological </w:t>
      </w:r>
      <w:r w:rsidR="003E6017" w:rsidRPr="00DC6757">
        <w:rPr>
          <w:rFonts w:ascii="Times New Roman" w:hAnsi="Times New Roman" w:cs="Times New Roman"/>
          <w:sz w:val="24"/>
          <w:szCs w:val="24"/>
        </w:rPr>
        <w:t>risk assessment</w:t>
      </w:r>
      <w:r w:rsidRPr="00DC6757">
        <w:rPr>
          <w:rFonts w:ascii="Times New Roman" w:hAnsi="Times New Roman" w:cs="Times New Roman"/>
          <w:sz w:val="24"/>
          <w:szCs w:val="24"/>
        </w:rPr>
        <w:t xml:space="preserve"> and to provide </w:t>
      </w:r>
      <w:r w:rsidR="009D01C0" w:rsidRPr="00DC6757">
        <w:rPr>
          <w:rFonts w:ascii="Times New Roman" w:hAnsi="Times New Roman" w:cs="Times New Roman"/>
          <w:sz w:val="24"/>
          <w:szCs w:val="24"/>
        </w:rPr>
        <w:t xml:space="preserve">more </w:t>
      </w:r>
      <w:r w:rsidRPr="00DC6757">
        <w:rPr>
          <w:rFonts w:ascii="Times New Roman" w:hAnsi="Times New Roman" w:cs="Times New Roman"/>
          <w:sz w:val="24"/>
          <w:szCs w:val="24"/>
        </w:rPr>
        <w:t>accurate predictive models</w:t>
      </w:r>
      <w:r w:rsidR="003E6017" w:rsidRPr="00DC6757">
        <w:rPr>
          <w:rFonts w:ascii="Times New Roman" w:hAnsi="Times New Roman" w:cs="Times New Roman"/>
          <w:sz w:val="24"/>
          <w:szCs w:val="24"/>
        </w:rPr>
        <w:t>, we must develop biologically</w:t>
      </w:r>
      <w:r w:rsidR="00A462B8" w:rsidRPr="00DC6757">
        <w:rPr>
          <w:rFonts w:ascii="Times New Roman" w:hAnsi="Times New Roman" w:cs="Times New Roman"/>
          <w:sz w:val="24"/>
          <w:szCs w:val="24"/>
        </w:rPr>
        <w:t xml:space="preserve"> based</w:t>
      </w:r>
      <w:r w:rsidR="00261B05" w:rsidRPr="00DC6757">
        <w:rPr>
          <w:rFonts w:ascii="Times New Roman" w:hAnsi="Times New Roman" w:cs="Times New Roman"/>
          <w:sz w:val="24"/>
          <w:szCs w:val="24"/>
        </w:rPr>
        <w:t>,</w:t>
      </w:r>
      <w:r w:rsidR="00A462B8" w:rsidRPr="00DC6757">
        <w:rPr>
          <w:rFonts w:ascii="Times New Roman" w:hAnsi="Times New Roman" w:cs="Times New Roman"/>
          <w:sz w:val="24"/>
          <w:szCs w:val="24"/>
        </w:rPr>
        <w:t xml:space="preserve"> </w:t>
      </w:r>
      <w:r w:rsidR="003E6017" w:rsidRPr="00DC6757">
        <w:rPr>
          <w:rFonts w:ascii="Times New Roman" w:hAnsi="Times New Roman" w:cs="Times New Roman"/>
          <w:sz w:val="24"/>
          <w:szCs w:val="24"/>
        </w:rPr>
        <w:t xml:space="preserve">quantitative extrapolation tools or models that allow us to </w:t>
      </w:r>
      <w:r w:rsidR="00261B05" w:rsidRPr="00DC6757">
        <w:rPr>
          <w:rFonts w:ascii="Times New Roman" w:hAnsi="Times New Roman" w:cs="Times New Roman"/>
          <w:sz w:val="24"/>
          <w:szCs w:val="24"/>
        </w:rPr>
        <w:t>extr</w:t>
      </w:r>
      <w:r w:rsidR="000335C0" w:rsidRPr="00DC6757">
        <w:rPr>
          <w:rFonts w:ascii="Times New Roman" w:hAnsi="Times New Roman" w:cs="Times New Roman"/>
          <w:sz w:val="24"/>
          <w:szCs w:val="24"/>
        </w:rPr>
        <w:t>a</w:t>
      </w:r>
      <w:r w:rsidR="00261B05" w:rsidRPr="00DC6757">
        <w:rPr>
          <w:rFonts w:ascii="Times New Roman" w:hAnsi="Times New Roman" w:cs="Times New Roman"/>
          <w:sz w:val="24"/>
          <w:szCs w:val="24"/>
        </w:rPr>
        <w:t xml:space="preserve">polate </w:t>
      </w:r>
      <w:r w:rsidR="003E6017" w:rsidRPr="00DC6757">
        <w:rPr>
          <w:rFonts w:ascii="Times New Roman" w:hAnsi="Times New Roman" w:cs="Times New Roman"/>
          <w:sz w:val="24"/>
          <w:szCs w:val="24"/>
        </w:rPr>
        <w:t xml:space="preserve">cell or tissue-level data to </w:t>
      </w:r>
      <w:r w:rsidR="001B1BF1" w:rsidRPr="00DC6757">
        <w:rPr>
          <w:rFonts w:ascii="Times New Roman" w:hAnsi="Times New Roman" w:cs="Times New Roman"/>
          <w:sz w:val="24"/>
          <w:szCs w:val="24"/>
        </w:rPr>
        <w:t>organism</w:t>
      </w:r>
      <w:r w:rsidR="00093566" w:rsidRPr="00DC6757">
        <w:rPr>
          <w:rFonts w:ascii="Times New Roman" w:hAnsi="Times New Roman" w:cs="Times New Roman"/>
          <w:sz w:val="24"/>
          <w:szCs w:val="24"/>
        </w:rPr>
        <w:t xml:space="preserve"> level endpoints</w:t>
      </w:r>
      <w:r w:rsidR="003E6017" w:rsidRPr="00DC6757">
        <w:rPr>
          <w:rFonts w:ascii="Times New Roman" w:hAnsi="Times New Roman" w:cs="Times New Roman"/>
          <w:sz w:val="24"/>
          <w:szCs w:val="24"/>
        </w:rPr>
        <w:t xml:space="preserve"> by creating </w:t>
      </w:r>
      <w:r w:rsidR="003E6017" w:rsidRPr="00DC6757">
        <w:rPr>
          <w:rFonts w:ascii="Times New Roman" w:hAnsi="Times New Roman" w:cs="Times New Roman"/>
          <w:i/>
          <w:sz w:val="24"/>
          <w:szCs w:val="24"/>
        </w:rPr>
        <w:t>quantitative</w:t>
      </w:r>
      <w:r w:rsidR="003E6017" w:rsidRPr="00DC6757">
        <w:rPr>
          <w:rFonts w:ascii="Times New Roman" w:hAnsi="Times New Roman" w:cs="Times New Roman"/>
          <w:sz w:val="24"/>
          <w:szCs w:val="24"/>
        </w:rPr>
        <w:t xml:space="preserve"> AOPs (</w:t>
      </w:r>
      <w:proofErr w:type="spellStart"/>
      <w:r w:rsidR="003E6017" w:rsidRPr="00DC6757">
        <w:rPr>
          <w:rFonts w:ascii="Times New Roman" w:hAnsi="Times New Roman" w:cs="Times New Roman"/>
          <w:sz w:val="24"/>
          <w:szCs w:val="24"/>
        </w:rPr>
        <w:t>qAOPs</w:t>
      </w:r>
      <w:proofErr w:type="spellEnd"/>
      <w:r w:rsidR="003E6017" w:rsidRPr="00DC6757">
        <w:rPr>
          <w:rFonts w:ascii="Times New Roman" w:hAnsi="Times New Roman" w:cs="Times New Roman"/>
          <w:sz w:val="24"/>
          <w:szCs w:val="24"/>
        </w:rPr>
        <w:t>)</w:t>
      </w:r>
      <w:r w:rsidR="00C8136C"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5B5BBA" w:rsidRPr="00DC6757">
        <w:rPr>
          <w:rFonts w:ascii="Times New Roman" w:hAnsi="Times New Roman" w:cs="Times New Roman"/>
          <w:sz w:val="24"/>
          <w:szCs w:val="24"/>
        </w:rPr>
        <w:t xml:space="preserve">A </w:t>
      </w:r>
      <w:proofErr w:type="spellStart"/>
      <w:r w:rsidR="003E6017" w:rsidRPr="00DC6757">
        <w:rPr>
          <w:rFonts w:ascii="Times New Roman" w:hAnsi="Times New Roman" w:cs="Times New Roman"/>
          <w:sz w:val="24"/>
          <w:szCs w:val="24"/>
        </w:rPr>
        <w:t>qAOP</w:t>
      </w:r>
      <w:proofErr w:type="spellEnd"/>
      <w:r w:rsidR="003E6017" w:rsidRPr="00DC6757">
        <w:rPr>
          <w:rFonts w:ascii="Times New Roman" w:hAnsi="Times New Roman" w:cs="Times New Roman"/>
          <w:sz w:val="24"/>
          <w:szCs w:val="24"/>
        </w:rPr>
        <w:t xml:space="preserve"> </w:t>
      </w:r>
      <w:r w:rsidR="005B5BBA" w:rsidRPr="00DC6757">
        <w:rPr>
          <w:rFonts w:ascii="Times New Roman" w:hAnsi="Times New Roman" w:cs="Times New Roman"/>
          <w:sz w:val="24"/>
          <w:szCs w:val="24"/>
        </w:rPr>
        <w:t>mathematically</w:t>
      </w:r>
      <w:r w:rsidRPr="00DC6757">
        <w:rPr>
          <w:rFonts w:ascii="Times New Roman" w:hAnsi="Times New Roman" w:cs="Times New Roman"/>
          <w:sz w:val="24"/>
          <w:szCs w:val="24"/>
        </w:rPr>
        <w:t xml:space="preserve"> can</w:t>
      </w:r>
      <w:r w:rsidR="005B5BBA" w:rsidRPr="00DC6757">
        <w:rPr>
          <w:rFonts w:ascii="Times New Roman" w:hAnsi="Times New Roman" w:cs="Times New Roman"/>
          <w:sz w:val="24"/>
          <w:szCs w:val="24"/>
        </w:rPr>
        <w:t xml:space="preserve"> describe</w:t>
      </w:r>
      <w:r w:rsidRPr="00DC6757">
        <w:rPr>
          <w:rFonts w:ascii="Times New Roman" w:hAnsi="Times New Roman" w:cs="Times New Roman"/>
          <w:sz w:val="24"/>
          <w:szCs w:val="24"/>
        </w:rPr>
        <w:t xml:space="preserve"> some or </w:t>
      </w:r>
      <w:proofErr w:type="gramStart"/>
      <w:r w:rsidRPr="00DC6757">
        <w:rPr>
          <w:rFonts w:ascii="Times New Roman" w:hAnsi="Times New Roman" w:cs="Times New Roman"/>
          <w:sz w:val="24"/>
          <w:szCs w:val="24"/>
        </w:rPr>
        <w:t>all of</w:t>
      </w:r>
      <w:proofErr w:type="gramEnd"/>
      <w:r w:rsidR="005B5BBA" w:rsidRPr="00DC6757">
        <w:rPr>
          <w:rFonts w:ascii="Times New Roman" w:hAnsi="Times New Roman" w:cs="Times New Roman"/>
          <w:sz w:val="24"/>
          <w:szCs w:val="24"/>
        </w:rPr>
        <w:t xml:space="preserve"> the </w:t>
      </w:r>
      <w:r w:rsidRPr="00DC6757">
        <w:rPr>
          <w:rFonts w:ascii="Times New Roman" w:hAnsi="Times New Roman" w:cs="Times New Roman"/>
          <w:sz w:val="24"/>
          <w:szCs w:val="24"/>
        </w:rPr>
        <w:t xml:space="preserve">cause-effect relationships </w:t>
      </w:r>
      <w:r w:rsidR="00343E4A" w:rsidRPr="00DC6757">
        <w:rPr>
          <w:rFonts w:ascii="Times New Roman" w:hAnsi="Times New Roman" w:cs="Times New Roman"/>
          <w:sz w:val="24"/>
          <w:szCs w:val="24"/>
        </w:rPr>
        <w:t>within</w:t>
      </w:r>
      <w:r w:rsidR="0027489C" w:rsidRPr="00DC6757">
        <w:rPr>
          <w:rFonts w:ascii="Times New Roman" w:hAnsi="Times New Roman" w:cs="Times New Roman"/>
          <w:sz w:val="24"/>
          <w:szCs w:val="24"/>
        </w:rPr>
        <w:t xml:space="preserve"> a</w:t>
      </w:r>
      <w:r w:rsidRPr="00DC6757">
        <w:rPr>
          <w:rFonts w:ascii="Times New Roman" w:hAnsi="Times New Roman" w:cs="Times New Roman"/>
          <w:sz w:val="24"/>
          <w:szCs w:val="24"/>
        </w:rPr>
        <w:t xml:space="preserve"> given</w:t>
      </w:r>
      <w:r w:rsidR="0027489C" w:rsidRPr="00DC6757">
        <w:rPr>
          <w:rFonts w:ascii="Times New Roman" w:hAnsi="Times New Roman" w:cs="Times New Roman"/>
          <w:sz w:val="24"/>
          <w:szCs w:val="24"/>
        </w:rPr>
        <w:t xml:space="preserve"> AOP from a</w:t>
      </w:r>
      <w:r w:rsidR="005B5BBA" w:rsidRPr="00DC6757">
        <w:rPr>
          <w:rFonts w:ascii="Times New Roman" w:hAnsi="Times New Roman" w:cs="Times New Roman"/>
          <w:sz w:val="24"/>
          <w:szCs w:val="24"/>
        </w:rPr>
        <w:t xml:space="preserve"> molecular initiating event (MIE) to </w:t>
      </w:r>
      <w:r w:rsidR="00FF3CB8" w:rsidRPr="00DC6757">
        <w:rPr>
          <w:rFonts w:ascii="Times New Roman" w:hAnsi="Times New Roman" w:cs="Times New Roman"/>
          <w:sz w:val="24"/>
          <w:szCs w:val="24"/>
        </w:rPr>
        <w:t>an adverse outcome (AO)</w:t>
      </w:r>
      <w:r w:rsidR="00343E4A" w:rsidRPr="00DC6757">
        <w:rPr>
          <w:rFonts w:ascii="Times New Roman" w:hAnsi="Times New Roman" w:cs="Times New Roman"/>
          <w:sz w:val="24"/>
          <w:szCs w:val="24"/>
        </w:rPr>
        <w:t>.</w:t>
      </w:r>
      <w:r w:rsidR="005B5BBA" w:rsidRPr="00DC6757">
        <w:rPr>
          <w:rFonts w:ascii="Times New Roman" w:hAnsi="Times New Roman" w:cs="Times New Roman"/>
          <w:sz w:val="24"/>
          <w:szCs w:val="24"/>
        </w:rPr>
        <w:t xml:space="preserve"> </w:t>
      </w:r>
      <w:proofErr w:type="spellStart"/>
      <w:r w:rsidR="005B5BBA" w:rsidRPr="00DC6757">
        <w:rPr>
          <w:rFonts w:ascii="Times New Roman" w:hAnsi="Times New Roman" w:cs="Times New Roman"/>
          <w:sz w:val="24"/>
          <w:szCs w:val="24"/>
        </w:rPr>
        <w:t>qAOP</w:t>
      </w:r>
      <w:r w:rsidR="00FF3CB8" w:rsidRPr="00DC6757">
        <w:rPr>
          <w:rFonts w:ascii="Times New Roman" w:hAnsi="Times New Roman" w:cs="Times New Roman"/>
          <w:sz w:val="24"/>
          <w:szCs w:val="24"/>
        </w:rPr>
        <w:t>s</w:t>
      </w:r>
      <w:proofErr w:type="spellEnd"/>
      <w:r w:rsidR="005B5BBA" w:rsidRPr="00DC6757">
        <w:rPr>
          <w:rFonts w:ascii="Times New Roman" w:hAnsi="Times New Roman" w:cs="Times New Roman"/>
          <w:sz w:val="24"/>
          <w:szCs w:val="24"/>
        </w:rPr>
        <w:t xml:space="preserve"> </w:t>
      </w:r>
      <w:r w:rsidR="00C31717" w:rsidRPr="00DC6757">
        <w:rPr>
          <w:rFonts w:ascii="Times New Roman" w:hAnsi="Times New Roman" w:cs="Times New Roman"/>
          <w:sz w:val="24"/>
          <w:szCs w:val="24"/>
        </w:rPr>
        <w:t>are composed of a</w:t>
      </w:r>
      <w:r w:rsidR="00DC6757">
        <w:rPr>
          <w:rFonts w:ascii="Times New Roman" w:hAnsi="Times New Roman" w:cs="Times New Roman"/>
          <w:sz w:val="24"/>
          <w:szCs w:val="24"/>
        </w:rPr>
        <w:t xml:space="preserve"> </w:t>
      </w:r>
      <w:r w:rsidR="005B5BBA" w:rsidRPr="00DC6757">
        <w:rPr>
          <w:rFonts w:ascii="Times New Roman" w:hAnsi="Times New Roman" w:cs="Times New Roman"/>
          <w:sz w:val="24"/>
          <w:szCs w:val="24"/>
        </w:rPr>
        <w:t xml:space="preserve">series of quantitative response-response relationships that </w:t>
      </w:r>
      <w:r w:rsidR="005B5BBA" w:rsidRPr="00DC6757">
        <w:rPr>
          <w:rFonts w:ascii="Times New Roman" w:hAnsi="Times New Roman" w:cs="Times New Roman"/>
          <w:sz w:val="24"/>
          <w:szCs w:val="24"/>
        </w:rPr>
        <w:lastRenderedPageBreak/>
        <w:t xml:space="preserve">describe </w:t>
      </w:r>
      <w:r w:rsidR="00C31717" w:rsidRPr="00DC6757">
        <w:rPr>
          <w:rFonts w:ascii="Times New Roman" w:hAnsi="Times New Roman" w:cs="Times New Roman"/>
          <w:sz w:val="24"/>
          <w:szCs w:val="24"/>
        </w:rPr>
        <w:t>changes</w:t>
      </w:r>
      <w:r w:rsidR="00DC6757">
        <w:rPr>
          <w:rFonts w:ascii="Times New Roman" w:hAnsi="Times New Roman" w:cs="Times New Roman"/>
          <w:sz w:val="24"/>
          <w:szCs w:val="24"/>
        </w:rPr>
        <w:t xml:space="preserve"> </w:t>
      </w:r>
      <w:r w:rsidR="005B5BBA" w:rsidRPr="00DC6757">
        <w:rPr>
          <w:rFonts w:ascii="Times New Roman" w:hAnsi="Times New Roman" w:cs="Times New Roman"/>
          <w:sz w:val="24"/>
          <w:szCs w:val="24"/>
        </w:rPr>
        <w:t>between key events</w:t>
      </w:r>
      <w:r w:rsidR="00FF3CB8" w:rsidRPr="00DC6757">
        <w:rPr>
          <w:rFonts w:ascii="Times New Roman" w:hAnsi="Times New Roman" w:cs="Times New Roman"/>
          <w:sz w:val="24"/>
          <w:szCs w:val="24"/>
        </w:rPr>
        <w:t xml:space="preserve"> (KEs)</w:t>
      </w:r>
      <w:r w:rsidR="002044E9" w:rsidRP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and, ideally, stem from a mechanistic model but correlative information </w:t>
      </w:r>
      <w:r w:rsidR="005B5BBA" w:rsidRPr="00DC6757">
        <w:rPr>
          <w:rFonts w:ascii="Times New Roman" w:hAnsi="Times New Roman" w:cs="Times New Roman"/>
          <w:sz w:val="24"/>
          <w:szCs w:val="24"/>
        </w:rPr>
        <w:t xml:space="preserve">can also be </w:t>
      </w:r>
      <w:r w:rsidR="00C31717" w:rsidRPr="00DC6757">
        <w:rPr>
          <w:rFonts w:ascii="Times New Roman" w:hAnsi="Times New Roman" w:cs="Times New Roman"/>
          <w:sz w:val="24"/>
          <w:szCs w:val="24"/>
        </w:rPr>
        <w:t xml:space="preserve">used </w:t>
      </w:r>
      <w:r w:rsidR="002044E9" w:rsidRPr="00DC6757">
        <w:rPr>
          <w:rFonts w:ascii="Times New Roman" w:hAnsi="Times New Roman" w:cs="Times New Roman"/>
          <w:sz w:val="24"/>
          <w:szCs w:val="24"/>
        </w:rPr>
        <w:t>(</w:t>
      </w:r>
      <w:r w:rsidR="00DD4463" w:rsidRPr="00DC6757">
        <w:rPr>
          <w:rFonts w:ascii="Times New Roman" w:hAnsi="Times New Roman" w:cs="Times New Roman"/>
          <w:sz w:val="24"/>
          <w:szCs w:val="24"/>
        </w:rPr>
        <w:t>Conolly et al</w:t>
      </w:r>
      <w:r w:rsidR="0053083E" w:rsidRPr="00DC6757">
        <w:rPr>
          <w:rFonts w:ascii="Times New Roman" w:hAnsi="Times New Roman" w:cs="Times New Roman"/>
          <w:sz w:val="24"/>
          <w:szCs w:val="24"/>
        </w:rPr>
        <w:t>.</w:t>
      </w:r>
      <w:r w:rsidR="00DD4463" w:rsidRPr="00DC6757">
        <w:rPr>
          <w:rFonts w:ascii="Times New Roman" w:hAnsi="Times New Roman" w:cs="Times New Roman"/>
          <w:sz w:val="24"/>
          <w:szCs w:val="24"/>
        </w:rPr>
        <w:t xml:space="preserve"> 2017</w:t>
      </w:r>
      <w:r w:rsidR="005B5BBA" w:rsidRPr="00DC6757">
        <w:rPr>
          <w:rFonts w:ascii="Times New Roman" w:hAnsi="Times New Roman" w:cs="Times New Roman"/>
          <w:sz w:val="24"/>
          <w:szCs w:val="24"/>
        </w:rPr>
        <w:t>).</w:t>
      </w:r>
    </w:p>
    <w:p w14:paraId="3ACB6659" w14:textId="3F5618F2" w:rsidR="00DE00E5" w:rsidRPr="00DC6757" w:rsidRDefault="00C8136C" w:rsidP="00DC6757">
      <w:pPr>
        <w:pStyle w:val="CommentText"/>
        <w:spacing w:line="480" w:lineRule="auto"/>
        <w:ind w:firstLine="720"/>
        <w:rPr>
          <w:rFonts w:ascii="Times New Roman" w:hAnsi="Times New Roman" w:cs="Times New Roman"/>
        </w:rPr>
      </w:pPr>
      <w:r w:rsidRPr="00DC6757">
        <w:rPr>
          <w:rFonts w:ascii="Times New Roman" w:hAnsi="Times New Roman" w:cs="Times New Roman"/>
        </w:rPr>
        <w:t xml:space="preserve">Quantifying </w:t>
      </w:r>
      <w:r w:rsidR="005B5BBA" w:rsidRPr="00DC6757">
        <w:rPr>
          <w:rFonts w:ascii="Times New Roman" w:hAnsi="Times New Roman" w:cs="Times New Roman"/>
        </w:rPr>
        <w:t xml:space="preserve">the </w:t>
      </w:r>
      <w:r w:rsidR="007F1364" w:rsidRPr="00DC6757">
        <w:rPr>
          <w:rFonts w:ascii="Times New Roman" w:hAnsi="Times New Roman" w:cs="Times New Roman"/>
        </w:rPr>
        <w:t xml:space="preserve">detailed mechanistic </w:t>
      </w:r>
      <w:r w:rsidR="005B5BBA" w:rsidRPr="00DC6757">
        <w:rPr>
          <w:rFonts w:ascii="Times New Roman" w:hAnsi="Times New Roman" w:cs="Times New Roman"/>
        </w:rPr>
        <w:t xml:space="preserve">information necessary to develop </w:t>
      </w:r>
      <w:proofErr w:type="spellStart"/>
      <w:r w:rsidR="005B5BBA" w:rsidRPr="00DC6757">
        <w:rPr>
          <w:rFonts w:ascii="Times New Roman" w:hAnsi="Times New Roman" w:cs="Times New Roman"/>
        </w:rPr>
        <w:t>qAOPs</w:t>
      </w:r>
      <w:proofErr w:type="spellEnd"/>
      <w:r w:rsidR="005B5BBA" w:rsidRPr="00DC6757">
        <w:rPr>
          <w:rFonts w:ascii="Times New Roman" w:hAnsi="Times New Roman" w:cs="Times New Roman"/>
        </w:rPr>
        <w:t xml:space="preserve"> on a single species is challenging</w:t>
      </w:r>
      <w:r w:rsidR="006E6B9E" w:rsidRPr="00DC6757">
        <w:rPr>
          <w:rFonts w:ascii="Times New Roman" w:hAnsi="Times New Roman" w:cs="Times New Roman"/>
        </w:rPr>
        <w:t>, expensive</w:t>
      </w:r>
      <w:r w:rsidR="005B5BBA" w:rsidRPr="00DC6757">
        <w:rPr>
          <w:rFonts w:ascii="Times New Roman" w:hAnsi="Times New Roman" w:cs="Times New Roman"/>
        </w:rPr>
        <w:t xml:space="preserve"> </w:t>
      </w:r>
      <w:r w:rsidR="006E6B9E" w:rsidRPr="00DC6757">
        <w:rPr>
          <w:rFonts w:ascii="Times New Roman" w:hAnsi="Times New Roman" w:cs="Times New Roman"/>
        </w:rPr>
        <w:t>and labor and time intensive</w:t>
      </w:r>
      <w:r w:rsidR="005B5BBA" w:rsidRPr="00DC6757">
        <w:rPr>
          <w:rFonts w:ascii="Times New Roman" w:hAnsi="Times New Roman" w:cs="Times New Roman"/>
        </w:rPr>
        <w:t xml:space="preserve"> (Margiott</w:t>
      </w:r>
      <w:r w:rsidR="007F1364" w:rsidRPr="00DC6757">
        <w:rPr>
          <w:rFonts w:ascii="Times New Roman" w:hAnsi="Times New Roman" w:cs="Times New Roman"/>
        </w:rPr>
        <w:t>a-Casaluci et al. 2016)</w:t>
      </w:r>
      <w:r w:rsidR="00DC6757">
        <w:rPr>
          <w:rFonts w:ascii="Times New Roman" w:hAnsi="Times New Roman" w:cs="Times New Roman"/>
        </w:rPr>
        <w:t xml:space="preserve"> </w:t>
      </w:r>
      <w:r w:rsidR="007F1364" w:rsidRPr="00DC6757">
        <w:rPr>
          <w:rFonts w:ascii="Times New Roman" w:hAnsi="Times New Roman" w:cs="Times New Roman"/>
        </w:rPr>
        <w:t xml:space="preserve">and </w:t>
      </w:r>
      <w:r w:rsidR="005B5BBA" w:rsidRPr="00DC6757">
        <w:rPr>
          <w:rFonts w:ascii="Times New Roman" w:hAnsi="Times New Roman" w:cs="Times New Roman"/>
        </w:rPr>
        <w:t>is i</w:t>
      </w:r>
      <w:r w:rsidR="00E4666F" w:rsidRPr="00DC6757">
        <w:rPr>
          <w:rFonts w:ascii="Times New Roman" w:hAnsi="Times New Roman" w:cs="Times New Roman"/>
        </w:rPr>
        <w:t>mpractical</w:t>
      </w:r>
      <w:r w:rsidR="005B5BBA" w:rsidRPr="00DC6757">
        <w:rPr>
          <w:rFonts w:ascii="Times New Roman" w:hAnsi="Times New Roman" w:cs="Times New Roman"/>
        </w:rPr>
        <w:t xml:space="preserve"> to </w:t>
      </w:r>
      <w:r w:rsidR="00C31717" w:rsidRPr="00DC6757">
        <w:rPr>
          <w:rFonts w:ascii="Times New Roman" w:hAnsi="Times New Roman" w:cs="Times New Roman"/>
        </w:rPr>
        <w:t xml:space="preserve">conduct </w:t>
      </w:r>
      <w:r w:rsidR="005B5BBA" w:rsidRPr="00DC6757">
        <w:rPr>
          <w:rFonts w:ascii="Times New Roman" w:hAnsi="Times New Roman" w:cs="Times New Roman"/>
        </w:rPr>
        <w:t>for thousands of species.</w:t>
      </w:r>
      <w:r w:rsidR="006268B4" w:rsidRPr="00DC6757">
        <w:rPr>
          <w:rFonts w:ascii="Times New Roman" w:hAnsi="Times New Roman" w:cs="Times New Roman"/>
        </w:rPr>
        <w:t xml:space="preserve"> </w:t>
      </w:r>
      <w:r w:rsidR="00DC6757" w:rsidRPr="00DC6757">
        <w:rPr>
          <w:rFonts w:ascii="Times New Roman" w:hAnsi="Times New Roman" w:cs="Times New Roman"/>
        </w:rPr>
        <w:t>Existing AOPs generally converge on single</w:t>
      </w:r>
      <w:r w:rsidR="00DC6757">
        <w:rPr>
          <w:rFonts w:ascii="Times New Roman" w:hAnsi="Times New Roman" w:cs="Times New Roman"/>
        </w:rPr>
        <w:t xml:space="preserve"> </w:t>
      </w:r>
      <w:r w:rsidR="00DC6757" w:rsidRPr="00DC6757">
        <w:rPr>
          <w:rFonts w:ascii="Times New Roman" w:hAnsi="Times New Roman" w:cs="Times New Roman"/>
        </w:rPr>
        <w:t>biological endpoints as if independent (e.g., growth or</w:t>
      </w:r>
      <w:r w:rsidR="00DC6757">
        <w:rPr>
          <w:rFonts w:ascii="Times New Roman" w:hAnsi="Times New Roman" w:cs="Times New Roman"/>
        </w:rPr>
        <w:t xml:space="preserve"> </w:t>
      </w:r>
      <w:r w:rsidR="00DC6757" w:rsidRPr="00DC6757">
        <w:rPr>
          <w:rFonts w:ascii="Times New Roman" w:hAnsi="Times New Roman" w:cs="Times New Roman"/>
        </w:rPr>
        <w:t>reproduction) and thus ignore the trade-offs implied by</w:t>
      </w:r>
      <w:r w:rsidR="00DC6757">
        <w:rPr>
          <w:rFonts w:ascii="Times New Roman" w:hAnsi="Times New Roman" w:cs="Times New Roman"/>
        </w:rPr>
        <w:t xml:space="preserve"> </w:t>
      </w:r>
      <w:r w:rsidR="00DC6757" w:rsidRPr="00DC6757">
        <w:rPr>
          <w:rFonts w:ascii="Times New Roman" w:hAnsi="Times New Roman" w:cs="Times New Roman"/>
        </w:rPr>
        <w:t>resource limitation, e.g., through the competition for energy</w:t>
      </w:r>
      <w:r w:rsidR="00DC6757">
        <w:rPr>
          <w:rFonts w:ascii="Times New Roman" w:hAnsi="Times New Roman" w:cs="Times New Roman"/>
        </w:rPr>
        <w:t xml:space="preserve"> </w:t>
      </w:r>
      <w:r w:rsidR="00DC6757" w:rsidRPr="00DC6757">
        <w:rPr>
          <w:rFonts w:ascii="Times New Roman" w:hAnsi="Times New Roman" w:cs="Times New Roman"/>
        </w:rPr>
        <w:t>among physiological processes.</w:t>
      </w:r>
      <w:r w:rsidR="00DC6757">
        <w:rPr>
          <w:rFonts w:ascii="Times New Roman" w:hAnsi="Times New Roman" w:cs="Times New Roman"/>
        </w:rPr>
        <w:t xml:space="preserve"> </w:t>
      </w:r>
      <w:r w:rsidR="00DD523B" w:rsidRPr="00DC6757">
        <w:rPr>
          <w:rFonts w:ascii="Times New Roman" w:hAnsi="Times New Roman" w:cs="Times New Roman"/>
        </w:rPr>
        <w:t>These tradeoffs are particularly i</w:t>
      </w:r>
      <w:r w:rsidR="00E23EDD" w:rsidRPr="00DC6757">
        <w:rPr>
          <w:rFonts w:ascii="Times New Roman" w:hAnsi="Times New Roman" w:cs="Times New Roman"/>
        </w:rPr>
        <w:t xml:space="preserve">mportant </w:t>
      </w:r>
      <w:r w:rsidR="003B1478" w:rsidRPr="00DC6757">
        <w:rPr>
          <w:rFonts w:ascii="Times New Roman" w:hAnsi="Times New Roman" w:cs="Times New Roman"/>
        </w:rPr>
        <w:t>for supply type</w:t>
      </w:r>
      <w:r w:rsidR="00DD523B" w:rsidRPr="00DC6757">
        <w:rPr>
          <w:rFonts w:ascii="Times New Roman" w:hAnsi="Times New Roman" w:cs="Times New Roman"/>
        </w:rPr>
        <w:t xml:space="preserve"> organisms</w:t>
      </w:r>
      <w:r w:rsidR="003B1478" w:rsidRPr="00DC6757">
        <w:rPr>
          <w:rFonts w:ascii="Times New Roman" w:hAnsi="Times New Roman" w:cs="Times New Roman"/>
        </w:rPr>
        <w:t xml:space="preserve"> such as fish, reptiles, and insects</w:t>
      </w:r>
      <w:r w:rsidR="00DD523B" w:rsidRPr="00DC6757">
        <w:rPr>
          <w:rFonts w:ascii="Times New Roman" w:hAnsi="Times New Roman" w:cs="Times New Roman"/>
        </w:rPr>
        <w:t xml:space="preserve">. In supply type organisms, which are </w:t>
      </w:r>
      <w:proofErr w:type="gramStart"/>
      <w:r w:rsidR="00DD523B" w:rsidRPr="00DC6757">
        <w:rPr>
          <w:rFonts w:ascii="Times New Roman" w:hAnsi="Times New Roman" w:cs="Times New Roman"/>
        </w:rPr>
        <w:t>the majority of</w:t>
      </w:r>
      <w:proofErr w:type="gramEnd"/>
      <w:r w:rsidR="00DD523B" w:rsidRPr="00DC6757">
        <w:rPr>
          <w:rFonts w:ascii="Times New Roman" w:hAnsi="Times New Roman" w:cs="Times New Roman"/>
        </w:rPr>
        <w:t xml:space="preserve"> species, physiological processes such as growth and reproduction are heavily dependent on environmental conditions, such as food availability and temperature.</w:t>
      </w:r>
      <w:r w:rsidR="003B1478" w:rsidRPr="00DC6757">
        <w:rPr>
          <w:rFonts w:ascii="Times New Roman" w:hAnsi="Times New Roman" w:cs="Times New Roman"/>
        </w:rPr>
        <w:t xml:space="preserve"> Therefore, for these organisms, if an AOP converged on feeding rates, maintenance, or growth, the energetic tradeoffs between physiological processes would become more important (Jager 2016).</w:t>
      </w:r>
      <w:r w:rsidR="00DC6757">
        <w:rPr>
          <w:rFonts w:ascii="Times New Roman" w:hAnsi="Times New Roman" w:cs="Times New Roman"/>
        </w:rPr>
        <w:t xml:space="preserve"> </w:t>
      </w:r>
      <w:r w:rsidR="00DD523B" w:rsidRPr="00DC6757">
        <w:rPr>
          <w:rFonts w:ascii="Times New Roman" w:hAnsi="Times New Roman" w:cs="Times New Roman"/>
        </w:rPr>
        <w:t xml:space="preserve">This </w:t>
      </w:r>
      <w:proofErr w:type="gramStart"/>
      <w:r w:rsidR="00DD523B" w:rsidRPr="00DC6757">
        <w:rPr>
          <w:rFonts w:ascii="Times New Roman" w:hAnsi="Times New Roman" w:cs="Times New Roman"/>
        </w:rPr>
        <w:t>is in contrast to</w:t>
      </w:r>
      <w:proofErr w:type="gramEnd"/>
      <w:r w:rsidR="00DD523B" w:rsidRPr="00DC6757">
        <w:rPr>
          <w:rFonts w:ascii="Times New Roman" w:hAnsi="Times New Roman" w:cs="Times New Roman"/>
        </w:rPr>
        <w:t xml:space="preserve"> demand type organisms, such as mammals and birds, where growth and reprod</w:t>
      </w:r>
      <w:r w:rsidR="003B1478" w:rsidRPr="00DC6757">
        <w:rPr>
          <w:rFonts w:ascii="Times New Roman" w:hAnsi="Times New Roman" w:cs="Times New Roman"/>
        </w:rPr>
        <w:t>uction schedules are preprogrammed and it is up to the organism to find appropriate resources to meet the demand (Lika et al, 2014, Jager 2016).</w:t>
      </w:r>
      <w:r w:rsidR="00DD523B" w:rsidRPr="00DC6757">
        <w:rPr>
          <w:rFonts w:ascii="Times New Roman" w:hAnsi="Times New Roman" w:cs="Times New Roman"/>
        </w:rPr>
        <w:t xml:space="preserve"> </w:t>
      </w:r>
      <w:r w:rsidR="00DA530D" w:rsidRPr="00DC6757">
        <w:rPr>
          <w:rFonts w:ascii="Times New Roman" w:hAnsi="Times New Roman" w:cs="Times New Roman"/>
        </w:rPr>
        <w:t>Furthermore</w:t>
      </w:r>
      <w:r w:rsidRPr="00DC6757">
        <w:rPr>
          <w:rFonts w:ascii="Times New Roman" w:hAnsi="Times New Roman" w:cs="Times New Roman"/>
        </w:rPr>
        <w:t>,</w:t>
      </w:r>
      <w:r w:rsidR="00261B05" w:rsidRPr="00DC6757">
        <w:rPr>
          <w:rFonts w:ascii="Times New Roman" w:hAnsi="Times New Roman" w:cs="Times New Roman"/>
        </w:rPr>
        <w:t xml:space="preserve"> important </w:t>
      </w:r>
      <w:r w:rsidR="00A462B8" w:rsidRPr="00DC6757">
        <w:rPr>
          <w:rFonts w:ascii="Times New Roman" w:hAnsi="Times New Roman" w:cs="Times New Roman"/>
        </w:rPr>
        <w:t>f</w:t>
      </w:r>
      <w:r w:rsidR="006E6B9E" w:rsidRPr="00DC6757">
        <w:rPr>
          <w:rFonts w:ascii="Times New Roman" w:hAnsi="Times New Roman" w:cs="Times New Roman"/>
        </w:rPr>
        <w:t>ee</w:t>
      </w:r>
      <w:r w:rsidR="00A462B8" w:rsidRPr="00DC6757">
        <w:rPr>
          <w:rFonts w:ascii="Times New Roman" w:hAnsi="Times New Roman" w:cs="Times New Roman"/>
        </w:rPr>
        <w:t>d</w:t>
      </w:r>
      <w:r w:rsidR="0027489C" w:rsidRPr="00DC6757">
        <w:rPr>
          <w:rFonts w:ascii="Times New Roman" w:hAnsi="Times New Roman" w:cs="Times New Roman"/>
        </w:rPr>
        <w:t xml:space="preserve">backs </w:t>
      </w:r>
      <w:r w:rsidR="00261B05" w:rsidRPr="00DC6757">
        <w:rPr>
          <w:rFonts w:ascii="Times New Roman" w:hAnsi="Times New Roman" w:cs="Times New Roman"/>
        </w:rPr>
        <w:t>exist</w:t>
      </w:r>
      <w:r w:rsidR="0027489C" w:rsidRPr="00DC6757">
        <w:rPr>
          <w:rFonts w:ascii="Times New Roman" w:hAnsi="Times New Roman" w:cs="Times New Roman"/>
        </w:rPr>
        <w:t xml:space="preserve"> </w:t>
      </w:r>
      <w:r w:rsidRPr="00DC6757">
        <w:rPr>
          <w:rFonts w:ascii="Times New Roman" w:hAnsi="Times New Roman" w:cs="Times New Roman"/>
        </w:rPr>
        <w:t>at each</w:t>
      </w:r>
      <w:r w:rsidR="00C24734" w:rsidRPr="00DC6757">
        <w:rPr>
          <w:rFonts w:ascii="Times New Roman" w:hAnsi="Times New Roman" w:cs="Times New Roman"/>
        </w:rPr>
        <w:t xml:space="preserve"> level</w:t>
      </w:r>
      <w:r w:rsidRPr="00DC6757">
        <w:rPr>
          <w:rFonts w:ascii="Times New Roman" w:hAnsi="Times New Roman" w:cs="Times New Roman"/>
        </w:rPr>
        <w:t xml:space="preserve"> of </w:t>
      </w:r>
      <w:r w:rsidR="00C24734" w:rsidRPr="00DC6757">
        <w:rPr>
          <w:rFonts w:ascii="Times New Roman" w:hAnsi="Times New Roman" w:cs="Times New Roman"/>
        </w:rPr>
        <w:t>organization. Exposure to toxicants commonly triggers protective physiological responses</w:t>
      </w:r>
      <w:r w:rsidR="00A462B8" w:rsidRPr="00DC6757">
        <w:rPr>
          <w:rFonts w:ascii="Times New Roman" w:hAnsi="Times New Roman" w:cs="Times New Roman"/>
        </w:rPr>
        <w:t xml:space="preserve"> </w:t>
      </w:r>
      <w:r w:rsidR="00C24734" w:rsidRPr="00DC6757">
        <w:rPr>
          <w:rFonts w:ascii="Times New Roman" w:hAnsi="Times New Roman" w:cs="Times New Roman"/>
        </w:rPr>
        <w:t xml:space="preserve">such as enhanced synthesis </w:t>
      </w:r>
      <w:r w:rsidR="00261B05" w:rsidRPr="00DC6757">
        <w:rPr>
          <w:rFonts w:ascii="Times New Roman" w:hAnsi="Times New Roman" w:cs="Times New Roman"/>
        </w:rPr>
        <w:t xml:space="preserve">of </w:t>
      </w:r>
      <w:r w:rsidR="00C24734" w:rsidRPr="00DC6757">
        <w:rPr>
          <w:rFonts w:ascii="Times New Roman" w:hAnsi="Times New Roman" w:cs="Times New Roman"/>
        </w:rPr>
        <w:t xml:space="preserve">antioxidant compounds </w:t>
      </w:r>
      <w:r w:rsidR="00261B05" w:rsidRPr="00DC6757">
        <w:rPr>
          <w:rFonts w:ascii="Times New Roman" w:hAnsi="Times New Roman" w:cs="Times New Roman"/>
        </w:rPr>
        <w:t xml:space="preserve">in response to oxidative stress </w:t>
      </w:r>
      <w:r w:rsidR="00C24734" w:rsidRPr="00DC6757">
        <w:rPr>
          <w:rFonts w:ascii="Times New Roman" w:hAnsi="Times New Roman" w:cs="Times New Roman"/>
        </w:rPr>
        <w:t>(</w:t>
      </w:r>
      <w:proofErr w:type="spellStart"/>
      <w:r w:rsidR="00C24734" w:rsidRPr="00DC6757">
        <w:rPr>
          <w:rFonts w:ascii="Times New Roman" w:hAnsi="Times New Roman" w:cs="Times New Roman"/>
        </w:rPr>
        <w:t>Klanjscek</w:t>
      </w:r>
      <w:proofErr w:type="spellEnd"/>
      <w:r w:rsidR="00C24734" w:rsidRPr="00DC6757">
        <w:rPr>
          <w:rFonts w:ascii="Times New Roman" w:hAnsi="Times New Roman" w:cs="Times New Roman"/>
        </w:rPr>
        <w:t xml:space="preserve"> et al</w:t>
      </w:r>
      <w:r w:rsidR="0053083E" w:rsidRPr="00DC6757">
        <w:rPr>
          <w:rFonts w:ascii="Times New Roman" w:hAnsi="Times New Roman" w:cs="Times New Roman"/>
        </w:rPr>
        <w:t>.</w:t>
      </w:r>
      <w:r w:rsidR="004045C8" w:rsidRPr="00DC6757">
        <w:rPr>
          <w:rFonts w:ascii="Times New Roman" w:hAnsi="Times New Roman" w:cs="Times New Roman"/>
        </w:rPr>
        <w:t xml:space="preserve"> 2012,</w:t>
      </w:r>
      <w:r w:rsidR="00C24734" w:rsidRPr="00DC6757">
        <w:rPr>
          <w:rFonts w:ascii="Times New Roman" w:hAnsi="Times New Roman" w:cs="Times New Roman"/>
        </w:rPr>
        <w:t xml:space="preserve"> 2016)</w:t>
      </w:r>
      <w:r w:rsidR="006268B4" w:rsidRPr="00DC6757">
        <w:rPr>
          <w:rFonts w:ascii="Times New Roman" w:hAnsi="Times New Roman" w:cs="Times New Roman"/>
        </w:rPr>
        <w:t>. I</w:t>
      </w:r>
      <w:r w:rsidR="00C24734" w:rsidRPr="00DC6757">
        <w:rPr>
          <w:rFonts w:ascii="Times New Roman" w:hAnsi="Times New Roman" w:cs="Times New Roman"/>
        </w:rPr>
        <w:t>ndividual organisms may</w:t>
      </w:r>
      <w:r w:rsidR="006268B4" w:rsidRPr="00DC6757">
        <w:rPr>
          <w:rFonts w:ascii="Times New Roman" w:hAnsi="Times New Roman" w:cs="Times New Roman"/>
        </w:rPr>
        <w:t xml:space="preserve"> also</w:t>
      </w:r>
      <w:r w:rsidR="00C24734" w:rsidRPr="00DC6757">
        <w:rPr>
          <w:rFonts w:ascii="Times New Roman" w:hAnsi="Times New Roman" w:cs="Times New Roman"/>
        </w:rPr>
        <w:t xml:space="preserve"> induce protective (or other) changes in their </w:t>
      </w:r>
      <w:proofErr w:type="spellStart"/>
      <w:r w:rsidR="00343E4A" w:rsidRPr="00DC6757">
        <w:rPr>
          <w:rFonts w:ascii="Times New Roman" w:hAnsi="Times New Roman" w:cs="Times New Roman"/>
        </w:rPr>
        <w:t>physico</w:t>
      </w:r>
      <w:proofErr w:type="spellEnd"/>
      <w:r w:rsidR="00343E4A" w:rsidRPr="00DC6757">
        <w:rPr>
          <w:rFonts w:ascii="Times New Roman" w:hAnsi="Times New Roman" w:cs="Times New Roman"/>
        </w:rPr>
        <w:t>-ch</w:t>
      </w:r>
      <w:r w:rsidR="006E6B9E" w:rsidRPr="00DC6757">
        <w:rPr>
          <w:rFonts w:ascii="Times New Roman" w:hAnsi="Times New Roman" w:cs="Times New Roman"/>
        </w:rPr>
        <w:t>emical environment</w:t>
      </w:r>
      <w:r w:rsidR="00C24734" w:rsidRPr="00DC6757">
        <w:rPr>
          <w:rFonts w:ascii="Times New Roman" w:hAnsi="Times New Roman" w:cs="Times New Roman"/>
        </w:rPr>
        <w:t xml:space="preserve"> (Stevenson et al</w:t>
      </w:r>
      <w:r w:rsidR="0053083E" w:rsidRPr="00DC6757">
        <w:rPr>
          <w:rFonts w:ascii="Times New Roman" w:hAnsi="Times New Roman" w:cs="Times New Roman"/>
        </w:rPr>
        <w:t>.</w:t>
      </w:r>
      <w:r w:rsidR="00895148" w:rsidRPr="00DC6757">
        <w:rPr>
          <w:rFonts w:ascii="Times New Roman" w:hAnsi="Times New Roman" w:cs="Times New Roman"/>
        </w:rPr>
        <w:t xml:space="preserve"> 2013) or their food environment (Martin et al</w:t>
      </w:r>
      <w:r w:rsidR="0053083E" w:rsidRPr="00DC6757">
        <w:rPr>
          <w:rFonts w:ascii="Times New Roman" w:hAnsi="Times New Roman" w:cs="Times New Roman"/>
        </w:rPr>
        <w:t>.</w:t>
      </w:r>
      <w:r w:rsidR="00895148" w:rsidRPr="00DC6757">
        <w:rPr>
          <w:rFonts w:ascii="Times New Roman" w:hAnsi="Times New Roman" w:cs="Times New Roman"/>
        </w:rPr>
        <w:t xml:space="preserve"> 2013</w:t>
      </w:r>
      <w:r w:rsidR="007B4E7F" w:rsidRPr="00DC6757">
        <w:rPr>
          <w:rFonts w:ascii="Times New Roman" w:hAnsi="Times New Roman" w:cs="Times New Roman"/>
        </w:rPr>
        <w:t>b</w:t>
      </w:r>
      <w:r w:rsidR="00895148" w:rsidRPr="00DC6757">
        <w:rPr>
          <w:rFonts w:ascii="Times New Roman" w:hAnsi="Times New Roman" w:cs="Times New Roman"/>
        </w:rPr>
        <w:t>, 2014)</w:t>
      </w:r>
      <w:r w:rsidR="00261B05" w:rsidRPr="00DC6757">
        <w:rPr>
          <w:rFonts w:ascii="Times New Roman" w:hAnsi="Times New Roman" w:cs="Times New Roman"/>
        </w:rPr>
        <w:t>.</w:t>
      </w:r>
      <w:r w:rsidR="00DC6757">
        <w:rPr>
          <w:rFonts w:ascii="Times New Roman" w:hAnsi="Times New Roman" w:cs="Times New Roman"/>
        </w:rPr>
        <w:t xml:space="preserve"> </w:t>
      </w:r>
      <w:r w:rsidR="00261B05" w:rsidRPr="00DC6757">
        <w:rPr>
          <w:rFonts w:ascii="Times New Roman" w:hAnsi="Times New Roman" w:cs="Times New Roman"/>
        </w:rPr>
        <w:t xml:space="preserve">Furthermore, </w:t>
      </w:r>
      <w:r w:rsidR="008361BD" w:rsidRPr="00DC6757">
        <w:rPr>
          <w:rFonts w:ascii="Times New Roman" w:hAnsi="Times New Roman" w:cs="Times New Roman"/>
        </w:rPr>
        <w:t xml:space="preserve">some species </w:t>
      </w:r>
      <w:r w:rsidR="00261B05" w:rsidRPr="00DC6757">
        <w:rPr>
          <w:rFonts w:ascii="Times New Roman" w:hAnsi="Times New Roman" w:cs="Times New Roman"/>
        </w:rPr>
        <w:t>may be cap</w:t>
      </w:r>
      <w:r w:rsidR="00093566" w:rsidRPr="00DC6757">
        <w:rPr>
          <w:rFonts w:ascii="Times New Roman" w:hAnsi="Times New Roman" w:cs="Times New Roman"/>
        </w:rPr>
        <w:t>abl</w:t>
      </w:r>
      <w:r w:rsidR="00261B05" w:rsidRPr="00DC6757">
        <w:rPr>
          <w:rFonts w:ascii="Times New Roman" w:hAnsi="Times New Roman" w:cs="Times New Roman"/>
        </w:rPr>
        <w:t xml:space="preserve">e of relatively rapid adaptation to chronic chemical stress </w:t>
      </w:r>
      <w:r w:rsidR="00AE400E" w:rsidRPr="00DC6757">
        <w:rPr>
          <w:rFonts w:ascii="Times New Roman" w:hAnsi="Times New Roman" w:cs="Times New Roman"/>
        </w:rPr>
        <w:t>(Di Giu</w:t>
      </w:r>
      <w:r w:rsidR="002D2020" w:rsidRPr="00DC6757">
        <w:rPr>
          <w:rFonts w:ascii="Times New Roman" w:hAnsi="Times New Roman" w:cs="Times New Roman"/>
        </w:rPr>
        <w:t xml:space="preserve">lio and Clark, 2016, </w:t>
      </w:r>
      <w:proofErr w:type="spellStart"/>
      <w:r w:rsidR="002D2020" w:rsidRPr="00DC6757">
        <w:rPr>
          <w:rFonts w:ascii="Times New Roman" w:hAnsi="Times New Roman" w:cs="Times New Roman"/>
        </w:rPr>
        <w:t>Nacci</w:t>
      </w:r>
      <w:proofErr w:type="spellEnd"/>
      <w:r w:rsidR="002D2020" w:rsidRPr="00DC6757">
        <w:rPr>
          <w:rFonts w:ascii="Times New Roman" w:hAnsi="Times New Roman" w:cs="Times New Roman"/>
        </w:rPr>
        <w:t xml:space="preserve"> et al</w:t>
      </w:r>
      <w:r w:rsidR="0053083E" w:rsidRPr="00DC6757">
        <w:rPr>
          <w:rFonts w:ascii="Times New Roman" w:hAnsi="Times New Roman" w:cs="Times New Roman"/>
        </w:rPr>
        <w:t>.</w:t>
      </w:r>
      <w:r w:rsidR="002D2020" w:rsidRPr="00DC6757">
        <w:rPr>
          <w:rFonts w:ascii="Times New Roman" w:hAnsi="Times New Roman" w:cs="Times New Roman"/>
        </w:rPr>
        <w:t xml:space="preserve"> 2016; Reid et al</w:t>
      </w:r>
      <w:r w:rsidR="0053083E" w:rsidRPr="00DC6757">
        <w:rPr>
          <w:rFonts w:ascii="Times New Roman" w:hAnsi="Times New Roman" w:cs="Times New Roman"/>
        </w:rPr>
        <w:t>.</w:t>
      </w:r>
      <w:r w:rsidR="002D2020" w:rsidRPr="00DC6757">
        <w:rPr>
          <w:rFonts w:ascii="Times New Roman" w:hAnsi="Times New Roman" w:cs="Times New Roman"/>
        </w:rPr>
        <w:t xml:space="preserve"> 2016; Du et al</w:t>
      </w:r>
      <w:r w:rsidR="0053083E" w:rsidRPr="00DC6757">
        <w:rPr>
          <w:rFonts w:ascii="Times New Roman" w:hAnsi="Times New Roman" w:cs="Times New Roman"/>
        </w:rPr>
        <w:t>.</w:t>
      </w:r>
      <w:r w:rsidR="002D2020" w:rsidRPr="00DC6757">
        <w:rPr>
          <w:rFonts w:ascii="Times New Roman" w:hAnsi="Times New Roman" w:cs="Times New Roman"/>
        </w:rPr>
        <w:t xml:space="preserve"> 2015)</w:t>
      </w:r>
      <w:r w:rsidR="0039731E" w:rsidRPr="00DC6757">
        <w:rPr>
          <w:rFonts w:ascii="Times New Roman" w:hAnsi="Times New Roman" w:cs="Times New Roman"/>
        </w:rPr>
        <w:t>.</w:t>
      </w:r>
      <w:r w:rsidR="002D2020" w:rsidRPr="00DC6757">
        <w:rPr>
          <w:rFonts w:ascii="Times New Roman" w:hAnsi="Times New Roman" w:cs="Times New Roman"/>
        </w:rPr>
        <w:t xml:space="preserve"> </w:t>
      </w:r>
      <w:r w:rsidR="00DD4463" w:rsidRPr="00DC6757">
        <w:rPr>
          <w:rFonts w:ascii="Times New Roman" w:hAnsi="Times New Roman" w:cs="Times New Roman"/>
        </w:rPr>
        <w:t>In short</w:t>
      </w:r>
      <w:r w:rsidR="005B5BBA" w:rsidRPr="00DC6757">
        <w:rPr>
          <w:rFonts w:ascii="Times New Roman" w:hAnsi="Times New Roman" w:cs="Times New Roman"/>
        </w:rPr>
        <w:t xml:space="preserve">, </w:t>
      </w:r>
      <w:r w:rsidR="006268B4" w:rsidRPr="00DC6757">
        <w:rPr>
          <w:rFonts w:ascii="Times New Roman" w:hAnsi="Times New Roman" w:cs="Times New Roman"/>
        </w:rPr>
        <w:t>the AOP framework</w:t>
      </w:r>
      <w:r w:rsidR="00AC6B91" w:rsidRPr="00DC6757">
        <w:rPr>
          <w:rFonts w:ascii="Times New Roman" w:hAnsi="Times New Roman" w:cs="Times New Roman"/>
        </w:rPr>
        <w:t>,</w:t>
      </w:r>
      <w:r w:rsidR="006268B4" w:rsidRPr="00DC6757">
        <w:rPr>
          <w:rFonts w:ascii="Times New Roman" w:hAnsi="Times New Roman" w:cs="Times New Roman"/>
        </w:rPr>
        <w:t xml:space="preserve"> in its current form</w:t>
      </w:r>
      <w:r w:rsidR="00DC6757">
        <w:rPr>
          <w:rFonts w:ascii="Times New Roman" w:hAnsi="Times New Roman" w:cs="Times New Roman"/>
        </w:rPr>
        <w:t xml:space="preserve"> </w:t>
      </w:r>
      <w:r w:rsidR="006268B4" w:rsidRPr="00DC6757">
        <w:rPr>
          <w:rFonts w:ascii="Times New Roman" w:hAnsi="Times New Roman" w:cs="Times New Roman"/>
        </w:rPr>
        <w:t xml:space="preserve">is unable to provide a suitable framework </w:t>
      </w:r>
      <w:bookmarkStart w:id="0" w:name="_GoBack"/>
      <w:bookmarkEnd w:id="0"/>
      <w:r w:rsidR="006268B4" w:rsidRPr="00DC6757">
        <w:rPr>
          <w:rFonts w:ascii="Times New Roman" w:hAnsi="Times New Roman" w:cs="Times New Roman"/>
        </w:rPr>
        <w:t xml:space="preserve">for predictive modeling and hence improved risk </w:t>
      </w:r>
      <w:r w:rsidR="006268B4" w:rsidRPr="00DC6757">
        <w:rPr>
          <w:rFonts w:ascii="Times New Roman" w:hAnsi="Times New Roman" w:cs="Times New Roman"/>
        </w:rPr>
        <w:lastRenderedPageBreak/>
        <w:t>assessment. A suitable framework</w:t>
      </w:r>
      <w:r w:rsidR="007F1364" w:rsidRPr="00DC6757">
        <w:rPr>
          <w:rFonts w:ascii="Times New Roman" w:hAnsi="Times New Roman" w:cs="Times New Roman"/>
        </w:rPr>
        <w:t xml:space="preserve"> should be able to </w:t>
      </w:r>
      <w:r w:rsidR="005B5BBA" w:rsidRPr="00DC6757">
        <w:rPr>
          <w:rFonts w:ascii="Times New Roman" w:hAnsi="Times New Roman" w:cs="Times New Roman"/>
        </w:rPr>
        <w:t>explain the effects of toxicants on an organism's acquisition of resources from the environment and the consequences for energy demanding traits such as growt</w:t>
      </w:r>
      <w:r w:rsidR="006F2A52" w:rsidRPr="00DC6757">
        <w:rPr>
          <w:rFonts w:ascii="Times New Roman" w:hAnsi="Times New Roman" w:cs="Times New Roman"/>
        </w:rPr>
        <w:t>h</w:t>
      </w:r>
      <w:r w:rsidR="0053083E" w:rsidRPr="00DC6757">
        <w:rPr>
          <w:rFonts w:ascii="Times New Roman" w:hAnsi="Times New Roman" w:cs="Times New Roman"/>
        </w:rPr>
        <w:t xml:space="preserve"> and reproduction (Jager et al.</w:t>
      </w:r>
      <w:r w:rsidR="005B5BBA" w:rsidRPr="00DC6757">
        <w:rPr>
          <w:rFonts w:ascii="Times New Roman" w:hAnsi="Times New Roman" w:cs="Times New Roman"/>
        </w:rPr>
        <w:t xml:space="preserve"> 2016).</w:t>
      </w:r>
      <w:r w:rsidR="00DC6757">
        <w:rPr>
          <w:rFonts w:ascii="Times New Roman" w:hAnsi="Times New Roman" w:cs="Times New Roman"/>
        </w:rPr>
        <w:t xml:space="preserve"> </w:t>
      </w:r>
      <w:r w:rsidR="00895148" w:rsidRPr="00DC6757">
        <w:rPr>
          <w:rFonts w:ascii="Times New Roman" w:hAnsi="Times New Roman" w:cs="Times New Roman"/>
        </w:rPr>
        <w:t xml:space="preserve">Because of these limitations </w:t>
      </w:r>
      <w:r w:rsidR="00382F8A" w:rsidRPr="00DC6757">
        <w:rPr>
          <w:rFonts w:ascii="Times New Roman" w:hAnsi="Times New Roman" w:cs="Times New Roman"/>
        </w:rPr>
        <w:t>and the uncertainty surrounding the quantitative linkages</w:t>
      </w:r>
      <w:r w:rsidR="00817782" w:rsidRPr="00DC6757">
        <w:rPr>
          <w:rFonts w:ascii="Times New Roman" w:hAnsi="Times New Roman" w:cs="Times New Roman"/>
        </w:rPr>
        <w:t>, t</w:t>
      </w:r>
      <w:r w:rsidR="00B9315C" w:rsidRPr="00DC6757">
        <w:rPr>
          <w:rFonts w:ascii="Times New Roman" w:hAnsi="Times New Roman" w:cs="Times New Roman"/>
        </w:rPr>
        <w:t>he</w:t>
      </w:r>
      <w:r w:rsidR="006268B4" w:rsidRPr="00DC6757">
        <w:rPr>
          <w:rFonts w:ascii="Times New Roman" w:hAnsi="Times New Roman" w:cs="Times New Roman"/>
        </w:rPr>
        <w:t xml:space="preserve"> utilization of the</w:t>
      </w:r>
      <w:r w:rsidR="00B9315C" w:rsidRPr="00DC6757">
        <w:rPr>
          <w:rFonts w:ascii="Times New Roman" w:hAnsi="Times New Roman" w:cs="Times New Roman"/>
        </w:rPr>
        <w:t xml:space="preserve"> AOP framework</w:t>
      </w:r>
      <w:r w:rsidR="006268B4" w:rsidRPr="00DC6757">
        <w:rPr>
          <w:rFonts w:ascii="Times New Roman" w:hAnsi="Times New Roman" w:cs="Times New Roman"/>
        </w:rPr>
        <w:t xml:space="preserve"> in </w:t>
      </w:r>
      <w:r w:rsidR="00B9315C" w:rsidRPr="00DC6757">
        <w:rPr>
          <w:rFonts w:ascii="Times New Roman" w:hAnsi="Times New Roman" w:cs="Times New Roman"/>
        </w:rPr>
        <w:t>regulatory policy</w:t>
      </w:r>
      <w:r w:rsidR="006268B4" w:rsidRPr="00DC6757">
        <w:rPr>
          <w:rFonts w:ascii="Times New Roman" w:hAnsi="Times New Roman" w:cs="Times New Roman"/>
        </w:rPr>
        <w:t xml:space="preserve"> has </w:t>
      </w:r>
      <w:r w:rsidR="000A31BE" w:rsidRPr="00DC6757">
        <w:rPr>
          <w:rFonts w:ascii="Times New Roman" w:hAnsi="Times New Roman" w:cs="Times New Roman"/>
        </w:rPr>
        <w:t>been limited</w:t>
      </w:r>
      <w:r w:rsidR="00B9315C" w:rsidRPr="00DC6757">
        <w:rPr>
          <w:rFonts w:ascii="Times New Roman" w:hAnsi="Times New Roman" w:cs="Times New Roman"/>
        </w:rPr>
        <w:t>.</w:t>
      </w:r>
      <w:r w:rsidR="00DC6757">
        <w:rPr>
          <w:rFonts w:ascii="Times New Roman" w:hAnsi="Times New Roman" w:cs="Times New Roman"/>
        </w:rPr>
        <w:t xml:space="preserve"> </w:t>
      </w:r>
      <w:r w:rsidR="00B9315C" w:rsidRPr="00DC6757">
        <w:rPr>
          <w:rFonts w:ascii="Times New Roman" w:hAnsi="Times New Roman" w:cs="Times New Roman"/>
        </w:rPr>
        <w:t>However, where it can make an impact is in “win-win” situations, such as screening of potential new chemicals and prioritization of chemicals for further testing (Elliott et al</w:t>
      </w:r>
      <w:r w:rsidR="006F2A52" w:rsidRPr="00DC6757">
        <w:rPr>
          <w:rFonts w:ascii="Times New Roman" w:hAnsi="Times New Roman" w:cs="Times New Roman"/>
        </w:rPr>
        <w:t>.</w:t>
      </w:r>
      <w:r w:rsidR="00B9315C" w:rsidRPr="00DC6757">
        <w:rPr>
          <w:rFonts w:ascii="Times New Roman" w:hAnsi="Times New Roman" w:cs="Times New Roman"/>
        </w:rPr>
        <w:t xml:space="preserve"> 2017).</w:t>
      </w:r>
      <w:r w:rsidR="00DC6757">
        <w:rPr>
          <w:rFonts w:ascii="Times New Roman" w:hAnsi="Times New Roman" w:cs="Times New Roman"/>
        </w:rPr>
        <w:t xml:space="preserve"> </w:t>
      </w:r>
      <w:r w:rsidR="00B9315C" w:rsidRPr="00DC6757">
        <w:rPr>
          <w:rFonts w:ascii="Times New Roman" w:hAnsi="Times New Roman" w:cs="Times New Roman"/>
        </w:rPr>
        <w:t>It is also likely to gain traction when development and acceptance of AOPs are done with full transparency an</w:t>
      </w:r>
      <w:r w:rsidR="00DD4463" w:rsidRPr="00DC6757">
        <w:rPr>
          <w:rFonts w:ascii="Times New Roman" w:hAnsi="Times New Roman" w:cs="Times New Roman"/>
        </w:rPr>
        <w:t>d engagement with stakeholders (Elliott et al</w:t>
      </w:r>
      <w:r w:rsidR="006F2A52" w:rsidRPr="00DC6757">
        <w:rPr>
          <w:rFonts w:ascii="Times New Roman" w:hAnsi="Times New Roman" w:cs="Times New Roman"/>
        </w:rPr>
        <w:t>.</w:t>
      </w:r>
      <w:r w:rsidR="00DD4463" w:rsidRPr="00DC6757">
        <w:rPr>
          <w:rFonts w:ascii="Times New Roman" w:hAnsi="Times New Roman" w:cs="Times New Roman"/>
        </w:rPr>
        <w:t xml:space="preserve"> 2017).</w:t>
      </w:r>
    </w:p>
    <w:p w14:paraId="282248AA" w14:textId="77777777" w:rsidR="00133BFA" w:rsidRPr="00DC6757" w:rsidRDefault="00133BFA" w:rsidP="0053083E">
      <w:pPr>
        <w:pStyle w:val="CommentText"/>
        <w:spacing w:line="480" w:lineRule="auto"/>
        <w:ind w:firstLine="720"/>
        <w:rPr>
          <w:rFonts w:ascii="Times New Roman" w:hAnsi="Times New Roman" w:cs="Times New Roman"/>
        </w:rPr>
      </w:pPr>
    </w:p>
    <w:p w14:paraId="464A5D8D" w14:textId="77777777" w:rsidR="00133BFA" w:rsidRPr="00DC6757" w:rsidRDefault="00295487" w:rsidP="00C16B36">
      <w:pPr>
        <w:spacing w:after="0" w:line="480" w:lineRule="auto"/>
        <w:rPr>
          <w:rFonts w:ascii="Times New Roman" w:hAnsi="Times New Roman" w:cs="Times New Roman"/>
          <w:b/>
          <w:sz w:val="24"/>
          <w:szCs w:val="24"/>
        </w:rPr>
      </w:pPr>
      <w:r w:rsidRPr="00DC6757">
        <w:rPr>
          <w:rFonts w:ascii="Times New Roman" w:hAnsi="Times New Roman" w:cs="Times New Roman"/>
          <w:b/>
          <w:sz w:val="24"/>
          <w:szCs w:val="24"/>
        </w:rPr>
        <w:t>Dynamic Energy Budgets</w:t>
      </w:r>
      <w:r w:rsidR="00133BFA" w:rsidRPr="00DC6757">
        <w:rPr>
          <w:rFonts w:ascii="Times New Roman" w:hAnsi="Times New Roman" w:cs="Times New Roman"/>
          <w:b/>
          <w:sz w:val="24"/>
          <w:szCs w:val="24"/>
        </w:rPr>
        <w:t xml:space="preserve"> and Ecotoxicology</w:t>
      </w:r>
    </w:p>
    <w:p w14:paraId="2DF3C21D" w14:textId="3F9EDC52" w:rsidR="00B338EC" w:rsidRPr="00DC6757" w:rsidRDefault="00817782" w:rsidP="0053083E">
      <w:pPr>
        <w:pStyle w:val="CommentText"/>
        <w:spacing w:line="480" w:lineRule="auto"/>
        <w:ind w:firstLine="720"/>
        <w:rPr>
          <w:rFonts w:ascii="Times New Roman" w:hAnsi="Times New Roman" w:cs="Times New Roman"/>
        </w:rPr>
      </w:pPr>
      <w:r w:rsidRPr="00DC6757">
        <w:rPr>
          <w:rFonts w:ascii="Times New Roman" w:hAnsi="Times New Roman" w:cs="Times New Roman"/>
        </w:rPr>
        <w:t>In contrast with the “bottom up</w:t>
      </w:r>
      <w:r w:rsidR="000335C0" w:rsidRPr="00DC6757">
        <w:rPr>
          <w:rFonts w:ascii="Times New Roman" w:hAnsi="Times New Roman" w:cs="Times New Roman"/>
        </w:rPr>
        <w:t>”</w:t>
      </w:r>
      <w:r w:rsidRPr="00DC6757">
        <w:rPr>
          <w:rFonts w:ascii="Times New Roman" w:hAnsi="Times New Roman" w:cs="Times New Roman"/>
        </w:rPr>
        <w:t xml:space="preserve"> AOP approach, </w:t>
      </w:r>
      <w:r w:rsidR="006E6B9E" w:rsidRPr="00DC6757">
        <w:rPr>
          <w:rFonts w:ascii="Times New Roman" w:hAnsi="Times New Roman" w:cs="Times New Roman"/>
        </w:rPr>
        <w:t>Dynamic Energy Budget (DEB) theory (</w:t>
      </w:r>
      <w:proofErr w:type="spellStart"/>
      <w:r w:rsidRPr="00DC6757">
        <w:rPr>
          <w:rFonts w:ascii="Times New Roman" w:hAnsi="Times New Roman" w:cs="Times New Roman"/>
        </w:rPr>
        <w:t>Jusup</w:t>
      </w:r>
      <w:proofErr w:type="spellEnd"/>
      <w:r w:rsidRPr="00DC6757">
        <w:rPr>
          <w:rFonts w:ascii="Times New Roman" w:hAnsi="Times New Roman" w:cs="Times New Roman"/>
        </w:rPr>
        <w:t xml:space="preserve"> et al</w:t>
      </w:r>
      <w:r w:rsidR="0053083E" w:rsidRPr="00DC6757">
        <w:rPr>
          <w:rFonts w:ascii="Times New Roman" w:hAnsi="Times New Roman" w:cs="Times New Roman"/>
        </w:rPr>
        <w:t>.</w:t>
      </w:r>
      <w:r w:rsidRPr="00DC6757">
        <w:rPr>
          <w:rFonts w:ascii="Times New Roman" w:hAnsi="Times New Roman" w:cs="Times New Roman"/>
        </w:rPr>
        <w:t xml:space="preserve"> 2017, </w:t>
      </w:r>
      <w:proofErr w:type="spellStart"/>
      <w:r w:rsidR="006E6B9E" w:rsidRPr="00DC6757">
        <w:rPr>
          <w:rFonts w:ascii="Times New Roman" w:hAnsi="Times New Roman" w:cs="Times New Roman"/>
        </w:rPr>
        <w:t>Kooijman</w:t>
      </w:r>
      <w:proofErr w:type="spellEnd"/>
      <w:r w:rsidR="00DA530D" w:rsidRPr="00DC6757">
        <w:rPr>
          <w:rFonts w:ascii="Times New Roman" w:hAnsi="Times New Roman" w:cs="Times New Roman"/>
        </w:rPr>
        <w:t xml:space="preserve"> 1986,</w:t>
      </w:r>
      <w:r w:rsidR="006E6B9E" w:rsidRPr="00DC6757">
        <w:rPr>
          <w:rFonts w:ascii="Times New Roman" w:hAnsi="Times New Roman" w:cs="Times New Roman"/>
        </w:rPr>
        <w:t xml:space="preserve"> 2010, Nisbet et al. </w:t>
      </w:r>
      <w:r w:rsidR="00B9315C" w:rsidRPr="00DC6757">
        <w:rPr>
          <w:rFonts w:ascii="Times New Roman" w:hAnsi="Times New Roman" w:cs="Times New Roman"/>
        </w:rPr>
        <w:t>2000) offers</w:t>
      </w:r>
      <w:r w:rsidR="006E6B9E" w:rsidRPr="00DC6757">
        <w:rPr>
          <w:rFonts w:ascii="Times New Roman" w:hAnsi="Times New Roman" w:cs="Times New Roman"/>
        </w:rPr>
        <w:t xml:space="preserve"> a </w:t>
      </w:r>
      <w:r w:rsidR="00DE00E5" w:rsidRPr="00DC6757">
        <w:rPr>
          <w:rFonts w:ascii="Times New Roman" w:hAnsi="Times New Roman" w:cs="Times New Roman"/>
        </w:rPr>
        <w:t>“</w:t>
      </w:r>
      <w:r w:rsidRPr="00DC6757">
        <w:rPr>
          <w:rFonts w:ascii="Times New Roman" w:hAnsi="Times New Roman" w:cs="Times New Roman"/>
        </w:rPr>
        <w:t>top down</w:t>
      </w:r>
      <w:r w:rsidR="00DE00E5" w:rsidRPr="00DC6757">
        <w:rPr>
          <w:rFonts w:ascii="Times New Roman" w:hAnsi="Times New Roman" w:cs="Times New Roman"/>
        </w:rPr>
        <w:t>”</w:t>
      </w:r>
      <w:r w:rsidRPr="00DC6757">
        <w:rPr>
          <w:rFonts w:ascii="Times New Roman" w:hAnsi="Times New Roman" w:cs="Times New Roman"/>
        </w:rPr>
        <w:t xml:space="preserve"> </w:t>
      </w:r>
      <w:r w:rsidR="006E6B9E" w:rsidRPr="00DC6757">
        <w:rPr>
          <w:rFonts w:ascii="Times New Roman" w:hAnsi="Times New Roman" w:cs="Times New Roman"/>
        </w:rPr>
        <w:t xml:space="preserve">mechanistic </w:t>
      </w:r>
      <w:r w:rsidRPr="00DC6757">
        <w:rPr>
          <w:rFonts w:ascii="Times New Roman" w:hAnsi="Times New Roman" w:cs="Times New Roman"/>
        </w:rPr>
        <w:t xml:space="preserve">conceptual </w:t>
      </w:r>
      <w:r w:rsidR="006E6B9E" w:rsidRPr="00DC6757">
        <w:rPr>
          <w:rFonts w:ascii="Times New Roman" w:hAnsi="Times New Roman" w:cs="Times New Roman"/>
        </w:rPr>
        <w:t>framework</w:t>
      </w:r>
      <w:r w:rsidRPr="00DC6757">
        <w:rPr>
          <w:rFonts w:ascii="Times New Roman" w:hAnsi="Times New Roman" w:cs="Times New Roman"/>
        </w:rPr>
        <w:t xml:space="preserve"> for connecting </w:t>
      </w:r>
      <w:proofErr w:type="spellStart"/>
      <w:r w:rsidRPr="00DC6757">
        <w:rPr>
          <w:rFonts w:ascii="Times New Roman" w:hAnsi="Times New Roman" w:cs="Times New Roman"/>
        </w:rPr>
        <w:t>suborganismal</w:t>
      </w:r>
      <w:proofErr w:type="spellEnd"/>
      <w:r w:rsidRPr="00DC6757">
        <w:rPr>
          <w:rFonts w:ascii="Times New Roman" w:hAnsi="Times New Roman" w:cs="Times New Roman"/>
        </w:rPr>
        <w:t xml:space="preserve"> to organismal processes. The starting point </w:t>
      </w:r>
      <w:r w:rsidR="00613C8F" w:rsidRPr="00DC6757">
        <w:rPr>
          <w:rFonts w:ascii="Times New Roman" w:hAnsi="Times New Roman" w:cs="Times New Roman"/>
        </w:rPr>
        <w:t xml:space="preserve">for any study </w:t>
      </w:r>
      <w:r w:rsidRPr="00DC6757">
        <w:rPr>
          <w:rFonts w:ascii="Times New Roman" w:hAnsi="Times New Roman" w:cs="Times New Roman"/>
        </w:rPr>
        <w:t xml:space="preserve">is a </w:t>
      </w:r>
      <w:r w:rsidR="00613C8F" w:rsidRPr="00DC6757">
        <w:rPr>
          <w:rFonts w:ascii="Times New Roman" w:hAnsi="Times New Roman" w:cs="Times New Roman"/>
        </w:rPr>
        <w:t xml:space="preserve">multi-compartment </w:t>
      </w:r>
      <w:r w:rsidRPr="00DC6757">
        <w:rPr>
          <w:rFonts w:ascii="Times New Roman" w:hAnsi="Times New Roman" w:cs="Times New Roman"/>
        </w:rPr>
        <w:t>dynamical systems model of the performance (growth, development, reproduction, mortality risk) in arbitrary environments.</w:t>
      </w:r>
      <w:r w:rsidR="00DC6757">
        <w:rPr>
          <w:rFonts w:ascii="Times New Roman" w:hAnsi="Times New Roman" w:cs="Times New Roman"/>
        </w:rPr>
        <w:t xml:space="preserve"> </w:t>
      </w:r>
      <w:r w:rsidR="00613C8F" w:rsidRPr="00DC6757">
        <w:rPr>
          <w:rFonts w:ascii="Times New Roman" w:hAnsi="Times New Roman" w:cs="Times New Roman"/>
        </w:rPr>
        <w:t>Although core themes of DEB models are conservation of energy and of elemental matter, the theory also makes intimate connections with physiology through assumptions on homeostasis.</w:t>
      </w:r>
      <w:r w:rsidR="00DC6757">
        <w:rPr>
          <w:rFonts w:ascii="Times New Roman" w:hAnsi="Times New Roman" w:cs="Times New Roman"/>
        </w:rPr>
        <w:t xml:space="preserve"> </w:t>
      </w:r>
      <w:r w:rsidR="00613C8F" w:rsidRPr="00DC6757">
        <w:rPr>
          <w:rFonts w:ascii="Times New Roman" w:hAnsi="Times New Roman" w:cs="Times New Roman"/>
        </w:rPr>
        <w:t>The end result is that t</w:t>
      </w:r>
      <w:r w:rsidR="006E6B9E" w:rsidRPr="00DC6757">
        <w:rPr>
          <w:rFonts w:ascii="Times New Roman" w:hAnsi="Times New Roman" w:cs="Times New Roman"/>
        </w:rPr>
        <w:t xml:space="preserve">he DEB approach </w:t>
      </w:r>
      <w:r w:rsidR="00613C8F" w:rsidRPr="00DC6757">
        <w:rPr>
          <w:rFonts w:ascii="Times New Roman" w:hAnsi="Times New Roman" w:cs="Times New Roman"/>
        </w:rPr>
        <w:t>offers</w:t>
      </w:r>
      <w:r w:rsidR="00DC6757">
        <w:rPr>
          <w:rFonts w:ascii="Times New Roman" w:hAnsi="Times New Roman" w:cs="Times New Roman"/>
        </w:rPr>
        <w:t xml:space="preserve"> </w:t>
      </w:r>
      <w:r w:rsidR="006E6B9E" w:rsidRPr="00DC6757">
        <w:rPr>
          <w:rFonts w:ascii="Times New Roman" w:hAnsi="Times New Roman" w:cs="Times New Roman"/>
        </w:rPr>
        <w:t>unifying metabolic t</w:t>
      </w:r>
      <w:r w:rsidR="007F1364" w:rsidRPr="00DC6757">
        <w:rPr>
          <w:rFonts w:ascii="Times New Roman" w:hAnsi="Times New Roman" w:cs="Times New Roman"/>
        </w:rPr>
        <w:t>heory that can</w:t>
      </w:r>
      <w:r w:rsidR="0088316A" w:rsidRPr="00DC6757">
        <w:rPr>
          <w:rFonts w:ascii="Times New Roman" w:hAnsi="Times New Roman" w:cs="Times New Roman"/>
        </w:rPr>
        <w:t xml:space="preserve"> </w:t>
      </w:r>
      <w:r w:rsidR="006E6B9E" w:rsidRPr="00DC6757">
        <w:rPr>
          <w:rFonts w:ascii="Times New Roman" w:hAnsi="Times New Roman" w:cs="Times New Roman"/>
        </w:rPr>
        <w:t xml:space="preserve">be applied to any species using a </w:t>
      </w:r>
      <w:r w:rsidR="00871F6A" w:rsidRPr="00DC6757">
        <w:rPr>
          <w:rFonts w:ascii="Times New Roman" w:hAnsi="Times New Roman" w:cs="Times New Roman"/>
        </w:rPr>
        <w:t>few</w:t>
      </w:r>
      <w:r w:rsidR="006E6B9E" w:rsidRPr="00DC6757">
        <w:rPr>
          <w:rFonts w:ascii="Times New Roman" w:hAnsi="Times New Roman" w:cs="Times New Roman"/>
        </w:rPr>
        <w:t xml:space="preserve"> parameters</w:t>
      </w:r>
      <w:r w:rsidR="00DE00E5" w:rsidRPr="00DC6757">
        <w:rPr>
          <w:rFonts w:ascii="Times New Roman" w:hAnsi="Times New Roman" w:cs="Times New Roman"/>
        </w:rPr>
        <w:t xml:space="preserve"> (Kearney et al</w:t>
      </w:r>
      <w:r w:rsidR="0053083E" w:rsidRPr="00DC6757">
        <w:rPr>
          <w:rFonts w:ascii="Times New Roman" w:hAnsi="Times New Roman" w:cs="Times New Roman"/>
        </w:rPr>
        <w:t>.</w:t>
      </w:r>
      <w:r w:rsidR="00DE00E5" w:rsidRPr="00DC6757">
        <w:rPr>
          <w:rFonts w:ascii="Times New Roman" w:hAnsi="Times New Roman" w:cs="Times New Roman"/>
        </w:rPr>
        <w:t xml:space="preserve"> </w:t>
      </w:r>
      <w:proofErr w:type="gramStart"/>
      <w:r w:rsidR="00DE00E5" w:rsidRPr="00DC6757">
        <w:rPr>
          <w:rFonts w:ascii="Times New Roman" w:hAnsi="Times New Roman" w:cs="Times New Roman"/>
        </w:rPr>
        <w:t>2015</w:t>
      </w:r>
      <w:r w:rsidR="00613C8F" w:rsidRPr="00DC6757">
        <w:rPr>
          <w:rFonts w:ascii="Times New Roman" w:hAnsi="Times New Roman" w:cs="Times New Roman"/>
        </w:rPr>
        <w:t>,</w:t>
      </w:r>
      <w:r w:rsidR="0088316A" w:rsidRPr="00DC6757">
        <w:rPr>
          <w:rFonts w:ascii="Times New Roman" w:hAnsi="Times New Roman" w:cs="Times New Roman"/>
        </w:rPr>
        <w:t>.</w:t>
      </w:r>
      <w:proofErr w:type="gramEnd"/>
      <w:r w:rsidR="0088316A" w:rsidRPr="00DC6757">
        <w:rPr>
          <w:rFonts w:ascii="Times New Roman" w:hAnsi="Times New Roman" w:cs="Times New Roman"/>
        </w:rPr>
        <w:t xml:space="preserve"> In addition, the theory can</w:t>
      </w:r>
      <w:r w:rsidR="00DC6757">
        <w:rPr>
          <w:rFonts w:ascii="Times New Roman" w:hAnsi="Times New Roman" w:cs="Times New Roman"/>
        </w:rPr>
        <w:t xml:space="preserve"> </w:t>
      </w:r>
      <w:r w:rsidR="006E6B9E" w:rsidRPr="00DC6757">
        <w:rPr>
          <w:rFonts w:ascii="Times New Roman" w:hAnsi="Times New Roman" w:cs="Times New Roman"/>
        </w:rPr>
        <w:t xml:space="preserve">be used to </w:t>
      </w:r>
      <w:r w:rsidR="00DE00E5" w:rsidRPr="00DC6757">
        <w:rPr>
          <w:rFonts w:ascii="Times New Roman" w:hAnsi="Times New Roman" w:cs="Times New Roman"/>
        </w:rPr>
        <w:t xml:space="preserve">model </w:t>
      </w:r>
      <w:r w:rsidR="006E6B9E" w:rsidRPr="00DC6757">
        <w:rPr>
          <w:rFonts w:ascii="Times New Roman" w:hAnsi="Times New Roman" w:cs="Times New Roman"/>
        </w:rPr>
        <w:t xml:space="preserve">effects of chemicals on </w:t>
      </w:r>
      <w:r w:rsidR="00984C56" w:rsidRPr="00DC6757">
        <w:rPr>
          <w:rFonts w:ascii="Times New Roman" w:hAnsi="Times New Roman" w:cs="Times New Roman"/>
        </w:rPr>
        <w:t>individual organisms</w:t>
      </w:r>
      <w:r w:rsidR="006E6B9E" w:rsidRPr="00DC6757">
        <w:rPr>
          <w:rFonts w:ascii="Times New Roman" w:hAnsi="Times New Roman" w:cs="Times New Roman"/>
        </w:rPr>
        <w:t xml:space="preserve"> (e.g. Jager et al.</w:t>
      </w:r>
      <w:r w:rsidR="00093566" w:rsidRPr="00DC6757">
        <w:rPr>
          <w:rFonts w:ascii="Times New Roman" w:hAnsi="Times New Roman" w:cs="Times New Roman"/>
        </w:rPr>
        <w:t xml:space="preserve"> 2011, 2006</w:t>
      </w:r>
      <w:r w:rsidR="0088316A" w:rsidRPr="00DC6757">
        <w:rPr>
          <w:rFonts w:ascii="Times New Roman" w:hAnsi="Times New Roman" w:cs="Times New Roman"/>
        </w:rPr>
        <w:t xml:space="preserve"> Muller et al 2010</w:t>
      </w:r>
      <w:r w:rsidR="00093566" w:rsidRPr="00DC6757">
        <w:rPr>
          <w:rFonts w:ascii="Times New Roman" w:hAnsi="Times New Roman" w:cs="Times New Roman"/>
        </w:rPr>
        <w:t>)</w:t>
      </w:r>
      <w:r w:rsidR="0088316A" w:rsidRPr="00DC6757">
        <w:rPr>
          <w:rFonts w:ascii="Times New Roman" w:hAnsi="Times New Roman" w:cs="Times New Roman"/>
        </w:rPr>
        <w:t>, as well as impacts of other environmental drivers and stressors in a single integrative modeling framework (</w:t>
      </w:r>
      <w:proofErr w:type="spellStart"/>
      <w:r w:rsidR="0088316A" w:rsidRPr="00DC6757">
        <w:rPr>
          <w:rFonts w:ascii="Times New Roman" w:hAnsi="Times New Roman" w:cs="Times New Roman"/>
        </w:rPr>
        <w:t>e.g</w:t>
      </w:r>
      <w:proofErr w:type="spellEnd"/>
      <w:r w:rsidR="00DC6757">
        <w:rPr>
          <w:rFonts w:ascii="Times New Roman" w:hAnsi="Times New Roman" w:cs="Times New Roman"/>
        </w:rPr>
        <w:t xml:space="preserve"> </w:t>
      </w:r>
      <w:r w:rsidR="00171DBF" w:rsidRPr="00DC6757">
        <w:rPr>
          <w:rFonts w:ascii="Times New Roman" w:hAnsi="Times New Roman" w:cs="Times New Roman"/>
        </w:rPr>
        <w:t>Muller and Nisbet, 2014; Pieters et al. 2006)</w:t>
      </w:r>
      <w:r w:rsidR="006E6B9E" w:rsidRPr="00DC6757">
        <w:rPr>
          <w:rFonts w:ascii="Times New Roman" w:hAnsi="Times New Roman" w:cs="Times New Roman"/>
        </w:rPr>
        <w:t xml:space="preserve"> Moreover, the approach offers the possibility to extrapolate population and highe</w:t>
      </w:r>
      <w:r w:rsidR="00093566" w:rsidRPr="00DC6757">
        <w:rPr>
          <w:rFonts w:ascii="Times New Roman" w:hAnsi="Times New Roman" w:cs="Times New Roman"/>
        </w:rPr>
        <w:t>r</w:t>
      </w:r>
      <w:r w:rsidR="00DE00E5" w:rsidRPr="00DC6757">
        <w:rPr>
          <w:rFonts w:ascii="Times New Roman" w:hAnsi="Times New Roman" w:cs="Times New Roman"/>
        </w:rPr>
        <w:t>-</w:t>
      </w:r>
      <w:r w:rsidR="006E6B9E" w:rsidRPr="00DC6757">
        <w:rPr>
          <w:rFonts w:ascii="Times New Roman" w:hAnsi="Times New Roman" w:cs="Times New Roman"/>
        </w:rPr>
        <w:t xml:space="preserve"> level dynamics from individual level energy budget by the means of </w:t>
      </w:r>
      <w:r w:rsidR="006E6B9E" w:rsidRPr="00DC6757">
        <w:rPr>
          <w:rFonts w:ascii="Times New Roman" w:hAnsi="Times New Roman" w:cs="Times New Roman"/>
        </w:rPr>
        <w:lastRenderedPageBreak/>
        <w:t>individual based modeling (Martin et al. 2013</w:t>
      </w:r>
      <w:r w:rsidR="007B4E7F" w:rsidRPr="00DC6757">
        <w:rPr>
          <w:rFonts w:ascii="Times New Roman" w:hAnsi="Times New Roman" w:cs="Times New Roman"/>
        </w:rPr>
        <w:t>a</w:t>
      </w:r>
      <w:r w:rsidR="00A42D70" w:rsidRPr="00DC6757">
        <w:rPr>
          <w:rFonts w:ascii="Times New Roman" w:hAnsi="Times New Roman" w:cs="Times New Roman"/>
        </w:rPr>
        <w:t>, 2014</w:t>
      </w:r>
      <w:r w:rsidR="006E6B9E" w:rsidRPr="00DC6757">
        <w:rPr>
          <w:rFonts w:ascii="Times New Roman" w:hAnsi="Times New Roman" w:cs="Times New Roman"/>
        </w:rPr>
        <w:t>, Gergs et al</w:t>
      </w:r>
      <w:r w:rsidR="0053083E" w:rsidRPr="00DC6757">
        <w:rPr>
          <w:rFonts w:ascii="Times New Roman" w:hAnsi="Times New Roman" w:cs="Times New Roman"/>
        </w:rPr>
        <w:t>.</w:t>
      </w:r>
      <w:r w:rsidR="006E6B9E" w:rsidRPr="00DC6757">
        <w:rPr>
          <w:rFonts w:ascii="Times New Roman" w:hAnsi="Times New Roman" w:cs="Times New Roman"/>
        </w:rPr>
        <w:t xml:space="preserve"> 2014, 2016)</w:t>
      </w:r>
      <w:r w:rsidR="00DE00E5" w:rsidRPr="00DC6757">
        <w:rPr>
          <w:rFonts w:ascii="Times New Roman" w:hAnsi="Times New Roman" w:cs="Times New Roman"/>
        </w:rPr>
        <w:t>.</w:t>
      </w:r>
      <w:r w:rsidR="00DC6757">
        <w:rPr>
          <w:rFonts w:ascii="Times New Roman" w:hAnsi="Times New Roman" w:cs="Times New Roman"/>
        </w:rPr>
        <w:t xml:space="preserve"> </w:t>
      </w:r>
      <w:r w:rsidR="00DE00E5" w:rsidRPr="00DC6757">
        <w:rPr>
          <w:rFonts w:ascii="Times New Roman" w:hAnsi="Times New Roman" w:cs="Times New Roman"/>
        </w:rPr>
        <w:t>This suggests that there is potential to</w:t>
      </w:r>
      <w:r w:rsidR="006E6B9E" w:rsidRPr="00DC6757">
        <w:rPr>
          <w:rFonts w:ascii="Times New Roman" w:hAnsi="Times New Roman" w:cs="Times New Roman"/>
        </w:rPr>
        <w:t xml:space="preserve"> provid</w:t>
      </w:r>
      <w:r w:rsidR="00DE00E5" w:rsidRPr="00DC6757">
        <w:rPr>
          <w:rFonts w:ascii="Times New Roman" w:hAnsi="Times New Roman" w:cs="Times New Roman"/>
        </w:rPr>
        <w:t>e</w:t>
      </w:r>
      <w:r w:rsidR="006E6B9E" w:rsidRPr="00DC6757">
        <w:rPr>
          <w:rFonts w:ascii="Times New Roman" w:hAnsi="Times New Roman" w:cs="Times New Roman"/>
        </w:rPr>
        <w:t xml:space="preserve"> a connection </w:t>
      </w:r>
      <w:r w:rsidR="00984C56" w:rsidRPr="00DC6757">
        <w:rPr>
          <w:rFonts w:ascii="Times New Roman" w:hAnsi="Times New Roman" w:cs="Times New Roman"/>
        </w:rPr>
        <w:t>from an</w:t>
      </w:r>
      <w:r w:rsidR="006E6B9E" w:rsidRPr="00DC6757">
        <w:rPr>
          <w:rFonts w:ascii="Times New Roman" w:hAnsi="Times New Roman" w:cs="Times New Roman"/>
        </w:rPr>
        <w:t xml:space="preserve"> AOP </w:t>
      </w:r>
      <w:r w:rsidR="00984C56" w:rsidRPr="00DC6757">
        <w:rPr>
          <w:rFonts w:ascii="Times New Roman" w:hAnsi="Times New Roman" w:cs="Times New Roman"/>
        </w:rPr>
        <w:t>to ecological</w:t>
      </w:r>
      <w:r w:rsidR="00DE00E5" w:rsidRPr="00DC6757">
        <w:rPr>
          <w:rFonts w:ascii="Times New Roman" w:hAnsi="Times New Roman" w:cs="Times New Roman"/>
        </w:rPr>
        <w:t>ly important</w:t>
      </w:r>
      <w:r w:rsidR="00984C56" w:rsidRPr="00DC6757">
        <w:rPr>
          <w:rFonts w:ascii="Times New Roman" w:hAnsi="Times New Roman" w:cs="Times New Roman"/>
        </w:rPr>
        <w:t xml:space="preserve"> levels of organization, but only if </w:t>
      </w:r>
      <w:r w:rsidR="00A42D70" w:rsidRPr="00DC6757">
        <w:rPr>
          <w:rFonts w:ascii="Times New Roman" w:hAnsi="Times New Roman" w:cs="Times New Roman"/>
        </w:rPr>
        <w:t xml:space="preserve">we have some quantitative approach for relating </w:t>
      </w:r>
      <w:proofErr w:type="spellStart"/>
      <w:r w:rsidR="00A42D70" w:rsidRPr="00DC6757">
        <w:rPr>
          <w:rFonts w:ascii="Times New Roman" w:hAnsi="Times New Roman" w:cs="Times New Roman"/>
        </w:rPr>
        <w:t>q</w:t>
      </w:r>
      <w:r w:rsidR="006E6B9E" w:rsidRPr="00DC6757">
        <w:rPr>
          <w:rFonts w:ascii="Times New Roman" w:hAnsi="Times New Roman" w:cs="Times New Roman"/>
        </w:rPr>
        <w:t>AOP</w:t>
      </w:r>
      <w:proofErr w:type="spellEnd"/>
      <w:r w:rsidR="006E6B9E" w:rsidRPr="00DC6757">
        <w:rPr>
          <w:rFonts w:ascii="Times New Roman" w:hAnsi="Times New Roman" w:cs="Times New Roman"/>
        </w:rPr>
        <w:t xml:space="preserve"> </w:t>
      </w:r>
      <w:r w:rsidR="00A42D70" w:rsidRPr="00DC6757">
        <w:rPr>
          <w:rFonts w:ascii="Times New Roman" w:hAnsi="Times New Roman" w:cs="Times New Roman"/>
        </w:rPr>
        <w:t xml:space="preserve">and </w:t>
      </w:r>
      <w:r w:rsidR="006E6B9E" w:rsidRPr="00DC6757">
        <w:rPr>
          <w:rFonts w:ascii="Times New Roman" w:hAnsi="Times New Roman" w:cs="Times New Roman"/>
        </w:rPr>
        <w:t>DEB model</w:t>
      </w:r>
      <w:r w:rsidR="00A42D70" w:rsidRPr="00DC6757">
        <w:rPr>
          <w:rFonts w:ascii="Times New Roman" w:hAnsi="Times New Roman" w:cs="Times New Roman"/>
        </w:rPr>
        <w:t>s</w:t>
      </w:r>
      <w:r w:rsidR="006E6B9E" w:rsidRPr="00DC6757">
        <w:rPr>
          <w:rFonts w:ascii="Times New Roman" w:hAnsi="Times New Roman" w:cs="Times New Roman"/>
        </w:rPr>
        <w:t>.</w:t>
      </w:r>
    </w:p>
    <w:p w14:paraId="7B6AAED8" w14:textId="77777777" w:rsidR="00984C56" w:rsidRPr="00DC6757" w:rsidRDefault="00984C56" w:rsidP="0053083E">
      <w:pPr>
        <w:pStyle w:val="NoSpacing"/>
        <w:spacing w:line="480" w:lineRule="auto"/>
        <w:ind w:firstLine="720"/>
        <w:jc w:val="both"/>
        <w:rPr>
          <w:rFonts w:ascii="Times New Roman" w:hAnsi="Times New Roman" w:cs="Times New Roman"/>
          <w:sz w:val="24"/>
          <w:szCs w:val="24"/>
        </w:rPr>
      </w:pPr>
      <w:r w:rsidRPr="00DC6757">
        <w:rPr>
          <w:rFonts w:ascii="Times New Roman" w:hAnsi="Times New Roman" w:cs="Times New Roman"/>
          <w:sz w:val="24"/>
          <w:szCs w:val="24"/>
        </w:rPr>
        <w:t xml:space="preserve">Kooijman’s DEB theory captures the metabolic dynamics of an individual organism through its entire life-cycle, be it ectothermic or endothermic, autotrophic or heterotrophic, and is explicitly tied to food/substrate availability and temperature. </w:t>
      </w:r>
      <w:r w:rsidR="005A5F62" w:rsidRPr="00DC6757">
        <w:rPr>
          <w:rFonts w:ascii="Times New Roman" w:hAnsi="Times New Roman" w:cs="Times New Roman"/>
          <w:sz w:val="24"/>
          <w:szCs w:val="24"/>
          <w:lang w:val="en-US"/>
        </w:rPr>
        <w:t>T</w:t>
      </w:r>
      <w:r w:rsidRPr="00DC6757">
        <w:rPr>
          <w:rFonts w:ascii="Times New Roman" w:hAnsi="Times New Roman" w:cs="Times New Roman"/>
          <w:sz w:val="24"/>
          <w:szCs w:val="24"/>
        </w:rPr>
        <w:t xml:space="preserve">he life cycle of an individual </w:t>
      </w:r>
      <w:r w:rsidR="005A5F62" w:rsidRPr="00DC6757">
        <w:rPr>
          <w:rFonts w:ascii="Times New Roman" w:hAnsi="Times New Roman" w:cs="Times New Roman"/>
          <w:sz w:val="24"/>
          <w:szCs w:val="24"/>
          <w:lang w:val="en-US"/>
        </w:rPr>
        <w:t>is</w:t>
      </w:r>
      <w:r w:rsidRPr="00DC6757">
        <w:rPr>
          <w:rFonts w:ascii="Times New Roman" w:hAnsi="Times New Roman" w:cs="Times New Roman"/>
          <w:sz w:val="24"/>
          <w:szCs w:val="24"/>
        </w:rPr>
        <w:t xml:space="preserve"> </w:t>
      </w:r>
      <w:r w:rsidR="005A5F62" w:rsidRPr="00DC6757">
        <w:rPr>
          <w:rFonts w:ascii="Times New Roman" w:hAnsi="Times New Roman" w:cs="Times New Roman"/>
          <w:sz w:val="24"/>
          <w:szCs w:val="24"/>
          <w:lang w:val="en-US"/>
        </w:rPr>
        <w:t xml:space="preserve">the </w:t>
      </w:r>
      <w:r w:rsidRPr="00DC6757">
        <w:rPr>
          <w:rFonts w:ascii="Times New Roman" w:hAnsi="Times New Roman" w:cs="Times New Roman"/>
          <w:sz w:val="24"/>
          <w:szCs w:val="24"/>
        </w:rPr>
        <w:t xml:space="preserve">primary focus, from which sub- and supra-organismic levels are considered. Thus, DEB theory </w:t>
      </w:r>
      <w:r w:rsidR="005A5F62" w:rsidRPr="00DC6757">
        <w:rPr>
          <w:rFonts w:ascii="Times New Roman" w:hAnsi="Times New Roman" w:cs="Times New Roman"/>
          <w:sz w:val="24"/>
          <w:szCs w:val="24"/>
          <w:lang w:val="en-US"/>
        </w:rPr>
        <w:t xml:space="preserve">can serve </w:t>
      </w:r>
      <w:r w:rsidRPr="00DC6757">
        <w:rPr>
          <w:rFonts w:ascii="Times New Roman" w:hAnsi="Times New Roman" w:cs="Times New Roman"/>
          <w:sz w:val="24"/>
          <w:szCs w:val="24"/>
        </w:rPr>
        <w:t>as a pivotal framework for building process-based models that link molecular, cellular, and tissue level responses to apical endpoints, such as survival, growth, and reproduction</w:t>
      </w:r>
      <w:r w:rsidR="00133BFA" w:rsidRPr="00DC6757">
        <w:rPr>
          <w:rFonts w:ascii="Times New Roman" w:hAnsi="Times New Roman" w:cs="Times New Roman"/>
          <w:sz w:val="24"/>
          <w:szCs w:val="24"/>
          <w:lang w:val="en-US"/>
        </w:rPr>
        <w:t xml:space="preserve"> (Murphy et al</w:t>
      </w:r>
      <w:r w:rsidR="00F124B9" w:rsidRPr="00DC6757">
        <w:rPr>
          <w:rFonts w:ascii="Times New Roman" w:hAnsi="Times New Roman" w:cs="Times New Roman"/>
          <w:sz w:val="24"/>
          <w:szCs w:val="24"/>
          <w:lang w:val="en-US"/>
        </w:rPr>
        <w:t>.</w:t>
      </w:r>
      <w:r w:rsidR="00133BFA" w:rsidRPr="00DC6757">
        <w:rPr>
          <w:rFonts w:ascii="Times New Roman" w:hAnsi="Times New Roman" w:cs="Times New Roman"/>
          <w:sz w:val="24"/>
          <w:szCs w:val="24"/>
          <w:lang w:val="en-US"/>
        </w:rPr>
        <w:t xml:space="preserve"> 2017</w:t>
      </w:r>
      <w:r w:rsidR="005A5F62" w:rsidRPr="00DC6757">
        <w:rPr>
          <w:rFonts w:ascii="Times New Roman" w:hAnsi="Times New Roman" w:cs="Times New Roman"/>
          <w:sz w:val="24"/>
          <w:szCs w:val="24"/>
          <w:lang w:val="en-US"/>
        </w:rPr>
        <w:t>)</w:t>
      </w:r>
      <w:r w:rsidRPr="00DC6757">
        <w:rPr>
          <w:rFonts w:ascii="Times New Roman" w:hAnsi="Times New Roman" w:cs="Times New Roman"/>
          <w:sz w:val="24"/>
          <w:szCs w:val="24"/>
        </w:rPr>
        <w:t>,</w:t>
      </w:r>
      <w:r w:rsidR="00DB6ADD" w:rsidRPr="00DC6757">
        <w:rPr>
          <w:rFonts w:ascii="Times New Roman" w:hAnsi="Times New Roman" w:cs="Times New Roman"/>
          <w:sz w:val="24"/>
          <w:szCs w:val="24"/>
          <w:lang w:val="en-US"/>
        </w:rPr>
        <w:t xml:space="preserve"> and</w:t>
      </w:r>
      <w:r w:rsidRPr="00DC6757">
        <w:rPr>
          <w:rFonts w:ascii="Times New Roman" w:hAnsi="Times New Roman" w:cs="Times New Roman"/>
          <w:sz w:val="24"/>
          <w:szCs w:val="24"/>
        </w:rPr>
        <w:t xml:space="preserve"> subsequently to those at higher levels of ecological organization</w:t>
      </w:r>
      <w:r w:rsidR="00DB6ADD" w:rsidRPr="00DC6757">
        <w:rPr>
          <w:rFonts w:ascii="Times New Roman" w:hAnsi="Times New Roman" w:cs="Times New Roman"/>
          <w:sz w:val="24"/>
          <w:szCs w:val="24"/>
          <w:lang w:val="en-US"/>
        </w:rPr>
        <w:t xml:space="preserve"> (Martin et a</w:t>
      </w:r>
      <w:r w:rsidR="00AB0F62" w:rsidRPr="00DC6757">
        <w:rPr>
          <w:rFonts w:ascii="Times New Roman" w:hAnsi="Times New Roman" w:cs="Times New Roman"/>
          <w:sz w:val="24"/>
          <w:szCs w:val="24"/>
          <w:lang w:val="en-US"/>
        </w:rPr>
        <w:t>l</w:t>
      </w:r>
      <w:r w:rsidR="00F124B9" w:rsidRPr="00DC6757">
        <w:rPr>
          <w:rFonts w:ascii="Times New Roman" w:hAnsi="Times New Roman" w:cs="Times New Roman"/>
          <w:sz w:val="24"/>
          <w:szCs w:val="24"/>
          <w:lang w:val="en-US"/>
        </w:rPr>
        <w:t>.</w:t>
      </w:r>
      <w:r w:rsidR="00AB0F62" w:rsidRPr="00DC6757">
        <w:rPr>
          <w:rFonts w:ascii="Times New Roman" w:hAnsi="Times New Roman" w:cs="Times New Roman"/>
          <w:sz w:val="24"/>
          <w:szCs w:val="24"/>
          <w:lang w:val="en-US"/>
        </w:rPr>
        <w:t xml:space="preserve"> 2013a,2013b; Forbes et al</w:t>
      </w:r>
      <w:r w:rsidR="00F124B9" w:rsidRPr="00DC6757">
        <w:rPr>
          <w:rFonts w:ascii="Times New Roman" w:hAnsi="Times New Roman" w:cs="Times New Roman"/>
          <w:sz w:val="24"/>
          <w:szCs w:val="24"/>
          <w:lang w:val="en-US"/>
        </w:rPr>
        <w:t>.</w:t>
      </w:r>
      <w:r w:rsidR="00AB0F62" w:rsidRPr="00DC6757">
        <w:rPr>
          <w:rFonts w:ascii="Times New Roman" w:hAnsi="Times New Roman" w:cs="Times New Roman"/>
          <w:sz w:val="24"/>
          <w:szCs w:val="24"/>
          <w:lang w:val="en-US"/>
        </w:rPr>
        <w:t xml:space="preserve"> 2017</w:t>
      </w:r>
      <w:r w:rsidR="00E56B50" w:rsidRPr="00DC6757">
        <w:rPr>
          <w:rFonts w:ascii="Times New Roman" w:hAnsi="Times New Roman" w:cs="Times New Roman"/>
          <w:sz w:val="24"/>
          <w:szCs w:val="24"/>
          <w:lang w:val="en-US"/>
        </w:rPr>
        <w:t>; Gergs et al 2014, 2016</w:t>
      </w:r>
      <w:r w:rsidR="00DB6ADD" w:rsidRPr="00DC6757">
        <w:rPr>
          <w:rFonts w:ascii="Times New Roman" w:hAnsi="Times New Roman" w:cs="Times New Roman"/>
          <w:sz w:val="24"/>
          <w:szCs w:val="24"/>
          <w:lang w:val="en-US"/>
        </w:rPr>
        <w:t>)</w:t>
      </w:r>
      <w:r w:rsidRPr="00DC6757">
        <w:rPr>
          <w:rFonts w:ascii="Times New Roman" w:hAnsi="Times New Roman" w:cs="Times New Roman"/>
          <w:sz w:val="24"/>
          <w:szCs w:val="24"/>
        </w:rPr>
        <w:t>.</w:t>
      </w:r>
    </w:p>
    <w:p w14:paraId="46C28C47" w14:textId="48A06ACB" w:rsidR="00893B32" w:rsidRPr="00DC6757" w:rsidRDefault="00DB6ADD" w:rsidP="0053083E">
      <w:pPr>
        <w:pStyle w:val="CommentText"/>
        <w:spacing w:line="480" w:lineRule="auto"/>
        <w:ind w:firstLine="720"/>
        <w:rPr>
          <w:rFonts w:ascii="Times New Roman" w:eastAsia="Times New Roman" w:hAnsi="Times New Roman" w:cs="Times New Roman"/>
          <w:lang w:eastAsia="el-GR"/>
        </w:rPr>
      </w:pPr>
      <w:r w:rsidRPr="00DC6757">
        <w:rPr>
          <w:rFonts w:ascii="Times New Roman" w:eastAsia="Times New Roman" w:hAnsi="Times New Roman" w:cs="Times New Roman"/>
          <w:lang w:eastAsia="el-GR"/>
        </w:rPr>
        <w:t xml:space="preserve">The first systematic body of work </w:t>
      </w:r>
      <w:r w:rsidR="00984C56" w:rsidRPr="00DC6757">
        <w:rPr>
          <w:rFonts w:ascii="Times New Roman" w:eastAsia="Times New Roman" w:hAnsi="Times New Roman" w:cs="Times New Roman"/>
          <w:lang w:eastAsia="el-GR"/>
        </w:rPr>
        <w:t>using DEB models to interpreting toxicity data</w:t>
      </w:r>
      <w:r w:rsidRPr="00DC6757">
        <w:rPr>
          <w:rFonts w:ascii="Times New Roman" w:eastAsia="Times New Roman" w:hAnsi="Times New Roman" w:cs="Times New Roman"/>
          <w:lang w:eastAsia="el-GR"/>
        </w:rPr>
        <w:t xml:space="preserve"> involved </w:t>
      </w:r>
      <w:r w:rsidR="00984C56" w:rsidRPr="00DC6757">
        <w:rPr>
          <w:rFonts w:ascii="Times New Roman" w:eastAsia="Times New Roman" w:hAnsi="Times New Roman" w:cs="Times New Roman"/>
          <w:lang w:eastAsia="el-GR"/>
        </w:rPr>
        <w:t>a suite of models (</w:t>
      </w:r>
      <w:proofErr w:type="spellStart"/>
      <w:r w:rsidR="00984C56" w:rsidRPr="00DC6757">
        <w:rPr>
          <w:rFonts w:ascii="Times New Roman" w:eastAsia="Times New Roman" w:hAnsi="Times New Roman" w:cs="Times New Roman"/>
          <w:lang w:eastAsia="el-GR"/>
        </w:rPr>
        <w:t>Kooijman</w:t>
      </w:r>
      <w:proofErr w:type="spellEnd"/>
      <w:r w:rsidR="00984C56" w:rsidRPr="00DC6757">
        <w:rPr>
          <w:rFonts w:ascii="Times New Roman" w:eastAsia="Times New Roman" w:hAnsi="Times New Roman" w:cs="Times New Roman"/>
          <w:lang w:eastAsia="el-GR"/>
        </w:rPr>
        <w:t xml:space="preserve"> and </w:t>
      </w:r>
      <w:proofErr w:type="spellStart"/>
      <w:r w:rsidR="00984C56" w:rsidRPr="00DC6757">
        <w:rPr>
          <w:rFonts w:ascii="Times New Roman" w:eastAsia="Times New Roman" w:hAnsi="Times New Roman" w:cs="Times New Roman"/>
          <w:lang w:eastAsia="el-GR"/>
        </w:rPr>
        <w:t>Bedaux</w:t>
      </w:r>
      <w:proofErr w:type="spellEnd"/>
      <w:r w:rsidR="00984C56" w:rsidRPr="00DC6757">
        <w:rPr>
          <w:rFonts w:ascii="Times New Roman" w:eastAsia="Times New Roman" w:hAnsi="Times New Roman" w:cs="Times New Roman"/>
          <w:lang w:eastAsia="el-GR"/>
        </w:rPr>
        <w:t xml:space="preserve"> 1996</w:t>
      </w:r>
      <w:r w:rsidR="009214EC" w:rsidRPr="00DC6757">
        <w:rPr>
          <w:rFonts w:ascii="Times New Roman" w:eastAsia="Times New Roman" w:hAnsi="Times New Roman" w:cs="Times New Roman"/>
          <w:lang w:eastAsia="el-GR"/>
        </w:rPr>
        <w:t>)</w:t>
      </w:r>
      <w:r w:rsidR="00DE00E5" w:rsidRPr="00DC6757">
        <w:rPr>
          <w:rFonts w:ascii="Times New Roman" w:eastAsia="Times New Roman" w:hAnsi="Times New Roman" w:cs="Times New Roman"/>
          <w:lang w:eastAsia="el-GR"/>
        </w:rPr>
        <w:t xml:space="preserve"> that</w:t>
      </w:r>
      <w:r w:rsidR="006130F4" w:rsidRPr="00DC6757">
        <w:rPr>
          <w:rFonts w:ascii="Times New Roman" w:eastAsia="Times New Roman" w:hAnsi="Times New Roman" w:cs="Times New Roman"/>
          <w:lang w:eastAsia="el-GR"/>
        </w:rPr>
        <w:t xml:space="preserve"> established methodology for </w:t>
      </w:r>
      <w:r w:rsidR="006C26B0" w:rsidRPr="00DC6757">
        <w:rPr>
          <w:rFonts w:ascii="Times New Roman" w:eastAsia="Times New Roman" w:hAnsi="Times New Roman" w:cs="Times New Roman"/>
          <w:lang w:eastAsia="el-GR"/>
        </w:rPr>
        <w:t>using information from standardized toxicity tests to obtain biology-based measures of no-effect concentrations and other metrics that were independent of experimental protocols (see Baas et al</w:t>
      </w:r>
      <w:r w:rsidR="005D53E5" w:rsidRPr="00DC6757">
        <w:rPr>
          <w:rFonts w:ascii="Times New Roman" w:eastAsia="Times New Roman" w:hAnsi="Times New Roman" w:cs="Times New Roman"/>
          <w:lang w:eastAsia="el-GR"/>
        </w:rPr>
        <w:t>.</w:t>
      </w:r>
      <w:r w:rsidR="006C26B0" w:rsidRPr="00DC6757">
        <w:rPr>
          <w:rFonts w:ascii="Times New Roman" w:eastAsia="Times New Roman" w:hAnsi="Times New Roman" w:cs="Times New Roman"/>
          <w:lang w:eastAsia="el-GR"/>
        </w:rPr>
        <w:t xml:space="preserve"> 2010).</w:t>
      </w:r>
      <w:r w:rsidR="00DC6757">
        <w:rPr>
          <w:rFonts w:ascii="Times New Roman" w:eastAsia="Times New Roman" w:hAnsi="Times New Roman" w:cs="Times New Roman"/>
          <w:lang w:eastAsia="el-GR"/>
        </w:rPr>
        <w:t xml:space="preserve"> </w:t>
      </w:r>
      <w:r w:rsidR="006C26B0" w:rsidRPr="00DC6757">
        <w:rPr>
          <w:rFonts w:ascii="Times New Roman" w:eastAsia="Times New Roman" w:hAnsi="Times New Roman" w:cs="Times New Roman"/>
          <w:lang w:eastAsia="el-GR"/>
        </w:rPr>
        <w:t xml:space="preserve">Wider applications of the approach, now generally called </w:t>
      </w:r>
      <w:proofErr w:type="spellStart"/>
      <w:r w:rsidR="00984C56" w:rsidRPr="00DC6757">
        <w:rPr>
          <w:rFonts w:ascii="Times New Roman" w:eastAsia="Times New Roman" w:hAnsi="Times New Roman" w:cs="Times New Roman"/>
          <w:lang w:eastAsia="el-GR"/>
        </w:rPr>
        <w:t>DEBtox</w:t>
      </w:r>
      <w:proofErr w:type="spellEnd"/>
      <w:r w:rsidR="008E6627" w:rsidRPr="00DC6757">
        <w:rPr>
          <w:rFonts w:ascii="Times New Roman" w:eastAsia="Times New Roman" w:hAnsi="Times New Roman" w:cs="Times New Roman"/>
          <w:lang w:eastAsia="el-GR"/>
        </w:rPr>
        <w:t xml:space="preserve"> (for a</w:t>
      </w:r>
      <w:r w:rsidR="00382F8A" w:rsidRPr="00DC6757">
        <w:rPr>
          <w:rFonts w:ascii="Times New Roman" w:eastAsia="Times New Roman" w:hAnsi="Times New Roman" w:cs="Times New Roman"/>
          <w:lang w:eastAsia="el-GR"/>
        </w:rPr>
        <w:t xml:space="preserve"> freely available </w:t>
      </w:r>
      <w:r w:rsidR="00673082" w:rsidRPr="00DC6757">
        <w:rPr>
          <w:rFonts w:ascii="Times New Roman" w:eastAsia="Times New Roman" w:hAnsi="Times New Roman" w:cs="Times New Roman"/>
          <w:lang w:eastAsia="el-GR"/>
        </w:rPr>
        <w:t xml:space="preserve">introduction, see </w:t>
      </w:r>
      <w:r w:rsidR="00673082" w:rsidRPr="00DC6757">
        <w:rPr>
          <w:rFonts w:ascii="Times New Roman" w:hAnsi="Times New Roman" w:cs="Times New Roman"/>
        </w:rPr>
        <w:t>https://leanpub.com/debtox_book)</w:t>
      </w:r>
      <w:r w:rsidR="008E6627" w:rsidRPr="00DC6757">
        <w:rPr>
          <w:rFonts w:ascii="Times New Roman" w:eastAsia="Times New Roman" w:hAnsi="Times New Roman" w:cs="Times New Roman"/>
          <w:lang w:eastAsia="el-GR"/>
        </w:rPr>
        <w:t xml:space="preserve"> </w:t>
      </w:r>
      <w:r w:rsidR="006C26B0" w:rsidRPr="00DC6757">
        <w:rPr>
          <w:rFonts w:ascii="Times New Roman" w:eastAsia="Times New Roman" w:hAnsi="Times New Roman" w:cs="Times New Roman"/>
          <w:lang w:eastAsia="el-GR"/>
        </w:rPr>
        <w:t>followed</w:t>
      </w:r>
      <w:r w:rsidR="00DE00E5" w:rsidRPr="00DC6757">
        <w:rPr>
          <w:rFonts w:ascii="Times New Roman" w:eastAsia="Times New Roman" w:hAnsi="Times New Roman" w:cs="Times New Roman"/>
          <w:lang w:eastAsia="el-GR"/>
        </w:rPr>
        <w:t xml:space="preserve">, as well as an OECD Guidance document </w:t>
      </w:r>
      <w:r w:rsidR="00B2298C" w:rsidRPr="00DC6757">
        <w:rPr>
          <w:rFonts w:ascii="Times New Roman" w:eastAsia="Times New Roman" w:hAnsi="Times New Roman" w:cs="Times New Roman"/>
          <w:lang w:eastAsia="el-GR"/>
        </w:rPr>
        <w:t>(OECD, 2006)</w:t>
      </w:r>
      <w:r w:rsidR="006C26B0" w:rsidRPr="00DC6757">
        <w:rPr>
          <w:rFonts w:ascii="Times New Roman" w:eastAsia="Times New Roman" w:hAnsi="Times New Roman" w:cs="Times New Roman"/>
          <w:lang w:eastAsia="el-GR"/>
        </w:rPr>
        <w:t>.</w:t>
      </w:r>
      <w:r w:rsidR="00DC6757">
        <w:rPr>
          <w:rFonts w:ascii="Times New Roman" w:eastAsia="Times New Roman" w:hAnsi="Times New Roman" w:cs="Times New Roman"/>
          <w:lang w:eastAsia="el-GR"/>
        </w:rPr>
        <w:t xml:space="preserve"> </w:t>
      </w:r>
      <w:r w:rsidR="00C20404" w:rsidRPr="00DC6757">
        <w:rPr>
          <w:rFonts w:ascii="Times New Roman" w:eastAsia="Times New Roman" w:hAnsi="Times New Roman" w:cs="Times New Roman"/>
          <w:lang w:eastAsia="el-GR"/>
        </w:rPr>
        <w:t xml:space="preserve">However, this guidance document appears to be the extent of the incorporation of DEB into regulatory </w:t>
      </w:r>
      <w:r w:rsidR="008E6627" w:rsidRPr="00DC6757">
        <w:rPr>
          <w:rFonts w:ascii="Times New Roman" w:eastAsia="Times New Roman" w:hAnsi="Times New Roman" w:cs="Times New Roman"/>
          <w:lang w:eastAsia="el-GR"/>
        </w:rPr>
        <w:t>practices to date</w:t>
      </w:r>
      <w:r w:rsidR="00C20404" w:rsidRPr="00DC6757">
        <w:rPr>
          <w:rFonts w:ascii="Times New Roman" w:eastAsia="Times New Roman" w:hAnsi="Times New Roman" w:cs="Times New Roman"/>
          <w:lang w:eastAsia="el-GR"/>
        </w:rPr>
        <w:t>.</w:t>
      </w:r>
      <w:r w:rsidR="006C26B0" w:rsidRPr="00DC6757">
        <w:rPr>
          <w:rFonts w:ascii="Times New Roman" w:eastAsia="Times New Roman" w:hAnsi="Times New Roman" w:cs="Times New Roman"/>
          <w:lang w:eastAsia="el-GR"/>
        </w:rPr>
        <w:t xml:space="preserve"> </w:t>
      </w:r>
    </w:p>
    <w:p w14:paraId="308C6AB8" w14:textId="398B5EC5" w:rsidR="0015249E" w:rsidRPr="00DC6757" w:rsidRDefault="00133BFA" w:rsidP="0053083E">
      <w:pPr>
        <w:pStyle w:val="CommentText"/>
        <w:spacing w:line="480" w:lineRule="auto"/>
        <w:ind w:firstLine="720"/>
        <w:rPr>
          <w:rFonts w:ascii="Times New Roman" w:hAnsi="Times New Roman" w:cs="Times New Roman"/>
          <w:lang w:eastAsia="el-GR"/>
        </w:rPr>
      </w:pPr>
      <w:r w:rsidRPr="00DC6757">
        <w:rPr>
          <w:rFonts w:ascii="Times New Roman" w:eastAsia="Times New Roman" w:hAnsi="Times New Roman" w:cs="Times New Roman"/>
          <w:lang w:eastAsia="el-GR"/>
        </w:rPr>
        <w:t>The k</w:t>
      </w:r>
      <w:r w:rsidR="006C26B0" w:rsidRPr="00DC6757">
        <w:rPr>
          <w:rFonts w:ascii="Times New Roman" w:eastAsia="Times New Roman" w:hAnsi="Times New Roman" w:cs="Times New Roman"/>
          <w:lang w:eastAsia="el-GR"/>
        </w:rPr>
        <w:t xml:space="preserve">ey to </w:t>
      </w:r>
      <w:proofErr w:type="spellStart"/>
      <w:r w:rsidR="00B340FE" w:rsidRPr="00DC6757">
        <w:rPr>
          <w:rFonts w:ascii="Times New Roman" w:eastAsia="Times New Roman" w:hAnsi="Times New Roman" w:cs="Times New Roman"/>
          <w:lang w:eastAsia="el-GR"/>
        </w:rPr>
        <w:t>DEBtox</w:t>
      </w:r>
      <w:proofErr w:type="spellEnd"/>
      <w:r w:rsidR="006C26B0" w:rsidRPr="00DC6757">
        <w:rPr>
          <w:rFonts w:ascii="Times New Roman" w:eastAsia="Times New Roman" w:hAnsi="Times New Roman" w:cs="Times New Roman"/>
          <w:lang w:eastAsia="el-GR"/>
        </w:rPr>
        <w:t xml:space="preserve"> is the</w:t>
      </w:r>
      <w:r w:rsidR="00984C56" w:rsidRPr="00DC6757">
        <w:rPr>
          <w:rFonts w:ascii="Times New Roman" w:eastAsia="Times New Roman" w:hAnsi="Times New Roman" w:cs="Times New Roman"/>
          <w:lang w:eastAsia="el-GR"/>
        </w:rPr>
        <w:t xml:space="preserve"> concept of </w:t>
      </w:r>
      <w:r w:rsidR="006C26B0" w:rsidRPr="00DC6757">
        <w:rPr>
          <w:rFonts w:ascii="Times New Roman" w:eastAsia="Times New Roman" w:hAnsi="Times New Roman" w:cs="Times New Roman"/>
          <w:lang w:eastAsia="el-GR"/>
        </w:rPr>
        <w:t>“</w:t>
      </w:r>
      <w:r w:rsidR="00984C56" w:rsidRPr="00DC6757">
        <w:rPr>
          <w:rFonts w:ascii="Times New Roman" w:eastAsia="Times New Roman" w:hAnsi="Times New Roman" w:cs="Times New Roman"/>
          <w:lang w:eastAsia="el-GR"/>
        </w:rPr>
        <w:t>physiological mode of action</w:t>
      </w:r>
      <w:r w:rsidR="006C26B0" w:rsidRPr="00DC6757">
        <w:rPr>
          <w:rFonts w:ascii="Times New Roman" w:eastAsia="Times New Roman" w:hAnsi="Times New Roman" w:cs="Times New Roman"/>
          <w:lang w:eastAsia="el-GR"/>
        </w:rPr>
        <w:t xml:space="preserve">” </w:t>
      </w:r>
      <w:r w:rsidR="0015249E" w:rsidRPr="00DC6757">
        <w:rPr>
          <w:rFonts w:ascii="Times New Roman" w:eastAsia="Times New Roman" w:hAnsi="Times New Roman" w:cs="Times New Roman"/>
          <w:lang w:eastAsia="el-GR"/>
        </w:rPr>
        <w:t>(</w:t>
      </w:r>
      <w:proofErr w:type="spellStart"/>
      <w:r w:rsidR="0015249E" w:rsidRPr="00DC6757">
        <w:rPr>
          <w:rFonts w:ascii="Times New Roman" w:eastAsia="Times New Roman" w:hAnsi="Times New Roman" w:cs="Times New Roman"/>
          <w:lang w:eastAsia="el-GR"/>
        </w:rPr>
        <w:t>PMoA</w:t>
      </w:r>
      <w:proofErr w:type="spellEnd"/>
      <w:r w:rsidR="0015249E" w:rsidRPr="00DC6757">
        <w:rPr>
          <w:rFonts w:ascii="Times New Roman" w:eastAsia="Times New Roman" w:hAnsi="Times New Roman" w:cs="Times New Roman"/>
          <w:lang w:eastAsia="el-GR"/>
        </w:rPr>
        <w:t xml:space="preserve">) </w:t>
      </w:r>
      <w:r w:rsidR="006C26B0" w:rsidRPr="00DC6757">
        <w:rPr>
          <w:rFonts w:ascii="Times New Roman" w:eastAsia="Times New Roman" w:hAnsi="Times New Roman" w:cs="Times New Roman"/>
          <w:lang w:eastAsia="el-GR"/>
        </w:rPr>
        <w:t xml:space="preserve">that </w:t>
      </w:r>
      <w:r w:rsidR="00984C56" w:rsidRPr="00DC6757">
        <w:rPr>
          <w:rFonts w:ascii="Times New Roman" w:eastAsia="Times New Roman" w:hAnsi="Times New Roman" w:cs="Times New Roman"/>
          <w:lang w:eastAsia="el-GR"/>
        </w:rPr>
        <w:t>summarizes how a</w:t>
      </w:r>
      <w:r w:rsidR="00A62ED5" w:rsidRPr="00DC6757">
        <w:rPr>
          <w:rFonts w:ascii="Times New Roman" w:eastAsia="Times New Roman" w:hAnsi="Times New Roman" w:cs="Times New Roman"/>
          <w:lang w:eastAsia="el-GR"/>
        </w:rPr>
        <w:t xml:space="preserve"> </w:t>
      </w:r>
      <w:proofErr w:type="gramStart"/>
      <w:r w:rsidR="00984C56" w:rsidRPr="00DC6757">
        <w:rPr>
          <w:rFonts w:ascii="Times New Roman" w:eastAsia="Times New Roman" w:hAnsi="Times New Roman" w:cs="Times New Roman"/>
          <w:lang w:eastAsia="el-GR"/>
        </w:rPr>
        <w:t xml:space="preserve">stressor </w:t>
      </w:r>
      <w:r w:rsidR="00DB6ADD" w:rsidRPr="00DC6757">
        <w:rPr>
          <w:rFonts w:ascii="Times New Roman" w:eastAsia="Times New Roman" w:hAnsi="Times New Roman" w:cs="Times New Roman"/>
          <w:lang w:eastAsia="el-GR"/>
        </w:rPr>
        <w:t>impacts</w:t>
      </w:r>
      <w:r w:rsidR="006C26B0" w:rsidRPr="00DC6757">
        <w:rPr>
          <w:rFonts w:ascii="Times New Roman" w:eastAsia="Times New Roman" w:hAnsi="Times New Roman" w:cs="Times New Roman"/>
          <w:lang w:eastAsia="el-GR"/>
        </w:rPr>
        <w:t xml:space="preserve"> </w:t>
      </w:r>
      <w:r w:rsidR="009214EC" w:rsidRPr="00DC6757">
        <w:rPr>
          <w:rFonts w:ascii="Times New Roman" w:eastAsia="Times New Roman" w:hAnsi="Times New Roman" w:cs="Times New Roman"/>
          <w:lang w:eastAsia="el-GR"/>
        </w:rPr>
        <w:t>parameters</w:t>
      </w:r>
      <w:proofErr w:type="gramEnd"/>
      <w:r w:rsidR="009214EC" w:rsidRPr="00DC6757">
        <w:rPr>
          <w:rFonts w:ascii="Times New Roman" w:eastAsia="Times New Roman" w:hAnsi="Times New Roman" w:cs="Times New Roman"/>
          <w:lang w:eastAsia="el-GR"/>
        </w:rPr>
        <w:t xml:space="preserve"> associated with </w:t>
      </w:r>
      <w:r w:rsidR="00984C56" w:rsidRPr="00DC6757">
        <w:rPr>
          <w:rFonts w:ascii="Times New Roman" w:eastAsia="Times New Roman" w:hAnsi="Times New Roman" w:cs="Times New Roman"/>
          <w:lang w:eastAsia="el-GR"/>
        </w:rPr>
        <w:t xml:space="preserve">processes </w:t>
      </w:r>
      <w:r w:rsidR="006C26B0" w:rsidRPr="00DC6757">
        <w:rPr>
          <w:rFonts w:ascii="Times New Roman" w:eastAsia="Times New Roman" w:hAnsi="Times New Roman" w:cs="Times New Roman"/>
          <w:lang w:eastAsia="el-GR"/>
        </w:rPr>
        <w:t>involving</w:t>
      </w:r>
      <w:r w:rsidR="00984C56" w:rsidRPr="00DC6757">
        <w:rPr>
          <w:rFonts w:ascii="Times New Roman" w:eastAsia="Times New Roman" w:hAnsi="Times New Roman" w:cs="Times New Roman"/>
          <w:lang w:eastAsia="el-GR"/>
        </w:rPr>
        <w:t xml:space="preserve"> energy </w:t>
      </w:r>
      <w:r w:rsidR="006C26B0" w:rsidRPr="00DC6757">
        <w:rPr>
          <w:rFonts w:ascii="Times New Roman" w:eastAsia="Times New Roman" w:hAnsi="Times New Roman" w:cs="Times New Roman"/>
          <w:lang w:eastAsia="el-GR"/>
        </w:rPr>
        <w:t>acquisition and utilization</w:t>
      </w:r>
      <w:r w:rsidR="00984C56" w:rsidRPr="00DC6757">
        <w:rPr>
          <w:rFonts w:ascii="Times New Roman" w:eastAsia="Times New Roman" w:hAnsi="Times New Roman" w:cs="Times New Roman"/>
          <w:lang w:eastAsia="el-GR"/>
        </w:rPr>
        <w:t xml:space="preserve">. </w:t>
      </w:r>
      <w:r w:rsidR="004E7D5E" w:rsidRPr="00DC6757">
        <w:rPr>
          <w:rFonts w:ascii="Times New Roman" w:eastAsia="Times New Roman" w:hAnsi="Times New Roman" w:cs="Times New Roman"/>
          <w:lang w:eastAsia="el-GR"/>
        </w:rPr>
        <w:t xml:space="preserve">For example, </w:t>
      </w:r>
      <w:proofErr w:type="spellStart"/>
      <w:r w:rsidR="004E7D5E" w:rsidRPr="00DC6757">
        <w:rPr>
          <w:rFonts w:ascii="Times New Roman" w:eastAsia="Times New Roman" w:hAnsi="Times New Roman" w:cs="Times New Roman"/>
          <w:lang w:eastAsia="el-GR"/>
        </w:rPr>
        <w:t>Kooijman’s</w:t>
      </w:r>
      <w:proofErr w:type="spellEnd"/>
      <w:r w:rsidR="004E7D5E" w:rsidRPr="00DC6757">
        <w:rPr>
          <w:rFonts w:ascii="Times New Roman" w:eastAsia="Times New Roman" w:hAnsi="Times New Roman" w:cs="Times New Roman"/>
          <w:lang w:eastAsia="el-GR"/>
        </w:rPr>
        <w:t xml:space="preserve"> standard model contains parameters characterizing rates of resource assimilation, maintenance, turnover of energy reserves (linked to </w:t>
      </w:r>
      <w:r w:rsidR="004E7D5E" w:rsidRPr="00DC6757">
        <w:rPr>
          <w:rFonts w:ascii="Times New Roman" w:eastAsia="Times New Roman" w:hAnsi="Times New Roman" w:cs="Times New Roman"/>
          <w:lang w:eastAsia="el-GR"/>
        </w:rPr>
        <w:lastRenderedPageBreak/>
        <w:t xml:space="preserve">homeostasis), </w:t>
      </w:r>
      <w:r w:rsidR="00C728AD" w:rsidRPr="00DC6757">
        <w:rPr>
          <w:rFonts w:ascii="Times New Roman" w:eastAsia="Times New Roman" w:hAnsi="Times New Roman" w:cs="Times New Roman"/>
          <w:lang w:eastAsia="el-GR"/>
        </w:rPr>
        <w:t xml:space="preserve">energy allocation priorities, </w:t>
      </w:r>
      <w:r w:rsidR="004E7D5E" w:rsidRPr="00DC6757">
        <w:rPr>
          <w:rFonts w:ascii="Times New Roman" w:eastAsia="Times New Roman" w:hAnsi="Times New Roman" w:cs="Times New Roman"/>
          <w:lang w:eastAsia="el-GR"/>
        </w:rPr>
        <w:t>as well as “efficiencies” or “yield coefficients” characterizing the consequences of biochemical or thermodynamic constraints.</w:t>
      </w:r>
      <w:r w:rsidR="00DC6757">
        <w:rPr>
          <w:rFonts w:ascii="Times New Roman" w:eastAsia="Times New Roman" w:hAnsi="Times New Roman" w:cs="Times New Roman"/>
          <w:lang w:eastAsia="el-GR"/>
        </w:rPr>
        <w:t xml:space="preserve"> </w:t>
      </w:r>
      <w:r w:rsidR="00C728AD" w:rsidRPr="00DC6757">
        <w:rPr>
          <w:rFonts w:ascii="Times New Roman" w:eastAsia="Times New Roman" w:hAnsi="Times New Roman" w:cs="Times New Roman"/>
          <w:lang w:eastAsia="el-GR"/>
        </w:rPr>
        <w:t>Absent other information, any of these physiological parameters could change in response to within-organism levels of contaminant.</w:t>
      </w:r>
      <w:r w:rsidR="00DC6757">
        <w:rPr>
          <w:rFonts w:ascii="Times New Roman" w:eastAsia="Times New Roman" w:hAnsi="Times New Roman" w:cs="Times New Roman"/>
          <w:lang w:eastAsia="el-GR"/>
        </w:rPr>
        <w:t xml:space="preserve"> </w:t>
      </w:r>
      <w:proofErr w:type="spellStart"/>
      <w:r w:rsidR="002C6384" w:rsidRPr="00DC6757">
        <w:rPr>
          <w:rFonts w:ascii="Times New Roman" w:hAnsi="Times New Roman" w:cs="Times New Roman"/>
          <w:lang w:val="en-GB"/>
        </w:rPr>
        <w:t>M</w:t>
      </w:r>
      <w:r w:rsidR="0015249E" w:rsidRPr="00DC6757">
        <w:rPr>
          <w:rFonts w:ascii="Times New Roman" w:hAnsi="Times New Roman" w:cs="Times New Roman"/>
          <w:lang w:val="en-GB"/>
        </w:rPr>
        <w:t>odeling</w:t>
      </w:r>
      <w:proofErr w:type="spellEnd"/>
      <w:r w:rsidR="0015249E" w:rsidRPr="00DC6757">
        <w:rPr>
          <w:rFonts w:ascii="Times New Roman" w:hAnsi="Times New Roman" w:cs="Times New Roman"/>
          <w:lang w:val="en-GB"/>
        </w:rPr>
        <w:t xml:space="preserve"> toxicity requires</w:t>
      </w:r>
      <w:r w:rsidR="002C6384" w:rsidRPr="00DC6757">
        <w:rPr>
          <w:rFonts w:ascii="Times New Roman" w:hAnsi="Times New Roman" w:cs="Times New Roman"/>
          <w:lang w:val="en-GB"/>
        </w:rPr>
        <w:t xml:space="preserve"> coupling the DEB </w:t>
      </w:r>
      <w:r w:rsidR="0015249E" w:rsidRPr="00DC6757">
        <w:rPr>
          <w:rFonts w:ascii="Times New Roman" w:hAnsi="Times New Roman" w:cs="Times New Roman"/>
          <w:lang w:val="en-GB"/>
        </w:rPr>
        <w:t>representation of physiological processes</w:t>
      </w:r>
      <w:r w:rsidR="002C6384" w:rsidRPr="00DC6757">
        <w:rPr>
          <w:rFonts w:ascii="Times New Roman" w:hAnsi="Times New Roman" w:cs="Times New Roman"/>
          <w:lang w:val="en-GB"/>
        </w:rPr>
        <w:t xml:space="preserve"> </w:t>
      </w:r>
      <w:r w:rsidR="0015249E" w:rsidRPr="00DC6757">
        <w:rPr>
          <w:rFonts w:ascii="Times New Roman" w:hAnsi="Times New Roman" w:cs="Times New Roman"/>
          <w:lang w:val="en-GB"/>
        </w:rPr>
        <w:t>to toxicokinetic (TK) a</w:t>
      </w:r>
      <w:r w:rsidR="00B2298C" w:rsidRPr="00DC6757">
        <w:rPr>
          <w:rFonts w:ascii="Times New Roman" w:hAnsi="Times New Roman" w:cs="Times New Roman"/>
          <w:lang w:val="en-GB"/>
        </w:rPr>
        <w:t>nd toxicodynamic</w:t>
      </w:r>
      <w:r w:rsidR="005D53E5" w:rsidRPr="00DC6757">
        <w:rPr>
          <w:rFonts w:ascii="Times New Roman" w:hAnsi="Times New Roman" w:cs="Times New Roman"/>
          <w:lang w:val="en-GB"/>
        </w:rPr>
        <w:t xml:space="preserve"> (TD) sub-models (</w:t>
      </w:r>
      <w:proofErr w:type="spellStart"/>
      <w:r w:rsidR="005D53E5" w:rsidRPr="00DC6757">
        <w:rPr>
          <w:rFonts w:ascii="Times New Roman" w:hAnsi="Times New Roman" w:cs="Times New Roman"/>
          <w:lang w:val="en-GB"/>
        </w:rPr>
        <w:t>Ashauer</w:t>
      </w:r>
      <w:proofErr w:type="spellEnd"/>
      <w:r w:rsidR="005D53E5" w:rsidRPr="00DC6757">
        <w:rPr>
          <w:rFonts w:ascii="Times New Roman" w:hAnsi="Times New Roman" w:cs="Times New Roman"/>
          <w:lang w:val="en-GB"/>
        </w:rPr>
        <w:t xml:space="preserve"> et al.</w:t>
      </w:r>
      <w:r w:rsidR="00B2298C" w:rsidRPr="00DC6757">
        <w:rPr>
          <w:rFonts w:ascii="Times New Roman" w:hAnsi="Times New Roman" w:cs="Times New Roman"/>
          <w:lang w:val="en-GB"/>
        </w:rPr>
        <w:t xml:space="preserve"> 2011; </w:t>
      </w:r>
      <w:proofErr w:type="spellStart"/>
      <w:r w:rsidR="00B2298C" w:rsidRPr="00DC6757">
        <w:rPr>
          <w:rFonts w:ascii="Times New Roman" w:hAnsi="Times New Roman" w:cs="Times New Roman"/>
          <w:lang w:val="en-GB"/>
        </w:rPr>
        <w:t>Ashauer</w:t>
      </w:r>
      <w:proofErr w:type="spellEnd"/>
      <w:r w:rsidR="00B2298C" w:rsidRPr="00DC6757">
        <w:rPr>
          <w:rFonts w:ascii="Times New Roman" w:hAnsi="Times New Roman" w:cs="Times New Roman"/>
          <w:lang w:val="en-GB"/>
        </w:rPr>
        <w:t xml:space="preserve"> and Escher, 2010)</w:t>
      </w:r>
      <w:r w:rsidR="0015249E" w:rsidRPr="00DC6757">
        <w:rPr>
          <w:rFonts w:ascii="Times New Roman" w:hAnsi="Times New Roman" w:cs="Times New Roman"/>
          <w:lang w:val="en-GB"/>
        </w:rPr>
        <w:t>.</w:t>
      </w:r>
      <w:r w:rsidR="00DC6757">
        <w:rPr>
          <w:rFonts w:ascii="Times New Roman" w:hAnsi="Times New Roman" w:cs="Times New Roman"/>
          <w:lang w:val="en-GB"/>
        </w:rPr>
        <w:t xml:space="preserve"> </w:t>
      </w:r>
      <w:r w:rsidR="0015249E" w:rsidRPr="00DC6757">
        <w:rPr>
          <w:rFonts w:ascii="Times New Roman" w:hAnsi="Times New Roman" w:cs="Times New Roman"/>
          <w:lang w:val="en-GB"/>
        </w:rPr>
        <w:t>TK models describe the dynamics of bioaccumulation, elimination, and chemical transformations of chemical contaminants within an organism. Toxicodynamic (TD), sometimes call “toxic effect”, models describe processes leading from toxicant intera</w:t>
      </w:r>
      <w:r w:rsidR="000335C0" w:rsidRPr="00DC6757">
        <w:rPr>
          <w:rFonts w:ascii="Times New Roman" w:hAnsi="Times New Roman" w:cs="Times New Roman"/>
          <w:lang w:val="en-GB"/>
        </w:rPr>
        <w:t>c</w:t>
      </w:r>
      <w:r w:rsidR="0015249E" w:rsidRPr="00DC6757">
        <w:rPr>
          <w:rFonts w:ascii="Times New Roman" w:hAnsi="Times New Roman" w:cs="Times New Roman"/>
          <w:lang w:val="en-GB"/>
        </w:rPr>
        <w:t>tion with a biological target to effects</w:t>
      </w:r>
      <w:r w:rsidR="00C728AD" w:rsidRPr="00DC6757">
        <w:rPr>
          <w:rFonts w:ascii="Times New Roman" w:hAnsi="Times New Roman" w:cs="Times New Roman"/>
          <w:lang w:val="en-GB"/>
        </w:rPr>
        <w:t xml:space="preserve"> which as achieved by making assumptions on the dominant </w:t>
      </w:r>
      <w:proofErr w:type="spellStart"/>
      <w:proofErr w:type="gramStart"/>
      <w:r w:rsidR="00C728AD" w:rsidRPr="00DC6757">
        <w:rPr>
          <w:rFonts w:ascii="Times New Roman" w:hAnsi="Times New Roman" w:cs="Times New Roman"/>
          <w:lang w:val="en-GB"/>
        </w:rPr>
        <w:t>pMoAs</w:t>
      </w:r>
      <w:proofErr w:type="spellEnd"/>
      <w:r w:rsidR="00C728AD" w:rsidRPr="00DC6757">
        <w:rPr>
          <w:rFonts w:ascii="Times New Roman" w:hAnsi="Times New Roman" w:cs="Times New Roman"/>
          <w:lang w:val="en-GB"/>
        </w:rPr>
        <w:t>.</w:t>
      </w:r>
      <w:r w:rsidR="0015249E" w:rsidRPr="00DC6757">
        <w:rPr>
          <w:rFonts w:ascii="Times New Roman" w:hAnsi="Times New Roman" w:cs="Times New Roman"/>
          <w:lang w:val="en-GB"/>
        </w:rPr>
        <w:t>.</w:t>
      </w:r>
      <w:proofErr w:type="gramEnd"/>
      <w:r w:rsidR="00DC6757">
        <w:rPr>
          <w:rFonts w:ascii="Times New Roman" w:hAnsi="Times New Roman" w:cs="Times New Roman"/>
          <w:lang w:val="en-GB"/>
        </w:rPr>
        <w:t xml:space="preserve"> </w:t>
      </w:r>
      <w:r w:rsidR="00B8729B" w:rsidRPr="00DC6757">
        <w:rPr>
          <w:rFonts w:ascii="Times New Roman" w:hAnsi="Times New Roman" w:cs="Times New Roman"/>
          <w:lang w:val="en-GB"/>
        </w:rPr>
        <w:t>TK-TD modelling</w:t>
      </w:r>
      <w:r w:rsidR="00D53688" w:rsidRPr="00DC6757">
        <w:rPr>
          <w:rFonts w:ascii="Times New Roman" w:hAnsi="Times New Roman" w:cs="Times New Roman"/>
          <w:lang w:val="en-GB"/>
        </w:rPr>
        <w:t>, in general, has been included into the European Food Safety Authority (</w:t>
      </w:r>
      <w:proofErr w:type="spellStart"/>
      <w:r w:rsidR="00D53688" w:rsidRPr="00DC6757">
        <w:rPr>
          <w:rFonts w:ascii="Times New Roman" w:hAnsi="Times New Roman" w:cs="Times New Roman"/>
          <w:lang w:val="en-GB"/>
        </w:rPr>
        <w:t>efsa</w:t>
      </w:r>
      <w:proofErr w:type="spellEnd"/>
      <w:r w:rsidR="00D53688" w:rsidRPr="00DC6757">
        <w:rPr>
          <w:rFonts w:ascii="Times New Roman" w:hAnsi="Times New Roman" w:cs="Times New Roman"/>
          <w:lang w:val="en-GB"/>
        </w:rPr>
        <w:t>) guidance documents for risk assessment (EFSA 2013).</w:t>
      </w:r>
    </w:p>
    <w:p w14:paraId="15E6D00A" w14:textId="510B9841" w:rsidR="006C26B0" w:rsidRPr="00DC6757" w:rsidRDefault="00984C56" w:rsidP="0053083E">
      <w:pPr>
        <w:pStyle w:val="CommentText"/>
        <w:spacing w:line="480" w:lineRule="auto"/>
        <w:ind w:firstLine="720"/>
        <w:rPr>
          <w:rFonts w:ascii="Times New Roman" w:eastAsia="Times New Roman" w:hAnsi="Times New Roman" w:cs="Times New Roman"/>
          <w:lang w:eastAsia="el-GR"/>
        </w:rPr>
      </w:pPr>
      <w:proofErr w:type="spellStart"/>
      <w:r w:rsidRPr="00DC6757">
        <w:rPr>
          <w:rFonts w:ascii="Times New Roman" w:eastAsia="Times New Roman" w:hAnsi="Times New Roman" w:cs="Times New Roman"/>
          <w:lang w:eastAsia="el-GR"/>
        </w:rPr>
        <w:t>DEBtox</w:t>
      </w:r>
      <w:proofErr w:type="spellEnd"/>
      <w:r w:rsidRPr="00DC6757">
        <w:rPr>
          <w:rFonts w:ascii="Times New Roman" w:eastAsia="Times New Roman" w:hAnsi="Times New Roman" w:cs="Times New Roman"/>
          <w:lang w:eastAsia="el-GR"/>
        </w:rPr>
        <w:t xml:space="preserve"> models have been used to analyze </w:t>
      </w:r>
      <w:r w:rsidR="002C6384" w:rsidRPr="00DC6757">
        <w:rPr>
          <w:rFonts w:ascii="Times New Roman" w:eastAsia="Times New Roman" w:hAnsi="Times New Roman" w:cs="Times New Roman"/>
          <w:lang w:eastAsia="el-GR"/>
        </w:rPr>
        <w:t xml:space="preserve">chronic </w:t>
      </w:r>
      <w:r w:rsidRPr="00DC6757">
        <w:rPr>
          <w:rFonts w:ascii="Times New Roman" w:eastAsia="Times New Roman" w:hAnsi="Times New Roman" w:cs="Times New Roman"/>
          <w:lang w:eastAsia="el-GR"/>
        </w:rPr>
        <w:t xml:space="preserve">toxicity data under </w:t>
      </w:r>
      <w:r w:rsidR="002C6384" w:rsidRPr="00DC6757">
        <w:rPr>
          <w:rFonts w:ascii="Times New Roman" w:eastAsia="Times New Roman" w:hAnsi="Times New Roman" w:cs="Times New Roman"/>
          <w:lang w:eastAsia="el-GR"/>
        </w:rPr>
        <w:t xml:space="preserve">(assumed) </w:t>
      </w:r>
      <w:r w:rsidRPr="00DC6757">
        <w:rPr>
          <w:rFonts w:ascii="Times New Roman" w:eastAsia="Times New Roman" w:hAnsi="Times New Roman" w:cs="Times New Roman"/>
          <w:lang w:eastAsia="el-GR"/>
        </w:rPr>
        <w:t>constant exposure conditions (</w:t>
      </w:r>
      <w:r w:rsidR="00893B32" w:rsidRPr="00DC6757">
        <w:rPr>
          <w:rFonts w:ascii="Times New Roman" w:eastAsia="Times New Roman" w:hAnsi="Times New Roman" w:cs="Times New Roman"/>
          <w:lang w:eastAsia="el-GR"/>
        </w:rPr>
        <w:t xml:space="preserve">e.g. </w:t>
      </w:r>
      <w:r w:rsidRPr="00DC6757">
        <w:rPr>
          <w:rFonts w:ascii="Times New Roman" w:eastAsia="Times New Roman" w:hAnsi="Times New Roman" w:cs="Times New Roman"/>
          <w:lang w:eastAsia="el-GR"/>
        </w:rPr>
        <w:t xml:space="preserve">Jager et al. 2006, Jager and </w:t>
      </w:r>
      <w:proofErr w:type="spellStart"/>
      <w:r w:rsidRPr="00DC6757">
        <w:rPr>
          <w:rFonts w:ascii="Times New Roman" w:eastAsia="Times New Roman" w:hAnsi="Times New Roman" w:cs="Times New Roman"/>
          <w:lang w:eastAsia="el-GR"/>
        </w:rPr>
        <w:t>Selck</w:t>
      </w:r>
      <w:proofErr w:type="spellEnd"/>
      <w:r w:rsidRPr="00DC6757">
        <w:rPr>
          <w:rFonts w:ascii="Times New Roman" w:eastAsia="Times New Roman" w:hAnsi="Times New Roman" w:cs="Times New Roman"/>
          <w:lang w:eastAsia="el-GR"/>
        </w:rPr>
        <w:t xml:space="preserve"> 2011, </w:t>
      </w:r>
      <w:proofErr w:type="spellStart"/>
      <w:r w:rsidRPr="00DC6757">
        <w:rPr>
          <w:rFonts w:ascii="Times New Roman" w:eastAsia="Times New Roman" w:hAnsi="Times New Roman" w:cs="Times New Roman"/>
          <w:lang w:eastAsia="el-GR"/>
        </w:rPr>
        <w:t>Goussen</w:t>
      </w:r>
      <w:proofErr w:type="spellEnd"/>
      <w:r w:rsidRPr="00DC6757">
        <w:rPr>
          <w:rFonts w:ascii="Times New Roman" w:eastAsia="Times New Roman" w:hAnsi="Times New Roman" w:cs="Times New Roman"/>
          <w:lang w:eastAsia="el-GR"/>
        </w:rPr>
        <w:t xml:space="preserve"> et al. 2015), or time-varying exposure (Pieters et al. 2006) and effects resulting from chemical mixtures (Jager et al. 2010). These models have us</w:t>
      </w:r>
      <w:r w:rsidR="001B1BF1" w:rsidRPr="00DC6757">
        <w:rPr>
          <w:rFonts w:ascii="Times New Roman" w:eastAsia="Times New Roman" w:hAnsi="Times New Roman" w:cs="Times New Roman"/>
          <w:lang w:eastAsia="el-GR"/>
        </w:rPr>
        <w:t>ually been applied to organism</w:t>
      </w:r>
      <w:r w:rsidRPr="00DC6757">
        <w:rPr>
          <w:rFonts w:ascii="Times New Roman" w:eastAsia="Times New Roman" w:hAnsi="Times New Roman" w:cs="Times New Roman"/>
          <w:lang w:eastAsia="el-GR"/>
        </w:rPr>
        <w:t xml:space="preserve"> growth and reproduction data to </w:t>
      </w:r>
      <w:r w:rsidR="00893B32" w:rsidRPr="00DC6757">
        <w:rPr>
          <w:rFonts w:ascii="Times New Roman" w:eastAsia="Times New Roman" w:hAnsi="Times New Roman" w:cs="Times New Roman"/>
          <w:lang w:eastAsia="el-GR"/>
        </w:rPr>
        <w:t>identify the likeliest</w:t>
      </w:r>
      <w:r w:rsidRPr="00DC6757">
        <w:rPr>
          <w:rFonts w:ascii="Times New Roman" w:eastAsia="Times New Roman" w:hAnsi="Times New Roman" w:cs="Times New Roman"/>
          <w:lang w:eastAsia="el-GR"/>
        </w:rPr>
        <w:t xml:space="preserve"> </w:t>
      </w:r>
      <w:proofErr w:type="spellStart"/>
      <w:proofErr w:type="gramStart"/>
      <w:r w:rsidR="007A29AE" w:rsidRPr="00DC6757">
        <w:rPr>
          <w:rFonts w:ascii="Times New Roman" w:eastAsia="Times New Roman" w:hAnsi="Times New Roman" w:cs="Times New Roman"/>
          <w:lang w:eastAsia="el-GR"/>
        </w:rPr>
        <w:t>pMoA</w:t>
      </w:r>
      <w:proofErr w:type="spellEnd"/>
      <w:r w:rsidR="007A29AE" w:rsidRPr="00DC6757">
        <w:rPr>
          <w:rFonts w:ascii="Times New Roman" w:eastAsia="Times New Roman" w:hAnsi="Times New Roman" w:cs="Times New Roman"/>
          <w:lang w:eastAsia="el-GR"/>
        </w:rPr>
        <w:t xml:space="preserve"> </w:t>
      </w:r>
      <w:r w:rsidRPr="00DC6757">
        <w:rPr>
          <w:rFonts w:ascii="Times New Roman" w:eastAsia="Times New Roman" w:hAnsi="Times New Roman" w:cs="Times New Roman"/>
          <w:lang w:eastAsia="el-GR"/>
        </w:rPr>
        <w:t>.</w:t>
      </w:r>
      <w:proofErr w:type="gramEnd"/>
      <w:r w:rsidRPr="00DC6757">
        <w:rPr>
          <w:rFonts w:ascii="Times New Roman" w:eastAsia="Times New Roman" w:hAnsi="Times New Roman" w:cs="Times New Roman"/>
          <w:lang w:eastAsia="el-GR"/>
        </w:rPr>
        <w:t xml:space="preserve"> However, in many cases, </w:t>
      </w:r>
      <w:r w:rsidR="00720376" w:rsidRPr="00DC6757">
        <w:rPr>
          <w:rFonts w:ascii="Times New Roman" w:eastAsia="Times New Roman" w:hAnsi="Times New Roman" w:cs="Times New Roman"/>
          <w:lang w:eastAsia="el-GR"/>
        </w:rPr>
        <w:t xml:space="preserve">when </w:t>
      </w:r>
      <w:r w:rsidRPr="00DC6757">
        <w:rPr>
          <w:rFonts w:ascii="Times New Roman" w:eastAsia="Times New Roman" w:hAnsi="Times New Roman" w:cs="Times New Roman"/>
          <w:lang w:eastAsia="el-GR"/>
        </w:rPr>
        <w:t xml:space="preserve">the </w:t>
      </w:r>
      <w:r w:rsidR="00720376" w:rsidRPr="00DC6757">
        <w:rPr>
          <w:rFonts w:ascii="Times New Roman" w:eastAsia="Times New Roman" w:hAnsi="Times New Roman" w:cs="Times New Roman"/>
          <w:lang w:eastAsia="el-GR"/>
        </w:rPr>
        <w:t>available data is limited</w:t>
      </w:r>
      <w:r w:rsidR="00281C55" w:rsidRPr="00DC6757">
        <w:rPr>
          <w:rFonts w:ascii="Times New Roman" w:eastAsia="Times New Roman" w:hAnsi="Times New Roman" w:cs="Times New Roman"/>
          <w:lang w:eastAsia="el-GR"/>
        </w:rPr>
        <w:t xml:space="preserve"> in diversity</w:t>
      </w:r>
      <w:r w:rsidR="00720376" w:rsidRPr="00DC6757">
        <w:rPr>
          <w:rFonts w:ascii="Times New Roman" w:eastAsia="Times New Roman" w:hAnsi="Times New Roman" w:cs="Times New Roman"/>
          <w:lang w:eastAsia="el-GR"/>
        </w:rPr>
        <w:t xml:space="preserve"> (e</w:t>
      </w:r>
      <w:r w:rsidR="00281C55" w:rsidRPr="00DC6757">
        <w:rPr>
          <w:rFonts w:ascii="Times New Roman" w:eastAsia="Times New Roman" w:hAnsi="Times New Roman" w:cs="Times New Roman"/>
          <w:lang w:eastAsia="el-GR"/>
        </w:rPr>
        <w:t>.</w:t>
      </w:r>
      <w:r w:rsidR="00720376" w:rsidRPr="00DC6757">
        <w:rPr>
          <w:rFonts w:ascii="Times New Roman" w:eastAsia="Times New Roman" w:hAnsi="Times New Roman" w:cs="Times New Roman"/>
          <w:lang w:eastAsia="el-GR"/>
        </w:rPr>
        <w:t xml:space="preserve">g. </w:t>
      </w:r>
      <w:r w:rsidR="00281C55" w:rsidRPr="00DC6757">
        <w:rPr>
          <w:rFonts w:ascii="Times New Roman" w:eastAsia="Times New Roman" w:hAnsi="Times New Roman" w:cs="Times New Roman"/>
          <w:lang w:eastAsia="el-GR"/>
        </w:rPr>
        <w:t xml:space="preserve">only </w:t>
      </w:r>
      <w:r w:rsidR="00720376" w:rsidRPr="00DC6757">
        <w:rPr>
          <w:rFonts w:ascii="Times New Roman" w:eastAsia="Times New Roman" w:hAnsi="Times New Roman" w:cs="Times New Roman"/>
          <w:lang w:eastAsia="el-GR"/>
        </w:rPr>
        <w:t xml:space="preserve">reproduction </w:t>
      </w:r>
      <w:r w:rsidR="00CF4E1D" w:rsidRPr="00DC6757">
        <w:rPr>
          <w:rFonts w:ascii="Times New Roman" w:eastAsia="Times New Roman" w:hAnsi="Times New Roman" w:cs="Times New Roman"/>
          <w:lang w:eastAsia="el-GR"/>
        </w:rPr>
        <w:t>data at the end of</w:t>
      </w:r>
      <w:r w:rsidR="00281C55" w:rsidRPr="00DC6757">
        <w:rPr>
          <w:rFonts w:ascii="Times New Roman" w:eastAsia="Times New Roman" w:hAnsi="Times New Roman" w:cs="Times New Roman"/>
          <w:lang w:eastAsia="el-GR"/>
        </w:rPr>
        <w:t xml:space="preserve"> a</w:t>
      </w:r>
      <w:r w:rsidR="00CF4E1D" w:rsidRPr="00DC6757">
        <w:rPr>
          <w:rFonts w:ascii="Times New Roman" w:eastAsia="Times New Roman" w:hAnsi="Times New Roman" w:cs="Times New Roman"/>
          <w:lang w:eastAsia="el-GR"/>
        </w:rPr>
        <w:t xml:space="preserve"> standardized toxicity test), th</w:t>
      </w:r>
      <w:r w:rsidR="00281C55" w:rsidRPr="00DC6757">
        <w:rPr>
          <w:rFonts w:ascii="Times New Roman" w:eastAsia="Times New Roman" w:hAnsi="Times New Roman" w:cs="Times New Roman"/>
          <w:lang w:eastAsia="el-GR"/>
        </w:rPr>
        <w:t>ose</w:t>
      </w:r>
      <w:r w:rsidR="00DC6757">
        <w:rPr>
          <w:rFonts w:ascii="Times New Roman" w:eastAsia="Times New Roman" w:hAnsi="Times New Roman" w:cs="Times New Roman"/>
          <w:lang w:eastAsia="el-GR"/>
        </w:rPr>
        <w:t xml:space="preserve"> </w:t>
      </w:r>
      <w:r w:rsidR="00CF4E1D" w:rsidRPr="00DC6757">
        <w:rPr>
          <w:rFonts w:ascii="Times New Roman" w:eastAsia="Times New Roman" w:hAnsi="Times New Roman" w:cs="Times New Roman"/>
          <w:lang w:eastAsia="el-GR"/>
        </w:rPr>
        <w:t>data</w:t>
      </w:r>
      <w:r w:rsidRPr="00DC6757">
        <w:rPr>
          <w:rFonts w:ascii="Times New Roman" w:eastAsia="Times New Roman" w:hAnsi="Times New Roman" w:cs="Times New Roman"/>
          <w:lang w:eastAsia="el-GR"/>
        </w:rPr>
        <w:t xml:space="preserve"> could be</w:t>
      </w:r>
      <w:r w:rsidR="00281C55" w:rsidRPr="00DC6757">
        <w:rPr>
          <w:rFonts w:ascii="Times New Roman" w:eastAsia="Times New Roman" w:hAnsi="Times New Roman" w:cs="Times New Roman"/>
          <w:lang w:eastAsia="el-GR"/>
        </w:rPr>
        <w:t xml:space="preserve"> equally</w:t>
      </w:r>
      <w:r w:rsidRPr="00DC6757">
        <w:rPr>
          <w:rFonts w:ascii="Times New Roman" w:eastAsia="Times New Roman" w:hAnsi="Times New Roman" w:cs="Times New Roman"/>
          <w:lang w:eastAsia="el-GR"/>
        </w:rPr>
        <w:t xml:space="preserve"> well described by </w:t>
      </w:r>
      <w:r w:rsidR="00281C55" w:rsidRPr="00DC6757">
        <w:rPr>
          <w:rFonts w:ascii="Times New Roman" w:eastAsia="Times New Roman" w:hAnsi="Times New Roman" w:cs="Times New Roman"/>
          <w:lang w:eastAsia="el-GR"/>
        </w:rPr>
        <w:t>several</w:t>
      </w:r>
      <w:r w:rsidR="00DC6757">
        <w:rPr>
          <w:rFonts w:ascii="Times New Roman" w:eastAsia="Times New Roman" w:hAnsi="Times New Roman" w:cs="Times New Roman"/>
          <w:lang w:eastAsia="el-GR"/>
        </w:rPr>
        <w:t xml:space="preserve"> </w:t>
      </w:r>
      <w:proofErr w:type="spellStart"/>
      <w:r w:rsidR="007A29AE" w:rsidRPr="00DC6757">
        <w:rPr>
          <w:rFonts w:ascii="Times New Roman" w:eastAsia="Times New Roman" w:hAnsi="Times New Roman" w:cs="Times New Roman"/>
          <w:lang w:eastAsia="el-GR"/>
        </w:rPr>
        <w:t>pMoA</w:t>
      </w:r>
      <w:proofErr w:type="spellEnd"/>
      <w:r w:rsidR="00281C55" w:rsidRPr="00DC6757">
        <w:rPr>
          <w:rFonts w:ascii="Times New Roman" w:eastAsia="Times New Roman" w:hAnsi="Times New Roman" w:cs="Times New Roman"/>
          <w:lang w:eastAsia="el-GR"/>
        </w:rPr>
        <w:t xml:space="preserve"> candidates. Identification of a </w:t>
      </w:r>
      <w:proofErr w:type="spellStart"/>
      <w:r w:rsidR="00281C55" w:rsidRPr="00DC6757">
        <w:rPr>
          <w:rFonts w:ascii="Times New Roman" w:eastAsia="Times New Roman" w:hAnsi="Times New Roman" w:cs="Times New Roman"/>
          <w:lang w:eastAsia="el-GR"/>
        </w:rPr>
        <w:t>pMoA</w:t>
      </w:r>
      <w:proofErr w:type="spellEnd"/>
      <w:r w:rsidR="00281C55" w:rsidRPr="00DC6757">
        <w:rPr>
          <w:rFonts w:ascii="Times New Roman" w:eastAsia="Times New Roman" w:hAnsi="Times New Roman" w:cs="Times New Roman"/>
          <w:lang w:eastAsia="el-GR"/>
        </w:rPr>
        <w:t xml:space="preserve"> typically requires a data set including time-resolved measurements and multiple endpoints</w:t>
      </w:r>
      <w:r w:rsidRPr="00DC6757">
        <w:rPr>
          <w:rFonts w:ascii="Times New Roman" w:eastAsia="Times New Roman" w:hAnsi="Times New Roman" w:cs="Times New Roman"/>
          <w:lang w:eastAsia="el-GR"/>
        </w:rPr>
        <w:t xml:space="preserve"> (Muller et al. 2010, Jager et al. 2016). Furthermore, sublethal chemical effects might not be adequately described by a single</w:t>
      </w:r>
      <w:r w:rsidR="007A29AE" w:rsidRPr="00DC6757">
        <w:rPr>
          <w:rFonts w:ascii="Times New Roman" w:eastAsia="Times New Roman" w:hAnsi="Times New Roman" w:cs="Times New Roman"/>
          <w:lang w:eastAsia="el-GR"/>
        </w:rPr>
        <w:t xml:space="preserve"> </w:t>
      </w:r>
      <w:proofErr w:type="spellStart"/>
      <w:r w:rsidR="007A29AE" w:rsidRPr="00DC6757">
        <w:rPr>
          <w:rFonts w:ascii="Times New Roman" w:eastAsia="Times New Roman" w:hAnsi="Times New Roman" w:cs="Times New Roman"/>
          <w:lang w:eastAsia="el-GR"/>
        </w:rPr>
        <w:t>pMoA</w:t>
      </w:r>
      <w:proofErr w:type="spellEnd"/>
      <w:r w:rsidRPr="00DC6757">
        <w:rPr>
          <w:rFonts w:ascii="Times New Roman" w:eastAsia="Times New Roman" w:hAnsi="Times New Roman" w:cs="Times New Roman"/>
          <w:lang w:eastAsia="el-GR"/>
        </w:rPr>
        <w:t xml:space="preserve">, rather it is conceivable that </w:t>
      </w:r>
      <w:r w:rsidR="00FC2DE7" w:rsidRPr="00DC6757">
        <w:rPr>
          <w:rFonts w:ascii="Times New Roman" w:eastAsia="Times New Roman" w:hAnsi="Times New Roman" w:cs="Times New Roman"/>
          <w:lang w:eastAsia="el-GR"/>
        </w:rPr>
        <w:t xml:space="preserve">some chemicals impact multiple </w:t>
      </w:r>
      <w:proofErr w:type="spellStart"/>
      <w:r w:rsidR="00FC2DE7" w:rsidRPr="00DC6757">
        <w:rPr>
          <w:rFonts w:ascii="Times New Roman" w:eastAsia="Times New Roman" w:hAnsi="Times New Roman" w:cs="Times New Roman"/>
          <w:lang w:eastAsia="el-GR"/>
        </w:rPr>
        <w:t>pMoAs</w:t>
      </w:r>
      <w:proofErr w:type="spellEnd"/>
      <w:r w:rsidR="00FC2DE7" w:rsidRPr="00DC6757">
        <w:rPr>
          <w:rFonts w:ascii="Times New Roman" w:eastAsia="Times New Roman" w:hAnsi="Times New Roman" w:cs="Times New Roman"/>
          <w:lang w:eastAsia="el-GR"/>
        </w:rPr>
        <w:t xml:space="preserve"> (e.g. maintenance and feeding)</w:t>
      </w:r>
      <w:r w:rsidR="00734CAD" w:rsidRPr="00DC6757">
        <w:rPr>
          <w:rFonts w:ascii="Times New Roman" w:eastAsia="Times New Roman" w:hAnsi="Times New Roman" w:cs="Times New Roman"/>
          <w:lang w:eastAsia="el-GR"/>
        </w:rPr>
        <w:t xml:space="preserve">, and </w:t>
      </w:r>
      <w:proofErr w:type="spellStart"/>
      <w:r w:rsidR="00734CAD" w:rsidRPr="00DC6757">
        <w:rPr>
          <w:rFonts w:ascii="Times New Roman" w:eastAsia="Times New Roman" w:hAnsi="Times New Roman" w:cs="Times New Roman"/>
          <w:lang w:eastAsia="el-GR"/>
        </w:rPr>
        <w:t>DEBtox</w:t>
      </w:r>
      <w:proofErr w:type="spellEnd"/>
      <w:r w:rsidR="00734CAD" w:rsidRPr="00DC6757">
        <w:rPr>
          <w:rFonts w:ascii="Times New Roman" w:eastAsia="Times New Roman" w:hAnsi="Times New Roman" w:cs="Times New Roman"/>
          <w:lang w:eastAsia="el-GR"/>
        </w:rPr>
        <w:t xml:space="preserve"> integrates the affected </w:t>
      </w:r>
      <w:proofErr w:type="spellStart"/>
      <w:r w:rsidR="00734CAD" w:rsidRPr="00DC6757">
        <w:rPr>
          <w:rFonts w:ascii="Times New Roman" w:eastAsia="Times New Roman" w:hAnsi="Times New Roman" w:cs="Times New Roman"/>
          <w:lang w:eastAsia="el-GR"/>
        </w:rPr>
        <w:t>pMoA</w:t>
      </w:r>
      <w:proofErr w:type="spellEnd"/>
      <w:r w:rsidR="00734CAD" w:rsidRPr="00DC6757">
        <w:rPr>
          <w:rFonts w:ascii="Times New Roman" w:eastAsia="Times New Roman" w:hAnsi="Times New Roman" w:cs="Times New Roman"/>
          <w:lang w:eastAsia="el-GR"/>
        </w:rPr>
        <w:t xml:space="preserve">. This </w:t>
      </w:r>
      <w:proofErr w:type="gramStart"/>
      <w:r w:rsidR="00734CAD" w:rsidRPr="00DC6757">
        <w:rPr>
          <w:rFonts w:ascii="Times New Roman" w:eastAsia="Times New Roman" w:hAnsi="Times New Roman" w:cs="Times New Roman"/>
          <w:lang w:eastAsia="el-GR"/>
        </w:rPr>
        <w:t>is in contrast to</w:t>
      </w:r>
      <w:proofErr w:type="gramEnd"/>
      <w:r w:rsidR="00734CAD" w:rsidRPr="00DC6757">
        <w:rPr>
          <w:rFonts w:ascii="Times New Roman" w:eastAsia="Times New Roman" w:hAnsi="Times New Roman" w:cs="Times New Roman"/>
          <w:lang w:eastAsia="el-GR"/>
        </w:rPr>
        <w:t xml:space="preserve"> </w:t>
      </w:r>
      <w:proofErr w:type="spellStart"/>
      <w:r w:rsidR="00734CAD" w:rsidRPr="00DC6757">
        <w:rPr>
          <w:rFonts w:ascii="Times New Roman" w:eastAsia="Times New Roman" w:hAnsi="Times New Roman" w:cs="Times New Roman"/>
          <w:lang w:eastAsia="el-GR"/>
        </w:rPr>
        <w:t>qAOPs</w:t>
      </w:r>
      <w:proofErr w:type="spellEnd"/>
      <w:r w:rsidR="00734CAD" w:rsidRPr="00DC6757">
        <w:rPr>
          <w:rFonts w:ascii="Times New Roman" w:eastAsia="Times New Roman" w:hAnsi="Times New Roman" w:cs="Times New Roman"/>
          <w:lang w:eastAsia="el-GR"/>
        </w:rPr>
        <w:t xml:space="preserve"> or </w:t>
      </w:r>
      <w:proofErr w:type="spellStart"/>
      <w:r w:rsidR="00734CAD" w:rsidRPr="00DC6757">
        <w:rPr>
          <w:rFonts w:ascii="Times New Roman" w:eastAsia="Times New Roman" w:hAnsi="Times New Roman" w:cs="Times New Roman"/>
          <w:lang w:eastAsia="el-GR"/>
        </w:rPr>
        <w:t>qAOP</w:t>
      </w:r>
      <w:proofErr w:type="spellEnd"/>
      <w:r w:rsidR="00734CAD" w:rsidRPr="00DC6757">
        <w:rPr>
          <w:rFonts w:ascii="Times New Roman" w:eastAsia="Times New Roman" w:hAnsi="Times New Roman" w:cs="Times New Roman"/>
          <w:lang w:eastAsia="el-GR"/>
        </w:rPr>
        <w:t xml:space="preserve"> networks that converge on a single adverse outcome</w:t>
      </w:r>
    </w:p>
    <w:p w14:paraId="52C7D624" w14:textId="2F973E43" w:rsidR="00505FD1" w:rsidRPr="00DC6757" w:rsidRDefault="002C6384" w:rsidP="0053083E">
      <w:pPr>
        <w:pStyle w:val="address"/>
        <w:spacing w:line="480" w:lineRule="auto"/>
        <w:ind w:firstLine="720"/>
        <w:jc w:val="both"/>
        <w:rPr>
          <w:rFonts w:ascii="Times New Roman" w:hAnsi="Times New Roman"/>
          <w:sz w:val="24"/>
          <w:szCs w:val="24"/>
          <w:lang w:val="en-GB"/>
        </w:rPr>
      </w:pPr>
      <w:r w:rsidRPr="00DC6757">
        <w:rPr>
          <w:rFonts w:ascii="Times New Roman" w:hAnsi="Times New Roman"/>
          <w:sz w:val="24"/>
          <w:szCs w:val="24"/>
          <w:lang w:val="en-GB"/>
        </w:rPr>
        <w:lastRenderedPageBreak/>
        <w:t xml:space="preserve">In parallel with advances relating to chronic toxicity using DEBtox, there have been advances in modeling survival that use </w:t>
      </w:r>
      <w:r w:rsidR="0039731E" w:rsidRPr="00DC6757">
        <w:rPr>
          <w:rFonts w:ascii="Times New Roman" w:hAnsi="Times New Roman"/>
          <w:sz w:val="24"/>
          <w:szCs w:val="24"/>
          <w:lang w:val="en-GB"/>
        </w:rPr>
        <w:t>toxicokinetic-toxicodynamic (</w:t>
      </w:r>
      <w:r w:rsidRPr="00DC6757">
        <w:rPr>
          <w:rFonts w:ascii="Times New Roman" w:hAnsi="Times New Roman"/>
          <w:sz w:val="24"/>
          <w:szCs w:val="24"/>
          <w:lang w:val="en-GB"/>
        </w:rPr>
        <w:t>TK-TD</w:t>
      </w:r>
      <w:r w:rsidR="0039731E" w:rsidRPr="00DC6757">
        <w:rPr>
          <w:rFonts w:ascii="Times New Roman" w:hAnsi="Times New Roman"/>
          <w:sz w:val="24"/>
          <w:szCs w:val="24"/>
          <w:lang w:val="en-GB"/>
        </w:rPr>
        <w:t>)</w:t>
      </w:r>
      <w:r w:rsidRPr="00DC6757">
        <w:rPr>
          <w:rFonts w:ascii="Times New Roman" w:hAnsi="Times New Roman"/>
          <w:sz w:val="24"/>
          <w:szCs w:val="24"/>
          <w:lang w:val="en-GB"/>
        </w:rPr>
        <w:t xml:space="preserve"> approaches</w:t>
      </w:r>
      <w:r w:rsidR="0039731E" w:rsidRPr="00DC6757">
        <w:rPr>
          <w:rFonts w:ascii="Times New Roman" w:hAnsi="Times New Roman"/>
          <w:sz w:val="24"/>
          <w:szCs w:val="24"/>
          <w:lang w:val="en-GB"/>
        </w:rPr>
        <w:t>,</w:t>
      </w:r>
      <w:r w:rsidRPr="00DC6757">
        <w:rPr>
          <w:rFonts w:ascii="Times New Roman" w:hAnsi="Times New Roman"/>
          <w:sz w:val="24"/>
          <w:szCs w:val="24"/>
          <w:lang w:val="en-GB"/>
        </w:rPr>
        <w:t xml:space="preserve"> but do not consider detailed physiological processes that cause mortality.</w:t>
      </w:r>
      <w:r w:rsidR="00DC6757">
        <w:rPr>
          <w:rFonts w:ascii="Times New Roman" w:hAnsi="Times New Roman"/>
          <w:sz w:val="24"/>
          <w:szCs w:val="24"/>
          <w:lang w:val="en-GB"/>
        </w:rPr>
        <w:t xml:space="preserve"> </w:t>
      </w:r>
      <w:r w:rsidRPr="00DC6757">
        <w:rPr>
          <w:rFonts w:ascii="Times New Roman" w:hAnsi="Times New Roman"/>
          <w:sz w:val="24"/>
          <w:szCs w:val="24"/>
          <w:lang w:val="en-GB"/>
        </w:rPr>
        <w:t>These have, to a great extent, been reconciled within the General Unified Threshold model for Survival (GUTS, Jager et al. 2011)</w:t>
      </w:r>
      <w:r w:rsidR="00505FD1" w:rsidRPr="00DC6757">
        <w:rPr>
          <w:rFonts w:ascii="Times New Roman" w:hAnsi="Times New Roman"/>
          <w:sz w:val="24"/>
          <w:szCs w:val="24"/>
          <w:lang w:val="en-GB"/>
        </w:rPr>
        <w:t xml:space="preserve">, </w:t>
      </w:r>
      <w:r w:rsidR="0039731E" w:rsidRPr="00DC6757">
        <w:rPr>
          <w:rFonts w:ascii="Times New Roman" w:hAnsi="Times New Roman"/>
          <w:sz w:val="24"/>
          <w:szCs w:val="24"/>
          <w:lang w:val="en-GB"/>
        </w:rPr>
        <w:t>which</w:t>
      </w:r>
      <w:r w:rsidR="00505FD1" w:rsidRPr="00DC6757">
        <w:rPr>
          <w:rFonts w:ascii="Times New Roman" w:hAnsi="Times New Roman"/>
          <w:sz w:val="24"/>
          <w:szCs w:val="24"/>
          <w:lang w:val="en-GB"/>
        </w:rPr>
        <w:t xml:space="preserve"> invokes</w:t>
      </w:r>
      <w:r w:rsidRPr="00DC6757">
        <w:rPr>
          <w:rFonts w:ascii="Times New Roman" w:hAnsi="Times New Roman"/>
          <w:sz w:val="24"/>
          <w:szCs w:val="24"/>
          <w:lang w:val="en-GB"/>
        </w:rPr>
        <w:t xml:space="preserve"> a dose metric, assumed proportional to the hazard (i.e. per capita mortality) rate, </w:t>
      </w:r>
      <w:r w:rsidR="0039731E" w:rsidRPr="00DC6757">
        <w:rPr>
          <w:rFonts w:ascii="Times New Roman" w:hAnsi="Times New Roman"/>
          <w:sz w:val="24"/>
          <w:szCs w:val="24"/>
          <w:lang w:val="en-GB"/>
        </w:rPr>
        <w:t xml:space="preserve">and </w:t>
      </w:r>
      <w:r w:rsidRPr="00DC6757">
        <w:rPr>
          <w:rFonts w:ascii="Times New Roman" w:hAnsi="Times New Roman"/>
          <w:sz w:val="24"/>
          <w:szCs w:val="24"/>
          <w:lang w:val="en-GB"/>
        </w:rPr>
        <w:t xml:space="preserve">may include processes such as bioaccumulation, distribution within the organism, biotransformation and elimination, damage accrual and recovery, and physiological compensation processes. </w:t>
      </w:r>
      <w:r w:rsidR="00505FD1" w:rsidRPr="00DC6757">
        <w:rPr>
          <w:rFonts w:ascii="Times New Roman" w:hAnsi="Times New Roman"/>
          <w:sz w:val="24"/>
          <w:szCs w:val="24"/>
          <w:lang w:val="en-GB"/>
        </w:rPr>
        <w:t xml:space="preserve">Of particular importance for this paper is the abstract dynamic variable damage, described by </w:t>
      </w:r>
      <w:r w:rsidR="00CF4E1D" w:rsidRPr="00DC6757">
        <w:rPr>
          <w:rFonts w:ascii="Times New Roman" w:hAnsi="Times New Roman"/>
          <w:sz w:val="24"/>
          <w:szCs w:val="24"/>
          <w:lang w:val="en-GB"/>
        </w:rPr>
        <w:t xml:space="preserve">Ankley et al. </w:t>
      </w:r>
      <w:r w:rsidR="00505FD1" w:rsidRPr="00DC6757">
        <w:rPr>
          <w:rFonts w:ascii="Times New Roman" w:hAnsi="Times New Roman"/>
          <w:sz w:val="24"/>
          <w:szCs w:val="24"/>
          <w:lang w:val="en-GB"/>
        </w:rPr>
        <w:t>(</w:t>
      </w:r>
      <w:r w:rsidR="00CF4E1D" w:rsidRPr="00DC6757">
        <w:rPr>
          <w:rFonts w:ascii="Times New Roman" w:hAnsi="Times New Roman"/>
          <w:sz w:val="24"/>
          <w:szCs w:val="24"/>
          <w:lang w:val="en-GB"/>
        </w:rPr>
        <w:t>1995</w:t>
      </w:r>
      <w:r w:rsidR="00505FD1" w:rsidRPr="00DC6757">
        <w:rPr>
          <w:rFonts w:ascii="Times New Roman" w:hAnsi="Times New Roman"/>
          <w:sz w:val="24"/>
          <w:szCs w:val="24"/>
          <w:lang w:val="en-GB"/>
        </w:rPr>
        <w:t xml:space="preserve">) and related to the physiogically determined </w:t>
      </w:r>
      <w:r w:rsidR="008E3171" w:rsidRPr="00DC6757">
        <w:rPr>
          <w:rFonts w:ascii="Times New Roman" w:hAnsi="Times New Roman"/>
          <w:sz w:val="24"/>
          <w:szCs w:val="24"/>
          <w:lang w:val="en-GB"/>
        </w:rPr>
        <w:t xml:space="preserve">component </w:t>
      </w:r>
      <w:r w:rsidR="00505FD1" w:rsidRPr="00DC6757">
        <w:rPr>
          <w:rFonts w:ascii="Times New Roman" w:hAnsi="Times New Roman"/>
          <w:sz w:val="24"/>
          <w:szCs w:val="24"/>
          <w:lang w:val="en-GB"/>
        </w:rPr>
        <w:t xml:space="preserve">of mortality. </w:t>
      </w:r>
      <w:r w:rsidR="00C728AD" w:rsidRPr="00DC6757">
        <w:rPr>
          <w:rFonts w:ascii="Times New Roman" w:hAnsi="Times New Roman"/>
          <w:sz w:val="24"/>
          <w:szCs w:val="24"/>
          <w:lang w:val="en-GB"/>
        </w:rPr>
        <w:t xml:space="preserve">The definition of “damage” is context specific, but common examples would be </w:t>
      </w:r>
      <w:r w:rsidR="00AB6C33" w:rsidRPr="00DC6757">
        <w:rPr>
          <w:rFonts w:ascii="Times New Roman" w:hAnsi="Times New Roman"/>
          <w:sz w:val="24"/>
          <w:szCs w:val="24"/>
          <w:lang w:val="en-GB"/>
        </w:rPr>
        <w:t>damaged membranes or organelles, “wrong” proteins, or DNA damage (Kooijman 2010, chapter 6).</w:t>
      </w:r>
      <w:r w:rsidR="00DC6757">
        <w:rPr>
          <w:rFonts w:ascii="Times New Roman" w:hAnsi="Times New Roman"/>
          <w:sz w:val="24"/>
          <w:szCs w:val="24"/>
          <w:lang w:val="en-GB"/>
        </w:rPr>
        <w:t xml:space="preserve"> </w:t>
      </w:r>
      <w:r w:rsidR="00505FD1" w:rsidRPr="00DC6757">
        <w:rPr>
          <w:rFonts w:ascii="Times New Roman" w:hAnsi="Times New Roman"/>
          <w:sz w:val="24"/>
          <w:szCs w:val="24"/>
          <w:lang w:val="en-GB"/>
        </w:rPr>
        <w:t>The complexity of the dynamic equations for damage differs</w:t>
      </w:r>
      <w:r w:rsidR="009B48D7" w:rsidRPr="00DC6757">
        <w:rPr>
          <w:rFonts w:ascii="Times New Roman" w:hAnsi="Times New Roman"/>
          <w:sz w:val="24"/>
          <w:szCs w:val="24"/>
          <w:lang w:val="en-GB"/>
        </w:rPr>
        <w:t xml:space="preserve"> among studies, depending on</w:t>
      </w:r>
      <w:r w:rsidR="00505FD1" w:rsidRPr="00DC6757">
        <w:rPr>
          <w:rFonts w:ascii="Times New Roman" w:hAnsi="Times New Roman"/>
          <w:sz w:val="24"/>
          <w:szCs w:val="24"/>
          <w:lang w:val="en-GB"/>
        </w:rPr>
        <w:t xml:space="preserve"> </w:t>
      </w:r>
      <w:r w:rsidR="009B48D7" w:rsidRPr="00DC6757">
        <w:rPr>
          <w:rFonts w:ascii="Times New Roman" w:hAnsi="Times New Roman"/>
          <w:sz w:val="24"/>
          <w:szCs w:val="24"/>
          <w:lang w:val="en-GB"/>
        </w:rPr>
        <w:t xml:space="preserve">data availability and the </w:t>
      </w:r>
      <w:r w:rsidR="00505FD1" w:rsidRPr="00DC6757">
        <w:rPr>
          <w:rFonts w:ascii="Times New Roman" w:hAnsi="Times New Roman"/>
          <w:sz w:val="24"/>
          <w:szCs w:val="24"/>
          <w:lang w:val="en-GB"/>
        </w:rPr>
        <w:t xml:space="preserve">processes considered in the approach. </w:t>
      </w:r>
      <w:r w:rsidR="00046026" w:rsidRPr="00DC6757">
        <w:rPr>
          <w:rFonts w:ascii="Times New Roman" w:hAnsi="Times New Roman"/>
          <w:sz w:val="24"/>
          <w:szCs w:val="24"/>
          <w:lang w:val="en-GB"/>
        </w:rPr>
        <w:t>zA</w:t>
      </w:r>
      <w:r w:rsidR="00505FD1" w:rsidRPr="00DC6757">
        <w:rPr>
          <w:rFonts w:ascii="Times New Roman" w:hAnsi="Times New Roman"/>
          <w:sz w:val="24"/>
          <w:szCs w:val="24"/>
          <w:lang w:val="en-GB"/>
        </w:rPr>
        <w:t>pproach</w:t>
      </w:r>
      <w:r w:rsidR="00046026" w:rsidRPr="00DC6757">
        <w:rPr>
          <w:rFonts w:ascii="Times New Roman" w:hAnsi="Times New Roman"/>
          <w:sz w:val="24"/>
          <w:szCs w:val="24"/>
          <w:lang w:val="en-GB"/>
        </w:rPr>
        <w:t>es</w:t>
      </w:r>
      <w:r w:rsidR="00505FD1" w:rsidRPr="00DC6757">
        <w:rPr>
          <w:rFonts w:ascii="Times New Roman" w:hAnsi="Times New Roman"/>
          <w:sz w:val="24"/>
          <w:szCs w:val="24"/>
          <w:lang w:val="en-GB"/>
        </w:rPr>
        <w:t xml:space="preserve"> </w:t>
      </w:r>
      <w:r w:rsidR="00046026" w:rsidRPr="00DC6757">
        <w:rPr>
          <w:rFonts w:ascii="Times New Roman" w:hAnsi="Times New Roman"/>
          <w:sz w:val="24"/>
          <w:szCs w:val="24"/>
          <w:lang w:val="en-GB"/>
        </w:rPr>
        <w:t>can include</w:t>
      </w:r>
      <w:r w:rsidR="00505FD1" w:rsidRPr="00DC6757">
        <w:rPr>
          <w:rFonts w:ascii="Times New Roman" w:hAnsi="Times New Roman"/>
          <w:sz w:val="24"/>
          <w:szCs w:val="24"/>
          <w:lang w:val="en-GB"/>
        </w:rPr>
        <w:t xml:space="preserve"> one parameter scaled damage model</w:t>
      </w:r>
      <w:r w:rsidR="00DC6757">
        <w:rPr>
          <w:rFonts w:ascii="Times New Roman" w:hAnsi="Times New Roman"/>
          <w:sz w:val="24"/>
          <w:szCs w:val="24"/>
          <w:lang w:val="en-GB"/>
        </w:rPr>
        <w:t xml:space="preserve"> </w:t>
      </w:r>
      <w:r w:rsidR="00046026" w:rsidRPr="00DC6757">
        <w:rPr>
          <w:rFonts w:ascii="Times New Roman" w:hAnsi="Times New Roman"/>
          <w:sz w:val="24"/>
          <w:szCs w:val="24"/>
          <w:lang w:val="en-GB"/>
        </w:rPr>
        <w:t>and</w:t>
      </w:r>
      <w:r w:rsidR="00DC6757">
        <w:rPr>
          <w:rFonts w:ascii="Times New Roman" w:hAnsi="Times New Roman"/>
          <w:sz w:val="24"/>
          <w:szCs w:val="24"/>
          <w:lang w:val="en-GB"/>
        </w:rPr>
        <w:t xml:space="preserve"> </w:t>
      </w:r>
      <w:r w:rsidR="00046026" w:rsidRPr="00DC6757">
        <w:rPr>
          <w:rFonts w:ascii="Times New Roman" w:hAnsi="Times New Roman"/>
          <w:sz w:val="24"/>
          <w:szCs w:val="24"/>
          <w:lang w:val="en-GB"/>
        </w:rPr>
        <w:t>damage accrual and recovery</w:t>
      </w:r>
      <w:r w:rsidR="00505FD1" w:rsidRPr="00DC6757">
        <w:rPr>
          <w:rFonts w:ascii="Times New Roman" w:hAnsi="Times New Roman"/>
          <w:sz w:val="24"/>
          <w:szCs w:val="24"/>
          <w:lang w:val="en-GB"/>
        </w:rPr>
        <w:t>while other approachs may include damage accrual and recovery</w:t>
      </w:r>
      <w:r w:rsidR="00DC6757">
        <w:rPr>
          <w:rFonts w:ascii="Times New Roman" w:hAnsi="Times New Roman"/>
          <w:sz w:val="24"/>
          <w:szCs w:val="24"/>
          <w:lang w:val="en-GB"/>
        </w:rPr>
        <w:t xml:space="preserve"> </w:t>
      </w:r>
      <w:r w:rsidR="00505FD1" w:rsidRPr="00DC6757">
        <w:rPr>
          <w:rFonts w:ascii="Times New Roman" w:hAnsi="Times New Roman"/>
          <w:sz w:val="24"/>
          <w:szCs w:val="24"/>
          <w:lang w:val="en-GB"/>
        </w:rPr>
        <w:t>(</w:t>
      </w:r>
      <w:r w:rsidR="00046026" w:rsidRPr="00DC6757">
        <w:rPr>
          <w:rFonts w:ascii="Times New Roman" w:hAnsi="Times New Roman"/>
          <w:sz w:val="24"/>
          <w:szCs w:val="24"/>
          <w:lang w:val="en-GB"/>
        </w:rPr>
        <w:t xml:space="preserve">(Jager et al. 2011, </w:t>
      </w:r>
      <w:r w:rsidR="00505FD1" w:rsidRPr="00DC6757">
        <w:rPr>
          <w:rFonts w:ascii="Times New Roman" w:hAnsi="Times New Roman"/>
          <w:sz w:val="24"/>
          <w:szCs w:val="24"/>
          <w:lang w:val="en-GB"/>
        </w:rPr>
        <w:t>Ashauer et al. 2007, Klanjscek et al</w:t>
      </w:r>
      <w:r w:rsidR="005D53E5" w:rsidRPr="00DC6757">
        <w:rPr>
          <w:rFonts w:ascii="Times New Roman" w:hAnsi="Times New Roman"/>
          <w:sz w:val="24"/>
          <w:szCs w:val="24"/>
          <w:lang w:val="en-GB"/>
        </w:rPr>
        <w:t>.</w:t>
      </w:r>
      <w:r w:rsidR="00505FD1" w:rsidRPr="00DC6757">
        <w:rPr>
          <w:rFonts w:ascii="Times New Roman" w:hAnsi="Times New Roman"/>
          <w:sz w:val="24"/>
          <w:szCs w:val="24"/>
          <w:lang w:val="en-GB"/>
        </w:rPr>
        <w:t xml:space="preserve"> 2016).</w:t>
      </w:r>
    </w:p>
    <w:p w14:paraId="576EF9FE" w14:textId="6B1826F5" w:rsidR="002C6384" w:rsidRPr="00DC6757" w:rsidRDefault="007F1364" w:rsidP="0053083E">
      <w:pPr>
        <w:pStyle w:val="address"/>
        <w:spacing w:line="480" w:lineRule="auto"/>
        <w:ind w:firstLine="720"/>
        <w:jc w:val="both"/>
        <w:rPr>
          <w:rFonts w:ascii="Times New Roman" w:hAnsi="Times New Roman"/>
          <w:sz w:val="24"/>
          <w:szCs w:val="24"/>
          <w:lang w:val="en-US"/>
        </w:rPr>
      </w:pPr>
      <w:r w:rsidRPr="00DC6757">
        <w:rPr>
          <w:rFonts w:ascii="Times New Roman" w:hAnsi="Times New Roman"/>
          <w:sz w:val="24"/>
          <w:szCs w:val="24"/>
          <w:lang w:val="en-GB"/>
        </w:rPr>
        <w:t>P</w:t>
      </w:r>
      <w:r w:rsidR="00505FD1" w:rsidRPr="00DC6757">
        <w:rPr>
          <w:rFonts w:ascii="Times New Roman" w:hAnsi="Times New Roman"/>
          <w:sz w:val="24"/>
          <w:szCs w:val="24"/>
          <w:lang w:val="en-GB"/>
        </w:rPr>
        <w:t xml:space="preserve">revious work suggests that </w:t>
      </w:r>
      <w:r w:rsidRPr="00DC6757">
        <w:rPr>
          <w:rFonts w:ascii="Times New Roman" w:hAnsi="Times New Roman"/>
          <w:sz w:val="24"/>
          <w:szCs w:val="24"/>
          <w:lang w:val="en-GB"/>
        </w:rPr>
        <w:t xml:space="preserve">the </w:t>
      </w:r>
      <w:r w:rsidR="00505FD1" w:rsidRPr="00DC6757">
        <w:rPr>
          <w:rFonts w:ascii="Times New Roman" w:hAnsi="Times New Roman"/>
          <w:sz w:val="24"/>
          <w:szCs w:val="24"/>
          <w:lang w:val="en-GB"/>
        </w:rPr>
        <w:t xml:space="preserve">damage concept </w:t>
      </w:r>
      <w:r w:rsidR="001F0024" w:rsidRPr="00DC6757">
        <w:rPr>
          <w:rFonts w:ascii="Times New Roman" w:hAnsi="Times New Roman"/>
          <w:sz w:val="24"/>
          <w:szCs w:val="24"/>
          <w:lang w:val="en-GB"/>
        </w:rPr>
        <w:t>may have value for</w:t>
      </w:r>
      <w:r w:rsidR="00505FD1" w:rsidRPr="00DC6757">
        <w:rPr>
          <w:rFonts w:ascii="Times New Roman" w:hAnsi="Times New Roman"/>
          <w:sz w:val="24"/>
          <w:szCs w:val="24"/>
          <w:lang w:val="en-GB"/>
        </w:rPr>
        <w:t xml:space="preserve"> linking qAOP and DEB</w:t>
      </w:r>
      <w:r w:rsidR="001F0024" w:rsidRPr="00DC6757">
        <w:rPr>
          <w:rFonts w:ascii="Times New Roman" w:hAnsi="Times New Roman"/>
          <w:sz w:val="24"/>
          <w:szCs w:val="24"/>
          <w:lang w:val="en-GB"/>
        </w:rPr>
        <w:t>.</w:t>
      </w:r>
      <w:r w:rsidR="00DC6757">
        <w:rPr>
          <w:rFonts w:ascii="Times New Roman" w:hAnsi="Times New Roman"/>
          <w:sz w:val="24"/>
          <w:szCs w:val="24"/>
          <w:lang w:val="en-GB"/>
        </w:rPr>
        <w:t xml:space="preserve"> </w:t>
      </w:r>
      <w:r w:rsidR="001F0024" w:rsidRPr="00DC6757">
        <w:rPr>
          <w:rFonts w:ascii="Times New Roman" w:hAnsi="Times New Roman"/>
          <w:sz w:val="24"/>
          <w:szCs w:val="24"/>
          <w:lang w:val="en-GB"/>
        </w:rPr>
        <w:t>An early study of receptor kinetics by Jager</w:t>
      </w:r>
      <w:r w:rsidR="002C6384" w:rsidRPr="00DC6757">
        <w:rPr>
          <w:rFonts w:ascii="Times New Roman" w:hAnsi="Times New Roman"/>
          <w:sz w:val="24"/>
          <w:szCs w:val="24"/>
          <w:lang w:val="en-GB"/>
        </w:rPr>
        <w:t xml:space="preserve"> and Kooijman (2005) </w:t>
      </w:r>
      <w:r w:rsidR="001F0024" w:rsidRPr="00DC6757">
        <w:rPr>
          <w:rFonts w:ascii="Times New Roman" w:hAnsi="Times New Roman"/>
          <w:sz w:val="24"/>
          <w:szCs w:val="24"/>
          <w:lang w:val="en-GB"/>
        </w:rPr>
        <w:t>analyzed</w:t>
      </w:r>
      <w:r w:rsidR="002C6384" w:rsidRPr="00DC6757">
        <w:rPr>
          <w:rFonts w:ascii="Times New Roman" w:hAnsi="Times New Roman"/>
          <w:sz w:val="24"/>
          <w:szCs w:val="24"/>
          <w:lang w:val="en-GB"/>
        </w:rPr>
        <w:t xml:space="preserve"> survival of organisms exposed to organophosphorus pesticides. </w:t>
      </w:r>
      <w:r w:rsidR="001F0024" w:rsidRPr="00DC6757">
        <w:rPr>
          <w:rFonts w:ascii="Times New Roman" w:hAnsi="Times New Roman"/>
          <w:sz w:val="24"/>
          <w:szCs w:val="24"/>
          <w:lang w:val="en-GB"/>
        </w:rPr>
        <w:t>This remarkably simple model assumed that</w:t>
      </w:r>
      <w:r w:rsidR="002C6384" w:rsidRPr="00DC6757">
        <w:rPr>
          <w:rFonts w:ascii="Times New Roman" w:hAnsi="Times New Roman"/>
          <w:sz w:val="24"/>
          <w:szCs w:val="24"/>
          <w:lang w:val="en-GB"/>
        </w:rPr>
        <w:t xml:space="preserve"> functional receptors are knocked out by the chemical, and functional receptors are turned into non-functional ones. Veltman et al. (2014) extend</w:t>
      </w:r>
      <w:r w:rsidRPr="00DC6757">
        <w:rPr>
          <w:rFonts w:ascii="Times New Roman" w:hAnsi="Times New Roman"/>
          <w:sz w:val="24"/>
          <w:szCs w:val="24"/>
          <w:lang w:val="en-GB"/>
        </w:rPr>
        <w:t>ed</w:t>
      </w:r>
      <w:r w:rsidR="002C6384" w:rsidRPr="00DC6757">
        <w:rPr>
          <w:rFonts w:ascii="Times New Roman" w:hAnsi="Times New Roman"/>
          <w:sz w:val="24"/>
          <w:szCs w:val="24"/>
          <w:lang w:val="en-GB"/>
        </w:rPr>
        <w:t xml:space="preserve"> this approach to predict sodium loss and acute mortality in several aquatic species. Enzyme (acetylcholinesterase) inhibition was also considered in the time-dependent accrual of damage on the molecular level to explain differential sensitivity at the organism level </w:t>
      </w:r>
      <w:r w:rsidR="001B1BF1" w:rsidRPr="00DC6757">
        <w:rPr>
          <w:rFonts w:ascii="Times New Roman" w:hAnsi="Times New Roman"/>
          <w:sz w:val="24"/>
          <w:szCs w:val="24"/>
          <w:lang w:val="en-GB"/>
        </w:rPr>
        <w:t xml:space="preserve">in </w:t>
      </w:r>
      <w:r w:rsidR="001B1BF1" w:rsidRPr="00DC6757">
        <w:rPr>
          <w:rFonts w:ascii="Times New Roman" w:hAnsi="Times New Roman"/>
          <w:i/>
          <w:sz w:val="24"/>
          <w:szCs w:val="24"/>
          <w:lang w:val="en-GB"/>
        </w:rPr>
        <w:t xml:space="preserve">Daphnia magna </w:t>
      </w:r>
      <w:r w:rsidR="002C6384" w:rsidRPr="00DC6757">
        <w:rPr>
          <w:rFonts w:ascii="Times New Roman" w:hAnsi="Times New Roman"/>
          <w:sz w:val="24"/>
          <w:szCs w:val="24"/>
          <w:lang w:val="en-GB"/>
        </w:rPr>
        <w:t>(Kretschmann et al. 2011, 2012).</w:t>
      </w:r>
      <w:r w:rsidR="00DC6757">
        <w:rPr>
          <w:rFonts w:ascii="Times New Roman" w:hAnsi="Times New Roman"/>
          <w:sz w:val="24"/>
          <w:szCs w:val="24"/>
          <w:lang w:val="en-GB"/>
        </w:rPr>
        <w:t xml:space="preserve"> </w:t>
      </w:r>
    </w:p>
    <w:p w14:paraId="57797A16" w14:textId="1EA312D6" w:rsidR="004D7DC4" w:rsidRPr="00DC6757" w:rsidRDefault="004D7DC4" w:rsidP="0053083E">
      <w:pPr>
        <w:pStyle w:val="NoSpacing"/>
        <w:spacing w:line="480" w:lineRule="auto"/>
        <w:ind w:firstLine="720"/>
        <w:jc w:val="both"/>
        <w:rPr>
          <w:rFonts w:ascii="Times New Roman" w:eastAsia="Times New Roman" w:hAnsi="Times New Roman" w:cs="Times New Roman"/>
          <w:lang w:eastAsia="el-GR"/>
        </w:rPr>
      </w:pPr>
      <w:r w:rsidRPr="00DC6757">
        <w:rPr>
          <w:rFonts w:ascii="Times New Roman" w:hAnsi="Times New Roman" w:cs="Times New Roman"/>
          <w:sz w:val="24"/>
          <w:szCs w:val="24"/>
          <w:lang w:val="en-US"/>
        </w:rPr>
        <w:lastRenderedPageBreak/>
        <w:t xml:space="preserve">The appealing simplicity and generality of DEB theory comes with a price; model quantities and processes have a relatively high level of abstraction. Auxiliary assumptions (that may be organism specific) link </w:t>
      </w:r>
      <w:r w:rsidR="001F0024" w:rsidRPr="00DC6757">
        <w:rPr>
          <w:rFonts w:ascii="Times New Roman" w:hAnsi="Times New Roman" w:cs="Times New Roman"/>
          <w:sz w:val="24"/>
          <w:szCs w:val="24"/>
          <w:lang w:val="en-US"/>
        </w:rPr>
        <w:t>abstract</w:t>
      </w:r>
      <w:r w:rsidRPr="00DC6757">
        <w:rPr>
          <w:rFonts w:ascii="Times New Roman" w:hAnsi="Times New Roman" w:cs="Times New Roman"/>
          <w:sz w:val="24"/>
          <w:szCs w:val="24"/>
          <w:lang w:val="en-US"/>
        </w:rPr>
        <w:t xml:space="preserve"> variables to quantities that can be measured directly such as length, wet or dry weight, respiration, time to/ length at first brood, egg output, and so on (Lika et al. 2011). </w:t>
      </w:r>
      <w:r w:rsidR="001F0024" w:rsidRPr="00DC6757">
        <w:rPr>
          <w:rFonts w:ascii="Times New Roman" w:hAnsi="Times New Roman" w:cs="Times New Roman"/>
          <w:sz w:val="24"/>
          <w:szCs w:val="24"/>
          <w:lang w:val="en-US"/>
        </w:rPr>
        <w:t xml:space="preserve">Yet there </w:t>
      </w:r>
      <w:r w:rsidRPr="00DC6757">
        <w:rPr>
          <w:rFonts w:ascii="Times New Roman" w:hAnsi="Times New Roman" w:cs="Times New Roman"/>
          <w:sz w:val="24"/>
          <w:szCs w:val="24"/>
          <w:lang w:val="en-US"/>
        </w:rPr>
        <w:t>is a large body of literature on methods for estimating DEB model parameters, including routine multivariate, nonlinear regression (or analogous likelihood) methods (</w:t>
      </w:r>
      <w:proofErr w:type="spellStart"/>
      <w:r w:rsidRPr="00DC6757">
        <w:rPr>
          <w:rFonts w:ascii="Times New Roman" w:hAnsi="Times New Roman" w:cs="Times New Roman"/>
          <w:sz w:val="24"/>
          <w:szCs w:val="24"/>
          <w:lang w:val="en-US"/>
        </w:rPr>
        <w:t>Kooijman</w:t>
      </w:r>
      <w:proofErr w:type="spellEnd"/>
      <w:r w:rsidRPr="00DC6757">
        <w:rPr>
          <w:rFonts w:ascii="Times New Roman" w:hAnsi="Times New Roman" w:cs="Times New Roman"/>
          <w:sz w:val="24"/>
          <w:szCs w:val="24"/>
          <w:lang w:val="en-US"/>
        </w:rPr>
        <w:t xml:space="preserve"> et al. 2008), a computer-intensive state-space method (</w:t>
      </w:r>
      <w:r w:rsidRPr="00DC6757">
        <w:rPr>
          <w:rFonts w:ascii="Times New Roman" w:hAnsi="Times New Roman" w:cs="Times New Roman"/>
          <w:bCs/>
          <w:sz w:val="24"/>
          <w:szCs w:val="24"/>
          <w:lang w:val="en-US"/>
        </w:rPr>
        <w:t>Fujiwara, et al. 2005), a</w:t>
      </w:r>
      <w:r w:rsidRPr="00DC6757">
        <w:rPr>
          <w:rFonts w:ascii="Times New Roman" w:hAnsi="Times New Roman" w:cs="Times New Roman"/>
          <w:sz w:val="24"/>
          <w:szCs w:val="24"/>
          <w:lang w:val="en-US"/>
        </w:rPr>
        <w:t xml:space="preserve"> Bayesian approach (</w:t>
      </w:r>
      <w:r w:rsidRPr="00DC6757">
        <w:rPr>
          <w:rFonts w:ascii="Times New Roman" w:hAnsi="Times New Roman" w:cs="Times New Roman"/>
          <w:bCs/>
          <w:sz w:val="24"/>
          <w:szCs w:val="24"/>
          <w:lang w:val="en-US"/>
        </w:rPr>
        <w:t>Johnson et al. 2013) and an innovative, heuristic "pseudo-Bayesian" approach (Lika et al. 2011)</w:t>
      </w:r>
      <w:r w:rsidR="001F0024" w:rsidRPr="00DC6757">
        <w:rPr>
          <w:rFonts w:ascii="Times New Roman" w:hAnsi="Times New Roman" w:cs="Times New Roman"/>
          <w:bCs/>
          <w:sz w:val="24"/>
          <w:szCs w:val="24"/>
          <w:lang w:val="en-US"/>
        </w:rPr>
        <w:t xml:space="preserve"> that is c</w:t>
      </w:r>
      <w:r w:rsidRPr="00DC6757">
        <w:rPr>
          <w:rFonts w:ascii="Times New Roman" w:eastAsia="Times New Roman" w:hAnsi="Times New Roman" w:cs="Times New Roman"/>
          <w:sz w:val="24"/>
          <w:szCs w:val="24"/>
          <w:lang w:eastAsia="el-GR"/>
        </w:rPr>
        <w:t xml:space="preserve">urrently, the most widely used approach to the estimation of DEB parameters </w:t>
      </w:r>
      <w:r w:rsidR="00F124B9" w:rsidRPr="00DC6757">
        <w:rPr>
          <w:rFonts w:ascii="Times New Roman" w:eastAsia="Times New Roman" w:hAnsi="Times New Roman" w:cs="Times New Roman"/>
          <w:sz w:val="24"/>
          <w:szCs w:val="24"/>
          <w:lang w:eastAsia="el-GR"/>
        </w:rPr>
        <w:t xml:space="preserve">(called </w:t>
      </w:r>
      <w:proofErr w:type="spellStart"/>
      <w:r w:rsidR="00F124B9" w:rsidRPr="00DC6757">
        <w:rPr>
          <w:rFonts w:ascii="Times New Roman" w:eastAsia="Times New Roman" w:hAnsi="Times New Roman" w:cs="Times New Roman"/>
          <w:sz w:val="24"/>
          <w:szCs w:val="24"/>
          <w:lang w:val="en-US" w:eastAsia="el-GR"/>
        </w:rPr>
        <w:t>AmP</w:t>
      </w:r>
      <w:proofErr w:type="spellEnd"/>
      <w:r w:rsidR="00DC6757">
        <w:rPr>
          <w:rFonts w:ascii="Times New Roman" w:eastAsia="Times New Roman" w:hAnsi="Times New Roman" w:cs="Times New Roman"/>
          <w:sz w:val="24"/>
          <w:szCs w:val="24"/>
          <w:lang w:eastAsia="el-GR"/>
        </w:rPr>
        <w:t xml:space="preserve"> </w:t>
      </w:r>
      <w:r w:rsidRPr="00DC6757">
        <w:rPr>
          <w:rFonts w:ascii="Times New Roman" w:hAnsi="Times New Roman" w:cs="Times New Roman"/>
          <w:sz w:val="24"/>
          <w:szCs w:val="24"/>
        </w:rPr>
        <w:t>http://www.bio.vu.nl/thb/</w:t>
      </w:r>
      <w:r w:rsidR="00F124B9" w:rsidRPr="00DC6757">
        <w:rPr>
          <w:rFonts w:ascii="Times New Roman" w:hAnsi="Times New Roman" w:cs="Times New Roman"/>
          <w:sz w:val="24"/>
          <w:szCs w:val="24"/>
        </w:rPr>
        <w:t>deb/deblab/add_my_pet/</w:t>
      </w:r>
      <w:r w:rsidRPr="00DC6757">
        <w:rPr>
          <w:rFonts w:ascii="Times New Roman" w:eastAsia="Times New Roman" w:hAnsi="Times New Roman" w:cs="Times New Roman"/>
          <w:sz w:val="24"/>
          <w:szCs w:val="24"/>
          <w:lang w:eastAsia="el-GR"/>
        </w:rPr>
        <w:t xml:space="preserve">) </w:t>
      </w:r>
    </w:p>
    <w:p w14:paraId="6A4D7EA6" w14:textId="77777777" w:rsidR="004D7DC4" w:rsidRPr="00DC6757" w:rsidRDefault="004D7DC4" w:rsidP="0053083E">
      <w:pPr>
        <w:spacing w:after="0" w:line="480" w:lineRule="auto"/>
        <w:rPr>
          <w:rFonts w:ascii="Times New Roman" w:hAnsi="Times New Roman" w:cs="Times New Roman"/>
          <w:sz w:val="24"/>
          <w:szCs w:val="24"/>
        </w:rPr>
      </w:pPr>
    </w:p>
    <w:p w14:paraId="3A008C48" w14:textId="77777777" w:rsidR="004D7DC4" w:rsidRPr="00DC6757" w:rsidRDefault="004D7DC4" w:rsidP="0053083E">
      <w:pPr>
        <w:spacing w:after="0" w:line="480" w:lineRule="auto"/>
        <w:rPr>
          <w:rFonts w:ascii="Times New Roman" w:hAnsi="Times New Roman" w:cs="Times New Roman"/>
          <w:b/>
          <w:sz w:val="24"/>
          <w:szCs w:val="24"/>
        </w:rPr>
      </w:pPr>
      <w:r w:rsidRPr="00DC6757">
        <w:rPr>
          <w:rFonts w:ascii="Times New Roman" w:hAnsi="Times New Roman" w:cs="Times New Roman"/>
          <w:b/>
          <w:sz w:val="24"/>
          <w:szCs w:val="24"/>
        </w:rPr>
        <w:t xml:space="preserve"> Linking AOP to DEB</w:t>
      </w:r>
    </w:p>
    <w:p w14:paraId="4212882A" w14:textId="455F34D7" w:rsidR="00133BFA" w:rsidRPr="00DC6757" w:rsidRDefault="00133BFA" w:rsidP="00C16B36">
      <w:pPr>
        <w:pStyle w:val="CommentText"/>
        <w:spacing w:line="480" w:lineRule="auto"/>
        <w:ind w:firstLine="720"/>
        <w:rPr>
          <w:rFonts w:ascii="Times New Roman" w:hAnsi="Times New Roman" w:cs="Times New Roman"/>
        </w:rPr>
      </w:pPr>
      <w:proofErr w:type="spellStart"/>
      <w:r w:rsidRPr="00DC6757">
        <w:rPr>
          <w:rFonts w:ascii="Times New Roman" w:eastAsia="Times New Roman" w:hAnsi="Times New Roman" w:cs="Times New Roman"/>
          <w:lang w:eastAsia="el-GR"/>
        </w:rPr>
        <w:t>qAOP</w:t>
      </w:r>
      <w:proofErr w:type="spellEnd"/>
      <w:r w:rsidRPr="00DC6757">
        <w:rPr>
          <w:rFonts w:ascii="Times New Roman" w:eastAsia="Times New Roman" w:hAnsi="Times New Roman" w:cs="Times New Roman"/>
          <w:lang w:eastAsia="el-GR"/>
        </w:rPr>
        <w:t xml:space="preserve"> </w:t>
      </w:r>
      <w:r w:rsidRPr="00DC6757">
        <w:rPr>
          <w:rFonts w:ascii="Times New Roman" w:hAnsi="Times New Roman" w:cs="Times New Roman"/>
        </w:rPr>
        <w:t xml:space="preserve">and DEB models have contrasting strength and weaknesses. </w:t>
      </w:r>
      <w:r w:rsidR="00005B77" w:rsidRPr="00DC6757">
        <w:rPr>
          <w:rFonts w:ascii="Times New Roman" w:hAnsi="Times New Roman" w:cs="Times New Roman"/>
        </w:rPr>
        <w:t xml:space="preserve">The approach presented </w:t>
      </w:r>
      <w:r w:rsidR="00030856" w:rsidRPr="00DC6757">
        <w:rPr>
          <w:rFonts w:ascii="Times New Roman" w:hAnsi="Times New Roman" w:cs="Times New Roman"/>
        </w:rPr>
        <w:t>here</w:t>
      </w:r>
      <w:r w:rsidR="00005B77" w:rsidRPr="00DC6757">
        <w:rPr>
          <w:rFonts w:ascii="Times New Roman" w:hAnsi="Times New Roman" w:cs="Times New Roman"/>
        </w:rPr>
        <w:t xml:space="preserve"> </w:t>
      </w:r>
      <w:r w:rsidR="00030856" w:rsidRPr="00DC6757">
        <w:rPr>
          <w:rFonts w:ascii="Times New Roman" w:hAnsi="Times New Roman" w:cs="Times New Roman"/>
        </w:rPr>
        <w:t xml:space="preserve">attempts </w:t>
      </w:r>
      <w:r w:rsidR="00005B77" w:rsidRPr="00DC6757">
        <w:rPr>
          <w:rFonts w:ascii="Times New Roman" w:hAnsi="Times New Roman" w:cs="Times New Roman"/>
        </w:rPr>
        <w:t>to reduce the weaknesses and strengthen the advantages of either method.</w:t>
      </w:r>
      <w:r w:rsidRPr="00DC6757">
        <w:rPr>
          <w:rFonts w:ascii="Times New Roman" w:hAnsi="Times New Roman" w:cs="Times New Roman"/>
        </w:rPr>
        <w:t xml:space="preserve"> </w:t>
      </w:r>
      <w:r w:rsidRPr="00DC6757">
        <w:rPr>
          <w:rFonts w:ascii="Times New Roman" w:eastAsia="Times New Roman" w:hAnsi="Times New Roman" w:cs="Times New Roman"/>
        </w:rPr>
        <w:t xml:space="preserve">Both the AOP and the DEB approach have the </w:t>
      </w:r>
      <w:proofErr w:type="gramStart"/>
      <w:r w:rsidRPr="00DC6757">
        <w:rPr>
          <w:rFonts w:ascii="Times New Roman" w:eastAsia="Times New Roman" w:hAnsi="Times New Roman" w:cs="Times New Roman"/>
        </w:rPr>
        <w:t>ultimate goal</w:t>
      </w:r>
      <w:proofErr w:type="gramEnd"/>
      <w:r w:rsidRPr="00DC6757">
        <w:rPr>
          <w:rFonts w:ascii="Times New Roman" w:eastAsia="Times New Roman" w:hAnsi="Times New Roman" w:cs="Times New Roman"/>
        </w:rPr>
        <w:t xml:space="preserve"> of informing predictions on ecologically important process, most of which occur at population, community or ecosystem levels (Fig. 1).</w:t>
      </w:r>
      <w:r w:rsidR="00DC6757">
        <w:rPr>
          <w:rFonts w:ascii="Times New Roman" w:eastAsia="Times New Roman" w:hAnsi="Times New Roman" w:cs="Times New Roman"/>
        </w:rPr>
        <w:t xml:space="preserve"> </w:t>
      </w:r>
      <w:r w:rsidRPr="00DC6757">
        <w:rPr>
          <w:rFonts w:ascii="Times New Roman" w:eastAsia="Times New Roman" w:hAnsi="Times New Roman" w:cs="Times New Roman"/>
        </w:rPr>
        <w:t xml:space="preserve">The DEB modeling framework has the potential to integrate </w:t>
      </w:r>
      <w:proofErr w:type="spellStart"/>
      <w:r w:rsidRPr="00DC6757">
        <w:rPr>
          <w:rFonts w:ascii="Times New Roman" w:eastAsia="Times New Roman" w:hAnsi="Times New Roman" w:cs="Times New Roman"/>
        </w:rPr>
        <w:t>suborganismal</w:t>
      </w:r>
      <w:proofErr w:type="spellEnd"/>
      <w:r w:rsidRPr="00DC6757">
        <w:rPr>
          <w:rFonts w:ascii="Times New Roman" w:eastAsia="Times New Roman" w:hAnsi="Times New Roman" w:cs="Times New Roman"/>
        </w:rPr>
        <w:t xml:space="preserve"> processes from the AOP framework</w:t>
      </w:r>
      <w:r w:rsidR="009B490D" w:rsidRPr="00DC6757">
        <w:rPr>
          <w:rFonts w:ascii="Times New Roman" w:eastAsia="Times New Roman" w:hAnsi="Times New Roman" w:cs="Times New Roman"/>
        </w:rPr>
        <w:t>,</w:t>
      </w:r>
      <w:r w:rsidRPr="00DC6757">
        <w:rPr>
          <w:rFonts w:ascii="Times New Roman" w:eastAsia="Times New Roman" w:hAnsi="Times New Roman" w:cs="Times New Roman"/>
        </w:rPr>
        <w:t xml:space="preserve"> to fine tune the mechanism by which a stressor operates and to potentially inco</w:t>
      </w:r>
      <w:r w:rsidR="003E25A7" w:rsidRPr="00DC6757">
        <w:rPr>
          <w:rFonts w:ascii="Times New Roman" w:eastAsia="Times New Roman" w:hAnsi="Times New Roman" w:cs="Times New Roman"/>
        </w:rPr>
        <w:t xml:space="preserve">rporate high throughput testing, potentially from previously developed assays in </w:t>
      </w:r>
      <w:proofErr w:type="spellStart"/>
      <w:r w:rsidR="003E25A7" w:rsidRPr="00DC6757">
        <w:rPr>
          <w:rFonts w:ascii="Times New Roman" w:eastAsia="Times New Roman" w:hAnsi="Times New Roman" w:cs="Times New Roman"/>
        </w:rPr>
        <w:t>ToxCast</w:t>
      </w:r>
      <w:proofErr w:type="spellEnd"/>
      <w:r w:rsidR="003E25A7" w:rsidRPr="00DC6757">
        <w:rPr>
          <w:rFonts w:ascii="Times New Roman" w:eastAsia="Times New Roman" w:hAnsi="Times New Roman" w:cs="Times New Roman"/>
        </w:rPr>
        <w:t xml:space="preserve"> (</w:t>
      </w:r>
      <w:r w:rsidRPr="00DC6757">
        <w:rPr>
          <w:rFonts w:ascii="Times New Roman" w:eastAsia="Times New Roman" w:hAnsi="Times New Roman" w:cs="Times New Roman"/>
        </w:rPr>
        <w:t xml:space="preserve"> </w:t>
      </w:r>
      <w:hyperlink r:id="rId10" w:history="1">
        <w:r w:rsidR="003E25A7" w:rsidRPr="00DC6757">
          <w:rPr>
            <w:rStyle w:val="Hyperlink"/>
            <w:rFonts w:ascii="Times New Roman" w:hAnsi="Times New Roman" w:cs="Times New Roman"/>
          </w:rPr>
          <w:t>https://www.epa.gov/chemical-research/toxcast-dashboard</w:t>
        </w:r>
      </w:hyperlink>
      <w:r w:rsidR="003E25A7" w:rsidRPr="00DC6757">
        <w:rPr>
          <w:rFonts w:ascii="Times New Roman" w:hAnsi="Times New Roman" w:cs="Times New Roman"/>
        </w:rPr>
        <w:t>).</w:t>
      </w:r>
      <w:r w:rsidRPr="00DC6757">
        <w:rPr>
          <w:rFonts w:ascii="Times New Roman" w:eastAsia="Times New Roman" w:hAnsi="Times New Roman" w:cs="Times New Roman"/>
        </w:rPr>
        <w:t xml:space="preserve"> The importance of our overarching goal of using inform</w:t>
      </w:r>
      <w:r w:rsidR="003E25A7" w:rsidRPr="00DC6757">
        <w:rPr>
          <w:rFonts w:ascii="Times New Roman" w:eastAsia="Times New Roman" w:hAnsi="Times New Roman" w:cs="Times New Roman"/>
        </w:rPr>
        <w:t xml:space="preserve">ation on </w:t>
      </w:r>
      <w:proofErr w:type="spellStart"/>
      <w:r w:rsidR="003E25A7" w:rsidRPr="00DC6757">
        <w:rPr>
          <w:rFonts w:ascii="Times New Roman" w:eastAsia="Times New Roman" w:hAnsi="Times New Roman" w:cs="Times New Roman"/>
        </w:rPr>
        <w:t>suborganismal</w:t>
      </w:r>
      <w:proofErr w:type="spellEnd"/>
      <w:r w:rsidR="003E25A7" w:rsidRPr="00DC6757">
        <w:rPr>
          <w:rFonts w:ascii="Times New Roman" w:eastAsia="Times New Roman" w:hAnsi="Times New Roman" w:cs="Times New Roman"/>
        </w:rPr>
        <w:t xml:space="preserve"> toxicity </w:t>
      </w:r>
      <w:r w:rsidRPr="00DC6757">
        <w:rPr>
          <w:rFonts w:ascii="Times New Roman" w:eastAsia="Times New Roman" w:hAnsi="Times New Roman" w:cs="Times New Roman"/>
        </w:rPr>
        <w:t xml:space="preserve">for population dynamic projections was highlighted by Martin et al. (2014) who constructed an individual-based population model for </w:t>
      </w:r>
      <w:r w:rsidRPr="00DC6757">
        <w:rPr>
          <w:rFonts w:ascii="Times New Roman" w:eastAsia="Times New Roman" w:hAnsi="Times New Roman" w:cs="Times New Roman"/>
          <w:i/>
        </w:rPr>
        <w:t>Daphnia</w:t>
      </w:r>
      <w:r w:rsidRPr="00DC6757">
        <w:rPr>
          <w:rFonts w:ascii="Times New Roman" w:eastAsia="Times New Roman" w:hAnsi="Times New Roman" w:cs="Times New Roman"/>
        </w:rPr>
        <w:t xml:space="preserve"> interacting with their algal food. They found that the outcome commonly depends </w:t>
      </w:r>
      <w:r w:rsidRPr="00DC6757">
        <w:rPr>
          <w:rFonts w:ascii="Times New Roman" w:eastAsia="Times New Roman" w:hAnsi="Times New Roman" w:cs="Times New Roman"/>
        </w:rPr>
        <w:lastRenderedPageBreak/>
        <w:t xml:space="preserve">strongly on the </w:t>
      </w:r>
      <w:proofErr w:type="spellStart"/>
      <w:r w:rsidRPr="00DC6757">
        <w:rPr>
          <w:rFonts w:ascii="Times New Roman" w:eastAsia="Times New Roman" w:hAnsi="Times New Roman" w:cs="Times New Roman"/>
        </w:rPr>
        <w:t>suborganismal</w:t>
      </w:r>
      <w:proofErr w:type="spellEnd"/>
      <w:r w:rsidRPr="00DC6757">
        <w:rPr>
          <w:rFonts w:ascii="Times New Roman" w:eastAsia="Times New Roman" w:hAnsi="Times New Roman" w:cs="Times New Roman"/>
        </w:rPr>
        <w:t xml:space="preserve"> mode of action. Indeed, when consumer-resource interactions are considered, toxicity mediated by different physiological processes that lead to the same outcome in a standard reproduction test may cause drastically different effects at the population level. These ranged from almost no effect to extinction, with </w:t>
      </w:r>
      <w:r w:rsidR="009B490D" w:rsidRPr="00DC6757">
        <w:rPr>
          <w:rFonts w:ascii="Times New Roman" w:eastAsia="Times New Roman" w:hAnsi="Times New Roman" w:cs="Times New Roman"/>
        </w:rPr>
        <w:t xml:space="preserve">contrasting </w:t>
      </w:r>
      <w:r w:rsidRPr="00DC6757">
        <w:rPr>
          <w:rFonts w:ascii="Times New Roman" w:eastAsia="Times New Roman" w:hAnsi="Times New Roman" w:cs="Times New Roman"/>
        </w:rPr>
        <w:t xml:space="preserve">impacts on total population and biomass </w:t>
      </w:r>
      <w:r w:rsidR="00862222" w:rsidRPr="00DC6757">
        <w:rPr>
          <w:rFonts w:ascii="Times New Roman" w:eastAsia="Times New Roman" w:hAnsi="Times New Roman" w:cs="Times New Roman"/>
        </w:rPr>
        <w:t xml:space="preserve">of stressors that involve different </w:t>
      </w:r>
      <w:proofErr w:type="spellStart"/>
      <w:r w:rsidR="00862222" w:rsidRPr="00DC6757">
        <w:rPr>
          <w:rFonts w:ascii="Times New Roman" w:eastAsia="Times New Roman" w:hAnsi="Times New Roman" w:cs="Times New Roman"/>
        </w:rPr>
        <w:t>pMoAs</w:t>
      </w:r>
      <w:proofErr w:type="spellEnd"/>
      <w:r w:rsidR="00862222" w:rsidRPr="00DC6757">
        <w:rPr>
          <w:rFonts w:ascii="Times New Roman" w:eastAsia="Times New Roman" w:hAnsi="Times New Roman" w:cs="Times New Roman"/>
        </w:rPr>
        <w:t>.</w:t>
      </w:r>
      <w:r w:rsidR="00DC6757">
        <w:rPr>
          <w:rFonts w:ascii="Times New Roman" w:eastAsia="Times New Roman" w:hAnsi="Times New Roman" w:cs="Times New Roman"/>
        </w:rPr>
        <w:t xml:space="preserve"> </w:t>
      </w:r>
      <w:r w:rsidR="00862222" w:rsidRPr="00DC6757">
        <w:rPr>
          <w:rFonts w:ascii="Times New Roman" w:eastAsia="Times New Roman" w:hAnsi="Times New Roman" w:cs="Times New Roman"/>
        </w:rPr>
        <w:t xml:space="preserve">For example, a direct effect on reproduction caused a decrease in equilibrium population abundance but little </w:t>
      </w:r>
      <w:r w:rsidR="00046026" w:rsidRPr="00DC6757">
        <w:rPr>
          <w:rFonts w:ascii="Times New Roman" w:eastAsia="Times New Roman" w:hAnsi="Times New Roman" w:cs="Times New Roman"/>
        </w:rPr>
        <w:t>change</w:t>
      </w:r>
      <w:r w:rsidR="00862222" w:rsidRPr="00DC6757">
        <w:rPr>
          <w:rFonts w:ascii="Times New Roman" w:eastAsia="Times New Roman" w:hAnsi="Times New Roman" w:cs="Times New Roman"/>
        </w:rPr>
        <w:t xml:space="preserve"> in population biomass, whereas a </w:t>
      </w:r>
      <w:proofErr w:type="spellStart"/>
      <w:r w:rsidR="00862222" w:rsidRPr="00DC6757">
        <w:rPr>
          <w:rFonts w:ascii="Times New Roman" w:eastAsia="Times New Roman" w:hAnsi="Times New Roman" w:cs="Times New Roman"/>
        </w:rPr>
        <w:t>pMoA</w:t>
      </w:r>
      <w:proofErr w:type="spellEnd"/>
      <w:r w:rsidR="00862222" w:rsidRPr="00DC6757">
        <w:rPr>
          <w:rFonts w:ascii="Times New Roman" w:eastAsia="Times New Roman" w:hAnsi="Times New Roman" w:cs="Times New Roman"/>
        </w:rPr>
        <w:t xml:space="preserve"> that changed the growth efficiency </w:t>
      </w:r>
      <w:r w:rsidR="001E0ED5" w:rsidRPr="00DC6757">
        <w:rPr>
          <w:rFonts w:ascii="Times New Roman" w:eastAsia="Times New Roman" w:hAnsi="Times New Roman" w:cs="Times New Roman"/>
        </w:rPr>
        <w:t>led to a reduction in population biomass accompanied commonly by an increase in total population.</w:t>
      </w:r>
      <w:r w:rsidR="00DC6757">
        <w:rPr>
          <w:rFonts w:ascii="Times New Roman" w:eastAsia="Times New Roman" w:hAnsi="Times New Roman" w:cs="Times New Roman"/>
        </w:rPr>
        <w:t xml:space="preserve"> </w:t>
      </w:r>
      <w:r w:rsidR="001E0ED5" w:rsidRPr="00DC6757">
        <w:rPr>
          <w:rFonts w:ascii="Times New Roman" w:eastAsia="Times New Roman" w:hAnsi="Times New Roman" w:cs="Times New Roman"/>
        </w:rPr>
        <w:t>Stressors that changed fe</w:t>
      </w:r>
      <w:r w:rsidR="00046026" w:rsidRPr="00DC6757">
        <w:rPr>
          <w:rFonts w:ascii="Times New Roman" w:eastAsia="Times New Roman" w:hAnsi="Times New Roman" w:cs="Times New Roman"/>
        </w:rPr>
        <w:t>e</w:t>
      </w:r>
      <w:r w:rsidR="001E0ED5" w:rsidRPr="00DC6757">
        <w:rPr>
          <w:rFonts w:ascii="Times New Roman" w:eastAsia="Times New Roman" w:hAnsi="Times New Roman" w:cs="Times New Roman"/>
        </w:rPr>
        <w:t xml:space="preserve">ding/assimilation or </w:t>
      </w:r>
      <w:r w:rsidR="00046026" w:rsidRPr="00DC6757">
        <w:rPr>
          <w:rFonts w:ascii="Times New Roman" w:eastAsia="Times New Roman" w:hAnsi="Times New Roman" w:cs="Times New Roman"/>
        </w:rPr>
        <w:t xml:space="preserve">maintenance </w:t>
      </w:r>
      <w:proofErr w:type="spellStart"/>
      <w:r w:rsidR="001E0ED5" w:rsidRPr="00DC6757">
        <w:rPr>
          <w:rFonts w:ascii="Times New Roman" w:eastAsia="Times New Roman" w:hAnsi="Times New Roman" w:cs="Times New Roman"/>
        </w:rPr>
        <w:t>ce</w:t>
      </w:r>
      <w:proofErr w:type="spellEnd"/>
      <w:r w:rsidR="001E0ED5" w:rsidRPr="00DC6757">
        <w:rPr>
          <w:rFonts w:ascii="Times New Roman" w:eastAsia="Times New Roman" w:hAnsi="Times New Roman" w:cs="Times New Roman"/>
        </w:rPr>
        <w:t xml:space="preserve"> rates caused simultaneous reductions in abundance on biomass.</w:t>
      </w:r>
      <w:r w:rsidR="00DC6757">
        <w:rPr>
          <w:rFonts w:ascii="Times New Roman" w:eastAsia="Times New Roman" w:hAnsi="Times New Roman" w:cs="Times New Roman"/>
        </w:rPr>
        <w:t xml:space="preserve"> </w:t>
      </w:r>
      <w:r w:rsidR="001E0ED5" w:rsidRPr="00DC6757">
        <w:rPr>
          <w:rFonts w:ascii="Times New Roman" w:eastAsia="Times New Roman" w:hAnsi="Times New Roman" w:cs="Times New Roman"/>
        </w:rPr>
        <w:t xml:space="preserve">These different responses were accompanied by </w:t>
      </w:r>
      <w:proofErr w:type="spellStart"/>
      <w:r w:rsidR="001E0ED5" w:rsidRPr="00DC6757">
        <w:rPr>
          <w:rFonts w:ascii="Times New Roman" w:eastAsia="Times New Roman" w:hAnsi="Times New Roman" w:cs="Times New Roman"/>
        </w:rPr>
        <w:t>by</w:t>
      </w:r>
      <w:proofErr w:type="spellEnd"/>
      <w:r w:rsidR="001E0ED5" w:rsidRPr="00DC6757">
        <w:rPr>
          <w:rFonts w:ascii="Times New Roman" w:eastAsia="Times New Roman" w:hAnsi="Times New Roman" w:cs="Times New Roman"/>
        </w:rPr>
        <w:t xml:space="preserve"> </w:t>
      </w:r>
      <w:r w:rsidRPr="00DC6757">
        <w:rPr>
          <w:rFonts w:ascii="Times New Roman" w:eastAsia="Times New Roman" w:hAnsi="Times New Roman" w:cs="Times New Roman"/>
        </w:rPr>
        <w:t>substantial changes in size structure</w:t>
      </w:r>
      <w:r w:rsidR="001E0ED5" w:rsidRPr="00DC6757">
        <w:rPr>
          <w:rFonts w:ascii="Times New Roman" w:eastAsia="Times New Roman" w:hAnsi="Times New Roman" w:cs="Times New Roman"/>
        </w:rPr>
        <w:t>, potentially of ecological importance for zooplankters in a food web</w:t>
      </w:r>
      <w:r w:rsidRPr="00DC6757">
        <w:rPr>
          <w:rFonts w:ascii="Times New Roman" w:eastAsia="Times New Roman" w:hAnsi="Times New Roman" w:cs="Times New Roman"/>
        </w:rPr>
        <w:t xml:space="preserve">. </w:t>
      </w:r>
    </w:p>
    <w:p w14:paraId="5BFE7D36" w14:textId="6911D586" w:rsidR="00133BFA" w:rsidRPr="00DC6757" w:rsidRDefault="00133BFA" w:rsidP="0053083E">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Essentially an AOP represents a pathway that is integral to a DEB, and we propose that translations from one to </w:t>
      </w:r>
      <w:r w:rsidR="001B1BF1" w:rsidRPr="00DC6757">
        <w:rPr>
          <w:rFonts w:ascii="Times New Roman" w:hAnsi="Times New Roman" w:cs="Times New Roman"/>
          <w:sz w:val="24"/>
          <w:szCs w:val="24"/>
        </w:rPr>
        <w:t>an</w:t>
      </w:r>
      <w:r w:rsidRPr="00DC6757">
        <w:rPr>
          <w:rFonts w:ascii="Times New Roman" w:hAnsi="Times New Roman" w:cs="Times New Roman"/>
          <w:sz w:val="24"/>
          <w:szCs w:val="24"/>
        </w:rPr>
        <w:t>other are possible b</w:t>
      </w:r>
      <w:r w:rsidR="00AB15FF" w:rsidRPr="00DC6757">
        <w:rPr>
          <w:rFonts w:ascii="Times New Roman" w:hAnsi="Times New Roman" w:cs="Times New Roman"/>
          <w:sz w:val="24"/>
          <w:szCs w:val="24"/>
        </w:rPr>
        <w:t>y utilizing the</w:t>
      </w:r>
      <w:r w:rsidRPr="00DC6757">
        <w:rPr>
          <w:rFonts w:ascii="Times New Roman" w:hAnsi="Times New Roman" w:cs="Times New Roman"/>
          <w:sz w:val="24"/>
          <w:szCs w:val="24"/>
        </w:rPr>
        <w:t xml:space="preserve"> damage</w:t>
      </w:r>
      <w:r w:rsidR="00AB15FF" w:rsidRPr="00DC6757">
        <w:rPr>
          <w:rFonts w:ascii="Times New Roman" w:hAnsi="Times New Roman" w:cs="Times New Roman"/>
          <w:sz w:val="24"/>
          <w:szCs w:val="24"/>
        </w:rPr>
        <w:t xml:space="preserve"> variable introduced in the preceding section</w:t>
      </w:r>
      <w:r w:rsidRPr="00DC6757">
        <w:rPr>
          <w:rFonts w:ascii="Times New Roman" w:hAnsi="Times New Roman" w:cs="Times New Roman"/>
          <w:sz w:val="24"/>
          <w:szCs w:val="24"/>
        </w:rPr>
        <w:t>. Within the AOP, KEs and adverse outcomes that occur at the molecular, cellular, organ and whole organism level can influence DEB parameters</w:t>
      </w:r>
      <w:r w:rsidR="008E3171" w:rsidRPr="00DC6757">
        <w:rPr>
          <w:rFonts w:ascii="Times New Roman" w:hAnsi="Times New Roman" w:cs="Times New Roman"/>
          <w:sz w:val="24"/>
          <w:szCs w:val="24"/>
        </w:rPr>
        <w:t xml:space="preserve"> and hence have a significant effect </w:t>
      </w:r>
      <w:r w:rsidR="00AB15FF" w:rsidRPr="00DC6757">
        <w:rPr>
          <w:rFonts w:ascii="Times New Roman" w:hAnsi="Times New Roman" w:cs="Times New Roman"/>
          <w:sz w:val="24"/>
          <w:szCs w:val="24"/>
        </w:rPr>
        <w:t xml:space="preserve">on the </w:t>
      </w:r>
      <w:r w:rsidRPr="00DC6757">
        <w:rPr>
          <w:rFonts w:ascii="Times New Roman" w:hAnsi="Times New Roman" w:cs="Times New Roman"/>
          <w:sz w:val="24"/>
          <w:szCs w:val="24"/>
        </w:rPr>
        <w:t>damage</w:t>
      </w:r>
      <w:r w:rsidR="00AB15FF" w:rsidRPr="00DC6757">
        <w:rPr>
          <w:rFonts w:ascii="Times New Roman" w:hAnsi="Times New Roman" w:cs="Times New Roman"/>
          <w:sz w:val="24"/>
          <w:szCs w:val="24"/>
        </w:rPr>
        <w:t xml:space="preserve"> variable(s)</w:t>
      </w:r>
      <w:r w:rsidR="00E1240A" w:rsidRPr="00DC6757">
        <w:rPr>
          <w:rFonts w:ascii="Times New Roman" w:hAnsi="Times New Roman" w:cs="Times New Roman"/>
          <w:sz w:val="24"/>
          <w:szCs w:val="24"/>
        </w:rPr>
        <w:t>.</w:t>
      </w:r>
      <w:r w:rsidRPr="00DC6757">
        <w:rPr>
          <w:rFonts w:ascii="Times New Roman" w:hAnsi="Times New Roman" w:cs="Times New Roman"/>
          <w:sz w:val="24"/>
          <w:szCs w:val="24"/>
        </w:rPr>
        <w:t xml:space="preserve"> </w:t>
      </w:r>
      <w:r w:rsidR="00DC4349" w:rsidRPr="00DC6757">
        <w:rPr>
          <w:rFonts w:ascii="Times New Roman" w:hAnsi="Times New Roman" w:cs="Times New Roman"/>
          <w:sz w:val="24"/>
          <w:szCs w:val="24"/>
        </w:rPr>
        <w:t>A t</w:t>
      </w:r>
      <w:r w:rsidR="005209EC" w:rsidRPr="00DC6757">
        <w:rPr>
          <w:rFonts w:ascii="Times New Roman" w:hAnsi="Times New Roman" w:cs="Times New Roman"/>
          <w:sz w:val="24"/>
          <w:szCs w:val="24"/>
        </w:rPr>
        <w:t xml:space="preserve">heory </w:t>
      </w:r>
      <w:r w:rsidR="00DC4349" w:rsidRPr="00DC6757">
        <w:rPr>
          <w:rFonts w:ascii="Times New Roman" w:hAnsi="Times New Roman" w:cs="Times New Roman"/>
          <w:sz w:val="24"/>
          <w:szCs w:val="24"/>
        </w:rPr>
        <w:t xml:space="preserve">that </w:t>
      </w:r>
      <w:r w:rsidR="005209EC" w:rsidRPr="00DC6757">
        <w:rPr>
          <w:rFonts w:ascii="Times New Roman" w:hAnsi="Times New Roman" w:cs="Times New Roman"/>
          <w:sz w:val="24"/>
          <w:szCs w:val="24"/>
        </w:rPr>
        <w:t>offer</w:t>
      </w:r>
      <w:r w:rsidR="00DC4349" w:rsidRPr="00DC6757">
        <w:rPr>
          <w:rFonts w:ascii="Times New Roman" w:hAnsi="Times New Roman" w:cs="Times New Roman"/>
          <w:sz w:val="24"/>
          <w:szCs w:val="24"/>
        </w:rPr>
        <w:t>s</w:t>
      </w:r>
      <w:r w:rsidR="005209EC" w:rsidRPr="00DC6757">
        <w:rPr>
          <w:rFonts w:ascii="Times New Roman" w:hAnsi="Times New Roman" w:cs="Times New Roman"/>
          <w:sz w:val="24"/>
          <w:szCs w:val="24"/>
        </w:rPr>
        <w:t xml:space="preserve"> semi-mechanistic </w:t>
      </w:r>
      <w:proofErr w:type="spellStart"/>
      <w:r w:rsidR="005209EC" w:rsidRPr="00DC6757">
        <w:rPr>
          <w:rFonts w:ascii="Times New Roman" w:hAnsi="Times New Roman" w:cs="Times New Roman"/>
          <w:sz w:val="24"/>
          <w:szCs w:val="24"/>
        </w:rPr>
        <w:t>submodels</w:t>
      </w:r>
      <w:proofErr w:type="spellEnd"/>
      <w:r w:rsidR="005209EC" w:rsidRPr="00DC6757">
        <w:rPr>
          <w:rFonts w:ascii="Times New Roman" w:hAnsi="Times New Roman" w:cs="Times New Roman"/>
          <w:sz w:val="24"/>
          <w:szCs w:val="24"/>
        </w:rPr>
        <w:t xml:space="preserve"> for connecting damage to fluxes was recently developed (Muller et al</w:t>
      </w:r>
      <w:r w:rsidR="006F2A52" w:rsidRPr="00DC6757">
        <w:rPr>
          <w:rFonts w:ascii="Times New Roman" w:hAnsi="Times New Roman" w:cs="Times New Roman"/>
          <w:sz w:val="24"/>
          <w:szCs w:val="24"/>
        </w:rPr>
        <w:t>.</w:t>
      </w:r>
      <w:r w:rsidR="005209EC" w:rsidRPr="00DC6757">
        <w:rPr>
          <w:rFonts w:ascii="Times New Roman" w:hAnsi="Times New Roman" w:cs="Times New Roman"/>
          <w:sz w:val="24"/>
          <w:szCs w:val="24"/>
        </w:rPr>
        <w:t xml:space="preserve"> </w:t>
      </w:r>
      <w:r w:rsidR="005F3F64" w:rsidRPr="00DC6757">
        <w:rPr>
          <w:rFonts w:ascii="Times New Roman" w:hAnsi="Times New Roman" w:cs="Times New Roman"/>
          <w:sz w:val="24"/>
          <w:szCs w:val="24"/>
        </w:rPr>
        <w:t>in press</w:t>
      </w:r>
      <w:r w:rsidR="005209EC" w:rsidRPr="00DC6757">
        <w:rPr>
          <w:rFonts w:ascii="Times New Roman" w:hAnsi="Times New Roman" w:cs="Times New Roman"/>
          <w:sz w:val="24"/>
          <w:szCs w:val="24"/>
        </w:rPr>
        <w:t xml:space="preserve">) and provides a flexible framework. </w:t>
      </w:r>
      <w:r w:rsidRPr="00DC6757">
        <w:rPr>
          <w:rFonts w:ascii="Times New Roman" w:hAnsi="Times New Roman" w:cs="Times New Roman"/>
          <w:sz w:val="24"/>
          <w:szCs w:val="24"/>
        </w:rPr>
        <w:t>This potentially integrates the AOP into a more holistic DEB model that uses a</w:t>
      </w:r>
      <w:r w:rsidR="00073C47" w:rsidRPr="00DC6757">
        <w:rPr>
          <w:rFonts w:ascii="Times New Roman" w:hAnsi="Times New Roman" w:cs="Times New Roman"/>
          <w:sz w:val="24"/>
          <w:szCs w:val="24"/>
        </w:rPr>
        <w:t xml:space="preserve"> relatively</w:t>
      </w:r>
      <w:r w:rsidRPr="00DC6757">
        <w:rPr>
          <w:rFonts w:ascii="Times New Roman" w:hAnsi="Times New Roman" w:cs="Times New Roman"/>
          <w:sz w:val="24"/>
          <w:szCs w:val="24"/>
        </w:rPr>
        <w:t xml:space="preserve"> small number of variables </w:t>
      </w:r>
      <w:r w:rsidR="00073C47" w:rsidRPr="00DC6757">
        <w:rPr>
          <w:rFonts w:ascii="Times New Roman" w:hAnsi="Times New Roman" w:cs="Times New Roman"/>
          <w:sz w:val="24"/>
          <w:szCs w:val="24"/>
        </w:rPr>
        <w:t xml:space="preserve">and parameters </w:t>
      </w:r>
      <w:r w:rsidRPr="00DC6757">
        <w:rPr>
          <w:rFonts w:ascii="Times New Roman" w:hAnsi="Times New Roman" w:cs="Times New Roman"/>
          <w:sz w:val="24"/>
          <w:szCs w:val="24"/>
        </w:rPr>
        <w:t xml:space="preserve">to </w:t>
      </w:r>
      <w:r w:rsidR="00073C47" w:rsidRPr="00DC6757">
        <w:rPr>
          <w:rFonts w:ascii="Times New Roman" w:hAnsi="Times New Roman" w:cs="Times New Roman"/>
          <w:sz w:val="24"/>
          <w:szCs w:val="24"/>
        </w:rPr>
        <w:t>integrate</w:t>
      </w:r>
      <w:r w:rsidRPr="00DC6757">
        <w:rPr>
          <w:rFonts w:ascii="Times New Roman" w:hAnsi="Times New Roman" w:cs="Times New Roman"/>
          <w:sz w:val="24"/>
          <w:szCs w:val="24"/>
        </w:rPr>
        <w:t xml:space="preserve"> all metabolic processes</w:t>
      </w:r>
      <w:r w:rsidR="00073C47" w:rsidRPr="00DC6757">
        <w:rPr>
          <w:rFonts w:ascii="Times New Roman" w:hAnsi="Times New Roman" w:cs="Times New Roman"/>
          <w:sz w:val="24"/>
          <w:szCs w:val="24"/>
        </w:rPr>
        <w:t xml:space="preserve">, that </w:t>
      </w:r>
      <w:r w:rsidRPr="00DC6757">
        <w:rPr>
          <w:rFonts w:ascii="Times New Roman" w:hAnsi="Times New Roman" w:cs="Times New Roman"/>
          <w:sz w:val="24"/>
          <w:szCs w:val="24"/>
        </w:rPr>
        <w:t>allows for tradeoffs of energy between growth, reproduction and survival</w:t>
      </w:r>
      <w:r w:rsidR="00073C47" w:rsidRPr="00DC6757">
        <w:rPr>
          <w:rFonts w:ascii="Times New Roman" w:hAnsi="Times New Roman" w:cs="Times New Roman"/>
          <w:sz w:val="24"/>
          <w:szCs w:val="24"/>
        </w:rPr>
        <w:t xml:space="preserve"> in multivariate environments</w:t>
      </w:r>
      <w:r w:rsidRPr="00DC6757">
        <w:rPr>
          <w:rFonts w:ascii="Times New Roman" w:hAnsi="Times New Roman" w:cs="Times New Roman"/>
          <w:sz w:val="24"/>
          <w:szCs w:val="24"/>
        </w:rPr>
        <w:t xml:space="preserve">, </w:t>
      </w:r>
      <w:r w:rsidR="00073C47" w:rsidRPr="00DC6757">
        <w:rPr>
          <w:rFonts w:ascii="Times New Roman" w:hAnsi="Times New Roman" w:cs="Times New Roman"/>
          <w:sz w:val="24"/>
          <w:szCs w:val="24"/>
        </w:rPr>
        <w:t>and that thus generates</w:t>
      </w:r>
      <w:r w:rsidRPr="00DC6757">
        <w:rPr>
          <w:rFonts w:ascii="Times New Roman" w:hAnsi="Times New Roman" w:cs="Times New Roman"/>
          <w:sz w:val="24"/>
          <w:szCs w:val="24"/>
        </w:rPr>
        <w:t xml:space="preserve"> population relevant outputs. </w:t>
      </w:r>
    </w:p>
    <w:p w14:paraId="4D16652C" w14:textId="77777777" w:rsidR="00133BFA" w:rsidRPr="00DC6757" w:rsidRDefault="00133BFA" w:rsidP="0053083E">
      <w:pPr>
        <w:pStyle w:val="NoSpacing"/>
        <w:spacing w:line="480" w:lineRule="auto"/>
        <w:jc w:val="both"/>
        <w:rPr>
          <w:rFonts w:ascii="Times New Roman" w:hAnsi="Times New Roman" w:cs="Times New Roman"/>
          <w:sz w:val="24"/>
          <w:szCs w:val="24"/>
          <w:lang w:val="en-US"/>
        </w:rPr>
      </w:pPr>
    </w:p>
    <w:p w14:paraId="6F3419AE" w14:textId="77777777" w:rsidR="00133BFA" w:rsidRPr="00DC6757" w:rsidRDefault="00133BFA" w:rsidP="0053083E">
      <w:pPr>
        <w:pStyle w:val="NoSpacing"/>
        <w:spacing w:line="480" w:lineRule="auto"/>
        <w:jc w:val="both"/>
        <w:rPr>
          <w:rFonts w:ascii="Times New Roman" w:hAnsi="Times New Roman" w:cs="Times New Roman"/>
          <w:sz w:val="24"/>
          <w:szCs w:val="24"/>
          <w:lang w:val="en-US"/>
        </w:rPr>
      </w:pPr>
      <w:r w:rsidRPr="00DC6757">
        <w:rPr>
          <w:rFonts w:ascii="Times New Roman" w:hAnsi="Times New Roman" w:cs="Times New Roman"/>
          <w:sz w:val="24"/>
          <w:szCs w:val="24"/>
          <w:lang w:val="en-US"/>
        </w:rPr>
        <w:lastRenderedPageBreak/>
        <w:t>We propose a conceptual model to initiate exploration into mechanistically linking AOP to DEB (Table 1; Fig 2).</w:t>
      </w:r>
    </w:p>
    <w:p w14:paraId="3CCA1A1A" w14:textId="77777777" w:rsidR="00C16B36" w:rsidRPr="00DC6757" w:rsidRDefault="00C16B36" w:rsidP="0053083E">
      <w:pPr>
        <w:pStyle w:val="NoSpacing"/>
        <w:spacing w:line="480" w:lineRule="auto"/>
        <w:jc w:val="both"/>
        <w:rPr>
          <w:rFonts w:ascii="Times New Roman" w:hAnsi="Times New Roman" w:cs="Times New Roman"/>
          <w:sz w:val="24"/>
          <w:szCs w:val="24"/>
          <w:lang w:val="en-US"/>
        </w:rPr>
      </w:pPr>
    </w:p>
    <w:p w14:paraId="305834E2" w14:textId="1CDAE938" w:rsidR="00BF00E1" w:rsidRPr="00DC6757" w:rsidRDefault="00133BFA" w:rsidP="00C16B36">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A model of organism-level dynamics should not simply allow </w:t>
      </w:r>
      <w:r w:rsidR="003E0986" w:rsidRPr="00DC6757">
        <w:rPr>
          <w:rFonts w:ascii="Times New Roman" w:hAnsi="Times New Roman" w:cs="Times New Roman"/>
          <w:sz w:val="24"/>
          <w:szCs w:val="24"/>
        </w:rPr>
        <w:t xml:space="preserve">infinite connections </w:t>
      </w:r>
      <w:r w:rsidRPr="00DC6757">
        <w:rPr>
          <w:rFonts w:ascii="Times New Roman" w:hAnsi="Times New Roman" w:cs="Times New Roman"/>
          <w:sz w:val="24"/>
          <w:szCs w:val="24"/>
        </w:rPr>
        <w:t>and we describe a mathemat</w:t>
      </w:r>
      <w:r w:rsidR="00F124B9" w:rsidRPr="00DC6757">
        <w:rPr>
          <w:rFonts w:ascii="Times New Roman" w:hAnsi="Times New Roman" w:cs="Times New Roman"/>
          <w:sz w:val="24"/>
          <w:szCs w:val="24"/>
        </w:rPr>
        <w:t>ical structure that recognizes five</w:t>
      </w:r>
      <w:r w:rsidRPr="00DC6757">
        <w:rPr>
          <w:rFonts w:ascii="Times New Roman" w:hAnsi="Times New Roman" w:cs="Times New Roman"/>
          <w:sz w:val="24"/>
          <w:szCs w:val="24"/>
        </w:rPr>
        <w:t xml:space="preserve"> types of variables (Table 1) and their causal connections. KEs are </w:t>
      </w:r>
      <w:r w:rsidR="008E3171" w:rsidRPr="00DC6757">
        <w:rPr>
          <w:rFonts w:ascii="Times New Roman" w:hAnsi="Times New Roman" w:cs="Times New Roman"/>
          <w:sz w:val="24"/>
          <w:szCs w:val="24"/>
        </w:rPr>
        <w:t>measurable</w:t>
      </w:r>
      <w:r w:rsidRPr="00DC6757">
        <w:rPr>
          <w:rFonts w:ascii="Times New Roman" w:hAnsi="Times New Roman" w:cs="Times New Roman"/>
          <w:sz w:val="24"/>
          <w:szCs w:val="24"/>
        </w:rPr>
        <w:t xml:space="preserve"> endpoints in an AOP (e</w:t>
      </w:r>
      <w:r w:rsidR="00F124B9" w:rsidRPr="00DC6757">
        <w:rPr>
          <w:rFonts w:ascii="Times New Roman" w:hAnsi="Times New Roman" w:cs="Times New Roman"/>
          <w:sz w:val="24"/>
          <w:szCs w:val="24"/>
        </w:rPr>
        <w:t>.</w:t>
      </w:r>
      <w:r w:rsidRPr="00DC6757">
        <w:rPr>
          <w:rFonts w:ascii="Times New Roman" w:hAnsi="Times New Roman" w:cs="Times New Roman"/>
          <w:sz w:val="24"/>
          <w:szCs w:val="24"/>
        </w:rPr>
        <w:t xml:space="preserve">g. Fig 2). These key events either represent, or are themselves, measures of </w:t>
      </w:r>
      <w:r w:rsidRPr="00DC6757">
        <w:rPr>
          <w:rFonts w:ascii="Times New Roman" w:hAnsi="Times New Roman" w:cs="Times New Roman"/>
          <w:i/>
          <w:sz w:val="24"/>
          <w:szCs w:val="24"/>
        </w:rPr>
        <w:t>damage</w:t>
      </w:r>
      <w:r w:rsidRPr="00DC6757">
        <w:rPr>
          <w:rFonts w:ascii="Times New Roman" w:hAnsi="Times New Roman" w:cs="Times New Roman"/>
          <w:sz w:val="24"/>
          <w:szCs w:val="24"/>
        </w:rPr>
        <w:t xml:space="preserve"> that is manifest at the level of cells, organs or of the entire organism. Damage is caused, directly or indirectly, by internal toxicant concentrations– the accumulation of damage being described by some TK/TD representation. Damage impacts the processes in a bioenergetic</w:t>
      </w:r>
      <w:r w:rsidRPr="00DC6757">
        <w:rPr>
          <w:rFonts w:ascii="Times New Roman" w:hAnsi="Times New Roman" w:cs="Times New Roman"/>
          <w:i/>
          <w:sz w:val="24"/>
          <w:szCs w:val="24"/>
        </w:rPr>
        <w:t xml:space="preserve"> </w:t>
      </w:r>
      <w:r w:rsidRPr="00DC6757">
        <w:rPr>
          <w:rFonts w:ascii="Times New Roman" w:hAnsi="Times New Roman" w:cs="Times New Roman"/>
          <w:sz w:val="24"/>
          <w:szCs w:val="24"/>
        </w:rPr>
        <w:t>model.</w:t>
      </w:r>
      <w:r w:rsidR="00DC6757">
        <w:rPr>
          <w:rFonts w:ascii="Times New Roman" w:hAnsi="Times New Roman" w:cs="Times New Roman"/>
          <w:sz w:val="24"/>
          <w:szCs w:val="24"/>
        </w:rPr>
        <w:t xml:space="preserve"> </w:t>
      </w:r>
      <w:r w:rsidR="00502282" w:rsidRPr="00DC6757">
        <w:rPr>
          <w:rFonts w:ascii="Times New Roman" w:hAnsi="Times New Roman" w:cs="Times New Roman"/>
          <w:sz w:val="24"/>
          <w:szCs w:val="24"/>
        </w:rPr>
        <w:t>This flow of causal</w:t>
      </w:r>
      <w:r w:rsidRPr="00DC6757">
        <w:rPr>
          <w:rFonts w:ascii="Times New Roman" w:hAnsi="Times New Roman" w:cs="Times New Roman"/>
          <w:sz w:val="24"/>
          <w:szCs w:val="24"/>
        </w:rPr>
        <w:t xml:space="preserve"> connections</w:t>
      </w:r>
      <w:r w:rsidR="00502282" w:rsidRPr="00DC6757">
        <w:rPr>
          <w:rFonts w:ascii="Times New Roman" w:hAnsi="Times New Roman" w:cs="Times New Roman"/>
          <w:sz w:val="24"/>
          <w:szCs w:val="24"/>
        </w:rPr>
        <w:t xml:space="preserve"> </w:t>
      </w:r>
      <w:r w:rsidRPr="00DC6757">
        <w:rPr>
          <w:rFonts w:ascii="Times New Roman" w:hAnsi="Times New Roman" w:cs="Times New Roman"/>
          <w:sz w:val="24"/>
          <w:szCs w:val="24"/>
        </w:rPr>
        <w:t>restrict</w:t>
      </w:r>
      <w:r w:rsidR="00502282" w:rsidRPr="00DC6757">
        <w:rPr>
          <w:rFonts w:ascii="Times New Roman" w:hAnsi="Times New Roman" w:cs="Times New Roman"/>
          <w:sz w:val="24"/>
          <w:szCs w:val="24"/>
        </w:rPr>
        <w:t>s</w:t>
      </w:r>
      <w:r w:rsidRPr="00DC6757">
        <w:rPr>
          <w:rFonts w:ascii="Times New Roman" w:hAnsi="Times New Roman" w:cs="Times New Roman"/>
          <w:sz w:val="24"/>
          <w:szCs w:val="24"/>
        </w:rPr>
        <w:t xml:space="preserve"> the form of dynamic equations we can use (see Table 1 for a list of variables and functional dependencies).</w:t>
      </w:r>
      <w:r w:rsidR="00DC6757">
        <w:rPr>
          <w:rFonts w:ascii="Times New Roman" w:hAnsi="Times New Roman" w:cs="Times New Roman"/>
          <w:sz w:val="24"/>
          <w:szCs w:val="24"/>
        </w:rPr>
        <w:t xml:space="preserve"> </w:t>
      </w:r>
    </w:p>
    <w:p w14:paraId="42F188FC" w14:textId="38D8EB05" w:rsidR="002E671E" w:rsidRPr="00DC6757" w:rsidRDefault="00133BFA" w:rsidP="00C16B36">
      <w:pPr>
        <w:pStyle w:val="NoSpacing"/>
        <w:spacing w:line="480" w:lineRule="auto"/>
        <w:ind w:firstLine="720"/>
        <w:rPr>
          <w:rFonts w:ascii="Times New Roman" w:hAnsi="Times New Roman" w:cs="Times New Roman"/>
          <w:sz w:val="16"/>
          <w:szCs w:val="16"/>
          <w:lang w:val="en-US"/>
        </w:rPr>
      </w:pPr>
      <w:r w:rsidRPr="00DC6757">
        <w:rPr>
          <w:rFonts w:ascii="Times New Roman" w:hAnsi="Times New Roman" w:cs="Times New Roman"/>
          <w:sz w:val="24"/>
          <w:szCs w:val="24"/>
        </w:rPr>
        <w:t xml:space="preserve">In applications that we can currently envision, the model of the complete organism will use dynamic (differential or difference) equations to describe “performance” – growth, development, reproduction, </w:t>
      </w:r>
      <w:r w:rsidR="001E0ED5" w:rsidRPr="00DC6757">
        <w:rPr>
          <w:rFonts w:ascii="Times New Roman" w:hAnsi="Times New Roman" w:cs="Times New Roman"/>
          <w:sz w:val="24"/>
          <w:szCs w:val="24"/>
          <w:lang w:val="en-US"/>
        </w:rPr>
        <w:t xml:space="preserve">damage, </w:t>
      </w:r>
      <w:r w:rsidRPr="00DC6757">
        <w:rPr>
          <w:rFonts w:ascii="Times New Roman" w:hAnsi="Times New Roman" w:cs="Times New Roman"/>
          <w:sz w:val="24"/>
          <w:szCs w:val="24"/>
        </w:rPr>
        <w:t xml:space="preserve">risk of mortality etc. These are described by the DEB model which is tightly coupled to the body burden dynamics (growth impacts internal toxicant concentration and vice versa), and also to the damage dynamics. Changes in internal concentrations are described by a TK submodel. The damage variables will commonly be </w:t>
      </w:r>
      <w:r w:rsidR="00C64A36" w:rsidRPr="00DC6757">
        <w:rPr>
          <w:rFonts w:ascii="Times New Roman" w:hAnsi="Times New Roman" w:cs="Times New Roman"/>
          <w:sz w:val="24"/>
          <w:szCs w:val="24"/>
          <w:lang w:val="en-US"/>
        </w:rPr>
        <w:t xml:space="preserve">conceptually different </w:t>
      </w:r>
      <w:r w:rsidRPr="00DC6757">
        <w:rPr>
          <w:rFonts w:ascii="Times New Roman" w:hAnsi="Times New Roman" w:cs="Times New Roman"/>
          <w:sz w:val="24"/>
          <w:szCs w:val="24"/>
        </w:rPr>
        <w:t>from the higher level processes</w:t>
      </w:r>
      <w:r w:rsidR="00C64A36" w:rsidRPr="00DC6757">
        <w:rPr>
          <w:rFonts w:ascii="Times New Roman" w:hAnsi="Times New Roman" w:cs="Times New Roman"/>
          <w:sz w:val="24"/>
          <w:szCs w:val="24"/>
          <w:lang w:val="en-US"/>
        </w:rPr>
        <w:t xml:space="preserve"> with the causal link unknown or only vaguely understood</w:t>
      </w:r>
      <w:r w:rsidRPr="00DC6757">
        <w:rPr>
          <w:rFonts w:ascii="Times New Roman" w:hAnsi="Times New Roman" w:cs="Times New Roman"/>
          <w:sz w:val="24"/>
          <w:szCs w:val="24"/>
        </w:rPr>
        <w:t xml:space="preserve">, but </w:t>
      </w:r>
      <w:r w:rsidR="00C64A36" w:rsidRPr="00DC6757">
        <w:rPr>
          <w:rFonts w:ascii="Times New Roman" w:hAnsi="Times New Roman" w:cs="Times New Roman"/>
          <w:sz w:val="24"/>
          <w:szCs w:val="24"/>
          <w:lang w:val="en-US"/>
        </w:rPr>
        <w:t xml:space="preserve">explicit </w:t>
      </w:r>
      <w:r w:rsidRPr="00DC6757">
        <w:rPr>
          <w:rFonts w:ascii="Times New Roman" w:hAnsi="Times New Roman" w:cs="Times New Roman"/>
          <w:sz w:val="24"/>
          <w:szCs w:val="24"/>
        </w:rPr>
        <w:t xml:space="preserve">connection is possible, e.g. oxidative stress involves production or reactive oxygen species (ROS) from both “routine” metabolism and from toxicity. </w:t>
      </w:r>
    </w:p>
    <w:p w14:paraId="4720FEF1" w14:textId="30A41046" w:rsidR="006306E8" w:rsidRPr="00DC6757" w:rsidRDefault="00133BFA" w:rsidP="00C16B36">
      <w:pPr>
        <w:pStyle w:val="NoSpacing"/>
        <w:spacing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W</w:t>
      </w:r>
      <w:r w:rsidR="00D71F06" w:rsidRPr="00DC6757">
        <w:rPr>
          <w:rFonts w:ascii="Times New Roman" w:hAnsi="Times New Roman" w:cs="Times New Roman"/>
          <w:sz w:val="24"/>
          <w:szCs w:val="24"/>
        </w:rPr>
        <w:t xml:space="preserve">e </w:t>
      </w:r>
      <w:r w:rsidR="006306E8" w:rsidRPr="00DC6757">
        <w:rPr>
          <w:rFonts w:ascii="Times New Roman" w:hAnsi="Times New Roman" w:cs="Times New Roman"/>
          <w:sz w:val="24"/>
          <w:szCs w:val="24"/>
        </w:rPr>
        <w:t xml:space="preserve">see potential </w:t>
      </w:r>
      <w:r w:rsidR="00E21F54" w:rsidRPr="00DC6757">
        <w:rPr>
          <w:rFonts w:ascii="Times New Roman" w:hAnsi="Times New Roman" w:cs="Times New Roman"/>
          <w:sz w:val="24"/>
          <w:szCs w:val="24"/>
        </w:rPr>
        <w:t>in using statistical methodologies</w:t>
      </w:r>
      <w:r w:rsidR="006306E8" w:rsidRPr="00DC6757">
        <w:rPr>
          <w:rFonts w:ascii="Times New Roman" w:hAnsi="Times New Roman" w:cs="Times New Roman"/>
          <w:sz w:val="24"/>
          <w:szCs w:val="24"/>
        </w:rPr>
        <w:t xml:space="preserve"> to identify appropriate connections in Fig</w:t>
      </w:r>
      <w:r w:rsidRPr="00DC6757">
        <w:rPr>
          <w:rFonts w:ascii="Times New Roman" w:hAnsi="Times New Roman" w:cs="Times New Roman"/>
          <w:sz w:val="24"/>
          <w:szCs w:val="24"/>
        </w:rPr>
        <w:t>. 2</w:t>
      </w:r>
      <w:r w:rsidR="00E4666F" w:rsidRPr="00DC6757">
        <w:rPr>
          <w:rFonts w:ascii="Times New Roman" w:hAnsi="Times New Roman" w:cs="Times New Roman"/>
          <w:sz w:val="24"/>
          <w:szCs w:val="24"/>
          <w:lang w:val="en-US"/>
        </w:rPr>
        <w:t>, recognizing that</w:t>
      </w:r>
      <w:r w:rsidR="006306E8" w:rsidRPr="00DC6757">
        <w:rPr>
          <w:rFonts w:ascii="Times New Roman" w:hAnsi="Times New Roman" w:cs="Times New Roman"/>
          <w:sz w:val="24"/>
          <w:szCs w:val="24"/>
        </w:rPr>
        <w:t xml:space="preserve"> information on pathways impacte</w:t>
      </w:r>
      <w:r w:rsidRPr="00DC6757">
        <w:rPr>
          <w:rFonts w:ascii="Times New Roman" w:hAnsi="Times New Roman" w:cs="Times New Roman"/>
          <w:sz w:val="24"/>
          <w:szCs w:val="24"/>
        </w:rPr>
        <w:t>d by toxicants comes</w:t>
      </w:r>
      <w:r w:rsidR="00E4666F" w:rsidRPr="00DC6757">
        <w:rPr>
          <w:rFonts w:ascii="Times New Roman" w:hAnsi="Times New Roman" w:cs="Times New Roman"/>
          <w:sz w:val="24"/>
          <w:szCs w:val="24"/>
          <w:lang w:val="en-US"/>
        </w:rPr>
        <w:t xml:space="preserve"> increasingly</w:t>
      </w:r>
      <w:r w:rsidRPr="00DC6757">
        <w:rPr>
          <w:rFonts w:ascii="Times New Roman" w:hAnsi="Times New Roman" w:cs="Times New Roman"/>
          <w:sz w:val="24"/>
          <w:szCs w:val="24"/>
        </w:rPr>
        <w:t xml:space="preserve"> from </w:t>
      </w:r>
      <w:r w:rsidR="00E1240A" w:rsidRPr="00DC6757">
        <w:rPr>
          <w:rFonts w:ascii="Times New Roman" w:hAnsi="Times New Roman" w:cs="Times New Roman"/>
          <w:sz w:val="24"/>
          <w:szCs w:val="24"/>
          <w:lang w:val="en-US"/>
        </w:rPr>
        <w:t xml:space="preserve">’omics </w:t>
      </w:r>
      <w:r w:rsidR="006306E8" w:rsidRPr="00DC6757">
        <w:rPr>
          <w:rFonts w:ascii="Times New Roman" w:hAnsi="Times New Roman" w:cs="Times New Roman"/>
          <w:sz w:val="24"/>
          <w:szCs w:val="24"/>
        </w:rPr>
        <w:t>(e</w:t>
      </w:r>
      <w:r w:rsidR="00E1240A" w:rsidRPr="00DC6757">
        <w:rPr>
          <w:rFonts w:ascii="Times New Roman" w:hAnsi="Times New Roman" w:cs="Times New Roman"/>
          <w:sz w:val="24"/>
          <w:szCs w:val="24"/>
          <w:lang w:val="en-US"/>
        </w:rPr>
        <w:t>.</w:t>
      </w:r>
      <w:r w:rsidR="006306E8" w:rsidRPr="00DC6757">
        <w:rPr>
          <w:rFonts w:ascii="Times New Roman" w:hAnsi="Times New Roman" w:cs="Times New Roman"/>
          <w:sz w:val="24"/>
          <w:szCs w:val="24"/>
        </w:rPr>
        <w:t>g.</w:t>
      </w:r>
      <w:r w:rsidR="00E1240A" w:rsidRPr="00DC6757">
        <w:rPr>
          <w:rFonts w:ascii="Times New Roman" w:hAnsi="Times New Roman" w:cs="Times New Roman"/>
          <w:sz w:val="24"/>
          <w:szCs w:val="24"/>
          <w:lang w:val="en-US"/>
        </w:rPr>
        <w:t>,</w:t>
      </w:r>
      <w:r w:rsidR="006306E8" w:rsidRPr="00DC6757">
        <w:rPr>
          <w:rFonts w:ascii="Times New Roman" w:hAnsi="Times New Roman" w:cs="Times New Roman"/>
          <w:sz w:val="24"/>
          <w:szCs w:val="24"/>
        </w:rPr>
        <w:t xml:space="preserve"> transcriptomics, proteomics, lipidomics, metabolomics)</w:t>
      </w:r>
      <w:r w:rsidR="00E1240A" w:rsidRPr="00DC6757">
        <w:rPr>
          <w:rFonts w:ascii="Times New Roman" w:hAnsi="Times New Roman" w:cs="Times New Roman"/>
          <w:sz w:val="24"/>
          <w:szCs w:val="24"/>
          <w:lang w:val="en-US"/>
        </w:rPr>
        <w:t>-</w:t>
      </w:r>
      <w:r w:rsidR="006306E8" w:rsidRPr="00DC6757">
        <w:rPr>
          <w:rFonts w:ascii="Times New Roman" w:hAnsi="Times New Roman" w:cs="Times New Roman"/>
          <w:sz w:val="24"/>
          <w:szCs w:val="24"/>
        </w:rPr>
        <w:t>based data</w:t>
      </w:r>
      <w:r w:rsidR="00502282" w:rsidRPr="00DC6757">
        <w:rPr>
          <w:rFonts w:ascii="Times New Roman" w:hAnsi="Times New Roman" w:cs="Times New Roman"/>
          <w:sz w:val="24"/>
          <w:szCs w:val="24"/>
          <w:lang w:val="en-US"/>
        </w:rPr>
        <w:t xml:space="preserve"> </w:t>
      </w:r>
      <w:r w:rsidR="00E1240A" w:rsidRPr="00DC6757">
        <w:rPr>
          <w:rFonts w:ascii="Times New Roman" w:hAnsi="Times New Roman" w:cs="Times New Roman"/>
          <w:sz w:val="24"/>
          <w:szCs w:val="24"/>
          <w:lang w:val="en-US"/>
        </w:rPr>
        <w:t>(</w:t>
      </w:r>
      <w:r w:rsidR="004045C8" w:rsidRPr="00DC6757">
        <w:rPr>
          <w:rFonts w:ascii="Times New Roman" w:hAnsi="Times New Roman" w:cs="Times New Roman"/>
          <w:sz w:val="24"/>
          <w:szCs w:val="24"/>
          <w:lang w:val="en-US"/>
        </w:rPr>
        <w:t>Murphy et al.</w:t>
      </w:r>
      <w:r w:rsidR="00502282" w:rsidRPr="00DC6757">
        <w:rPr>
          <w:rFonts w:ascii="Times New Roman" w:hAnsi="Times New Roman" w:cs="Times New Roman"/>
          <w:sz w:val="24"/>
          <w:szCs w:val="24"/>
          <w:lang w:val="en-US"/>
        </w:rPr>
        <w:t xml:space="preserve"> </w:t>
      </w:r>
      <w:r w:rsidR="00502282" w:rsidRPr="00DC6757">
        <w:rPr>
          <w:rFonts w:ascii="Times New Roman" w:hAnsi="Times New Roman" w:cs="Times New Roman"/>
          <w:sz w:val="24"/>
          <w:szCs w:val="24"/>
          <w:lang w:val="en-US"/>
        </w:rPr>
        <w:lastRenderedPageBreak/>
        <w:t>201</w:t>
      </w:r>
      <w:r w:rsidR="00623976" w:rsidRPr="00DC6757">
        <w:rPr>
          <w:rFonts w:ascii="Times New Roman" w:hAnsi="Times New Roman" w:cs="Times New Roman"/>
          <w:sz w:val="24"/>
          <w:szCs w:val="24"/>
          <w:lang w:val="en-US"/>
        </w:rPr>
        <w:t>8</w:t>
      </w:r>
      <w:r w:rsidR="00502282" w:rsidRPr="00DC6757">
        <w:rPr>
          <w:rFonts w:ascii="Times New Roman" w:hAnsi="Times New Roman" w:cs="Times New Roman"/>
          <w:sz w:val="24"/>
          <w:szCs w:val="24"/>
          <w:lang w:val="en-US"/>
        </w:rPr>
        <w:t>)</w:t>
      </w:r>
      <w:r w:rsidR="006306E8" w:rsidRPr="00DC6757">
        <w:rPr>
          <w:rFonts w:ascii="Times New Roman" w:hAnsi="Times New Roman" w:cs="Times New Roman"/>
          <w:sz w:val="24"/>
          <w:szCs w:val="24"/>
        </w:rPr>
        <w:t xml:space="preserve">. </w:t>
      </w:r>
      <w:r w:rsidR="00502282" w:rsidRPr="00DC6757">
        <w:rPr>
          <w:rFonts w:ascii="Times New Roman" w:hAnsi="Times New Roman" w:cs="Times New Roman"/>
          <w:sz w:val="24"/>
          <w:szCs w:val="24"/>
          <w:lang w:val="en-US"/>
        </w:rPr>
        <w:t>Lists of</w:t>
      </w:r>
      <w:r w:rsidR="006306E8" w:rsidRPr="00DC6757">
        <w:rPr>
          <w:rFonts w:ascii="Times New Roman" w:hAnsi="Times New Roman" w:cs="Times New Roman"/>
          <w:sz w:val="24"/>
          <w:szCs w:val="24"/>
        </w:rPr>
        <w:t xml:space="preserve"> features such as genes, metabolites or proteins</w:t>
      </w:r>
      <w:r w:rsidR="00E1240A" w:rsidRPr="00DC6757">
        <w:rPr>
          <w:rFonts w:ascii="Times New Roman" w:hAnsi="Times New Roman" w:cs="Times New Roman"/>
          <w:sz w:val="24"/>
          <w:szCs w:val="24"/>
          <w:lang w:val="en-US"/>
        </w:rPr>
        <w:t xml:space="preserve"> that</w:t>
      </w:r>
      <w:r w:rsidR="006306E8" w:rsidRPr="00DC6757">
        <w:rPr>
          <w:rFonts w:ascii="Times New Roman" w:hAnsi="Times New Roman" w:cs="Times New Roman"/>
          <w:sz w:val="24"/>
          <w:szCs w:val="24"/>
        </w:rPr>
        <w:t xml:space="preserve"> are significantly changed as a result of a given perturbation</w:t>
      </w:r>
      <w:r w:rsidR="008E3171" w:rsidRPr="00DC6757">
        <w:rPr>
          <w:rFonts w:ascii="Times New Roman" w:hAnsi="Times New Roman" w:cs="Times New Roman"/>
          <w:sz w:val="24"/>
          <w:szCs w:val="24"/>
          <w:lang w:val="en-GB"/>
        </w:rPr>
        <w:t xml:space="preserve"> </w:t>
      </w:r>
      <w:r w:rsidR="00502282" w:rsidRPr="00DC6757">
        <w:rPr>
          <w:rFonts w:ascii="Times New Roman" w:hAnsi="Times New Roman" w:cs="Times New Roman"/>
          <w:sz w:val="24"/>
          <w:szCs w:val="24"/>
          <w:lang w:val="en-US"/>
        </w:rPr>
        <w:t>can be used</w:t>
      </w:r>
      <w:r w:rsidR="006306E8" w:rsidRPr="00DC6757">
        <w:rPr>
          <w:rFonts w:ascii="Times New Roman" w:hAnsi="Times New Roman" w:cs="Times New Roman"/>
          <w:sz w:val="24"/>
          <w:szCs w:val="24"/>
        </w:rPr>
        <w:t xml:space="preserve"> to identify</w:t>
      </w:r>
      <w:r w:rsidR="00005B77" w:rsidRPr="00DC6757">
        <w:rPr>
          <w:rFonts w:ascii="Times New Roman" w:hAnsi="Times New Roman" w:cs="Times New Roman"/>
          <w:sz w:val="24"/>
          <w:szCs w:val="24"/>
          <w:lang w:val="en-GB"/>
        </w:rPr>
        <w:t xml:space="preserve"> higher level</w:t>
      </w:r>
      <w:r w:rsidR="006306E8" w:rsidRPr="00DC6757">
        <w:rPr>
          <w:rFonts w:ascii="Times New Roman" w:hAnsi="Times New Roman" w:cs="Times New Roman"/>
          <w:sz w:val="24"/>
          <w:szCs w:val="24"/>
        </w:rPr>
        <w:t xml:space="preserve"> biological processes </w:t>
      </w:r>
      <w:r w:rsidR="00502282" w:rsidRPr="00DC6757">
        <w:rPr>
          <w:rFonts w:ascii="Times New Roman" w:hAnsi="Times New Roman" w:cs="Times New Roman"/>
          <w:sz w:val="24"/>
          <w:szCs w:val="24"/>
          <w:lang w:val="en-US"/>
        </w:rPr>
        <w:t>that are potentially impacted in response to exposure.</w:t>
      </w:r>
      <w:r w:rsidR="00DC6757">
        <w:rPr>
          <w:rFonts w:ascii="Times New Roman" w:hAnsi="Times New Roman" w:cs="Times New Roman"/>
          <w:sz w:val="24"/>
          <w:szCs w:val="24"/>
          <w:lang w:val="en-US"/>
        </w:rPr>
        <w:t xml:space="preserve"> </w:t>
      </w:r>
      <w:r w:rsidR="00502282" w:rsidRPr="00DC6757">
        <w:rPr>
          <w:rFonts w:ascii="Times New Roman" w:hAnsi="Times New Roman" w:cs="Times New Roman"/>
          <w:sz w:val="24"/>
          <w:szCs w:val="24"/>
          <w:lang w:val="en-US"/>
        </w:rPr>
        <w:t>Combinations of these biological processes</w:t>
      </w:r>
      <w:r w:rsidR="0006088D" w:rsidRPr="00DC6757">
        <w:rPr>
          <w:rFonts w:ascii="Times New Roman" w:hAnsi="Times New Roman" w:cs="Times New Roman"/>
          <w:sz w:val="24"/>
          <w:szCs w:val="24"/>
          <w:lang w:val="en-US"/>
        </w:rPr>
        <w:t xml:space="preserve"> </w:t>
      </w:r>
      <w:r w:rsidR="00502282" w:rsidRPr="00DC6757">
        <w:rPr>
          <w:rFonts w:ascii="Times New Roman" w:hAnsi="Times New Roman" w:cs="Times New Roman"/>
          <w:sz w:val="24"/>
          <w:szCs w:val="24"/>
          <w:lang w:val="en-US"/>
        </w:rPr>
        <w:t xml:space="preserve">are </w:t>
      </w:r>
      <w:r w:rsidR="006306E8" w:rsidRPr="00DC6757">
        <w:rPr>
          <w:rFonts w:ascii="Times New Roman" w:hAnsi="Times New Roman" w:cs="Times New Roman"/>
          <w:sz w:val="24"/>
          <w:szCs w:val="24"/>
        </w:rPr>
        <w:t xml:space="preserve">represented by DEB rates and fluxes. </w:t>
      </w:r>
      <w:r w:rsidR="0006088D" w:rsidRPr="00DC6757">
        <w:rPr>
          <w:rFonts w:ascii="Times New Roman" w:hAnsi="Times New Roman" w:cs="Times New Roman"/>
          <w:sz w:val="24"/>
          <w:szCs w:val="24"/>
          <w:lang w:val="en-US"/>
        </w:rPr>
        <w:t xml:space="preserve">With small model organisms such as </w:t>
      </w:r>
      <w:r w:rsidR="0006088D" w:rsidRPr="00DC6757">
        <w:rPr>
          <w:rFonts w:ascii="Times New Roman" w:hAnsi="Times New Roman" w:cs="Times New Roman"/>
          <w:i/>
          <w:sz w:val="24"/>
          <w:szCs w:val="24"/>
          <w:lang w:val="en-US"/>
        </w:rPr>
        <w:t>Daphnia</w:t>
      </w:r>
      <w:r w:rsidR="0006088D" w:rsidRPr="00DC6757">
        <w:rPr>
          <w:rFonts w:ascii="Times New Roman" w:hAnsi="Times New Roman" w:cs="Times New Roman"/>
          <w:sz w:val="24"/>
          <w:szCs w:val="24"/>
          <w:lang w:val="en-US"/>
        </w:rPr>
        <w:t>, this may be the only approach available, as data on the effects of contaminants is measured at either the molecular level, or the whole organism level, and to link AOP to DEB the molecular information would have to be directly translated to DEB rates.</w:t>
      </w:r>
      <w:r w:rsidR="006306E8" w:rsidRPr="00DC6757">
        <w:rPr>
          <w:rFonts w:ascii="Times New Roman" w:hAnsi="Times New Roman" w:cs="Times New Roman"/>
          <w:sz w:val="24"/>
          <w:szCs w:val="24"/>
        </w:rPr>
        <w:t xml:space="preserve"> </w:t>
      </w:r>
    </w:p>
    <w:p w14:paraId="57E143C2" w14:textId="35D15C22" w:rsidR="0044128A" w:rsidRPr="00DC6757" w:rsidRDefault="0006088D" w:rsidP="00C16B36">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For larger organisms such as fish, organ level data are available and i</w:t>
      </w:r>
      <w:r w:rsidR="002A574E" w:rsidRPr="00DC6757">
        <w:rPr>
          <w:rFonts w:ascii="Times New Roman" w:hAnsi="Times New Roman" w:cs="Times New Roman"/>
          <w:sz w:val="24"/>
          <w:szCs w:val="24"/>
        </w:rPr>
        <w:t xml:space="preserve">n our </w:t>
      </w:r>
      <w:proofErr w:type="spellStart"/>
      <w:r w:rsidR="002A574E" w:rsidRPr="00DC6757">
        <w:rPr>
          <w:rFonts w:ascii="Times New Roman" w:hAnsi="Times New Roman" w:cs="Times New Roman"/>
          <w:sz w:val="24"/>
          <w:szCs w:val="24"/>
        </w:rPr>
        <w:t>NIMBioS</w:t>
      </w:r>
      <w:proofErr w:type="spellEnd"/>
      <w:r w:rsidR="002A574E" w:rsidRPr="00DC6757">
        <w:rPr>
          <w:rFonts w:ascii="Times New Roman" w:hAnsi="Times New Roman" w:cs="Times New Roman"/>
          <w:sz w:val="24"/>
          <w:szCs w:val="24"/>
        </w:rPr>
        <w:t xml:space="preserve"> working group, we </w:t>
      </w:r>
      <w:r w:rsidRPr="00DC6757">
        <w:rPr>
          <w:rFonts w:ascii="Times New Roman" w:hAnsi="Times New Roman" w:cs="Times New Roman"/>
          <w:sz w:val="24"/>
          <w:szCs w:val="24"/>
        </w:rPr>
        <w:t xml:space="preserve">are exploring </w:t>
      </w:r>
      <w:r w:rsidR="00962373" w:rsidRPr="00DC6757">
        <w:rPr>
          <w:rFonts w:ascii="Times New Roman" w:hAnsi="Times New Roman" w:cs="Times New Roman"/>
          <w:sz w:val="24"/>
          <w:szCs w:val="24"/>
        </w:rPr>
        <w:t>mechanistic approaches to</w:t>
      </w:r>
      <w:r w:rsidR="002A574E" w:rsidRPr="00DC6757">
        <w:rPr>
          <w:rFonts w:ascii="Times New Roman" w:hAnsi="Times New Roman" w:cs="Times New Roman"/>
          <w:sz w:val="24"/>
          <w:szCs w:val="24"/>
        </w:rPr>
        <w:t xml:space="preserve"> link </w:t>
      </w:r>
      <w:proofErr w:type="spellStart"/>
      <w:r w:rsidR="00030856" w:rsidRPr="00DC6757">
        <w:rPr>
          <w:rFonts w:ascii="Times New Roman" w:hAnsi="Times New Roman" w:cs="Times New Roman"/>
          <w:sz w:val="24"/>
          <w:szCs w:val="24"/>
        </w:rPr>
        <w:t>q</w:t>
      </w:r>
      <w:r w:rsidR="002A574E" w:rsidRPr="00DC6757">
        <w:rPr>
          <w:rFonts w:ascii="Times New Roman" w:hAnsi="Times New Roman" w:cs="Times New Roman"/>
          <w:sz w:val="24"/>
          <w:szCs w:val="24"/>
        </w:rPr>
        <w:t>AOPs</w:t>
      </w:r>
      <w:proofErr w:type="spellEnd"/>
      <w:r w:rsidR="002A574E" w:rsidRPr="00DC6757">
        <w:rPr>
          <w:rFonts w:ascii="Times New Roman" w:hAnsi="Times New Roman" w:cs="Times New Roman"/>
          <w:sz w:val="24"/>
          <w:szCs w:val="24"/>
        </w:rPr>
        <w:t xml:space="preserve"> to DEBs using endocrine disruption as the stressor, and rainbow trout </w:t>
      </w:r>
      <w:r w:rsidR="005209EC" w:rsidRPr="00DC6757">
        <w:rPr>
          <w:rFonts w:ascii="Times New Roman" w:hAnsi="Times New Roman" w:cs="Times New Roman"/>
          <w:sz w:val="24"/>
          <w:szCs w:val="24"/>
        </w:rPr>
        <w:t>(</w:t>
      </w:r>
      <w:proofErr w:type="spellStart"/>
      <w:r w:rsidR="005209EC" w:rsidRPr="00DC6757">
        <w:rPr>
          <w:rFonts w:ascii="Times New Roman" w:hAnsi="Times New Roman" w:cs="Times New Roman"/>
          <w:i/>
          <w:sz w:val="24"/>
          <w:szCs w:val="24"/>
        </w:rPr>
        <w:t>Oncorynchus</w:t>
      </w:r>
      <w:proofErr w:type="spellEnd"/>
      <w:r w:rsidR="005209EC" w:rsidRPr="00DC6757">
        <w:rPr>
          <w:rFonts w:ascii="Times New Roman" w:hAnsi="Times New Roman" w:cs="Times New Roman"/>
          <w:i/>
          <w:sz w:val="24"/>
          <w:szCs w:val="24"/>
        </w:rPr>
        <w:t xml:space="preserve"> mykiss</w:t>
      </w:r>
      <w:r w:rsidR="005209EC" w:rsidRPr="00DC6757">
        <w:rPr>
          <w:rFonts w:ascii="Times New Roman" w:hAnsi="Times New Roman" w:cs="Times New Roman"/>
          <w:sz w:val="24"/>
          <w:szCs w:val="24"/>
        </w:rPr>
        <w:t xml:space="preserve">) </w:t>
      </w:r>
      <w:r w:rsidR="002A574E" w:rsidRPr="00DC6757">
        <w:rPr>
          <w:rFonts w:ascii="Times New Roman" w:hAnsi="Times New Roman" w:cs="Times New Roman"/>
          <w:sz w:val="24"/>
          <w:szCs w:val="24"/>
        </w:rPr>
        <w:t xml:space="preserve">as the </w:t>
      </w:r>
      <w:r w:rsidR="005209EC" w:rsidRPr="00DC6757">
        <w:rPr>
          <w:rFonts w:ascii="Times New Roman" w:hAnsi="Times New Roman" w:cs="Times New Roman"/>
          <w:sz w:val="24"/>
          <w:szCs w:val="24"/>
        </w:rPr>
        <w:t xml:space="preserve">target </w:t>
      </w:r>
      <w:r w:rsidR="002A574E" w:rsidRPr="00DC6757">
        <w:rPr>
          <w:rFonts w:ascii="Times New Roman" w:hAnsi="Times New Roman" w:cs="Times New Roman"/>
          <w:sz w:val="24"/>
          <w:szCs w:val="24"/>
        </w:rPr>
        <w:t xml:space="preserve">species. We were fortunate to have access to a rich data set on rainbow trout hormones, egg production, weights, as well as a well-developed </w:t>
      </w:r>
      <w:proofErr w:type="gramStart"/>
      <w:r w:rsidR="002A574E" w:rsidRPr="00DC6757">
        <w:rPr>
          <w:rFonts w:ascii="Times New Roman" w:hAnsi="Times New Roman" w:cs="Times New Roman"/>
          <w:sz w:val="24"/>
          <w:szCs w:val="24"/>
        </w:rPr>
        <w:t>physiologically-based</w:t>
      </w:r>
      <w:proofErr w:type="gramEnd"/>
      <w:r w:rsidR="002A574E" w:rsidRPr="00DC6757">
        <w:rPr>
          <w:rFonts w:ascii="Times New Roman" w:hAnsi="Times New Roman" w:cs="Times New Roman"/>
          <w:sz w:val="24"/>
          <w:szCs w:val="24"/>
        </w:rPr>
        <w:t xml:space="preserve"> model (Gillies et al</w:t>
      </w:r>
      <w:r w:rsidR="005D53E5" w:rsidRPr="00DC6757">
        <w:rPr>
          <w:rFonts w:ascii="Times New Roman" w:hAnsi="Times New Roman" w:cs="Times New Roman"/>
          <w:sz w:val="24"/>
          <w:szCs w:val="24"/>
        </w:rPr>
        <w:t>.</w:t>
      </w:r>
      <w:r w:rsidR="00F124B9" w:rsidRPr="00DC6757">
        <w:rPr>
          <w:rFonts w:ascii="Times New Roman" w:hAnsi="Times New Roman" w:cs="Times New Roman"/>
          <w:sz w:val="24"/>
          <w:szCs w:val="24"/>
        </w:rPr>
        <w:t xml:space="preserve"> 2016).</w:t>
      </w:r>
      <w:r w:rsidR="00DC6757">
        <w:rPr>
          <w:rFonts w:ascii="Times New Roman" w:hAnsi="Times New Roman" w:cs="Times New Roman"/>
          <w:sz w:val="24"/>
          <w:szCs w:val="24"/>
        </w:rPr>
        <w:t xml:space="preserve"> </w:t>
      </w:r>
      <w:r w:rsidR="00030856" w:rsidRPr="00DC6757">
        <w:rPr>
          <w:rFonts w:ascii="Times New Roman" w:hAnsi="Times New Roman" w:cs="Times New Roman"/>
          <w:sz w:val="24"/>
          <w:szCs w:val="24"/>
        </w:rPr>
        <w:t xml:space="preserve">Endocrine disruption is perhaps the most studied and best understood system in ecotoxicology, and extensive </w:t>
      </w:r>
      <w:proofErr w:type="spellStart"/>
      <w:r w:rsidR="00030856" w:rsidRPr="00DC6757">
        <w:rPr>
          <w:rFonts w:ascii="Times New Roman" w:hAnsi="Times New Roman" w:cs="Times New Roman"/>
          <w:sz w:val="24"/>
          <w:szCs w:val="24"/>
        </w:rPr>
        <w:t>qAOPs</w:t>
      </w:r>
      <w:proofErr w:type="spellEnd"/>
      <w:r w:rsidR="00030856" w:rsidRPr="00DC6757">
        <w:rPr>
          <w:rFonts w:ascii="Times New Roman" w:hAnsi="Times New Roman" w:cs="Times New Roman"/>
          <w:sz w:val="24"/>
          <w:szCs w:val="24"/>
        </w:rPr>
        <w:t xml:space="preserve"> have been developed to link MIE to adverse outcomes such as egg production in a few </w:t>
      </w:r>
      <w:r w:rsidR="00720376" w:rsidRPr="00DC6757">
        <w:rPr>
          <w:rFonts w:ascii="Times New Roman" w:hAnsi="Times New Roman" w:cs="Times New Roman"/>
          <w:sz w:val="24"/>
          <w:szCs w:val="24"/>
        </w:rPr>
        <w:t xml:space="preserve">fish </w:t>
      </w:r>
      <w:r w:rsidR="00030856" w:rsidRPr="00DC6757">
        <w:rPr>
          <w:rFonts w:ascii="Times New Roman" w:hAnsi="Times New Roman" w:cs="Times New Roman"/>
          <w:sz w:val="24"/>
          <w:szCs w:val="24"/>
        </w:rPr>
        <w:t>species (Conolly et al 2017; Gillies et al 2016).</w:t>
      </w:r>
      <w:r w:rsidR="003B1478" w:rsidRPr="00DC6757">
        <w:rPr>
          <w:rFonts w:ascii="Times New Roman" w:hAnsi="Times New Roman" w:cs="Times New Roman"/>
          <w:sz w:val="24"/>
          <w:szCs w:val="24"/>
        </w:rPr>
        <w:t xml:space="preserve"> Therefore, we focused on endocrine disruption for these case studies, but</w:t>
      </w:r>
      <w:r w:rsidR="00DC6757">
        <w:rPr>
          <w:rFonts w:ascii="Times New Roman" w:hAnsi="Times New Roman" w:cs="Times New Roman"/>
          <w:sz w:val="24"/>
          <w:szCs w:val="24"/>
        </w:rPr>
        <w:t xml:space="preserve"> </w:t>
      </w:r>
      <w:r w:rsidR="003B1478" w:rsidRPr="00DC6757">
        <w:rPr>
          <w:rFonts w:ascii="Times New Roman" w:hAnsi="Times New Roman" w:cs="Times New Roman"/>
          <w:sz w:val="24"/>
          <w:szCs w:val="24"/>
        </w:rPr>
        <w:t>i</w:t>
      </w:r>
      <w:r w:rsidR="00030856" w:rsidRPr="00DC6757">
        <w:rPr>
          <w:rFonts w:ascii="Times New Roman" w:hAnsi="Times New Roman" w:cs="Times New Roman"/>
          <w:sz w:val="24"/>
          <w:szCs w:val="24"/>
        </w:rPr>
        <w:t xml:space="preserve">deally, the linkage between </w:t>
      </w:r>
      <w:proofErr w:type="spellStart"/>
      <w:r w:rsidR="00030856" w:rsidRPr="00DC6757">
        <w:rPr>
          <w:rFonts w:ascii="Times New Roman" w:hAnsi="Times New Roman" w:cs="Times New Roman"/>
          <w:sz w:val="24"/>
          <w:szCs w:val="24"/>
        </w:rPr>
        <w:t>qAOPs</w:t>
      </w:r>
      <w:proofErr w:type="spellEnd"/>
      <w:r w:rsidR="00030856" w:rsidRPr="00DC6757">
        <w:rPr>
          <w:rFonts w:ascii="Times New Roman" w:hAnsi="Times New Roman" w:cs="Times New Roman"/>
          <w:sz w:val="24"/>
          <w:szCs w:val="24"/>
        </w:rPr>
        <w:t xml:space="preserve"> that converge on maintenance and growth adverse outcomes, once developed</w:t>
      </w:r>
      <w:r w:rsidR="00DD523B" w:rsidRPr="00DC6757">
        <w:rPr>
          <w:rFonts w:ascii="Times New Roman" w:hAnsi="Times New Roman" w:cs="Times New Roman"/>
          <w:sz w:val="24"/>
          <w:szCs w:val="24"/>
        </w:rPr>
        <w:t>,</w:t>
      </w:r>
      <w:r w:rsidR="00030856" w:rsidRPr="00DC6757">
        <w:rPr>
          <w:rFonts w:ascii="Times New Roman" w:hAnsi="Times New Roman" w:cs="Times New Roman"/>
          <w:sz w:val="24"/>
          <w:szCs w:val="24"/>
        </w:rPr>
        <w:t xml:space="preserve"> should also be exp</w:t>
      </w:r>
      <w:r w:rsidR="00DD523B" w:rsidRPr="00DC6757">
        <w:rPr>
          <w:rFonts w:ascii="Times New Roman" w:hAnsi="Times New Roman" w:cs="Times New Roman"/>
          <w:sz w:val="24"/>
          <w:szCs w:val="24"/>
        </w:rPr>
        <w:t xml:space="preserve">lored as they connect to </w:t>
      </w:r>
      <w:proofErr w:type="spellStart"/>
      <w:r w:rsidR="00DD523B" w:rsidRPr="00DC6757">
        <w:rPr>
          <w:rFonts w:ascii="Times New Roman" w:hAnsi="Times New Roman" w:cs="Times New Roman"/>
          <w:sz w:val="24"/>
          <w:szCs w:val="24"/>
        </w:rPr>
        <w:t>pMo</w:t>
      </w:r>
      <w:r w:rsidR="00030856" w:rsidRPr="00DC6757">
        <w:rPr>
          <w:rFonts w:ascii="Times New Roman" w:hAnsi="Times New Roman" w:cs="Times New Roman"/>
          <w:sz w:val="24"/>
          <w:szCs w:val="24"/>
        </w:rPr>
        <w:t>A</w:t>
      </w:r>
      <w:proofErr w:type="spellEnd"/>
      <w:r w:rsidR="00030856" w:rsidRPr="00DC6757">
        <w:rPr>
          <w:rFonts w:ascii="Times New Roman" w:hAnsi="Times New Roman" w:cs="Times New Roman"/>
          <w:sz w:val="24"/>
          <w:szCs w:val="24"/>
        </w:rPr>
        <w:t xml:space="preserve"> in DEB because the</w:t>
      </w:r>
      <w:r w:rsidR="00D533A5" w:rsidRPr="00DC6757">
        <w:rPr>
          <w:rFonts w:ascii="Times New Roman" w:hAnsi="Times New Roman" w:cs="Times New Roman"/>
          <w:sz w:val="24"/>
          <w:szCs w:val="24"/>
        </w:rPr>
        <w:t>n the</w:t>
      </w:r>
      <w:r w:rsidR="00030856" w:rsidRPr="00DC6757">
        <w:rPr>
          <w:rFonts w:ascii="Times New Roman" w:hAnsi="Times New Roman" w:cs="Times New Roman"/>
          <w:sz w:val="24"/>
          <w:szCs w:val="24"/>
        </w:rPr>
        <w:t xml:space="preserve"> full implication of energetic</w:t>
      </w:r>
      <w:r w:rsidR="00DD523B" w:rsidRPr="00DC6757">
        <w:rPr>
          <w:rFonts w:ascii="Times New Roman" w:hAnsi="Times New Roman" w:cs="Times New Roman"/>
          <w:sz w:val="24"/>
          <w:szCs w:val="24"/>
        </w:rPr>
        <w:t xml:space="preserve"> tradeoffs could</w:t>
      </w:r>
      <w:r w:rsidR="00030856" w:rsidRPr="00DC6757">
        <w:rPr>
          <w:rFonts w:ascii="Times New Roman" w:hAnsi="Times New Roman" w:cs="Times New Roman"/>
          <w:sz w:val="24"/>
          <w:szCs w:val="24"/>
        </w:rPr>
        <w:t xml:space="preserve"> be realized</w:t>
      </w:r>
      <w:r w:rsidR="00D533A5"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00804C6C" w:rsidRPr="00DC6757">
        <w:rPr>
          <w:rFonts w:ascii="Times New Roman" w:hAnsi="Times New Roman" w:cs="Times New Roman"/>
          <w:sz w:val="24"/>
          <w:szCs w:val="24"/>
        </w:rPr>
        <w:t>For this study, we</w:t>
      </w:r>
      <w:r w:rsidR="00DC6757">
        <w:rPr>
          <w:rFonts w:ascii="Times New Roman" w:hAnsi="Times New Roman" w:cs="Times New Roman"/>
          <w:sz w:val="24"/>
          <w:szCs w:val="24"/>
        </w:rPr>
        <w:t xml:space="preserve"> </w:t>
      </w:r>
      <w:r w:rsidR="0044128A" w:rsidRPr="00DC6757">
        <w:rPr>
          <w:rFonts w:ascii="Times New Roman" w:hAnsi="Times New Roman" w:cs="Times New Roman"/>
          <w:sz w:val="24"/>
          <w:szCs w:val="24"/>
        </w:rPr>
        <w:t xml:space="preserve">found two ways to link </w:t>
      </w:r>
      <w:r w:rsidR="00D533A5" w:rsidRPr="00DC6757">
        <w:rPr>
          <w:rFonts w:ascii="Times New Roman" w:hAnsi="Times New Roman" w:cs="Times New Roman"/>
          <w:sz w:val="24"/>
          <w:szCs w:val="24"/>
        </w:rPr>
        <w:t xml:space="preserve">existing </w:t>
      </w:r>
      <w:proofErr w:type="spellStart"/>
      <w:r w:rsidR="0044128A" w:rsidRPr="00DC6757">
        <w:rPr>
          <w:rFonts w:ascii="Times New Roman" w:hAnsi="Times New Roman" w:cs="Times New Roman"/>
          <w:sz w:val="24"/>
          <w:szCs w:val="24"/>
        </w:rPr>
        <w:t>qAOP</w:t>
      </w:r>
      <w:proofErr w:type="spellEnd"/>
      <w:r w:rsidR="0044128A" w:rsidRPr="00DC6757">
        <w:rPr>
          <w:rFonts w:ascii="Times New Roman" w:hAnsi="Times New Roman" w:cs="Times New Roman"/>
          <w:sz w:val="24"/>
          <w:szCs w:val="24"/>
        </w:rPr>
        <w:t xml:space="preserve"> </w:t>
      </w:r>
      <w:r w:rsidR="00D533A5" w:rsidRPr="00DC6757">
        <w:rPr>
          <w:rFonts w:ascii="Times New Roman" w:hAnsi="Times New Roman" w:cs="Times New Roman"/>
          <w:sz w:val="24"/>
          <w:szCs w:val="24"/>
        </w:rPr>
        <w:t xml:space="preserve">related to endocrine disruption </w:t>
      </w:r>
      <w:r w:rsidR="0044128A" w:rsidRPr="00DC6757">
        <w:rPr>
          <w:rFonts w:ascii="Times New Roman" w:hAnsi="Times New Roman" w:cs="Times New Roman"/>
          <w:sz w:val="24"/>
          <w:szCs w:val="24"/>
        </w:rPr>
        <w:t xml:space="preserve">to </w:t>
      </w:r>
      <w:proofErr w:type="gramStart"/>
      <w:r w:rsidR="0044128A" w:rsidRPr="00DC6757">
        <w:rPr>
          <w:rFonts w:ascii="Times New Roman" w:hAnsi="Times New Roman" w:cs="Times New Roman"/>
          <w:sz w:val="24"/>
          <w:szCs w:val="24"/>
        </w:rPr>
        <w:t>DEB, and</w:t>
      </w:r>
      <w:proofErr w:type="gramEnd"/>
      <w:r w:rsidR="0044128A" w:rsidRPr="00DC6757">
        <w:rPr>
          <w:rFonts w:ascii="Times New Roman" w:hAnsi="Times New Roman" w:cs="Times New Roman"/>
          <w:sz w:val="24"/>
          <w:szCs w:val="24"/>
        </w:rPr>
        <w:t xml:space="preserve"> discuss them briefly here.</w:t>
      </w:r>
    </w:p>
    <w:p w14:paraId="77F14C01" w14:textId="57B952DF" w:rsidR="003E25A7" w:rsidRPr="00DC6757" w:rsidRDefault="0044128A" w:rsidP="00C16B36">
      <w:pPr>
        <w:autoSpaceDE w:val="0"/>
        <w:autoSpaceDN w:val="0"/>
        <w:adjustRightInd w:val="0"/>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One method is to </w:t>
      </w:r>
      <w:r w:rsidR="00114D08" w:rsidRPr="00DC6757">
        <w:rPr>
          <w:rFonts w:ascii="Times New Roman" w:hAnsi="Times New Roman" w:cs="Times New Roman"/>
          <w:sz w:val="24"/>
          <w:szCs w:val="24"/>
        </w:rPr>
        <w:t>change the assumptions on the rules for energy allocation between growth and reproduction in</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the DEB framework to create demand-driven feedback mechanisms that can be exerted by the gonads on the allocation of resources to production of reproductive </w:t>
      </w:r>
      <w:proofErr w:type="gramStart"/>
      <w:r w:rsidRPr="00DC6757">
        <w:rPr>
          <w:rFonts w:ascii="Times New Roman" w:hAnsi="Times New Roman" w:cs="Times New Roman"/>
          <w:sz w:val="24"/>
          <w:szCs w:val="24"/>
        </w:rPr>
        <w:t>matter</w:t>
      </w:r>
      <w:r w:rsidR="00114D08" w:rsidRPr="00DC6757">
        <w:rPr>
          <w:rFonts w:ascii="Times New Roman" w:hAnsi="Times New Roman" w:cs="Times New Roman"/>
          <w:sz w:val="24"/>
          <w:szCs w:val="24"/>
        </w:rPr>
        <w:t>.</w:t>
      </w:r>
      <w:r w:rsidRPr="00DC6757">
        <w:rPr>
          <w:rFonts w:ascii="Times New Roman" w:hAnsi="Times New Roman" w:cs="Times New Roman"/>
          <w:sz w:val="24"/>
          <w:szCs w:val="24"/>
        </w:rPr>
        <w:t>.</w:t>
      </w:r>
      <w:proofErr w:type="gramEnd"/>
      <w:r w:rsidRPr="00DC6757">
        <w:rPr>
          <w:rFonts w:ascii="Times New Roman" w:hAnsi="Times New Roman" w:cs="Times New Roman"/>
          <w:sz w:val="24"/>
          <w:szCs w:val="24"/>
        </w:rPr>
        <w:t xml:space="preserve"> Using </w:t>
      </w:r>
      <w:r w:rsidRPr="00DC6757">
        <w:rPr>
          <w:rFonts w:ascii="Times New Roman" w:hAnsi="Times New Roman" w:cs="Times New Roman"/>
          <w:sz w:val="24"/>
          <w:szCs w:val="24"/>
        </w:rPr>
        <w:lastRenderedPageBreak/>
        <w:t xml:space="preserve">this </w:t>
      </w:r>
      <w:r w:rsidR="00114D08" w:rsidRPr="00DC6757">
        <w:rPr>
          <w:rFonts w:ascii="Times New Roman" w:hAnsi="Times New Roman" w:cs="Times New Roman"/>
          <w:sz w:val="24"/>
          <w:szCs w:val="24"/>
        </w:rPr>
        <w:t>approach</w:t>
      </w:r>
      <w:r w:rsidRPr="00DC6757">
        <w:rPr>
          <w:rFonts w:ascii="Times New Roman" w:hAnsi="Times New Roman" w:cs="Times New Roman"/>
          <w:sz w:val="24"/>
          <w:szCs w:val="24"/>
        </w:rPr>
        <w:t xml:space="preserve">, species and sex specific characteristics of endocrine regulation can be modified, while keeping the </w:t>
      </w:r>
      <w:r w:rsidR="005209EC" w:rsidRPr="00DC6757">
        <w:rPr>
          <w:rFonts w:ascii="Times New Roman" w:hAnsi="Times New Roman" w:cs="Times New Roman"/>
          <w:sz w:val="24"/>
          <w:szCs w:val="24"/>
        </w:rPr>
        <w:t xml:space="preserve">remainder of the </w:t>
      </w:r>
      <w:r w:rsidRPr="00DC6757">
        <w:rPr>
          <w:rFonts w:ascii="Times New Roman" w:hAnsi="Times New Roman" w:cs="Times New Roman"/>
          <w:sz w:val="24"/>
          <w:szCs w:val="24"/>
        </w:rPr>
        <w:t>DEB core intact.</w:t>
      </w:r>
      <w:r w:rsidR="00DC6757">
        <w:rPr>
          <w:rFonts w:ascii="Times New Roman" w:hAnsi="Times New Roman" w:cs="Times New Roman"/>
          <w:sz w:val="24"/>
          <w:szCs w:val="24"/>
        </w:rPr>
        <w:t xml:space="preserve"> </w:t>
      </w:r>
      <w:r w:rsidR="00114D08" w:rsidRPr="00DC6757">
        <w:rPr>
          <w:rFonts w:ascii="Times New Roman" w:hAnsi="Times New Roman" w:cs="Times New Roman"/>
          <w:sz w:val="24"/>
          <w:szCs w:val="24"/>
        </w:rPr>
        <w:t>Ongoing work indicates that t</w:t>
      </w:r>
      <w:r w:rsidR="005209EC" w:rsidRPr="00DC6757">
        <w:rPr>
          <w:rFonts w:ascii="Times New Roman" w:hAnsi="Times New Roman" w:cs="Times New Roman"/>
          <w:sz w:val="24"/>
          <w:szCs w:val="24"/>
        </w:rPr>
        <w:t xml:space="preserve">his </w:t>
      </w:r>
      <w:r w:rsidRPr="00DC6757">
        <w:rPr>
          <w:rFonts w:ascii="Times New Roman" w:hAnsi="Times New Roman" w:cs="Times New Roman"/>
          <w:sz w:val="24"/>
          <w:szCs w:val="24"/>
        </w:rPr>
        <w:t xml:space="preserve">modeling approach </w:t>
      </w:r>
      <w:r w:rsidR="005209EC" w:rsidRPr="00DC6757">
        <w:rPr>
          <w:rFonts w:ascii="Times New Roman" w:hAnsi="Times New Roman" w:cs="Times New Roman"/>
          <w:sz w:val="24"/>
          <w:szCs w:val="24"/>
        </w:rPr>
        <w:t xml:space="preserve">successfully </w:t>
      </w:r>
      <w:r w:rsidRPr="00DC6757">
        <w:rPr>
          <w:rFonts w:ascii="Times New Roman" w:hAnsi="Times New Roman" w:cs="Times New Roman"/>
          <w:sz w:val="24"/>
          <w:szCs w:val="24"/>
        </w:rPr>
        <w:t>describe</w:t>
      </w:r>
      <w:r w:rsidR="005209EC" w:rsidRPr="00DC6757">
        <w:rPr>
          <w:rFonts w:ascii="Times New Roman" w:hAnsi="Times New Roman" w:cs="Times New Roman"/>
          <w:sz w:val="24"/>
          <w:szCs w:val="24"/>
        </w:rPr>
        <w:t>s</w:t>
      </w:r>
      <w:r w:rsidRPr="00DC6757">
        <w:rPr>
          <w:rFonts w:ascii="Times New Roman" w:hAnsi="Times New Roman" w:cs="Times New Roman"/>
          <w:sz w:val="24"/>
          <w:szCs w:val="24"/>
        </w:rPr>
        <w:t xml:space="preserve"> the time-resolved measurement of body weight, ovaries and liver, as well as the egg diameter of spawned eggs and plasma levels of estradiol and vitellogenin</w:t>
      </w:r>
      <w:r w:rsidR="00617647" w:rsidRPr="00DC6757">
        <w:rPr>
          <w:rFonts w:ascii="Times New Roman" w:hAnsi="Times New Roman" w:cs="Times New Roman"/>
          <w:sz w:val="24"/>
          <w:szCs w:val="24"/>
        </w:rPr>
        <w:t xml:space="preserve"> in rainbow trout</w:t>
      </w:r>
      <w:r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The </w:t>
      </w:r>
      <w:r w:rsidR="00114D08" w:rsidRPr="00DC6757">
        <w:rPr>
          <w:rFonts w:ascii="Times New Roman" w:hAnsi="Times New Roman" w:cs="Times New Roman"/>
          <w:sz w:val="24"/>
          <w:szCs w:val="24"/>
        </w:rPr>
        <w:t xml:space="preserve">approach </w:t>
      </w:r>
      <w:r w:rsidRPr="00DC6757">
        <w:rPr>
          <w:rFonts w:ascii="Times New Roman" w:hAnsi="Times New Roman" w:cs="Times New Roman"/>
          <w:sz w:val="24"/>
          <w:szCs w:val="24"/>
        </w:rPr>
        <w:t xml:space="preserve">is flexible and can be adjusted for different reproductive strategies such as iteroparity, </w:t>
      </w:r>
      <w:proofErr w:type="spellStart"/>
      <w:r w:rsidRPr="00DC6757">
        <w:rPr>
          <w:rFonts w:ascii="Times New Roman" w:hAnsi="Times New Roman" w:cs="Times New Roman"/>
          <w:sz w:val="24"/>
          <w:szCs w:val="24"/>
        </w:rPr>
        <w:t>semelparity</w:t>
      </w:r>
      <w:proofErr w:type="spellEnd"/>
      <w:r w:rsidRPr="00DC6757">
        <w:rPr>
          <w:rFonts w:ascii="Times New Roman" w:hAnsi="Times New Roman" w:cs="Times New Roman"/>
          <w:sz w:val="24"/>
          <w:szCs w:val="24"/>
        </w:rPr>
        <w:t xml:space="preserve">, and batch-mode reproduction, depending on </w:t>
      </w:r>
      <w:r w:rsidR="00E1240A" w:rsidRPr="00DC6757">
        <w:rPr>
          <w:rFonts w:ascii="Times New Roman" w:hAnsi="Times New Roman" w:cs="Times New Roman"/>
          <w:sz w:val="24"/>
          <w:szCs w:val="24"/>
        </w:rPr>
        <w:t xml:space="preserve">species and </w:t>
      </w:r>
      <w:r w:rsidRPr="00DC6757">
        <w:rPr>
          <w:rFonts w:ascii="Times New Roman" w:hAnsi="Times New Roman" w:cs="Times New Roman"/>
          <w:sz w:val="24"/>
          <w:szCs w:val="24"/>
        </w:rPr>
        <w:t xml:space="preserve">available data. The next step in this </w:t>
      </w:r>
      <w:proofErr w:type="spellStart"/>
      <w:r w:rsidRPr="00DC6757">
        <w:rPr>
          <w:rFonts w:ascii="Times New Roman" w:hAnsi="Times New Roman" w:cs="Times New Roman"/>
          <w:sz w:val="24"/>
          <w:szCs w:val="24"/>
        </w:rPr>
        <w:t>approach</w:t>
      </w:r>
      <w:r w:rsidR="00114D08" w:rsidRPr="00DC6757">
        <w:rPr>
          <w:rFonts w:ascii="Times New Roman" w:hAnsi="Times New Roman" w:cs="Times New Roman"/>
          <w:sz w:val="24"/>
          <w:szCs w:val="24"/>
        </w:rPr>
        <w:t>will</w:t>
      </w:r>
      <w:proofErr w:type="spellEnd"/>
      <w:r w:rsidR="00114D08" w:rsidRPr="00DC6757">
        <w:rPr>
          <w:rFonts w:ascii="Times New Roman" w:hAnsi="Times New Roman" w:cs="Times New Roman"/>
          <w:sz w:val="24"/>
          <w:szCs w:val="24"/>
        </w:rPr>
        <w:t xml:space="preserve"> be</w:t>
      </w:r>
      <w:r w:rsidRPr="00DC6757">
        <w:rPr>
          <w:rFonts w:ascii="Times New Roman" w:hAnsi="Times New Roman" w:cs="Times New Roman"/>
          <w:sz w:val="24"/>
          <w:szCs w:val="24"/>
        </w:rPr>
        <w:t xml:space="preserve"> to add </w:t>
      </w:r>
      <w:proofErr w:type="spellStart"/>
      <w:r w:rsidRPr="00DC6757">
        <w:rPr>
          <w:rFonts w:ascii="Times New Roman" w:hAnsi="Times New Roman" w:cs="Times New Roman"/>
          <w:sz w:val="24"/>
          <w:szCs w:val="24"/>
        </w:rPr>
        <w:t>toxicokinetics</w:t>
      </w:r>
      <w:proofErr w:type="spellEnd"/>
      <w:r w:rsidRPr="00DC6757">
        <w:rPr>
          <w:rFonts w:ascii="Times New Roman" w:hAnsi="Times New Roman" w:cs="Times New Roman"/>
          <w:sz w:val="24"/>
          <w:szCs w:val="24"/>
        </w:rPr>
        <w:t xml:space="preserve"> and simulate endocrine disruption.</w:t>
      </w:r>
    </w:p>
    <w:p w14:paraId="7EFDBD18" w14:textId="38F194F0" w:rsidR="00C16B36" w:rsidRPr="00DC6757" w:rsidRDefault="00617647" w:rsidP="00C16B36">
      <w:pPr>
        <w:spacing w:line="480" w:lineRule="auto"/>
        <w:ind w:firstLine="720"/>
        <w:rPr>
          <w:rFonts w:ascii="Times New Roman" w:hAnsi="Times New Roman" w:cs="Times New Roman"/>
          <w:lang w:val="en-GB"/>
        </w:rPr>
      </w:pPr>
      <w:r w:rsidRPr="00DC6757">
        <w:rPr>
          <w:rFonts w:ascii="Times New Roman" w:hAnsi="Times New Roman" w:cs="Times New Roman"/>
          <w:sz w:val="24"/>
          <w:szCs w:val="24"/>
        </w:rPr>
        <w:t xml:space="preserve">Another approach is to add an egg module to the standard DEB model, allowing for hormone dynamics to control </w:t>
      </w:r>
      <w:r w:rsidR="00972CA1" w:rsidRPr="00DC6757">
        <w:rPr>
          <w:rFonts w:ascii="Times New Roman" w:hAnsi="Times New Roman" w:cs="Times New Roman"/>
          <w:sz w:val="24"/>
          <w:szCs w:val="24"/>
        </w:rPr>
        <w:t>conversion of material in the DEB “reproduction buffer” into eggs</w:t>
      </w:r>
      <w:r w:rsidRPr="00DC6757">
        <w:rPr>
          <w:rFonts w:ascii="Times New Roman" w:hAnsi="Times New Roman" w:cs="Times New Roman"/>
          <w:sz w:val="24"/>
          <w:szCs w:val="24"/>
        </w:rPr>
        <w:t xml:space="preserve"> (Fig 3). In this approach, well developed </w:t>
      </w:r>
      <w:proofErr w:type="gramStart"/>
      <w:r w:rsidRPr="00DC6757">
        <w:rPr>
          <w:rFonts w:ascii="Times New Roman" w:hAnsi="Times New Roman" w:cs="Times New Roman"/>
          <w:sz w:val="24"/>
          <w:szCs w:val="24"/>
        </w:rPr>
        <w:t>physiologically-based</w:t>
      </w:r>
      <w:proofErr w:type="gramEnd"/>
      <w:r w:rsidRPr="00DC6757">
        <w:rPr>
          <w:rFonts w:ascii="Times New Roman" w:hAnsi="Times New Roman" w:cs="Times New Roman"/>
          <w:sz w:val="24"/>
          <w:szCs w:val="24"/>
        </w:rPr>
        <w:t xml:space="preserve"> models (</w:t>
      </w:r>
      <w:proofErr w:type="spellStart"/>
      <w:r w:rsidRPr="00DC6757">
        <w:rPr>
          <w:rFonts w:ascii="Times New Roman" w:hAnsi="Times New Roman" w:cs="Times New Roman"/>
          <w:sz w:val="24"/>
          <w:szCs w:val="24"/>
        </w:rPr>
        <w:t>eg.</w:t>
      </w:r>
      <w:proofErr w:type="spellEnd"/>
      <w:r w:rsidRPr="00DC6757">
        <w:rPr>
          <w:rFonts w:ascii="Times New Roman" w:hAnsi="Times New Roman" w:cs="Times New Roman"/>
          <w:sz w:val="24"/>
          <w:szCs w:val="24"/>
        </w:rPr>
        <w:t xml:space="preserve"> Conolly et al</w:t>
      </w:r>
      <w:r w:rsidR="005D53E5" w:rsidRPr="00DC6757">
        <w:rPr>
          <w:rFonts w:ascii="Times New Roman" w:hAnsi="Times New Roman" w:cs="Times New Roman"/>
          <w:sz w:val="24"/>
          <w:szCs w:val="24"/>
        </w:rPr>
        <w:t>., 2017; Gillies et al.</w:t>
      </w:r>
      <w:r w:rsidRPr="00DC6757">
        <w:rPr>
          <w:rFonts w:ascii="Times New Roman" w:hAnsi="Times New Roman" w:cs="Times New Roman"/>
          <w:sz w:val="24"/>
          <w:szCs w:val="24"/>
        </w:rPr>
        <w:t xml:space="preserve"> 2016; Li et al</w:t>
      </w:r>
      <w:r w:rsidR="005D53E5" w:rsidRPr="00DC6757">
        <w:rPr>
          <w:rFonts w:ascii="Times New Roman" w:hAnsi="Times New Roman" w:cs="Times New Roman"/>
          <w:sz w:val="24"/>
          <w:szCs w:val="24"/>
        </w:rPr>
        <w:t>.</w:t>
      </w:r>
      <w:r w:rsidRPr="00DC6757">
        <w:rPr>
          <w:rFonts w:ascii="Times New Roman" w:hAnsi="Times New Roman" w:cs="Times New Roman"/>
          <w:sz w:val="24"/>
          <w:szCs w:val="24"/>
        </w:rPr>
        <w:t xml:space="preserve"> 2011, Murphy et al</w:t>
      </w:r>
      <w:r w:rsidR="005D53E5" w:rsidRPr="00DC6757">
        <w:rPr>
          <w:rFonts w:ascii="Times New Roman" w:hAnsi="Times New Roman" w:cs="Times New Roman"/>
          <w:sz w:val="24"/>
          <w:szCs w:val="24"/>
        </w:rPr>
        <w:t>.</w:t>
      </w:r>
      <w:r w:rsidRPr="00DC6757">
        <w:rPr>
          <w:rFonts w:ascii="Times New Roman" w:hAnsi="Times New Roman" w:cs="Times New Roman"/>
          <w:sz w:val="24"/>
          <w:szCs w:val="24"/>
        </w:rPr>
        <w:t xml:space="preserve"> 2009</w:t>
      </w:r>
      <w:r w:rsidR="00245CDD" w:rsidRPr="00DC6757">
        <w:rPr>
          <w:rFonts w:ascii="Times New Roman" w:hAnsi="Times New Roman" w:cs="Times New Roman"/>
          <w:sz w:val="24"/>
          <w:szCs w:val="24"/>
        </w:rPr>
        <w:t>; Watanabe et al</w:t>
      </w:r>
      <w:r w:rsidR="005D53E5" w:rsidRPr="00DC6757">
        <w:rPr>
          <w:rFonts w:ascii="Times New Roman" w:hAnsi="Times New Roman" w:cs="Times New Roman"/>
          <w:sz w:val="24"/>
          <w:szCs w:val="24"/>
        </w:rPr>
        <w:t>.</w:t>
      </w:r>
      <w:r w:rsidR="00245CDD" w:rsidRPr="00DC6757">
        <w:rPr>
          <w:rFonts w:ascii="Times New Roman" w:hAnsi="Times New Roman" w:cs="Times New Roman"/>
          <w:sz w:val="24"/>
          <w:szCs w:val="24"/>
        </w:rPr>
        <w:t xml:space="preserve"> 2009</w:t>
      </w:r>
      <w:r w:rsidRPr="00DC6757">
        <w:rPr>
          <w:rFonts w:ascii="Times New Roman" w:hAnsi="Times New Roman" w:cs="Times New Roman"/>
          <w:sz w:val="24"/>
          <w:szCs w:val="24"/>
        </w:rPr>
        <w:t>) are collapsed into simple forcing functions, regulators, activators and active-regulator dynamics, and incorporated into the standard DEB through</w:t>
      </w:r>
      <w:r w:rsidR="00114D08" w:rsidRPr="00DC6757">
        <w:rPr>
          <w:rFonts w:ascii="Times New Roman" w:hAnsi="Times New Roman" w:cs="Times New Roman"/>
          <w:sz w:val="24"/>
          <w:szCs w:val="24"/>
        </w:rPr>
        <w:t xml:space="preserve"> simple characterizations of networks as “generalized enzymes” or</w:t>
      </w:r>
      <w:r w:rsidR="00DC6757">
        <w:rPr>
          <w:rFonts w:ascii="Times New Roman" w:hAnsi="Times New Roman" w:cs="Times New Roman"/>
          <w:sz w:val="24"/>
          <w:szCs w:val="24"/>
        </w:rPr>
        <w:t xml:space="preserve"> </w:t>
      </w:r>
      <w:r w:rsidR="00114D08" w:rsidRPr="00DC6757">
        <w:rPr>
          <w:rFonts w:ascii="Times New Roman" w:hAnsi="Times New Roman" w:cs="Times New Roman"/>
          <w:sz w:val="24"/>
          <w:szCs w:val="24"/>
        </w:rPr>
        <w:t>“</w:t>
      </w:r>
      <w:r w:rsidRPr="00DC6757">
        <w:rPr>
          <w:rFonts w:ascii="Times New Roman" w:hAnsi="Times New Roman" w:cs="Times New Roman"/>
          <w:sz w:val="24"/>
          <w:szCs w:val="24"/>
        </w:rPr>
        <w:t>synthesizing units</w:t>
      </w:r>
      <w:r w:rsidR="00114D08" w:rsidRPr="00DC6757">
        <w:rPr>
          <w:rFonts w:ascii="Times New Roman" w:hAnsi="Times New Roman" w:cs="Times New Roman"/>
          <w:sz w:val="24"/>
          <w:szCs w:val="24"/>
        </w:rPr>
        <w:t>”</w:t>
      </w:r>
      <w:r w:rsidRPr="00DC6757">
        <w:rPr>
          <w:rFonts w:ascii="Times New Roman" w:hAnsi="Times New Roman" w:cs="Times New Roman"/>
          <w:sz w:val="24"/>
          <w:szCs w:val="24"/>
        </w:rPr>
        <w:t xml:space="preserve"> (SUs; </w:t>
      </w:r>
      <w:proofErr w:type="spellStart"/>
      <w:r w:rsidR="00114D08" w:rsidRPr="00DC6757">
        <w:rPr>
          <w:rFonts w:ascii="Times New Roman" w:hAnsi="Times New Roman" w:cs="Times New Roman"/>
          <w:sz w:val="24"/>
          <w:szCs w:val="24"/>
        </w:rPr>
        <w:t>Kooijman</w:t>
      </w:r>
      <w:proofErr w:type="spellEnd"/>
      <w:r w:rsidR="00114D08" w:rsidRPr="00DC6757">
        <w:rPr>
          <w:rFonts w:ascii="Times New Roman" w:hAnsi="Times New Roman" w:cs="Times New Roman"/>
          <w:sz w:val="24"/>
          <w:szCs w:val="24"/>
        </w:rPr>
        <w:t xml:space="preserve"> 2010</w:t>
      </w:r>
      <w:r w:rsidRPr="00DC6757">
        <w:rPr>
          <w:rFonts w:ascii="Times New Roman" w:hAnsi="Times New Roman" w:cs="Times New Roman"/>
          <w:sz w:val="24"/>
          <w:szCs w:val="24"/>
        </w:rPr>
        <w:t>)</w:t>
      </w:r>
      <w:r w:rsidR="00902DAF" w:rsidRPr="00DC6757">
        <w:rPr>
          <w:rFonts w:ascii="Times New Roman" w:hAnsi="Times New Roman" w:cs="Times New Roman"/>
          <w:sz w:val="24"/>
          <w:szCs w:val="24"/>
        </w:rPr>
        <w:t xml:space="preserve">. </w:t>
      </w:r>
      <w:r w:rsidR="00E54BB0" w:rsidRPr="00DC6757">
        <w:rPr>
          <w:rFonts w:ascii="Times New Roman" w:hAnsi="Times New Roman" w:cs="Times New Roman"/>
          <w:sz w:val="24"/>
          <w:szCs w:val="24"/>
        </w:rPr>
        <w:t>A</w:t>
      </w:r>
      <w:r w:rsidR="00902DAF" w:rsidRPr="00DC6757">
        <w:rPr>
          <w:rFonts w:ascii="Times New Roman" w:hAnsi="Times New Roman" w:cs="Times New Roman"/>
          <w:sz w:val="24"/>
          <w:szCs w:val="24"/>
        </w:rPr>
        <w:t xml:space="preserve">lthough in this </w:t>
      </w:r>
      <w:r w:rsidR="00E54BB0" w:rsidRPr="00DC6757">
        <w:rPr>
          <w:rFonts w:ascii="Times New Roman" w:hAnsi="Times New Roman" w:cs="Times New Roman"/>
          <w:sz w:val="24"/>
          <w:szCs w:val="24"/>
        </w:rPr>
        <w:t>example it is restricted</w:t>
      </w:r>
      <w:r w:rsidRPr="00DC6757">
        <w:rPr>
          <w:rFonts w:ascii="Times New Roman" w:hAnsi="Times New Roman" w:cs="Times New Roman"/>
          <w:sz w:val="24"/>
          <w:szCs w:val="24"/>
        </w:rPr>
        <w:t xml:space="preserve"> to reproduction, </w:t>
      </w:r>
      <w:r w:rsidR="00E54BB0" w:rsidRPr="00DC6757">
        <w:rPr>
          <w:rFonts w:ascii="Times New Roman" w:hAnsi="Times New Roman" w:cs="Times New Roman"/>
          <w:sz w:val="24"/>
          <w:szCs w:val="24"/>
        </w:rPr>
        <w:t xml:space="preserve">forcing functions </w:t>
      </w:r>
      <w:r w:rsidRPr="00DC6757">
        <w:rPr>
          <w:rFonts w:ascii="Times New Roman" w:hAnsi="Times New Roman" w:cs="Times New Roman"/>
          <w:sz w:val="24"/>
          <w:szCs w:val="24"/>
        </w:rPr>
        <w:t>may be useful for other stressors and physiological modes of action in DEB</w:t>
      </w:r>
      <w:r w:rsidR="00962373" w:rsidRPr="00DC6757">
        <w:rPr>
          <w:rFonts w:ascii="Times New Roman" w:hAnsi="Times New Roman" w:cs="Times New Roman"/>
          <w:sz w:val="24"/>
          <w:szCs w:val="24"/>
        </w:rPr>
        <w:t>, possibly by utilizing th</w:t>
      </w:r>
      <w:r w:rsidR="005D53E5" w:rsidRPr="00DC6757">
        <w:rPr>
          <w:rFonts w:ascii="Times New Roman" w:hAnsi="Times New Roman" w:cs="Times New Roman"/>
          <w:sz w:val="24"/>
          <w:szCs w:val="24"/>
        </w:rPr>
        <w:t>e functions from Muller et al.</w:t>
      </w:r>
      <w:r w:rsidR="00114D08" w:rsidRPr="00DC6757">
        <w:rPr>
          <w:rFonts w:ascii="Times New Roman" w:hAnsi="Times New Roman" w:cs="Times New Roman"/>
          <w:sz w:val="24"/>
          <w:szCs w:val="24"/>
        </w:rPr>
        <w:t>, in press</w:t>
      </w:r>
      <w:r w:rsidR="00962373" w:rsidRPr="00DC6757">
        <w:rPr>
          <w:rFonts w:ascii="Times New Roman" w:hAnsi="Times New Roman" w:cs="Times New Roman"/>
          <w:sz w:val="24"/>
          <w:szCs w:val="24"/>
        </w:rPr>
        <w:t>)</w:t>
      </w:r>
      <w:r w:rsidRPr="00DC6757">
        <w:rPr>
          <w:rFonts w:ascii="Times New Roman" w:hAnsi="Times New Roman" w:cs="Times New Roman"/>
          <w:sz w:val="24"/>
          <w:szCs w:val="24"/>
        </w:rPr>
        <w:t xml:space="preserve">. </w:t>
      </w:r>
    </w:p>
    <w:p w14:paraId="674C2FF0" w14:textId="77777777" w:rsidR="004D7DC4" w:rsidRPr="00DC6757" w:rsidRDefault="002D4F26" w:rsidP="00C16B36">
      <w:pPr>
        <w:spacing w:line="480" w:lineRule="auto"/>
        <w:rPr>
          <w:rFonts w:ascii="Times New Roman" w:hAnsi="Times New Roman" w:cs="Times New Roman"/>
          <w:lang w:val="en-GB"/>
        </w:rPr>
      </w:pPr>
      <w:r w:rsidRPr="00DC6757">
        <w:rPr>
          <w:rFonts w:ascii="Times New Roman" w:hAnsi="Times New Roman" w:cs="Times New Roman"/>
          <w:b/>
          <w:sz w:val="24"/>
          <w:szCs w:val="24"/>
        </w:rPr>
        <w:t>Discussion</w:t>
      </w:r>
    </w:p>
    <w:p w14:paraId="70D7EB84" w14:textId="101D0AD0" w:rsidR="00902DAF" w:rsidRPr="00DC6757" w:rsidRDefault="00902DAF" w:rsidP="00C16B36">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lang w:val="en-GB"/>
        </w:rPr>
        <w:t>In this paper we described a conceptual model for linking AOP to DEB.</w:t>
      </w:r>
      <w:r w:rsidR="00DC6757">
        <w:rPr>
          <w:rFonts w:ascii="Times New Roman" w:hAnsi="Times New Roman" w:cs="Times New Roman"/>
          <w:sz w:val="24"/>
          <w:szCs w:val="24"/>
          <w:lang w:val="en-GB"/>
        </w:rPr>
        <w:t xml:space="preserve"> </w:t>
      </w:r>
      <w:r w:rsidRPr="00DC6757">
        <w:rPr>
          <w:rFonts w:ascii="Times New Roman" w:hAnsi="Times New Roman" w:cs="Times New Roman"/>
          <w:sz w:val="24"/>
          <w:szCs w:val="24"/>
          <w:lang w:val="en-GB"/>
        </w:rPr>
        <w:t xml:space="preserve">Our working group </w:t>
      </w:r>
      <w:r w:rsidR="008E3171" w:rsidRPr="00DC6757">
        <w:rPr>
          <w:rFonts w:ascii="Times New Roman" w:hAnsi="Times New Roman" w:cs="Times New Roman"/>
          <w:sz w:val="24"/>
          <w:szCs w:val="24"/>
          <w:lang w:val="en-GB"/>
        </w:rPr>
        <w:t>ha</w:t>
      </w:r>
      <w:r w:rsidRPr="00DC6757">
        <w:rPr>
          <w:rFonts w:ascii="Times New Roman" w:hAnsi="Times New Roman" w:cs="Times New Roman"/>
          <w:sz w:val="24"/>
          <w:szCs w:val="24"/>
          <w:lang w:val="en-GB"/>
        </w:rPr>
        <w:t xml:space="preserve">s </w:t>
      </w:r>
      <w:r w:rsidR="00E4666F" w:rsidRPr="00DC6757">
        <w:rPr>
          <w:rFonts w:ascii="Times New Roman" w:hAnsi="Times New Roman" w:cs="Times New Roman"/>
          <w:sz w:val="24"/>
          <w:szCs w:val="24"/>
          <w:lang w:val="en-GB"/>
        </w:rPr>
        <w:t>developed</w:t>
      </w:r>
      <w:r w:rsidR="007F1364" w:rsidRPr="00DC6757">
        <w:rPr>
          <w:rFonts w:ascii="Times New Roman" w:hAnsi="Times New Roman" w:cs="Times New Roman"/>
          <w:sz w:val="24"/>
          <w:szCs w:val="24"/>
          <w:lang w:val="en-GB"/>
        </w:rPr>
        <w:t xml:space="preserve"> </w:t>
      </w:r>
      <w:r w:rsidRPr="00DC6757">
        <w:rPr>
          <w:rFonts w:ascii="Times New Roman" w:hAnsi="Times New Roman" w:cs="Times New Roman"/>
          <w:sz w:val="24"/>
          <w:szCs w:val="24"/>
          <w:lang w:val="en-GB"/>
        </w:rPr>
        <w:t xml:space="preserve">two case studies based on </w:t>
      </w:r>
      <w:r w:rsidRPr="00DC6757">
        <w:rPr>
          <w:rFonts w:ascii="Times New Roman" w:hAnsi="Times New Roman" w:cs="Times New Roman"/>
          <w:i/>
          <w:sz w:val="24"/>
          <w:szCs w:val="24"/>
          <w:lang w:val="en-GB"/>
        </w:rPr>
        <w:t>Daphnia</w:t>
      </w:r>
      <w:r w:rsidRPr="00DC6757">
        <w:rPr>
          <w:rFonts w:ascii="Times New Roman" w:hAnsi="Times New Roman" w:cs="Times New Roman"/>
          <w:sz w:val="24"/>
          <w:szCs w:val="24"/>
          <w:lang w:val="en-GB"/>
        </w:rPr>
        <w:t xml:space="preserve"> and rainbow trout that merge information collected for AOPs with DEB. </w:t>
      </w:r>
      <w:r w:rsidR="00DF2A9F" w:rsidRPr="00DC6757">
        <w:rPr>
          <w:rFonts w:ascii="Times New Roman" w:hAnsi="Times New Roman" w:cs="Times New Roman"/>
          <w:sz w:val="24"/>
          <w:szCs w:val="24"/>
          <w:lang w:val="en-GB"/>
        </w:rPr>
        <w:t xml:space="preserve">Our ongoing </w:t>
      </w:r>
      <w:r w:rsidR="003C3D02" w:rsidRPr="00DC6757">
        <w:rPr>
          <w:rFonts w:ascii="Times New Roman" w:hAnsi="Times New Roman" w:cs="Times New Roman"/>
          <w:sz w:val="24"/>
          <w:szCs w:val="24"/>
          <w:lang w:val="en-GB"/>
        </w:rPr>
        <w:t xml:space="preserve">work on </w:t>
      </w:r>
      <w:r w:rsidRPr="00DC6757">
        <w:rPr>
          <w:rFonts w:ascii="Times New Roman" w:hAnsi="Times New Roman" w:cs="Times New Roman"/>
          <w:sz w:val="24"/>
          <w:szCs w:val="24"/>
          <w:lang w:val="en-GB"/>
        </w:rPr>
        <w:t>rainbow trout</w:t>
      </w:r>
      <w:r w:rsidR="00E1240A" w:rsidRPr="00DC6757">
        <w:rPr>
          <w:rFonts w:ascii="Times New Roman" w:hAnsi="Times New Roman" w:cs="Times New Roman"/>
          <w:sz w:val="24"/>
          <w:szCs w:val="24"/>
          <w:lang w:val="en-GB"/>
        </w:rPr>
        <w:t xml:space="preserve"> that</w:t>
      </w:r>
      <w:r w:rsidR="003C3D02" w:rsidRPr="00DC6757">
        <w:rPr>
          <w:rFonts w:ascii="Times New Roman" w:hAnsi="Times New Roman" w:cs="Times New Roman"/>
          <w:sz w:val="24"/>
          <w:szCs w:val="24"/>
          <w:lang w:val="en-GB"/>
        </w:rPr>
        <w:t xml:space="preserve"> </w:t>
      </w:r>
      <w:r w:rsidR="00DF2A9F" w:rsidRPr="00DC6757">
        <w:rPr>
          <w:rFonts w:ascii="Times New Roman" w:hAnsi="Times New Roman" w:cs="Times New Roman"/>
          <w:sz w:val="24"/>
          <w:szCs w:val="24"/>
          <w:lang w:val="en-GB"/>
        </w:rPr>
        <w:t xml:space="preserve">focuses </w:t>
      </w:r>
      <w:r w:rsidRPr="00DC6757">
        <w:rPr>
          <w:rFonts w:ascii="Times New Roman" w:hAnsi="Times New Roman" w:cs="Times New Roman"/>
          <w:sz w:val="24"/>
          <w:szCs w:val="24"/>
          <w:lang w:val="en-GB"/>
        </w:rPr>
        <w:t xml:space="preserve">on endocrine disruption for which there are </w:t>
      </w:r>
      <w:r w:rsidR="003C3D02" w:rsidRPr="00DC6757">
        <w:rPr>
          <w:rFonts w:ascii="Times New Roman" w:hAnsi="Times New Roman" w:cs="Times New Roman"/>
          <w:sz w:val="24"/>
          <w:szCs w:val="24"/>
          <w:lang w:val="en-GB"/>
        </w:rPr>
        <w:t xml:space="preserve">existing </w:t>
      </w:r>
      <w:r w:rsidRPr="00DC6757">
        <w:rPr>
          <w:rFonts w:ascii="Times New Roman" w:hAnsi="Times New Roman" w:cs="Times New Roman"/>
          <w:sz w:val="24"/>
          <w:szCs w:val="24"/>
          <w:lang w:val="en-GB"/>
        </w:rPr>
        <w:t xml:space="preserve">quantitative AOPs that integrate molecular, cellular and organ level responses to predict effects on reproduction. </w:t>
      </w:r>
      <w:r w:rsidR="00DF2A9F" w:rsidRPr="00DC6757">
        <w:rPr>
          <w:rFonts w:ascii="Times New Roman" w:hAnsi="Times New Roman" w:cs="Times New Roman"/>
          <w:sz w:val="24"/>
          <w:szCs w:val="24"/>
          <w:lang w:val="en-GB"/>
        </w:rPr>
        <w:t>We are investigating approaches in which</w:t>
      </w:r>
      <w:r w:rsidR="00DC6757">
        <w:rPr>
          <w:rFonts w:ascii="Times New Roman" w:hAnsi="Times New Roman" w:cs="Times New Roman"/>
          <w:sz w:val="24"/>
          <w:szCs w:val="24"/>
          <w:lang w:val="en-GB"/>
        </w:rPr>
        <w:t xml:space="preserve"> </w:t>
      </w:r>
      <w:r w:rsidR="00DF2A9F" w:rsidRPr="00DC6757">
        <w:rPr>
          <w:rFonts w:ascii="Times New Roman" w:hAnsi="Times New Roman" w:cs="Times New Roman"/>
          <w:sz w:val="24"/>
          <w:szCs w:val="24"/>
          <w:lang w:val="en-GB"/>
        </w:rPr>
        <w:t>c</w:t>
      </w:r>
      <w:r w:rsidRPr="00DC6757">
        <w:rPr>
          <w:rFonts w:ascii="Times New Roman" w:hAnsi="Times New Roman" w:cs="Times New Roman"/>
          <w:sz w:val="24"/>
          <w:szCs w:val="24"/>
          <w:lang w:val="en-GB"/>
        </w:rPr>
        <w:t xml:space="preserve">onnecting with a DEB representation </w:t>
      </w:r>
      <w:r w:rsidR="00DF2A9F" w:rsidRPr="00DC6757">
        <w:rPr>
          <w:rFonts w:ascii="Times New Roman" w:hAnsi="Times New Roman" w:cs="Times New Roman"/>
          <w:sz w:val="24"/>
          <w:szCs w:val="24"/>
          <w:lang w:val="en-GB"/>
        </w:rPr>
        <w:t xml:space="preserve">is achieved </w:t>
      </w:r>
      <w:r w:rsidR="003C3D02" w:rsidRPr="00DC6757">
        <w:rPr>
          <w:rFonts w:ascii="Times New Roman" w:hAnsi="Times New Roman" w:cs="Times New Roman"/>
          <w:sz w:val="24"/>
          <w:szCs w:val="24"/>
          <w:lang w:val="en-GB"/>
        </w:rPr>
        <w:t xml:space="preserve">either </w:t>
      </w:r>
      <w:r w:rsidRPr="00DC6757">
        <w:rPr>
          <w:rFonts w:ascii="Times New Roman" w:hAnsi="Times New Roman" w:cs="Times New Roman"/>
          <w:sz w:val="24"/>
          <w:szCs w:val="24"/>
          <w:lang w:val="en-GB"/>
        </w:rPr>
        <w:t xml:space="preserve">modifying the “standard” DEB model to </w:t>
      </w:r>
      <w:r w:rsidRPr="00DC6757">
        <w:rPr>
          <w:rFonts w:ascii="Times New Roman" w:hAnsi="Times New Roman" w:cs="Times New Roman"/>
          <w:sz w:val="24"/>
          <w:szCs w:val="24"/>
          <w:lang w:val="en-GB"/>
        </w:rPr>
        <w:lastRenderedPageBreak/>
        <w:t xml:space="preserve">include feedbacks that characterize the integrated effects of hormonal control mechanisms, or adding a module to standard DEB. With </w:t>
      </w:r>
      <w:r w:rsidRPr="00DC6757">
        <w:rPr>
          <w:rFonts w:ascii="Times New Roman" w:hAnsi="Times New Roman" w:cs="Times New Roman"/>
          <w:i/>
          <w:sz w:val="24"/>
          <w:szCs w:val="24"/>
          <w:lang w:val="en-GB"/>
        </w:rPr>
        <w:t>Daphnia</w:t>
      </w:r>
      <w:r w:rsidRPr="00DC6757">
        <w:rPr>
          <w:rFonts w:ascii="Times New Roman" w:hAnsi="Times New Roman" w:cs="Times New Roman"/>
          <w:sz w:val="24"/>
          <w:szCs w:val="24"/>
          <w:lang w:val="en-GB"/>
        </w:rPr>
        <w:t xml:space="preserve">, there is little organ level data, so we </w:t>
      </w:r>
      <w:r w:rsidR="003C3D02" w:rsidRPr="00DC6757">
        <w:rPr>
          <w:rFonts w:ascii="Times New Roman" w:hAnsi="Times New Roman" w:cs="Times New Roman"/>
          <w:sz w:val="24"/>
          <w:szCs w:val="24"/>
          <w:lang w:val="en-GB"/>
        </w:rPr>
        <w:t xml:space="preserve">are </w:t>
      </w:r>
      <w:r w:rsidRPr="00DC6757">
        <w:rPr>
          <w:rFonts w:ascii="Times New Roman" w:hAnsi="Times New Roman" w:cs="Times New Roman"/>
          <w:sz w:val="24"/>
          <w:szCs w:val="24"/>
          <w:lang w:val="en-GB"/>
        </w:rPr>
        <w:t>seek</w:t>
      </w:r>
      <w:r w:rsidR="003C3D02" w:rsidRPr="00DC6757">
        <w:rPr>
          <w:rFonts w:ascii="Times New Roman" w:hAnsi="Times New Roman" w:cs="Times New Roman"/>
          <w:sz w:val="24"/>
          <w:szCs w:val="24"/>
          <w:lang w:val="en-GB"/>
        </w:rPr>
        <w:t>ing</w:t>
      </w:r>
      <w:r w:rsidRPr="00DC6757">
        <w:rPr>
          <w:rFonts w:ascii="Times New Roman" w:hAnsi="Times New Roman" w:cs="Times New Roman"/>
          <w:sz w:val="24"/>
          <w:szCs w:val="24"/>
          <w:lang w:val="en-GB"/>
        </w:rPr>
        <w:t xml:space="preserve"> correlative connections with transcriptomic data</w:t>
      </w:r>
      <w:r w:rsidR="003C3D02" w:rsidRPr="00DC6757">
        <w:rPr>
          <w:rFonts w:ascii="Times New Roman" w:hAnsi="Times New Roman" w:cs="Times New Roman"/>
          <w:sz w:val="24"/>
          <w:szCs w:val="24"/>
          <w:lang w:val="en-GB"/>
        </w:rPr>
        <w:t xml:space="preserve"> (work in progress)</w:t>
      </w:r>
      <w:r w:rsidRPr="00DC6757">
        <w:rPr>
          <w:rFonts w:ascii="Times New Roman" w:hAnsi="Times New Roman" w:cs="Times New Roman"/>
          <w:sz w:val="24"/>
          <w:szCs w:val="24"/>
          <w:lang w:val="en-GB"/>
        </w:rPr>
        <w:t>.</w:t>
      </w:r>
      <w:r w:rsidR="00DC6757">
        <w:rPr>
          <w:rFonts w:ascii="Times New Roman" w:hAnsi="Times New Roman" w:cs="Times New Roman"/>
          <w:sz w:val="24"/>
          <w:szCs w:val="24"/>
          <w:lang w:val="en-GB"/>
        </w:rPr>
        <w:t xml:space="preserve"> </w:t>
      </w:r>
      <w:r w:rsidR="003C3D02" w:rsidRPr="00DC6757">
        <w:rPr>
          <w:rFonts w:ascii="Times New Roman" w:hAnsi="Times New Roman" w:cs="Times New Roman"/>
          <w:sz w:val="24"/>
          <w:szCs w:val="24"/>
          <w:lang w:val="en-GB"/>
        </w:rPr>
        <w:t xml:space="preserve">In both </w:t>
      </w:r>
      <w:r w:rsidR="00E54BB0" w:rsidRPr="00DC6757">
        <w:rPr>
          <w:rFonts w:ascii="Times New Roman" w:hAnsi="Times New Roman" w:cs="Times New Roman"/>
          <w:sz w:val="24"/>
          <w:szCs w:val="24"/>
          <w:lang w:val="en-GB"/>
        </w:rPr>
        <w:t>studies,</w:t>
      </w:r>
      <w:r w:rsidR="003C3D02" w:rsidRPr="00DC6757">
        <w:rPr>
          <w:rFonts w:ascii="Times New Roman" w:hAnsi="Times New Roman" w:cs="Times New Roman"/>
          <w:sz w:val="24"/>
          <w:szCs w:val="24"/>
          <w:lang w:val="en-GB"/>
        </w:rPr>
        <w:t xml:space="preserve"> our goal is to identify</w:t>
      </w:r>
      <w:r w:rsidRPr="00DC6757">
        <w:rPr>
          <w:rFonts w:ascii="Times New Roman" w:hAnsi="Times New Roman" w:cs="Times New Roman"/>
          <w:sz w:val="24"/>
          <w:szCs w:val="24"/>
          <w:lang w:val="en-GB"/>
        </w:rPr>
        <w:t xml:space="preserve"> a set of key events, or a key event network </w:t>
      </w:r>
      <w:r w:rsidR="00972CA1" w:rsidRPr="00DC6757">
        <w:rPr>
          <w:rFonts w:ascii="Times New Roman" w:hAnsi="Times New Roman" w:cs="Times New Roman"/>
          <w:sz w:val="24"/>
          <w:szCs w:val="24"/>
          <w:lang w:val="en-GB"/>
        </w:rPr>
        <w:t xml:space="preserve">leading to measures of “damage” </w:t>
      </w:r>
      <w:r w:rsidRPr="00DC6757">
        <w:rPr>
          <w:rFonts w:ascii="Times New Roman" w:hAnsi="Times New Roman" w:cs="Times New Roman"/>
          <w:sz w:val="24"/>
          <w:szCs w:val="24"/>
          <w:lang w:val="en-GB"/>
        </w:rPr>
        <w:t xml:space="preserve">that </w:t>
      </w:r>
      <w:r w:rsidR="00972CA1" w:rsidRPr="00DC6757">
        <w:rPr>
          <w:rFonts w:ascii="Times New Roman" w:hAnsi="Times New Roman" w:cs="Times New Roman"/>
          <w:sz w:val="24"/>
          <w:szCs w:val="24"/>
          <w:lang w:val="en-GB"/>
        </w:rPr>
        <w:t>impact</w:t>
      </w:r>
      <w:r w:rsidRPr="00DC6757">
        <w:rPr>
          <w:rFonts w:ascii="Times New Roman" w:hAnsi="Times New Roman" w:cs="Times New Roman"/>
          <w:sz w:val="24"/>
          <w:szCs w:val="24"/>
          <w:lang w:val="en-GB"/>
        </w:rPr>
        <w:t xml:space="preserve"> specified DEB parameters and rates.</w:t>
      </w:r>
      <w:r w:rsidR="00DC6757">
        <w:rPr>
          <w:rFonts w:ascii="Times New Roman" w:hAnsi="Times New Roman" w:cs="Times New Roman"/>
          <w:sz w:val="24"/>
          <w:szCs w:val="24"/>
          <w:lang w:val="en-GB"/>
        </w:rPr>
        <w:t xml:space="preserve"> </w:t>
      </w:r>
      <w:r w:rsidRPr="00DC6757">
        <w:rPr>
          <w:rFonts w:ascii="Times New Roman" w:hAnsi="Times New Roman" w:cs="Times New Roman"/>
          <w:sz w:val="24"/>
          <w:szCs w:val="24"/>
          <w:lang w:val="en-GB"/>
        </w:rPr>
        <w:t xml:space="preserve">Eventually we envision a system where AOPs link to DEB rates, and the DEB is then used within the construct of a whole organism where energetic </w:t>
      </w:r>
      <w:proofErr w:type="spellStart"/>
      <w:r w:rsidRPr="00DC6757">
        <w:rPr>
          <w:rFonts w:ascii="Times New Roman" w:hAnsi="Times New Roman" w:cs="Times New Roman"/>
          <w:sz w:val="24"/>
          <w:szCs w:val="24"/>
          <w:lang w:val="en-GB"/>
        </w:rPr>
        <w:t>tradeoffs</w:t>
      </w:r>
      <w:proofErr w:type="spellEnd"/>
      <w:r w:rsidRPr="00DC6757">
        <w:rPr>
          <w:rFonts w:ascii="Times New Roman" w:hAnsi="Times New Roman" w:cs="Times New Roman"/>
          <w:sz w:val="24"/>
          <w:szCs w:val="24"/>
          <w:lang w:val="en-GB"/>
        </w:rPr>
        <w:t xml:space="preserve"> between physiological processes are considered.</w:t>
      </w:r>
      <w:r w:rsidR="003C3D02" w:rsidRPr="00DC6757" w:rsidDel="003C3D02">
        <w:rPr>
          <w:rFonts w:ascii="Times New Roman" w:hAnsi="Times New Roman" w:cs="Times New Roman"/>
          <w:sz w:val="24"/>
          <w:szCs w:val="24"/>
          <w:lang w:val="en-GB"/>
        </w:rPr>
        <w:t xml:space="preserve"> </w:t>
      </w:r>
      <w:r w:rsidRPr="00DC6757">
        <w:rPr>
          <w:rFonts w:ascii="Times New Roman" w:hAnsi="Times New Roman" w:cs="Times New Roman"/>
          <w:sz w:val="24"/>
          <w:szCs w:val="24"/>
          <w:lang w:val="en-GB"/>
        </w:rPr>
        <w:t xml:space="preserve">Such a system would improve the predictive power of </w:t>
      </w:r>
      <w:proofErr w:type="spellStart"/>
      <w:r w:rsidRPr="00DC6757">
        <w:rPr>
          <w:rFonts w:ascii="Times New Roman" w:hAnsi="Times New Roman" w:cs="Times New Roman"/>
          <w:sz w:val="24"/>
          <w:szCs w:val="24"/>
          <w:lang w:val="en-GB"/>
        </w:rPr>
        <w:t>suborganismal</w:t>
      </w:r>
      <w:proofErr w:type="spellEnd"/>
      <w:r w:rsidRPr="00DC6757">
        <w:rPr>
          <w:rFonts w:ascii="Times New Roman" w:hAnsi="Times New Roman" w:cs="Times New Roman"/>
          <w:sz w:val="24"/>
          <w:szCs w:val="24"/>
          <w:lang w:val="en-GB"/>
        </w:rPr>
        <w:t xml:space="preserve"> key events, </w:t>
      </w:r>
      <w:r w:rsidR="00E36E64" w:rsidRPr="00DC6757">
        <w:rPr>
          <w:rFonts w:ascii="Times New Roman" w:hAnsi="Times New Roman" w:cs="Times New Roman"/>
          <w:sz w:val="24"/>
          <w:szCs w:val="24"/>
          <w:lang w:val="en-GB"/>
        </w:rPr>
        <w:t xml:space="preserve">by placing </w:t>
      </w:r>
      <w:r w:rsidRPr="00DC6757">
        <w:rPr>
          <w:rFonts w:ascii="Times New Roman" w:hAnsi="Times New Roman" w:cs="Times New Roman"/>
          <w:sz w:val="24"/>
          <w:szCs w:val="24"/>
          <w:lang w:val="en-GB"/>
        </w:rPr>
        <w:t xml:space="preserve">such KEs into a framework that would allow for extrapolation to population (via </w:t>
      </w:r>
      <w:r w:rsidR="00DF2A9F" w:rsidRPr="00DC6757">
        <w:rPr>
          <w:rFonts w:ascii="Times New Roman" w:hAnsi="Times New Roman" w:cs="Times New Roman"/>
          <w:sz w:val="24"/>
          <w:szCs w:val="24"/>
          <w:lang w:val="en-GB"/>
        </w:rPr>
        <w:t>IBMs</w:t>
      </w:r>
      <w:r w:rsidRPr="00DC6757">
        <w:rPr>
          <w:rFonts w:ascii="Times New Roman" w:hAnsi="Times New Roman" w:cs="Times New Roman"/>
          <w:sz w:val="24"/>
          <w:szCs w:val="24"/>
          <w:lang w:val="en-GB"/>
        </w:rPr>
        <w:t>) and up to population, community, and ecosystem effects (Fig 4)</w:t>
      </w:r>
      <w:r w:rsidR="00DC6757">
        <w:rPr>
          <w:rFonts w:ascii="Times New Roman" w:hAnsi="Times New Roman" w:cs="Times New Roman"/>
          <w:sz w:val="24"/>
          <w:szCs w:val="24"/>
          <w:lang w:val="en-GB"/>
        </w:rPr>
        <w:t xml:space="preserve"> </w:t>
      </w:r>
    </w:p>
    <w:p w14:paraId="26732549" w14:textId="7320D822" w:rsidR="006F2A52" w:rsidRPr="00DC6757" w:rsidRDefault="00AE400E" w:rsidP="0053083E">
      <w:pPr>
        <w:spacing w:after="0" w:line="480" w:lineRule="auto"/>
        <w:ind w:firstLine="720"/>
        <w:rPr>
          <w:rFonts w:ascii="Times New Roman" w:hAnsi="Times New Roman" w:cs="Times New Roman"/>
          <w:sz w:val="24"/>
          <w:szCs w:val="24"/>
        </w:rPr>
      </w:pPr>
      <w:proofErr w:type="spellStart"/>
      <w:r w:rsidRPr="00DC6757">
        <w:rPr>
          <w:rFonts w:ascii="Times New Roman" w:eastAsia="Times New Roman" w:hAnsi="Times New Roman" w:cs="Times New Roman"/>
          <w:sz w:val="24"/>
          <w:szCs w:val="24"/>
        </w:rPr>
        <w:t>Ashauer</w:t>
      </w:r>
      <w:proofErr w:type="spellEnd"/>
      <w:r w:rsidRPr="00DC6757">
        <w:rPr>
          <w:rFonts w:ascii="Times New Roman" w:eastAsia="Times New Roman" w:hAnsi="Times New Roman" w:cs="Times New Roman"/>
          <w:sz w:val="24"/>
          <w:szCs w:val="24"/>
        </w:rPr>
        <w:t xml:space="preserve"> and Jager (2018</w:t>
      </w:r>
      <w:r w:rsidR="00133BFA" w:rsidRPr="00DC6757">
        <w:rPr>
          <w:rFonts w:ascii="Times New Roman" w:eastAsia="Times New Roman" w:hAnsi="Times New Roman" w:cs="Times New Roman"/>
          <w:sz w:val="24"/>
          <w:szCs w:val="24"/>
        </w:rPr>
        <w:t>) hypothesized that “chemicals of the same class”, i.e</w:t>
      </w:r>
      <w:r w:rsidR="00FC4C22" w:rsidRPr="00DC6757">
        <w:rPr>
          <w:rFonts w:ascii="Times New Roman" w:eastAsia="Times New Roman" w:hAnsi="Times New Roman" w:cs="Times New Roman"/>
          <w:sz w:val="24"/>
          <w:szCs w:val="24"/>
        </w:rPr>
        <w:t>.</w:t>
      </w:r>
      <w:r w:rsidR="00133BFA" w:rsidRPr="00DC6757">
        <w:rPr>
          <w:rFonts w:ascii="Times New Roman" w:eastAsia="Times New Roman" w:hAnsi="Times New Roman" w:cs="Times New Roman"/>
          <w:sz w:val="24"/>
          <w:szCs w:val="24"/>
        </w:rPr>
        <w:t xml:space="preserve"> triggering the same MIE and hence having the same adverse outcome, should exhibit the same </w:t>
      </w:r>
      <w:proofErr w:type="spellStart"/>
      <w:r w:rsidR="00133BFA" w:rsidRPr="00DC6757">
        <w:rPr>
          <w:rFonts w:ascii="Times New Roman" w:eastAsia="Times New Roman" w:hAnsi="Times New Roman" w:cs="Times New Roman"/>
          <w:sz w:val="24"/>
          <w:szCs w:val="24"/>
        </w:rPr>
        <w:t>pMoA</w:t>
      </w:r>
      <w:proofErr w:type="spellEnd"/>
      <w:r w:rsidR="00133BFA" w:rsidRPr="00DC6757">
        <w:rPr>
          <w:rFonts w:ascii="Times New Roman" w:eastAsia="Times New Roman" w:hAnsi="Times New Roman" w:cs="Times New Roman"/>
          <w:sz w:val="24"/>
          <w:szCs w:val="24"/>
        </w:rPr>
        <w:t xml:space="preserve"> when toxicity data are analyzed using </w:t>
      </w:r>
      <w:proofErr w:type="spellStart"/>
      <w:r w:rsidR="00133BFA" w:rsidRPr="00DC6757">
        <w:rPr>
          <w:rFonts w:ascii="Times New Roman" w:eastAsia="Times New Roman" w:hAnsi="Times New Roman" w:cs="Times New Roman"/>
          <w:sz w:val="24"/>
          <w:szCs w:val="24"/>
        </w:rPr>
        <w:t>DEBtox</w:t>
      </w:r>
      <w:proofErr w:type="spellEnd"/>
      <w:r w:rsidR="00133BFA" w:rsidRPr="00DC6757">
        <w:rPr>
          <w:rFonts w:ascii="Times New Roman" w:eastAsia="Times New Roman" w:hAnsi="Times New Roman" w:cs="Times New Roman"/>
          <w:sz w:val="24"/>
          <w:szCs w:val="24"/>
        </w:rPr>
        <w:t xml:space="preserve"> methods.</w:t>
      </w:r>
      <w:r w:rsidR="00DC6757">
        <w:rPr>
          <w:rFonts w:ascii="Times New Roman" w:eastAsia="Times New Roman" w:hAnsi="Times New Roman" w:cs="Times New Roman"/>
          <w:sz w:val="24"/>
          <w:szCs w:val="24"/>
        </w:rPr>
        <w:t xml:space="preserve"> </w:t>
      </w:r>
      <w:r w:rsidR="00133BFA" w:rsidRPr="00DC6757">
        <w:rPr>
          <w:rFonts w:ascii="Times New Roman" w:eastAsia="Times New Roman" w:hAnsi="Times New Roman" w:cs="Times New Roman"/>
          <w:sz w:val="24"/>
          <w:szCs w:val="24"/>
        </w:rPr>
        <w:t xml:space="preserve">They found very limited evidence to support this hypothesis; indeed "baseline toxicants” apparently exhibit different dominant </w:t>
      </w:r>
      <w:proofErr w:type="spellStart"/>
      <w:r w:rsidR="00133BFA" w:rsidRPr="00DC6757">
        <w:rPr>
          <w:rFonts w:ascii="Times New Roman" w:eastAsia="Times New Roman" w:hAnsi="Times New Roman" w:cs="Times New Roman"/>
          <w:sz w:val="24"/>
          <w:szCs w:val="24"/>
        </w:rPr>
        <w:t>pMoAs</w:t>
      </w:r>
      <w:proofErr w:type="spellEnd"/>
      <w:r w:rsidR="00133BFA" w:rsidRPr="00DC6757">
        <w:rPr>
          <w:rFonts w:ascii="Times New Roman" w:eastAsia="Times New Roman" w:hAnsi="Times New Roman" w:cs="Times New Roman"/>
          <w:sz w:val="24"/>
          <w:szCs w:val="24"/>
        </w:rPr>
        <w:t xml:space="preserve"> for </w:t>
      </w:r>
      <w:r w:rsidR="00133BFA" w:rsidRPr="00DC6757">
        <w:rPr>
          <w:rFonts w:ascii="Times New Roman" w:eastAsia="Times New Roman" w:hAnsi="Times New Roman" w:cs="Times New Roman"/>
          <w:i/>
          <w:iCs/>
          <w:sz w:val="24"/>
          <w:szCs w:val="24"/>
        </w:rPr>
        <w:t>Daphnia magna</w:t>
      </w:r>
      <w:r w:rsidR="00133BFA" w:rsidRPr="00DC6757">
        <w:rPr>
          <w:rFonts w:ascii="Times New Roman" w:eastAsia="Times New Roman" w:hAnsi="Times New Roman" w:cs="Times New Roman"/>
          <w:sz w:val="24"/>
          <w:szCs w:val="24"/>
        </w:rPr>
        <w:t>.</w:t>
      </w:r>
      <w:r w:rsidR="00DC6757">
        <w:rPr>
          <w:rFonts w:ascii="Times New Roman" w:eastAsia="Times New Roman" w:hAnsi="Times New Roman" w:cs="Times New Roman"/>
          <w:sz w:val="24"/>
          <w:szCs w:val="24"/>
        </w:rPr>
        <w:t xml:space="preserve"> </w:t>
      </w:r>
      <w:r w:rsidR="00133BFA" w:rsidRPr="00DC6757">
        <w:rPr>
          <w:rFonts w:ascii="Times New Roman" w:eastAsia="Times New Roman" w:hAnsi="Times New Roman" w:cs="Times New Roman"/>
          <w:sz w:val="24"/>
          <w:szCs w:val="24"/>
        </w:rPr>
        <w:t xml:space="preserve">They cautioned that unambiguous identification of </w:t>
      </w:r>
      <w:proofErr w:type="spellStart"/>
      <w:r w:rsidR="00133BFA" w:rsidRPr="00DC6757">
        <w:rPr>
          <w:rFonts w:ascii="Times New Roman" w:eastAsia="Times New Roman" w:hAnsi="Times New Roman" w:cs="Times New Roman"/>
          <w:sz w:val="24"/>
          <w:szCs w:val="24"/>
        </w:rPr>
        <w:t>pMoA</w:t>
      </w:r>
      <w:proofErr w:type="spellEnd"/>
      <w:r w:rsidR="00133BFA" w:rsidRPr="00DC6757">
        <w:rPr>
          <w:rFonts w:ascii="Times New Roman" w:eastAsia="Times New Roman" w:hAnsi="Times New Roman" w:cs="Times New Roman"/>
          <w:sz w:val="24"/>
          <w:szCs w:val="24"/>
        </w:rPr>
        <w:t xml:space="preserve"> is remarkably </w:t>
      </w:r>
      <w:proofErr w:type="gramStart"/>
      <w:r w:rsidR="00133BFA" w:rsidRPr="00DC6757">
        <w:rPr>
          <w:rFonts w:ascii="Times New Roman" w:eastAsia="Times New Roman" w:hAnsi="Times New Roman" w:cs="Times New Roman"/>
          <w:sz w:val="24"/>
          <w:szCs w:val="24"/>
        </w:rPr>
        <w:t>challenging, and</w:t>
      </w:r>
      <w:proofErr w:type="gramEnd"/>
      <w:r w:rsidR="00133BFA" w:rsidRPr="00DC6757">
        <w:rPr>
          <w:rFonts w:ascii="Times New Roman" w:eastAsia="Times New Roman" w:hAnsi="Times New Roman" w:cs="Times New Roman"/>
          <w:sz w:val="24"/>
          <w:szCs w:val="24"/>
        </w:rPr>
        <w:t xml:space="preserve"> discussed data requirements to resolve this.</w:t>
      </w:r>
      <w:r w:rsidR="00DC6757">
        <w:rPr>
          <w:rFonts w:ascii="Times New Roman" w:eastAsia="Times New Roman" w:hAnsi="Times New Roman" w:cs="Times New Roman"/>
          <w:sz w:val="24"/>
          <w:szCs w:val="24"/>
        </w:rPr>
        <w:t xml:space="preserve"> </w:t>
      </w:r>
      <w:r w:rsidR="00133BFA" w:rsidRPr="00DC6757">
        <w:rPr>
          <w:rFonts w:ascii="Times New Roman" w:eastAsia="Times New Roman" w:hAnsi="Times New Roman" w:cs="Times New Roman"/>
          <w:sz w:val="24"/>
          <w:szCs w:val="24"/>
        </w:rPr>
        <w:t xml:space="preserve">A more fundamental issue is that all </w:t>
      </w:r>
      <w:proofErr w:type="spellStart"/>
      <w:r w:rsidR="00133BFA" w:rsidRPr="00DC6757">
        <w:rPr>
          <w:rFonts w:ascii="Times New Roman" w:eastAsia="Times New Roman" w:hAnsi="Times New Roman" w:cs="Times New Roman"/>
          <w:sz w:val="24"/>
          <w:szCs w:val="24"/>
        </w:rPr>
        <w:t>DEBtox</w:t>
      </w:r>
      <w:proofErr w:type="spellEnd"/>
      <w:r w:rsidR="00133BFA" w:rsidRPr="00DC6757">
        <w:rPr>
          <w:rFonts w:ascii="Times New Roman" w:eastAsia="Times New Roman" w:hAnsi="Times New Roman" w:cs="Times New Roman"/>
          <w:sz w:val="24"/>
          <w:szCs w:val="24"/>
        </w:rPr>
        <w:t xml:space="preserve"> analyses known to us assume that there are</w:t>
      </w:r>
      <w:r w:rsidR="009B48D7" w:rsidRPr="00DC6757">
        <w:rPr>
          <w:rFonts w:ascii="Times New Roman" w:eastAsia="Times New Roman" w:hAnsi="Times New Roman" w:cs="Times New Roman"/>
          <w:sz w:val="24"/>
          <w:szCs w:val="24"/>
        </w:rPr>
        <w:t xml:space="preserve"> is a single dominant </w:t>
      </w:r>
      <w:proofErr w:type="spellStart"/>
      <w:r w:rsidR="009B48D7" w:rsidRPr="00DC6757">
        <w:rPr>
          <w:rFonts w:ascii="Times New Roman" w:eastAsia="Times New Roman" w:hAnsi="Times New Roman" w:cs="Times New Roman"/>
          <w:sz w:val="24"/>
          <w:szCs w:val="24"/>
        </w:rPr>
        <w:t>pMoA</w:t>
      </w:r>
      <w:proofErr w:type="spellEnd"/>
      <w:r w:rsidR="009B48D7" w:rsidRPr="00DC6757">
        <w:rPr>
          <w:rFonts w:ascii="Times New Roman" w:eastAsia="Times New Roman" w:hAnsi="Times New Roman" w:cs="Times New Roman"/>
          <w:sz w:val="24"/>
          <w:szCs w:val="24"/>
        </w:rPr>
        <w:t>, or occasionally two</w:t>
      </w:r>
      <w:r w:rsidR="00DC6757">
        <w:rPr>
          <w:rFonts w:ascii="Times New Roman" w:eastAsia="Times New Roman" w:hAnsi="Times New Roman" w:cs="Times New Roman"/>
          <w:sz w:val="24"/>
          <w:szCs w:val="24"/>
        </w:rPr>
        <w:t xml:space="preserve"> </w:t>
      </w:r>
      <w:proofErr w:type="spellStart"/>
      <w:r w:rsidR="00133BFA" w:rsidRPr="00DC6757">
        <w:rPr>
          <w:rFonts w:ascii="Times New Roman" w:eastAsia="Times New Roman" w:hAnsi="Times New Roman" w:cs="Times New Roman"/>
          <w:sz w:val="24"/>
          <w:szCs w:val="24"/>
        </w:rPr>
        <w:t>pMoAs</w:t>
      </w:r>
      <w:proofErr w:type="spellEnd"/>
      <w:r w:rsidR="00133BFA" w:rsidRPr="00DC6757">
        <w:rPr>
          <w:rFonts w:ascii="Times New Roman" w:eastAsia="Times New Roman" w:hAnsi="Times New Roman" w:cs="Times New Roman"/>
          <w:sz w:val="24"/>
          <w:szCs w:val="24"/>
        </w:rPr>
        <w:t>, but the energy fluxes in a DEB model represent flows of</w:t>
      </w:r>
      <w:r w:rsidR="00133BFA" w:rsidRPr="00DC6757">
        <w:rPr>
          <w:rFonts w:ascii="Times New Roman" w:eastAsia="Times New Roman" w:hAnsi="Times New Roman" w:cs="Times New Roman"/>
          <w:i/>
          <w:iCs/>
          <w:sz w:val="24"/>
          <w:szCs w:val="24"/>
        </w:rPr>
        <w:t xml:space="preserve"> </w:t>
      </w:r>
      <w:r w:rsidR="00133BFA" w:rsidRPr="00DC6757">
        <w:rPr>
          <w:rFonts w:ascii="Times New Roman" w:eastAsia="Times New Roman" w:hAnsi="Times New Roman" w:cs="Times New Roman"/>
          <w:iCs/>
          <w:sz w:val="24"/>
          <w:szCs w:val="24"/>
        </w:rPr>
        <w:t>abstractly defined generalized compounds</w:t>
      </w:r>
      <w:r w:rsidR="00133BFA" w:rsidRPr="00DC6757">
        <w:rPr>
          <w:rFonts w:ascii="Times New Roman" w:eastAsia="Times New Roman" w:hAnsi="Times New Roman" w:cs="Times New Roman"/>
          <w:sz w:val="24"/>
          <w:szCs w:val="24"/>
        </w:rPr>
        <w:t>.</w:t>
      </w:r>
      <w:r w:rsidR="00DC6757">
        <w:rPr>
          <w:rFonts w:ascii="Times New Roman" w:eastAsia="Times New Roman" w:hAnsi="Times New Roman" w:cs="Times New Roman"/>
          <w:sz w:val="24"/>
          <w:szCs w:val="24"/>
        </w:rPr>
        <w:t xml:space="preserve"> </w:t>
      </w:r>
      <w:r w:rsidR="00133BFA" w:rsidRPr="00DC6757">
        <w:rPr>
          <w:rFonts w:ascii="Times New Roman" w:eastAsia="Times New Roman" w:hAnsi="Times New Roman" w:cs="Times New Roman"/>
          <w:sz w:val="24"/>
          <w:szCs w:val="24"/>
        </w:rPr>
        <w:t xml:space="preserve">As </w:t>
      </w:r>
      <w:r w:rsidR="00E36E64" w:rsidRPr="00DC6757">
        <w:rPr>
          <w:rFonts w:ascii="Times New Roman" w:eastAsia="Times New Roman" w:hAnsi="Times New Roman" w:cs="Times New Roman"/>
          <w:sz w:val="24"/>
          <w:szCs w:val="24"/>
        </w:rPr>
        <w:t xml:space="preserve">recognized </w:t>
      </w:r>
      <w:r w:rsidR="00133BFA" w:rsidRPr="00DC6757">
        <w:rPr>
          <w:rFonts w:ascii="Times New Roman" w:eastAsia="Times New Roman" w:hAnsi="Times New Roman" w:cs="Times New Roman"/>
          <w:sz w:val="24"/>
          <w:szCs w:val="24"/>
        </w:rPr>
        <w:t xml:space="preserve">earlier in this paper, one AOP might correspond to a combination of several DEB fluxes, and apparent differences in dominant </w:t>
      </w:r>
      <w:proofErr w:type="spellStart"/>
      <w:r w:rsidR="00133BFA" w:rsidRPr="00DC6757">
        <w:rPr>
          <w:rFonts w:ascii="Times New Roman" w:eastAsia="Times New Roman" w:hAnsi="Times New Roman" w:cs="Times New Roman"/>
          <w:sz w:val="24"/>
          <w:szCs w:val="24"/>
        </w:rPr>
        <w:t>pMoA</w:t>
      </w:r>
      <w:proofErr w:type="spellEnd"/>
      <w:r w:rsidR="00133BFA" w:rsidRPr="00DC6757">
        <w:rPr>
          <w:rFonts w:ascii="Times New Roman" w:eastAsia="Times New Roman" w:hAnsi="Times New Roman" w:cs="Times New Roman"/>
          <w:sz w:val="24"/>
          <w:szCs w:val="24"/>
        </w:rPr>
        <w:t xml:space="preserve"> may simply reflect different relative weights for each DEB flux.</w:t>
      </w:r>
      <w:r w:rsidR="00DC6757">
        <w:rPr>
          <w:rFonts w:ascii="Times New Roman" w:eastAsia="Times New Roman" w:hAnsi="Times New Roman" w:cs="Times New Roman"/>
          <w:sz w:val="24"/>
          <w:szCs w:val="24"/>
        </w:rPr>
        <w:t xml:space="preserve"> </w:t>
      </w:r>
      <w:r w:rsidR="00E36E64" w:rsidRPr="00DC6757">
        <w:rPr>
          <w:rFonts w:ascii="Times New Roman" w:eastAsia="Times New Roman" w:hAnsi="Times New Roman" w:cs="Times New Roman"/>
          <w:sz w:val="24"/>
          <w:szCs w:val="24"/>
        </w:rPr>
        <w:t xml:space="preserve">We </w:t>
      </w:r>
      <w:r w:rsidR="008B7844" w:rsidRPr="00DC6757">
        <w:rPr>
          <w:rFonts w:ascii="Times New Roman" w:eastAsia="Times New Roman" w:hAnsi="Times New Roman" w:cs="Times New Roman"/>
          <w:sz w:val="24"/>
          <w:szCs w:val="24"/>
        </w:rPr>
        <w:t xml:space="preserve">hope </w:t>
      </w:r>
      <w:r w:rsidR="00E36E64" w:rsidRPr="00DC6757">
        <w:rPr>
          <w:rFonts w:ascii="Times New Roman" w:eastAsia="Times New Roman" w:hAnsi="Times New Roman" w:cs="Times New Roman"/>
          <w:sz w:val="24"/>
          <w:szCs w:val="24"/>
        </w:rPr>
        <w:t xml:space="preserve">that our approach </w:t>
      </w:r>
      <w:r w:rsidR="008B7844" w:rsidRPr="00DC6757">
        <w:rPr>
          <w:rFonts w:ascii="Times New Roman" w:eastAsia="Times New Roman" w:hAnsi="Times New Roman" w:cs="Times New Roman"/>
          <w:sz w:val="24"/>
          <w:szCs w:val="24"/>
        </w:rPr>
        <w:t xml:space="preserve">may </w:t>
      </w:r>
      <w:r w:rsidR="00E36E64" w:rsidRPr="00DC6757">
        <w:rPr>
          <w:rFonts w:ascii="Times New Roman" w:eastAsia="Times New Roman" w:hAnsi="Times New Roman" w:cs="Times New Roman"/>
          <w:sz w:val="24"/>
          <w:szCs w:val="24"/>
        </w:rPr>
        <w:t xml:space="preserve">help resolve the apparent dichotomy identified by </w:t>
      </w:r>
      <w:proofErr w:type="spellStart"/>
      <w:r w:rsidR="00E36E64" w:rsidRPr="00DC6757">
        <w:rPr>
          <w:rFonts w:ascii="Times New Roman" w:eastAsia="Times New Roman" w:hAnsi="Times New Roman" w:cs="Times New Roman"/>
          <w:sz w:val="24"/>
          <w:szCs w:val="24"/>
        </w:rPr>
        <w:t>Ashauer</w:t>
      </w:r>
      <w:proofErr w:type="spellEnd"/>
      <w:r w:rsidR="00E36E64" w:rsidRPr="00DC6757">
        <w:rPr>
          <w:rFonts w:ascii="Times New Roman" w:eastAsia="Times New Roman" w:hAnsi="Times New Roman" w:cs="Times New Roman"/>
          <w:sz w:val="24"/>
          <w:szCs w:val="24"/>
        </w:rPr>
        <w:t xml:space="preserve"> and Jager</w:t>
      </w:r>
      <w:r w:rsidR="005D53E5" w:rsidRPr="00DC6757">
        <w:rPr>
          <w:rFonts w:ascii="Times New Roman" w:eastAsia="Times New Roman" w:hAnsi="Times New Roman" w:cs="Times New Roman"/>
          <w:sz w:val="24"/>
          <w:szCs w:val="24"/>
        </w:rPr>
        <w:t xml:space="preserve"> (2017)</w:t>
      </w:r>
      <w:r w:rsidR="00E36E64" w:rsidRPr="00DC6757">
        <w:rPr>
          <w:rFonts w:ascii="Times New Roman" w:eastAsia="Times New Roman" w:hAnsi="Times New Roman" w:cs="Times New Roman"/>
          <w:sz w:val="24"/>
          <w:szCs w:val="24"/>
        </w:rPr>
        <w:t>.</w:t>
      </w:r>
    </w:p>
    <w:p w14:paraId="2A6A1E96" w14:textId="77777777" w:rsidR="002E671E" w:rsidRPr="00DC6757" w:rsidRDefault="00902DAF" w:rsidP="00D53688">
      <w:pPr>
        <w:spacing w:after="0" w:line="480" w:lineRule="auto"/>
        <w:ind w:firstLine="720"/>
        <w:rPr>
          <w:rFonts w:ascii="Times New Roman" w:hAnsi="Times New Roman" w:cs="Times New Roman"/>
          <w:sz w:val="24"/>
          <w:szCs w:val="24"/>
        </w:rPr>
      </w:pPr>
      <w:r w:rsidRPr="00DC6757">
        <w:rPr>
          <w:rFonts w:ascii="Times New Roman" w:hAnsi="Times New Roman" w:cs="Times New Roman"/>
          <w:sz w:val="24"/>
          <w:szCs w:val="24"/>
        </w:rPr>
        <w:lastRenderedPageBreak/>
        <w:t>I</w:t>
      </w:r>
      <w:r w:rsidR="004D7DC4" w:rsidRPr="00DC6757">
        <w:rPr>
          <w:rFonts w:ascii="Times New Roman" w:hAnsi="Times New Roman" w:cs="Times New Roman"/>
          <w:sz w:val="24"/>
          <w:szCs w:val="24"/>
        </w:rPr>
        <w:t xml:space="preserve">n recent years, with the advent of </w:t>
      </w:r>
      <w:r w:rsidR="00E1240A" w:rsidRPr="00DC6757">
        <w:rPr>
          <w:rFonts w:ascii="Times New Roman" w:hAnsi="Times New Roman" w:cs="Times New Roman"/>
          <w:sz w:val="24"/>
          <w:szCs w:val="24"/>
        </w:rPr>
        <w:t xml:space="preserve">‘omics </w:t>
      </w:r>
      <w:r w:rsidR="004D7DC4" w:rsidRPr="00DC6757">
        <w:rPr>
          <w:rFonts w:ascii="Times New Roman" w:hAnsi="Times New Roman" w:cs="Times New Roman"/>
          <w:sz w:val="24"/>
          <w:szCs w:val="24"/>
        </w:rPr>
        <w:t xml:space="preserve">technologies and </w:t>
      </w:r>
      <w:r w:rsidR="007F1364" w:rsidRPr="00DC6757">
        <w:rPr>
          <w:rFonts w:ascii="Times New Roman" w:hAnsi="Times New Roman" w:cs="Times New Roman"/>
          <w:sz w:val="24"/>
          <w:szCs w:val="24"/>
        </w:rPr>
        <w:t>their</w:t>
      </w:r>
      <w:r w:rsidR="004D7DC4" w:rsidRPr="00DC6757">
        <w:rPr>
          <w:rFonts w:ascii="Times New Roman" w:hAnsi="Times New Roman" w:cs="Times New Roman"/>
          <w:sz w:val="24"/>
          <w:szCs w:val="24"/>
        </w:rPr>
        <w:t xml:space="preserve"> </w:t>
      </w:r>
      <w:proofErr w:type="gramStart"/>
      <w:r w:rsidR="004D7DC4" w:rsidRPr="00DC6757">
        <w:rPr>
          <w:rFonts w:ascii="Times New Roman" w:hAnsi="Times New Roman" w:cs="Times New Roman"/>
          <w:sz w:val="24"/>
          <w:szCs w:val="24"/>
        </w:rPr>
        <w:t xml:space="preserve">ever </w:t>
      </w:r>
      <w:r w:rsidR="00E1240A" w:rsidRPr="00DC6757">
        <w:rPr>
          <w:rFonts w:ascii="Times New Roman" w:hAnsi="Times New Roman" w:cs="Times New Roman"/>
          <w:sz w:val="24"/>
          <w:szCs w:val="24"/>
        </w:rPr>
        <w:t>decreasing</w:t>
      </w:r>
      <w:proofErr w:type="gramEnd"/>
      <w:r w:rsidR="00E1240A" w:rsidRPr="00DC6757">
        <w:rPr>
          <w:rFonts w:ascii="Times New Roman" w:hAnsi="Times New Roman" w:cs="Times New Roman"/>
          <w:sz w:val="24"/>
          <w:szCs w:val="24"/>
        </w:rPr>
        <w:t xml:space="preserve"> </w:t>
      </w:r>
      <w:r w:rsidR="004D7DC4" w:rsidRPr="00DC6757">
        <w:rPr>
          <w:rFonts w:ascii="Times New Roman" w:hAnsi="Times New Roman" w:cs="Times New Roman"/>
          <w:sz w:val="24"/>
          <w:szCs w:val="24"/>
        </w:rPr>
        <w:t xml:space="preserve">cost, it has become feasible to </w:t>
      </w:r>
      <w:r w:rsidR="00006DC2" w:rsidRPr="00DC6757">
        <w:rPr>
          <w:rFonts w:ascii="Times New Roman" w:hAnsi="Times New Roman" w:cs="Times New Roman"/>
          <w:sz w:val="24"/>
          <w:szCs w:val="24"/>
        </w:rPr>
        <w:t xml:space="preserve">more comprehensively </w:t>
      </w:r>
      <w:r w:rsidR="004D7DC4" w:rsidRPr="00DC6757">
        <w:rPr>
          <w:rFonts w:ascii="Times New Roman" w:hAnsi="Times New Roman" w:cs="Times New Roman"/>
          <w:sz w:val="24"/>
          <w:szCs w:val="24"/>
        </w:rPr>
        <w:t xml:space="preserve">integrate </w:t>
      </w:r>
      <w:r w:rsidR="00E54BB0" w:rsidRPr="00DC6757">
        <w:rPr>
          <w:rFonts w:ascii="Times New Roman" w:hAnsi="Times New Roman" w:cs="Times New Roman"/>
          <w:sz w:val="24"/>
          <w:szCs w:val="24"/>
        </w:rPr>
        <w:t xml:space="preserve">subcellular effects with higher </w:t>
      </w:r>
      <w:r w:rsidR="004D7DC4" w:rsidRPr="00DC6757">
        <w:rPr>
          <w:rFonts w:ascii="Times New Roman" w:hAnsi="Times New Roman" w:cs="Times New Roman"/>
          <w:sz w:val="24"/>
          <w:szCs w:val="24"/>
        </w:rPr>
        <w:t xml:space="preserve">levels of biological organization. While the computational approaches for true integration of multi-level data are still scarce, a simpler integration across these levels has been approached in </w:t>
      </w:r>
      <w:proofErr w:type="gramStart"/>
      <w:r w:rsidR="004D7DC4" w:rsidRPr="00DC6757">
        <w:rPr>
          <w:rFonts w:ascii="Times New Roman" w:hAnsi="Times New Roman" w:cs="Times New Roman"/>
          <w:sz w:val="24"/>
          <w:szCs w:val="24"/>
        </w:rPr>
        <w:t>a number of</w:t>
      </w:r>
      <w:proofErr w:type="gramEnd"/>
      <w:r w:rsidR="004D7DC4" w:rsidRPr="00DC6757">
        <w:rPr>
          <w:rFonts w:ascii="Times New Roman" w:hAnsi="Times New Roman" w:cs="Times New Roman"/>
          <w:sz w:val="24"/>
          <w:szCs w:val="24"/>
        </w:rPr>
        <w:t xml:space="preserve"> publications (</w:t>
      </w:r>
      <w:proofErr w:type="spellStart"/>
      <w:r w:rsidR="004D7DC4" w:rsidRPr="00DC6757">
        <w:rPr>
          <w:rFonts w:ascii="Times New Roman" w:hAnsi="Times New Roman" w:cs="Times New Roman"/>
          <w:sz w:val="24"/>
          <w:szCs w:val="24"/>
        </w:rPr>
        <w:t>Rohart</w:t>
      </w:r>
      <w:proofErr w:type="spellEnd"/>
      <w:r w:rsidR="004D7DC4" w:rsidRPr="00DC6757">
        <w:rPr>
          <w:rFonts w:ascii="Times New Roman" w:hAnsi="Times New Roman" w:cs="Times New Roman"/>
          <w:sz w:val="24"/>
          <w:szCs w:val="24"/>
        </w:rPr>
        <w:t xml:space="preserve"> et al. 2017; Antczak et al. in prep; Van </w:t>
      </w:r>
      <w:proofErr w:type="spellStart"/>
      <w:r w:rsidR="004D7DC4" w:rsidRPr="00DC6757">
        <w:rPr>
          <w:rFonts w:ascii="Times New Roman" w:hAnsi="Times New Roman" w:cs="Times New Roman"/>
          <w:sz w:val="24"/>
          <w:szCs w:val="24"/>
        </w:rPr>
        <w:t>Aggelen</w:t>
      </w:r>
      <w:proofErr w:type="spellEnd"/>
      <w:r w:rsidR="004D7DC4" w:rsidRPr="00DC6757">
        <w:rPr>
          <w:rFonts w:ascii="Times New Roman" w:hAnsi="Times New Roman" w:cs="Times New Roman"/>
          <w:sz w:val="24"/>
          <w:szCs w:val="24"/>
        </w:rPr>
        <w:t xml:space="preserve"> et al. 2010; Williams et al</w:t>
      </w:r>
      <w:r w:rsidR="005D53E5" w:rsidRPr="00DC6757">
        <w:rPr>
          <w:rFonts w:ascii="Times New Roman" w:hAnsi="Times New Roman" w:cs="Times New Roman"/>
          <w:sz w:val="24"/>
          <w:szCs w:val="24"/>
        </w:rPr>
        <w:t>.</w:t>
      </w:r>
      <w:r w:rsidR="004D7DC4" w:rsidRPr="00DC6757">
        <w:rPr>
          <w:rFonts w:ascii="Times New Roman" w:hAnsi="Times New Roman" w:cs="Times New Roman"/>
          <w:sz w:val="24"/>
          <w:szCs w:val="24"/>
        </w:rPr>
        <w:t xml:space="preserve"> 2011; Joyce and </w:t>
      </w:r>
      <w:proofErr w:type="spellStart"/>
      <w:r w:rsidR="004D7DC4" w:rsidRPr="00DC6757">
        <w:rPr>
          <w:rFonts w:ascii="Times New Roman" w:hAnsi="Times New Roman" w:cs="Times New Roman"/>
          <w:sz w:val="24"/>
          <w:szCs w:val="24"/>
        </w:rPr>
        <w:t>Palsson</w:t>
      </w:r>
      <w:proofErr w:type="spellEnd"/>
      <w:r w:rsidR="004D7DC4" w:rsidRPr="00DC6757">
        <w:rPr>
          <w:rFonts w:ascii="Times New Roman" w:hAnsi="Times New Roman" w:cs="Times New Roman"/>
          <w:sz w:val="24"/>
          <w:szCs w:val="24"/>
        </w:rPr>
        <w:t xml:space="preserve">, 2006). </w:t>
      </w:r>
      <w:r w:rsidR="00E36E64" w:rsidRPr="00DC6757">
        <w:rPr>
          <w:rFonts w:ascii="Times New Roman" w:hAnsi="Times New Roman" w:cs="Times New Roman"/>
          <w:sz w:val="24"/>
          <w:szCs w:val="24"/>
        </w:rPr>
        <w:t xml:space="preserve">Looking forward, </w:t>
      </w:r>
      <w:r w:rsidR="004D7DC4" w:rsidRPr="00DC6757">
        <w:rPr>
          <w:rFonts w:ascii="Times New Roman" w:hAnsi="Times New Roman" w:cs="Times New Roman"/>
          <w:sz w:val="24"/>
          <w:szCs w:val="24"/>
        </w:rPr>
        <w:t xml:space="preserve">AOPs </w:t>
      </w:r>
      <w:proofErr w:type="gramStart"/>
      <w:r w:rsidR="004D7DC4" w:rsidRPr="00DC6757">
        <w:rPr>
          <w:rFonts w:ascii="Times New Roman" w:hAnsi="Times New Roman" w:cs="Times New Roman"/>
          <w:sz w:val="24"/>
          <w:szCs w:val="24"/>
        </w:rPr>
        <w:t>in particular would</w:t>
      </w:r>
      <w:proofErr w:type="gramEnd"/>
      <w:r w:rsidR="004D7DC4" w:rsidRPr="00DC6757">
        <w:rPr>
          <w:rFonts w:ascii="Times New Roman" w:hAnsi="Times New Roman" w:cs="Times New Roman"/>
          <w:sz w:val="24"/>
          <w:szCs w:val="24"/>
        </w:rPr>
        <w:t xml:space="preserve"> benefit greatly from multi-level analysis approaches as an AOP inherently represents the combination of many biological levels. </w:t>
      </w:r>
      <w:proofErr w:type="spellStart"/>
      <w:r w:rsidR="004D7DC4" w:rsidRPr="00DC6757">
        <w:rPr>
          <w:rFonts w:ascii="Times New Roman" w:hAnsi="Times New Roman" w:cs="Times New Roman"/>
          <w:sz w:val="24"/>
          <w:szCs w:val="24"/>
        </w:rPr>
        <w:t>Metaboanalyst</w:t>
      </w:r>
      <w:proofErr w:type="spellEnd"/>
      <w:r w:rsidR="004D7DC4" w:rsidRPr="00DC6757">
        <w:rPr>
          <w:rFonts w:ascii="Times New Roman" w:hAnsi="Times New Roman" w:cs="Times New Roman"/>
          <w:sz w:val="24"/>
          <w:szCs w:val="24"/>
        </w:rPr>
        <w:t xml:space="preserve"> 3.0 (</w:t>
      </w:r>
      <w:hyperlink r:id="rId11" w:history="1">
        <w:r w:rsidR="004D7DC4" w:rsidRPr="00DC6757">
          <w:rPr>
            <w:rStyle w:val="Hyperlink"/>
            <w:rFonts w:ascii="Times New Roman" w:hAnsi="Times New Roman" w:cs="Times New Roman"/>
            <w:sz w:val="24"/>
            <w:szCs w:val="24"/>
          </w:rPr>
          <w:t>http://www.metaboanalyst.ca/faces/home.xhtml</w:t>
        </w:r>
      </w:hyperlink>
      <w:r w:rsidR="004D7DC4" w:rsidRPr="00DC6757">
        <w:rPr>
          <w:rFonts w:ascii="Times New Roman" w:hAnsi="Times New Roman" w:cs="Times New Roman"/>
          <w:sz w:val="24"/>
          <w:szCs w:val="24"/>
        </w:rPr>
        <w:t xml:space="preserve">) is an excellent example of the current state of multi-level integration, allowing for metabolite and gene expression level integration to understand the possible affected pathways within a given organism. With the increase of available metabolic models for more and more species, a more integrated methodology could be developed for understanding effects across multiple levels. </w:t>
      </w:r>
      <w:r w:rsidR="00E36E64" w:rsidRPr="00DC6757">
        <w:rPr>
          <w:rFonts w:ascii="Times New Roman" w:hAnsi="Times New Roman" w:cs="Times New Roman"/>
          <w:sz w:val="24"/>
          <w:szCs w:val="24"/>
        </w:rPr>
        <w:t>The approach described in this paper represents a first cut at such integration.</w:t>
      </w:r>
    </w:p>
    <w:p w14:paraId="44243BC1" w14:textId="77777777" w:rsidR="004D7DC4" w:rsidRPr="00DC6757" w:rsidRDefault="004D7DC4" w:rsidP="0053083E">
      <w:pPr>
        <w:spacing w:after="0" w:line="480" w:lineRule="auto"/>
        <w:rPr>
          <w:rFonts w:ascii="Times New Roman" w:hAnsi="Times New Roman" w:cs="Times New Roman"/>
          <w:sz w:val="24"/>
          <w:szCs w:val="24"/>
          <w:lang w:val="en-GB"/>
        </w:rPr>
      </w:pPr>
    </w:p>
    <w:p w14:paraId="3D153E18" w14:textId="77777777" w:rsidR="00A6185C" w:rsidRPr="00DC6757" w:rsidRDefault="00A6185C" w:rsidP="0053083E">
      <w:pPr>
        <w:spacing w:after="0" w:line="480" w:lineRule="auto"/>
        <w:rPr>
          <w:rFonts w:ascii="Times New Roman" w:hAnsi="Times New Roman" w:cs="Times New Roman"/>
          <w:b/>
          <w:sz w:val="24"/>
          <w:szCs w:val="24"/>
          <w:lang w:val="en-GB"/>
        </w:rPr>
      </w:pPr>
      <w:r w:rsidRPr="00DC6757">
        <w:rPr>
          <w:rFonts w:ascii="Times New Roman" w:hAnsi="Times New Roman" w:cs="Times New Roman"/>
          <w:b/>
          <w:sz w:val="24"/>
          <w:szCs w:val="24"/>
          <w:lang w:val="en-GB"/>
        </w:rPr>
        <w:t>Acknowle</w:t>
      </w:r>
      <w:r w:rsidR="003E25A7" w:rsidRPr="00DC6757">
        <w:rPr>
          <w:rFonts w:ascii="Times New Roman" w:hAnsi="Times New Roman" w:cs="Times New Roman"/>
          <w:b/>
          <w:sz w:val="24"/>
          <w:szCs w:val="24"/>
          <w:lang w:val="en-GB"/>
        </w:rPr>
        <w:t>d</w:t>
      </w:r>
      <w:r w:rsidRPr="00DC6757">
        <w:rPr>
          <w:rFonts w:ascii="Times New Roman" w:hAnsi="Times New Roman" w:cs="Times New Roman"/>
          <w:b/>
          <w:sz w:val="24"/>
          <w:szCs w:val="24"/>
          <w:lang w:val="en-GB"/>
        </w:rPr>
        <w:t>gements</w:t>
      </w:r>
    </w:p>
    <w:p w14:paraId="72FBF688" w14:textId="77777777" w:rsidR="003E25A7" w:rsidRPr="00DC6757" w:rsidRDefault="00A6185C" w:rsidP="0053083E">
      <w:pPr>
        <w:pStyle w:val="PlainText"/>
        <w:spacing w:line="480" w:lineRule="auto"/>
        <w:rPr>
          <w:rFonts w:ascii="Times New Roman" w:hAnsi="Times New Roman" w:cs="Times New Roman"/>
          <w:sz w:val="24"/>
          <w:szCs w:val="24"/>
        </w:rPr>
      </w:pPr>
      <w:r w:rsidRPr="00DC6757">
        <w:rPr>
          <w:rFonts w:ascii="Times New Roman" w:eastAsia="Times New Roman" w:hAnsi="Times New Roman" w:cs="Times New Roman"/>
          <w:sz w:val="24"/>
          <w:szCs w:val="24"/>
        </w:rPr>
        <w:t xml:space="preserve">This work was conducted as a part of the Modeling </w:t>
      </w:r>
      <w:r w:rsidR="007808F3" w:rsidRPr="00DC6757">
        <w:rPr>
          <w:rFonts w:ascii="Times New Roman" w:eastAsia="Times New Roman" w:hAnsi="Times New Roman" w:cs="Times New Roman"/>
          <w:sz w:val="24"/>
          <w:szCs w:val="24"/>
        </w:rPr>
        <w:t>Molecules</w:t>
      </w:r>
      <w:r w:rsidRPr="00DC6757">
        <w:rPr>
          <w:rFonts w:ascii="Times New Roman" w:eastAsia="Times New Roman" w:hAnsi="Times New Roman" w:cs="Times New Roman"/>
          <w:sz w:val="24"/>
          <w:szCs w:val="24"/>
        </w:rPr>
        <w:t>-to-Organisms Working Group at the National Institute for Mathematical and Biological Synthesis, sponsored by the National Science Foundation through NSF Award #DBI-1300426, with additional support from The University of Tennessee, Knoxville.</w:t>
      </w:r>
      <w:r w:rsidRPr="00DC6757">
        <w:rPr>
          <w:rFonts w:ascii="Times New Roman" w:eastAsia="TimesNewRoman" w:hAnsi="Times New Roman" w:cs="Times New Roman"/>
          <w:sz w:val="24"/>
          <w:szCs w:val="24"/>
        </w:rPr>
        <w:t xml:space="preserve"> </w:t>
      </w:r>
      <w:r w:rsidR="003E25A7" w:rsidRPr="00DC6757">
        <w:rPr>
          <w:rFonts w:ascii="Times New Roman" w:eastAsia="TimesNewRoman" w:hAnsi="Times New Roman" w:cs="Times New Roman"/>
          <w:sz w:val="24"/>
          <w:szCs w:val="24"/>
        </w:rPr>
        <w:t xml:space="preserve">The U.S. Environmental </w:t>
      </w:r>
      <w:r w:rsidRPr="00DC6757">
        <w:rPr>
          <w:rFonts w:ascii="Times New Roman" w:eastAsia="TimesNewRoman" w:hAnsi="Times New Roman" w:cs="Times New Roman"/>
          <w:sz w:val="24"/>
          <w:szCs w:val="24"/>
        </w:rPr>
        <w:t>Protection Agency's Science to Achieve Results program</w:t>
      </w:r>
      <w:r w:rsidR="003E25A7" w:rsidRPr="00DC6757">
        <w:rPr>
          <w:rFonts w:ascii="Times New Roman" w:eastAsia="TimesNewRoman" w:hAnsi="Times New Roman" w:cs="Times New Roman"/>
          <w:sz w:val="24"/>
          <w:szCs w:val="24"/>
        </w:rPr>
        <w:t xml:space="preserve"> supported this work via grants </w:t>
      </w:r>
      <w:r w:rsidRPr="00DC6757">
        <w:rPr>
          <w:rFonts w:ascii="Times New Roman" w:eastAsia="TimesNewRoman" w:hAnsi="Times New Roman" w:cs="Times New Roman"/>
          <w:sz w:val="24"/>
          <w:szCs w:val="24"/>
        </w:rPr>
        <w:t>R835797, R835798 and R835167.</w:t>
      </w:r>
      <w:r w:rsidR="003E25A7" w:rsidRPr="00DC6757">
        <w:rPr>
          <w:rFonts w:ascii="Times New Roman" w:hAnsi="Times New Roman" w:cs="Times New Roman"/>
          <w:sz w:val="24"/>
          <w:szCs w:val="24"/>
        </w:rPr>
        <w:t xml:space="preserve"> This work was also supported by the USDA National Institute of Food and Agriculture, Hatch project 1014468. </w:t>
      </w:r>
      <w:r w:rsidR="003E25A7" w:rsidRPr="00DC6757">
        <w:rPr>
          <w:rFonts w:ascii="Times New Roman" w:eastAsia="TimesNewRoman" w:hAnsi="Times New Roman" w:cs="Times New Roman"/>
          <w:sz w:val="24"/>
          <w:szCs w:val="24"/>
        </w:rPr>
        <w:t xml:space="preserve">This work has not been formally reviewed by EPA, NSF or USDA. Any opinions, findings, and conclusions or recommendations expressed in this material are those of the authors </w:t>
      </w:r>
      <w:r w:rsidR="003E25A7" w:rsidRPr="00DC6757">
        <w:rPr>
          <w:rFonts w:ascii="Times New Roman" w:eastAsia="TimesNewRoman" w:hAnsi="Times New Roman" w:cs="Times New Roman"/>
          <w:sz w:val="24"/>
          <w:szCs w:val="24"/>
        </w:rPr>
        <w:lastRenderedPageBreak/>
        <w:t>and neither necessarily reflect the views of NSF nor those of EPA. The authors declare no conflicts of interest.</w:t>
      </w:r>
    </w:p>
    <w:p w14:paraId="472DBB1D" w14:textId="77777777" w:rsidR="003E25A7" w:rsidRPr="00DC6757" w:rsidRDefault="003E25A7" w:rsidP="003E25A7">
      <w:pPr>
        <w:pStyle w:val="PlainText"/>
      </w:pPr>
    </w:p>
    <w:p w14:paraId="40701D2E" w14:textId="77777777" w:rsidR="004D7DC4" w:rsidRPr="00DC6757" w:rsidRDefault="004D7DC4" w:rsidP="003E25A7">
      <w:pPr>
        <w:pStyle w:val="PlainText"/>
        <w:rPr>
          <w:rFonts w:ascii="Times New Roman" w:hAnsi="Times New Roman" w:cs="Times New Roman"/>
          <w:b/>
          <w:sz w:val="24"/>
          <w:szCs w:val="24"/>
          <w:lang w:val="en-GB"/>
        </w:rPr>
      </w:pPr>
      <w:r w:rsidRPr="00DC6757">
        <w:rPr>
          <w:rFonts w:ascii="Times New Roman" w:hAnsi="Times New Roman" w:cs="Times New Roman"/>
          <w:b/>
          <w:sz w:val="24"/>
          <w:szCs w:val="24"/>
          <w:lang w:val="en-GB"/>
        </w:rPr>
        <w:t>References</w:t>
      </w:r>
    </w:p>
    <w:p w14:paraId="281C38CA" w14:textId="77777777" w:rsidR="00EE6525" w:rsidRPr="00DC6757" w:rsidRDefault="00EE6525" w:rsidP="00FC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4"/>
          <w:szCs w:val="24"/>
        </w:rPr>
      </w:pPr>
    </w:p>
    <w:p w14:paraId="5DBB775F"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Ankley</w:t>
      </w:r>
      <w:proofErr w:type="spellEnd"/>
      <w:r w:rsidRPr="00DC6757">
        <w:rPr>
          <w:rFonts w:ascii="Times New Roman" w:hAnsi="Times New Roman" w:cs="Times New Roman"/>
          <w:sz w:val="24"/>
          <w:szCs w:val="24"/>
        </w:rPr>
        <w:t xml:space="preserve"> GT, Bennett RS, Erickson RJ,</w:t>
      </w:r>
      <w:r w:rsidR="007C63A6" w:rsidRPr="00DC6757">
        <w:rPr>
          <w:rFonts w:ascii="Times New Roman" w:hAnsi="Times New Roman" w:cs="Times New Roman"/>
          <w:sz w:val="24"/>
          <w:szCs w:val="24"/>
        </w:rPr>
        <w:t xml:space="preserve"> Hoff DJ, Hornung MW, Johnson RD, Mount DR, Nichols JW, </w:t>
      </w:r>
      <w:proofErr w:type="spellStart"/>
      <w:r w:rsidR="007C63A6" w:rsidRPr="00DC6757">
        <w:rPr>
          <w:rFonts w:ascii="Times New Roman" w:hAnsi="Times New Roman" w:cs="Times New Roman"/>
          <w:sz w:val="24"/>
          <w:szCs w:val="24"/>
        </w:rPr>
        <w:t>Russom</w:t>
      </w:r>
      <w:proofErr w:type="spellEnd"/>
      <w:r w:rsidR="007C63A6" w:rsidRPr="00DC6757">
        <w:rPr>
          <w:rFonts w:ascii="Times New Roman" w:hAnsi="Times New Roman" w:cs="Times New Roman"/>
          <w:sz w:val="24"/>
          <w:szCs w:val="24"/>
        </w:rPr>
        <w:t xml:space="preserve"> CL, </w:t>
      </w:r>
      <w:proofErr w:type="spellStart"/>
      <w:r w:rsidR="007C63A6" w:rsidRPr="00DC6757">
        <w:rPr>
          <w:rFonts w:ascii="Times New Roman" w:hAnsi="Times New Roman" w:cs="Times New Roman"/>
          <w:sz w:val="24"/>
          <w:szCs w:val="24"/>
        </w:rPr>
        <w:t>Schmieder</w:t>
      </w:r>
      <w:proofErr w:type="spellEnd"/>
      <w:r w:rsidR="007C63A6" w:rsidRPr="00DC6757">
        <w:rPr>
          <w:rFonts w:ascii="Times New Roman" w:hAnsi="Times New Roman" w:cs="Times New Roman"/>
          <w:sz w:val="24"/>
          <w:szCs w:val="24"/>
        </w:rPr>
        <w:t xml:space="preserve"> PK, Serrano JA, </w:t>
      </w:r>
      <w:proofErr w:type="spellStart"/>
      <w:r w:rsidR="007C63A6" w:rsidRPr="00DC6757">
        <w:rPr>
          <w:rFonts w:ascii="Times New Roman" w:hAnsi="Times New Roman" w:cs="Times New Roman"/>
          <w:sz w:val="24"/>
          <w:szCs w:val="24"/>
        </w:rPr>
        <w:t>Tietge</w:t>
      </w:r>
      <w:proofErr w:type="spellEnd"/>
      <w:r w:rsidR="007C63A6" w:rsidRPr="00DC6757">
        <w:rPr>
          <w:rFonts w:ascii="Times New Roman" w:hAnsi="Times New Roman" w:cs="Times New Roman"/>
          <w:sz w:val="24"/>
          <w:szCs w:val="24"/>
        </w:rPr>
        <w:t xml:space="preserve"> JE, Villeneuve DL</w:t>
      </w:r>
      <w:r w:rsidRPr="00DC6757">
        <w:rPr>
          <w:rFonts w:ascii="Times New Roman" w:hAnsi="Times New Roman" w:cs="Times New Roman"/>
          <w:sz w:val="24"/>
          <w:szCs w:val="24"/>
        </w:rPr>
        <w:t xml:space="preserve">. 2010. Adverse outcome pathways: A conceptual framework to support ecotoxicology research and risk assessment. Environ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Chem</w:t>
      </w:r>
      <w:r w:rsidR="00C16B36" w:rsidRPr="00DC6757">
        <w:rPr>
          <w:rFonts w:ascii="Times New Roman" w:hAnsi="Times New Roman" w:cs="Times New Roman"/>
          <w:sz w:val="24"/>
          <w:szCs w:val="24"/>
        </w:rPr>
        <w:t>.</w:t>
      </w:r>
      <w:r w:rsidRPr="00DC6757">
        <w:rPr>
          <w:rFonts w:ascii="Times New Roman" w:hAnsi="Times New Roman" w:cs="Times New Roman"/>
          <w:sz w:val="24"/>
          <w:szCs w:val="24"/>
        </w:rPr>
        <w:t xml:space="preserve"> 29:730–741.</w:t>
      </w:r>
    </w:p>
    <w:p w14:paraId="7BDF571E" w14:textId="77777777" w:rsidR="00CE6594" w:rsidRPr="00DC6757" w:rsidRDefault="00CE6594"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Ankley</w:t>
      </w:r>
      <w:proofErr w:type="spellEnd"/>
      <w:r w:rsidRPr="00DC6757">
        <w:rPr>
          <w:rFonts w:ascii="Times New Roman" w:hAnsi="Times New Roman" w:cs="Times New Roman"/>
          <w:sz w:val="24"/>
          <w:szCs w:val="24"/>
        </w:rPr>
        <w:t xml:space="preserve"> GT, Erikson RJ, Phipps GL, Mattson VR, </w:t>
      </w:r>
      <w:proofErr w:type="spellStart"/>
      <w:r w:rsidRPr="00DC6757">
        <w:rPr>
          <w:rFonts w:ascii="Times New Roman" w:hAnsi="Times New Roman" w:cs="Times New Roman"/>
          <w:sz w:val="24"/>
          <w:szCs w:val="24"/>
        </w:rPr>
        <w:t>Kosian</w:t>
      </w:r>
      <w:proofErr w:type="spellEnd"/>
      <w:r w:rsidRPr="00DC6757">
        <w:rPr>
          <w:rFonts w:ascii="Times New Roman" w:hAnsi="Times New Roman" w:cs="Times New Roman"/>
          <w:sz w:val="24"/>
          <w:szCs w:val="24"/>
        </w:rPr>
        <w:t xml:space="preserve"> PA, Sheedy BR, Cox JS. 1995. Effects of light intensity on the phototoxicity of fluoranthene to a benthic macroinvertebrate. Environ Sci Tech. 29: 2828-2833.</w:t>
      </w:r>
    </w:p>
    <w:p w14:paraId="421E1169"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Ashauer</w:t>
      </w:r>
      <w:proofErr w:type="spellEnd"/>
      <w:r w:rsidRPr="00DC6757">
        <w:rPr>
          <w:rFonts w:ascii="Times New Roman" w:hAnsi="Times New Roman" w:cs="Times New Roman"/>
          <w:sz w:val="24"/>
          <w:szCs w:val="24"/>
        </w:rPr>
        <w:t xml:space="preserve"> R, Boxall ABA, Brown CD. 2007. New ecotoxicological model to simulate survival of aquatic invertebrates after exposure to fluctuating and sequential pulses of pesticides. Environ Sci Tech</w:t>
      </w:r>
      <w:r w:rsidR="00C16B36" w:rsidRPr="00DC6757">
        <w:rPr>
          <w:rFonts w:ascii="Times New Roman" w:hAnsi="Times New Roman" w:cs="Times New Roman"/>
          <w:sz w:val="24"/>
          <w:szCs w:val="24"/>
        </w:rPr>
        <w:t>.</w:t>
      </w:r>
      <w:r w:rsidRPr="00DC6757">
        <w:rPr>
          <w:rFonts w:ascii="Times New Roman" w:hAnsi="Times New Roman" w:cs="Times New Roman"/>
          <w:sz w:val="24"/>
          <w:szCs w:val="24"/>
        </w:rPr>
        <w:t xml:space="preserve"> 41: 1480-1486</w:t>
      </w:r>
    </w:p>
    <w:p w14:paraId="168EB832" w14:textId="77777777" w:rsidR="00A6185C" w:rsidRPr="00DC6757" w:rsidRDefault="00A6185C" w:rsidP="00A6185C">
      <w:pPr>
        <w:autoSpaceDE w:val="0"/>
        <w:autoSpaceDN w:val="0"/>
        <w:adjustRightInd w:val="0"/>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rPr>
        <w:t>Ashauer</w:t>
      </w:r>
      <w:proofErr w:type="spellEnd"/>
      <w:r w:rsidRPr="00DC6757">
        <w:rPr>
          <w:rFonts w:ascii="Times New Roman" w:hAnsi="Times New Roman" w:cs="Times New Roman"/>
          <w:sz w:val="24"/>
          <w:szCs w:val="24"/>
        </w:rPr>
        <w:t xml:space="preserve"> R, Escher BI. 2010. Advantages of toxicokinetic and toxicodynamic modelling in </w:t>
      </w:r>
    </w:p>
    <w:p w14:paraId="7C3D21D7" w14:textId="77777777" w:rsidR="00A6185C" w:rsidRPr="00DC6757" w:rsidRDefault="00A6185C" w:rsidP="00A6185C">
      <w:pPr>
        <w:autoSpaceDE w:val="0"/>
        <w:autoSpaceDN w:val="0"/>
        <w:adjustRightInd w:val="0"/>
        <w:spacing w:after="0" w:line="240" w:lineRule="auto"/>
        <w:ind w:firstLine="720"/>
        <w:rPr>
          <w:rFonts w:ascii="Times New Roman" w:hAnsi="Times New Roman" w:cs="Times New Roman"/>
          <w:sz w:val="24"/>
          <w:szCs w:val="24"/>
        </w:rPr>
      </w:pPr>
      <w:r w:rsidRPr="00DC6757">
        <w:rPr>
          <w:rFonts w:ascii="Times New Roman" w:hAnsi="Times New Roman" w:cs="Times New Roman"/>
          <w:sz w:val="24"/>
          <w:szCs w:val="24"/>
        </w:rPr>
        <w:t xml:space="preserve">aquatic ecotoxicology and risk assessment. J Environ </w:t>
      </w:r>
      <w:proofErr w:type="spellStart"/>
      <w:r w:rsidRPr="00DC6757">
        <w:rPr>
          <w:rFonts w:ascii="Times New Roman" w:hAnsi="Times New Roman" w:cs="Times New Roman"/>
          <w:sz w:val="24"/>
          <w:szCs w:val="24"/>
        </w:rPr>
        <w:t>Monit</w:t>
      </w:r>
      <w:proofErr w:type="spellEnd"/>
      <w:r w:rsidRPr="00DC6757">
        <w:rPr>
          <w:rFonts w:ascii="Times New Roman" w:hAnsi="Times New Roman" w:cs="Times New Roman"/>
          <w:sz w:val="24"/>
          <w:szCs w:val="24"/>
        </w:rPr>
        <w:t>. 12:2056–2061.</w:t>
      </w:r>
    </w:p>
    <w:p w14:paraId="5048207A"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7A12CD65" w14:textId="372B2DD2"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rPr>
        <w:t>Ashauer</w:t>
      </w:r>
      <w:proofErr w:type="spellEnd"/>
      <w:r w:rsidRPr="00DC6757">
        <w:rPr>
          <w:rFonts w:ascii="Times New Roman" w:hAnsi="Times New Roman" w:cs="Times New Roman"/>
          <w:sz w:val="24"/>
          <w:szCs w:val="24"/>
        </w:rPr>
        <w:t xml:space="preserve"> R, and Jager T. 2018. Physiological modes of action across species and toxicants: the</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 </w:t>
      </w:r>
    </w:p>
    <w:p w14:paraId="3E5E9D2B"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DC6757">
        <w:rPr>
          <w:rFonts w:ascii="Times New Roman" w:hAnsi="Times New Roman" w:cs="Times New Roman"/>
          <w:sz w:val="24"/>
          <w:szCs w:val="24"/>
        </w:rPr>
        <w:tab/>
        <w:t>key to predictive ecotoxicology. Environmental Science: Processes &amp; Impacts.</w:t>
      </w:r>
    </w:p>
    <w:p w14:paraId="4EC04FAA"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42BD0CD1" w14:textId="77777777" w:rsidR="00A6185C" w:rsidRPr="00DC6757" w:rsidRDefault="00A6185C" w:rsidP="00A6185C">
      <w:pPr>
        <w:autoSpaceDE w:val="0"/>
        <w:autoSpaceDN w:val="0"/>
        <w:adjustRightInd w:val="0"/>
        <w:spacing w:after="0" w:line="240" w:lineRule="auto"/>
        <w:rPr>
          <w:rFonts w:ascii="Times New Roman" w:hAnsi="Times New Roman" w:cs="Times New Roman"/>
          <w:sz w:val="24"/>
          <w:szCs w:val="24"/>
          <w:lang w:val="de-DE"/>
        </w:rPr>
      </w:pPr>
      <w:proofErr w:type="spellStart"/>
      <w:r w:rsidRPr="00DC6757">
        <w:rPr>
          <w:rFonts w:ascii="Times New Roman" w:hAnsi="Times New Roman" w:cs="Times New Roman"/>
          <w:sz w:val="24"/>
          <w:szCs w:val="24"/>
          <w:lang w:val="de-DE"/>
        </w:rPr>
        <w:t>Ashauer</w:t>
      </w:r>
      <w:proofErr w:type="spellEnd"/>
      <w:r w:rsidRPr="00DC6757">
        <w:rPr>
          <w:rFonts w:ascii="Times New Roman" w:hAnsi="Times New Roman" w:cs="Times New Roman"/>
          <w:sz w:val="24"/>
          <w:szCs w:val="24"/>
          <w:lang w:val="de-DE"/>
        </w:rPr>
        <w:t xml:space="preserve"> R, </w:t>
      </w:r>
      <w:proofErr w:type="spellStart"/>
      <w:r w:rsidRPr="00DC6757">
        <w:rPr>
          <w:rFonts w:ascii="Times New Roman" w:hAnsi="Times New Roman" w:cs="Times New Roman"/>
          <w:sz w:val="24"/>
          <w:szCs w:val="24"/>
          <w:lang w:val="de-DE"/>
        </w:rPr>
        <w:t>Agatz</w:t>
      </w:r>
      <w:proofErr w:type="spellEnd"/>
      <w:r w:rsidRPr="00DC6757">
        <w:rPr>
          <w:rFonts w:ascii="Times New Roman" w:hAnsi="Times New Roman" w:cs="Times New Roman"/>
          <w:sz w:val="24"/>
          <w:szCs w:val="24"/>
          <w:lang w:val="de-DE"/>
        </w:rPr>
        <w:t xml:space="preserve"> A, Albert C, </w:t>
      </w:r>
      <w:proofErr w:type="spellStart"/>
      <w:r w:rsidRPr="00DC6757">
        <w:rPr>
          <w:rFonts w:ascii="Times New Roman" w:hAnsi="Times New Roman" w:cs="Times New Roman"/>
          <w:sz w:val="24"/>
          <w:szCs w:val="24"/>
          <w:lang w:val="de-DE"/>
        </w:rPr>
        <w:t>Ducrot</w:t>
      </w:r>
      <w:proofErr w:type="spellEnd"/>
      <w:r w:rsidRPr="00DC6757">
        <w:rPr>
          <w:rFonts w:ascii="Times New Roman" w:hAnsi="Times New Roman" w:cs="Times New Roman"/>
          <w:sz w:val="24"/>
          <w:szCs w:val="24"/>
          <w:lang w:val="de-DE"/>
        </w:rPr>
        <w:t xml:space="preserve"> V, Galic N, Hendriks J, Jager T, Kretschmann A, </w:t>
      </w:r>
    </w:p>
    <w:p w14:paraId="69A18285" w14:textId="4FD640EC" w:rsidR="00A6185C" w:rsidRPr="00DC6757" w:rsidRDefault="00A6185C" w:rsidP="00C16B36">
      <w:pPr>
        <w:autoSpaceDE w:val="0"/>
        <w:autoSpaceDN w:val="0"/>
        <w:adjustRightInd w:val="0"/>
        <w:spacing w:after="0" w:line="240" w:lineRule="auto"/>
        <w:ind w:left="720"/>
        <w:rPr>
          <w:rFonts w:ascii="Times New Roman" w:hAnsi="Times New Roman" w:cs="Times New Roman"/>
          <w:sz w:val="24"/>
          <w:szCs w:val="24"/>
        </w:rPr>
      </w:pPr>
      <w:r w:rsidRPr="00DC6757">
        <w:rPr>
          <w:rFonts w:ascii="Times New Roman" w:hAnsi="Times New Roman" w:cs="Times New Roman"/>
          <w:sz w:val="24"/>
          <w:szCs w:val="24"/>
          <w:lang w:val="de-DE"/>
        </w:rPr>
        <w:t xml:space="preserve">O’Connor I, </w:t>
      </w:r>
      <w:proofErr w:type="spellStart"/>
      <w:r w:rsidRPr="00DC6757">
        <w:rPr>
          <w:rFonts w:ascii="Times New Roman" w:hAnsi="Times New Roman" w:cs="Times New Roman"/>
          <w:sz w:val="24"/>
          <w:szCs w:val="24"/>
          <w:lang w:val="de-DE"/>
        </w:rPr>
        <w:t>Rubach</w:t>
      </w:r>
      <w:proofErr w:type="spellEnd"/>
      <w:r w:rsidRPr="00DC6757">
        <w:rPr>
          <w:rFonts w:ascii="Times New Roman" w:hAnsi="Times New Roman" w:cs="Times New Roman"/>
          <w:sz w:val="24"/>
          <w:szCs w:val="24"/>
          <w:lang w:val="de-DE"/>
        </w:rPr>
        <w:t xml:space="preserve"> MN, </w:t>
      </w:r>
      <w:r w:rsidR="007C63A6" w:rsidRPr="00DC6757">
        <w:rPr>
          <w:rFonts w:ascii="Times New Roman" w:hAnsi="Times New Roman" w:cs="Times New Roman"/>
          <w:sz w:val="24"/>
          <w:szCs w:val="24"/>
          <w:lang w:val="de-DE"/>
        </w:rPr>
        <w:t>Nyman A-M,</w:t>
      </w:r>
      <w:r w:rsidR="00DC6757">
        <w:rPr>
          <w:rFonts w:ascii="Times New Roman" w:hAnsi="Times New Roman" w:cs="Times New Roman"/>
          <w:sz w:val="24"/>
          <w:szCs w:val="24"/>
          <w:lang w:val="de-DE"/>
        </w:rPr>
        <w:t xml:space="preserve"> </w:t>
      </w:r>
      <w:r w:rsidR="007C63A6" w:rsidRPr="00DC6757">
        <w:rPr>
          <w:rFonts w:ascii="Times New Roman" w:hAnsi="Times New Roman" w:cs="Times New Roman"/>
          <w:sz w:val="24"/>
          <w:szCs w:val="24"/>
          <w:lang w:val="de-DE"/>
        </w:rPr>
        <w:t xml:space="preserve">Schmitt W, </w:t>
      </w:r>
      <w:proofErr w:type="spellStart"/>
      <w:r w:rsidR="007C63A6" w:rsidRPr="00DC6757">
        <w:rPr>
          <w:rFonts w:ascii="Times New Roman" w:hAnsi="Times New Roman" w:cs="Times New Roman"/>
          <w:sz w:val="24"/>
          <w:szCs w:val="24"/>
          <w:lang w:val="de-DE"/>
        </w:rPr>
        <w:t>Stadnicka</w:t>
      </w:r>
      <w:proofErr w:type="spellEnd"/>
      <w:r w:rsidR="007C63A6" w:rsidRPr="00DC6757">
        <w:rPr>
          <w:rFonts w:ascii="Times New Roman" w:hAnsi="Times New Roman" w:cs="Times New Roman"/>
          <w:sz w:val="24"/>
          <w:szCs w:val="24"/>
          <w:lang w:val="de-DE"/>
        </w:rPr>
        <w:t xml:space="preserve"> J, van den Brink PJ, Preuss TG.</w:t>
      </w:r>
      <w:r w:rsidRPr="00DC6757">
        <w:rPr>
          <w:rFonts w:ascii="Times New Roman" w:hAnsi="Times New Roman" w:cs="Times New Roman"/>
          <w:sz w:val="24"/>
          <w:szCs w:val="24"/>
          <w:lang w:val="de-DE"/>
        </w:rPr>
        <w:t xml:space="preserve"> 2011. </w:t>
      </w:r>
      <w:r w:rsidRPr="00DC6757">
        <w:rPr>
          <w:rFonts w:ascii="Times New Roman" w:hAnsi="Times New Roman" w:cs="Times New Roman"/>
          <w:sz w:val="24"/>
          <w:szCs w:val="24"/>
        </w:rPr>
        <w:t xml:space="preserve">Toxicokinetic–toxicodynamic modeling of quantal and graded sublethal endpoints: a brief discussion of concepts. Environ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Chem. 30:2519–2524.</w:t>
      </w:r>
    </w:p>
    <w:p w14:paraId="741904ED" w14:textId="77777777" w:rsidR="00C16B36" w:rsidRPr="00DC6757" w:rsidRDefault="00C16B36" w:rsidP="00C16B36">
      <w:pPr>
        <w:autoSpaceDE w:val="0"/>
        <w:autoSpaceDN w:val="0"/>
        <w:adjustRightInd w:val="0"/>
        <w:spacing w:after="0" w:line="240" w:lineRule="auto"/>
        <w:ind w:left="720"/>
        <w:rPr>
          <w:rFonts w:ascii="Times New Roman" w:hAnsi="Times New Roman" w:cs="Times New Roman"/>
          <w:sz w:val="24"/>
          <w:szCs w:val="24"/>
        </w:rPr>
      </w:pPr>
    </w:p>
    <w:p w14:paraId="7EDEE56A" w14:textId="77777777" w:rsidR="00C16B36" w:rsidRPr="00DC6757" w:rsidRDefault="00A6185C" w:rsidP="00BC78B8">
      <w:pPr>
        <w:spacing w:after="0" w:line="240" w:lineRule="auto"/>
        <w:rPr>
          <w:rFonts w:ascii="Times New Roman" w:hAnsi="Times New Roman" w:cs="Times New Roman"/>
          <w:iCs/>
          <w:sz w:val="24"/>
          <w:szCs w:val="24"/>
        </w:rPr>
      </w:pPr>
      <w:r w:rsidRPr="00DC6757">
        <w:rPr>
          <w:rFonts w:ascii="Times New Roman" w:hAnsi="Times New Roman" w:cs="Times New Roman"/>
          <w:sz w:val="24"/>
          <w:szCs w:val="24"/>
        </w:rPr>
        <w:t xml:space="preserve">Baas J, Jager T, </w:t>
      </w: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B. 2010. Understanding toxicity as processes in time. </w:t>
      </w:r>
      <w:r w:rsidR="00C16B36" w:rsidRPr="00DC6757">
        <w:rPr>
          <w:rFonts w:ascii="Times New Roman" w:hAnsi="Times New Roman" w:cs="Times New Roman"/>
          <w:iCs/>
          <w:sz w:val="24"/>
          <w:szCs w:val="24"/>
        </w:rPr>
        <w:t xml:space="preserve">Sci Tot </w:t>
      </w:r>
    </w:p>
    <w:p w14:paraId="4814144F" w14:textId="41010BCC" w:rsidR="00A6185C" w:rsidRPr="00DC6757" w:rsidRDefault="00C16B36" w:rsidP="00BC78B8">
      <w:pPr>
        <w:spacing w:after="0" w:line="240" w:lineRule="auto"/>
        <w:ind w:firstLine="720"/>
        <w:rPr>
          <w:rFonts w:ascii="Times New Roman" w:hAnsi="Times New Roman" w:cs="Times New Roman"/>
          <w:i/>
          <w:iCs/>
          <w:sz w:val="24"/>
          <w:szCs w:val="24"/>
        </w:rPr>
      </w:pPr>
      <w:r w:rsidRPr="00DC6757">
        <w:rPr>
          <w:rFonts w:ascii="Times New Roman" w:hAnsi="Times New Roman" w:cs="Times New Roman"/>
          <w:iCs/>
          <w:sz w:val="24"/>
          <w:szCs w:val="24"/>
        </w:rPr>
        <w:t>Environ</w:t>
      </w:r>
      <w:r w:rsidRPr="00DC6757">
        <w:rPr>
          <w:rFonts w:ascii="Times New Roman" w:hAnsi="Times New Roman" w:cs="Times New Roman"/>
          <w:i/>
          <w:iCs/>
          <w:sz w:val="24"/>
          <w:szCs w:val="24"/>
        </w:rPr>
        <w:t>.</w:t>
      </w:r>
      <w:r w:rsidR="00DC6757">
        <w:rPr>
          <w:rFonts w:ascii="Times New Roman" w:hAnsi="Times New Roman" w:cs="Times New Roman"/>
          <w:i/>
          <w:iCs/>
          <w:sz w:val="24"/>
          <w:szCs w:val="24"/>
        </w:rPr>
        <w:t xml:space="preserve"> </w:t>
      </w:r>
      <w:r w:rsidR="00A6185C" w:rsidRPr="00DC6757">
        <w:rPr>
          <w:rFonts w:ascii="Times New Roman" w:hAnsi="Times New Roman" w:cs="Times New Roman"/>
          <w:iCs/>
          <w:sz w:val="24"/>
          <w:szCs w:val="24"/>
        </w:rPr>
        <w:t>408</w:t>
      </w:r>
      <w:r w:rsidR="00A6185C" w:rsidRPr="00DC6757">
        <w:rPr>
          <w:rFonts w:ascii="Times New Roman" w:hAnsi="Times New Roman" w:cs="Times New Roman"/>
          <w:sz w:val="24"/>
          <w:szCs w:val="24"/>
        </w:rPr>
        <w:t>:3735-3739.</w:t>
      </w:r>
    </w:p>
    <w:p w14:paraId="455BFDD4" w14:textId="77777777" w:rsidR="00A6185C" w:rsidRPr="00DC6757" w:rsidRDefault="00A6185C" w:rsidP="00BC78B8">
      <w:pPr>
        <w:spacing w:after="0" w:line="240" w:lineRule="auto"/>
        <w:ind w:firstLine="720"/>
        <w:rPr>
          <w:rFonts w:ascii="Times New Roman" w:hAnsi="Times New Roman" w:cs="Times New Roman"/>
          <w:sz w:val="24"/>
          <w:szCs w:val="24"/>
        </w:rPr>
      </w:pPr>
    </w:p>
    <w:p w14:paraId="752593C4" w14:textId="77777777" w:rsidR="007C63A6" w:rsidRPr="00DC6757" w:rsidRDefault="00A6185C" w:rsidP="007C63A6">
      <w:pPr>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lang w:val="en-CA"/>
        </w:rPr>
        <w:t>Boobis</w:t>
      </w:r>
      <w:proofErr w:type="spellEnd"/>
      <w:r w:rsidRPr="00DC6757">
        <w:rPr>
          <w:rFonts w:ascii="Times New Roman" w:hAnsi="Times New Roman" w:cs="Times New Roman"/>
          <w:sz w:val="24"/>
          <w:szCs w:val="24"/>
          <w:lang w:val="en-CA"/>
        </w:rPr>
        <w:t xml:space="preserve"> AR, Cohen SM</w:t>
      </w:r>
      <w:r w:rsidR="007C63A6" w:rsidRPr="00DC6757">
        <w:rPr>
          <w:rFonts w:ascii="Times New Roman" w:hAnsi="Times New Roman" w:cs="Times New Roman"/>
          <w:sz w:val="24"/>
          <w:szCs w:val="24"/>
          <w:lang w:val="en-CA"/>
        </w:rPr>
        <w:t xml:space="preserve">, </w:t>
      </w:r>
      <w:proofErr w:type="spellStart"/>
      <w:r w:rsidR="007C63A6" w:rsidRPr="00DC6757">
        <w:rPr>
          <w:rFonts w:ascii="Times New Roman" w:hAnsi="Times New Roman" w:cs="Times New Roman"/>
          <w:sz w:val="24"/>
          <w:szCs w:val="24"/>
          <w:lang w:val="en-CA"/>
        </w:rPr>
        <w:t>Dellarco</w:t>
      </w:r>
      <w:proofErr w:type="spellEnd"/>
      <w:r w:rsidR="007C63A6" w:rsidRPr="00DC6757">
        <w:rPr>
          <w:rFonts w:ascii="Times New Roman" w:hAnsi="Times New Roman" w:cs="Times New Roman"/>
          <w:sz w:val="24"/>
          <w:szCs w:val="24"/>
          <w:lang w:val="en-CA"/>
        </w:rPr>
        <w:t xml:space="preserve"> V, McGregor D, Meek ME, Vickers C</w:t>
      </w:r>
      <w:r w:rsidRPr="00DC6757">
        <w:rPr>
          <w:rFonts w:ascii="Times New Roman" w:hAnsi="Times New Roman" w:cs="Times New Roman"/>
          <w:sz w:val="24"/>
          <w:szCs w:val="24"/>
          <w:lang w:val="en-CA"/>
        </w:rPr>
        <w:t xml:space="preserve">. </w:t>
      </w:r>
      <w:r w:rsidRPr="00DC6757">
        <w:rPr>
          <w:rFonts w:ascii="Times New Roman" w:hAnsi="Times New Roman" w:cs="Times New Roman"/>
          <w:sz w:val="24"/>
          <w:szCs w:val="24"/>
        </w:rPr>
        <w:t xml:space="preserve">2006. IPCS framework </w:t>
      </w:r>
    </w:p>
    <w:p w14:paraId="3DA2B9AB" w14:textId="77777777" w:rsidR="00A6185C" w:rsidRPr="00DC6757" w:rsidRDefault="00A6185C" w:rsidP="007C63A6">
      <w:pPr>
        <w:spacing w:after="0" w:line="240" w:lineRule="auto"/>
        <w:ind w:left="720"/>
        <w:rPr>
          <w:rFonts w:ascii="Times New Roman" w:hAnsi="Times New Roman" w:cs="Times New Roman"/>
          <w:sz w:val="24"/>
          <w:szCs w:val="24"/>
        </w:rPr>
      </w:pPr>
      <w:r w:rsidRPr="00DC6757">
        <w:rPr>
          <w:rFonts w:ascii="Times New Roman" w:hAnsi="Times New Roman" w:cs="Times New Roman"/>
          <w:sz w:val="24"/>
          <w:szCs w:val="24"/>
        </w:rPr>
        <w:t xml:space="preserve">for analyzing the relevance of a cancer mode of action for humans. </w:t>
      </w:r>
      <w:proofErr w:type="spellStart"/>
      <w:r w:rsidRPr="00DC6757">
        <w:rPr>
          <w:rFonts w:ascii="Times New Roman" w:hAnsi="Times New Roman" w:cs="Times New Roman"/>
          <w:sz w:val="24"/>
          <w:szCs w:val="24"/>
        </w:rPr>
        <w:t>Crit</w:t>
      </w:r>
      <w:proofErr w:type="spellEnd"/>
      <w:r w:rsidRPr="00DC6757">
        <w:rPr>
          <w:rFonts w:ascii="Times New Roman" w:hAnsi="Times New Roman" w:cs="Times New Roman"/>
          <w:sz w:val="24"/>
          <w:szCs w:val="24"/>
        </w:rPr>
        <w:t xml:space="preserve"> Rev </w:t>
      </w:r>
      <w:proofErr w:type="spellStart"/>
      <w:r w:rsidRPr="00DC6757">
        <w:rPr>
          <w:rFonts w:ascii="Times New Roman" w:hAnsi="Times New Roman" w:cs="Times New Roman"/>
          <w:sz w:val="24"/>
          <w:szCs w:val="24"/>
        </w:rPr>
        <w:t>Toxicol</w:t>
      </w:r>
      <w:proofErr w:type="spellEnd"/>
      <w:r w:rsidR="00C16B36" w:rsidRPr="00DC6757">
        <w:rPr>
          <w:rFonts w:ascii="Times New Roman" w:hAnsi="Times New Roman" w:cs="Times New Roman"/>
          <w:sz w:val="24"/>
          <w:szCs w:val="24"/>
        </w:rPr>
        <w:t>.</w:t>
      </w:r>
      <w:r w:rsidRPr="00DC6757">
        <w:rPr>
          <w:rFonts w:ascii="Times New Roman" w:hAnsi="Times New Roman" w:cs="Times New Roman"/>
          <w:sz w:val="24"/>
          <w:szCs w:val="24"/>
        </w:rPr>
        <w:t xml:space="preserve"> 36:781-792.</w:t>
      </w:r>
    </w:p>
    <w:p w14:paraId="26B9AB84" w14:textId="77777777" w:rsidR="00A6185C" w:rsidRPr="00DC6757" w:rsidRDefault="00A6185C" w:rsidP="00BC78B8">
      <w:pPr>
        <w:spacing w:after="0" w:line="240" w:lineRule="auto"/>
        <w:rPr>
          <w:rFonts w:ascii="Times New Roman" w:hAnsi="Times New Roman" w:cs="Times New Roman"/>
          <w:sz w:val="24"/>
          <w:szCs w:val="24"/>
        </w:rPr>
      </w:pPr>
    </w:p>
    <w:p w14:paraId="3BF5AAFD" w14:textId="77777777" w:rsidR="007C63A6" w:rsidRPr="00DC6757" w:rsidRDefault="00A6185C" w:rsidP="00BC78B8">
      <w:pPr>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rPr>
        <w:t>Boobis</w:t>
      </w:r>
      <w:proofErr w:type="spellEnd"/>
      <w:r w:rsidRPr="00DC6757">
        <w:rPr>
          <w:rFonts w:ascii="Times New Roman" w:hAnsi="Times New Roman" w:cs="Times New Roman"/>
          <w:sz w:val="24"/>
          <w:szCs w:val="24"/>
        </w:rPr>
        <w:t xml:space="preserve"> AR, Doe JE</w:t>
      </w:r>
      <w:r w:rsidR="007C63A6" w:rsidRPr="00DC6757">
        <w:rPr>
          <w:rFonts w:ascii="Times New Roman" w:hAnsi="Times New Roman" w:cs="Times New Roman"/>
          <w:sz w:val="24"/>
          <w:szCs w:val="24"/>
        </w:rPr>
        <w:t xml:space="preserve">, Heinrich-Hirsch B, Meek ME, Munn S, </w:t>
      </w:r>
      <w:proofErr w:type="spellStart"/>
      <w:r w:rsidR="007C63A6" w:rsidRPr="00DC6757">
        <w:rPr>
          <w:rFonts w:ascii="Times New Roman" w:hAnsi="Times New Roman" w:cs="Times New Roman"/>
          <w:sz w:val="24"/>
          <w:szCs w:val="24"/>
        </w:rPr>
        <w:t>Ruchirawat</w:t>
      </w:r>
      <w:proofErr w:type="spellEnd"/>
      <w:r w:rsidR="007C63A6" w:rsidRPr="00DC6757">
        <w:rPr>
          <w:rFonts w:ascii="Times New Roman" w:hAnsi="Times New Roman" w:cs="Times New Roman"/>
          <w:sz w:val="24"/>
          <w:szCs w:val="24"/>
        </w:rPr>
        <w:t xml:space="preserve"> M</w:t>
      </w:r>
      <w:r w:rsidRPr="00DC6757">
        <w:rPr>
          <w:rFonts w:ascii="Times New Roman" w:hAnsi="Times New Roman" w:cs="Times New Roman"/>
          <w:sz w:val="24"/>
          <w:szCs w:val="24"/>
        </w:rPr>
        <w:t xml:space="preserve">. 2008. IPCS </w:t>
      </w:r>
    </w:p>
    <w:p w14:paraId="5AAD830D" w14:textId="77777777" w:rsidR="00A6185C" w:rsidRPr="00DC6757" w:rsidRDefault="00A6185C" w:rsidP="007C63A6">
      <w:pPr>
        <w:spacing w:after="0" w:line="240" w:lineRule="auto"/>
        <w:ind w:left="720"/>
        <w:rPr>
          <w:rFonts w:ascii="Times New Roman" w:hAnsi="Times New Roman" w:cs="Times New Roman"/>
          <w:sz w:val="24"/>
          <w:szCs w:val="24"/>
        </w:rPr>
      </w:pPr>
      <w:r w:rsidRPr="00DC6757">
        <w:rPr>
          <w:rFonts w:ascii="Times New Roman" w:hAnsi="Times New Roman" w:cs="Times New Roman"/>
          <w:sz w:val="24"/>
          <w:szCs w:val="24"/>
        </w:rPr>
        <w:t xml:space="preserve">framework for analyzing the relevance of a noncancer mode of action for humans. </w:t>
      </w:r>
      <w:proofErr w:type="spellStart"/>
      <w:r w:rsidRPr="00DC6757">
        <w:rPr>
          <w:rFonts w:ascii="Times New Roman" w:hAnsi="Times New Roman" w:cs="Times New Roman"/>
          <w:sz w:val="24"/>
          <w:szCs w:val="24"/>
        </w:rPr>
        <w:t>Crit</w:t>
      </w:r>
      <w:proofErr w:type="spellEnd"/>
      <w:r w:rsidRPr="00DC6757">
        <w:rPr>
          <w:rFonts w:ascii="Times New Roman" w:hAnsi="Times New Roman" w:cs="Times New Roman"/>
          <w:sz w:val="24"/>
          <w:szCs w:val="24"/>
        </w:rPr>
        <w:t xml:space="preserve"> Rev </w:t>
      </w:r>
      <w:proofErr w:type="spellStart"/>
      <w:r w:rsidRPr="00DC6757">
        <w:rPr>
          <w:rFonts w:ascii="Times New Roman" w:hAnsi="Times New Roman" w:cs="Times New Roman"/>
          <w:sz w:val="24"/>
          <w:szCs w:val="24"/>
        </w:rPr>
        <w:t>Toxicol</w:t>
      </w:r>
      <w:proofErr w:type="spellEnd"/>
      <w:r w:rsidR="00EB0B28" w:rsidRPr="00DC6757">
        <w:rPr>
          <w:rFonts w:ascii="Times New Roman" w:hAnsi="Times New Roman" w:cs="Times New Roman"/>
          <w:sz w:val="24"/>
          <w:szCs w:val="24"/>
        </w:rPr>
        <w:t>.</w:t>
      </w:r>
      <w:r w:rsidRPr="00DC6757">
        <w:rPr>
          <w:rFonts w:ascii="Times New Roman" w:hAnsi="Times New Roman" w:cs="Times New Roman"/>
          <w:sz w:val="24"/>
          <w:szCs w:val="24"/>
        </w:rPr>
        <w:t xml:space="preserve"> 38:87-96</w:t>
      </w:r>
    </w:p>
    <w:p w14:paraId="4D896D14" w14:textId="77777777" w:rsidR="00EB0B28" w:rsidRPr="00DC6757" w:rsidRDefault="00EB0B28" w:rsidP="00A6185C">
      <w:pPr>
        <w:spacing w:after="120" w:line="240" w:lineRule="auto"/>
        <w:ind w:firstLine="400"/>
        <w:rPr>
          <w:rFonts w:ascii="Times New Roman" w:hAnsi="Times New Roman" w:cs="Times New Roman"/>
          <w:sz w:val="24"/>
          <w:szCs w:val="24"/>
        </w:rPr>
      </w:pPr>
    </w:p>
    <w:p w14:paraId="2C2A6C90" w14:textId="77777777" w:rsidR="00A6185C" w:rsidRPr="00DC6757" w:rsidRDefault="007C63A6"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Con</w:t>
      </w:r>
      <w:r w:rsidR="00A6185C" w:rsidRPr="00DC6757">
        <w:rPr>
          <w:rFonts w:ascii="Times New Roman" w:hAnsi="Times New Roman" w:cs="Times New Roman"/>
          <w:sz w:val="24"/>
          <w:szCs w:val="24"/>
        </w:rPr>
        <w:t xml:space="preserve">olly RB, </w:t>
      </w:r>
      <w:proofErr w:type="spellStart"/>
      <w:r w:rsidR="00A6185C" w:rsidRPr="00DC6757">
        <w:rPr>
          <w:rFonts w:ascii="Times New Roman" w:hAnsi="Times New Roman" w:cs="Times New Roman"/>
          <w:sz w:val="24"/>
          <w:szCs w:val="24"/>
        </w:rPr>
        <w:t>Ankley</w:t>
      </w:r>
      <w:proofErr w:type="spellEnd"/>
      <w:r w:rsidR="00A6185C" w:rsidRPr="00DC6757">
        <w:rPr>
          <w:rFonts w:ascii="Times New Roman" w:hAnsi="Times New Roman" w:cs="Times New Roman"/>
          <w:sz w:val="24"/>
          <w:szCs w:val="24"/>
        </w:rPr>
        <w:t xml:space="preserve"> GT, </w:t>
      </w:r>
      <w:r w:rsidRPr="00DC6757">
        <w:rPr>
          <w:rFonts w:ascii="Times New Roman" w:hAnsi="Times New Roman" w:cs="Times New Roman"/>
          <w:sz w:val="24"/>
          <w:szCs w:val="24"/>
        </w:rPr>
        <w:t xml:space="preserve">Cheng W, Mayo ML, Miller DH, </w:t>
      </w:r>
      <w:r w:rsidR="00902A39" w:rsidRPr="00DC6757">
        <w:rPr>
          <w:rFonts w:ascii="Times New Roman" w:hAnsi="Times New Roman" w:cs="Times New Roman"/>
          <w:sz w:val="24"/>
          <w:szCs w:val="24"/>
        </w:rPr>
        <w:t>Perkins EJ, Villeneuve DL, Watanabe KH</w:t>
      </w:r>
      <w:r w:rsidR="00A6185C" w:rsidRPr="00DC6757">
        <w:rPr>
          <w:rFonts w:ascii="Times New Roman" w:hAnsi="Times New Roman" w:cs="Times New Roman"/>
          <w:sz w:val="24"/>
          <w:szCs w:val="24"/>
        </w:rPr>
        <w:t xml:space="preserve"> .2017. Quantitative adverse outcome pathways and their application to predictive toxicology</w:t>
      </w:r>
      <w:r w:rsidR="00A6185C" w:rsidRPr="00DC6757">
        <w:rPr>
          <w:rFonts w:ascii="Times New Roman" w:hAnsi="Times New Roman" w:cs="Times New Roman"/>
          <w:i/>
          <w:sz w:val="24"/>
          <w:szCs w:val="24"/>
        </w:rPr>
        <w:t xml:space="preserve">. </w:t>
      </w:r>
      <w:r w:rsidR="00A6185C" w:rsidRPr="00DC6757">
        <w:rPr>
          <w:rFonts w:ascii="Times New Roman" w:hAnsi="Times New Roman" w:cs="Times New Roman"/>
          <w:sz w:val="24"/>
          <w:szCs w:val="24"/>
        </w:rPr>
        <w:t>Environ Sci Tech</w:t>
      </w:r>
      <w:r w:rsidR="00EB0B28" w:rsidRPr="00DC6757">
        <w:rPr>
          <w:rFonts w:ascii="Times New Roman" w:hAnsi="Times New Roman" w:cs="Times New Roman"/>
          <w:sz w:val="24"/>
          <w:szCs w:val="24"/>
        </w:rPr>
        <w:t>.</w:t>
      </w:r>
      <w:r w:rsidR="00A6185C" w:rsidRPr="00DC6757">
        <w:rPr>
          <w:rFonts w:ascii="Times New Roman" w:hAnsi="Times New Roman" w:cs="Times New Roman"/>
          <w:sz w:val="24"/>
          <w:szCs w:val="24"/>
        </w:rPr>
        <w:t xml:space="preserve"> </w:t>
      </w:r>
      <w:r w:rsidR="00A6185C" w:rsidRPr="00DC6757">
        <w:rPr>
          <w:rFonts w:ascii="Times New Roman" w:hAnsi="Times New Roman" w:cs="Times New Roman"/>
          <w:iCs/>
          <w:sz w:val="24"/>
          <w:szCs w:val="24"/>
        </w:rPr>
        <w:t>51</w:t>
      </w:r>
      <w:r w:rsidR="00A6185C" w:rsidRPr="00DC6757">
        <w:rPr>
          <w:rFonts w:ascii="Times New Roman" w:hAnsi="Times New Roman" w:cs="Times New Roman"/>
          <w:sz w:val="24"/>
          <w:szCs w:val="24"/>
        </w:rPr>
        <w:t>: 4661-4672.</w:t>
      </w:r>
    </w:p>
    <w:p w14:paraId="7293910C"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lastRenderedPageBreak/>
        <w:t xml:space="preserve">Di Giulio RT, Clark BW. 2016. The Elizabeth River story: a case study in evolutionary toxicology. </w:t>
      </w:r>
      <w:r w:rsidR="00EB0B28" w:rsidRPr="00DC6757">
        <w:rPr>
          <w:rFonts w:ascii="Times New Roman" w:hAnsi="Times New Roman" w:cs="Times New Roman"/>
          <w:sz w:val="24"/>
          <w:szCs w:val="24"/>
        </w:rPr>
        <w:t xml:space="preserve">J </w:t>
      </w:r>
      <w:proofErr w:type="spellStart"/>
      <w:r w:rsidR="00EB0B28" w:rsidRPr="00DC6757">
        <w:rPr>
          <w:rFonts w:ascii="Times New Roman" w:hAnsi="Times New Roman" w:cs="Times New Roman"/>
          <w:sz w:val="24"/>
          <w:szCs w:val="24"/>
        </w:rPr>
        <w:t>Toxicol</w:t>
      </w:r>
      <w:proofErr w:type="spellEnd"/>
      <w:r w:rsidR="00EB0B28" w:rsidRPr="00DC6757">
        <w:rPr>
          <w:rFonts w:ascii="Times New Roman" w:hAnsi="Times New Roman" w:cs="Times New Roman"/>
          <w:sz w:val="24"/>
          <w:szCs w:val="24"/>
        </w:rPr>
        <w:t xml:space="preserve"> Environ </w:t>
      </w:r>
      <w:r w:rsidRPr="00DC6757">
        <w:rPr>
          <w:rFonts w:ascii="Times New Roman" w:hAnsi="Times New Roman" w:cs="Times New Roman"/>
          <w:sz w:val="24"/>
          <w:szCs w:val="24"/>
        </w:rPr>
        <w:t>Health, Part B</w:t>
      </w:r>
      <w:r w:rsidR="00EB0B28" w:rsidRPr="00DC6757">
        <w:rPr>
          <w:rFonts w:ascii="Times New Roman" w:hAnsi="Times New Roman" w:cs="Times New Roman"/>
          <w:sz w:val="24"/>
          <w:szCs w:val="24"/>
        </w:rPr>
        <w:t>.</w:t>
      </w:r>
      <w:r w:rsidRPr="00DC6757">
        <w:rPr>
          <w:rFonts w:ascii="Times New Roman" w:hAnsi="Times New Roman" w:cs="Times New Roman"/>
          <w:sz w:val="24"/>
          <w:szCs w:val="24"/>
        </w:rPr>
        <w:t xml:space="preserve"> 18:259–298</w:t>
      </w:r>
    </w:p>
    <w:p w14:paraId="2230772B"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Du X, Crawford DL, Oleksiak MF.2015. Effects of Anthropogenic Pollution on the Oxidative Phosphorylation Pathway of Hepatocytes from Natural Populations of </w:t>
      </w:r>
      <w:proofErr w:type="spellStart"/>
      <w:r w:rsidRPr="00DC6757">
        <w:rPr>
          <w:rFonts w:ascii="Times New Roman" w:hAnsi="Times New Roman" w:cs="Times New Roman"/>
          <w:i/>
          <w:sz w:val="24"/>
          <w:szCs w:val="24"/>
        </w:rPr>
        <w:t>Fundulus</w:t>
      </w:r>
      <w:proofErr w:type="spellEnd"/>
      <w:r w:rsidRPr="00DC6757">
        <w:rPr>
          <w:rFonts w:ascii="Times New Roman" w:hAnsi="Times New Roman" w:cs="Times New Roman"/>
          <w:i/>
          <w:sz w:val="24"/>
          <w:szCs w:val="24"/>
        </w:rPr>
        <w:t xml:space="preserve"> </w:t>
      </w:r>
      <w:proofErr w:type="spellStart"/>
      <w:r w:rsidRPr="00DC6757">
        <w:rPr>
          <w:rFonts w:ascii="Times New Roman" w:hAnsi="Times New Roman" w:cs="Times New Roman"/>
          <w:i/>
          <w:sz w:val="24"/>
          <w:szCs w:val="24"/>
        </w:rPr>
        <w:t>heteroclitus</w:t>
      </w:r>
      <w:proofErr w:type="spellEnd"/>
      <w:r w:rsidR="00EB0B28" w:rsidRPr="00DC6757">
        <w:rPr>
          <w:rFonts w:ascii="Times New Roman" w:hAnsi="Times New Roman" w:cs="Times New Roman"/>
          <w:sz w:val="24"/>
          <w:szCs w:val="24"/>
        </w:rPr>
        <w:t xml:space="preserve">. </w:t>
      </w:r>
      <w:proofErr w:type="spellStart"/>
      <w:r w:rsidR="00EB0B28" w:rsidRPr="00DC6757">
        <w:rPr>
          <w:rFonts w:ascii="Times New Roman" w:hAnsi="Times New Roman" w:cs="Times New Roman"/>
          <w:sz w:val="24"/>
          <w:szCs w:val="24"/>
        </w:rPr>
        <w:t>Aquat</w:t>
      </w:r>
      <w:proofErr w:type="spellEnd"/>
      <w:r w:rsidR="00EB0B28" w:rsidRPr="00DC6757">
        <w:rPr>
          <w:rFonts w:ascii="Times New Roman" w:hAnsi="Times New Roman" w:cs="Times New Roman"/>
          <w:sz w:val="24"/>
          <w:szCs w:val="24"/>
        </w:rPr>
        <w:t xml:space="preserve"> </w:t>
      </w:r>
      <w:proofErr w:type="spellStart"/>
      <w:r w:rsidR="00EB0B28" w:rsidRPr="00DC6757">
        <w:rPr>
          <w:rFonts w:ascii="Times New Roman" w:hAnsi="Times New Roman" w:cs="Times New Roman"/>
          <w:sz w:val="24"/>
          <w:szCs w:val="24"/>
        </w:rPr>
        <w:t>Toxicol</w:t>
      </w:r>
      <w:proofErr w:type="spellEnd"/>
      <w:r w:rsidR="00EB0B28" w:rsidRPr="00DC6757">
        <w:rPr>
          <w:rFonts w:ascii="Times New Roman" w:hAnsi="Times New Roman" w:cs="Times New Roman"/>
          <w:sz w:val="24"/>
          <w:szCs w:val="24"/>
        </w:rPr>
        <w:t>.</w:t>
      </w:r>
      <w:r w:rsidRPr="00DC6757">
        <w:rPr>
          <w:rFonts w:ascii="Times New Roman" w:hAnsi="Times New Roman" w:cs="Times New Roman"/>
          <w:sz w:val="24"/>
          <w:szCs w:val="24"/>
        </w:rPr>
        <w:t xml:space="preserve"> 165:231–240. </w:t>
      </w:r>
    </w:p>
    <w:p w14:paraId="38585F33" w14:textId="77777777" w:rsidR="00D53688" w:rsidRPr="00DC6757" w:rsidRDefault="00D5368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EFSA 2013. Guidance on tiered risk assessment for plant protection products for aquatic organisms in edge-of-field surface waters. EFSA Journal 11:3290.</w:t>
      </w:r>
    </w:p>
    <w:p w14:paraId="3148F24F"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Elliot</w:t>
      </w:r>
      <w:r w:rsidR="004045C8" w:rsidRPr="00DC6757">
        <w:rPr>
          <w:rFonts w:ascii="Times New Roman" w:hAnsi="Times New Roman" w:cs="Times New Roman"/>
          <w:sz w:val="24"/>
          <w:szCs w:val="24"/>
        </w:rPr>
        <w:t>t</w:t>
      </w:r>
      <w:r w:rsidRPr="00DC6757">
        <w:rPr>
          <w:rFonts w:ascii="Times New Roman" w:hAnsi="Times New Roman" w:cs="Times New Roman"/>
          <w:sz w:val="24"/>
          <w:szCs w:val="24"/>
        </w:rPr>
        <w:t xml:space="preserve"> KC, Murphy CA, Garcia-Reyero N. 2017. The future of adverse outcome pathways: analyzing their social context. </w:t>
      </w:r>
      <w:r w:rsidR="00902A39" w:rsidRPr="00DC6757">
        <w:rPr>
          <w:rFonts w:ascii="Times New Roman" w:hAnsi="Times New Roman" w:cs="Times New Roman"/>
          <w:sz w:val="24"/>
          <w:szCs w:val="24"/>
        </w:rPr>
        <w:t>In Garcia-Reyero N, Murphy</w:t>
      </w:r>
      <w:r w:rsidRPr="00DC6757">
        <w:rPr>
          <w:rFonts w:ascii="Times New Roman" w:hAnsi="Times New Roman" w:cs="Times New Roman"/>
          <w:sz w:val="24"/>
          <w:szCs w:val="24"/>
        </w:rPr>
        <w:t xml:space="preserve"> CA</w:t>
      </w:r>
      <w:r w:rsidR="00EB0B28" w:rsidRPr="00DC6757">
        <w:rPr>
          <w:rFonts w:ascii="Times New Roman" w:hAnsi="Times New Roman" w:cs="Times New Roman"/>
          <w:sz w:val="24"/>
          <w:szCs w:val="24"/>
        </w:rPr>
        <w:t>, editors. A systems biology approach for advancing adverse outcome pathways for risk a</w:t>
      </w:r>
      <w:r w:rsidRPr="00DC6757">
        <w:rPr>
          <w:rFonts w:ascii="Times New Roman" w:hAnsi="Times New Roman" w:cs="Times New Roman"/>
          <w:sz w:val="24"/>
          <w:szCs w:val="24"/>
        </w:rPr>
        <w:t>ssessment. Springer.</w:t>
      </w:r>
      <w:r w:rsidR="00EB0B28" w:rsidRPr="00DC6757">
        <w:rPr>
          <w:rFonts w:ascii="Times New Roman" w:hAnsi="Times New Roman" w:cs="Times New Roman"/>
          <w:sz w:val="24"/>
          <w:szCs w:val="24"/>
        </w:rPr>
        <w:t xml:space="preserve"> p</w:t>
      </w:r>
      <w:r w:rsidRPr="00DC6757">
        <w:rPr>
          <w:rFonts w:ascii="Times New Roman" w:hAnsi="Times New Roman" w:cs="Times New Roman"/>
          <w:sz w:val="24"/>
          <w:szCs w:val="24"/>
        </w:rPr>
        <w:t>. 391-404.</w:t>
      </w:r>
    </w:p>
    <w:p w14:paraId="56847ED0" w14:textId="70707672" w:rsidR="00A6185C" w:rsidRPr="00DC6757" w:rsidRDefault="00EB0B2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Forbes VE, </w:t>
      </w:r>
      <w:proofErr w:type="spellStart"/>
      <w:r w:rsidRPr="00DC6757">
        <w:rPr>
          <w:rFonts w:ascii="Times New Roman" w:hAnsi="Times New Roman" w:cs="Times New Roman"/>
          <w:sz w:val="24"/>
          <w:szCs w:val="24"/>
        </w:rPr>
        <w:t>Salice</w:t>
      </w:r>
      <w:proofErr w:type="spellEnd"/>
      <w:r w:rsidRPr="00DC6757">
        <w:rPr>
          <w:rFonts w:ascii="Times New Roman" w:hAnsi="Times New Roman" w:cs="Times New Roman"/>
          <w:sz w:val="24"/>
          <w:szCs w:val="24"/>
        </w:rPr>
        <w:t xml:space="preserve"> CJ, </w:t>
      </w:r>
      <w:proofErr w:type="spellStart"/>
      <w:r w:rsidRPr="00DC6757">
        <w:rPr>
          <w:rFonts w:ascii="Times New Roman" w:hAnsi="Times New Roman" w:cs="Times New Roman"/>
          <w:sz w:val="24"/>
          <w:szCs w:val="24"/>
        </w:rPr>
        <w:t>Birnir</w:t>
      </w:r>
      <w:proofErr w:type="spellEnd"/>
      <w:r w:rsidRPr="00DC6757">
        <w:rPr>
          <w:rFonts w:ascii="Times New Roman" w:hAnsi="Times New Roman" w:cs="Times New Roman"/>
          <w:sz w:val="24"/>
          <w:szCs w:val="24"/>
        </w:rPr>
        <w:t xml:space="preserve"> B, Bruins RJ, </w:t>
      </w:r>
      <w:proofErr w:type="spellStart"/>
      <w:r w:rsidRPr="00DC6757">
        <w:rPr>
          <w:rFonts w:ascii="Times New Roman" w:hAnsi="Times New Roman" w:cs="Times New Roman"/>
          <w:sz w:val="24"/>
          <w:szCs w:val="24"/>
        </w:rPr>
        <w:t>Calow</w:t>
      </w:r>
      <w:proofErr w:type="spellEnd"/>
      <w:r w:rsidRPr="00DC6757">
        <w:rPr>
          <w:rFonts w:ascii="Times New Roman" w:hAnsi="Times New Roman" w:cs="Times New Roman"/>
          <w:sz w:val="24"/>
          <w:szCs w:val="24"/>
        </w:rPr>
        <w:t xml:space="preserve"> P, </w:t>
      </w:r>
      <w:proofErr w:type="spellStart"/>
      <w:r w:rsidRPr="00DC6757">
        <w:rPr>
          <w:rFonts w:ascii="Times New Roman" w:hAnsi="Times New Roman" w:cs="Times New Roman"/>
          <w:sz w:val="24"/>
          <w:szCs w:val="24"/>
        </w:rPr>
        <w:t>Ducrot</w:t>
      </w:r>
      <w:proofErr w:type="spellEnd"/>
      <w:r w:rsidRPr="00DC6757">
        <w:rPr>
          <w:rFonts w:ascii="Times New Roman" w:hAnsi="Times New Roman" w:cs="Times New Roman"/>
          <w:sz w:val="24"/>
          <w:szCs w:val="24"/>
        </w:rPr>
        <w:t xml:space="preserve"> V, </w:t>
      </w:r>
      <w:proofErr w:type="spellStart"/>
      <w:r w:rsidRPr="00DC6757">
        <w:rPr>
          <w:rFonts w:ascii="Times New Roman" w:hAnsi="Times New Roman" w:cs="Times New Roman"/>
          <w:sz w:val="24"/>
          <w:szCs w:val="24"/>
        </w:rPr>
        <w:t>Galic</w:t>
      </w:r>
      <w:proofErr w:type="spellEnd"/>
      <w:r w:rsidRPr="00DC6757">
        <w:rPr>
          <w:rFonts w:ascii="Times New Roman" w:hAnsi="Times New Roman" w:cs="Times New Roman"/>
          <w:sz w:val="24"/>
          <w:szCs w:val="24"/>
        </w:rPr>
        <w:t xml:space="preserve"> N, Garber K, Harvey BC</w:t>
      </w:r>
      <w:r w:rsidR="00A6185C" w:rsidRPr="00DC6757">
        <w:rPr>
          <w:rFonts w:ascii="Times New Roman" w:hAnsi="Times New Roman" w:cs="Times New Roman"/>
          <w:sz w:val="24"/>
          <w:szCs w:val="24"/>
        </w:rPr>
        <w:t>, J</w:t>
      </w:r>
      <w:r w:rsidRPr="00DC6757">
        <w:rPr>
          <w:rFonts w:ascii="Times New Roman" w:hAnsi="Times New Roman" w:cs="Times New Roman"/>
          <w:sz w:val="24"/>
          <w:szCs w:val="24"/>
        </w:rPr>
        <w:t>ager H,</w:t>
      </w:r>
      <w:r w:rsid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Kanarek</w:t>
      </w:r>
      <w:proofErr w:type="spellEnd"/>
      <w:r w:rsidRPr="00DC6757">
        <w:rPr>
          <w:rFonts w:ascii="Times New Roman" w:hAnsi="Times New Roman" w:cs="Times New Roman"/>
          <w:sz w:val="24"/>
          <w:szCs w:val="24"/>
        </w:rPr>
        <w:t xml:space="preserve"> A.</w:t>
      </w:r>
      <w:r w:rsidR="00A6185C" w:rsidRPr="00DC6757">
        <w:rPr>
          <w:rFonts w:ascii="Times New Roman" w:hAnsi="Times New Roman" w:cs="Times New Roman"/>
          <w:sz w:val="24"/>
          <w:szCs w:val="24"/>
        </w:rPr>
        <w:t xml:space="preserve"> 2017. A framework for predicting impacts on ecosystem services from (sub) organismal responses to chemicals. </w:t>
      </w:r>
      <w:r w:rsidRPr="00DC6757">
        <w:rPr>
          <w:rFonts w:ascii="Times New Roman" w:hAnsi="Times New Roman" w:cs="Times New Roman"/>
          <w:sz w:val="24"/>
          <w:szCs w:val="24"/>
        </w:rPr>
        <w:t xml:space="preserve">Environ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Chem. 36: 845-859.</w:t>
      </w:r>
    </w:p>
    <w:p w14:paraId="3401E1A8"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Fujiwara M, Ken</w:t>
      </w:r>
      <w:r w:rsidR="00EB0B28" w:rsidRPr="00DC6757">
        <w:rPr>
          <w:rFonts w:ascii="Times New Roman" w:hAnsi="Times New Roman" w:cs="Times New Roman"/>
          <w:sz w:val="24"/>
          <w:szCs w:val="24"/>
        </w:rPr>
        <w:t>dall BE, Nisbet RM, Bennett WA. 2005.</w:t>
      </w:r>
      <w:r w:rsidRPr="00DC6757">
        <w:rPr>
          <w:rFonts w:ascii="Times New Roman" w:hAnsi="Times New Roman" w:cs="Times New Roman"/>
          <w:sz w:val="24"/>
          <w:szCs w:val="24"/>
        </w:rPr>
        <w:t xml:space="preserve"> Analysis of size trajectory data using an energetic –based growth model. Ecology 86:1441-1451.</w:t>
      </w:r>
    </w:p>
    <w:p w14:paraId="473AB9AE" w14:textId="4436562F"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Gergs A, Preuss TG, </w:t>
      </w:r>
      <w:proofErr w:type="spellStart"/>
      <w:r w:rsidRPr="00DC6757">
        <w:rPr>
          <w:rFonts w:ascii="Times New Roman" w:hAnsi="Times New Roman" w:cs="Times New Roman"/>
          <w:sz w:val="24"/>
          <w:szCs w:val="24"/>
        </w:rPr>
        <w:t>Palmqvist</w:t>
      </w:r>
      <w:proofErr w:type="spellEnd"/>
      <w:r w:rsidRPr="00DC6757">
        <w:rPr>
          <w:rFonts w:ascii="Times New Roman" w:hAnsi="Times New Roman" w:cs="Times New Roman"/>
          <w:sz w:val="24"/>
          <w:szCs w:val="24"/>
        </w:rPr>
        <w:t xml:space="preserve"> A</w:t>
      </w:r>
      <w:r w:rsidR="00EB0B28" w:rsidRPr="00DC6757">
        <w:rPr>
          <w:rFonts w:ascii="Times New Roman" w:hAnsi="Times New Roman" w:cs="Times New Roman"/>
          <w:sz w:val="24"/>
          <w:szCs w:val="24"/>
        </w:rPr>
        <w:t>. 2014.</w:t>
      </w:r>
      <w:r w:rsidRPr="00DC6757">
        <w:rPr>
          <w:rFonts w:ascii="Times New Roman" w:hAnsi="Times New Roman" w:cs="Times New Roman"/>
          <w:sz w:val="24"/>
          <w:szCs w:val="24"/>
        </w:rPr>
        <w:t xml:space="preserve"> Double trouble at high density: cross-level test of resource-related adaptive plasticity and crowding-related fitness. </w:t>
      </w:r>
      <w:proofErr w:type="spellStart"/>
      <w:r w:rsidRPr="00DC6757">
        <w:rPr>
          <w:rFonts w:ascii="Times New Roman" w:hAnsi="Times New Roman" w:cs="Times New Roman"/>
          <w:sz w:val="24"/>
          <w:szCs w:val="24"/>
        </w:rPr>
        <w:t>PloS</w:t>
      </w:r>
      <w:proofErr w:type="spellEnd"/>
      <w:r w:rsidRPr="00DC6757">
        <w:rPr>
          <w:rFonts w:ascii="Times New Roman" w:hAnsi="Times New Roman" w:cs="Times New Roman"/>
          <w:sz w:val="24"/>
          <w:szCs w:val="24"/>
        </w:rPr>
        <w:t xml:space="preserve"> one</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9: e91503.</w:t>
      </w:r>
    </w:p>
    <w:p w14:paraId="32F22546"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Gergs A</w:t>
      </w:r>
      <w:r w:rsidR="00EB0B28" w:rsidRPr="00DC6757">
        <w:rPr>
          <w:rFonts w:ascii="Times New Roman" w:hAnsi="Times New Roman" w:cs="Times New Roman"/>
          <w:sz w:val="24"/>
          <w:szCs w:val="24"/>
        </w:rPr>
        <w:t xml:space="preserve">, </w:t>
      </w:r>
      <w:proofErr w:type="spellStart"/>
      <w:r w:rsidR="00EB0B28" w:rsidRPr="00DC6757">
        <w:rPr>
          <w:rFonts w:ascii="Times New Roman" w:hAnsi="Times New Roman" w:cs="Times New Roman"/>
          <w:sz w:val="24"/>
          <w:szCs w:val="24"/>
        </w:rPr>
        <w:t>Gabsi</w:t>
      </w:r>
      <w:proofErr w:type="spellEnd"/>
      <w:r w:rsidR="00EB0B28" w:rsidRPr="00DC6757">
        <w:rPr>
          <w:rFonts w:ascii="Times New Roman" w:hAnsi="Times New Roman" w:cs="Times New Roman"/>
          <w:sz w:val="24"/>
          <w:szCs w:val="24"/>
        </w:rPr>
        <w:t xml:space="preserve"> F, </w:t>
      </w:r>
      <w:proofErr w:type="spellStart"/>
      <w:r w:rsidR="00EB0B28" w:rsidRPr="00DC6757">
        <w:rPr>
          <w:rFonts w:ascii="Times New Roman" w:hAnsi="Times New Roman" w:cs="Times New Roman"/>
          <w:sz w:val="24"/>
          <w:szCs w:val="24"/>
        </w:rPr>
        <w:t>Zenker</w:t>
      </w:r>
      <w:proofErr w:type="spellEnd"/>
      <w:r w:rsidR="00EB0B28" w:rsidRPr="00DC6757">
        <w:rPr>
          <w:rFonts w:ascii="Times New Roman" w:hAnsi="Times New Roman" w:cs="Times New Roman"/>
          <w:sz w:val="24"/>
          <w:szCs w:val="24"/>
        </w:rPr>
        <w:t xml:space="preserve"> A, Preuss TG. 2016.</w:t>
      </w:r>
      <w:r w:rsidRPr="00DC6757">
        <w:rPr>
          <w:rFonts w:ascii="Times New Roman" w:hAnsi="Times New Roman" w:cs="Times New Roman"/>
          <w:sz w:val="24"/>
          <w:szCs w:val="24"/>
        </w:rPr>
        <w:t xml:space="preserve"> Demographic toxicokinetic-toxicodynamic modeling of lethal effect. Environ Science Tech 50: 6017-6024.</w:t>
      </w:r>
    </w:p>
    <w:p w14:paraId="0E8CB8D6"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Gillies K, K</w:t>
      </w:r>
      <w:r w:rsidR="00EB0B28" w:rsidRPr="00DC6757">
        <w:rPr>
          <w:rFonts w:ascii="Times New Roman" w:hAnsi="Times New Roman" w:cs="Times New Roman"/>
          <w:sz w:val="24"/>
          <w:szCs w:val="24"/>
        </w:rPr>
        <w:t xml:space="preserve">rone SM, </w:t>
      </w:r>
      <w:proofErr w:type="spellStart"/>
      <w:r w:rsidR="00EB0B28" w:rsidRPr="00DC6757">
        <w:rPr>
          <w:rFonts w:ascii="Times New Roman" w:hAnsi="Times New Roman" w:cs="Times New Roman"/>
          <w:sz w:val="24"/>
          <w:szCs w:val="24"/>
        </w:rPr>
        <w:t>Nagler</w:t>
      </w:r>
      <w:proofErr w:type="spellEnd"/>
      <w:r w:rsidR="00EB0B28" w:rsidRPr="00DC6757">
        <w:rPr>
          <w:rFonts w:ascii="Times New Roman" w:hAnsi="Times New Roman" w:cs="Times New Roman"/>
          <w:sz w:val="24"/>
          <w:szCs w:val="24"/>
        </w:rPr>
        <w:t xml:space="preserve"> JJ, Schultz IR. 2016. </w:t>
      </w:r>
      <w:r w:rsidRPr="00DC6757">
        <w:rPr>
          <w:rFonts w:ascii="Times New Roman" w:hAnsi="Times New Roman" w:cs="Times New Roman"/>
          <w:sz w:val="24"/>
          <w:szCs w:val="24"/>
        </w:rPr>
        <w:t xml:space="preserve">A Computational Model of the Rainbow Trout Hypothalamus-Pituitary-Ovary-Liver Axis. </w:t>
      </w:r>
      <w:proofErr w:type="spellStart"/>
      <w:r w:rsidRPr="00DC6757">
        <w:rPr>
          <w:rFonts w:ascii="Times New Roman" w:hAnsi="Times New Roman" w:cs="Times New Roman"/>
          <w:sz w:val="24"/>
          <w:szCs w:val="24"/>
        </w:rPr>
        <w:t>PLoS</w:t>
      </w:r>
      <w:proofErr w:type="spellEnd"/>
      <w:r w:rsidRP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Comput</w:t>
      </w:r>
      <w:proofErr w:type="spellEnd"/>
      <w:r w:rsidRPr="00DC6757">
        <w:rPr>
          <w:rFonts w:ascii="Times New Roman" w:hAnsi="Times New Roman" w:cs="Times New Roman"/>
          <w:sz w:val="24"/>
          <w:szCs w:val="24"/>
        </w:rPr>
        <w:t xml:space="preserve"> Biol 12: e1004874.</w:t>
      </w:r>
    </w:p>
    <w:p w14:paraId="479BAB61"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Goussen</w:t>
      </w:r>
      <w:proofErr w:type="spellEnd"/>
      <w:r w:rsidRPr="00DC6757">
        <w:rPr>
          <w:rFonts w:ascii="Times New Roman" w:hAnsi="Times New Roman" w:cs="Times New Roman"/>
          <w:sz w:val="24"/>
          <w:szCs w:val="24"/>
        </w:rPr>
        <w:t xml:space="preserve"> B, </w:t>
      </w:r>
      <w:proofErr w:type="spellStart"/>
      <w:r w:rsidRPr="00DC6757">
        <w:rPr>
          <w:rFonts w:ascii="Times New Roman" w:hAnsi="Times New Roman" w:cs="Times New Roman"/>
          <w:sz w:val="24"/>
          <w:szCs w:val="24"/>
        </w:rPr>
        <w:t>Beaudouin</w:t>
      </w:r>
      <w:proofErr w:type="spellEnd"/>
      <w:r w:rsidRPr="00DC6757">
        <w:rPr>
          <w:rFonts w:ascii="Times New Roman" w:hAnsi="Times New Roman" w:cs="Times New Roman"/>
          <w:sz w:val="24"/>
          <w:szCs w:val="24"/>
        </w:rPr>
        <w:t xml:space="preserve"> R, </w:t>
      </w:r>
      <w:proofErr w:type="spellStart"/>
      <w:r w:rsidRPr="00DC6757">
        <w:rPr>
          <w:rFonts w:ascii="Times New Roman" w:hAnsi="Times New Roman" w:cs="Times New Roman"/>
          <w:sz w:val="24"/>
          <w:szCs w:val="24"/>
        </w:rPr>
        <w:t>Dutilleul</w:t>
      </w:r>
      <w:proofErr w:type="spellEnd"/>
      <w:r w:rsidRPr="00DC6757">
        <w:rPr>
          <w:rFonts w:ascii="Times New Roman" w:hAnsi="Times New Roman" w:cs="Times New Roman"/>
          <w:sz w:val="24"/>
          <w:szCs w:val="24"/>
        </w:rPr>
        <w:t xml:space="preserve"> M, </w:t>
      </w:r>
      <w:proofErr w:type="spellStart"/>
      <w:r w:rsidRPr="00DC6757">
        <w:rPr>
          <w:rFonts w:ascii="Times New Roman" w:hAnsi="Times New Roman" w:cs="Times New Roman"/>
          <w:sz w:val="24"/>
          <w:szCs w:val="24"/>
        </w:rPr>
        <w:t>Buisset-G</w:t>
      </w:r>
      <w:r w:rsidR="00EB0B28" w:rsidRPr="00DC6757">
        <w:rPr>
          <w:rFonts w:ascii="Times New Roman" w:hAnsi="Times New Roman" w:cs="Times New Roman"/>
          <w:sz w:val="24"/>
          <w:szCs w:val="24"/>
        </w:rPr>
        <w:t>oussen</w:t>
      </w:r>
      <w:proofErr w:type="spellEnd"/>
      <w:r w:rsidR="00EB0B28" w:rsidRPr="00DC6757">
        <w:rPr>
          <w:rFonts w:ascii="Times New Roman" w:hAnsi="Times New Roman" w:cs="Times New Roman"/>
          <w:sz w:val="24"/>
          <w:szCs w:val="24"/>
        </w:rPr>
        <w:t xml:space="preserve"> A, </w:t>
      </w:r>
      <w:proofErr w:type="spellStart"/>
      <w:r w:rsidR="00EB0B28" w:rsidRPr="00DC6757">
        <w:rPr>
          <w:rFonts w:ascii="Times New Roman" w:hAnsi="Times New Roman" w:cs="Times New Roman"/>
          <w:sz w:val="24"/>
          <w:szCs w:val="24"/>
        </w:rPr>
        <w:t>Bonzom</w:t>
      </w:r>
      <w:proofErr w:type="spellEnd"/>
      <w:r w:rsidR="00EB0B28" w:rsidRPr="00DC6757">
        <w:rPr>
          <w:rFonts w:ascii="Times New Roman" w:hAnsi="Times New Roman" w:cs="Times New Roman"/>
          <w:sz w:val="24"/>
          <w:szCs w:val="24"/>
        </w:rPr>
        <w:t xml:space="preserve"> J-M, </w:t>
      </w:r>
      <w:proofErr w:type="spellStart"/>
      <w:r w:rsidR="00EB0B28" w:rsidRPr="00DC6757">
        <w:rPr>
          <w:rFonts w:ascii="Times New Roman" w:hAnsi="Times New Roman" w:cs="Times New Roman"/>
          <w:sz w:val="24"/>
          <w:szCs w:val="24"/>
        </w:rPr>
        <w:t>Péry</w:t>
      </w:r>
      <w:proofErr w:type="spellEnd"/>
      <w:r w:rsidR="00EB0B28" w:rsidRPr="00DC6757">
        <w:rPr>
          <w:rFonts w:ascii="Times New Roman" w:hAnsi="Times New Roman" w:cs="Times New Roman"/>
          <w:sz w:val="24"/>
          <w:szCs w:val="24"/>
        </w:rPr>
        <w:t xml:space="preserve"> ARR. 2015.</w:t>
      </w:r>
      <w:r w:rsidRPr="00DC6757">
        <w:rPr>
          <w:rFonts w:ascii="Times New Roman" w:hAnsi="Times New Roman" w:cs="Times New Roman"/>
          <w:sz w:val="24"/>
          <w:szCs w:val="24"/>
        </w:rPr>
        <w:t xml:space="preserve"> Energy-based modelling to assess effects of chemicals on </w:t>
      </w:r>
      <w:r w:rsidRPr="00DC6757">
        <w:rPr>
          <w:rFonts w:ascii="Times New Roman" w:hAnsi="Times New Roman" w:cs="Times New Roman"/>
          <w:i/>
          <w:sz w:val="24"/>
          <w:szCs w:val="24"/>
        </w:rPr>
        <w:t>Caenorhabditis elegans</w:t>
      </w:r>
      <w:r w:rsidRPr="00DC6757">
        <w:rPr>
          <w:rFonts w:ascii="Times New Roman" w:hAnsi="Times New Roman" w:cs="Times New Roman"/>
          <w:sz w:val="24"/>
          <w:szCs w:val="24"/>
        </w:rPr>
        <w:t>: a case study on uranium. Chemosphere 120:507-514.</w:t>
      </w:r>
    </w:p>
    <w:p w14:paraId="3A0A8693" w14:textId="77777777" w:rsidR="00CE6594" w:rsidRPr="00DC6757" w:rsidRDefault="00CE6594"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Jager T. 2016. Predicting environmental risk: A road map for the future. J. Tox Environ Health. Part A 79: 572-584.</w:t>
      </w:r>
    </w:p>
    <w:p w14:paraId="40D9832E" w14:textId="387AFE6F"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Jager T, </w:t>
      </w:r>
      <w:r w:rsidR="00EB0B28" w:rsidRPr="00DC6757">
        <w:rPr>
          <w:rFonts w:ascii="Times New Roman" w:hAnsi="Times New Roman" w:cs="Times New Roman"/>
          <w:sz w:val="24"/>
          <w:szCs w:val="24"/>
        </w:rPr>
        <w:t xml:space="preserve">Albert C, Preuss TG, </w:t>
      </w:r>
      <w:proofErr w:type="spellStart"/>
      <w:r w:rsidR="00EB0B28" w:rsidRPr="00DC6757">
        <w:rPr>
          <w:rFonts w:ascii="Times New Roman" w:hAnsi="Times New Roman" w:cs="Times New Roman"/>
          <w:sz w:val="24"/>
          <w:szCs w:val="24"/>
        </w:rPr>
        <w:t>Ashauer</w:t>
      </w:r>
      <w:proofErr w:type="spellEnd"/>
      <w:r w:rsidR="00EB0B28" w:rsidRPr="00DC6757">
        <w:rPr>
          <w:rFonts w:ascii="Times New Roman" w:hAnsi="Times New Roman" w:cs="Times New Roman"/>
          <w:sz w:val="24"/>
          <w:szCs w:val="24"/>
        </w:rPr>
        <w:t xml:space="preserve"> R. 2011.</w:t>
      </w:r>
      <w:r w:rsidRPr="00DC6757">
        <w:rPr>
          <w:rFonts w:ascii="Times New Roman" w:hAnsi="Times New Roman" w:cs="Times New Roman"/>
          <w:sz w:val="24"/>
          <w:szCs w:val="24"/>
        </w:rPr>
        <w:t>General unified threshold model of survival – a toxicokinetic-toxicodynamic framework for ecotoxicology. Environ Sci Tech</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45: 2529–2540.</w:t>
      </w:r>
    </w:p>
    <w:p w14:paraId="738A4404"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Jager</w:t>
      </w:r>
      <w:r w:rsidR="00EB0B28" w:rsidRPr="00DC6757">
        <w:rPr>
          <w:rFonts w:ascii="Times New Roman" w:hAnsi="Times New Roman" w:cs="Times New Roman"/>
          <w:sz w:val="24"/>
          <w:szCs w:val="24"/>
        </w:rPr>
        <w:t xml:space="preserve"> T, </w:t>
      </w:r>
      <w:proofErr w:type="spellStart"/>
      <w:r w:rsidR="00EB0B28" w:rsidRPr="00DC6757">
        <w:rPr>
          <w:rFonts w:ascii="Times New Roman" w:hAnsi="Times New Roman" w:cs="Times New Roman"/>
          <w:sz w:val="24"/>
          <w:szCs w:val="24"/>
        </w:rPr>
        <w:t>Heugens</w:t>
      </w:r>
      <w:proofErr w:type="spellEnd"/>
      <w:r w:rsidR="00EB0B28" w:rsidRPr="00DC6757">
        <w:rPr>
          <w:rFonts w:ascii="Times New Roman" w:hAnsi="Times New Roman" w:cs="Times New Roman"/>
          <w:sz w:val="24"/>
          <w:szCs w:val="24"/>
        </w:rPr>
        <w:t xml:space="preserve"> EHW, </w:t>
      </w:r>
      <w:proofErr w:type="spellStart"/>
      <w:r w:rsidR="00EB0B28" w:rsidRPr="00DC6757">
        <w:rPr>
          <w:rFonts w:ascii="Times New Roman" w:hAnsi="Times New Roman" w:cs="Times New Roman"/>
          <w:sz w:val="24"/>
          <w:szCs w:val="24"/>
        </w:rPr>
        <w:t>Kooijman</w:t>
      </w:r>
      <w:proofErr w:type="spellEnd"/>
      <w:r w:rsidR="00EB0B28" w:rsidRPr="00DC6757">
        <w:rPr>
          <w:rFonts w:ascii="Times New Roman" w:hAnsi="Times New Roman" w:cs="Times New Roman"/>
          <w:sz w:val="24"/>
          <w:szCs w:val="24"/>
        </w:rPr>
        <w:t xml:space="preserve"> SALM. 2006.</w:t>
      </w:r>
      <w:r w:rsidRPr="00DC6757">
        <w:rPr>
          <w:rFonts w:ascii="Times New Roman" w:hAnsi="Times New Roman" w:cs="Times New Roman"/>
          <w:sz w:val="24"/>
          <w:szCs w:val="24"/>
        </w:rPr>
        <w:t xml:space="preserve"> Making sense of ecotoxicological test results: towards application of process-based models. Ecotoxicology 15: 305–314.</w:t>
      </w:r>
    </w:p>
    <w:p w14:paraId="1A603229" w14:textId="77777777" w:rsidR="00A6185C" w:rsidRPr="00DC6757" w:rsidRDefault="00EB0B2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Jager TJ, </w:t>
      </w: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2005. </w:t>
      </w:r>
      <w:r w:rsidR="00A6185C" w:rsidRPr="00DC6757">
        <w:rPr>
          <w:rFonts w:ascii="Times New Roman" w:hAnsi="Times New Roman" w:cs="Times New Roman"/>
          <w:sz w:val="24"/>
          <w:szCs w:val="24"/>
        </w:rPr>
        <w:t xml:space="preserve">Modeling receptor kinetics in the analysis of survival data for </w:t>
      </w:r>
      <w:proofErr w:type="spellStart"/>
      <w:r w:rsidR="00A6185C" w:rsidRPr="00DC6757">
        <w:rPr>
          <w:rFonts w:ascii="Times New Roman" w:hAnsi="Times New Roman" w:cs="Times New Roman"/>
          <w:sz w:val="24"/>
          <w:szCs w:val="24"/>
        </w:rPr>
        <w:t>organophosphorous</w:t>
      </w:r>
      <w:proofErr w:type="spellEnd"/>
      <w:r w:rsidR="00A6185C" w:rsidRPr="00DC6757">
        <w:rPr>
          <w:rFonts w:ascii="Times New Roman" w:hAnsi="Times New Roman" w:cs="Times New Roman"/>
          <w:sz w:val="24"/>
          <w:szCs w:val="24"/>
        </w:rPr>
        <w:t xml:space="preserve"> pesticides. Environ Sci Tech 39:8307−8314.</w:t>
      </w:r>
    </w:p>
    <w:p w14:paraId="7771072A" w14:textId="77777777" w:rsidR="00A6185C" w:rsidRPr="00DC6757" w:rsidRDefault="00EB0B2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lastRenderedPageBreak/>
        <w:t xml:space="preserve">Jager T, </w:t>
      </w:r>
      <w:proofErr w:type="spellStart"/>
      <w:r w:rsidRPr="00DC6757">
        <w:rPr>
          <w:rFonts w:ascii="Times New Roman" w:hAnsi="Times New Roman" w:cs="Times New Roman"/>
          <w:sz w:val="24"/>
          <w:szCs w:val="24"/>
        </w:rPr>
        <w:t>Ravagnan</w:t>
      </w:r>
      <w:proofErr w:type="spellEnd"/>
      <w:r w:rsidRPr="00DC6757">
        <w:rPr>
          <w:rFonts w:ascii="Times New Roman" w:hAnsi="Times New Roman" w:cs="Times New Roman"/>
          <w:sz w:val="24"/>
          <w:szCs w:val="24"/>
        </w:rPr>
        <w:t xml:space="preserve"> E, Dupont S. 2016.</w:t>
      </w:r>
      <w:r w:rsidR="00A6185C" w:rsidRPr="00DC6757">
        <w:rPr>
          <w:rFonts w:ascii="Times New Roman" w:hAnsi="Times New Roman" w:cs="Times New Roman"/>
          <w:sz w:val="24"/>
          <w:szCs w:val="24"/>
        </w:rPr>
        <w:t xml:space="preserve"> Near-future ocean acidification impacts maintenance costs in sea-urchin larvae: Identification of stress factors and tipping points using a DEB modelling approach. J Exp Mar Bio </w:t>
      </w:r>
      <w:proofErr w:type="spellStart"/>
      <w:r w:rsidR="00A6185C" w:rsidRPr="00DC6757">
        <w:rPr>
          <w:rFonts w:ascii="Times New Roman" w:hAnsi="Times New Roman" w:cs="Times New Roman"/>
          <w:sz w:val="24"/>
          <w:szCs w:val="24"/>
        </w:rPr>
        <w:t>Ecol</w:t>
      </w:r>
      <w:proofErr w:type="spellEnd"/>
      <w:r w:rsidR="00A6185C" w:rsidRPr="00DC6757">
        <w:rPr>
          <w:rFonts w:ascii="Times New Roman" w:hAnsi="Times New Roman" w:cs="Times New Roman"/>
          <w:sz w:val="24"/>
          <w:szCs w:val="24"/>
        </w:rPr>
        <w:t xml:space="preserve"> 474: 11–17.</w:t>
      </w:r>
    </w:p>
    <w:p w14:paraId="462CBFE8"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r w:rsidRPr="00DC6757">
        <w:rPr>
          <w:rFonts w:ascii="Times New Roman" w:hAnsi="Times New Roman" w:cs="Times New Roman"/>
          <w:sz w:val="24"/>
          <w:szCs w:val="24"/>
        </w:rPr>
        <w:t xml:space="preserve">Jager T, </w:t>
      </w:r>
      <w:proofErr w:type="spellStart"/>
      <w:r w:rsidR="00EB0B28" w:rsidRPr="00DC6757">
        <w:rPr>
          <w:rFonts w:ascii="Times New Roman" w:hAnsi="Times New Roman" w:cs="Times New Roman"/>
          <w:sz w:val="24"/>
          <w:szCs w:val="24"/>
        </w:rPr>
        <w:t>Selck</w:t>
      </w:r>
      <w:proofErr w:type="spellEnd"/>
      <w:r w:rsidR="00EB0B28" w:rsidRPr="00DC6757">
        <w:rPr>
          <w:rFonts w:ascii="Times New Roman" w:hAnsi="Times New Roman" w:cs="Times New Roman"/>
          <w:sz w:val="24"/>
          <w:szCs w:val="24"/>
        </w:rPr>
        <w:t xml:space="preserve"> H. 2011.</w:t>
      </w:r>
      <w:r w:rsidRPr="00DC6757">
        <w:rPr>
          <w:rFonts w:ascii="Times New Roman" w:hAnsi="Times New Roman" w:cs="Times New Roman"/>
          <w:sz w:val="24"/>
          <w:szCs w:val="24"/>
        </w:rPr>
        <w:t xml:space="preserve"> Interpreting toxicity data in a DEB framework: A case study for nonylphenol in the marine </w:t>
      </w:r>
      <w:proofErr w:type="spellStart"/>
      <w:r w:rsidRPr="00DC6757">
        <w:rPr>
          <w:rFonts w:ascii="Times New Roman" w:hAnsi="Times New Roman" w:cs="Times New Roman"/>
          <w:sz w:val="24"/>
          <w:szCs w:val="24"/>
        </w:rPr>
        <w:t>polychaete</w:t>
      </w:r>
      <w:proofErr w:type="spellEnd"/>
      <w:r w:rsidRPr="00DC6757">
        <w:rPr>
          <w:rFonts w:ascii="Times New Roman" w:hAnsi="Times New Roman" w:cs="Times New Roman"/>
          <w:sz w:val="24"/>
          <w:szCs w:val="24"/>
        </w:rPr>
        <w:t xml:space="preserve"> </w:t>
      </w:r>
      <w:r w:rsidRPr="00DC6757">
        <w:rPr>
          <w:rFonts w:ascii="Times New Roman" w:hAnsi="Times New Roman" w:cs="Times New Roman"/>
          <w:i/>
          <w:sz w:val="24"/>
          <w:szCs w:val="24"/>
        </w:rPr>
        <w:t xml:space="preserve">Capitella </w:t>
      </w:r>
      <w:proofErr w:type="spellStart"/>
      <w:r w:rsidRPr="00DC6757">
        <w:rPr>
          <w:rFonts w:ascii="Times New Roman" w:hAnsi="Times New Roman" w:cs="Times New Roman"/>
          <w:i/>
          <w:sz w:val="24"/>
          <w:szCs w:val="24"/>
        </w:rPr>
        <w:t>teleta</w:t>
      </w:r>
      <w:proofErr w:type="spellEnd"/>
      <w:r w:rsidRPr="00DC6757">
        <w:rPr>
          <w:rFonts w:ascii="Times New Roman" w:hAnsi="Times New Roman" w:cs="Times New Roman"/>
          <w:i/>
          <w:sz w:val="24"/>
          <w:szCs w:val="24"/>
        </w:rPr>
        <w:t>.</w:t>
      </w:r>
      <w:r w:rsidRPr="00DC6757">
        <w:rPr>
          <w:rFonts w:ascii="Times New Roman" w:hAnsi="Times New Roman" w:cs="Times New Roman"/>
          <w:sz w:val="24"/>
          <w:szCs w:val="24"/>
        </w:rPr>
        <w:t xml:space="preserve"> </w:t>
      </w:r>
      <w:r w:rsidRPr="00DC6757">
        <w:rPr>
          <w:rFonts w:ascii="Times New Roman" w:hAnsi="Times New Roman" w:cs="Times New Roman"/>
          <w:sz w:val="24"/>
          <w:szCs w:val="24"/>
          <w:lang w:val="de-DE"/>
        </w:rPr>
        <w:t xml:space="preserve">J </w:t>
      </w:r>
      <w:proofErr w:type="spellStart"/>
      <w:r w:rsidRPr="00DC6757">
        <w:rPr>
          <w:rFonts w:ascii="Times New Roman" w:hAnsi="Times New Roman" w:cs="Times New Roman"/>
          <w:sz w:val="24"/>
          <w:szCs w:val="24"/>
          <w:lang w:val="de-DE"/>
        </w:rPr>
        <w:t>Sea</w:t>
      </w:r>
      <w:proofErr w:type="spellEnd"/>
      <w:r w:rsidRPr="00DC6757">
        <w:rPr>
          <w:rFonts w:ascii="Times New Roman" w:hAnsi="Times New Roman" w:cs="Times New Roman"/>
          <w:sz w:val="24"/>
          <w:szCs w:val="24"/>
          <w:lang w:val="de-DE"/>
        </w:rPr>
        <w:t xml:space="preserve"> Res 66: 456–462.</w:t>
      </w:r>
    </w:p>
    <w:p w14:paraId="3DCB059E" w14:textId="77777777" w:rsidR="00A71288" w:rsidRPr="00DC6757" w:rsidRDefault="00A6185C" w:rsidP="00CE6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lang w:val="de-DE"/>
        </w:rPr>
        <w:t xml:space="preserve">Jager T, </w:t>
      </w:r>
      <w:proofErr w:type="spellStart"/>
      <w:r w:rsidRPr="00DC6757">
        <w:rPr>
          <w:rFonts w:ascii="Times New Roman" w:hAnsi="Times New Roman" w:cs="Times New Roman"/>
          <w:sz w:val="24"/>
          <w:szCs w:val="24"/>
          <w:lang w:val="de-DE"/>
        </w:rPr>
        <w:t>Vandenbrouck</w:t>
      </w:r>
      <w:proofErr w:type="spellEnd"/>
      <w:r w:rsidRPr="00DC6757">
        <w:rPr>
          <w:rFonts w:ascii="Times New Roman" w:hAnsi="Times New Roman" w:cs="Times New Roman"/>
          <w:sz w:val="24"/>
          <w:szCs w:val="24"/>
          <w:lang w:val="de-DE"/>
        </w:rPr>
        <w:t xml:space="preserve"> T, B</w:t>
      </w:r>
      <w:r w:rsidR="00EB0B28" w:rsidRPr="00DC6757">
        <w:rPr>
          <w:rFonts w:ascii="Times New Roman" w:hAnsi="Times New Roman" w:cs="Times New Roman"/>
          <w:sz w:val="24"/>
          <w:szCs w:val="24"/>
          <w:lang w:val="de-DE"/>
        </w:rPr>
        <w:t xml:space="preserve">aas J, De Coen WM, </w:t>
      </w:r>
      <w:proofErr w:type="spellStart"/>
      <w:r w:rsidR="00EB0B28" w:rsidRPr="00DC6757">
        <w:rPr>
          <w:rFonts w:ascii="Times New Roman" w:hAnsi="Times New Roman" w:cs="Times New Roman"/>
          <w:sz w:val="24"/>
          <w:szCs w:val="24"/>
          <w:lang w:val="de-DE"/>
        </w:rPr>
        <w:t>Kooijman</w:t>
      </w:r>
      <w:proofErr w:type="spellEnd"/>
      <w:r w:rsidR="00EB0B28" w:rsidRPr="00DC6757">
        <w:rPr>
          <w:rFonts w:ascii="Times New Roman" w:hAnsi="Times New Roman" w:cs="Times New Roman"/>
          <w:sz w:val="24"/>
          <w:szCs w:val="24"/>
          <w:lang w:val="de-DE"/>
        </w:rPr>
        <w:t xml:space="preserve"> SA. 2010.</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A biology-based approach for mixture toxicity of multiple endpoints over the life cycle. Ecotoxicology 19: 351-361.</w:t>
      </w:r>
    </w:p>
    <w:p w14:paraId="30A34C2D"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John</w:t>
      </w:r>
      <w:r w:rsidR="00EB0B28" w:rsidRPr="00DC6757">
        <w:rPr>
          <w:rFonts w:ascii="Times New Roman" w:hAnsi="Times New Roman" w:cs="Times New Roman"/>
          <w:sz w:val="24"/>
          <w:szCs w:val="24"/>
        </w:rPr>
        <w:t xml:space="preserve">son LR, </w:t>
      </w:r>
      <w:proofErr w:type="spellStart"/>
      <w:r w:rsidR="00EB0B28" w:rsidRPr="00DC6757">
        <w:rPr>
          <w:rFonts w:ascii="Times New Roman" w:hAnsi="Times New Roman" w:cs="Times New Roman"/>
          <w:sz w:val="24"/>
          <w:szCs w:val="24"/>
        </w:rPr>
        <w:t>Pecquerie</w:t>
      </w:r>
      <w:proofErr w:type="spellEnd"/>
      <w:r w:rsidR="00EB0B28" w:rsidRPr="00DC6757">
        <w:rPr>
          <w:rFonts w:ascii="Times New Roman" w:hAnsi="Times New Roman" w:cs="Times New Roman"/>
          <w:sz w:val="24"/>
          <w:szCs w:val="24"/>
        </w:rPr>
        <w:t xml:space="preserve"> L, Nisbet RM. 2013</w:t>
      </w:r>
      <w:r w:rsidRPr="00DC6757">
        <w:rPr>
          <w:rFonts w:ascii="Times New Roman" w:hAnsi="Times New Roman" w:cs="Times New Roman"/>
          <w:sz w:val="24"/>
          <w:szCs w:val="24"/>
        </w:rPr>
        <w:t>. Bayesian inference for bioenergetic models. Ecology 94:882-894.</w:t>
      </w:r>
    </w:p>
    <w:p w14:paraId="03AE22A8" w14:textId="77777777" w:rsidR="00A6185C" w:rsidRPr="00DC6757" w:rsidRDefault="00EB0B2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Joyce AR, </w:t>
      </w:r>
      <w:proofErr w:type="spellStart"/>
      <w:r w:rsidRPr="00DC6757">
        <w:rPr>
          <w:rFonts w:ascii="Times New Roman" w:hAnsi="Times New Roman" w:cs="Times New Roman"/>
          <w:sz w:val="24"/>
          <w:szCs w:val="24"/>
        </w:rPr>
        <w:t>Palsson</w:t>
      </w:r>
      <w:proofErr w:type="spellEnd"/>
      <w:r w:rsidRPr="00DC6757">
        <w:rPr>
          <w:rFonts w:ascii="Times New Roman" w:hAnsi="Times New Roman" w:cs="Times New Roman"/>
          <w:sz w:val="24"/>
          <w:szCs w:val="24"/>
        </w:rPr>
        <w:t xml:space="preserve"> BO. 2006.</w:t>
      </w:r>
      <w:r w:rsidR="00A6185C" w:rsidRPr="00DC6757">
        <w:rPr>
          <w:rFonts w:ascii="Times New Roman" w:hAnsi="Times New Roman" w:cs="Times New Roman"/>
          <w:sz w:val="24"/>
          <w:szCs w:val="24"/>
        </w:rPr>
        <w:t xml:space="preserve"> The model organism as a system: integrating ‘omics’ data sets. Nature Rev Mol Cell Biol 7:198-210.</w:t>
      </w:r>
    </w:p>
    <w:p w14:paraId="4A74455F" w14:textId="77777777" w:rsidR="00A6185C" w:rsidRPr="00DC6757" w:rsidRDefault="00EB0B28"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Jusup</w:t>
      </w:r>
      <w:proofErr w:type="spellEnd"/>
      <w:r w:rsidRPr="00DC6757">
        <w:rPr>
          <w:rFonts w:ascii="Times New Roman" w:hAnsi="Times New Roman" w:cs="Times New Roman"/>
          <w:sz w:val="24"/>
          <w:szCs w:val="24"/>
        </w:rPr>
        <w:t xml:space="preserve"> M, </w:t>
      </w:r>
      <w:proofErr w:type="spellStart"/>
      <w:r w:rsidRPr="00DC6757">
        <w:rPr>
          <w:rFonts w:ascii="Times New Roman" w:hAnsi="Times New Roman" w:cs="Times New Roman"/>
          <w:sz w:val="24"/>
          <w:szCs w:val="24"/>
        </w:rPr>
        <w:t>SousaT</w:t>
      </w:r>
      <w:proofErr w:type="spellEnd"/>
      <w:r w:rsidRP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Domingos</w:t>
      </w:r>
      <w:proofErr w:type="spellEnd"/>
      <w:r w:rsidRPr="00DC6757">
        <w:rPr>
          <w:rFonts w:ascii="Times New Roman" w:hAnsi="Times New Roman" w:cs="Times New Roman"/>
          <w:sz w:val="24"/>
          <w:szCs w:val="24"/>
        </w:rPr>
        <w:t xml:space="preserve"> T, </w:t>
      </w:r>
      <w:proofErr w:type="spellStart"/>
      <w:r w:rsidRPr="00DC6757">
        <w:rPr>
          <w:rFonts w:ascii="Times New Roman" w:hAnsi="Times New Roman" w:cs="Times New Roman"/>
          <w:sz w:val="24"/>
          <w:szCs w:val="24"/>
        </w:rPr>
        <w:t>Labinac</w:t>
      </w:r>
      <w:proofErr w:type="spellEnd"/>
      <w:r w:rsidRPr="00DC6757">
        <w:rPr>
          <w:rFonts w:ascii="Times New Roman" w:hAnsi="Times New Roman" w:cs="Times New Roman"/>
          <w:sz w:val="24"/>
          <w:szCs w:val="24"/>
        </w:rPr>
        <w:t xml:space="preserve"> V, </w:t>
      </w:r>
      <w:proofErr w:type="spellStart"/>
      <w:r w:rsidRPr="00DC6757">
        <w:rPr>
          <w:rFonts w:ascii="Times New Roman" w:hAnsi="Times New Roman" w:cs="Times New Roman"/>
          <w:sz w:val="24"/>
          <w:szCs w:val="24"/>
        </w:rPr>
        <w:t>Marn</w:t>
      </w:r>
      <w:proofErr w:type="spellEnd"/>
      <w:r w:rsidRPr="00DC6757">
        <w:rPr>
          <w:rFonts w:ascii="Times New Roman" w:hAnsi="Times New Roman" w:cs="Times New Roman"/>
          <w:sz w:val="24"/>
          <w:szCs w:val="24"/>
        </w:rPr>
        <w:t xml:space="preserve"> N, Wang</w:t>
      </w:r>
      <w:r w:rsidR="00A6185C" w:rsidRPr="00DC6757">
        <w:rPr>
          <w:rFonts w:ascii="Times New Roman" w:hAnsi="Times New Roman" w:cs="Times New Roman"/>
          <w:sz w:val="24"/>
          <w:szCs w:val="24"/>
        </w:rPr>
        <w:t xml:space="preserve"> Z</w:t>
      </w:r>
      <w:r w:rsidRP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Klanjšček</w:t>
      </w:r>
      <w:proofErr w:type="spellEnd"/>
      <w:r w:rsidRPr="00DC6757">
        <w:rPr>
          <w:rFonts w:ascii="Times New Roman" w:hAnsi="Times New Roman" w:cs="Times New Roman"/>
          <w:sz w:val="24"/>
          <w:szCs w:val="24"/>
        </w:rPr>
        <w:t xml:space="preserve"> T.</w:t>
      </w:r>
      <w:r w:rsidR="00A6185C" w:rsidRPr="00DC6757">
        <w:rPr>
          <w:rFonts w:ascii="Times New Roman" w:hAnsi="Times New Roman" w:cs="Times New Roman"/>
          <w:sz w:val="24"/>
          <w:szCs w:val="24"/>
        </w:rPr>
        <w:t xml:space="preserve"> 2017. Physics of metabolic organization. </w:t>
      </w:r>
      <w:r w:rsidR="00A6185C" w:rsidRPr="00DC6757">
        <w:rPr>
          <w:rFonts w:ascii="Times New Roman" w:hAnsi="Times New Roman" w:cs="Times New Roman"/>
          <w:iCs/>
          <w:sz w:val="24"/>
          <w:szCs w:val="24"/>
        </w:rPr>
        <w:t>Physics of life reviews</w:t>
      </w:r>
      <w:r w:rsidRPr="00DC6757">
        <w:rPr>
          <w:rFonts w:ascii="Times New Roman" w:hAnsi="Times New Roman" w:cs="Times New Roman"/>
          <w:sz w:val="24"/>
          <w:szCs w:val="24"/>
        </w:rPr>
        <w:t>.</w:t>
      </w:r>
      <w:r w:rsidR="00A6185C" w:rsidRPr="00DC6757">
        <w:rPr>
          <w:rFonts w:ascii="Times New Roman" w:hAnsi="Times New Roman" w:cs="Times New Roman"/>
          <w:sz w:val="24"/>
          <w:szCs w:val="24"/>
        </w:rPr>
        <w:t xml:space="preserve"> </w:t>
      </w:r>
      <w:r w:rsidRPr="00DC6757">
        <w:rPr>
          <w:rFonts w:ascii="Times New Roman" w:hAnsi="Times New Roman" w:cs="Times New Roman"/>
          <w:iCs/>
          <w:sz w:val="24"/>
          <w:szCs w:val="24"/>
        </w:rPr>
        <w:t>20:</w:t>
      </w:r>
      <w:r w:rsidR="00A6185C" w:rsidRPr="00DC6757">
        <w:rPr>
          <w:rFonts w:ascii="Times New Roman" w:hAnsi="Times New Roman" w:cs="Times New Roman"/>
          <w:sz w:val="24"/>
          <w:szCs w:val="24"/>
        </w:rPr>
        <w:t xml:space="preserve">1-39. </w:t>
      </w:r>
    </w:p>
    <w:p w14:paraId="69962C25"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Kearney MR, </w:t>
      </w:r>
      <w:proofErr w:type="spellStart"/>
      <w:r w:rsidRPr="00DC6757">
        <w:rPr>
          <w:rFonts w:ascii="Times New Roman" w:hAnsi="Times New Roman" w:cs="Times New Roman"/>
          <w:sz w:val="24"/>
          <w:szCs w:val="24"/>
        </w:rPr>
        <w:t>Domingos</w:t>
      </w:r>
      <w:proofErr w:type="spellEnd"/>
      <w:r w:rsidRPr="00DC6757">
        <w:rPr>
          <w:rFonts w:ascii="Times New Roman" w:hAnsi="Times New Roman" w:cs="Times New Roman"/>
          <w:sz w:val="24"/>
          <w:szCs w:val="24"/>
        </w:rPr>
        <w:t xml:space="preserve"> T</w:t>
      </w:r>
      <w:r w:rsidR="00EB0B28" w:rsidRPr="00DC6757">
        <w:rPr>
          <w:rFonts w:ascii="Times New Roman" w:hAnsi="Times New Roman" w:cs="Times New Roman"/>
          <w:sz w:val="24"/>
          <w:szCs w:val="24"/>
        </w:rPr>
        <w:t xml:space="preserve">, Nisbet R. 2015. </w:t>
      </w:r>
      <w:r w:rsidRPr="00DC6757">
        <w:rPr>
          <w:rFonts w:ascii="Times New Roman" w:hAnsi="Times New Roman" w:cs="Times New Roman"/>
          <w:sz w:val="24"/>
          <w:szCs w:val="24"/>
        </w:rPr>
        <w:t>Dynamic energy budget theory: an efficient and general theory for ecology. Bioscience 65:341-341.</w:t>
      </w:r>
    </w:p>
    <w:p w14:paraId="41287117" w14:textId="7D70D51E"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proofErr w:type="spellStart"/>
      <w:r w:rsidRPr="00DC6757">
        <w:rPr>
          <w:rFonts w:ascii="Times New Roman" w:hAnsi="Times New Roman" w:cs="Times New Roman"/>
          <w:sz w:val="24"/>
          <w:szCs w:val="24"/>
          <w:lang w:val="de-DE"/>
        </w:rPr>
        <w:t>Klan</w:t>
      </w:r>
      <w:r w:rsidR="00745AC2" w:rsidRPr="00DC6757">
        <w:rPr>
          <w:rFonts w:ascii="Times New Roman" w:hAnsi="Times New Roman" w:cs="Times New Roman"/>
          <w:sz w:val="24"/>
          <w:szCs w:val="24"/>
          <w:lang w:val="de-DE"/>
        </w:rPr>
        <w:t>jscek</w:t>
      </w:r>
      <w:proofErr w:type="spellEnd"/>
      <w:r w:rsidR="00DC6757" w:rsidRPr="00DC6757">
        <w:rPr>
          <w:rFonts w:ascii="Times New Roman" w:hAnsi="Times New Roman" w:cs="Times New Roman"/>
          <w:sz w:val="24"/>
          <w:szCs w:val="24"/>
          <w:lang w:val="de-DE"/>
        </w:rPr>
        <w:t xml:space="preserve"> </w:t>
      </w:r>
      <w:r w:rsidR="00745AC2" w:rsidRPr="00DC6757">
        <w:rPr>
          <w:rFonts w:ascii="Times New Roman" w:hAnsi="Times New Roman" w:cs="Times New Roman"/>
          <w:sz w:val="24"/>
          <w:szCs w:val="24"/>
          <w:lang w:val="de-DE"/>
        </w:rPr>
        <w:t>T, Muller EB, Nisbet RM</w:t>
      </w:r>
      <w:r w:rsidR="00EB0B28" w:rsidRPr="00DC6757">
        <w:rPr>
          <w:rFonts w:ascii="Times New Roman" w:hAnsi="Times New Roman" w:cs="Times New Roman"/>
          <w:sz w:val="24"/>
          <w:szCs w:val="24"/>
          <w:lang w:val="de-DE"/>
        </w:rPr>
        <w:t>.</w:t>
      </w:r>
      <w:r w:rsidR="00745AC2" w:rsidRPr="00DC6757">
        <w:rPr>
          <w:rFonts w:ascii="Times New Roman" w:hAnsi="Times New Roman" w:cs="Times New Roman"/>
          <w:sz w:val="24"/>
          <w:szCs w:val="24"/>
          <w:lang w:val="de-DE"/>
        </w:rPr>
        <w:t xml:space="preserve"> </w:t>
      </w:r>
      <w:r w:rsidR="00EB0B28" w:rsidRPr="00DC6757">
        <w:rPr>
          <w:rFonts w:ascii="Times New Roman" w:hAnsi="Times New Roman" w:cs="Times New Roman"/>
          <w:sz w:val="24"/>
          <w:szCs w:val="24"/>
          <w:lang w:val="de-DE"/>
        </w:rPr>
        <w:t xml:space="preserve">2016. </w:t>
      </w:r>
      <w:r w:rsidRPr="00DC6757">
        <w:rPr>
          <w:rFonts w:ascii="Times New Roman" w:hAnsi="Times New Roman" w:cs="Times New Roman"/>
          <w:sz w:val="24"/>
          <w:szCs w:val="24"/>
        </w:rPr>
        <w:t xml:space="preserve">Feedbacks and tipping points in organismal response to oxidative stress. </w:t>
      </w:r>
      <w:r w:rsidRPr="00DC6757">
        <w:rPr>
          <w:rFonts w:ascii="Times New Roman" w:hAnsi="Times New Roman" w:cs="Times New Roman"/>
          <w:sz w:val="24"/>
          <w:szCs w:val="24"/>
          <w:lang w:val="de-DE"/>
        </w:rPr>
        <w:t xml:space="preserve">J </w:t>
      </w:r>
      <w:proofErr w:type="spellStart"/>
      <w:r w:rsidRPr="00DC6757">
        <w:rPr>
          <w:rFonts w:ascii="Times New Roman" w:hAnsi="Times New Roman" w:cs="Times New Roman"/>
          <w:sz w:val="24"/>
          <w:szCs w:val="24"/>
          <w:lang w:val="de-DE"/>
        </w:rPr>
        <w:t>Theor</w:t>
      </w:r>
      <w:proofErr w:type="spellEnd"/>
      <w:r w:rsidRPr="00DC6757">
        <w:rPr>
          <w:rFonts w:ascii="Times New Roman" w:hAnsi="Times New Roman" w:cs="Times New Roman"/>
          <w:sz w:val="24"/>
          <w:szCs w:val="24"/>
          <w:lang w:val="de-DE"/>
        </w:rPr>
        <w:t xml:space="preserve"> </w:t>
      </w:r>
      <w:proofErr w:type="spellStart"/>
      <w:r w:rsidRPr="00DC6757">
        <w:rPr>
          <w:rFonts w:ascii="Times New Roman" w:hAnsi="Times New Roman" w:cs="Times New Roman"/>
          <w:sz w:val="24"/>
          <w:szCs w:val="24"/>
          <w:lang w:val="de-DE"/>
        </w:rPr>
        <w:t>Biol</w:t>
      </w:r>
      <w:proofErr w:type="spellEnd"/>
      <w:r w:rsidRPr="00DC6757">
        <w:rPr>
          <w:rFonts w:ascii="Times New Roman" w:hAnsi="Times New Roman" w:cs="Times New Roman"/>
          <w:sz w:val="24"/>
          <w:szCs w:val="24"/>
          <w:lang w:val="de-DE"/>
        </w:rPr>
        <w:t xml:space="preserve"> 404:361-374.</w:t>
      </w:r>
    </w:p>
    <w:p w14:paraId="47875D8A"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lang w:val="de-DE"/>
        </w:rPr>
        <w:t>Klanjscek</w:t>
      </w:r>
      <w:proofErr w:type="spellEnd"/>
      <w:r w:rsidRPr="00DC6757">
        <w:rPr>
          <w:rFonts w:ascii="Times New Roman" w:hAnsi="Times New Roman" w:cs="Times New Roman"/>
          <w:sz w:val="24"/>
          <w:szCs w:val="24"/>
          <w:lang w:val="de-DE"/>
        </w:rPr>
        <w:t xml:space="preserve"> T, Nisb</w:t>
      </w:r>
      <w:r w:rsidR="00745AC2" w:rsidRPr="00DC6757">
        <w:rPr>
          <w:rFonts w:ascii="Times New Roman" w:hAnsi="Times New Roman" w:cs="Times New Roman"/>
          <w:sz w:val="24"/>
          <w:szCs w:val="24"/>
          <w:lang w:val="de-DE"/>
        </w:rPr>
        <w:t>et RM, Priester J H, Holden PA. 2012.</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 xml:space="preserve">Modeling physiological processes that relate toxicant exposure and bacterial population dynamics. </w:t>
      </w:r>
      <w:proofErr w:type="spellStart"/>
      <w:r w:rsidRPr="00DC6757">
        <w:rPr>
          <w:rFonts w:ascii="Times New Roman" w:hAnsi="Times New Roman" w:cs="Times New Roman"/>
          <w:sz w:val="24"/>
          <w:szCs w:val="24"/>
        </w:rPr>
        <w:t>PLoS</w:t>
      </w:r>
      <w:proofErr w:type="spellEnd"/>
      <w:r w:rsidRPr="00DC6757">
        <w:rPr>
          <w:rFonts w:ascii="Times New Roman" w:hAnsi="Times New Roman" w:cs="Times New Roman"/>
          <w:sz w:val="24"/>
          <w:szCs w:val="24"/>
        </w:rPr>
        <w:t xml:space="preserve"> One 7: e26955.</w:t>
      </w:r>
    </w:p>
    <w:p w14:paraId="2F1C5D56" w14:textId="77777777"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w:t>
      </w:r>
      <w:r w:rsidR="00A6185C" w:rsidRPr="00DC6757">
        <w:rPr>
          <w:rFonts w:ascii="Times New Roman" w:hAnsi="Times New Roman" w:cs="Times New Roman"/>
          <w:sz w:val="24"/>
          <w:szCs w:val="24"/>
        </w:rPr>
        <w:t xml:space="preserve"> 1986. Energy budgets can explain body size relations. </w:t>
      </w:r>
      <w:r w:rsidRPr="00DC6757">
        <w:rPr>
          <w:rFonts w:ascii="Times New Roman" w:hAnsi="Times New Roman" w:cs="Times New Roman"/>
          <w:iCs/>
          <w:sz w:val="24"/>
          <w:szCs w:val="24"/>
        </w:rPr>
        <w:t xml:space="preserve">J. </w:t>
      </w:r>
      <w:proofErr w:type="spellStart"/>
      <w:r w:rsidRPr="00DC6757">
        <w:rPr>
          <w:rFonts w:ascii="Times New Roman" w:hAnsi="Times New Roman" w:cs="Times New Roman"/>
          <w:iCs/>
          <w:sz w:val="24"/>
          <w:szCs w:val="24"/>
        </w:rPr>
        <w:t>Theor</w:t>
      </w:r>
      <w:proofErr w:type="spellEnd"/>
      <w:r w:rsidRPr="00DC6757">
        <w:rPr>
          <w:rFonts w:ascii="Times New Roman" w:hAnsi="Times New Roman" w:cs="Times New Roman"/>
          <w:iCs/>
          <w:sz w:val="24"/>
          <w:szCs w:val="24"/>
        </w:rPr>
        <w:t xml:space="preserve"> Biol</w:t>
      </w:r>
      <w:r w:rsidR="00A6185C" w:rsidRPr="00DC6757">
        <w:rPr>
          <w:rFonts w:ascii="Times New Roman" w:hAnsi="Times New Roman" w:cs="Times New Roman"/>
          <w:sz w:val="24"/>
          <w:szCs w:val="24"/>
        </w:rPr>
        <w:t xml:space="preserve"> </w:t>
      </w:r>
      <w:r w:rsidR="00A6185C" w:rsidRPr="00DC6757">
        <w:rPr>
          <w:rFonts w:ascii="Times New Roman" w:hAnsi="Times New Roman" w:cs="Times New Roman"/>
          <w:iCs/>
          <w:sz w:val="24"/>
          <w:szCs w:val="24"/>
        </w:rPr>
        <w:t>121</w:t>
      </w:r>
      <w:r w:rsidRPr="00DC6757">
        <w:rPr>
          <w:rFonts w:ascii="Times New Roman" w:hAnsi="Times New Roman" w:cs="Times New Roman"/>
          <w:sz w:val="24"/>
          <w:szCs w:val="24"/>
        </w:rPr>
        <w:t xml:space="preserve">: </w:t>
      </w:r>
      <w:r w:rsidR="00A6185C" w:rsidRPr="00DC6757">
        <w:rPr>
          <w:rFonts w:ascii="Times New Roman" w:hAnsi="Times New Roman" w:cs="Times New Roman"/>
          <w:sz w:val="24"/>
          <w:szCs w:val="24"/>
        </w:rPr>
        <w:t xml:space="preserve">269-282. </w:t>
      </w:r>
    </w:p>
    <w:p w14:paraId="6E357CCA" w14:textId="77777777"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2010.</w:t>
      </w:r>
      <w:r w:rsidR="00A6185C" w:rsidRPr="00DC6757">
        <w:rPr>
          <w:rFonts w:ascii="Times New Roman" w:hAnsi="Times New Roman" w:cs="Times New Roman"/>
          <w:sz w:val="24"/>
          <w:szCs w:val="24"/>
        </w:rPr>
        <w:t xml:space="preserve"> Dynamic Energy Budget theory for Metabolic Organization. Cambridge University Press.</w:t>
      </w:r>
    </w:p>
    <w:p w14:paraId="15013557" w14:textId="77777777"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w:t>
      </w:r>
      <w:proofErr w:type="spellStart"/>
      <w:r w:rsidRPr="00DC6757">
        <w:rPr>
          <w:rFonts w:ascii="Times New Roman" w:hAnsi="Times New Roman" w:cs="Times New Roman"/>
          <w:sz w:val="24"/>
          <w:szCs w:val="24"/>
        </w:rPr>
        <w:t>Bedaux</w:t>
      </w:r>
      <w:proofErr w:type="spellEnd"/>
      <w:r w:rsidRPr="00DC6757">
        <w:rPr>
          <w:rFonts w:ascii="Times New Roman" w:hAnsi="Times New Roman" w:cs="Times New Roman"/>
          <w:sz w:val="24"/>
          <w:szCs w:val="24"/>
        </w:rPr>
        <w:t xml:space="preserve"> JJM. 1996. </w:t>
      </w:r>
      <w:r w:rsidR="00A6185C" w:rsidRPr="00DC6757">
        <w:rPr>
          <w:rFonts w:ascii="Times New Roman" w:hAnsi="Times New Roman" w:cs="Times New Roman"/>
          <w:sz w:val="24"/>
          <w:szCs w:val="24"/>
        </w:rPr>
        <w:t xml:space="preserve">Analysis of toxicity tests on Daphnia survival and reproduction. </w:t>
      </w:r>
      <w:proofErr w:type="spellStart"/>
      <w:r w:rsidR="00A6185C" w:rsidRPr="00DC6757">
        <w:rPr>
          <w:rFonts w:ascii="Times New Roman" w:hAnsi="Times New Roman" w:cs="Times New Roman"/>
          <w:sz w:val="24"/>
          <w:szCs w:val="24"/>
          <w:lang w:val="de-DE"/>
        </w:rPr>
        <w:t>Water</w:t>
      </w:r>
      <w:proofErr w:type="spellEnd"/>
      <w:r w:rsidR="00A6185C" w:rsidRPr="00DC6757">
        <w:rPr>
          <w:rFonts w:ascii="Times New Roman" w:hAnsi="Times New Roman" w:cs="Times New Roman"/>
          <w:sz w:val="24"/>
          <w:szCs w:val="24"/>
          <w:lang w:val="de-DE"/>
        </w:rPr>
        <w:t xml:space="preserve"> Res 30: 1711–1723.</w:t>
      </w:r>
    </w:p>
    <w:p w14:paraId="6A680A11"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lang w:val="de-DE"/>
        </w:rPr>
        <w:t>Kooijman</w:t>
      </w:r>
      <w:proofErr w:type="spellEnd"/>
      <w:r w:rsidRPr="00DC6757">
        <w:rPr>
          <w:rFonts w:ascii="Times New Roman" w:hAnsi="Times New Roman" w:cs="Times New Roman"/>
          <w:sz w:val="24"/>
          <w:szCs w:val="24"/>
          <w:lang w:val="de-DE"/>
        </w:rPr>
        <w:t xml:space="preserve"> SALM, Sousa T, </w:t>
      </w:r>
      <w:proofErr w:type="spellStart"/>
      <w:r w:rsidRPr="00DC6757">
        <w:rPr>
          <w:rFonts w:ascii="Times New Roman" w:hAnsi="Times New Roman" w:cs="Times New Roman"/>
          <w:sz w:val="24"/>
          <w:szCs w:val="24"/>
          <w:lang w:val="de-DE"/>
        </w:rPr>
        <w:t>Pecque</w:t>
      </w:r>
      <w:r w:rsidR="00745AC2" w:rsidRPr="00DC6757">
        <w:rPr>
          <w:rFonts w:ascii="Times New Roman" w:hAnsi="Times New Roman" w:cs="Times New Roman"/>
          <w:sz w:val="24"/>
          <w:szCs w:val="24"/>
          <w:lang w:val="de-DE"/>
        </w:rPr>
        <w:t>rie</w:t>
      </w:r>
      <w:proofErr w:type="spellEnd"/>
      <w:r w:rsidR="00745AC2" w:rsidRPr="00DC6757">
        <w:rPr>
          <w:rFonts w:ascii="Times New Roman" w:hAnsi="Times New Roman" w:cs="Times New Roman"/>
          <w:sz w:val="24"/>
          <w:szCs w:val="24"/>
          <w:lang w:val="de-DE"/>
        </w:rPr>
        <w:t xml:space="preserve"> L, Van der Meer J, Jager T. 2008.</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From food-dependent statistics to metabolic parameters, a practical guide to the use of dynamic energy budget theory. Biol Rev 83: 533-552.</w:t>
      </w:r>
    </w:p>
    <w:p w14:paraId="3457289C" w14:textId="3C273956"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r w:rsidRPr="00DC6757">
        <w:rPr>
          <w:rFonts w:ascii="Times New Roman" w:hAnsi="Times New Roman" w:cs="Times New Roman"/>
          <w:sz w:val="24"/>
          <w:szCs w:val="24"/>
          <w:lang w:val="de-DE"/>
        </w:rPr>
        <w:t xml:space="preserve">Kramer VJ, </w:t>
      </w:r>
      <w:proofErr w:type="spellStart"/>
      <w:r w:rsidRPr="00DC6757">
        <w:rPr>
          <w:rFonts w:ascii="Times New Roman" w:hAnsi="Times New Roman" w:cs="Times New Roman"/>
          <w:sz w:val="24"/>
          <w:szCs w:val="24"/>
          <w:lang w:val="de-DE"/>
        </w:rPr>
        <w:t>Etterson</w:t>
      </w:r>
      <w:proofErr w:type="spellEnd"/>
      <w:r w:rsidRPr="00DC6757">
        <w:rPr>
          <w:rFonts w:ascii="Times New Roman" w:hAnsi="Times New Roman" w:cs="Times New Roman"/>
          <w:sz w:val="24"/>
          <w:szCs w:val="24"/>
          <w:lang w:val="de-DE"/>
        </w:rPr>
        <w:t xml:space="preserve"> MA, </w:t>
      </w:r>
      <w:r w:rsidR="00A6185C" w:rsidRPr="00DC6757">
        <w:rPr>
          <w:rFonts w:ascii="Times New Roman" w:hAnsi="Times New Roman" w:cs="Times New Roman"/>
          <w:sz w:val="24"/>
          <w:szCs w:val="24"/>
          <w:lang w:val="de-DE"/>
        </w:rPr>
        <w:t xml:space="preserve">Hecker M, Murphy CA, </w:t>
      </w:r>
      <w:proofErr w:type="spellStart"/>
      <w:r w:rsidR="00A6185C" w:rsidRPr="00DC6757">
        <w:rPr>
          <w:rFonts w:ascii="Times New Roman" w:hAnsi="Times New Roman" w:cs="Times New Roman"/>
          <w:sz w:val="24"/>
          <w:szCs w:val="24"/>
          <w:lang w:val="de-DE"/>
        </w:rPr>
        <w:t>Roesijadi</w:t>
      </w:r>
      <w:proofErr w:type="spellEnd"/>
      <w:r w:rsidR="00A6185C" w:rsidRPr="00DC6757">
        <w:rPr>
          <w:rFonts w:ascii="Times New Roman" w:hAnsi="Times New Roman" w:cs="Times New Roman"/>
          <w:sz w:val="24"/>
          <w:szCs w:val="24"/>
          <w:lang w:val="de-DE"/>
        </w:rPr>
        <w:t xml:space="preserve"> G, </w:t>
      </w:r>
      <w:proofErr w:type="spellStart"/>
      <w:r w:rsidR="00A6185C" w:rsidRPr="00DC6757">
        <w:rPr>
          <w:rFonts w:ascii="Times New Roman" w:hAnsi="Times New Roman" w:cs="Times New Roman"/>
          <w:sz w:val="24"/>
          <w:szCs w:val="24"/>
          <w:lang w:val="de-DE"/>
        </w:rPr>
        <w:t>Spade</w:t>
      </w:r>
      <w:proofErr w:type="spellEnd"/>
      <w:r w:rsidR="00DC6757" w:rsidRPr="00DC6757">
        <w:rPr>
          <w:rFonts w:ascii="Times New Roman" w:hAnsi="Times New Roman" w:cs="Times New Roman"/>
          <w:sz w:val="24"/>
          <w:szCs w:val="24"/>
          <w:lang w:val="de-DE"/>
        </w:rPr>
        <w:t xml:space="preserve"> </w:t>
      </w:r>
      <w:r w:rsidR="00A6185C" w:rsidRPr="00DC6757">
        <w:rPr>
          <w:rFonts w:ascii="Times New Roman" w:hAnsi="Times New Roman" w:cs="Times New Roman"/>
          <w:sz w:val="24"/>
          <w:szCs w:val="24"/>
          <w:lang w:val="de-DE"/>
        </w:rPr>
        <w:t xml:space="preserve">DJ, </w:t>
      </w:r>
      <w:proofErr w:type="spellStart"/>
      <w:r w:rsidR="00A6185C" w:rsidRPr="00DC6757">
        <w:rPr>
          <w:rFonts w:ascii="Times New Roman" w:hAnsi="Times New Roman" w:cs="Times New Roman"/>
          <w:sz w:val="24"/>
          <w:szCs w:val="24"/>
          <w:lang w:val="de-DE"/>
        </w:rPr>
        <w:t>S</w:t>
      </w:r>
      <w:r w:rsidR="00902A39" w:rsidRPr="00DC6757">
        <w:rPr>
          <w:rFonts w:ascii="Times New Roman" w:hAnsi="Times New Roman" w:cs="Times New Roman"/>
          <w:sz w:val="24"/>
          <w:szCs w:val="24"/>
          <w:lang w:val="de-DE"/>
        </w:rPr>
        <w:t>promberg</w:t>
      </w:r>
      <w:proofErr w:type="spellEnd"/>
      <w:r w:rsidR="00902A39" w:rsidRPr="00DC6757">
        <w:rPr>
          <w:rFonts w:ascii="Times New Roman" w:hAnsi="Times New Roman" w:cs="Times New Roman"/>
          <w:sz w:val="24"/>
          <w:szCs w:val="24"/>
          <w:lang w:val="de-DE"/>
        </w:rPr>
        <w:t xml:space="preserve"> JA, Wang M, </w:t>
      </w:r>
      <w:proofErr w:type="spellStart"/>
      <w:r w:rsidR="00902A39" w:rsidRPr="00DC6757">
        <w:rPr>
          <w:rFonts w:ascii="Times New Roman" w:hAnsi="Times New Roman" w:cs="Times New Roman"/>
          <w:sz w:val="24"/>
          <w:szCs w:val="24"/>
          <w:lang w:val="de-DE"/>
        </w:rPr>
        <w:t>Ankley</w:t>
      </w:r>
      <w:proofErr w:type="spellEnd"/>
      <w:r w:rsidR="00902A39" w:rsidRPr="00DC6757">
        <w:rPr>
          <w:rFonts w:ascii="Times New Roman" w:hAnsi="Times New Roman" w:cs="Times New Roman"/>
          <w:sz w:val="24"/>
          <w:szCs w:val="24"/>
          <w:lang w:val="de-DE"/>
        </w:rPr>
        <w:t xml:space="preserve"> GT. 2011. </w:t>
      </w:r>
      <w:r w:rsidR="00A6185C" w:rsidRPr="00DC6757">
        <w:rPr>
          <w:rFonts w:ascii="Times New Roman" w:hAnsi="Times New Roman" w:cs="Times New Roman"/>
          <w:sz w:val="24"/>
          <w:szCs w:val="24"/>
        </w:rPr>
        <w:t>Adverse outcome pathways and ecological risk assessment: Bridging to population</w:t>
      </w:r>
      <w:r w:rsidR="00A6185C" w:rsidRPr="00DC6757">
        <w:rPr>
          <w:rFonts w:ascii="Cambria Math" w:hAnsi="Cambria Math" w:cs="Cambria Math"/>
          <w:sz w:val="24"/>
          <w:szCs w:val="24"/>
        </w:rPr>
        <w:t>‐</w:t>
      </w:r>
      <w:r w:rsidR="00A6185C" w:rsidRPr="00DC6757">
        <w:rPr>
          <w:rFonts w:ascii="Times New Roman" w:hAnsi="Times New Roman" w:cs="Times New Roman"/>
          <w:sz w:val="24"/>
          <w:szCs w:val="24"/>
        </w:rPr>
        <w:t xml:space="preserve">level effects. </w:t>
      </w:r>
      <w:r w:rsidR="00A6185C" w:rsidRPr="00DC6757">
        <w:rPr>
          <w:rFonts w:ascii="Times New Roman" w:hAnsi="Times New Roman" w:cs="Times New Roman"/>
          <w:sz w:val="24"/>
          <w:szCs w:val="24"/>
          <w:lang w:val="de-DE"/>
        </w:rPr>
        <w:t xml:space="preserve">Environ </w:t>
      </w:r>
      <w:proofErr w:type="spellStart"/>
      <w:r w:rsidR="00A6185C" w:rsidRPr="00DC6757">
        <w:rPr>
          <w:rFonts w:ascii="Times New Roman" w:hAnsi="Times New Roman" w:cs="Times New Roman"/>
          <w:sz w:val="24"/>
          <w:szCs w:val="24"/>
          <w:lang w:val="de-DE"/>
        </w:rPr>
        <w:t>Toxicol</w:t>
      </w:r>
      <w:proofErr w:type="spellEnd"/>
      <w:r w:rsidR="00A6185C" w:rsidRPr="00DC6757">
        <w:rPr>
          <w:rFonts w:ascii="Times New Roman" w:hAnsi="Times New Roman" w:cs="Times New Roman"/>
          <w:sz w:val="24"/>
          <w:szCs w:val="24"/>
          <w:lang w:val="de-DE"/>
        </w:rPr>
        <w:t xml:space="preserve"> </w:t>
      </w:r>
      <w:proofErr w:type="spellStart"/>
      <w:r w:rsidR="00A6185C" w:rsidRPr="00DC6757">
        <w:rPr>
          <w:rFonts w:ascii="Times New Roman" w:hAnsi="Times New Roman" w:cs="Times New Roman"/>
          <w:sz w:val="24"/>
          <w:szCs w:val="24"/>
          <w:lang w:val="de-DE"/>
        </w:rPr>
        <w:t>Chem</w:t>
      </w:r>
      <w:proofErr w:type="spellEnd"/>
      <w:r w:rsidR="00A6185C" w:rsidRPr="00DC6757">
        <w:rPr>
          <w:rFonts w:ascii="Times New Roman" w:hAnsi="Times New Roman" w:cs="Times New Roman"/>
          <w:sz w:val="24"/>
          <w:szCs w:val="24"/>
          <w:lang w:val="de-DE"/>
        </w:rPr>
        <w:t xml:space="preserve"> 30: 64-76.</w:t>
      </w:r>
    </w:p>
    <w:p w14:paraId="0EBDBADF"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r w:rsidRPr="00DC6757">
        <w:rPr>
          <w:rFonts w:ascii="Times New Roman" w:hAnsi="Times New Roman" w:cs="Times New Roman"/>
          <w:sz w:val="24"/>
          <w:szCs w:val="24"/>
          <w:lang w:val="de-DE"/>
        </w:rPr>
        <w:t xml:space="preserve">Kretschmann A, </w:t>
      </w:r>
      <w:proofErr w:type="spellStart"/>
      <w:r w:rsidRPr="00DC6757">
        <w:rPr>
          <w:rFonts w:ascii="Times New Roman" w:hAnsi="Times New Roman" w:cs="Times New Roman"/>
          <w:sz w:val="24"/>
          <w:szCs w:val="24"/>
          <w:lang w:val="de-DE"/>
        </w:rPr>
        <w:t>Ashauer</w:t>
      </w:r>
      <w:proofErr w:type="spellEnd"/>
      <w:r w:rsidRPr="00DC6757">
        <w:rPr>
          <w:rFonts w:ascii="Times New Roman" w:hAnsi="Times New Roman" w:cs="Times New Roman"/>
          <w:sz w:val="24"/>
          <w:szCs w:val="24"/>
          <w:lang w:val="de-DE"/>
        </w:rPr>
        <w:t xml:space="preserve"> R, Hitzfeld K, Spaak P, </w:t>
      </w:r>
      <w:proofErr w:type="spellStart"/>
      <w:r w:rsidRPr="00DC6757">
        <w:rPr>
          <w:rFonts w:ascii="Times New Roman" w:hAnsi="Times New Roman" w:cs="Times New Roman"/>
          <w:sz w:val="24"/>
          <w:szCs w:val="24"/>
          <w:lang w:val="de-DE"/>
        </w:rPr>
        <w:t>Hol</w:t>
      </w:r>
      <w:r w:rsidR="00745AC2" w:rsidRPr="00DC6757">
        <w:rPr>
          <w:rFonts w:ascii="Times New Roman" w:hAnsi="Times New Roman" w:cs="Times New Roman"/>
          <w:sz w:val="24"/>
          <w:szCs w:val="24"/>
          <w:lang w:val="de-DE"/>
        </w:rPr>
        <w:t>lender</w:t>
      </w:r>
      <w:proofErr w:type="spellEnd"/>
      <w:r w:rsidR="00745AC2" w:rsidRPr="00DC6757">
        <w:rPr>
          <w:rFonts w:ascii="Times New Roman" w:hAnsi="Times New Roman" w:cs="Times New Roman"/>
          <w:sz w:val="24"/>
          <w:szCs w:val="24"/>
          <w:lang w:val="de-DE"/>
        </w:rPr>
        <w:t xml:space="preserve"> J, Escher BI. 2011.</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 xml:space="preserve">Mechanistic </w:t>
      </w:r>
      <w:r w:rsidRPr="00DC6757">
        <w:rPr>
          <w:rFonts w:ascii="Times New Roman" w:hAnsi="Times New Roman" w:cs="Times New Roman"/>
          <w:sz w:val="24"/>
          <w:szCs w:val="24"/>
        </w:rPr>
        <w:lastRenderedPageBreak/>
        <w:t xml:space="preserve">toxicodynamic model for receptor-mediated toxicity of </w:t>
      </w:r>
      <w:proofErr w:type="spellStart"/>
      <w:r w:rsidRPr="00DC6757">
        <w:rPr>
          <w:rFonts w:ascii="Times New Roman" w:hAnsi="Times New Roman" w:cs="Times New Roman"/>
          <w:sz w:val="24"/>
          <w:szCs w:val="24"/>
        </w:rPr>
        <w:t>diazoxon</w:t>
      </w:r>
      <w:proofErr w:type="spellEnd"/>
      <w:r w:rsidRPr="00DC6757">
        <w:rPr>
          <w:rFonts w:ascii="Times New Roman" w:hAnsi="Times New Roman" w:cs="Times New Roman"/>
          <w:sz w:val="24"/>
          <w:szCs w:val="24"/>
        </w:rPr>
        <w:t xml:space="preserve">, the active metabolite of diazinon, in </w:t>
      </w:r>
      <w:r w:rsidRPr="00DC6757">
        <w:rPr>
          <w:rFonts w:ascii="Times New Roman" w:hAnsi="Times New Roman" w:cs="Times New Roman"/>
          <w:i/>
          <w:sz w:val="24"/>
          <w:szCs w:val="24"/>
        </w:rPr>
        <w:t>Daphnia magna</w:t>
      </w:r>
      <w:r w:rsidRPr="00DC6757">
        <w:rPr>
          <w:rFonts w:ascii="Times New Roman" w:hAnsi="Times New Roman" w:cs="Times New Roman"/>
          <w:sz w:val="24"/>
          <w:szCs w:val="24"/>
        </w:rPr>
        <w:t xml:space="preserve">. </w:t>
      </w:r>
      <w:r w:rsidRPr="00DC6757">
        <w:rPr>
          <w:rFonts w:ascii="Times New Roman" w:hAnsi="Times New Roman" w:cs="Times New Roman"/>
          <w:sz w:val="24"/>
          <w:szCs w:val="24"/>
          <w:lang w:val="de-DE"/>
        </w:rPr>
        <w:t xml:space="preserve">Environ </w:t>
      </w:r>
      <w:proofErr w:type="spellStart"/>
      <w:r w:rsidRPr="00DC6757">
        <w:rPr>
          <w:rFonts w:ascii="Times New Roman" w:hAnsi="Times New Roman" w:cs="Times New Roman"/>
          <w:sz w:val="24"/>
          <w:szCs w:val="24"/>
          <w:lang w:val="de-DE"/>
        </w:rPr>
        <w:t>Sci</w:t>
      </w:r>
      <w:proofErr w:type="spellEnd"/>
      <w:r w:rsidRPr="00DC6757">
        <w:rPr>
          <w:rFonts w:ascii="Times New Roman" w:hAnsi="Times New Roman" w:cs="Times New Roman"/>
          <w:sz w:val="24"/>
          <w:szCs w:val="24"/>
          <w:lang w:val="de-DE"/>
        </w:rPr>
        <w:t xml:space="preserve"> Tech 45: 4980-7.</w:t>
      </w:r>
    </w:p>
    <w:p w14:paraId="1FB6BA75"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lang w:val="de-DE"/>
        </w:rPr>
        <w:t xml:space="preserve">Kretschmann A, </w:t>
      </w:r>
      <w:proofErr w:type="spellStart"/>
      <w:r w:rsidRPr="00DC6757">
        <w:rPr>
          <w:rFonts w:ascii="Times New Roman" w:hAnsi="Times New Roman" w:cs="Times New Roman"/>
          <w:sz w:val="24"/>
          <w:szCs w:val="24"/>
          <w:lang w:val="de-DE"/>
        </w:rPr>
        <w:t>Ash</w:t>
      </w:r>
      <w:r w:rsidR="00745AC2" w:rsidRPr="00DC6757">
        <w:rPr>
          <w:rFonts w:ascii="Times New Roman" w:hAnsi="Times New Roman" w:cs="Times New Roman"/>
          <w:sz w:val="24"/>
          <w:szCs w:val="24"/>
          <w:lang w:val="de-DE"/>
        </w:rPr>
        <w:t>auer</w:t>
      </w:r>
      <w:proofErr w:type="spellEnd"/>
      <w:r w:rsidR="00745AC2" w:rsidRPr="00DC6757">
        <w:rPr>
          <w:rFonts w:ascii="Times New Roman" w:hAnsi="Times New Roman" w:cs="Times New Roman"/>
          <w:sz w:val="24"/>
          <w:szCs w:val="24"/>
          <w:lang w:val="de-DE"/>
        </w:rPr>
        <w:t xml:space="preserve"> R, </w:t>
      </w:r>
      <w:proofErr w:type="spellStart"/>
      <w:r w:rsidR="00745AC2" w:rsidRPr="00DC6757">
        <w:rPr>
          <w:rFonts w:ascii="Times New Roman" w:hAnsi="Times New Roman" w:cs="Times New Roman"/>
          <w:sz w:val="24"/>
          <w:szCs w:val="24"/>
          <w:lang w:val="de-DE"/>
        </w:rPr>
        <w:t>Hollender</w:t>
      </w:r>
      <w:proofErr w:type="spellEnd"/>
      <w:r w:rsidR="00745AC2" w:rsidRPr="00DC6757">
        <w:rPr>
          <w:rFonts w:ascii="Times New Roman" w:hAnsi="Times New Roman" w:cs="Times New Roman"/>
          <w:sz w:val="24"/>
          <w:szCs w:val="24"/>
          <w:lang w:val="de-DE"/>
        </w:rPr>
        <w:t xml:space="preserve"> J, Escher BI. 2012.</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 xml:space="preserve">Toxicokinetic and toxicodynamic model for diazinon toxicity-mechanistic explanation of differences in the sensitivity of </w:t>
      </w:r>
      <w:r w:rsidRPr="00DC6757">
        <w:rPr>
          <w:rFonts w:ascii="Times New Roman" w:hAnsi="Times New Roman" w:cs="Times New Roman"/>
          <w:i/>
          <w:sz w:val="24"/>
          <w:szCs w:val="24"/>
        </w:rPr>
        <w:t>Daphnia magna</w:t>
      </w:r>
      <w:r w:rsidRPr="00DC6757">
        <w:rPr>
          <w:rFonts w:ascii="Times New Roman" w:hAnsi="Times New Roman" w:cs="Times New Roman"/>
          <w:sz w:val="24"/>
          <w:szCs w:val="24"/>
        </w:rPr>
        <w:t xml:space="preserve"> and </w:t>
      </w:r>
      <w:r w:rsidRPr="00DC6757">
        <w:rPr>
          <w:rFonts w:ascii="Times New Roman" w:hAnsi="Times New Roman" w:cs="Times New Roman"/>
          <w:i/>
          <w:sz w:val="24"/>
          <w:szCs w:val="24"/>
        </w:rPr>
        <w:t xml:space="preserve">Gammarus </w:t>
      </w:r>
      <w:proofErr w:type="spellStart"/>
      <w:r w:rsidRPr="00DC6757">
        <w:rPr>
          <w:rFonts w:ascii="Times New Roman" w:hAnsi="Times New Roman" w:cs="Times New Roman"/>
          <w:i/>
          <w:sz w:val="24"/>
          <w:szCs w:val="24"/>
        </w:rPr>
        <w:t>pulex</w:t>
      </w:r>
      <w:proofErr w:type="spellEnd"/>
      <w:r w:rsidRPr="00DC6757">
        <w:rPr>
          <w:rFonts w:ascii="Times New Roman" w:hAnsi="Times New Roman" w:cs="Times New Roman"/>
          <w:sz w:val="24"/>
          <w:szCs w:val="24"/>
        </w:rPr>
        <w:t xml:space="preserve">. Environ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Chem 31:2014-22.</w:t>
      </w:r>
    </w:p>
    <w:p w14:paraId="401BCBE2" w14:textId="77777777" w:rsidR="003E25A7" w:rsidRPr="00DC6757" w:rsidRDefault="00D672B7"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Landis W, </w:t>
      </w:r>
      <w:proofErr w:type="spellStart"/>
      <w:r w:rsidRPr="00DC6757">
        <w:rPr>
          <w:rFonts w:ascii="Times New Roman" w:hAnsi="Times New Roman" w:cs="Times New Roman"/>
          <w:sz w:val="24"/>
          <w:szCs w:val="24"/>
        </w:rPr>
        <w:t>Sofield</w:t>
      </w:r>
      <w:proofErr w:type="spellEnd"/>
      <w:r w:rsidRPr="00DC6757">
        <w:rPr>
          <w:rFonts w:ascii="Times New Roman" w:hAnsi="Times New Roman" w:cs="Times New Roman"/>
          <w:sz w:val="24"/>
          <w:szCs w:val="24"/>
        </w:rPr>
        <w:t xml:space="preserve"> R, Yu MH Landis WG.</w:t>
      </w:r>
      <w:r w:rsidR="003E25A7" w:rsidRPr="00DC6757">
        <w:rPr>
          <w:rFonts w:ascii="Times New Roman" w:hAnsi="Times New Roman" w:cs="Times New Roman"/>
          <w:sz w:val="24"/>
          <w:szCs w:val="24"/>
        </w:rPr>
        <w:t xml:space="preserve"> 2003. Introduction to environmental toxicology: impacts of chemicals upon ecological systems. </w:t>
      </w:r>
      <w:proofErr w:type="spellStart"/>
      <w:r w:rsidR="003E25A7" w:rsidRPr="00DC6757">
        <w:rPr>
          <w:rFonts w:ascii="Times New Roman" w:hAnsi="Times New Roman" w:cs="Times New Roman"/>
          <w:sz w:val="24"/>
          <w:szCs w:val="24"/>
        </w:rPr>
        <w:t>Crc</w:t>
      </w:r>
      <w:proofErr w:type="spellEnd"/>
      <w:r w:rsidR="003E25A7" w:rsidRPr="00DC6757">
        <w:rPr>
          <w:rFonts w:ascii="Times New Roman" w:hAnsi="Times New Roman" w:cs="Times New Roman"/>
          <w:sz w:val="24"/>
          <w:szCs w:val="24"/>
        </w:rPr>
        <w:t xml:space="preserve"> Press.</w:t>
      </w:r>
    </w:p>
    <w:p w14:paraId="05696B7B" w14:textId="79A68056"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Li Z, Kroll KJ, Jensen KM, Villeneuve DL, </w:t>
      </w:r>
      <w:proofErr w:type="spellStart"/>
      <w:r w:rsidRPr="00DC6757">
        <w:rPr>
          <w:rFonts w:ascii="Times New Roman" w:hAnsi="Times New Roman" w:cs="Times New Roman"/>
          <w:sz w:val="24"/>
          <w:szCs w:val="24"/>
        </w:rPr>
        <w:t>Ankley</w:t>
      </w:r>
      <w:proofErr w:type="spellEnd"/>
      <w:r w:rsidRPr="00DC6757">
        <w:rPr>
          <w:rFonts w:ascii="Times New Roman" w:hAnsi="Times New Roman" w:cs="Times New Roman"/>
          <w:sz w:val="24"/>
          <w:szCs w:val="24"/>
        </w:rPr>
        <w:t xml:space="preserve"> GT,</w:t>
      </w:r>
      <w:r w:rsidR="00745AC2" w:rsidRPr="00DC6757">
        <w:rPr>
          <w:rFonts w:ascii="Times New Roman" w:hAnsi="Times New Roman" w:cs="Times New Roman"/>
          <w:sz w:val="24"/>
          <w:szCs w:val="24"/>
        </w:rPr>
        <w:t xml:space="preserve"> Brian JV, </w:t>
      </w:r>
      <w:proofErr w:type="spellStart"/>
      <w:r w:rsidR="00745AC2" w:rsidRPr="00DC6757">
        <w:rPr>
          <w:rFonts w:ascii="Times New Roman" w:hAnsi="Times New Roman" w:cs="Times New Roman"/>
          <w:sz w:val="24"/>
          <w:szCs w:val="24"/>
        </w:rPr>
        <w:t>Sepúlveda</w:t>
      </w:r>
      <w:proofErr w:type="spellEnd"/>
      <w:r w:rsidR="00745AC2" w:rsidRPr="00DC6757">
        <w:rPr>
          <w:rFonts w:ascii="Times New Roman" w:hAnsi="Times New Roman" w:cs="Times New Roman"/>
          <w:sz w:val="24"/>
          <w:szCs w:val="24"/>
        </w:rPr>
        <w:t xml:space="preserve"> MS</w:t>
      </w:r>
      <w:r w:rsidR="00902A39" w:rsidRPr="00DC6757">
        <w:rPr>
          <w:rFonts w:ascii="Times New Roman" w:hAnsi="Times New Roman" w:cs="Times New Roman"/>
          <w:sz w:val="24"/>
          <w:szCs w:val="24"/>
        </w:rPr>
        <w:t xml:space="preserve">. Orlando EF, </w:t>
      </w:r>
      <w:proofErr w:type="spellStart"/>
      <w:r w:rsidR="00902A39" w:rsidRPr="00DC6757">
        <w:rPr>
          <w:rFonts w:ascii="Times New Roman" w:hAnsi="Times New Roman" w:cs="Times New Roman"/>
          <w:sz w:val="24"/>
          <w:szCs w:val="24"/>
        </w:rPr>
        <w:t>Lazorchak</w:t>
      </w:r>
      <w:proofErr w:type="spellEnd"/>
      <w:r w:rsidR="00902A39" w:rsidRPr="00DC6757">
        <w:rPr>
          <w:rFonts w:ascii="Times New Roman" w:hAnsi="Times New Roman" w:cs="Times New Roman"/>
          <w:sz w:val="24"/>
          <w:szCs w:val="24"/>
        </w:rPr>
        <w:t xml:space="preserve"> JM, </w:t>
      </w:r>
      <w:proofErr w:type="spellStart"/>
      <w:r w:rsidR="00902A39" w:rsidRPr="00DC6757">
        <w:rPr>
          <w:rFonts w:ascii="Times New Roman" w:hAnsi="Times New Roman" w:cs="Times New Roman"/>
          <w:sz w:val="24"/>
          <w:szCs w:val="24"/>
        </w:rPr>
        <w:t>Kostich</w:t>
      </w:r>
      <w:proofErr w:type="spellEnd"/>
      <w:r w:rsidR="00902A39" w:rsidRPr="00DC6757">
        <w:rPr>
          <w:rFonts w:ascii="Times New Roman" w:hAnsi="Times New Roman" w:cs="Times New Roman"/>
          <w:sz w:val="24"/>
          <w:szCs w:val="24"/>
        </w:rPr>
        <w:t xml:space="preserve"> M, Armstrong B, Denslow ND, Watanabe KH</w:t>
      </w:r>
      <w:r w:rsidR="00745AC2" w:rsidRPr="00DC6757">
        <w:rPr>
          <w:rFonts w:ascii="Times New Roman" w:hAnsi="Times New Roman" w:cs="Times New Roman"/>
          <w:sz w:val="24"/>
          <w:szCs w:val="24"/>
        </w:rPr>
        <w:t>. 2011</w:t>
      </w:r>
      <w:r w:rsidRPr="00DC6757">
        <w:rPr>
          <w:rFonts w:ascii="Times New Roman" w:hAnsi="Times New Roman" w:cs="Times New Roman"/>
          <w:sz w:val="24"/>
          <w:szCs w:val="24"/>
        </w:rPr>
        <w:t>. A computational model of the hypothalamic-pituitary-gonadal axis in female fathead minnows (</w:t>
      </w:r>
      <w:proofErr w:type="spellStart"/>
      <w:r w:rsidRPr="00DC6757">
        <w:rPr>
          <w:rFonts w:ascii="Times New Roman" w:hAnsi="Times New Roman" w:cs="Times New Roman"/>
          <w:i/>
          <w:sz w:val="24"/>
          <w:szCs w:val="24"/>
        </w:rPr>
        <w:t>Pimephales</w:t>
      </w:r>
      <w:proofErr w:type="spellEnd"/>
      <w:r w:rsidRPr="00DC6757">
        <w:rPr>
          <w:rFonts w:ascii="Times New Roman" w:hAnsi="Times New Roman" w:cs="Times New Roman"/>
          <w:i/>
          <w:sz w:val="24"/>
          <w:szCs w:val="24"/>
        </w:rPr>
        <w:t xml:space="preserve"> </w:t>
      </w:r>
      <w:proofErr w:type="spellStart"/>
      <w:r w:rsidRPr="00DC6757">
        <w:rPr>
          <w:rFonts w:ascii="Times New Roman" w:hAnsi="Times New Roman" w:cs="Times New Roman"/>
          <w:i/>
          <w:sz w:val="24"/>
          <w:szCs w:val="24"/>
        </w:rPr>
        <w:t>promelas</w:t>
      </w:r>
      <w:proofErr w:type="spellEnd"/>
      <w:r w:rsidRPr="00DC6757">
        <w:rPr>
          <w:rFonts w:ascii="Times New Roman" w:hAnsi="Times New Roman" w:cs="Times New Roman"/>
          <w:sz w:val="24"/>
          <w:szCs w:val="24"/>
        </w:rPr>
        <w:t>) exposed to 17α-</w:t>
      </w:r>
      <w:proofErr w:type="spellStart"/>
      <w:r w:rsidRPr="00DC6757">
        <w:rPr>
          <w:rFonts w:ascii="Times New Roman" w:hAnsi="Times New Roman" w:cs="Times New Roman"/>
          <w:sz w:val="24"/>
          <w:szCs w:val="24"/>
        </w:rPr>
        <w:t>ethynylestradiol</w:t>
      </w:r>
      <w:proofErr w:type="spellEnd"/>
      <w:r w:rsidRPr="00DC6757">
        <w:rPr>
          <w:rFonts w:ascii="Times New Roman" w:hAnsi="Times New Roman" w:cs="Times New Roman"/>
          <w:sz w:val="24"/>
          <w:szCs w:val="24"/>
        </w:rPr>
        <w:t xml:space="preserve"> and 17β-trenbolone.</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BMC systems biology 5:63.</w:t>
      </w:r>
    </w:p>
    <w:p w14:paraId="384D0103" w14:textId="77777777"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Lika K, Kearney MR,</w:t>
      </w:r>
      <w:r w:rsidR="00A6185C" w:rsidRPr="00DC6757">
        <w:rPr>
          <w:rFonts w:ascii="Times New Roman" w:hAnsi="Times New Roman" w:cs="Times New Roman"/>
          <w:sz w:val="24"/>
          <w:szCs w:val="24"/>
        </w:rPr>
        <w:t xml:space="preserve"> Freitas V, van der Veer HW, van der Meer J, </w:t>
      </w:r>
      <w:proofErr w:type="spellStart"/>
      <w:r w:rsidR="00A6185C" w:rsidRPr="00DC6757">
        <w:rPr>
          <w:rFonts w:ascii="Times New Roman" w:hAnsi="Times New Roman" w:cs="Times New Roman"/>
          <w:sz w:val="24"/>
          <w:szCs w:val="24"/>
        </w:rPr>
        <w:t>Wijsman</w:t>
      </w:r>
      <w:proofErr w:type="spellEnd"/>
      <w:r w:rsidR="00A6185C" w:rsidRPr="00DC6757">
        <w:rPr>
          <w:rFonts w:ascii="Times New Roman" w:hAnsi="Times New Roman" w:cs="Times New Roman"/>
          <w:sz w:val="24"/>
          <w:szCs w:val="24"/>
        </w:rPr>
        <w:t xml:space="preserve"> JW</w:t>
      </w:r>
      <w:r w:rsidR="00902A39" w:rsidRPr="00DC6757">
        <w:rPr>
          <w:rFonts w:ascii="Times New Roman" w:hAnsi="Times New Roman" w:cs="Times New Roman"/>
          <w:sz w:val="24"/>
          <w:szCs w:val="24"/>
        </w:rPr>
        <w:t>M,</w:t>
      </w:r>
      <w:r w:rsidRP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Pecquerie</w:t>
      </w:r>
      <w:proofErr w:type="spellEnd"/>
      <w:r w:rsidRPr="00DC6757">
        <w:rPr>
          <w:rFonts w:ascii="Times New Roman" w:hAnsi="Times New Roman" w:cs="Times New Roman"/>
          <w:sz w:val="24"/>
          <w:szCs w:val="24"/>
        </w:rPr>
        <w:t xml:space="preserve"> L, </w:t>
      </w: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2011.</w:t>
      </w:r>
      <w:r w:rsidR="00A6185C" w:rsidRPr="00DC6757">
        <w:rPr>
          <w:rFonts w:ascii="Times New Roman" w:hAnsi="Times New Roman" w:cs="Times New Roman"/>
          <w:sz w:val="24"/>
          <w:szCs w:val="24"/>
        </w:rPr>
        <w:t xml:space="preserve"> The “covariation method” for estimating the parameters of the standard Dynamic Energy Budget model I: philosophy and approach. J. Sea Res 66:270-277.</w:t>
      </w:r>
    </w:p>
    <w:p w14:paraId="7D2C93D2" w14:textId="3A1EAD6C" w:rsidR="00A71288" w:rsidRPr="00DC6757" w:rsidRDefault="00CE6594"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Lika K, Augustine S, </w:t>
      </w:r>
      <w:proofErr w:type="spellStart"/>
      <w:r w:rsidRPr="00DC6757">
        <w:rPr>
          <w:rFonts w:ascii="Times New Roman" w:hAnsi="Times New Roman" w:cs="Times New Roman"/>
          <w:sz w:val="24"/>
          <w:szCs w:val="24"/>
        </w:rPr>
        <w:t>Pecquerie</w:t>
      </w:r>
      <w:proofErr w:type="spellEnd"/>
      <w:r w:rsidRPr="00DC6757">
        <w:rPr>
          <w:rFonts w:ascii="Times New Roman" w:hAnsi="Times New Roman" w:cs="Times New Roman"/>
          <w:sz w:val="24"/>
          <w:szCs w:val="24"/>
        </w:rPr>
        <w:t xml:space="preserve"> L, </w:t>
      </w: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2014. The bijection from data to parameter space with the standard DEB model quantifies the supply-demand spectrum. J</w:t>
      </w:r>
      <w:r w:rsid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Theor</w:t>
      </w:r>
      <w:proofErr w:type="spellEnd"/>
      <w:r w:rsidRPr="00DC6757">
        <w:rPr>
          <w:rFonts w:ascii="Times New Roman" w:hAnsi="Times New Roman" w:cs="Times New Roman"/>
          <w:sz w:val="24"/>
          <w:szCs w:val="24"/>
        </w:rPr>
        <w:t xml:space="preserve"> Biol 354:35-47.</w:t>
      </w:r>
    </w:p>
    <w:p w14:paraId="322FE749" w14:textId="080B3931"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Margiotta-Casaluci L,</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Owen SF, Huerta B, Rodríguez-</w:t>
      </w:r>
      <w:proofErr w:type="spellStart"/>
      <w:r w:rsidRPr="00DC6757">
        <w:rPr>
          <w:rFonts w:ascii="Times New Roman" w:hAnsi="Times New Roman" w:cs="Times New Roman"/>
          <w:sz w:val="24"/>
          <w:szCs w:val="24"/>
        </w:rPr>
        <w:t>Mozaz</w:t>
      </w:r>
      <w:proofErr w:type="spellEnd"/>
      <w:r w:rsidRPr="00DC6757">
        <w:rPr>
          <w:rFonts w:ascii="Times New Roman" w:hAnsi="Times New Roman" w:cs="Times New Roman"/>
          <w:sz w:val="24"/>
          <w:szCs w:val="24"/>
        </w:rPr>
        <w:t xml:space="preserve"> S,</w:t>
      </w:r>
      <w:r w:rsid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Kugathas</w:t>
      </w:r>
      <w:proofErr w:type="spellEnd"/>
      <w:r w:rsidRPr="00DC6757">
        <w:rPr>
          <w:rFonts w:ascii="Times New Roman" w:hAnsi="Times New Roman" w:cs="Times New Roman"/>
          <w:sz w:val="24"/>
          <w:szCs w:val="24"/>
        </w:rPr>
        <w:t xml:space="preserve"> S,</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Barceló</w:t>
      </w:r>
      <w:r w:rsidR="00745AC2" w:rsidRPr="00DC6757">
        <w:rPr>
          <w:rFonts w:ascii="Times New Roman" w:hAnsi="Times New Roman" w:cs="Times New Roman"/>
          <w:sz w:val="24"/>
          <w:szCs w:val="24"/>
        </w:rPr>
        <w:t xml:space="preserve"> D, Rand-Weaver M,</w:t>
      </w:r>
      <w:r w:rsidR="00DC6757">
        <w:rPr>
          <w:rFonts w:ascii="Times New Roman" w:hAnsi="Times New Roman" w:cs="Times New Roman"/>
          <w:sz w:val="24"/>
          <w:szCs w:val="24"/>
        </w:rPr>
        <w:t xml:space="preserve"> </w:t>
      </w:r>
      <w:r w:rsidR="00745AC2" w:rsidRPr="00DC6757">
        <w:rPr>
          <w:rFonts w:ascii="Times New Roman" w:hAnsi="Times New Roman" w:cs="Times New Roman"/>
          <w:sz w:val="24"/>
          <w:szCs w:val="24"/>
        </w:rPr>
        <w:t xml:space="preserve">Sumpter JP. </w:t>
      </w:r>
      <w:r w:rsidRPr="00DC6757">
        <w:rPr>
          <w:rFonts w:ascii="Times New Roman" w:hAnsi="Times New Roman" w:cs="Times New Roman"/>
          <w:sz w:val="24"/>
          <w:szCs w:val="24"/>
        </w:rPr>
        <w:t>20</w:t>
      </w:r>
      <w:r w:rsidR="00745AC2" w:rsidRPr="00DC6757">
        <w:rPr>
          <w:rFonts w:ascii="Times New Roman" w:hAnsi="Times New Roman" w:cs="Times New Roman"/>
          <w:sz w:val="24"/>
          <w:szCs w:val="24"/>
        </w:rPr>
        <w:t>16.</w:t>
      </w:r>
      <w:r w:rsidRPr="00DC6757">
        <w:rPr>
          <w:rFonts w:ascii="Times New Roman" w:hAnsi="Times New Roman" w:cs="Times New Roman"/>
          <w:sz w:val="24"/>
          <w:szCs w:val="24"/>
        </w:rPr>
        <w:t xml:space="preserve"> Internal exposure dynamics drive the Adverse Outcome Pathways of synthetic glucocorticoids in fish. Scientific Reports 6.</w:t>
      </w:r>
    </w:p>
    <w:p w14:paraId="72C8A911" w14:textId="77777777" w:rsidR="00A6185C" w:rsidRPr="00DC6757" w:rsidRDefault="00745AC2"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Martin BT, Jager T, Nisbet RM, Preuss TG, Hammers-Wirtz M, Grimm V.</w:t>
      </w:r>
      <w:r w:rsidR="00A6185C" w:rsidRPr="00DC6757">
        <w:rPr>
          <w:rFonts w:ascii="Times New Roman" w:hAnsi="Times New Roman" w:cs="Times New Roman"/>
          <w:sz w:val="24"/>
          <w:szCs w:val="24"/>
        </w:rPr>
        <w:t xml:space="preserve"> 2013</w:t>
      </w:r>
      <w:r w:rsidR="00784AE1" w:rsidRPr="00DC6757">
        <w:rPr>
          <w:rFonts w:ascii="Times New Roman" w:hAnsi="Times New Roman" w:cs="Times New Roman"/>
          <w:sz w:val="24"/>
          <w:szCs w:val="24"/>
        </w:rPr>
        <w:t>a</w:t>
      </w:r>
      <w:r w:rsidR="00A6185C" w:rsidRPr="00DC6757">
        <w:rPr>
          <w:rFonts w:ascii="Times New Roman" w:hAnsi="Times New Roman" w:cs="Times New Roman"/>
          <w:sz w:val="24"/>
          <w:szCs w:val="24"/>
        </w:rPr>
        <w:t xml:space="preserve">. Extrapolating ecotoxicological effects from individuals to populations: a generic approach based on Dynamic Energy Budget theory and individual-based modeling. </w:t>
      </w:r>
      <w:r w:rsidR="00A6185C" w:rsidRPr="00DC6757">
        <w:rPr>
          <w:rFonts w:ascii="Times New Roman" w:hAnsi="Times New Roman" w:cs="Times New Roman"/>
          <w:iCs/>
          <w:sz w:val="24"/>
          <w:szCs w:val="24"/>
        </w:rPr>
        <w:t>Ecotoxicology</w:t>
      </w:r>
      <w:r w:rsidRPr="00DC6757">
        <w:rPr>
          <w:rFonts w:ascii="Times New Roman" w:hAnsi="Times New Roman" w:cs="Times New Roman"/>
          <w:sz w:val="24"/>
          <w:szCs w:val="24"/>
        </w:rPr>
        <w:t>.</w:t>
      </w:r>
      <w:r w:rsidR="00A6185C" w:rsidRPr="00DC6757">
        <w:rPr>
          <w:rFonts w:ascii="Times New Roman" w:hAnsi="Times New Roman" w:cs="Times New Roman"/>
          <w:sz w:val="24"/>
          <w:szCs w:val="24"/>
        </w:rPr>
        <w:t xml:space="preserve"> </w:t>
      </w:r>
      <w:r w:rsidR="00A6185C" w:rsidRPr="00DC6757">
        <w:rPr>
          <w:rFonts w:ascii="Times New Roman" w:hAnsi="Times New Roman" w:cs="Times New Roman"/>
          <w:iCs/>
          <w:sz w:val="24"/>
          <w:szCs w:val="24"/>
        </w:rPr>
        <w:t>22</w:t>
      </w:r>
      <w:r w:rsidRPr="00DC6757">
        <w:rPr>
          <w:rFonts w:ascii="Times New Roman" w:hAnsi="Times New Roman" w:cs="Times New Roman"/>
          <w:sz w:val="24"/>
          <w:szCs w:val="24"/>
        </w:rPr>
        <w:t>: 574-58</w:t>
      </w:r>
    </w:p>
    <w:p w14:paraId="170AF14E" w14:textId="0E44BA2E"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lang w:val="de-DE"/>
        </w:rPr>
      </w:pPr>
      <w:r w:rsidRPr="00DC6757">
        <w:rPr>
          <w:rFonts w:ascii="Times New Roman" w:hAnsi="Times New Roman" w:cs="Times New Roman"/>
          <w:sz w:val="24"/>
          <w:szCs w:val="24"/>
        </w:rPr>
        <w:t>Martin BT, Jager T</w:t>
      </w:r>
      <w:r w:rsidR="00745AC2" w:rsidRPr="00DC6757">
        <w:rPr>
          <w:rFonts w:ascii="Times New Roman" w:hAnsi="Times New Roman" w:cs="Times New Roman"/>
          <w:sz w:val="24"/>
          <w:szCs w:val="24"/>
        </w:rPr>
        <w:t>, Preuss TG, Nisbet R, Grimm V. 2013</w:t>
      </w:r>
      <w:r w:rsidR="00784AE1" w:rsidRPr="00DC6757">
        <w:rPr>
          <w:rFonts w:ascii="Times New Roman" w:hAnsi="Times New Roman" w:cs="Times New Roman"/>
          <w:sz w:val="24"/>
          <w:szCs w:val="24"/>
        </w:rPr>
        <w:t>b</w:t>
      </w:r>
      <w:r w:rsidR="00745AC2" w:rsidRPr="00DC6757">
        <w:rPr>
          <w:rFonts w:ascii="Times New Roman" w:hAnsi="Times New Roman" w:cs="Times New Roman"/>
          <w:sz w:val="24"/>
          <w:szCs w:val="24"/>
        </w:rPr>
        <w:t>.</w:t>
      </w:r>
      <w:r w:rsidRPr="00DC6757">
        <w:rPr>
          <w:rFonts w:ascii="Times New Roman" w:hAnsi="Times New Roman" w:cs="Times New Roman"/>
          <w:sz w:val="24"/>
          <w:szCs w:val="24"/>
        </w:rPr>
        <w:t xml:space="preserve"> Predicting population dynamics from the properties of individuals: a cross-level test of Dynamic Energy Budget theory.</w:t>
      </w:r>
      <w:r w:rsidR="00DC6757">
        <w:rPr>
          <w:rFonts w:ascii="Times New Roman" w:hAnsi="Times New Roman" w:cs="Times New Roman"/>
          <w:sz w:val="24"/>
          <w:szCs w:val="24"/>
        </w:rPr>
        <w:t xml:space="preserve"> </w:t>
      </w:r>
      <w:r w:rsidRPr="00DC6757">
        <w:rPr>
          <w:rFonts w:ascii="Times New Roman" w:hAnsi="Times New Roman" w:cs="Times New Roman"/>
          <w:sz w:val="24"/>
          <w:szCs w:val="24"/>
          <w:lang w:val="de-DE"/>
        </w:rPr>
        <w:t>Am Naturalist 181: 506–519.</w:t>
      </w:r>
    </w:p>
    <w:p w14:paraId="19D80831" w14:textId="7DEEB334" w:rsidR="00A6185C" w:rsidRPr="00DC6757" w:rsidRDefault="00A6185C" w:rsidP="00902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Times New Roman" w:hAnsi="Times New Roman" w:cs="Times New Roman"/>
          <w:sz w:val="24"/>
          <w:szCs w:val="24"/>
        </w:rPr>
      </w:pPr>
      <w:r w:rsidRPr="00DC6757">
        <w:rPr>
          <w:rFonts w:ascii="Times New Roman" w:hAnsi="Times New Roman" w:cs="Times New Roman"/>
          <w:sz w:val="24"/>
          <w:szCs w:val="24"/>
          <w:lang w:val="de-DE"/>
        </w:rPr>
        <w:t>Martin</w:t>
      </w:r>
      <w:r w:rsidR="00DC6757">
        <w:rPr>
          <w:rFonts w:ascii="Times New Roman" w:hAnsi="Times New Roman" w:cs="Times New Roman"/>
          <w:sz w:val="24"/>
          <w:szCs w:val="24"/>
          <w:lang w:val="de-DE"/>
        </w:rPr>
        <w:t xml:space="preserve"> </w:t>
      </w:r>
      <w:r w:rsidRPr="00DC6757">
        <w:rPr>
          <w:rFonts w:ascii="Times New Roman" w:hAnsi="Times New Roman" w:cs="Times New Roman"/>
          <w:sz w:val="24"/>
          <w:szCs w:val="24"/>
          <w:lang w:val="de-DE"/>
        </w:rPr>
        <w:t>B, Jager T, N</w:t>
      </w:r>
      <w:r w:rsidR="00745AC2" w:rsidRPr="00DC6757">
        <w:rPr>
          <w:rFonts w:ascii="Times New Roman" w:hAnsi="Times New Roman" w:cs="Times New Roman"/>
          <w:sz w:val="24"/>
          <w:szCs w:val="24"/>
          <w:lang w:val="de-DE"/>
        </w:rPr>
        <w:t>isbet RM,</w:t>
      </w:r>
      <w:r w:rsidR="00DC6757">
        <w:rPr>
          <w:rFonts w:ascii="Times New Roman" w:hAnsi="Times New Roman" w:cs="Times New Roman"/>
          <w:sz w:val="24"/>
          <w:szCs w:val="24"/>
          <w:lang w:val="de-DE"/>
        </w:rPr>
        <w:t xml:space="preserve"> </w:t>
      </w:r>
      <w:r w:rsidR="00745AC2" w:rsidRPr="00DC6757">
        <w:rPr>
          <w:rFonts w:ascii="Times New Roman" w:hAnsi="Times New Roman" w:cs="Times New Roman"/>
          <w:sz w:val="24"/>
          <w:szCs w:val="24"/>
          <w:lang w:val="de-DE"/>
        </w:rPr>
        <w:t>Preuss TG,</w:t>
      </w:r>
      <w:r w:rsidR="00DC6757">
        <w:rPr>
          <w:rFonts w:ascii="Times New Roman" w:hAnsi="Times New Roman" w:cs="Times New Roman"/>
          <w:sz w:val="24"/>
          <w:szCs w:val="24"/>
          <w:lang w:val="de-DE"/>
        </w:rPr>
        <w:t xml:space="preserve"> </w:t>
      </w:r>
      <w:r w:rsidR="00745AC2" w:rsidRPr="00DC6757">
        <w:rPr>
          <w:rFonts w:ascii="Times New Roman" w:hAnsi="Times New Roman" w:cs="Times New Roman"/>
          <w:sz w:val="24"/>
          <w:szCs w:val="24"/>
          <w:lang w:val="de-DE"/>
        </w:rPr>
        <w:t>Grimm V. 2014.</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Limitations of extrapolating toxic effects on reproduction to the population level. Eco Appl 24:1972-1983.</w:t>
      </w:r>
    </w:p>
    <w:p w14:paraId="0FBF04E3" w14:textId="77777777" w:rsidR="00902A39" w:rsidRPr="00DC6757" w:rsidRDefault="00902A39" w:rsidP="00902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Times New Roman" w:hAnsi="Times New Roman" w:cs="Times New Roman"/>
          <w:sz w:val="24"/>
          <w:szCs w:val="24"/>
        </w:rPr>
      </w:pPr>
    </w:p>
    <w:p w14:paraId="2E2B3E13" w14:textId="77777777" w:rsidR="00902A39" w:rsidRPr="00DC6757" w:rsidRDefault="00A6185C" w:rsidP="00902A39">
      <w:pPr>
        <w:spacing w:after="0" w:line="240" w:lineRule="auto"/>
        <w:rPr>
          <w:rFonts w:ascii="Times New Roman" w:hAnsi="Times New Roman" w:cs="Times New Roman"/>
          <w:sz w:val="24"/>
          <w:szCs w:val="24"/>
        </w:rPr>
      </w:pPr>
      <w:proofErr w:type="spellStart"/>
      <w:r w:rsidRPr="00DC6757">
        <w:rPr>
          <w:rFonts w:ascii="Times New Roman" w:hAnsi="Times New Roman" w:cs="Times New Roman"/>
          <w:sz w:val="24"/>
          <w:szCs w:val="24"/>
          <w:lang w:val="fr-CA"/>
        </w:rPr>
        <w:t>Meek</w:t>
      </w:r>
      <w:proofErr w:type="spellEnd"/>
      <w:r w:rsidRPr="00DC6757">
        <w:rPr>
          <w:rFonts w:ascii="Times New Roman" w:hAnsi="Times New Roman" w:cs="Times New Roman"/>
          <w:sz w:val="24"/>
          <w:szCs w:val="24"/>
          <w:lang w:val="fr-CA"/>
        </w:rPr>
        <w:t xml:space="preserve"> M</w:t>
      </w:r>
      <w:r w:rsidR="00902A39" w:rsidRPr="00DC6757">
        <w:rPr>
          <w:rFonts w:ascii="Times New Roman" w:hAnsi="Times New Roman" w:cs="Times New Roman"/>
          <w:sz w:val="24"/>
          <w:szCs w:val="24"/>
          <w:lang w:val="fr-CA"/>
        </w:rPr>
        <w:t>E</w:t>
      </w:r>
      <w:r w:rsidRPr="00DC6757">
        <w:rPr>
          <w:rFonts w:ascii="Times New Roman" w:hAnsi="Times New Roman" w:cs="Times New Roman"/>
          <w:sz w:val="24"/>
          <w:szCs w:val="24"/>
          <w:lang w:val="fr-CA"/>
        </w:rPr>
        <w:t>, Bucher J</w:t>
      </w:r>
      <w:r w:rsidR="00902A39" w:rsidRPr="00DC6757">
        <w:rPr>
          <w:rFonts w:ascii="Times New Roman" w:hAnsi="Times New Roman" w:cs="Times New Roman"/>
          <w:sz w:val="24"/>
          <w:szCs w:val="24"/>
          <w:lang w:val="fr-CA"/>
        </w:rPr>
        <w:t xml:space="preserve">R, Cohen SM, </w:t>
      </w:r>
      <w:proofErr w:type="spellStart"/>
      <w:r w:rsidR="00902A39" w:rsidRPr="00DC6757">
        <w:rPr>
          <w:rFonts w:ascii="Times New Roman" w:hAnsi="Times New Roman" w:cs="Times New Roman"/>
          <w:sz w:val="24"/>
          <w:szCs w:val="24"/>
          <w:lang w:val="fr-CA"/>
        </w:rPr>
        <w:t>Dellarco</w:t>
      </w:r>
      <w:proofErr w:type="spellEnd"/>
      <w:r w:rsidR="00902A39" w:rsidRPr="00DC6757">
        <w:rPr>
          <w:rFonts w:ascii="Times New Roman" w:hAnsi="Times New Roman" w:cs="Times New Roman"/>
          <w:sz w:val="24"/>
          <w:szCs w:val="24"/>
          <w:lang w:val="fr-CA"/>
        </w:rPr>
        <w:t xml:space="preserve"> V, Hill RN, Lehman-</w:t>
      </w:r>
      <w:proofErr w:type="spellStart"/>
      <w:r w:rsidR="00902A39" w:rsidRPr="00DC6757">
        <w:rPr>
          <w:rFonts w:ascii="Times New Roman" w:hAnsi="Times New Roman" w:cs="Times New Roman"/>
          <w:sz w:val="24"/>
          <w:szCs w:val="24"/>
          <w:lang w:val="fr-CA"/>
        </w:rPr>
        <w:t>McKeeman</w:t>
      </w:r>
      <w:proofErr w:type="spellEnd"/>
      <w:r w:rsidR="00902A39" w:rsidRPr="00DC6757">
        <w:rPr>
          <w:rFonts w:ascii="Times New Roman" w:hAnsi="Times New Roman" w:cs="Times New Roman"/>
          <w:sz w:val="24"/>
          <w:szCs w:val="24"/>
          <w:lang w:val="fr-CA"/>
        </w:rPr>
        <w:t xml:space="preserve"> LD</w:t>
      </w:r>
      <w:r w:rsidRPr="00DC6757">
        <w:rPr>
          <w:rFonts w:ascii="Times New Roman" w:hAnsi="Times New Roman" w:cs="Times New Roman"/>
          <w:sz w:val="24"/>
          <w:szCs w:val="24"/>
          <w:lang w:val="fr-CA"/>
        </w:rPr>
        <w:t xml:space="preserve">. </w:t>
      </w:r>
      <w:r w:rsidR="00745AC2" w:rsidRPr="00DC6757">
        <w:rPr>
          <w:rFonts w:ascii="Times New Roman" w:hAnsi="Times New Roman" w:cs="Times New Roman"/>
          <w:sz w:val="24"/>
          <w:szCs w:val="24"/>
        </w:rPr>
        <w:t>2003.</w:t>
      </w:r>
      <w:r w:rsidRPr="00DC6757">
        <w:rPr>
          <w:rFonts w:ascii="Times New Roman" w:hAnsi="Times New Roman" w:cs="Times New Roman"/>
          <w:sz w:val="24"/>
          <w:szCs w:val="24"/>
        </w:rPr>
        <w:t xml:space="preserve"> A </w:t>
      </w:r>
    </w:p>
    <w:p w14:paraId="4BF92EED" w14:textId="77777777" w:rsidR="00A6185C" w:rsidRPr="00DC6757" w:rsidRDefault="00A6185C" w:rsidP="00902A39">
      <w:pPr>
        <w:spacing w:after="0" w:line="240" w:lineRule="auto"/>
        <w:ind w:left="720"/>
        <w:rPr>
          <w:rFonts w:ascii="Times New Roman" w:hAnsi="Times New Roman" w:cs="Times New Roman"/>
          <w:sz w:val="24"/>
          <w:szCs w:val="24"/>
        </w:rPr>
      </w:pPr>
      <w:r w:rsidRPr="00DC6757">
        <w:rPr>
          <w:rFonts w:ascii="Times New Roman" w:hAnsi="Times New Roman" w:cs="Times New Roman"/>
          <w:sz w:val="24"/>
          <w:szCs w:val="24"/>
        </w:rPr>
        <w:t xml:space="preserve">Framework for human relevance analysis of information on carcinogenic modes of action. </w:t>
      </w:r>
      <w:proofErr w:type="spellStart"/>
      <w:r w:rsidRPr="00DC6757">
        <w:rPr>
          <w:rFonts w:ascii="Times New Roman" w:hAnsi="Times New Roman" w:cs="Times New Roman"/>
          <w:sz w:val="24"/>
          <w:szCs w:val="24"/>
        </w:rPr>
        <w:t>Crit</w:t>
      </w:r>
      <w:proofErr w:type="spellEnd"/>
      <w:r w:rsidRPr="00DC6757">
        <w:rPr>
          <w:rFonts w:ascii="Times New Roman" w:hAnsi="Times New Roman" w:cs="Times New Roman"/>
          <w:sz w:val="24"/>
          <w:szCs w:val="24"/>
        </w:rPr>
        <w:t xml:space="preserve"> Rev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33:591-653</w:t>
      </w:r>
    </w:p>
    <w:p w14:paraId="318A13A3" w14:textId="77777777" w:rsidR="00A6185C" w:rsidRPr="00DC6757" w:rsidRDefault="00A6185C" w:rsidP="00902A39">
      <w:pPr>
        <w:spacing w:after="0" w:line="240" w:lineRule="auto"/>
        <w:rPr>
          <w:rFonts w:ascii="Times New Roman" w:hAnsi="Times New Roman" w:cs="Times New Roman"/>
          <w:sz w:val="24"/>
          <w:szCs w:val="24"/>
        </w:rPr>
      </w:pPr>
    </w:p>
    <w:p w14:paraId="19203061" w14:textId="302C2AA3" w:rsidR="00CE6594" w:rsidRPr="00DC6757" w:rsidRDefault="00745AC2" w:rsidP="00CE6594">
      <w:pPr>
        <w:pStyle w:val="CommentText"/>
        <w:rPr>
          <w:rFonts w:ascii="Times New Roman" w:hAnsi="Times New Roman" w:cs="Times New Roman"/>
        </w:rPr>
      </w:pPr>
      <w:r w:rsidRPr="00DC6757">
        <w:rPr>
          <w:rFonts w:ascii="Times New Roman" w:hAnsi="Times New Roman" w:cs="Times New Roman"/>
        </w:rPr>
        <w:t>Muller EB,</w:t>
      </w:r>
      <w:r w:rsidR="00DC6757">
        <w:rPr>
          <w:rFonts w:ascii="Times New Roman" w:hAnsi="Times New Roman" w:cs="Times New Roman"/>
        </w:rPr>
        <w:t xml:space="preserve"> </w:t>
      </w:r>
      <w:proofErr w:type="spellStart"/>
      <w:r w:rsidRPr="00DC6757">
        <w:rPr>
          <w:rFonts w:ascii="Times New Roman" w:hAnsi="Times New Roman" w:cs="Times New Roman"/>
        </w:rPr>
        <w:t>Klanjscek</w:t>
      </w:r>
      <w:proofErr w:type="spellEnd"/>
      <w:r w:rsidRPr="00DC6757">
        <w:rPr>
          <w:rFonts w:ascii="Times New Roman" w:hAnsi="Times New Roman" w:cs="Times New Roman"/>
        </w:rPr>
        <w:t xml:space="preserve"> T, Nisbet RM.</w:t>
      </w:r>
      <w:r w:rsidR="00CE6594" w:rsidRPr="00DC6757">
        <w:rPr>
          <w:rFonts w:ascii="Times New Roman" w:hAnsi="Times New Roman" w:cs="Times New Roman"/>
        </w:rPr>
        <w:t xml:space="preserve"> 2018</w:t>
      </w:r>
      <w:r w:rsidR="00A6185C" w:rsidRPr="00DC6757">
        <w:rPr>
          <w:rFonts w:ascii="Times New Roman" w:hAnsi="Times New Roman" w:cs="Times New Roman"/>
        </w:rPr>
        <w:t xml:space="preserve"> Inhibition and damage to synthesizing units.</w:t>
      </w:r>
      <w:r w:rsidRPr="00DC6757">
        <w:rPr>
          <w:rFonts w:ascii="Times New Roman" w:hAnsi="Times New Roman" w:cs="Times New Roman"/>
        </w:rPr>
        <w:t xml:space="preserve"> J. Sea </w:t>
      </w:r>
    </w:p>
    <w:p w14:paraId="02ECBCC1" w14:textId="43DB4F5F" w:rsidR="00A6185C" w:rsidRPr="00DC6757" w:rsidRDefault="00745AC2" w:rsidP="00FC2DE7">
      <w:pPr>
        <w:pStyle w:val="CommentText"/>
        <w:ind w:firstLine="720"/>
        <w:rPr>
          <w:rFonts w:ascii="Times New Roman" w:hAnsi="Times New Roman" w:cs="Times New Roman"/>
        </w:rPr>
      </w:pPr>
      <w:r w:rsidRPr="00DC6757">
        <w:rPr>
          <w:rFonts w:ascii="Times New Roman" w:hAnsi="Times New Roman" w:cs="Times New Roman"/>
        </w:rPr>
        <w:t>Res.</w:t>
      </w:r>
      <w:r w:rsidR="00DC6757">
        <w:rPr>
          <w:rFonts w:ascii="Times New Roman" w:hAnsi="Times New Roman" w:cs="Times New Roman"/>
        </w:rPr>
        <w:t xml:space="preserve"> </w:t>
      </w:r>
      <w:r w:rsidRPr="00DC6757">
        <w:rPr>
          <w:rFonts w:ascii="Times New Roman" w:hAnsi="Times New Roman" w:cs="Times New Roman"/>
        </w:rPr>
        <w:t xml:space="preserve">(in </w:t>
      </w:r>
      <w:r w:rsidR="00CE6594" w:rsidRPr="00DC6757">
        <w:rPr>
          <w:rFonts w:ascii="Times New Roman" w:hAnsi="Times New Roman" w:cs="Times New Roman"/>
        </w:rPr>
        <w:t>press)</w:t>
      </w:r>
      <w:r w:rsidRPr="00DC6757">
        <w:rPr>
          <w:rFonts w:ascii="Times New Roman" w:hAnsi="Times New Roman" w:cs="Times New Roman"/>
        </w:rPr>
        <w:t>)</w:t>
      </w:r>
    </w:p>
    <w:p w14:paraId="4F11DE7A" w14:textId="77777777" w:rsidR="00A6185C" w:rsidRPr="00DC6757" w:rsidRDefault="00A6185C" w:rsidP="00A6185C">
      <w:pPr>
        <w:pStyle w:val="CommentText"/>
        <w:rPr>
          <w:rFonts w:ascii="Times New Roman" w:hAnsi="Times New Roman" w:cs="Times New Roman"/>
        </w:rPr>
      </w:pPr>
    </w:p>
    <w:p w14:paraId="6551726F" w14:textId="77777777" w:rsidR="00A6185C" w:rsidRPr="00DC6757" w:rsidRDefault="00A6185C" w:rsidP="00A6185C">
      <w:pPr>
        <w:pStyle w:val="CommentText"/>
        <w:rPr>
          <w:rFonts w:ascii="Times New Roman" w:hAnsi="Times New Roman" w:cs="Times New Roman"/>
        </w:rPr>
      </w:pPr>
    </w:p>
    <w:p w14:paraId="00A008C9" w14:textId="77777777" w:rsidR="00A6185C" w:rsidRPr="00DC6757" w:rsidRDefault="00A6185C" w:rsidP="00A6185C">
      <w:pPr>
        <w:autoSpaceDE w:val="0"/>
        <w:autoSpaceDN w:val="0"/>
        <w:adjustRightInd w:val="0"/>
        <w:spacing w:after="0" w:line="240" w:lineRule="auto"/>
        <w:rPr>
          <w:rFonts w:ascii="Times New Roman" w:eastAsia="TimesNewRoman" w:hAnsi="Times New Roman" w:cs="Times New Roman"/>
          <w:sz w:val="24"/>
          <w:szCs w:val="24"/>
        </w:rPr>
      </w:pPr>
    </w:p>
    <w:p w14:paraId="167DAF2F"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Muller EB, Ni</w:t>
      </w:r>
      <w:r w:rsidR="00745AC2" w:rsidRPr="00DC6757">
        <w:rPr>
          <w:rFonts w:ascii="Times New Roman" w:hAnsi="Times New Roman" w:cs="Times New Roman"/>
          <w:sz w:val="24"/>
          <w:szCs w:val="24"/>
        </w:rPr>
        <w:t xml:space="preserve">sbet RM, Berkley HA. 2010. </w:t>
      </w:r>
      <w:r w:rsidRPr="00DC6757">
        <w:rPr>
          <w:rFonts w:ascii="Times New Roman" w:hAnsi="Times New Roman" w:cs="Times New Roman"/>
          <w:sz w:val="24"/>
          <w:szCs w:val="24"/>
        </w:rPr>
        <w:t>Sublethal toxicant effects with dynamic energy budget theory: model formulation. Ecotoxicology 19: 38-47.</w:t>
      </w:r>
    </w:p>
    <w:p w14:paraId="6EB65F56" w14:textId="77777777" w:rsidR="00171DBF" w:rsidRPr="00DC6757" w:rsidRDefault="00171DBF" w:rsidP="00171DBF">
      <w:pPr>
        <w:pStyle w:val="EndNoteBibliography"/>
        <w:ind w:left="720" w:hanging="720"/>
        <w:rPr>
          <w:rFonts w:ascii="Times New Roman" w:hAnsi="Times New Roman" w:cs="Times New Roman"/>
          <w:noProof/>
        </w:rPr>
      </w:pPr>
      <w:r w:rsidRPr="00DC6757">
        <w:rPr>
          <w:rFonts w:ascii="Times New Roman" w:hAnsi="Times New Roman" w:cs="Times New Roman"/>
          <w:noProof/>
        </w:rPr>
        <w:t>Muller EB, Nisbet RM. 2014. Dynamic energy budget modeling reveals the potential of future growth and calcification for the coccolithophore</w:t>
      </w:r>
      <w:r w:rsidRPr="00DC6757">
        <w:rPr>
          <w:rFonts w:ascii="Times New Roman" w:hAnsi="Times New Roman" w:cs="Times New Roman"/>
          <w:i/>
          <w:noProof/>
        </w:rPr>
        <w:t xml:space="preserve"> Emiliania huxleyi</w:t>
      </w:r>
      <w:r w:rsidRPr="00DC6757">
        <w:rPr>
          <w:rFonts w:ascii="Times New Roman" w:hAnsi="Times New Roman" w:cs="Times New Roman"/>
          <w:noProof/>
        </w:rPr>
        <w:t xml:space="preserve"> in an acidified ocean. Global Change Biology 20: 2031-2038.</w:t>
      </w:r>
    </w:p>
    <w:p w14:paraId="65745399" w14:textId="77777777" w:rsidR="00171DBF" w:rsidRPr="00DC6757" w:rsidRDefault="00171DBF"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
    <w:p w14:paraId="3AB805A6" w14:textId="18CDC97C"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Murphy CA</w:t>
      </w:r>
      <w:r w:rsidR="00745AC2" w:rsidRPr="00DC6757">
        <w:rPr>
          <w:rFonts w:ascii="Times New Roman" w:hAnsi="Times New Roman" w:cs="Times New Roman"/>
          <w:sz w:val="24"/>
          <w:szCs w:val="24"/>
        </w:rPr>
        <w:t>, Rose KA, Rahman MS, Thomas P. 2009.</w:t>
      </w:r>
      <w:r w:rsidRPr="00DC6757">
        <w:rPr>
          <w:rFonts w:ascii="Times New Roman" w:hAnsi="Times New Roman" w:cs="Times New Roman"/>
          <w:sz w:val="24"/>
          <w:szCs w:val="24"/>
        </w:rPr>
        <w:t xml:space="preserve"> Testing and applying a fish vitellogenesis model</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to evaluate laboratory and field biomarkers of endocrine disruption in Atlantic croaker exposed to hypoxia. Environ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Chem 28: 1288-1303.</w:t>
      </w:r>
    </w:p>
    <w:p w14:paraId="40BD8ED1" w14:textId="77777777" w:rsidR="00BC78B8" w:rsidRPr="00DC6757" w:rsidRDefault="00745AC2" w:rsidP="00BC78B8">
      <w:pPr>
        <w:spacing w:after="0"/>
        <w:rPr>
          <w:rFonts w:ascii="Times New Roman" w:hAnsi="Times New Roman" w:cs="Times New Roman"/>
          <w:sz w:val="24"/>
          <w:szCs w:val="24"/>
        </w:rPr>
      </w:pPr>
      <w:r w:rsidRPr="00DC6757">
        <w:rPr>
          <w:rFonts w:ascii="Times New Roman" w:hAnsi="Times New Roman" w:cs="Times New Roman"/>
          <w:sz w:val="24"/>
          <w:szCs w:val="24"/>
        </w:rPr>
        <w:t xml:space="preserve">Murphy CA, Nisbet RM, Antczak P, Garcia-Reyero N, Gergs A, Lika K, Mathews T, Muller EB, </w:t>
      </w:r>
    </w:p>
    <w:p w14:paraId="431CB5C7" w14:textId="7A33E7AF" w:rsidR="00A6185C" w:rsidRPr="00DC6757" w:rsidRDefault="00745AC2" w:rsidP="00BC78B8">
      <w:pPr>
        <w:spacing w:after="0"/>
        <w:ind w:left="400"/>
        <w:rPr>
          <w:rFonts w:ascii="Times New Roman" w:hAnsi="Times New Roman" w:cs="Times New Roman"/>
          <w:sz w:val="24"/>
          <w:szCs w:val="24"/>
        </w:rPr>
      </w:pPr>
      <w:proofErr w:type="spellStart"/>
      <w:r w:rsidRPr="00DC6757">
        <w:rPr>
          <w:rFonts w:ascii="Times New Roman" w:hAnsi="Times New Roman" w:cs="Times New Roman"/>
          <w:sz w:val="24"/>
          <w:szCs w:val="24"/>
        </w:rPr>
        <w:t>Nacci</w:t>
      </w:r>
      <w:proofErr w:type="spellEnd"/>
      <w:r w:rsidRPr="00DC6757">
        <w:rPr>
          <w:rFonts w:ascii="Times New Roman" w:hAnsi="Times New Roman" w:cs="Times New Roman"/>
          <w:sz w:val="24"/>
          <w:szCs w:val="24"/>
        </w:rPr>
        <w:t xml:space="preserve"> D,</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Peace A, </w:t>
      </w:r>
      <w:proofErr w:type="spellStart"/>
      <w:r w:rsidRPr="00DC6757">
        <w:rPr>
          <w:rFonts w:ascii="Times New Roman" w:hAnsi="Times New Roman" w:cs="Times New Roman"/>
          <w:sz w:val="24"/>
          <w:szCs w:val="24"/>
        </w:rPr>
        <w:t>Remien</w:t>
      </w:r>
      <w:proofErr w:type="spellEnd"/>
      <w:r w:rsidRPr="00DC6757">
        <w:rPr>
          <w:rFonts w:ascii="Times New Roman" w:hAnsi="Times New Roman" w:cs="Times New Roman"/>
          <w:sz w:val="24"/>
          <w:szCs w:val="24"/>
        </w:rPr>
        <w:t xml:space="preserve"> CH, Schultz IR, Watanabe</w:t>
      </w:r>
      <w:r w:rsidR="00A6185C" w:rsidRPr="00DC6757">
        <w:rPr>
          <w:rFonts w:ascii="Times New Roman" w:hAnsi="Times New Roman" w:cs="Times New Roman"/>
          <w:sz w:val="24"/>
          <w:szCs w:val="24"/>
        </w:rPr>
        <w:t xml:space="preserve"> K. 2017. Linking adverse outcome pathways to dynamic energy budgets: a conc</w:t>
      </w:r>
      <w:r w:rsidR="007F4673" w:rsidRPr="00DC6757">
        <w:rPr>
          <w:rFonts w:ascii="Times New Roman" w:hAnsi="Times New Roman" w:cs="Times New Roman"/>
          <w:sz w:val="24"/>
          <w:szCs w:val="24"/>
        </w:rPr>
        <w:t xml:space="preserve">eptual model. In Garcia-Reyero N, Murphy CA, editors. A systems biology approach for advancing adverse outcome pathways for risk assessment. Springer. </w:t>
      </w:r>
      <w:r w:rsidR="00A6185C" w:rsidRPr="00DC6757">
        <w:rPr>
          <w:rFonts w:ascii="Times New Roman" w:hAnsi="Times New Roman" w:cs="Times New Roman"/>
          <w:sz w:val="24"/>
          <w:szCs w:val="24"/>
        </w:rPr>
        <w:t>p. 281-302.</w:t>
      </w:r>
    </w:p>
    <w:p w14:paraId="3F766291" w14:textId="77777777" w:rsidR="00BC78B8" w:rsidRPr="00DC6757" w:rsidRDefault="00BC78B8" w:rsidP="00BC78B8">
      <w:pPr>
        <w:spacing w:after="0"/>
        <w:ind w:left="400"/>
        <w:rPr>
          <w:rFonts w:ascii="Times New Roman" w:hAnsi="Times New Roman" w:cs="Times New Roman"/>
          <w:sz w:val="24"/>
          <w:szCs w:val="24"/>
        </w:rPr>
      </w:pPr>
    </w:p>
    <w:p w14:paraId="3BB03542" w14:textId="6451C452"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Nacci</w:t>
      </w:r>
      <w:proofErr w:type="spellEnd"/>
      <w:r w:rsidRPr="00DC6757">
        <w:rPr>
          <w:rFonts w:ascii="Times New Roman" w:hAnsi="Times New Roman" w:cs="Times New Roman"/>
          <w:sz w:val="24"/>
          <w:szCs w:val="24"/>
        </w:rPr>
        <w:t xml:space="preserve"> D, </w:t>
      </w:r>
      <w:proofErr w:type="spellStart"/>
      <w:r w:rsidRPr="00DC6757">
        <w:rPr>
          <w:rFonts w:ascii="Times New Roman" w:hAnsi="Times New Roman" w:cs="Times New Roman"/>
          <w:sz w:val="24"/>
          <w:szCs w:val="24"/>
        </w:rPr>
        <w:t>Proestou</w:t>
      </w:r>
      <w:proofErr w:type="spellEnd"/>
      <w:r w:rsidRPr="00DC6757">
        <w:rPr>
          <w:rFonts w:ascii="Times New Roman" w:hAnsi="Times New Roman" w:cs="Times New Roman"/>
          <w:sz w:val="24"/>
          <w:szCs w:val="24"/>
        </w:rPr>
        <w:t xml:space="preserve"> D, Cha</w:t>
      </w:r>
      <w:r w:rsidR="007F4673" w:rsidRPr="00DC6757">
        <w:rPr>
          <w:rFonts w:ascii="Times New Roman" w:hAnsi="Times New Roman" w:cs="Times New Roman"/>
          <w:sz w:val="24"/>
          <w:szCs w:val="24"/>
        </w:rPr>
        <w:t>mplin D,</w:t>
      </w:r>
      <w:r w:rsidR="00DC6757">
        <w:rPr>
          <w:rFonts w:ascii="Times New Roman" w:hAnsi="Times New Roman" w:cs="Times New Roman"/>
          <w:sz w:val="24"/>
          <w:szCs w:val="24"/>
        </w:rPr>
        <w:t xml:space="preserve"> </w:t>
      </w:r>
      <w:r w:rsidR="00902A39" w:rsidRPr="00DC6757">
        <w:rPr>
          <w:rFonts w:ascii="Times New Roman" w:hAnsi="Times New Roman" w:cs="Times New Roman"/>
          <w:sz w:val="24"/>
          <w:szCs w:val="24"/>
        </w:rPr>
        <w:t>Martinson J, Waits ER</w:t>
      </w:r>
      <w:r w:rsidR="007F4673" w:rsidRPr="00DC6757">
        <w:rPr>
          <w:rFonts w:ascii="Times New Roman" w:hAnsi="Times New Roman" w:cs="Times New Roman"/>
          <w:sz w:val="24"/>
          <w:szCs w:val="24"/>
        </w:rPr>
        <w:t>. 2016.</w:t>
      </w:r>
      <w:r w:rsidRPr="00DC6757">
        <w:rPr>
          <w:rFonts w:ascii="Times New Roman" w:hAnsi="Times New Roman" w:cs="Times New Roman"/>
          <w:sz w:val="24"/>
          <w:szCs w:val="24"/>
        </w:rPr>
        <w:t xml:space="preserve"> Genetic basis for rapidly evolved tolerance in the wild: adaptation to toxic pollutants by an estuarine fish species. Mol </w:t>
      </w:r>
      <w:proofErr w:type="spellStart"/>
      <w:r w:rsidRPr="00DC6757">
        <w:rPr>
          <w:rFonts w:ascii="Times New Roman" w:hAnsi="Times New Roman" w:cs="Times New Roman"/>
          <w:sz w:val="24"/>
          <w:szCs w:val="24"/>
        </w:rPr>
        <w:t>Ecol</w:t>
      </w:r>
      <w:proofErr w:type="spellEnd"/>
      <w:r w:rsidRPr="00DC6757">
        <w:rPr>
          <w:rFonts w:ascii="Times New Roman" w:hAnsi="Times New Roman" w:cs="Times New Roman"/>
          <w:sz w:val="24"/>
          <w:szCs w:val="24"/>
        </w:rPr>
        <w:t xml:space="preserve"> 25:5467–5482. </w:t>
      </w:r>
    </w:p>
    <w:p w14:paraId="71F803FC" w14:textId="77777777" w:rsidR="00A6185C" w:rsidRPr="00DC6757" w:rsidRDefault="00902A39"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Nel AE, </w:t>
      </w:r>
      <w:r w:rsidR="007F4673" w:rsidRPr="00DC6757">
        <w:rPr>
          <w:rFonts w:ascii="Times New Roman" w:hAnsi="Times New Roman" w:cs="Times New Roman"/>
          <w:sz w:val="24"/>
          <w:szCs w:val="24"/>
        </w:rPr>
        <w:t>Malloy TF.</w:t>
      </w:r>
      <w:r w:rsidR="00A6185C" w:rsidRPr="00DC6757">
        <w:rPr>
          <w:rFonts w:ascii="Times New Roman" w:hAnsi="Times New Roman" w:cs="Times New Roman"/>
          <w:sz w:val="24"/>
          <w:szCs w:val="24"/>
        </w:rPr>
        <w:t xml:space="preserve">2017. Policy reforms to update chemical safety testing. </w:t>
      </w:r>
      <w:r w:rsidR="00A6185C" w:rsidRPr="00DC6757">
        <w:rPr>
          <w:rFonts w:ascii="Times New Roman" w:hAnsi="Times New Roman" w:cs="Times New Roman"/>
          <w:iCs/>
          <w:sz w:val="24"/>
          <w:szCs w:val="24"/>
        </w:rPr>
        <w:t>Science</w:t>
      </w:r>
      <w:r w:rsidR="00A6185C" w:rsidRPr="00DC6757">
        <w:rPr>
          <w:rFonts w:ascii="Times New Roman" w:hAnsi="Times New Roman" w:cs="Times New Roman"/>
          <w:sz w:val="24"/>
          <w:szCs w:val="24"/>
        </w:rPr>
        <w:t xml:space="preserve">, </w:t>
      </w:r>
      <w:r w:rsidR="007F4673" w:rsidRPr="00DC6757">
        <w:rPr>
          <w:rFonts w:ascii="Times New Roman" w:hAnsi="Times New Roman" w:cs="Times New Roman"/>
          <w:iCs/>
          <w:sz w:val="24"/>
          <w:szCs w:val="24"/>
        </w:rPr>
        <w:t>355:</w:t>
      </w:r>
      <w:r w:rsidR="007F4673" w:rsidRPr="00DC6757">
        <w:rPr>
          <w:rFonts w:ascii="Times New Roman" w:hAnsi="Times New Roman" w:cs="Times New Roman"/>
          <w:sz w:val="24"/>
          <w:szCs w:val="24"/>
        </w:rPr>
        <w:t xml:space="preserve"> </w:t>
      </w:r>
      <w:r w:rsidR="00A6185C" w:rsidRPr="00DC6757">
        <w:rPr>
          <w:rFonts w:ascii="Times New Roman" w:hAnsi="Times New Roman" w:cs="Times New Roman"/>
          <w:sz w:val="24"/>
          <w:szCs w:val="24"/>
        </w:rPr>
        <w:t xml:space="preserve">1016-1018. </w:t>
      </w:r>
    </w:p>
    <w:p w14:paraId="52BDC0AC"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Nisbet RM, Muller EB, Lika K, </w:t>
      </w:r>
      <w:proofErr w:type="spellStart"/>
      <w:r w:rsidRPr="00DC6757">
        <w:rPr>
          <w:rFonts w:ascii="Times New Roman" w:hAnsi="Times New Roman" w:cs="Times New Roman"/>
          <w:sz w:val="24"/>
          <w:szCs w:val="24"/>
        </w:rPr>
        <w:t>Kooijman</w:t>
      </w:r>
      <w:proofErr w:type="spellEnd"/>
      <w:r w:rsidRPr="00DC6757">
        <w:rPr>
          <w:rFonts w:ascii="Times New Roman" w:hAnsi="Times New Roman" w:cs="Times New Roman"/>
          <w:sz w:val="24"/>
          <w:szCs w:val="24"/>
        </w:rPr>
        <w:t xml:space="preserve"> SALM. 2000. From molecules to ecosystems through dynamic energy budgets. J </w:t>
      </w:r>
      <w:proofErr w:type="spellStart"/>
      <w:r w:rsidRPr="00DC6757">
        <w:rPr>
          <w:rFonts w:ascii="Times New Roman" w:hAnsi="Times New Roman" w:cs="Times New Roman"/>
          <w:sz w:val="24"/>
          <w:szCs w:val="24"/>
        </w:rPr>
        <w:t>Anim</w:t>
      </w:r>
      <w:proofErr w:type="spellEnd"/>
      <w:r w:rsidRPr="00DC6757">
        <w:rPr>
          <w:rFonts w:ascii="Times New Roman" w:hAnsi="Times New Roman" w:cs="Times New Roman"/>
          <w:sz w:val="24"/>
          <w:szCs w:val="24"/>
        </w:rPr>
        <w:t xml:space="preserve"> </w:t>
      </w:r>
      <w:proofErr w:type="spellStart"/>
      <w:r w:rsidRPr="00DC6757">
        <w:rPr>
          <w:rFonts w:ascii="Times New Roman" w:hAnsi="Times New Roman" w:cs="Times New Roman"/>
          <w:sz w:val="24"/>
          <w:szCs w:val="24"/>
        </w:rPr>
        <w:t>Ecol</w:t>
      </w:r>
      <w:proofErr w:type="spellEnd"/>
      <w:r w:rsidRPr="00DC6757">
        <w:rPr>
          <w:rFonts w:ascii="Times New Roman" w:hAnsi="Times New Roman" w:cs="Times New Roman"/>
          <w:sz w:val="24"/>
          <w:szCs w:val="24"/>
        </w:rPr>
        <w:t xml:space="preserve"> 69: 913-926.</w:t>
      </w:r>
    </w:p>
    <w:p w14:paraId="54957680" w14:textId="77777777" w:rsidR="00BC78B8" w:rsidRPr="00DC6757" w:rsidRDefault="007F4673" w:rsidP="00A6185C">
      <w:pPr>
        <w:pStyle w:val="CommentText"/>
        <w:rPr>
          <w:rFonts w:ascii="Times New Roman" w:hAnsi="Times New Roman" w:cs="Times New Roman"/>
        </w:rPr>
      </w:pPr>
      <w:r w:rsidRPr="00DC6757">
        <w:rPr>
          <w:rFonts w:ascii="Times New Roman" w:hAnsi="Times New Roman" w:cs="Times New Roman"/>
        </w:rPr>
        <w:t>OECD. 2006.</w:t>
      </w:r>
      <w:r w:rsidR="00A6185C" w:rsidRPr="00DC6757">
        <w:rPr>
          <w:rFonts w:ascii="Times New Roman" w:hAnsi="Times New Roman" w:cs="Times New Roman"/>
        </w:rPr>
        <w:t xml:space="preserve"> Current approaches in the statistical analysis of ecotoxicity data: a guidance to </w:t>
      </w:r>
    </w:p>
    <w:p w14:paraId="04EFFB8C" w14:textId="112AF5F1" w:rsidR="00A6185C" w:rsidRPr="00DC6757" w:rsidRDefault="00A6185C" w:rsidP="00BC78B8">
      <w:pPr>
        <w:pStyle w:val="CommentText"/>
        <w:ind w:left="720"/>
        <w:rPr>
          <w:rFonts w:ascii="Times New Roman" w:hAnsi="Times New Roman" w:cs="Times New Roman"/>
        </w:rPr>
      </w:pPr>
      <w:r w:rsidRPr="00DC6757">
        <w:rPr>
          <w:rFonts w:ascii="Times New Roman" w:hAnsi="Times New Roman" w:cs="Times New Roman"/>
        </w:rPr>
        <w:t>application.</w:t>
      </w:r>
      <w:r w:rsidR="00DC6757">
        <w:rPr>
          <w:rFonts w:ascii="Times New Roman" w:hAnsi="Times New Roman" w:cs="Times New Roman"/>
        </w:rPr>
        <w:t xml:space="preserve"> </w:t>
      </w:r>
      <w:r w:rsidRPr="00DC6757">
        <w:rPr>
          <w:rFonts w:ascii="Times New Roman" w:hAnsi="Times New Roman" w:cs="Times New Roman"/>
        </w:rPr>
        <w:t xml:space="preserve">OECD Environmental </w:t>
      </w:r>
      <w:proofErr w:type="spellStart"/>
      <w:r w:rsidRPr="00DC6757">
        <w:rPr>
          <w:rFonts w:ascii="Times New Roman" w:hAnsi="Times New Roman" w:cs="Times New Roman"/>
        </w:rPr>
        <w:t>Heath</w:t>
      </w:r>
      <w:proofErr w:type="spellEnd"/>
      <w:r w:rsidRPr="00DC6757">
        <w:rPr>
          <w:rFonts w:ascii="Times New Roman" w:hAnsi="Times New Roman" w:cs="Times New Roman"/>
        </w:rPr>
        <w:t xml:space="preserve"> and Safety Publications, Series on Testing and Assessment No. 54</w:t>
      </w:r>
    </w:p>
    <w:p w14:paraId="0591E4AF" w14:textId="77777777" w:rsidR="00BC78B8" w:rsidRPr="00DC6757" w:rsidRDefault="00BC78B8" w:rsidP="00F26845">
      <w:pPr>
        <w:spacing w:after="0"/>
        <w:rPr>
          <w:rFonts w:ascii="Times New Roman" w:hAnsi="Times New Roman" w:cs="Times New Roman"/>
          <w:sz w:val="24"/>
          <w:szCs w:val="24"/>
        </w:rPr>
      </w:pPr>
    </w:p>
    <w:p w14:paraId="48FEB13D" w14:textId="77777777" w:rsidR="007B4E7F" w:rsidRPr="00DC6757" w:rsidRDefault="007F4673" w:rsidP="00BC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DC6757">
        <w:rPr>
          <w:rFonts w:ascii="Times New Roman" w:hAnsi="Times New Roman" w:cs="Times New Roman"/>
          <w:sz w:val="24"/>
          <w:szCs w:val="24"/>
        </w:rPr>
        <w:t>N</w:t>
      </w:r>
      <w:r w:rsidR="007B4E7F" w:rsidRPr="00DC6757">
        <w:rPr>
          <w:rFonts w:ascii="Times New Roman" w:hAnsi="Times New Roman" w:cs="Times New Roman"/>
          <w:sz w:val="24"/>
          <w:szCs w:val="24"/>
        </w:rPr>
        <w:t xml:space="preserve">ational </w:t>
      </w:r>
      <w:r w:rsidRPr="00DC6757">
        <w:rPr>
          <w:rFonts w:ascii="Times New Roman" w:hAnsi="Times New Roman" w:cs="Times New Roman"/>
          <w:sz w:val="24"/>
          <w:szCs w:val="24"/>
        </w:rPr>
        <w:t>R</w:t>
      </w:r>
      <w:r w:rsidR="007B4E7F" w:rsidRPr="00DC6757">
        <w:rPr>
          <w:rFonts w:ascii="Times New Roman" w:hAnsi="Times New Roman" w:cs="Times New Roman"/>
          <w:sz w:val="24"/>
          <w:szCs w:val="24"/>
        </w:rPr>
        <w:t xml:space="preserve">esearch </w:t>
      </w:r>
      <w:r w:rsidRPr="00DC6757">
        <w:rPr>
          <w:rFonts w:ascii="Times New Roman" w:hAnsi="Times New Roman" w:cs="Times New Roman"/>
          <w:sz w:val="24"/>
          <w:szCs w:val="24"/>
        </w:rPr>
        <w:t>C</w:t>
      </w:r>
      <w:r w:rsidR="007B4E7F" w:rsidRPr="00DC6757">
        <w:rPr>
          <w:rFonts w:ascii="Times New Roman" w:hAnsi="Times New Roman" w:cs="Times New Roman"/>
          <w:sz w:val="24"/>
          <w:szCs w:val="24"/>
        </w:rPr>
        <w:t>ouncil</w:t>
      </w:r>
      <w:r w:rsidRPr="00DC6757">
        <w:rPr>
          <w:rFonts w:ascii="Times New Roman" w:hAnsi="Times New Roman" w:cs="Times New Roman"/>
          <w:sz w:val="24"/>
          <w:szCs w:val="24"/>
        </w:rPr>
        <w:t>. 2007.</w:t>
      </w:r>
      <w:r w:rsidR="00A6185C" w:rsidRPr="00DC6757">
        <w:rPr>
          <w:rFonts w:ascii="Times New Roman" w:hAnsi="Times New Roman" w:cs="Times New Roman"/>
          <w:sz w:val="24"/>
          <w:szCs w:val="24"/>
        </w:rPr>
        <w:t xml:space="preserve">Toxicity Testing in the 21st Century: A Vision and a Strategy. </w:t>
      </w:r>
    </w:p>
    <w:p w14:paraId="6DE25CAE" w14:textId="77777777" w:rsidR="00A6185C" w:rsidRPr="00DC6757" w:rsidRDefault="007B4E7F" w:rsidP="00BC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DC6757">
        <w:rPr>
          <w:rFonts w:ascii="Times New Roman" w:hAnsi="Times New Roman" w:cs="Times New Roman"/>
          <w:sz w:val="24"/>
          <w:szCs w:val="24"/>
        </w:rPr>
        <w:tab/>
      </w:r>
      <w:r w:rsidR="00A6185C" w:rsidRPr="00DC6757">
        <w:rPr>
          <w:rFonts w:ascii="Times New Roman" w:hAnsi="Times New Roman" w:cs="Times New Roman"/>
          <w:sz w:val="24"/>
          <w:szCs w:val="24"/>
        </w:rPr>
        <w:t>Washington, DC: The National Academies Press.</w:t>
      </w:r>
    </w:p>
    <w:p w14:paraId="200A7227" w14:textId="77777777" w:rsidR="00BC78B8" w:rsidRPr="00DC6757" w:rsidRDefault="00BC78B8" w:rsidP="00BC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14:paraId="4BCA0E38"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lang w:val="de-DE"/>
        </w:rPr>
        <w:t xml:space="preserve">Pieters BJ, </w:t>
      </w:r>
      <w:r w:rsidR="007F4673" w:rsidRPr="00DC6757">
        <w:rPr>
          <w:rFonts w:ascii="Times New Roman" w:hAnsi="Times New Roman" w:cs="Times New Roman"/>
          <w:sz w:val="24"/>
          <w:szCs w:val="24"/>
          <w:lang w:val="de-DE"/>
        </w:rPr>
        <w:t xml:space="preserve">Jager T, </w:t>
      </w:r>
      <w:proofErr w:type="spellStart"/>
      <w:r w:rsidR="007F4673" w:rsidRPr="00DC6757">
        <w:rPr>
          <w:rFonts w:ascii="Times New Roman" w:hAnsi="Times New Roman" w:cs="Times New Roman"/>
          <w:sz w:val="24"/>
          <w:szCs w:val="24"/>
          <w:lang w:val="de-DE"/>
        </w:rPr>
        <w:t>Kraak</w:t>
      </w:r>
      <w:proofErr w:type="spellEnd"/>
      <w:r w:rsidR="007F4673" w:rsidRPr="00DC6757">
        <w:rPr>
          <w:rFonts w:ascii="Times New Roman" w:hAnsi="Times New Roman" w:cs="Times New Roman"/>
          <w:sz w:val="24"/>
          <w:szCs w:val="24"/>
          <w:lang w:val="de-DE"/>
        </w:rPr>
        <w:t xml:space="preserve"> MHS, </w:t>
      </w:r>
      <w:proofErr w:type="spellStart"/>
      <w:r w:rsidR="007F4673" w:rsidRPr="00DC6757">
        <w:rPr>
          <w:rFonts w:ascii="Times New Roman" w:hAnsi="Times New Roman" w:cs="Times New Roman"/>
          <w:sz w:val="24"/>
          <w:szCs w:val="24"/>
          <w:lang w:val="de-DE"/>
        </w:rPr>
        <w:t>Admiraal</w:t>
      </w:r>
      <w:proofErr w:type="spellEnd"/>
      <w:r w:rsidR="007F4673" w:rsidRPr="00DC6757">
        <w:rPr>
          <w:rFonts w:ascii="Times New Roman" w:hAnsi="Times New Roman" w:cs="Times New Roman"/>
          <w:sz w:val="24"/>
          <w:szCs w:val="24"/>
          <w:lang w:val="de-DE"/>
        </w:rPr>
        <w:t xml:space="preserve"> W. 2006.</w:t>
      </w:r>
      <w:r w:rsidRPr="00DC6757">
        <w:rPr>
          <w:rFonts w:ascii="Times New Roman" w:hAnsi="Times New Roman" w:cs="Times New Roman"/>
          <w:sz w:val="24"/>
          <w:szCs w:val="24"/>
          <w:lang w:val="de-DE"/>
        </w:rPr>
        <w:t xml:space="preserve"> </w:t>
      </w:r>
      <w:r w:rsidRPr="00DC6757">
        <w:rPr>
          <w:rFonts w:ascii="Times New Roman" w:hAnsi="Times New Roman" w:cs="Times New Roman"/>
          <w:sz w:val="24"/>
          <w:szCs w:val="24"/>
        </w:rPr>
        <w:t xml:space="preserve">Modeling responses of </w:t>
      </w:r>
      <w:r w:rsidRPr="00DC6757">
        <w:rPr>
          <w:rFonts w:ascii="Times New Roman" w:hAnsi="Times New Roman" w:cs="Times New Roman"/>
          <w:i/>
          <w:sz w:val="24"/>
          <w:szCs w:val="24"/>
        </w:rPr>
        <w:t>Daphnia magna</w:t>
      </w:r>
      <w:r w:rsidRPr="00DC6757">
        <w:rPr>
          <w:rFonts w:ascii="Times New Roman" w:hAnsi="Times New Roman" w:cs="Times New Roman"/>
          <w:sz w:val="24"/>
          <w:szCs w:val="24"/>
        </w:rPr>
        <w:t xml:space="preserve"> to pesticide pulse exposure under varying food conditions: intrinsic versus apparent sensitivity. Ecotoxicology 15:601–608.</w:t>
      </w:r>
    </w:p>
    <w:p w14:paraId="21906232"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Reid NM</w:t>
      </w:r>
      <w:r w:rsidR="007F4673" w:rsidRPr="00DC6757">
        <w:rPr>
          <w:rFonts w:ascii="Times New Roman" w:hAnsi="Times New Roman" w:cs="Times New Roman"/>
          <w:sz w:val="24"/>
          <w:szCs w:val="24"/>
        </w:rPr>
        <w:t xml:space="preserve">, </w:t>
      </w:r>
      <w:proofErr w:type="spellStart"/>
      <w:r w:rsidR="007F4673" w:rsidRPr="00DC6757">
        <w:rPr>
          <w:rFonts w:ascii="Times New Roman" w:hAnsi="Times New Roman" w:cs="Times New Roman"/>
          <w:sz w:val="24"/>
          <w:szCs w:val="24"/>
        </w:rPr>
        <w:t>Proestou</w:t>
      </w:r>
      <w:proofErr w:type="spellEnd"/>
      <w:r w:rsidR="007F4673" w:rsidRPr="00DC6757">
        <w:rPr>
          <w:rFonts w:ascii="Times New Roman" w:hAnsi="Times New Roman" w:cs="Times New Roman"/>
          <w:sz w:val="24"/>
          <w:szCs w:val="24"/>
        </w:rPr>
        <w:t xml:space="preserve"> DA, Clark BW, </w:t>
      </w:r>
      <w:r w:rsidR="00902A39" w:rsidRPr="00DC6757">
        <w:rPr>
          <w:rFonts w:ascii="Times New Roman" w:hAnsi="Times New Roman" w:cs="Times New Roman"/>
          <w:sz w:val="24"/>
          <w:szCs w:val="24"/>
        </w:rPr>
        <w:t xml:space="preserve">Warren WC, Colbourne JK, Shaw JR, </w:t>
      </w:r>
      <w:proofErr w:type="spellStart"/>
      <w:r w:rsidR="00902A39" w:rsidRPr="00DC6757">
        <w:rPr>
          <w:rFonts w:ascii="Times New Roman" w:hAnsi="Times New Roman" w:cs="Times New Roman"/>
          <w:sz w:val="24"/>
          <w:szCs w:val="24"/>
        </w:rPr>
        <w:t>Karchner</w:t>
      </w:r>
      <w:proofErr w:type="spellEnd"/>
      <w:r w:rsidR="00902A39" w:rsidRPr="00DC6757">
        <w:rPr>
          <w:rFonts w:ascii="Times New Roman" w:hAnsi="Times New Roman" w:cs="Times New Roman"/>
          <w:sz w:val="24"/>
          <w:szCs w:val="24"/>
        </w:rPr>
        <w:t xml:space="preserve"> SI, Hahn ME, </w:t>
      </w:r>
      <w:proofErr w:type="spellStart"/>
      <w:r w:rsidR="00902A39" w:rsidRPr="00DC6757">
        <w:rPr>
          <w:rFonts w:ascii="Times New Roman" w:hAnsi="Times New Roman" w:cs="Times New Roman"/>
          <w:sz w:val="24"/>
          <w:szCs w:val="24"/>
        </w:rPr>
        <w:t>Nacci</w:t>
      </w:r>
      <w:proofErr w:type="spellEnd"/>
      <w:r w:rsidR="00902A39" w:rsidRPr="00DC6757">
        <w:rPr>
          <w:rFonts w:ascii="Times New Roman" w:hAnsi="Times New Roman" w:cs="Times New Roman"/>
          <w:sz w:val="24"/>
          <w:szCs w:val="24"/>
        </w:rPr>
        <w:t xml:space="preserve"> D, Oleksiak MF, Crawford DL, Whitehead A</w:t>
      </w:r>
      <w:r w:rsidR="007F4673" w:rsidRPr="00DC6757">
        <w:rPr>
          <w:rFonts w:ascii="Times New Roman" w:hAnsi="Times New Roman" w:cs="Times New Roman"/>
          <w:sz w:val="24"/>
          <w:szCs w:val="24"/>
        </w:rPr>
        <w:t>. 2016.</w:t>
      </w:r>
      <w:r w:rsidRPr="00DC6757">
        <w:rPr>
          <w:rFonts w:ascii="Times New Roman" w:hAnsi="Times New Roman" w:cs="Times New Roman"/>
          <w:sz w:val="24"/>
          <w:szCs w:val="24"/>
        </w:rPr>
        <w:t>The genomic landscape of rapid repeated evolutionary adaptation to toxic pollution in wild fish. Science 354:1305–1308</w:t>
      </w:r>
    </w:p>
    <w:p w14:paraId="3B13E890" w14:textId="381A8054"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Rohart</w:t>
      </w:r>
      <w:proofErr w:type="spellEnd"/>
      <w:r w:rsidRPr="00DC6757">
        <w:rPr>
          <w:rFonts w:ascii="Times New Roman" w:hAnsi="Times New Roman" w:cs="Times New Roman"/>
          <w:sz w:val="24"/>
          <w:szCs w:val="24"/>
        </w:rPr>
        <w:t xml:space="preserve"> F,</w:t>
      </w:r>
      <w:r w:rsidR="007F4673" w:rsidRPr="00DC6757">
        <w:rPr>
          <w:rFonts w:ascii="Times New Roman" w:hAnsi="Times New Roman" w:cs="Times New Roman"/>
          <w:sz w:val="24"/>
          <w:szCs w:val="24"/>
        </w:rPr>
        <w:t xml:space="preserve"> Gautier B, Singh A, Le Cao KA. 2017.</w:t>
      </w:r>
      <w:r w:rsidRPr="00DC6757">
        <w:rPr>
          <w:rFonts w:ascii="Times New Roman" w:hAnsi="Times New Roman" w:cs="Times New Roman"/>
          <w:sz w:val="24"/>
          <w:szCs w:val="24"/>
        </w:rPr>
        <w:t xml:space="preserve">mixOmics: </w:t>
      </w:r>
      <w:proofErr w:type="gramStart"/>
      <w:r w:rsidRPr="00DC6757">
        <w:rPr>
          <w:rFonts w:ascii="Times New Roman" w:hAnsi="Times New Roman" w:cs="Times New Roman"/>
          <w:sz w:val="24"/>
          <w:szCs w:val="24"/>
        </w:rPr>
        <w:t>an</w:t>
      </w:r>
      <w:proofErr w:type="gramEnd"/>
      <w:r w:rsidRPr="00DC6757">
        <w:rPr>
          <w:rFonts w:ascii="Times New Roman" w:hAnsi="Times New Roman" w:cs="Times New Roman"/>
          <w:sz w:val="24"/>
          <w:szCs w:val="24"/>
        </w:rPr>
        <w:t xml:space="preserve"> R package </w:t>
      </w:r>
      <w:proofErr w:type="spellStart"/>
      <w:r w:rsidRPr="00DC6757">
        <w:rPr>
          <w:rFonts w:ascii="Times New Roman" w:hAnsi="Times New Roman" w:cs="Times New Roman"/>
          <w:sz w:val="24"/>
          <w:szCs w:val="24"/>
        </w:rPr>
        <w:t>for'omics</w:t>
      </w:r>
      <w:proofErr w:type="spellEnd"/>
      <w:r w:rsidRPr="00DC6757">
        <w:rPr>
          <w:rFonts w:ascii="Times New Roman" w:hAnsi="Times New Roman" w:cs="Times New Roman"/>
          <w:sz w:val="24"/>
          <w:szCs w:val="24"/>
        </w:rPr>
        <w:t xml:space="preserve"> feature </w:t>
      </w:r>
      <w:r w:rsidRPr="00DC6757">
        <w:rPr>
          <w:rFonts w:ascii="Times New Roman" w:hAnsi="Times New Roman" w:cs="Times New Roman"/>
          <w:sz w:val="24"/>
          <w:szCs w:val="24"/>
        </w:rPr>
        <w:lastRenderedPageBreak/>
        <w:t xml:space="preserve">selection and multiple data integration. </w:t>
      </w:r>
      <w:proofErr w:type="spellStart"/>
      <w:r w:rsidRPr="00DC6757">
        <w:rPr>
          <w:rFonts w:ascii="Times New Roman" w:hAnsi="Times New Roman" w:cs="Times New Roman"/>
          <w:sz w:val="24"/>
          <w:szCs w:val="24"/>
        </w:rPr>
        <w:t>bioRxiv</w:t>
      </w:r>
      <w:proofErr w:type="spellEnd"/>
      <w:r w:rsidR="00DC6757">
        <w:rPr>
          <w:rFonts w:ascii="Times New Roman" w:hAnsi="Times New Roman" w:cs="Times New Roman"/>
          <w:sz w:val="24"/>
          <w:szCs w:val="24"/>
        </w:rPr>
        <w:t xml:space="preserve"> </w:t>
      </w:r>
      <w:r w:rsidRPr="00DC6757">
        <w:rPr>
          <w:rFonts w:ascii="Times New Roman" w:hAnsi="Times New Roman" w:cs="Times New Roman"/>
          <w:sz w:val="24"/>
          <w:szCs w:val="24"/>
        </w:rPr>
        <w:t>108597.</w:t>
      </w:r>
    </w:p>
    <w:p w14:paraId="05CDB256" w14:textId="77777777" w:rsidR="00A6185C" w:rsidRPr="00DC6757" w:rsidRDefault="007F4673"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Rohr JR, </w:t>
      </w:r>
      <w:proofErr w:type="spellStart"/>
      <w:r w:rsidRPr="00DC6757">
        <w:rPr>
          <w:rFonts w:ascii="Times New Roman" w:hAnsi="Times New Roman" w:cs="Times New Roman"/>
          <w:sz w:val="24"/>
          <w:szCs w:val="24"/>
        </w:rPr>
        <w:t>Salice</w:t>
      </w:r>
      <w:proofErr w:type="spellEnd"/>
      <w:r w:rsidRPr="00DC6757">
        <w:rPr>
          <w:rFonts w:ascii="Times New Roman" w:hAnsi="Times New Roman" w:cs="Times New Roman"/>
          <w:sz w:val="24"/>
          <w:szCs w:val="24"/>
        </w:rPr>
        <w:t xml:space="preserve"> CJ, Nisbet RM. 2016.</w:t>
      </w:r>
      <w:r w:rsidR="00A6185C" w:rsidRPr="00DC6757">
        <w:rPr>
          <w:rFonts w:ascii="Times New Roman" w:hAnsi="Times New Roman" w:cs="Times New Roman"/>
          <w:sz w:val="24"/>
          <w:szCs w:val="24"/>
        </w:rPr>
        <w:t xml:space="preserve">The pros and cons of ecological risk assessment based on data from different levels of biological organization. </w:t>
      </w:r>
      <w:proofErr w:type="spellStart"/>
      <w:r w:rsidR="00A6185C" w:rsidRPr="00DC6757">
        <w:rPr>
          <w:rFonts w:ascii="Times New Roman" w:hAnsi="Times New Roman" w:cs="Times New Roman"/>
          <w:sz w:val="24"/>
          <w:szCs w:val="24"/>
        </w:rPr>
        <w:t>Crit</w:t>
      </w:r>
      <w:proofErr w:type="spellEnd"/>
      <w:r w:rsidR="00A6185C" w:rsidRPr="00DC6757">
        <w:rPr>
          <w:rFonts w:ascii="Times New Roman" w:hAnsi="Times New Roman" w:cs="Times New Roman"/>
          <w:sz w:val="24"/>
          <w:szCs w:val="24"/>
        </w:rPr>
        <w:t xml:space="preserve"> Rev </w:t>
      </w:r>
      <w:proofErr w:type="spellStart"/>
      <w:r w:rsidR="00A6185C" w:rsidRPr="00DC6757">
        <w:rPr>
          <w:rFonts w:ascii="Times New Roman" w:hAnsi="Times New Roman" w:cs="Times New Roman"/>
          <w:sz w:val="24"/>
          <w:szCs w:val="24"/>
        </w:rPr>
        <w:t>Toxicol</w:t>
      </w:r>
      <w:proofErr w:type="spellEnd"/>
      <w:r w:rsidR="00A6185C" w:rsidRPr="00DC6757">
        <w:rPr>
          <w:rFonts w:ascii="Times New Roman" w:hAnsi="Times New Roman" w:cs="Times New Roman"/>
          <w:sz w:val="24"/>
          <w:szCs w:val="24"/>
        </w:rPr>
        <w:t xml:space="preserve"> 46:756-784.</w:t>
      </w:r>
    </w:p>
    <w:p w14:paraId="3F3F2E70" w14:textId="77777777" w:rsidR="00A6185C" w:rsidRPr="00DC6757" w:rsidRDefault="007F4673"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Rohr JR, </w:t>
      </w:r>
      <w:proofErr w:type="spellStart"/>
      <w:r w:rsidRPr="00DC6757">
        <w:rPr>
          <w:rFonts w:ascii="Times New Roman" w:hAnsi="Times New Roman" w:cs="Times New Roman"/>
          <w:sz w:val="24"/>
          <w:szCs w:val="24"/>
        </w:rPr>
        <w:t>Salice</w:t>
      </w:r>
      <w:proofErr w:type="spellEnd"/>
      <w:r w:rsidRPr="00DC6757">
        <w:rPr>
          <w:rFonts w:ascii="Times New Roman" w:hAnsi="Times New Roman" w:cs="Times New Roman"/>
          <w:sz w:val="24"/>
          <w:szCs w:val="24"/>
        </w:rPr>
        <w:t xml:space="preserve"> CJ, Nisbet RM.</w:t>
      </w:r>
      <w:r w:rsidR="00A6185C" w:rsidRPr="00DC6757">
        <w:rPr>
          <w:rFonts w:ascii="Times New Roman" w:hAnsi="Times New Roman" w:cs="Times New Roman"/>
          <w:sz w:val="24"/>
          <w:szCs w:val="24"/>
        </w:rPr>
        <w:t xml:space="preserve"> 2017. Chemical safety must extend to ecosystems. </w:t>
      </w:r>
      <w:r w:rsidR="00A6185C" w:rsidRPr="00DC6757">
        <w:rPr>
          <w:rFonts w:ascii="Times New Roman" w:hAnsi="Times New Roman" w:cs="Times New Roman"/>
          <w:iCs/>
          <w:sz w:val="24"/>
          <w:szCs w:val="24"/>
        </w:rPr>
        <w:t>Science</w:t>
      </w:r>
      <w:r w:rsidR="00A6185C" w:rsidRPr="00DC6757">
        <w:rPr>
          <w:rFonts w:ascii="Times New Roman" w:hAnsi="Times New Roman" w:cs="Times New Roman"/>
          <w:sz w:val="24"/>
          <w:szCs w:val="24"/>
        </w:rPr>
        <w:t xml:space="preserve">, </w:t>
      </w:r>
      <w:r w:rsidR="00A6185C" w:rsidRPr="00DC6757">
        <w:rPr>
          <w:rFonts w:ascii="Times New Roman" w:hAnsi="Times New Roman" w:cs="Times New Roman"/>
          <w:iCs/>
          <w:sz w:val="24"/>
          <w:szCs w:val="24"/>
        </w:rPr>
        <w:t>356</w:t>
      </w:r>
      <w:r w:rsidRPr="00DC6757">
        <w:rPr>
          <w:rFonts w:ascii="Times New Roman" w:hAnsi="Times New Roman" w:cs="Times New Roman"/>
          <w:sz w:val="24"/>
          <w:szCs w:val="24"/>
        </w:rPr>
        <w:t xml:space="preserve">: </w:t>
      </w:r>
      <w:r w:rsidR="00A6185C" w:rsidRPr="00DC6757">
        <w:rPr>
          <w:rFonts w:ascii="Times New Roman" w:hAnsi="Times New Roman" w:cs="Times New Roman"/>
          <w:sz w:val="24"/>
          <w:szCs w:val="24"/>
        </w:rPr>
        <w:t xml:space="preserve">917-917. </w:t>
      </w:r>
    </w:p>
    <w:p w14:paraId="75E54411" w14:textId="5407EA1B" w:rsidR="00A6185C" w:rsidRPr="00DC6757" w:rsidRDefault="007F4673"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Seed J, Carney EW, Corley RA, Crofton KM, </w:t>
      </w:r>
      <w:proofErr w:type="spellStart"/>
      <w:r w:rsidRPr="00DC6757">
        <w:rPr>
          <w:rFonts w:ascii="Times New Roman" w:hAnsi="Times New Roman" w:cs="Times New Roman"/>
          <w:sz w:val="24"/>
          <w:szCs w:val="24"/>
        </w:rPr>
        <w:t>DeSesso</w:t>
      </w:r>
      <w:proofErr w:type="spellEnd"/>
      <w:r w:rsidRPr="00DC6757">
        <w:rPr>
          <w:rFonts w:ascii="Times New Roman" w:hAnsi="Times New Roman" w:cs="Times New Roman"/>
          <w:sz w:val="24"/>
          <w:szCs w:val="24"/>
        </w:rPr>
        <w:t xml:space="preserve"> JM, Foster PM, </w:t>
      </w:r>
      <w:proofErr w:type="spellStart"/>
      <w:r w:rsidRPr="00DC6757">
        <w:rPr>
          <w:rFonts w:ascii="Times New Roman" w:hAnsi="Times New Roman" w:cs="Times New Roman"/>
          <w:sz w:val="24"/>
          <w:szCs w:val="24"/>
        </w:rPr>
        <w:t>Kavlock</w:t>
      </w:r>
      <w:proofErr w:type="spellEnd"/>
      <w:r w:rsidRPr="00DC6757">
        <w:rPr>
          <w:rFonts w:ascii="Times New Roman" w:hAnsi="Times New Roman" w:cs="Times New Roman"/>
          <w:sz w:val="24"/>
          <w:szCs w:val="24"/>
        </w:rPr>
        <w:t xml:space="preserve"> R, Kimmel G, </w:t>
      </w:r>
      <w:proofErr w:type="spellStart"/>
      <w:r w:rsidRPr="00DC6757">
        <w:rPr>
          <w:rFonts w:ascii="Times New Roman" w:hAnsi="Times New Roman" w:cs="Times New Roman"/>
          <w:sz w:val="24"/>
          <w:szCs w:val="24"/>
        </w:rPr>
        <w:t>Klaunig</w:t>
      </w:r>
      <w:proofErr w:type="spellEnd"/>
      <w:r w:rsidRPr="00DC6757">
        <w:rPr>
          <w:rFonts w:ascii="Times New Roman" w:hAnsi="Times New Roman" w:cs="Times New Roman"/>
          <w:sz w:val="24"/>
          <w:szCs w:val="24"/>
        </w:rPr>
        <w:t xml:space="preserve"> J, Meek ME, Preston RJ.</w:t>
      </w:r>
      <w:r w:rsidR="00A6185C" w:rsidRPr="00DC6757">
        <w:rPr>
          <w:rFonts w:ascii="Times New Roman" w:hAnsi="Times New Roman" w:cs="Times New Roman"/>
          <w:sz w:val="24"/>
          <w:szCs w:val="24"/>
        </w:rPr>
        <w:t xml:space="preserve"> 2005. Overview: using mode of action and life stage information to evaluate the human relevance of animal toxicity data. </w:t>
      </w:r>
      <w:proofErr w:type="spellStart"/>
      <w:r w:rsidRPr="00DC6757">
        <w:rPr>
          <w:rFonts w:ascii="Times New Roman" w:hAnsi="Times New Roman" w:cs="Times New Roman"/>
          <w:sz w:val="24"/>
          <w:szCs w:val="24"/>
        </w:rPr>
        <w:t>Crit</w:t>
      </w:r>
      <w:proofErr w:type="spellEnd"/>
      <w:r w:rsidRPr="00DC6757">
        <w:rPr>
          <w:rFonts w:ascii="Times New Roman" w:hAnsi="Times New Roman" w:cs="Times New Roman"/>
          <w:sz w:val="24"/>
          <w:szCs w:val="24"/>
        </w:rPr>
        <w:t xml:space="preserve"> Rev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35: 663-672.</w:t>
      </w:r>
    </w:p>
    <w:p w14:paraId="77714805" w14:textId="77777777" w:rsidR="00A6185C" w:rsidRPr="00DC6757" w:rsidRDefault="007F4673"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Stevenson LM</w:t>
      </w:r>
      <w:r w:rsidR="00A6185C" w:rsidRPr="00DC6757">
        <w:rPr>
          <w:rFonts w:ascii="Times New Roman" w:hAnsi="Times New Roman" w:cs="Times New Roman"/>
          <w:sz w:val="24"/>
          <w:szCs w:val="24"/>
        </w:rPr>
        <w:t xml:space="preserve">, </w:t>
      </w:r>
      <w:r w:rsidRPr="00DC6757">
        <w:rPr>
          <w:rFonts w:ascii="Times New Roman" w:hAnsi="Times New Roman" w:cs="Times New Roman"/>
          <w:sz w:val="24"/>
          <w:szCs w:val="24"/>
        </w:rPr>
        <w:t xml:space="preserve">Dickson H, </w:t>
      </w:r>
      <w:proofErr w:type="spellStart"/>
      <w:r w:rsidRPr="00DC6757">
        <w:rPr>
          <w:rFonts w:ascii="Times New Roman" w:hAnsi="Times New Roman" w:cs="Times New Roman"/>
          <w:sz w:val="24"/>
          <w:szCs w:val="24"/>
        </w:rPr>
        <w:t>Klanjscek</w:t>
      </w:r>
      <w:proofErr w:type="spellEnd"/>
      <w:r w:rsidRPr="00DC6757">
        <w:rPr>
          <w:rFonts w:ascii="Times New Roman" w:hAnsi="Times New Roman" w:cs="Times New Roman"/>
          <w:sz w:val="24"/>
          <w:szCs w:val="24"/>
        </w:rPr>
        <w:t xml:space="preserve"> T, Keller AA, McCauley</w:t>
      </w:r>
      <w:r w:rsidR="00A6185C" w:rsidRPr="00DC6757">
        <w:rPr>
          <w:rFonts w:ascii="Times New Roman" w:hAnsi="Times New Roman" w:cs="Times New Roman"/>
          <w:sz w:val="24"/>
          <w:szCs w:val="24"/>
        </w:rPr>
        <w:t xml:space="preserve"> E</w:t>
      </w:r>
      <w:r w:rsidRPr="00DC6757">
        <w:rPr>
          <w:rFonts w:ascii="Times New Roman" w:hAnsi="Times New Roman" w:cs="Times New Roman"/>
          <w:sz w:val="24"/>
          <w:szCs w:val="24"/>
        </w:rPr>
        <w:t>, Nisbet RM</w:t>
      </w:r>
      <w:r w:rsidR="00A6185C" w:rsidRPr="00DC6757">
        <w:rPr>
          <w:rFonts w:ascii="Times New Roman" w:hAnsi="Times New Roman" w:cs="Times New Roman"/>
          <w:sz w:val="24"/>
          <w:szCs w:val="24"/>
        </w:rPr>
        <w:t xml:space="preserve">, 2013. Environmental feedbacks and engineered nanoparticles: mitigation of silver nanoparticle toxicity to Chlamydomonas </w:t>
      </w:r>
      <w:proofErr w:type="spellStart"/>
      <w:r w:rsidR="00A6185C" w:rsidRPr="00DC6757">
        <w:rPr>
          <w:rFonts w:ascii="Times New Roman" w:hAnsi="Times New Roman" w:cs="Times New Roman"/>
          <w:sz w:val="24"/>
          <w:szCs w:val="24"/>
        </w:rPr>
        <w:t>reinhardtii</w:t>
      </w:r>
      <w:proofErr w:type="spellEnd"/>
      <w:r w:rsidR="00A6185C" w:rsidRPr="00DC6757">
        <w:rPr>
          <w:rFonts w:ascii="Times New Roman" w:hAnsi="Times New Roman" w:cs="Times New Roman"/>
          <w:sz w:val="24"/>
          <w:szCs w:val="24"/>
        </w:rPr>
        <w:t xml:space="preserve"> by algal-produced organic compounds. </w:t>
      </w:r>
      <w:proofErr w:type="spellStart"/>
      <w:r w:rsidR="00A6185C" w:rsidRPr="00DC6757">
        <w:rPr>
          <w:rFonts w:ascii="Times New Roman" w:hAnsi="Times New Roman" w:cs="Times New Roman"/>
          <w:iCs/>
          <w:sz w:val="24"/>
          <w:szCs w:val="24"/>
        </w:rPr>
        <w:t>PLoS</w:t>
      </w:r>
      <w:proofErr w:type="spellEnd"/>
      <w:r w:rsidR="00A6185C" w:rsidRPr="00DC6757">
        <w:rPr>
          <w:rFonts w:ascii="Times New Roman" w:hAnsi="Times New Roman" w:cs="Times New Roman"/>
          <w:iCs/>
          <w:sz w:val="24"/>
          <w:szCs w:val="24"/>
        </w:rPr>
        <w:t xml:space="preserve"> One</w:t>
      </w:r>
      <w:r w:rsidR="00A6185C" w:rsidRPr="00DC6757">
        <w:rPr>
          <w:rFonts w:ascii="Times New Roman" w:hAnsi="Times New Roman" w:cs="Times New Roman"/>
          <w:sz w:val="24"/>
          <w:szCs w:val="24"/>
        </w:rPr>
        <w:t xml:space="preserve">, </w:t>
      </w:r>
      <w:r w:rsidR="00A6185C" w:rsidRPr="00DC6757">
        <w:rPr>
          <w:rFonts w:ascii="Times New Roman" w:hAnsi="Times New Roman" w:cs="Times New Roman"/>
          <w:iCs/>
          <w:sz w:val="24"/>
          <w:szCs w:val="24"/>
        </w:rPr>
        <w:t>8</w:t>
      </w:r>
      <w:r w:rsidRPr="00DC6757">
        <w:rPr>
          <w:rFonts w:ascii="Times New Roman" w:hAnsi="Times New Roman" w:cs="Times New Roman"/>
          <w:sz w:val="24"/>
          <w:szCs w:val="24"/>
        </w:rPr>
        <w:t xml:space="preserve">: </w:t>
      </w:r>
      <w:r w:rsidR="00A6185C" w:rsidRPr="00DC6757">
        <w:rPr>
          <w:rFonts w:ascii="Times New Roman" w:hAnsi="Times New Roman" w:cs="Times New Roman"/>
          <w:sz w:val="24"/>
          <w:szCs w:val="24"/>
        </w:rPr>
        <w:t>e74456.</w:t>
      </w:r>
    </w:p>
    <w:p w14:paraId="4FE4CDCB" w14:textId="77777777" w:rsidR="00A6185C" w:rsidRPr="00DC6757" w:rsidRDefault="007F4673"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Van </w:t>
      </w:r>
      <w:proofErr w:type="spellStart"/>
      <w:r w:rsidRPr="00DC6757">
        <w:rPr>
          <w:rFonts w:ascii="Times New Roman" w:hAnsi="Times New Roman" w:cs="Times New Roman"/>
          <w:sz w:val="24"/>
          <w:szCs w:val="24"/>
        </w:rPr>
        <w:t>Aggelen</w:t>
      </w:r>
      <w:proofErr w:type="spellEnd"/>
      <w:r w:rsidRPr="00DC6757">
        <w:rPr>
          <w:rFonts w:ascii="Times New Roman" w:hAnsi="Times New Roman" w:cs="Times New Roman"/>
          <w:sz w:val="24"/>
          <w:szCs w:val="24"/>
        </w:rPr>
        <w:t xml:space="preserve"> G, </w:t>
      </w:r>
      <w:proofErr w:type="spellStart"/>
      <w:r w:rsidR="00A6185C" w:rsidRPr="00DC6757">
        <w:rPr>
          <w:rFonts w:ascii="Times New Roman" w:hAnsi="Times New Roman" w:cs="Times New Roman"/>
          <w:sz w:val="24"/>
          <w:szCs w:val="24"/>
        </w:rPr>
        <w:t>Ankley</w:t>
      </w:r>
      <w:proofErr w:type="spellEnd"/>
      <w:r w:rsidR="00A6185C" w:rsidRPr="00DC6757">
        <w:rPr>
          <w:rFonts w:ascii="Times New Roman" w:hAnsi="Times New Roman" w:cs="Times New Roman"/>
          <w:sz w:val="24"/>
          <w:szCs w:val="24"/>
        </w:rPr>
        <w:t xml:space="preserve"> GT, Baldwin WS, Bearden DW,</w:t>
      </w:r>
      <w:r w:rsidRPr="00DC6757">
        <w:rPr>
          <w:rFonts w:ascii="Times New Roman" w:hAnsi="Times New Roman" w:cs="Times New Roman"/>
          <w:sz w:val="24"/>
          <w:szCs w:val="24"/>
        </w:rPr>
        <w:t xml:space="preserve"> Benson WH, Chipman, JK.et al. 2010. </w:t>
      </w:r>
      <w:r w:rsidR="00A6185C" w:rsidRPr="00DC6757">
        <w:rPr>
          <w:rFonts w:ascii="Times New Roman" w:hAnsi="Times New Roman" w:cs="Times New Roman"/>
          <w:sz w:val="24"/>
          <w:szCs w:val="24"/>
        </w:rPr>
        <w:t xml:space="preserve">Integrating </w:t>
      </w:r>
      <w:proofErr w:type="spellStart"/>
      <w:r w:rsidR="00A6185C" w:rsidRPr="00DC6757">
        <w:rPr>
          <w:rFonts w:ascii="Times New Roman" w:hAnsi="Times New Roman" w:cs="Times New Roman"/>
          <w:sz w:val="24"/>
          <w:szCs w:val="24"/>
        </w:rPr>
        <w:t>omic</w:t>
      </w:r>
      <w:proofErr w:type="spellEnd"/>
      <w:r w:rsidR="00A6185C" w:rsidRPr="00DC6757">
        <w:rPr>
          <w:rFonts w:ascii="Times New Roman" w:hAnsi="Times New Roman" w:cs="Times New Roman"/>
          <w:sz w:val="24"/>
          <w:szCs w:val="24"/>
        </w:rPr>
        <w:t xml:space="preserve"> technologies into aquatic ecological risk assessment and environmental monitoring: hurdles, achievements, and </w:t>
      </w:r>
      <w:proofErr w:type="gramStart"/>
      <w:r w:rsidR="00A6185C" w:rsidRPr="00DC6757">
        <w:rPr>
          <w:rFonts w:ascii="Times New Roman" w:hAnsi="Times New Roman" w:cs="Times New Roman"/>
          <w:sz w:val="24"/>
          <w:szCs w:val="24"/>
        </w:rPr>
        <w:t>future outlook</w:t>
      </w:r>
      <w:proofErr w:type="gramEnd"/>
      <w:r w:rsidR="00A6185C" w:rsidRPr="00DC6757">
        <w:rPr>
          <w:rFonts w:ascii="Times New Roman" w:hAnsi="Times New Roman" w:cs="Times New Roman"/>
          <w:sz w:val="24"/>
          <w:szCs w:val="24"/>
        </w:rPr>
        <w:t xml:space="preserve">. Environ Health </w:t>
      </w:r>
      <w:proofErr w:type="spellStart"/>
      <w:r w:rsidR="00A6185C" w:rsidRPr="00DC6757">
        <w:rPr>
          <w:rFonts w:ascii="Times New Roman" w:hAnsi="Times New Roman" w:cs="Times New Roman"/>
          <w:sz w:val="24"/>
          <w:szCs w:val="24"/>
        </w:rPr>
        <w:t>Persp</w:t>
      </w:r>
      <w:proofErr w:type="spellEnd"/>
      <w:r w:rsidR="00A6185C" w:rsidRPr="00DC6757">
        <w:rPr>
          <w:rFonts w:ascii="Times New Roman" w:hAnsi="Times New Roman" w:cs="Times New Roman"/>
          <w:sz w:val="24"/>
          <w:szCs w:val="24"/>
        </w:rPr>
        <w:t xml:space="preserve"> 1-5.</w:t>
      </w:r>
    </w:p>
    <w:p w14:paraId="17B7C6D4" w14:textId="5A735AA6"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proofErr w:type="spellStart"/>
      <w:r w:rsidRPr="00DC6757">
        <w:rPr>
          <w:rFonts w:ascii="Times New Roman" w:hAnsi="Times New Roman" w:cs="Times New Roman"/>
          <w:sz w:val="24"/>
          <w:szCs w:val="24"/>
        </w:rPr>
        <w:t>Veltman</w:t>
      </w:r>
      <w:proofErr w:type="spellEnd"/>
      <w:r w:rsidRPr="00DC6757">
        <w:rPr>
          <w:rFonts w:ascii="Times New Roman" w:hAnsi="Times New Roman" w:cs="Times New Roman"/>
          <w:sz w:val="24"/>
          <w:szCs w:val="24"/>
        </w:rPr>
        <w:t xml:space="preserve"> K, Hendriks AJ, </w:t>
      </w:r>
      <w:proofErr w:type="spellStart"/>
      <w:r w:rsidRPr="00DC6757">
        <w:rPr>
          <w:rFonts w:ascii="Times New Roman" w:hAnsi="Times New Roman" w:cs="Times New Roman"/>
          <w:sz w:val="24"/>
          <w:szCs w:val="24"/>
        </w:rPr>
        <w:t>Huij</w:t>
      </w:r>
      <w:r w:rsidR="007F4673" w:rsidRPr="00DC6757">
        <w:rPr>
          <w:rFonts w:ascii="Times New Roman" w:hAnsi="Times New Roman" w:cs="Times New Roman"/>
          <w:sz w:val="24"/>
          <w:szCs w:val="24"/>
        </w:rPr>
        <w:t>bregts</w:t>
      </w:r>
      <w:proofErr w:type="spellEnd"/>
      <w:r w:rsidR="007F4673" w:rsidRPr="00DC6757">
        <w:rPr>
          <w:rFonts w:ascii="Times New Roman" w:hAnsi="Times New Roman" w:cs="Times New Roman"/>
          <w:sz w:val="24"/>
          <w:szCs w:val="24"/>
        </w:rPr>
        <w:t xml:space="preserve"> MA, </w:t>
      </w:r>
      <w:proofErr w:type="spellStart"/>
      <w:r w:rsidR="007F4673" w:rsidRPr="00DC6757">
        <w:rPr>
          <w:rFonts w:ascii="Times New Roman" w:hAnsi="Times New Roman" w:cs="Times New Roman"/>
          <w:sz w:val="24"/>
          <w:szCs w:val="24"/>
        </w:rPr>
        <w:t>Wannaz</w:t>
      </w:r>
      <w:proofErr w:type="spellEnd"/>
      <w:r w:rsidR="007F4673" w:rsidRPr="00DC6757">
        <w:rPr>
          <w:rFonts w:ascii="Times New Roman" w:hAnsi="Times New Roman" w:cs="Times New Roman"/>
          <w:sz w:val="24"/>
          <w:szCs w:val="24"/>
        </w:rPr>
        <w:t xml:space="preserve"> C, Jolliet O. 2014.</w:t>
      </w:r>
      <w:r w:rsidRPr="00DC6757">
        <w:rPr>
          <w:rFonts w:ascii="Times New Roman" w:hAnsi="Times New Roman" w:cs="Times New Roman"/>
          <w:sz w:val="24"/>
          <w:szCs w:val="24"/>
        </w:rPr>
        <w:t>Toxicokinetic toxicodynamic (TKTD) modeling of Ag toxicity in freshwater organisms: whole-body sodium loss predicts acute mortality across aquatic species. Environ Sci Tech</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48: 14481-14489.</w:t>
      </w:r>
    </w:p>
    <w:p w14:paraId="005383F1"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Villeneuve DL, Crump D, Garcia-Reyero N, Hecker M, Hutchinson TH, </w:t>
      </w:r>
      <w:proofErr w:type="spellStart"/>
      <w:r w:rsidRPr="00DC6757">
        <w:rPr>
          <w:rFonts w:ascii="Times New Roman" w:hAnsi="Times New Roman" w:cs="Times New Roman"/>
          <w:sz w:val="24"/>
          <w:szCs w:val="24"/>
        </w:rPr>
        <w:t>LaLone</w:t>
      </w:r>
      <w:proofErr w:type="spellEnd"/>
      <w:r w:rsidRPr="00DC6757">
        <w:rPr>
          <w:rFonts w:ascii="Times New Roman" w:hAnsi="Times New Roman" w:cs="Times New Roman"/>
          <w:sz w:val="24"/>
          <w:szCs w:val="24"/>
        </w:rPr>
        <w:t xml:space="preserve"> CA, </w:t>
      </w:r>
      <w:proofErr w:type="spellStart"/>
      <w:r w:rsidRPr="00DC6757">
        <w:rPr>
          <w:rFonts w:ascii="Times New Roman" w:hAnsi="Times New Roman" w:cs="Times New Roman"/>
          <w:sz w:val="24"/>
          <w:szCs w:val="24"/>
        </w:rPr>
        <w:t>Landesmann</w:t>
      </w:r>
      <w:proofErr w:type="spellEnd"/>
      <w:r w:rsidRPr="00DC6757">
        <w:rPr>
          <w:rFonts w:ascii="Times New Roman" w:hAnsi="Times New Roman" w:cs="Times New Roman"/>
          <w:sz w:val="24"/>
          <w:szCs w:val="24"/>
        </w:rPr>
        <w:t xml:space="preserve"> B, </w:t>
      </w:r>
      <w:proofErr w:type="spellStart"/>
      <w:r w:rsidRPr="00DC6757">
        <w:rPr>
          <w:rFonts w:ascii="Times New Roman" w:hAnsi="Times New Roman" w:cs="Times New Roman"/>
          <w:sz w:val="24"/>
          <w:szCs w:val="24"/>
        </w:rPr>
        <w:t>Lettieri</w:t>
      </w:r>
      <w:proofErr w:type="spellEnd"/>
      <w:r w:rsidRPr="00DC6757">
        <w:rPr>
          <w:rFonts w:ascii="Times New Roman" w:hAnsi="Times New Roman" w:cs="Times New Roman"/>
          <w:sz w:val="24"/>
          <w:szCs w:val="24"/>
        </w:rPr>
        <w:t xml:space="preserve"> T, Munn S, </w:t>
      </w:r>
      <w:proofErr w:type="spellStart"/>
      <w:r w:rsidRPr="00DC6757">
        <w:rPr>
          <w:rFonts w:ascii="Times New Roman" w:hAnsi="Times New Roman" w:cs="Times New Roman"/>
          <w:sz w:val="24"/>
          <w:szCs w:val="24"/>
        </w:rPr>
        <w:t>Nepelska</w:t>
      </w:r>
      <w:proofErr w:type="spellEnd"/>
      <w:r w:rsidRPr="00DC6757">
        <w:rPr>
          <w:rFonts w:ascii="Times New Roman" w:hAnsi="Times New Roman" w:cs="Times New Roman"/>
          <w:sz w:val="24"/>
          <w:szCs w:val="24"/>
        </w:rPr>
        <w:t xml:space="preserve"> M, </w:t>
      </w:r>
      <w:proofErr w:type="spellStart"/>
      <w:r w:rsidRPr="00DC6757">
        <w:rPr>
          <w:rFonts w:ascii="Times New Roman" w:hAnsi="Times New Roman" w:cs="Times New Roman"/>
          <w:sz w:val="24"/>
          <w:szCs w:val="24"/>
        </w:rPr>
        <w:t>Ottinger</w:t>
      </w:r>
      <w:proofErr w:type="spellEnd"/>
      <w:r w:rsidRPr="00DC6757">
        <w:rPr>
          <w:rFonts w:ascii="Times New Roman" w:hAnsi="Times New Roman" w:cs="Times New Roman"/>
          <w:sz w:val="24"/>
          <w:szCs w:val="24"/>
        </w:rPr>
        <w:t xml:space="preserve"> MA (2014). Adverse outcome </w:t>
      </w:r>
      <w:r w:rsidR="007F4673" w:rsidRPr="00DC6757">
        <w:rPr>
          <w:rFonts w:ascii="Times New Roman" w:hAnsi="Times New Roman" w:cs="Times New Roman"/>
          <w:sz w:val="24"/>
          <w:szCs w:val="24"/>
        </w:rPr>
        <w:t xml:space="preserve">pathway (AOP) development I: strategies and principles. </w:t>
      </w:r>
      <w:proofErr w:type="spellStart"/>
      <w:r w:rsidR="007F4673" w:rsidRPr="00DC6757">
        <w:rPr>
          <w:rFonts w:ascii="Times New Roman" w:hAnsi="Times New Roman" w:cs="Times New Roman"/>
          <w:sz w:val="24"/>
          <w:szCs w:val="24"/>
        </w:rPr>
        <w:t>Toxicol</w:t>
      </w:r>
      <w:proofErr w:type="spellEnd"/>
      <w:r w:rsidR="007F4673" w:rsidRPr="00DC6757">
        <w:rPr>
          <w:rFonts w:ascii="Times New Roman" w:hAnsi="Times New Roman" w:cs="Times New Roman"/>
          <w:sz w:val="24"/>
          <w:szCs w:val="24"/>
        </w:rPr>
        <w:t xml:space="preserve"> Sci 142:312-320</w:t>
      </w:r>
    </w:p>
    <w:p w14:paraId="1EF96E9F" w14:textId="77777777" w:rsidR="00A6185C" w:rsidRPr="00DC6757" w:rsidRDefault="00A6185C" w:rsidP="00A6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Watanabe KH, Li Z, Kroll KJ, Villeneuve DL, Garc</w:t>
      </w:r>
      <w:r w:rsidR="007F4673" w:rsidRPr="00DC6757">
        <w:rPr>
          <w:rFonts w:ascii="Times New Roman" w:hAnsi="Times New Roman" w:cs="Times New Roman"/>
          <w:sz w:val="24"/>
          <w:szCs w:val="24"/>
        </w:rPr>
        <w:t>ia-Reyero N, Orlando EF</w:t>
      </w:r>
      <w:r w:rsidR="00AE400E" w:rsidRPr="00DC6757">
        <w:rPr>
          <w:rFonts w:ascii="Times New Roman" w:hAnsi="Times New Roman" w:cs="Times New Roman"/>
          <w:sz w:val="24"/>
          <w:szCs w:val="24"/>
        </w:rPr>
        <w:t xml:space="preserve">, </w:t>
      </w:r>
      <w:proofErr w:type="spellStart"/>
      <w:r w:rsidR="00AE400E" w:rsidRPr="00DC6757">
        <w:rPr>
          <w:rFonts w:ascii="Times New Roman" w:hAnsi="Times New Roman" w:cs="Times New Roman"/>
          <w:sz w:val="24"/>
          <w:szCs w:val="24"/>
        </w:rPr>
        <w:t>Supulveda</w:t>
      </w:r>
      <w:proofErr w:type="spellEnd"/>
      <w:r w:rsidR="00AE400E" w:rsidRPr="00DC6757">
        <w:rPr>
          <w:rFonts w:ascii="Times New Roman" w:hAnsi="Times New Roman" w:cs="Times New Roman"/>
          <w:sz w:val="24"/>
          <w:szCs w:val="24"/>
        </w:rPr>
        <w:t xml:space="preserve"> MS, Collette TW, Ekman DR, </w:t>
      </w:r>
      <w:proofErr w:type="spellStart"/>
      <w:r w:rsidR="00AE400E" w:rsidRPr="00DC6757">
        <w:rPr>
          <w:rFonts w:ascii="Times New Roman" w:hAnsi="Times New Roman" w:cs="Times New Roman"/>
          <w:sz w:val="24"/>
          <w:szCs w:val="24"/>
        </w:rPr>
        <w:t>Ankley</w:t>
      </w:r>
      <w:proofErr w:type="spellEnd"/>
      <w:r w:rsidR="00AE400E" w:rsidRPr="00DC6757">
        <w:rPr>
          <w:rFonts w:ascii="Times New Roman" w:hAnsi="Times New Roman" w:cs="Times New Roman"/>
          <w:sz w:val="24"/>
          <w:szCs w:val="24"/>
        </w:rPr>
        <w:t xml:space="preserve"> GT, Denslow ND.</w:t>
      </w:r>
      <w:r w:rsidR="007F4673" w:rsidRPr="00DC6757">
        <w:rPr>
          <w:rFonts w:ascii="Times New Roman" w:hAnsi="Times New Roman" w:cs="Times New Roman"/>
          <w:sz w:val="24"/>
          <w:szCs w:val="24"/>
        </w:rPr>
        <w:t xml:space="preserve"> </w:t>
      </w:r>
      <w:r w:rsidRPr="00DC6757">
        <w:rPr>
          <w:rFonts w:ascii="Times New Roman" w:hAnsi="Times New Roman" w:cs="Times New Roman"/>
          <w:sz w:val="24"/>
          <w:szCs w:val="24"/>
        </w:rPr>
        <w:t>20</w:t>
      </w:r>
      <w:r w:rsidR="007F4673" w:rsidRPr="00DC6757">
        <w:rPr>
          <w:rFonts w:ascii="Times New Roman" w:hAnsi="Times New Roman" w:cs="Times New Roman"/>
          <w:sz w:val="24"/>
          <w:szCs w:val="24"/>
        </w:rPr>
        <w:t>09.</w:t>
      </w:r>
      <w:r w:rsidRPr="00DC6757">
        <w:rPr>
          <w:rFonts w:ascii="Times New Roman" w:hAnsi="Times New Roman" w:cs="Times New Roman"/>
          <w:sz w:val="24"/>
          <w:szCs w:val="24"/>
        </w:rPr>
        <w:t xml:space="preserve"> A computational model of the hypothalamic-pituitary-gonadal axis in male fathead minnows exposed to 17α-</w:t>
      </w:r>
      <w:proofErr w:type="spellStart"/>
      <w:r w:rsidRPr="00DC6757">
        <w:rPr>
          <w:rFonts w:ascii="Times New Roman" w:hAnsi="Times New Roman" w:cs="Times New Roman"/>
          <w:sz w:val="24"/>
          <w:szCs w:val="24"/>
        </w:rPr>
        <w:t>ethinylestradiol</w:t>
      </w:r>
      <w:proofErr w:type="spellEnd"/>
      <w:r w:rsidRPr="00DC6757">
        <w:rPr>
          <w:rFonts w:ascii="Times New Roman" w:hAnsi="Times New Roman" w:cs="Times New Roman"/>
          <w:sz w:val="24"/>
          <w:szCs w:val="24"/>
        </w:rPr>
        <w:t xml:space="preserve"> and 17β-estradiol. </w:t>
      </w:r>
      <w:proofErr w:type="spellStart"/>
      <w:r w:rsidRPr="00DC6757">
        <w:rPr>
          <w:rFonts w:ascii="Times New Roman" w:hAnsi="Times New Roman" w:cs="Times New Roman"/>
          <w:sz w:val="24"/>
          <w:szCs w:val="24"/>
        </w:rPr>
        <w:t>Toxicol</w:t>
      </w:r>
      <w:proofErr w:type="spellEnd"/>
      <w:r w:rsidRPr="00DC6757">
        <w:rPr>
          <w:rFonts w:ascii="Times New Roman" w:hAnsi="Times New Roman" w:cs="Times New Roman"/>
          <w:sz w:val="24"/>
          <w:szCs w:val="24"/>
        </w:rPr>
        <w:t xml:space="preserve"> Sci </w:t>
      </w:r>
      <w:proofErr w:type="gramStart"/>
      <w:r w:rsidRPr="00DC6757">
        <w:rPr>
          <w:rFonts w:ascii="Times New Roman" w:hAnsi="Times New Roman" w:cs="Times New Roman"/>
          <w:sz w:val="24"/>
          <w:szCs w:val="24"/>
        </w:rPr>
        <w:t>p.kfp</w:t>
      </w:r>
      <w:proofErr w:type="gramEnd"/>
      <w:r w:rsidRPr="00DC6757">
        <w:rPr>
          <w:rFonts w:ascii="Times New Roman" w:hAnsi="Times New Roman" w:cs="Times New Roman"/>
          <w:sz w:val="24"/>
          <w:szCs w:val="24"/>
        </w:rPr>
        <w:t>069.</w:t>
      </w:r>
    </w:p>
    <w:p w14:paraId="62159AD5" w14:textId="77777777" w:rsidR="00C16B36" w:rsidRPr="00DC6757" w:rsidRDefault="00A6185C" w:rsidP="007F4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Williams TD, </w:t>
      </w:r>
      <w:proofErr w:type="spellStart"/>
      <w:r w:rsidRPr="00DC6757">
        <w:rPr>
          <w:rFonts w:ascii="Times New Roman" w:hAnsi="Times New Roman" w:cs="Times New Roman"/>
          <w:sz w:val="24"/>
          <w:szCs w:val="24"/>
        </w:rPr>
        <w:t>Turan</w:t>
      </w:r>
      <w:proofErr w:type="spellEnd"/>
      <w:r w:rsidRPr="00DC6757">
        <w:rPr>
          <w:rFonts w:ascii="Times New Roman" w:hAnsi="Times New Roman" w:cs="Times New Roman"/>
          <w:sz w:val="24"/>
          <w:szCs w:val="24"/>
        </w:rPr>
        <w:t xml:space="preserve"> N, Diab AM, Wu H,</w:t>
      </w:r>
      <w:r w:rsidR="00AE400E" w:rsidRPr="00DC6757">
        <w:rPr>
          <w:rFonts w:ascii="Times New Roman" w:hAnsi="Times New Roman" w:cs="Times New Roman"/>
          <w:sz w:val="24"/>
          <w:szCs w:val="24"/>
        </w:rPr>
        <w:t xml:space="preserve"> Mackenzie C, </w:t>
      </w:r>
      <w:proofErr w:type="spellStart"/>
      <w:r w:rsidR="00AE400E" w:rsidRPr="00DC6757">
        <w:rPr>
          <w:rFonts w:ascii="Times New Roman" w:hAnsi="Times New Roman" w:cs="Times New Roman"/>
          <w:sz w:val="24"/>
          <w:szCs w:val="24"/>
        </w:rPr>
        <w:t>Bartie</w:t>
      </w:r>
      <w:proofErr w:type="spellEnd"/>
      <w:r w:rsidR="00AE400E" w:rsidRPr="00DC6757">
        <w:rPr>
          <w:rFonts w:ascii="Times New Roman" w:hAnsi="Times New Roman" w:cs="Times New Roman"/>
          <w:sz w:val="24"/>
          <w:szCs w:val="24"/>
        </w:rPr>
        <w:t xml:space="preserve"> K</w:t>
      </w:r>
      <w:r w:rsidR="007F4673" w:rsidRPr="00DC6757">
        <w:rPr>
          <w:rFonts w:ascii="Times New Roman" w:hAnsi="Times New Roman" w:cs="Times New Roman"/>
          <w:sz w:val="24"/>
          <w:szCs w:val="24"/>
        </w:rPr>
        <w:t>L</w:t>
      </w:r>
      <w:r w:rsidR="00AE400E" w:rsidRPr="00DC6757">
        <w:rPr>
          <w:rFonts w:ascii="Times New Roman" w:hAnsi="Times New Roman" w:cs="Times New Roman"/>
          <w:sz w:val="24"/>
          <w:szCs w:val="24"/>
        </w:rPr>
        <w:t xml:space="preserve">, </w:t>
      </w:r>
      <w:proofErr w:type="spellStart"/>
      <w:r w:rsidR="00AE400E" w:rsidRPr="00DC6757">
        <w:rPr>
          <w:rFonts w:ascii="Times New Roman" w:hAnsi="Times New Roman" w:cs="Times New Roman"/>
          <w:sz w:val="24"/>
          <w:szCs w:val="24"/>
        </w:rPr>
        <w:t>Hrydziuszko</w:t>
      </w:r>
      <w:proofErr w:type="spellEnd"/>
      <w:r w:rsidR="00AE400E" w:rsidRPr="00DC6757">
        <w:rPr>
          <w:rFonts w:ascii="Times New Roman" w:hAnsi="Times New Roman" w:cs="Times New Roman"/>
          <w:sz w:val="24"/>
          <w:szCs w:val="24"/>
        </w:rPr>
        <w:t xml:space="preserve"> O, Lyons BP, </w:t>
      </w:r>
      <w:proofErr w:type="spellStart"/>
      <w:r w:rsidR="00AE400E" w:rsidRPr="00DC6757">
        <w:rPr>
          <w:rFonts w:ascii="Times New Roman" w:hAnsi="Times New Roman" w:cs="Times New Roman"/>
          <w:sz w:val="24"/>
          <w:szCs w:val="24"/>
        </w:rPr>
        <w:t>Stentiford</w:t>
      </w:r>
      <w:proofErr w:type="spellEnd"/>
      <w:r w:rsidR="00AE400E" w:rsidRPr="00DC6757">
        <w:rPr>
          <w:rFonts w:ascii="Times New Roman" w:hAnsi="Times New Roman" w:cs="Times New Roman"/>
          <w:sz w:val="24"/>
          <w:szCs w:val="24"/>
        </w:rPr>
        <w:t xml:space="preserve"> GD, Herbert JM, Abraham JK, Katsiadaki I, Leaver MJ, Taggart JB, George SG, </w:t>
      </w:r>
      <w:proofErr w:type="spellStart"/>
      <w:r w:rsidR="00AE400E" w:rsidRPr="00DC6757">
        <w:rPr>
          <w:rFonts w:ascii="Times New Roman" w:hAnsi="Times New Roman" w:cs="Times New Roman"/>
          <w:sz w:val="24"/>
          <w:szCs w:val="24"/>
        </w:rPr>
        <w:t>Viant</w:t>
      </w:r>
      <w:proofErr w:type="spellEnd"/>
      <w:r w:rsidR="00AE400E" w:rsidRPr="00DC6757">
        <w:rPr>
          <w:rFonts w:ascii="Times New Roman" w:hAnsi="Times New Roman" w:cs="Times New Roman"/>
          <w:sz w:val="24"/>
          <w:szCs w:val="24"/>
        </w:rPr>
        <w:t xml:space="preserve"> MR, Chipman KJ, Falciani F</w:t>
      </w:r>
      <w:r w:rsidR="007F4673" w:rsidRPr="00DC6757">
        <w:rPr>
          <w:rFonts w:ascii="Times New Roman" w:hAnsi="Times New Roman" w:cs="Times New Roman"/>
          <w:sz w:val="24"/>
          <w:szCs w:val="24"/>
        </w:rPr>
        <w:t>.2011.</w:t>
      </w:r>
      <w:r w:rsidRPr="00DC6757">
        <w:rPr>
          <w:rFonts w:ascii="Times New Roman" w:hAnsi="Times New Roman" w:cs="Times New Roman"/>
          <w:sz w:val="24"/>
          <w:szCs w:val="24"/>
        </w:rPr>
        <w:t xml:space="preserve"> Towards a system level understanding of non-model organisms sampled from the environment: a network biology approach</w:t>
      </w:r>
      <w:r w:rsidR="00C16B36" w:rsidRPr="00DC6757">
        <w:rPr>
          <w:rFonts w:ascii="Times New Roman" w:hAnsi="Times New Roman" w:cs="Times New Roman"/>
          <w:sz w:val="24"/>
          <w:szCs w:val="24"/>
        </w:rPr>
        <w:t xml:space="preserve">. </w:t>
      </w:r>
      <w:proofErr w:type="spellStart"/>
      <w:r w:rsidR="00C16B36" w:rsidRPr="00DC6757">
        <w:rPr>
          <w:rFonts w:ascii="Times New Roman" w:hAnsi="Times New Roman" w:cs="Times New Roman"/>
          <w:sz w:val="24"/>
          <w:szCs w:val="24"/>
        </w:rPr>
        <w:t>PLoS</w:t>
      </w:r>
      <w:proofErr w:type="spellEnd"/>
      <w:r w:rsidR="00C16B36" w:rsidRPr="00DC6757">
        <w:rPr>
          <w:rFonts w:ascii="Times New Roman" w:hAnsi="Times New Roman" w:cs="Times New Roman"/>
          <w:sz w:val="24"/>
          <w:szCs w:val="24"/>
        </w:rPr>
        <w:t xml:space="preserve"> </w:t>
      </w:r>
      <w:proofErr w:type="spellStart"/>
      <w:r w:rsidR="00C16B36" w:rsidRPr="00DC6757">
        <w:rPr>
          <w:rFonts w:ascii="Times New Roman" w:hAnsi="Times New Roman" w:cs="Times New Roman"/>
          <w:sz w:val="24"/>
          <w:szCs w:val="24"/>
        </w:rPr>
        <w:t>Comput</w:t>
      </w:r>
      <w:proofErr w:type="spellEnd"/>
      <w:r w:rsidR="00C16B36" w:rsidRPr="00DC6757">
        <w:rPr>
          <w:rFonts w:ascii="Times New Roman" w:hAnsi="Times New Roman" w:cs="Times New Roman"/>
          <w:sz w:val="24"/>
          <w:szCs w:val="24"/>
        </w:rPr>
        <w:t xml:space="preserve"> Biol, 7: e1002126</w:t>
      </w:r>
    </w:p>
    <w:p w14:paraId="71E1DA22" w14:textId="77777777" w:rsidR="00F26845" w:rsidRPr="00DC6757" w:rsidRDefault="00F26845" w:rsidP="007F4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imes New Roman" w:hAnsi="Times New Roman" w:cs="Times New Roman"/>
          <w:sz w:val="24"/>
          <w:szCs w:val="24"/>
        </w:rPr>
      </w:pPr>
      <w:r w:rsidRPr="00DC6757">
        <w:rPr>
          <w:rFonts w:ascii="Times New Roman" w:hAnsi="Times New Roman" w:cs="Times New Roman"/>
          <w:sz w:val="24"/>
          <w:szCs w:val="24"/>
        </w:rPr>
        <w:t xml:space="preserve">Zimmerman JP, </w:t>
      </w:r>
      <w:proofErr w:type="spellStart"/>
      <w:r w:rsidRPr="00DC6757">
        <w:rPr>
          <w:rFonts w:ascii="Times New Roman" w:hAnsi="Times New Roman" w:cs="Times New Roman"/>
          <w:sz w:val="24"/>
          <w:szCs w:val="24"/>
        </w:rPr>
        <w:t>Anastas</w:t>
      </w:r>
      <w:proofErr w:type="spellEnd"/>
      <w:r w:rsidRPr="00DC6757">
        <w:rPr>
          <w:rFonts w:ascii="Times New Roman" w:hAnsi="Times New Roman" w:cs="Times New Roman"/>
          <w:sz w:val="24"/>
          <w:szCs w:val="24"/>
        </w:rPr>
        <w:t xml:space="preserve"> PT. 2015. Towards designing safer chemicals. Science 347:215-215.</w:t>
      </w:r>
    </w:p>
    <w:p w14:paraId="007A34C1" w14:textId="77777777" w:rsidR="00D53688" w:rsidRPr="00DC6757" w:rsidRDefault="00D53688">
      <w:pPr>
        <w:rPr>
          <w:rFonts w:ascii="Times New Roman" w:hAnsi="Times New Roman" w:cs="Times New Roman"/>
          <w:sz w:val="24"/>
          <w:szCs w:val="24"/>
        </w:rPr>
      </w:pPr>
      <w:r w:rsidRPr="00DC6757">
        <w:rPr>
          <w:rFonts w:ascii="Times New Roman" w:hAnsi="Times New Roman" w:cs="Times New Roman"/>
          <w:sz w:val="24"/>
          <w:szCs w:val="24"/>
        </w:rPr>
        <w:br w:type="page"/>
      </w:r>
    </w:p>
    <w:p w14:paraId="6B4680E4" w14:textId="77777777" w:rsidR="005D53E5" w:rsidRPr="00DC6757" w:rsidRDefault="005D53E5" w:rsidP="00D53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4"/>
          <w:szCs w:val="24"/>
        </w:rPr>
      </w:pPr>
      <w:r w:rsidRPr="00DC6757">
        <w:rPr>
          <w:rFonts w:ascii="Times New Roman" w:hAnsi="Times New Roman" w:cs="Times New Roman"/>
          <w:b/>
          <w:sz w:val="24"/>
          <w:szCs w:val="24"/>
          <w:lang w:val="en-GB"/>
        </w:rPr>
        <w:lastRenderedPageBreak/>
        <w:t>List of Figures</w:t>
      </w:r>
    </w:p>
    <w:p w14:paraId="0ACB8E30" w14:textId="3F3CE031" w:rsidR="005D53E5" w:rsidRPr="00DC6757" w:rsidRDefault="005D53E5" w:rsidP="005D53E5">
      <w:pPr>
        <w:spacing w:after="0" w:line="240" w:lineRule="auto"/>
        <w:rPr>
          <w:rFonts w:ascii="Times New Roman" w:hAnsi="Times New Roman" w:cs="Times New Roman"/>
          <w:sz w:val="24"/>
          <w:szCs w:val="16"/>
        </w:rPr>
      </w:pPr>
      <w:r w:rsidRPr="00DC6757">
        <w:rPr>
          <w:rFonts w:ascii="Times New Roman" w:hAnsi="Times New Roman" w:cs="Times New Roman"/>
          <w:b/>
          <w:sz w:val="24"/>
          <w:szCs w:val="16"/>
        </w:rPr>
        <w:t>Figure 1</w:t>
      </w:r>
      <w:r w:rsidRPr="00DC6757">
        <w:rPr>
          <w:rFonts w:ascii="Times New Roman" w:hAnsi="Times New Roman" w:cs="Times New Roman"/>
          <w:sz w:val="24"/>
          <w:szCs w:val="16"/>
        </w:rPr>
        <w:t>: A conceptual</w:t>
      </w:r>
      <w:r w:rsidR="00A148C8" w:rsidRPr="00DC6757">
        <w:rPr>
          <w:rFonts w:ascii="Times New Roman" w:hAnsi="Times New Roman" w:cs="Times New Roman"/>
          <w:sz w:val="24"/>
          <w:szCs w:val="16"/>
        </w:rPr>
        <w:t xml:space="preserve"> model</w:t>
      </w:r>
      <w:r w:rsidRPr="00DC6757">
        <w:rPr>
          <w:rFonts w:ascii="Times New Roman" w:hAnsi="Times New Roman" w:cs="Times New Roman"/>
          <w:sz w:val="24"/>
          <w:szCs w:val="16"/>
        </w:rPr>
        <w:t xml:space="preserve"> to link AOPs to DEB for a </w:t>
      </w:r>
      <w:proofErr w:type="gramStart"/>
      <w:r w:rsidRPr="00DC6757">
        <w:rPr>
          <w:rFonts w:ascii="Times New Roman" w:hAnsi="Times New Roman" w:cs="Times New Roman"/>
          <w:sz w:val="24"/>
          <w:szCs w:val="16"/>
        </w:rPr>
        <w:t>particular stressor/contaminant</w:t>
      </w:r>
      <w:proofErr w:type="gramEnd"/>
      <w:r w:rsidRPr="00DC6757">
        <w:rPr>
          <w:rFonts w:ascii="Times New Roman" w:hAnsi="Times New Roman" w:cs="Times New Roman"/>
          <w:sz w:val="24"/>
          <w:szCs w:val="16"/>
        </w:rPr>
        <w:t xml:space="preserve"> scenario will first require an inventory of the key events (KEs) affected in different organs and at different levels of biological organization, - such as molecular, cellular, organ level responses. Ce refers to concentration of toxicant external to the organism, and Ci is the concentration inside the organism. Dynamic Energy Budget integrate the key events and act as a pivot to population level outcomes.</w:t>
      </w:r>
    </w:p>
    <w:p w14:paraId="3E1A80E8" w14:textId="77777777" w:rsidR="005D53E5" w:rsidRPr="00DC6757" w:rsidRDefault="005D53E5" w:rsidP="004D7DC4">
      <w:pPr>
        <w:spacing w:after="0" w:line="240" w:lineRule="auto"/>
        <w:rPr>
          <w:rFonts w:ascii="Times New Roman" w:hAnsi="Times New Roman" w:cs="Times New Roman"/>
          <w:b/>
          <w:sz w:val="24"/>
          <w:szCs w:val="24"/>
          <w:lang w:val="en-GB"/>
        </w:rPr>
      </w:pPr>
    </w:p>
    <w:p w14:paraId="19D02A56" w14:textId="3C81373D" w:rsidR="007211F6" w:rsidRPr="00DC6757" w:rsidRDefault="007211F6" w:rsidP="007211F6">
      <w:pPr>
        <w:pStyle w:val="NoSpacing"/>
        <w:jc w:val="both"/>
        <w:rPr>
          <w:rFonts w:ascii="Times New Roman" w:hAnsi="Times New Roman" w:cs="Times New Roman"/>
          <w:sz w:val="24"/>
          <w:szCs w:val="24"/>
        </w:rPr>
      </w:pPr>
      <w:r w:rsidRPr="00DC6757">
        <w:rPr>
          <w:rFonts w:ascii="Times New Roman" w:hAnsi="Times New Roman" w:cs="Times New Roman"/>
          <w:b/>
          <w:sz w:val="24"/>
          <w:szCs w:val="24"/>
          <w:lang w:val="en-US"/>
        </w:rPr>
        <w:t>Figure 2</w:t>
      </w:r>
      <w:r w:rsidRPr="00DC6757">
        <w:rPr>
          <w:rFonts w:ascii="Times New Roman" w:hAnsi="Times New Roman" w:cs="Times New Roman"/>
          <w:sz w:val="24"/>
          <w:szCs w:val="24"/>
          <w:lang w:val="en-US"/>
        </w:rPr>
        <w:t>.</w:t>
      </w:r>
      <w:r w:rsidRPr="00DC6757">
        <w:rPr>
          <w:rFonts w:ascii="Times New Roman" w:hAnsi="Times New Roman" w:cs="Times New Roman"/>
          <w:sz w:val="24"/>
          <w:szCs w:val="24"/>
        </w:rPr>
        <w:t xml:space="preserve"> Key event network (mode of action) translates to </w:t>
      </w:r>
      <w:r w:rsidRPr="00DC6757">
        <w:rPr>
          <w:rFonts w:ascii="Times New Roman" w:hAnsi="Times New Roman" w:cs="Times New Roman"/>
          <w:sz w:val="24"/>
          <w:szCs w:val="24"/>
          <w:lang w:val="en-US"/>
        </w:rPr>
        <w:t>some measure of</w:t>
      </w:r>
      <w:r w:rsidRPr="00DC6757">
        <w:rPr>
          <w:rFonts w:ascii="Times New Roman" w:hAnsi="Times New Roman" w:cs="Times New Roman"/>
          <w:sz w:val="24"/>
          <w:szCs w:val="24"/>
        </w:rPr>
        <w:t xml:space="preserve"> damage that would have to be related to key rates</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or allocations (indicated by red arrows</w:t>
      </w:r>
      <w:r w:rsidRPr="00DC6757">
        <w:rPr>
          <w:rFonts w:ascii="Times New Roman" w:hAnsi="Times New Roman" w:cs="Times New Roman"/>
          <w:sz w:val="24"/>
          <w:szCs w:val="24"/>
          <w:lang w:val="en-US"/>
        </w:rPr>
        <w:t>)</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in dynamic energy budget models</w:t>
      </w:r>
      <w:r w:rsidRPr="00DC6757">
        <w:rPr>
          <w:rFonts w:ascii="Times New Roman" w:hAnsi="Times New Roman" w:cs="Times New Roman"/>
          <w:sz w:val="24"/>
          <w:szCs w:val="24"/>
          <w:lang w:val="en-US"/>
        </w:rPr>
        <w:t>.</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Here, two different AOPs are represented, one related to reproduction, and the second related to growth.</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 xml:space="preserve">While more complex relationships are likely, we show here for clarity a simple one-to-one relationship between a MIE and one DEB parameter (indicated by larger red arrows). Estrogen receptor assays (e.g. such as those used in screening programs like </w:t>
      </w:r>
      <w:proofErr w:type="spellStart"/>
      <w:r w:rsidRPr="00DC6757">
        <w:rPr>
          <w:rFonts w:ascii="Times New Roman" w:hAnsi="Times New Roman" w:cs="Times New Roman"/>
          <w:sz w:val="24"/>
          <w:szCs w:val="24"/>
          <w:lang w:val="en-US"/>
        </w:rPr>
        <w:t>ToxCast</w:t>
      </w:r>
      <w:proofErr w:type="spellEnd"/>
      <w:r w:rsidRPr="00DC6757">
        <w:rPr>
          <w:rFonts w:ascii="Times New Roman" w:hAnsi="Times New Roman" w:cs="Times New Roman"/>
          <w:sz w:val="24"/>
          <w:szCs w:val="24"/>
          <w:lang w:val="en-US"/>
        </w:rPr>
        <w:t xml:space="preserve"> (</w:t>
      </w:r>
      <w:hyperlink r:id="rId12" w:history="1">
        <w:r w:rsidRPr="00DC6757">
          <w:rPr>
            <w:rStyle w:val="Hyperlink"/>
            <w:rFonts w:ascii="Times New Roman" w:hAnsi="Times New Roman" w:cs="Times New Roman"/>
            <w:sz w:val="24"/>
            <w:szCs w:val="24"/>
            <w:lang w:val="en-US"/>
          </w:rPr>
          <w:t>https://www.epa.gov/chemical-research/toxcast-dashboard</w:t>
        </w:r>
      </w:hyperlink>
      <w:r w:rsidRPr="00DC6757">
        <w:rPr>
          <w:rFonts w:ascii="Times New Roman" w:hAnsi="Times New Roman" w:cs="Times New Roman"/>
          <w:sz w:val="24"/>
          <w:szCs w:val="24"/>
          <w:lang w:val="en-US"/>
        </w:rPr>
        <w:t>) can inform vitellogenesis, egg production, and population trajectories (</w:t>
      </w:r>
      <w:hyperlink r:id="rId13" w:history="1">
        <w:r w:rsidRPr="00DC6757">
          <w:rPr>
            <w:rStyle w:val="Hyperlink"/>
            <w:rFonts w:ascii="Times New Roman" w:hAnsi="Times New Roman" w:cs="Times New Roman"/>
            <w:sz w:val="24"/>
            <w:szCs w:val="24"/>
          </w:rPr>
          <w:t>https://aopwiki.org/aops/30</w:t>
        </w:r>
      </w:hyperlink>
      <w:r w:rsidRPr="00DC6757">
        <w:rPr>
          <w:rFonts w:ascii="Times New Roman" w:hAnsi="Times New Roman" w:cs="Times New Roman"/>
          <w:sz w:val="24"/>
          <w:szCs w:val="24"/>
          <w:lang w:val="en-US"/>
        </w:rPr>
        <w:t>) and could potentially link to the partitioning rule in DEB that determines what proportion of energy goes towards reproduction or growth, but also to the utilization of material in the reproductive buffer.</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 xml:space="preserve">Similarly, information from PPARα assays (such as those included in </w:t>
      </w:r>
      <w:proofErr w:type="spellStart"/>
      <w:r w:rsidRPr="00DC6757">
        <w:rPr>
          <w:rFonts w:ascii="Times New Roman" w:hAnsi="Times New Roman" w:cs="Times New Roman"/>
          <w:sz w:val="24"/>
          <w:szCs w:val="24"/>
          <w:lang w:val="en-US"/>
        </w:rPr>
        <w:t>ToxCast</w:t>
      </w:r>
      <w:proofErr w:type="spellEnd"/>
      <w:r w:rsidRPr="00DC6757">
        <w:rPr>
          <w:rFonts w:ascii="Times New Roman" w:hAnsi="Times New Roman" w:cs="Times New Roman"/>
          <w:sz w:val="24"/>
          <w:szCs w:val="24"/>
          <w:lang w:val="en-US"/>
        </w:rPr>
        <w:t xml:space="preserve"> screening </w:t>
      </w:r>
      <w:proofErr w:type="gramStart"/>
      <w:r w:rsidRPr="00DC6757">
        <w:rPr>
          <w:rFonts w:ascii="Times New Roman" w:hAnsi="Times New Roman" w:cs="Times New Roman"/>
          <w:sz w:val="24"/>
          <w:szCs w:val="24"/>
          <w:lang w:val="en-US"/>
        </w:rPr>
        <w:t>-</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 xml:space="preserve"> </w:t>
      </w:r>
      <w:proofErr w:type="spellStart"/>
      <w:r w:rsidRPr="00DC6757">
        <w:rPr>
          <w:rFonts w:ascii="Times New Roman" w:hAnsi="Times New Roman" w:cs="Times New Roman"/>
          <w:sz w:val="24"/>
          <w:szCs w:val="24"/>
          <w:lang w:val="en-US"/>
        </w:rPr>
        <w:t>Toxcast</w:t>
      </w:r>
      <w:proofErr w:type="spellEnd"/>
      <w:proofErr w:type="gramEnd"/>
      <w:r w:rsidRPr="00DC6757">
        <w:rPr>
          <w:rFonts w:ascii="Times New Roman" w:hAnsi="Times New Roman" w:cs="Times New Roman"/>
          <w:sz w:val="24"/>
          <w:szCs w:val="24"/>
          <w:lang w:val="en-US"/>
        </w:rPr>
        <w:t xml:space="preserve"> lists 3 assays two are human liver cell based (for CIS and TRANS config); the third is cell-free).</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PPARα antagonism leads to reduced ability to obtain energy from fatty acids and reduces the production of ketone bodies and ultimately results in increased muscle protein catabolism that reduces body weight in an individual (</w:t>
      </w:r>
      <w:hyperlink r:id="rId14" w:history="1">
        <w:r w:rsidRPr="00DC6757">
          <w:rPr>
            <w:rStyle w:val="Hyperlink"/>
            <w:rFonts w:ascii="Times New Roman" w:hAnsi="Times New Roman" w:cs="Times New Roman"/>
            <w:sz w:val="24"/>
            <w:szCs w:val="24"/>
            <w:lang w:val="en-US"/>
          </w:rPr>
          <w:t>https://aopwiki.org/aops/6</w:t>
        </w:r>
      </w:hyperlink>
      <w:r w:rsidRPr="00DC6757">
        <w:rPr>
          <w:rFonts w:ascii="Times New Roman" w:hAnsi="Times New Roman" w:cs="Times New Roman"/>
          <w:sz w:val="24"/>
          <w:szCs w:val="24"/>
          <w:lang w:val="en-US"/>
        </w:rPr>
        <w:t xml:space="preserve">). Again, one AOP may </w:t>
      </w:r>
      <w:proofErr w:type="gramStart"/>
      <w:r w:rsidRPr="00DC6757">
        <w:rPr>
          <w:rFonts w:ascii="Times New Roman" w:hAnsi="Times New Roman" w:cs="Times New Roman"/>
          <w:sz w:val="24"/>
          <w:szCs w:val="24"/>
          <w:lang w:val="en-US"/>
        </w:rPr>
        <w:t>actually link</w:t>
      </w:r>
      <w:proofErr w:type="gramEnd"/>
      <w:r w:rsidRPr="00DC6757">
        <w:rPr>
          <w:rFonts w:ascii="Times New Roman" w:hAnsi="Times New Roman" w:cs="Times New Roman"/>
          <w:sz w:val="24"/>
          <w:szCs w:val="24"/>
          <w:lang w:val="en-US"/>
        </w:rPr>
        <w:t xml:space="preserve"> to more than one flux in DEB.</w:t>
      </w:r>
    </w:p>
    <w:p w14:paraId="0B6F8265" w14:textId="77777777" w:rsidR="005D53E5" w:rsidRPr="00DC6757" w:rsidRDefault="005D53E5" w:rsidP="004D7DC4">
      <w:pPr>
        <w:spacing w:after="0" w:line="240" w:lineRule="auto"/>
        <w:rPr>
          <w:rFonts w:ascii="Times New Roman" w:hAnsi="Times New Roman" w:cs="Times New Roman"/>
          <w:b/>
          <w:sz w:val="24"/>
          <w:szCs w:val="24"/>
          <w:lang w:val="en-GB"/>
        </w:rPr>
      </w:pPr>
    </w:p>
    <w:p w14:paraId="4FEA1B42" w14:textId="718C6599" w:rsidR="005D53E5" w:rsidRPr="00DC6757" w:rsidRDefault="005D53E5" w:rsidP="005D53E5">
      <w:pPr>
        <w:spacing w:after="0" w:line="240" w:lineRule="auto"/>
        <w:rPr>
          <w:rFonts w:ascii="Times New Roman" w:hAnsi="Times New Roman" w:cs="Times New Roman"/>
          <w:sz w:val="24"/>
          <w:lang w:val="en-GB"/>
        </w:rPr>
      </w:pPr>
      <w:r w:rsidRPr="00DC6757">
        <w:rPr>
          <w:rFonts w:ascii="Times New Roman" w:hAnsi="Times New Roman" w:cs="Times New Roman"/>
          <w:b/>
          <w:sz w:val="24"/>
          <w:lang w:val="en-GB"/>
        </w:rPr>
        <w:t>Figure 3</w:t>
      </w:r>
      <w:r w:rsidRPr="00DC6757">
        <w:rPr>
          <w:rFonts w:ascii="Times New Roman" w:hAnsi="Times New Roman" w:cs="Times New Roman"/>
          <w:sz w:val="24"/>
          <w:lang w:val="en-GB"/>
        </w:rPr>
        <w:t>.</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 xml:space="preserve">One approach to link </w:t>
      </w:r>
      <w:proofErr w:type="spellStart"/>
      <w:r w:rsidRPr="00DC6757">
        <w:rPr>
          <w:rFonts w:ascii="Times New Roman" w:hAnsi="Times New Roman" w:cs="Times New Roman"/>
          <w:sz w:val="24"/>
          <w:lang w:val="en-GB"/>
        </w:rPr>
        <w:t>qAOPs</w:t>
      </w:r>
      <w:proofErr w:type="spellEnd"/>
      <w:r w:rsidRPr="00DC6757">
        <w:rPr>
          <w:rFonts w:ascii="Times New Roman" w:hAnsi="Times New Roman" w:cs="Times New Roman"/>
          <w:sz w:val="24"/>
          <w:lang w:val="en-GB"/>
        </w:rPr>
        <w:t xml:space="preserve"> to DEB is to create a simplified </w:t>
      </w:r>
      <w:proofErr w:type="spellStart"/>
      <w:r w:rsidRPr="00DC6757">
        <w:rPr>
          <w:rFonts w:ascii="Times New Roman" w:hAnsi="Times New Roman" w:cs="Times New Roman"/>
          <w:sz w:val="24"/>
          <w:lang w:val="en-GB"/>
        </w:rPr>
        <w:t>submodel</w:t>
      </w:r>
      <w:proofErr w:type="spellEnd"/>
      <w:r w:rsidRPr="00DC6757">
        <w:rPr>
          <w:rFonts w:ascii="Times New Roman" w:hAnsi="Times New Roman" w:cs="Times New Roman"/>
          <w:sz w:val="24"/>
          <w:lang w:val="en-GB"/>
        </w:rPr>
        <w:t xml:space="preserve"> of the physiological processes (in this case the hormones involved in the fish hypothalamic-pituitary-gonadal</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w:t>
      </w:r>
      <w:proofErr w:type="spellStart"/>
      <w:r w:rsidRPr="00DC6757">
        <w:rPr>
          <w:rFonts w:ascii="Times New Roman" w:hAnsi="Times New Roman" w:cs="Times New Roman"/>
          <w:sz w:val="24"/>
          <w:lang w:val="en-GB"/>
        </w:rPr>
        <w:t>HPGaxis</w:t>
      </w:r>
      <w:proofErr w:type="spellEnd"/>
      <w:r w:rsidRPr="00DC6757">
        <w:rPr>
          <w:rFonts w:ascii="Times New Roman" w:hAnsi="Times New Roman" w:cs="Times New Roman"/>
          <w:sz w:val="24"/>
          <w:lang w:val="en-GB"/>
        </w:rPr>
        <w:t xml:space="preserve">) and this </w:t>
      </w:r>
      <w:proofErr w:type="spellStart"/>
      <w:r w:rsidRPr="00DC6757">
        <w:rPr>
          <w:rFonts w:ascii="Times New Roman" w:hAnsi="Times New Roman" w:cs="Times New Roman"/>
          <w:sz w:val="24"/>
          <w:lang w:val="en-GB"/>
        </w:rPr>
        <w:t>submodel</w:t>
      </w:r>
      <w:proofErr w:type="spellEnd"/>
      <w:r w:rsidRPr="00DC6757">
        <w:rPr>
          <w:rFonts w:ascii="Times New Roman" w:hAnsi="Times New Roman" w:cs="Times New Roman"/>
          <w:sz w:val="24"/>
          <w:lang w:val="en-GB"/>
        </w:rPr>
        <w:t xml:space="preserve"> can regulate </w:t>
      </w:r>
      <w:r w:rsidR="006360FF" w:rsidRPr="00DC6757">
        <w:rPr>
          <w:rFonts w:ascii="Times New Roman" w:hAnsi="Times New Roman" w:cs="Times New Roman"/>
          <w:sz w:val="24"/>
          <w:lang w:val="en-GB"/>
        </w:rPr>
        <w:t xml:space="preserve">model </w:t>
      </w:r>
      <w:r w:rsidRPr="00DC6757">
        <w:rPr>
          <w:rFonts w:ascii="Times New Roman" w:hAnsi="Times New Roman" w:cs="Times New Roman"/>
          <w:sz w:val="24"/>
          <w:lang w:val="en-GB"/>
        </w:rPr>
        <w:t>fluxes within the standard DEB by interfacing with synthesizing units (SU, blue dot).</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The model of the HPG axis is reduced into forcing function, regulator, activator and activate- regulator.</w:t>
      </w:r>
    </w:p>
    <w:p w14:paraId="63248027" w14:textId="77777777" w:rsidR="005D53E5" w:rsidRPr="00DC6757" w:rsidRDefault="005D53E5" w:rsidP="005D53E5">
      <w:pPr>
        <w:spacing w:after="0" w:line="240" w:lineRule="auto"/>
        <w:rPr>
          <w:rFonts w:ascii="Times New Roman" w:hAnsi="Times New Roman" w:cs="Times New Roman"/>
          <w:sz w:val="24"/>
          <w:lang w:val="en-GB"/>
        </w:rPr>
      </w:pPr>
    </w:p>
    <w:p w14:paraId="0A553575" w14:textId="77777777" w:rsidR="005D53E5" w:rsidRPr="00DC6757" w:rsidRDefault="005D53E5" w:rsidP="005D53E5">
      <w:pPr>
        <w:spacing w:after="0" w:line="240" w:lineRule="auto"/>
        <w:rPr>
          <w:rFonts w:ascii="Times New Roman" w:hAnsi="Times New Roman" w:cs="Times New Roman"/>
          <w:sz w:val="24"/>
          <w:lang w:val="en-GB"/>
        </w:rPr>
      </w:pPr>
    </w:p>
    <w:p w14:paraId="01F08274" w14:textId="77777777" w:rsidR="005D53E5" w:rsidRPr="00DC6757" w:rsidRDefault="005D53E5" w:rsidP="005D53E5">
      <w:pPr>
        <w:pStyle w:val="NoSpacing"/>
        <w:jc w:val="both"/>
        <w:rPr>
          <w:rFonts w:ascii="Times New Roman" w:hAnsi="Times New Roman" w:cs="Times New Roman"/>
          <w:sz w:val="16"/>
          <w:szCs w:val="16"/>
          <w:lang w:val="en-US"/>
        </w:rPr>
      </w:pPr>
      <w:r w:rsidRPr="00DC6757">
        <w:rPr>
          <w:rFonts w:ascii="Times New Roman" w:hAnsi="Times New Roman" w:cs="Times New Roman"/>
          <w:b/>
          <w:sz w:val="24"/>
          <w:szCs w:val="16"/>
          <w:lang w:val="en-US"/>
        </w:rPr>
        <w:t>Figure. 4</w:t>
      </w:r>
      <w:r w:rsidRPr="00DC6757">
        <w:rPr>
          <w:rFonts w:ascii="Times New Roman" w:hAnsi="Times New Roman" w:cs="Times New Roman"/>
          <w:sz w:val="24"/>
          <w:szCs w:val="16"/>
          <w:lang w:val="en-US"/>
        </w:rPr>
        <w:t>: Schematic relating parallel descriptions of sub-organismal processes (AOP and DEB) and how they can interact to improve predictions of how whole organisms respond to stressors</w:t>
      </w:r>
      <w:r w:rsidRPr="00DC6757">
        <w:rPr>
          <w:rFonts w:ascii="Times New Roman" w:hAnsi="Times New Roman" w:cs="Times New Roman"/>
          <w:sz w:val="16"/>
          <w:szCs w:val="16"/>
          <w:lang w:val="en-US"/>
        </w:rPr>
        <w:t xml:space="preserve">. </w:t>
      </w:r>
    </w:p>
    <w:p w14:paraId="02C9516B" w14:textId="77777777" w:rsidR="005D53E5" w:rsidRPr="00DC6757" w:rsidRDefault="005D53E5" w:rsidP="004D7DC4">
      <w:pPr>
        <w:spacing w:after="0" w:line="240" w:lineRule="auto"/>
        <w:rPr>
          <w:rFonts w:ascii="Times New Roman" w:hAnsi="Times New Roman" w:cs="Times New Roman"/>
          <w:b/>
          <w:sz w:val="24"/>
          <w:szCs w:val="24"/>
          <w:lang w:val="en-GB"/>
        </w:rPr>
      </w:pPr>
    </w:p>
    <w:p w14:paraId="00452EF9" w14:textId="77777777" w:rsidR="00C16B36" w:rsidRPr="00DC6757" w:rsidRDefault="00C16B36" w:rsidP="004D7DC4">
      <w:pPr>
        <w:spacing w:after="0" w:line="240" w:lineRule="auto"/>
        <w:rPr>
          <w:rFonts w:ascii="Times New Roman" w:hAnsi="Times New Roman" w:cs="Times New Roman"/>
          <w:b/>
          <w:sz w:val="24"/>
          <w:szCs w:val="24"/>
          <w:lang w:val="en-GB"/>
        </w:rPr>
      </w:pPr>
    </w:p>
    <w:p w14:paraId="7927BA4D" w14:textId="77777777" w:rsidR="00C16B36" w:rsidRPr="00DC6757" w:rsidRDefault="00C16B36" w:rsidP="004D7DC4">
      <w:pPr>
        <w:spacing w:after="0" w:line="240" w:lineRule="auto"/>
        <w:rPr>
          <w:rFonts w:ascii="Times New Roman" w:hAnsi="Times New Roman" w:cs="Times New Roman"/>
          <w:b/>
          <w:sz w:val="24"/>
          <w:szCs w:val="24"/>
          <w:lang w:val="en-GB"/>
        </w:rPr>
      </w:pPr>
    </w:p>
    <w:p w14:paraId="042308DD" w14:textId="77777777" w:rsidR="00C16B36" w:rsidRPr="00DC6757" w:rsidRDefault="00C16B36" w:rsidP="004D7DC4">
      <w:pPr>
        <w:spacing w:after="0" w:line="240" w:lineRule="auto"/>
        <w:rPr>
          <w:rFonts w:ascii="Times New Roman" w:hAnsi="Times New Roman" w:cs="Times New Roman"/>
          <w:b/>
          <w:sz w:val="24"/>
          <w:szCs w:val="24"/>
          <w:lang w:val="en-GB"/>
        </w:rPr>
      </w:pPr>
    </w:p>
    <w:p w14:paraId="4F17B5DD" w14:textId="77777777" w:rsidR="00C16B36" w:rsidRPr="00DC6757" w:rsidRDefault="00C16B36" w:rsidP="004D7DC4">
      <w:pPr>
        <w:spacing w:after="0" w:line="240" w:lineRule="auto"/>
        <w:rPr>
          <w:rFonts w:ascii="Times New Roman" w:hAnsi="Times New Roman" w:cs="Times New Roman"/>
          <w:b/>
          <w:sz w:val="24"/>
          <w:szCs w:val="24"/>
          <w:lang w:val="en-GB"/>
        </w:rPr>
      </w:pPr>
    </w:p>
    <w:p w14:paraId="5BA8C63C" w14:textId="77777777" w:rsidR="00C16B36" w:rsidRPr="00DC6757" w:rsidRDefault="00C16B36" w:rsidP="004D7DC4">
      <w:pPr>
        <w:spacing w:after="0" w:line="240" w:lineRule="auto"/>
        <w:rPr>
          <w:rFonts w:ascii="Times New Roman" w:hAnsi="Times New Roman" w:cs="Times New Roman"/>
          <w:b/>
          <w:sz w:val="24"/>
          <w:szCs w:val="24"/>
          <w:lang w:val="en-GB"/>
        </w:rPr>
      </w:pPr>
    </w:p>
    <w:p w14:paraId="74C9DBA9" w14:textId="77777777" w:rsidR="00C16B36" w:rsidRPr="00DC6757" w:rsidRDefault="00C16B36" w:rsidP="004D7DC4">
      <w:pPr>
        <w:spacing w:after="0" w:line="240" w:lineRule="auto"/>
        <w:rPr>
          <w:rFonts w:ascii="Times New Roman" w:hAnsi="Times New Roman" w:cs="Times New Roman"/>
          <w:b/>
          <w:sz w:val="24"/>
          <w:szCs w:val="24"/>
          <w:lang w:val="en-GB"/>
        </w:rPr>
      </w:pPr>
    </w:p>
    <w:p w14:paraId="7EFCE9DD" w14:textId="77777777" w:rsidR="00C16B36" w:rsidRPr="00DC6757" w:rsidRDefault="00C16B36" w:rsidP="004D7DC4">
      <w:pPr>
        <w:spacing w:after="0" w:line="240" w:lineRule="auto"/>
        <w:rPr>
          <w:rFonts w:ascii="Times New Roman" w:hAnsi="Times New Roman" w:cs="Times New Roman"/>
          <w:b/>
          <w:sz w:val="24"/>
          <w:szCs w:val="24"/>
          <w:lang w:val="en-GB"/>
        </w:rPr>
      </w:pPr>
    </w:p>
    <w:p w14:paraId="47A4ACB6" w14:textId="77777777" w:rsidR="00C16B36" w:rsidRPr="00DC6757" w:rsidRDefault="00C16B36" w:rsidP="004D7DC4">
      <w:pPr>
        <w:spacing w:after="0" w:line="240" w:lineRule="auto"/>
        <w:rPr>
          <w:rFonts w:ascii="Times New Roman" w:hAnsi="Times New Roman" w:cs="Times New Roman"/>
          <w:b/>
          <w:sz w:val="24"/>
          <w:szCs w:val="24"/>
          <w:lang w:val="en-GB"/>
        </w:rPr>
      </w:pPr>
    </w:p>
    <w:p w14:paraId="13828B7A" w14:textId="77777777" w:rsidR="00C16B36" w:rsidRPr="00DC6757" w:rsidRDefault="00C16B36" w:rsidP="004D7DC4">
      <w:pPr>
        <w:spacing w:after="0" w:line="240" w:lineRule="auto"/>
        <w:rPr>
          <w:rFonts w:ascii="Times New Roman" w:hAnsi="Times New Roman" w:cs="Times New Roman"/>
          <w:b/>
          <w:sz w:val="24"/>
          <w:szCs w:val="24"/>
          <w:lang w:val="en-GB"/>
        </w:rPr>
      </w:pPr>
    </w:p>
    <w:p w14:paraId="122D7421" w14:textId="77777777" w:rsidR="00C16B36" w:rsidRPr="00DC6757" w:rsidRDefault="00C16B36" w:rsidP="004D7DC4">
      <w:pPr>
        <w:spacing w:after="0" w:line="240" w:lineRule="auto"/>
        <w:rPr>
          <w:rFonts w:ascii="Times New Roman" w:hAnsi="Times New Roman" w:cs="Times New Roman"/>
          <w:b/>
          <w:sz w:val="24"/>
          <w:szCs w:val="24"/>
          <w:lang w:val="en-GB"/>
        </w:rPr>
      </w:pPr>
    </w:p>
    <w:p w14:paraId="74CCE14A" w14:textId="77777777" w:rsidR="00C16B36" w:rsidRPr="00DC6757" w:rsidRDefault="00C16B36" w:rsidP="004D7DC4">
      <w:pPr>
        <w:spacing w:after="0" w:line="240" w:lineRule="auto"/>
        <w:rPr>
          <w:rFonts w:ascii="Times New Roman" w:hAnsi="Times New Roman" w:cs="Times New Roman"/>
          <w:b/>
          <w:sz w:val="24"/>
          <w:szCs w:val="24"/>
          <w:lang w:val="en-GB"/>
        </w:rPr>
      </w:pPr>
    </w:p>
    <w:p w14:paraId="72EBC2C6" w14:textId="77777777" w:rsidR="00C16B36" w:rsidRPr="00DC6757" w:rsidRDefault="00C16B36" w:rsidP="004D7DC4">
      <w:pPr>
        <w:spacing w:after="0" w:line="240" w:lineRule="auto"/>
        <w:rPr>
          <w:rFonts w:ascii="Times New Roman" w:hAnsi="Times New Roman" w:cs="Times New Roman"/>
          <w:b/>
          <w:sz w:val="24"/>
          <w:szCs w:val="24"/>
          <w:lang w:val="en-GB"/>
        </w:rPr>
      </w:pPr>
    </w:p>
    <w:p w14:paraId="599C1F89" w14:textId="77777777" w:rsidR="00C16B36" w:rsidRPr="00DC6757" w:rsidRDefault="00C16B36" w:rsidP="004D7DC4">
      <w:pPr>
        <w:spacing w:after="0" w:line="240" w:lineRule="auto"/>
        <w:rPr>
          <w:rFonts w:ascii="Times New Roman" w:hAnsi="Times New Roman" w:cs="Times New Roman"/>
          <w:b/>
          <w:sz w:val="24"/>
          <w:szCs w:val="24"/>
          <w:lang w:val="en-GB"/>
        </w:rPr>
      </w:pPr>
    </w:p>
    <w:p w14:paraId="5572C37A" w14:textId="77777777" w:rsidR="00C16B36" w:rsidRPr="00DC6757" w:rsidRDefault="00C16B36" w:rsidP="004D7DC4">
      <w:pPr>
        <w:spacing w:after="0" w:line="240" w:lineRule="auto"/>
        <w:rPr>
          <w:rFonts w:ascii="Times New Roman" w:hAnsi="Times New Roman" w:cs="Times New Roman"/>
          <w:b/>
          <w:sz w:val="24"/>
          <w:szCs w:val="24"/>
          <w:lang w:val="en-GB"/>
        </w:rPr>
      </w:pPr>
    </w:p>
    <w:p w14:paraId="2EC21110" w14:textId="77777777" w:rsidR="00C16B36" w:rsidRPr="00DC6757" w:rsidRDefault="00C16B36" w:rsidP="00C16B36">
      <w:pPr>
        <w:spacing w:after="0" w:line="240" w:lineRule="auto"/>
        <w:rPr>
          <w:rFonts w:ascii="Times New Roman" w:hAnsi="Times New Roman" w:cs="Times New Roman"/>
          <w:b/>
          <w:sz w:val="24"/>
          <w:szCs w:val="24"/>
          <w:lang w:val="en-GB"/>
        </w:rPr>
      </w:pPr>
    </w:p>
    <w:p w14:paraId="6615624F" w14:textId="77777777" w:rsidR="00C16B36" w:rsidRPr="00DC6757" w:rsidRDefault="00C16B36" w:rsidP="00C16B36">
      <w:pPr>
        <w:spacing w:after="0" w:line="240" w:lineRule="auto"/>
        <w:rPr>
          <w:rFonts w:ascii="Times New Roman" w:hAnsi="Times New Roman" w:cs="Times New Roman"/>
          <w:b/>
          <w:sz w:val="24"/>
          <w:szCs w:val="24"/>
          <w:lang w:val="en-GB"/>
        </w:rPr>
      </w:pPr>
      <w:r w:rsidRPr="00DC6757">
        <w:rPr>
          <w:rFonts w:ascii="Times New Roman" w:hAnsi="Times New Roman" w:cs="Times New Roman"/>
          <w:b/>
          <w:sz w:val="24"/>
          <w:szCs w:val="24"/>
          <w:lang w:val="en-GB"/>
        </w:rPr>
        <w:t>Tables</w:t>
      </w:r>
    </w:p>
    <w:p w14:paraId="5D69662F" w14:textId="77777777" w:rsidR="00C16B36" w:rsidRPr="00DC6757" w:rsidRDefault="00C16B36" w:rsidP="00C16B36">
      <w:pPr>
        <w:spacing w:after="0" w:line="240" w:lineRule="auto"/>
        <w:rPr>
          <w:rFonts w:ascii="Times New Roman" w:hAnsi="Times New Roman" w:cs="Times New Roman"/>
          <w:b/>
          <w:sz w:val="24"/>
          <w:szCs w:val="24"/>
          <w:lang w:val="en-GB"/>
        </w:rPr>
      </w:pPr>
    </w:p>
    <w:p w14:paraId="2F821216" w14:textId="74B6BC40"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b/>
          <w:sz w:val="24"/>
          <w:szCs w:val="24"/>
        </w:rPr>
        <w:t>Table 1</w:t>
      </w:r>
      <w:r w:rsidRPr="00DC6757">
        <w:rPr>
          <w:rFonts w:ascii="Times New Roman" w:hAnsi="Times New Roman" w:cs="Times New Roman"/>
          <w:sz w:val="24"/>
          <w:szCs w:val="24"/>
        </w:rPr>
        <w:t>:</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Proposed variables and equations used to characterize response to toxicity within an organism</w:t>
      </w:r>
      <w:r w:rsidR="004045C8" w:rsidRPr="00DC6757">
        <w:rPr>
          <w:rFonts w:ascii="Times New Roman" w:hAnsi="Times New Roman" w:cs="Times New Roman"/>
          <w:sz w:val="24"/>
          <w:szCs w:val="24"/>
        </w:rPr>
        <w:t xml:space="preserve"> (from Murphy et al</w:t>
      </w:r>
      <w:r w:rsidR="007B4E7F" w:rsidRPr="00DC6757">
        <w:rPr>
          <w:rFonts w:ascii="Times New Roman" w:hAnsi="Times New Roman" w:cs="Times New Roman"/>
          <w:sz w:val="24"/>
          <w:szCs w:val="24"/>
        </w:rPr>
        <w:t>.</w:t>
      </w:r>
      <w:r w:rsidRPr="00DC6757">
        <w:rPr>
          <w:rFonts w:ascii="Times New Roman" w:hAnsi="Times New Roman" w:cs="Times New Roman"/>
          <w:sz w:val="24"/>
          <w:szCs w:val="24"/>
        </w:rPr>
        <w:t xml:space="preserve"> 2017)</w:t>
      </w:r>
    </w:p>
    <w:p w14:paraId="2BFC96E2" w14:textId="77777777" w:rsidR="00C16B36" w:rsidRPr="00DC6757" w:rsidRDefault="00C16B36" w:rsidP="00C16B36">
      <w:pPr>
        <w:spacing w:after="0" w:line="240" w:lineRule="auto"/>
        <w:rPr>
          <w:rFonts w:ascii="Times New Roman" w:hAnsi="Times New Roman" w:cs="Times New Roman"/>
          <w:b/>
          <w:sz w:val="24"/>
          <w:szCs w:val="24"/>
        </w:rPr>
      </w:pPr>
      <w:r w:rsidRPr="00DC6757">
        <w:rPr>
          <w:rFonts w:ascii="Times New Roman" w:hAnsi="Times New Roman" w:cs="Times New Roman"/>
          <w:b/>
          <w:sz w:val="24"/>
          <w:szCs w:val="24"/>
        </w:rPr>
        <w:t>______________________________________________________________________________</w:t>
      </w:r>
    </w:p>
    <w:p w14:paraId="14351B1F" w14:textId="77777777" w:rsidR="00C16B36" w:rsidRPr="00DC6757" w:rsidRDefault="00C16B36" w:rsidP="00C16B36">
      <w:pPr>
        <w:spacing w:after="0" w:line="240" w:lineRule="auto"/>
        <w:rPr>
          <w:rFonts w:ascii="Times New Roman" w:hAnsi="Times New Roman" w:cs="Times New Roman"/>
          <w:b/>
          <w:i/>
          <w:sz w:val="24"/>
          <w:szCs w:val="24"/>
        </w:rPr>
      </w:pPr>
      <w:r w:rsidRPr="00DC6757">
        <w:rPr>
          <w:rFonts w:ascii="Times New Roman" w:hAnsi="Times New Roman" w:cs="Times New Roman"/>
          <w:b/>
          <w:i/>
          <w:sz w:val="24"/>
          <w:szCs w:val="24"/>
        </w:rPr>
        <w:t>Variables</w:t>
      </w:r>
    </w:p>
    <w:p w14:paraId="545E1E85"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14"/>
          <w:sz w:val="24"/>
          <w:szCs w:val="24"/>
        </w:rPr>
        <w:object w:dxaOrig="1980" w:dyaOrig="405" w14:anchorId="37DAB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0.25pt" o:ole="">
            <v:imagedata r:id="rId15" o:title=""/>
          </v:shape>
          <o:OLEObject Type="Embed" ProgID="Equation.DSMT4" ShapeID="_x0000_i1025" DrawAspect="Content" ObjectID="_1623824251" r:id="rId16"/>
        </w:object>
      </w:r>
      <w:r w:rsidRPr="00DC6757">
        <w:rPr>
          <w:rFonts w:ascii="Times New Roman" w:hAnsi="Times New Roman" w:cs="Times New Roman"/>
          <w:sz w:val="24"/>
          <w:szCs w:val="24"/>
        </w:rPr>
        <w:t>= set of sub-organismal key events from AOP</w:t>
      </w:r>
    </w:p>
    <w:p w14:paraId="39C5BF3D"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14"/>
          <w:sz w:val="24"/>
          <w:szCs w:val="24"/>
        </w:rPr>
        <w:object w:dxaOrig="1905" w:dyaOrig="405" w14:anchorId="5C2D19B1">
          <v:shape id="_x0000_i1026" type="#_x0000_t75" style="width:96pt;height:20.25pt" o:ole="">
            <v:imagedata r:id="rId17" o:title=""/>
          </v:shape>
          <o:OLEObject Type="Embed" ProgID="Equation.DSMT4" ShapeID="_x0000_i1026" DrawAspect="Content" ObjectID="_1623824252" r:id="rId18"/>
        </w:object>
      </w:r>
      <w:r w:rsidRPr="00DC6757">
        <w:rPr>
          <w:rFonts w:ascii="Times New Roman" w:hAnsi="Times New Roman" w:cs="Times New Roman"/>
          <w:sz w:val="24"/>
          <w:szCs w:val="24"/>
        </w:rPr>
        <w:t xml:space="preserve">= set of damage-related variables – may overlap with </w:t>
      </w:r>
      <w:r w:rsidRPr="00DC6757">
        <w:rPr>
          <w:rFonts w:ascii="Times New Roman" w:hAnsi="Times New Roman" w:cs="Times New Roman"/>
          <w:b/>
          <w:sz w:val="24"/>
          <w:szCs w:val="24"/>
        </w:rPr>
        <w:t>K</w:t>
      </w:r>
      <w:r w:rsidRPr="00DC6757">
        <w:rPr>
          <w:rFonts w:ascii="Times New Roman" w:hAnsi="Times New Roman" w:cs="Times New Roman"/>
          <w:sz w:val="24"/>
          <w:szCs w:val="24"/>
        </w:rPr>
        <w:t xml:space="preserve">. </w:t>
      </w:r>
    </w:p>
    <w:p w14:paraId="724668B7"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14"/>
          <w:sz w:val="24"/>
          <w:szCs w:val="24"/>
        </w:rPr>
        <w:object w:dxaOrig="1920" w:dyaOrig="405" w14:anchorId="493F8D91">
          <v:shape id="_x0000_i1027" type="#_x0000_t75" style="width:96pt;height:20.25pt" o:ole="">
            <v:imagedata r:id="rId19" o:title=""/>
          </v:shape>
          <o:OLEObject Type="Embed" ProgID="Equation.DSMT4" ShapeID="_x0000_i1027" DrawAspect="Content" ObjectID="_1623824253" r:id="rId20"/>
        </w:object>
      </w:r>
      <w:r w:rsidRPr="00DC6757">
        <w:rPr>
          <w:rFonts w:ascii="Times New Roman" w:hAnsi="Times New Roman" w:cs="Times New Roman"/>
          <w:sz w:val="24"/>
          <w:szCs w:val="24"/>
        </w:rPr>
        <w:t xml:space="preserve">= set of internal toxicant-related concentrations </w:t>
      </w:r>
    </w:p>
    <w:p w14:paraId="122C215B"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14"/>
          <w:sz w:val="24"/>
          <w:szCs w:val="24"/>
        </w:rPr>
        <w:object w:dxaOrig="1875" w:dyaOrig="405" w14:anchorId="2626CD97">
          <v:shape id="_x0000_i1028" type="#_x0000_t75" style="width:95.25pt;height:20.25pt" o:ole="">
            <v:imagedata r:id="rId21" o:title=""/>
          </v:shape>
          <o:OLEObject Type="Embed" ProgID="Equation.DSMT4" ShapeID="_x0000_i1028" DrawAspect="Content" ObjectID="_1623824254" r:id="rId22"/>
        </w:object>
      </w:r>
      <w:r w:rsidRPr="00DC6757">
        <w:rPr>
          <w:rFonts w:ascii="Times New Roman" w:hAnsi="Times New Roman" w:cs="Times New Roman"/>
          <w:sz w:val="24"/>
          <w:szCs w:val="24"/>
        </w:rPr>
        <w:t>= set of DEB model variables</w:t>
      </w:r>
    </w:p>
    <w:p w14:paraId="420850B0"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14"/>
          <w:sz w:val="24"/>
          <w:szCs w:val="24"/>
        </w:rPr>
        <w:object w:dxaOrig="5145" w:dyaOrig="405" w14:anchorId="39A9F27F">
          <v:shape id="_x0000_i1029" type="#_x0000_t75" style="width:255.75pt;height:20.25pt" o:ole="">
            <v:imagedata r:id="rId23" o:title=""/>
          </v:shape>
          <o:OLEObject Type="Embed" ProgID="Equation.DSMT4" ShapeID="_x0000_i1029" DrawAspect="Content" ObjectID="_1623824255" r:id="rId24"/>
        </w:object>
      </w:r>
    </w:p>
    <w:p w14:paraId="540C455B" w14:textId="77777777" w:rsidR="00C16B36" w:rsidRPr="00DC6757" w:rsidRDefault="00C16B36" w:rsidP="00C16B36">
      <w:pPr>
        <w:spacing w:after="0" w:line="240" w:lineRule="auto"/>
        <w:rPr>
          <w:rFonts w:ascii="Times New Roman" w:hAnsi="Times New Roman" w:cs="Times New Roman"/>
          <w:sz w:val="24"/>
          <w:szCs w:val="24"/>
        </w:rPr>
      </w:pPr>
    </w:p>
    <w:p w14:paraId="75CD9098"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b/>
          <w:i/>
          <w:sz w:val="24"/>
          <w:szCs w:val="24"/>
        </w:rPr>
        <w:t>Dynamics</w:t>
      </w:r>
      <w:r w:rsidRPr="00DC6757">
        <w:rPr>
          <w:rFonts w:ascii="Times New Roman" w:hAnsi="Times New Roman" w:cs="Times New Roman"/>
          <w:sz w:val="24"/>
          <w:szCs w:val="24"/>
        </w:rPr>
        <w:t>:</w:t>
      </w:r>
    </w:p>
    <w:p w14:paraId="6A30FD92"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position w:val="-88"/>
          <w:sz w:val="24"/>
          <w:szCs w:val="24"/>
        </w:rPr>
        <w:object w:dxaOrig="4760" w:dyaOrig="1920" w14:anchorId="47C8C768">
          <v:shape id="_x0000_i1030" type="#_x0000_t75" style="width:236.25pt;height:96pt" o:ole="">
            <v:imagedata r:id="rId25" o:title=""/>
          </v:shape>
          <o:OLEObject Type="Embed" ProgID="Equation.DSMT4" ShapeID="_x0000_i1030" DrawAspect="Content" ObjectID="_1623824256" r:id="rId26"/>
        </w:object>
      </w:r>
    </w:p>
    <w:p w14:paraId="747CA8AC" w14:textId="77777777" w:rsidR="00C16B36" w:rsidRPr="00DC6757" w:rsidRDefault="00C16B36" w:rsidP="00C16B36">
      <w:pPr>
        <w:spacing w:after="0" w:line="240" w:lineRule="auto"/>
        <w:rPr>
          <w:rFonts w:ascii="Times New Roman" w:hAnsi="Times New Roman" w:cs="Times New Roman"/>
          <w:sz w:val="24"/>
          <w:szCs w:val="24"/>
        </w:rPr>
      </w:pPr>
      <w:r w:rsidRPr="00DC6757">
        <w:rPr>
          <w:rFonts w:ascii="Times New Roman" w:hAnsi="Times New Roman" w:cs="Times New Roman"/>
          <w:sz w:val="24"/>
          <w:szCs w:val="24"/>
        </w:rPr>
        <w:t>______________________________________________________________________________</w:t>
      </w:r>
    </w:p>
    <w:p w14:paraId="6D5FB821" w14:textId="77777777" w:rsidR="00C16B36" w:rsidRPr="00DC6757" w:rsidRDefault="00C16B36" w:rsidP="004D7DC4">
      <w:pPr>
        <w:spacing w:after="0" w:line="240" w:lineRule="auto"/>
        <w:rPr>
          <w:rFonts w:ascii="Times New Roman" w:hAnsi="Times New Roman" w:cs="Times New Roman"/>
          <w:b/>
          <w:sz w:val="24"/>
          <w:szCs w:val="24"/>
          <w:lang w:val="en-GB"/>
        </w:rPr>
      </w:pPr>
    </w:p>
    <w:p w14:paraId="0C27CEB1" w14:textId="77777777" w:rsidR="00C16B36" w:rsidRPr="00DC6757" w:rsidRDefault="00C16B36" w:rsidP="004D7DC4">
      <w:pPr>
        <w:spacing w:after="0" w:line="240" w:lineRule="auto"/>
        <w:rPr>
          <w:rFonts w:ascii="Times New Roman" w:hAnsi="Times New Roman" w:cs="Times New Roman"/>
          <w:b/>
          <w:sz w:val="24"/>
          <w:szCs w:val="24"/>
          <w:lang w:val="en-GB"/>
        </w:rPr>
      </w:pPr>
    </w:p>
    <w:p w14:paraId="6E3103C9" w14:textId="77777777" w:rsidR="00C16B36" w:rsidRPr="00DC6757" w:rsidRDefault="00C16B36" w:rsidP="004D7DC4">
      <w:pPr>
        <w:spacing w:after="0" w:line="240" w:lineRule="auto"/>
        <w:rPr>
          <w:rFonts w:ascii="Times New Roman" w:hAnsi="Times New Roman" w:cs="Times New Roman"/>
          <w:b/>
          <w:sz w:val="24"/>
          <w:szCs w:val="24"/>
          <w:lang w:val="en-GB"/>
        </w:rPr>
      </w:pPr>
    </w:p>
    <w:p w14:paraId="696B2BA8" w14:textId="77777777" w:rsidR="00C16B36" w:rsidRPr="00DC6757" w:rsidRDefault="00C16B36" w:rsidP="004D7DC4">
      <w:pPr>
        <w:spacing w:after="0" w:line="240" w:lineRule="auto"/>
        <w:rPr>
          <w:rFonts w:ascii="Times New Roman" w:hAnsi="Times New Roman" w:cs="Times New Roman"/>
          <w:b/>
          <w:sz w:val="24"/>
          <w:szCs w:val="24"/>
          <w:lang w:val="en-GB"/>
        </w:rPr>
      </w:pPr>
    </w:p>
    <w:p w14:paraId="4F76ACC3" w14:textId="77777777" w:rsidR="00C16B36" w:rsidRPr="00DC6757" w:rsidRDefault="00C16B36" w:rsidP="004D7DC4">
      <w:pPr>
        <w:spacing w:after="0" w:line="240" w:lineRule="auto"/>
        <w:rPr>
          <w:rFonts w:ascii="Times New Roman" w:hAnsi="Times New Roman" w:cs="Times New Roman"/>
          <w:b/>
          <w:sz w:val="24"/>
          <w:szCs w:val="24"/>
          <w:lang w:val="en-GB"/>
        </w:rPr>
      </w:pPr>
    </w:p>
    <w:p w14:paraId="16CEA1CA" w14:textId="77777777" w:rsidR="00C16B36" w:rsidRPr="00DC6757" w:rsidRDefault="00C16B36" w:rsidP="004D7DC4">
      <w:pPr>
        <w:spacing w:after="0" w:line="240" w:lineRule="auto"/>
        <w:rPr>
          <w:rFonts w:ascii="Times New Roman" w:hAnsi="Times New Roman" w:cs="Times New Roman"/>
          <w:b/>
          <w:sz w:val="24"/>
          <w:szCs w:val="24"/>
          <w:lang w:val="en-GB"/>
        </w:rPr>
      </w:pPr>
    </w:p>
    <w:p w14:paraId="102179E8" w14:textId="77777777" w:rsidR="00C16B36" w:rsidRPr="00DC6757" w:rsidRDefault="00C16B36" w:rsidP="004D7DC4">
      <w:pPr>
        <w:spacing w:after="0" w:line="240" w:lineRule="auto"/>
        <w:rPr>
          <w:rFonts w:ascii="Times New Roman" w:hAnsi="Times New Roman" w:cs="Times New Roman"/>
          <w:b/>
          <w:sz w:val="24"/>
          <w:szCs w:val="24"/>
          <w:lang w:val="en-GB"/>
        </w:rPr>
      </w:pPr>
    </w:p>
    <w:p w14:paraId="6F4E839C" w14:textId="77777777" w:rsidR="00C16B36" w:rsidRPr="00DC6757" w:rsidRDefault="00C16B36" w:rsidP="004D7DC4">
      <w:pPr>
        <w:spacing w:after="0" w:line="240" w:lineRule="auto"/>
        <w:rPr>
          <w:rFonts w:ascii="Times New Roman" w:hAnsi="Times New Roman" w:cs="Times New Roman"/>
          <w:b/>
          <w:sz w:val="24"/>
          <w:szCs w:val="24"/>
          <w:lang w:val="en-GB"/>
        </w:rPr>
      </w:pPr>
    </w:p>
    <w:p w14:paraId="321BD8B5" w14:textId="77777777" w:rsidR="00C16B36" w:rsidRPr="00DC6757" w:rsidRDefault="00C16B36" w:rsidP="004D7DC4">
      <w:pPr>
        <w:spacing w:after="0" w:line="240" w:lineRule="auto"/>
        <w:rPr>
          <w:rFonts w:ascii="Times New Roman" w:hAnsi="Times New Roman" w:cs="Times New Roman"/>
          <w:b/>
          <w:sz w:val="24"/>
          <w:szCs w:val="24"/>
          <w:lang w:val="en-GB"/>
        </w:rPr>
      </w:pPr>
    </w:p>
    <w:p w14:paraId="715553EB" w14:textId="77777777" w:rsidR="00C16B36" w:rsidRPr="00DC6757" w:rsidRDefault="00C16B36" w:rsidP="004D7DC4">
      <w:pPr>
        <w:spacing w:after="0" w:line="240" w:lineRule="auto"/>
        <w:rPr>
          <w:rFonts w:ascii="Times New Roman" w:hAnsi="Times New Roman" w:cs="Times New Roman"/>
          <w:b/>
          <w:sz w:val="24"/>
          <w:szCs w:val="24"/>
          <w:lang w:val="en-GB"/>
        </w:rPr>
      </w:pPr>
    </w:p>
    <w:p w14:paraId="7181591A" w14:textId="77777777" w:rsidR="00C16B36" w:rsidRPr="00DC6757" w:rsidRDefault="00C16B36" w:rsidP="004D7DC4">
      <w:pPr>
        <w:spacing w:after="0" w:line="240" w:lineRule="auto"/>
        <w:rPr>
          <w:rFonts w:ascii="Times New Roman" w:hAnsi="Times New Roman" w:cs="Times New Roman"/>
          <w:b/>
          <w:sz w:val="24"/>
          <w:szCs w:val="24"/>
          <w:lang w:val="en-GB"/>
        </w:rPr>
      </w:pPr>
    </w:p>
    <w:p w14:paraId="0A4428AB" w14:textId="77777777" w:rsidR="00C16B36" w:rsidRPr="00DC6757" w:rsidRDefault="00C16B36" w:rsidP="004D7DC4">
      <w:pPr>
        <w:spacing w:after="0" w:line="240" w:lineRule="auto"/>
        <w:rPr>
          <w:rFonts w:ascii="Times New Roman" w:hAnsi="Times New Roman" w:cs="Times New Roman"/>
          <w:b/>
          <w:sz w:val="24"/>
          <w:szCs w:val="24"/>
          <w:lang w:val="en-GB"/>
        </w:rPr>
      </w:pPr>
    </w:p>
    <w:p w14:paraId="73D8E316" w14:textId="77777777" w:rsidR="00C16B36" w:rsidRPr="00DC6757" w:rsidRDefault="00C16B36" w:rsidP="004D7DC4">
      <w:pPr>
        <w:spacing w:after="0" w:line="240" w:lineRule="auto"/>
        <w:rPr>
          <w:rFonts w:ascii="Times New Roman" w:hAnsi="Times New Roman" w:cs="Times New Roman"/>
          <w:b/>
          <w:sz w:val="24"/>
          <w:szCs w:val="24"/>
          <w:lang w:val="en-GB"/>
        </w:rPr>
      </w:pPr>
    </w:p>
    <w:p w14:paraId="628CC152" w14:textId="77777777" w:rsidR="00C16B36" w:rsidRPr="00DC6757" w:rsidRDefault="00C16B36" w:rsidP="004D7DC4">
      <w:pPr>
        <w:spacing w:after="0" w:line="240" w:lineRule="auto"/>
        <w:rPr>
          <w:rFonts w:ascii="Times New Roman" w:hAnsi="Times New Roman" w:cs="Times New Roman"/>
          <w:b/>
          <w:sz w:val="24"/>
          <w:szCs w:val="24"/>
          <w:lang w:val="en-GB"/>
        </w:rPr>
      </w:pPr>
    </w:p>
    <w:p w14:paraId="4CE14A38" w14:textId="77777777" w:rsidR="00C16B36" w:rsidRPr="00DC6757" w:rsidRDefault="00C16B36" w:rsidP="004D7DC4">
      <w:pPr>
        <w:spacing w:after="0" w:line="240" w:lineRule="auto"/>
        <w:rPr>
          <w:rFonts w:ascii="Times New Roman" w:hAnsi="Times New Roman" w:cs="Times New Roman"/>
          <w:b/>
          <w:sz w:val="24"/>
          <w:szCs w:val="24"/>
          <w:lang w:val="en-GB"/>
        </w:rPr>
      </w:pPr>
    </w:p>
    <w:p w14:paraId="79E9219A" w14:textId="77777777" w:rsidR="00C16B36" w:rsidRPr="00DC6757" w:rsidRDefault="00C16B36" w:rsidP="004D7DC4">
      <w:pPr>
        <w:spacing w:after="0" w:line="240" w:lineRule="auto"/>
        <w:rPr>
          <w:rFonts w:ascii="Times New Roman" w:hAnsi="Times New Roman" w:cs="Times New Roman"/>
          <w:b/>
          <w:sz w:val="24"/>
          <w:szCs w:val="24"/>
          <w:lang w:val="en-GB"/>
        </w:rPr>
      </w:pPr>
    </w:p>
    <w:p w14:paraId="7FBB1A49" w14:textId="77777777" w:rsidR="00C16B36" w:rsidRPr="00DC6757" w:rsidRDefault="00C16B36" w:rsidP="004D7DC4">
      <w:pPr>
        <w:spacing w:after="0" w:line="240" w:lineRule="auto"/>
        <w:rPr>
          <w:rFonts w:ascii="Times New Roman" w:hAnsi="Times New Roman" w:cs="Times New Roman"/>
          <w:b/>
          <w:sz w:val="24"/>
          <w:szCs w:val="24"/>
          <w:lang w:val="en-GB"/>
        </w:rPr>
      </w:pPr>
    </w:p>
    <w:p w14:paraId="47EC60C6" w14:textId="77777777" w:rsidR="00C16B36" w:rsidRPr="00DC6757" w:rsidRDefault="00C16B36" w:rsidP="004D7DC4">
      <w:pPr>
        <w:spacing w:after="0" w:line="240" w:lineRule="auto"/>
        <w:rPr>
          <w:rFonts w:ascii="Times New Roman" w:hAnsi="Times New Roman" w:cs="Times New Roman"/>
          <w:b/>
          <w:sz w:val="24"/>
          <w:szCs w:val="24"/>
          <w:lang w:val="en-GB"/>
        </w:rPr>
      </w:pPr>
    </w:p>
    <w:p w14:paraId="52496851" w14:textId="77777777" w:rsidR="00C16B36" w:rsidRPr="00DC6757" w:rsidRDefault="00C16B36" w:rsidP="004D7DC4">
      <w:pPr>
        <w:spacing w:after="0" w:line="240" w:lineRule="auto"/>
        <w:rPr>
          <w:rFonts w:ascii="Times New Roman" w:hAnsi="Times New Roman" w:cs="Times New Roman"/>
          <w:b/>
          <w:sz w:val="24"/>
          <w:szCs w:val="24"/>
          <w:lang w:val="en-GB"/>
        </w:rPr>
      </w:pPr>
    </w:p>
    <w:p w14:paraId="6533C3D7" w14:textId="77777777" w:rsidR="00C16B36" w:rsidRPr="00DC6757" w:rsidRDefault="00C16B36" w:rsidP="004D7DC4">
      <w:pPr>
        <w:spacing w:after="0" w:line="240" w:lineRule="auto"/>
        <w:rPr>
          <w:rFonts w:ascii="Times New Roman" w:hAnsi="Times New Roman" w:cs="Times New Roman"/>
          <w:b/>
          <w:sz w:val="24"/>
          <w:szCs w:val="24"/>
          <w:lang w:val="en-GB"/>
        </w:rPr>
      </w:pPr>
    </w:p>
    <w:p w14:paraId="0DECF5D6" w14:textId="77777777" w:rsidR="00C16B36" w:rsidRPr="00DC6757" w:rsidRDefault="00C16B36" w:rsidP="004D7DC4">
      <w:pPr>
        <w:spacing w:after="0" w:line="240" w:lineRule="auto"/>
        <w:rPr>
          <w:rFonts w:ascii="Times New Roman" w:hAnsi="Times New Roman" w:cs="Times New Roman"/>
          <w:b/>
          <w:sz w:val="24"/>
          <w:szCs w:val="24"/>
          <w:lang w:val="en-GB"/>
        </w:rPr>
      </w:pPr>
    </w:p>
    <w:p w14:paraId="569FC757" w14:textId="77777777" w:rsidR="00C16B36" w:rsidRPr="00DC6757" w:rsidRDefault="00C16B36" w:rsidP="004D7DC4">
      <w:pPr>
        <w:spacing w:after="0" w:line="240" w:lineRule="auto"/>
        <w:rPr>
          <w:rFonts w:ascii="Times New Roman" w:hAnsi="Times New Roman" w:cs="Times New Roman"/>
          <w:b/>
          <w:sz w:val="24"/>
          <w:szCs w:val="24"/>
          <w:lang w:val="en-GB"/>
        </w:rPr>
      </w:pPr>
    </w:p>
    <w:p w14:paraId="4AAF4213" w14:textId="77777777" w:rsidR="00C16B36" w:rsidRPr="00DC6757" w:rsidRDefault="00C16B36" w:rsidP="004D7DC4">
      <w:pPr>
        <w:spacing w:after="0" w:line="240" w:lineRule="auto"/>
        <w:rPr>
          <w:rFonts w:ascii="Times New Roman" w:hAnsi="Times New Roman" w:cs="Times New Roman"/>
          <w:b/>
          <w:sz w:val="24"/>
          <w:szCs w:val="24"/>
          <w:lang w:val="en-GB"/>
        </w:rPr>
      </w:pPr>
    </w:p>
    <w:p w14:paraId="4086BB34" w14:textId="77777777" w:rsidR="00C16B36" w:rsidRPr="00DC6757" w:rsidRDefault="00C16B36" w:rsidP="004D7DC4">
      <w:pPr>
        <w:spacing w:after="0" w:line="240" w:lineRule="auto"/>
        <w:rPr>
          <w:rFonts w:ascii="Times New Roman" w:hAnsi="Times New Roman" w:cs="Times New Roman"/>
          <w:b/>
          <w:sz w:val="24"/>
          <w:szCs w:val="24"/>
          <w:lang w:val="en-GB"/>
        </w:rPr>
      </w:pPr>
    </w:p>
    <w:p w14:paraId="0BC88DBD" w14:textId="77777777" w:rsidR="00C16B36" w:rsidRPr="00DC6757" w:rsidRDefault="00C16B36" w:rsidP="004D7DC4">
      <w:pPr>
        <w:spacing w:after="0" w:line="240" w:lineRule="auto"/>
        <w:rPr>
          <w:rFonts w:ascii="Times New Roman" w:hAnsi="Times New Roman" w:cs="Times New Roman"/>
          <w:b/>
          <w:sz w:val="24"/>
          <w:szCs w:val="24"/>
          <w:lang w:val="en-GB"/>
        </w:rPr>
      </w:pPr>
    </w:p>
    <w:p w14:paraId="27F248F4" w14:textId="77777777" w:rsidR="00C16B36" w:rsidRPr="00DC6757" w:rsidRDefault="00C16B36" w:rsidP="004D7DC4">
      <w:pPr>
        <w:spacing w:after="0" w:line="240" w:lineRule="auto"/>
        <w:rPr>
          <w:rFonts w:ascii="Times New Roman" w:hAnsi="Times New Roman" w:cs="Times New Roman"/>
          <w:b/>
          <w:sz w:val="24"/>
          <w:szCs w:val="24"/>
          <w:lang w:val="en-GB"/>
        </w:rPr>
      </w:pPr>
      <w:r w:rsidRPr="00DC6757">
        <w:rPr>
          <w:rFonts w:ascii="Times New Roman" w:hAnsi="Times New Roman" w:cs="Times New Roman"/>
          <w:b/>
          <w:sz w:val="24"/>
          <w:szCs w:val="24"/>
          <w:lang w:val="en-GB"/>
        </w:rPr>
        <w:t>Figures</w:t>
      </w:r>
    </w:p>
    <w:p w14:paraId="14E58273" w14:textId="77777777" w:rsidR="00C16B36" w:rsidRPr="00DC6757" w:rsidRDefault="00C16B36" w:rsidP="004D7DC4">
      <w:pPr>
        <w:spacing w:after="0" w:line="240" w:lineRule="auto"/>
        <w:rPr>
          <w:rFonts w:ascii="Times New Roman" w:hAnsi="Times New Roman" w:cs="Times New Roman"/>
          <w:b/>
          <w:sz w:val="24"/>
          <w:szCs w:val="24"/>
          <w:lang w:val="en-GB"/>
        </w:rPr>
      </w:pPr>
    </w:p>
    <w:p w14:paraId="43CA2608" w14:textId="77777777" w:rsidR="00C16B36" w:rsidRPr="00DC6757" w:rsidRDefault="00730479" w:rsidP="00C16B36">
      <w:pPr>
        <w:pStyle w:val="NoSpacing"/>
        <w:spacing w:line="480" w:lineRule="auto"/>
        <w:jc w:val="both"/>
        <w:rPr>
          <w:rFonts w:ascii="Times New Roman" w:hAnsi="Times New Roman" w:cs="Times New Roman"/>
          <w:sz w:val="24"/>
          <w:szCs w:val="24"/>
          <w:lang w:val="en-US"/>
        </w:rPr>
      </w:pPr>
      <w:r w:rsidRPr="00DC67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C6757">
        <w:rPr>
          <w:rFonts w:ascii="Times New Roman" w:hAnsi="Times New Roman" w:cs="Times New Roman"/>
          <w:noProof/>
          <w:sz w:val="24"/>
          <w:szCs w:val="24"/>
          <w:lang w:val="en-US"/>
        </w:rPr>
        <w:drawing>
          <wp:inline distT="0" distB="0" distL="0" distR="0" wp14:anchorId="7C96AF61" wp14:editId="3BD30AD5">
            <wp:extent cx="5943600" cy="1921749"/>
            <wp:effectExtent l="0" t="0" r="0" b="2540"/>
            <wp:docPr id="5" name="Picture 5" descr="C:\Users\camurphy\AppData\Local\Microsoft\Windows\Temporary Internet Files\Content.Outlook\X97KI23Y\6160_2017_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urphy\AppData\Local\Microsoft\Windows\Temporary Internet Files\Content.Outlook\X97KI23Y\6160_2017_fig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921749"/>
                    </a:xfrm>
                    <a:prstGeom prst="rect">
                      <a:avLst/>
                    </a:prstGeom>
                    <a:noFill/>
                    <a:ln>
                      <a:noFill/>
                    </a:ln>
                  </pic:spPr>
                </pic:pic>
              </a:graphicData>
            </a:graphic>
          </wp:inline>
        </w:drawing>
      </w:r>
    </w:p>
    <w:p w14:paraId="3D21D9D9" w14:textId="77777777" w:rsidR="00C16B36" w:rsidRPr="00DC6757" w:rsidRDefault="00C16B36" w:rsidP="00C16B36">
      <w:pPr>
        <w:spacing w:after="0" w:line="480" w:lineRule="auto"/>
        <w:rPr>
          <w:rFonts w:ascii="Times New Roman" w:hAnsi="Times New Roman" w:cs="Times New Roman"/>
          <w:sz w:val="40"/>
          <w:szCs w:val="24"/>
        </w:rPr>
      </w:pPr>
    </w:p>
    <w:p w14:paraId="56AF249C" w14:textId="3372DB9C" w:rsidR="00C16B36" w:rsidRPr="00DC6757" w:rsidRDefault="00C16B36" w:rsidP="00C16B36">
      <w:pPr>
        <w:spacing w:after="0" w:line="240" w:lineRule="auto"/>
        <w:ind w:left="720"/>
        <w:rPr>
          <w:rFonts w:ascii="Times New Roman" w:hAnsi="Times New Roman" w:cs="Times New Roman"/>
          <w:sz w:val="24"/>
          <w:szCs w:val="16"/>
        </w:rPr>
      </w:pPr>
      <w:r w:rsidRPr="00DC6757">
        <w:rPr>
          <w:rFonts w:ascii="Times New Roman" w:hAnsi="Times New Roman" w:cs="Times New Roman"/>
          <w:sz w:val="24"/>
          <w:szCs w:val="16"/>
        </w:rPr>
        <w:t xml:space="preserve">Figure 1: A conceptual </w:t>
      </w:r>
      <w:r w:rsidR="00A148C8" w:rsidRPr="00DC6757">
        <w:rPr>
          <w:rFonts w:ascii="Times New Roman" w:hAnsi="Times New Roman" w:cs="Times New Roman"/>
          <w:sz w:val="24"/>
          <w:szCs w:val="16"/>
        </w:rPr>
        <w:t xml:space="preserve">model </w:t>
      </w:r>
      <w:r w:rsidRPr="00DC6757">
        <w:rPr>
          <w:rFonts w:ascii="Times New Roman" w:hAnsi="Times New Roman" w:cs="Times New Roman"/>
          <w:sz w:val="24"/>
          <w:szCs w:val="16"/>
        </w:rPr>
        <w:t xml:space="preserve">to link AOPs to DEB for a </w:t>
      </w:r>
      <w:proofErr w:type="gramStart"/>
      <w:r w:rsidRPr="00DC6757">
        <w:rPr>
          <w:rFonts w:ascii="Times New Roman" w:hAnsi="Times New Roman" w:cs="Times New Roman"/>
          <w:sz w:val="24"/>
          <w:szCs w:val="16"/>
        </w:rPr>
        <w:t>particular stressor/contaminant</w:t>
      </w:r>
      <w:proofErr w:type="gramEnd"/>
      <w:r w:rsidRPr="00DC6757">
        <w:rPr>
          <w:rFonts w:ascii="Times New Roman" w:hAnsi="Times New Roman" w:cs="Times New Roman"/>
          <w:sz w:val="24"/>
          <w:szCs w:val="16"/>
        </w:rPr>
        <w:t xml:space="preserve"> scenario will first require an inventory of the key events (KEs) affected in different organs and at different levels of biological organization, - such as molecular, cellular, organ level responses. Ce refers to concentration of toxicant external to the organism, and Ci is the concentration inside the organism. Dynamic Energy Budget integrate the key events and act as a pivot to population level outcomes.</w:t>
      </w:r>
    </w:p>
    <w:p w14:paraId="181C5927" w14:textId="77777777" w:rsidR="00C16B36" w:rsidRPr="00DC6757" w:rsidRDefault="00C16B36" w:rsidP="004D7DC4">
      <w:pPr>
        <w:spacing w:after="0" w:line="240" w:lineRule="auto"/>
        <w:rPr>
          <w:rFonts w:ascii="Times New Roman" w:hAnsi="Times New Roman" w:cs="Times New Roman"/>
          <w:b/>
          <w:sz w:val="24"/>
          <w:szCs w:val="24"/>
          <w:lang w:val="en-GB"/>
        </w:rPr>
      </w:pPr>
    </w:p>
    <w:p w14:paraId="1294F6E7" w14:textId="77777777" w:rsidR="00C16B36" w:rsidRPr="00DC6757" w:rsidRDefault="00C16B36">
      <w:pPr>
        <w:rPr>
          <w:rFonts w:ascii="Times New Roman" w:hAnsi="Times New Roman" w:cs="Times New Roman"/>
          <w:b/>
          <w:sz w:val="24"/>
          <w:szCs w:val="24"/>
          <w:lang w:val="en-GB"/>
        </w:rPr>
      </w:pPr>
      <w:r w:rsidRPr="00DC6757">
        <w:rPr>
          <w:rFonts w:ascii="Times New Roman" w:hAnsi="Times New Roman" w:cs="Times New Roman"/>
          <w:b/>
          <w:sz w:val="24"/>
          <w:szCs w:val="24"/>
          <w:lang w:val="en-GB"/>
        </w:rPr>
        <w:br w:type="page"/>
      </w:r>
    </w:p>
    <w:p w14:paraId="77D0A533" w14:textId="77777777" w:rsidR="00C16B36" w:rsidRPr="00DC6757" w:rsidRDefault="00A74AF8" w:rsidP="00C16B36">
      <w:pPr>
        <w:pStyle w:val="NoSpacing"/>
        <w:spacing w:line="480" w:lineRule="auto"/>
        <w:jc w:val="both"/>
        <w:rPr>
          <w:rFonts w:ascii="Times New Roman" w:hAnsi="Times New Roman" w:cs="Times New Roman"/>
          <w:sz w:val="24"/>
          <w:szCs w:val="24"/>
        </w:rPr>
      </w:pPr>
      <w:r w:rsidRPr="00DC6757">
        <w:rPr>
          <w:noProof/>
          <w:lang w:val="en-US"/>
        </w:rPr>
        <w:lastRenderedPageBreak/>
        <w:drawing>
          <wp:inline distT="0" distB="0" distL="0" distR="0" wp14:anchorId="2A536B1E" wp14:editId="5D411A4A">
            <wp:extent cx="5943600" cy="212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122180"/>
                    </a:xfrm>
                    <a:prstGeom prst="rect">
                      <a:avLst/>
                    </a:prstGeom>
                    <a:noFill/>
                    <a:ln>
                      <a:noFill/>
                    </a:ln>
                  </pic:spPr>
                </pic:pic>
              </a:graphicData>
            </a:graphic>
          </wp:inline>
        </w:drawing>
      </w:r>
    </w:p>
    <w:p w14:paraId="1A5E98F4" w14:textId="0EBC0497" w:rsidR="00730479" w:rsidRPr="00DC6757" w:rsidRDefault="00730479" w:rsidP="00730479">
      <w:pPr>
        <w:pStyle w:val="NoSpacing"/>
        <w:jc w:val="both"/>
        <w:rPr>
          <w:rFonts w:ascii="Times New Roman" w:hAnsi="Times New Roman" w:cs="Times New Roman"/>
          <w:sz w:val="24"/>
          <w:szCs w:val="24"/>
        </w:rPr>
      </w:pPr>
      <w:r w:rsidRPr="00DC6757">
        <w:rPr>
          <w:rFonts w:ascii="Times New Roman" w:hAnsi="Times New Roman" w:cs="Times New Roman"/>
          <w:b/>
          <w:sz w:val="24"/>
          <w:szCs w:val="24"/>
          <w:lang w:val="en-US"/>
        </w:rPr>
        <w:t>Figure 2</w:t>
      </w:r>
      <w:r w:rsidRPr="00DC6757">
        <w:rPr>
          <w:rFonts w:ascii="Times New Roman" w:hAnsi="Times New Roman" w:cs="Times New Roman"/>
          <w:sz w:val="24"/>
          <w:szCs w:val="24"/>
          <w:lang w:val="en-US"/>
        </w:rPr>
        <w:t>.</w:t>
      </w:r>
      <w:r w:rsidRPr="00DC6757">
        <w:rPr>
          <w:rFonts w:ascii="Times New Roman" w:hAnsi="Times New Roman" w:cs="Times New Roman"/>
          <w:sz w:val="24"/>
          <w:szCs w:val="24"/>
        </w:rPr>
        <w:t xml:space="preserve"> Key event network (mode of action) translates to </w:t>
      </w:r>
      <w:r w:rsidRPr="00DC6757">
        <w:rPr>
          <w:rFonts w:ascii="Times New Roman" w:hAnsi="Times New Roman" w:cs="Times New Roman"/>
          <w:sz w:val="24"/>
          <w:szCs w:val="24"/>
          <w:lang w:val="en-US"/>
        </w:rPr>
        <w:t>some measure of</w:t>
      </w:r>
      <w:r w:rsidRPr="00DC6757">
        <w:rPr>
          <w:rFonts w:ascii="Times New Roman" w:hAnsi="Times New Roman" w:cs="Times New Roman"/>
          <w:sz w:val="24"/>
          <w:szCs w:val="24"/>
        </w:rPr>
        <w:t xml:space="preserve"> damage that would have to be related to key rates</w:t>
      </w:r>
      <w:r w:rsidR="00DC6757">
        <w:rPr>
          <w:rFonts w:ascii="Times New Roman" w:hAnsi="Times New Roman" w:cs="Times New Roman"/>
          <w:sz w:val="24"/>
          <w:szCs w:val="24"/>
        </w:rPr>
        <w:t xml:space="preserve"> </w:t>
      </w:r>
      <w:r w:rsidR="007211F6" w:rsidRPr="00DC6757">
        <w:rPr>
          <w:rFonts w:ascii="Times New Roman" w:hAnsi="Times New Roman" w:cs="Times New Roman"/>
          <w:sz w:val="24"/>
          <w:szCs w:val="24"/>
        </w:rPr>
        <w:t xml:space="preserve">or allocations </w:t>
      </w:r>
      <w:r w:rsidRPr="00DC6757">
        <w:rPr>
          <w:rFonts w:ascii="Times New Roman" w:hAnsi="Times New Roman" w:cs="Times New Roman"/>
          <w:sz w:val="24"/>
          <w:szCs w:val="24"/>
        </w:rPr>
        <w:t>(indicated by red arrows</w:t>
      </w:r>
      <w:r w:rsidR="007211F6" w:rsidRPr="00DC6757">
        <w:rPr>
          <w:rFonts w:ascii="Times New Roman" w:hAnsi="Times New Roman" w:cs="Times New Roman"/>
          <w:sz w:val="24"/>
          <w:szCs w:val="24"/>
          <w:lang w:val="en-US"/>
        </w:rPr>
        <w:t>)</w:t>
      </w:r>
      <w:r w:rsidR="00DC6757">
        <w:rPr>
          <w:rFonts w:ascii="Times New Roman" w:hAnsi="Times New Roman" w:cs="Times New Roman"/>
          <w:sz w:val="24"/>
          <w:szCs w:val="24"/>
        </w:rPr>
        <w:t xml:space="preserve"> </w:t>
      </w:r>
      <w:r w:rsidRPr="00DC6757">
        <w:rPr>
          <w:rFonts w:ascii="Times New Roman" w:hAnsi="Times New Roman" w:cs="Times New Roman"/>
          <w:sz w:val="24"/>
          <w:szCs w:val="24"/>
        </w:rPr>
        <w:t>in dynamic energy budget models</w:t>
      </w:r>
      <w:r w:rsidRPr="00DC6757">
        <w:rPr>
          <w:rFonts w:ascii="Times New Roman" w:hAnsi="Times New Roman" w:cs="Times New Roman"/>
          <w:sz w:val="24"/>
          <w:szCs w:val="24"/>
          <w:lang w:val="en-US"/>
        </w:rPr>
        <w:t>.</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 xml:space="preserve">Here, two different AOPs are represented, one related to reproduction, and the </w:t>
      </w:r>
      <w:r w:rsidR="00A74AF8" w:rsidRPr="00DC6757">
        <w:rPr>
          <w:rFonts w:ascii="Times New Roman" w:hAnsi="Times New Roman" w:cs="Times New Roman"/>
          <w:sz w:val="24"/>
          <w:szCs w:val="24"/>
          <w:lang w:val="en-US"/>
        </w:rPr>
        <w:t>second related to growth.</w:t>
      </w:r>
      <w:r w:rsidR="00DC6757">
        <w:rPr>
          <w:rFonts w:ascii="Times New Roman" w:hAnsi="Times New Roman" w:cs="Times New Roman"/>
          <w:sz w:val="24"/>
          <w:szCs w:val="24"/>
          <w:lang w:val="en-US"/>
        </w:rPr>
        <w:t xml:space="preserve"> </w:t>
      </w:r>
      <w:r w:rsidR="007211F6" w:rsidRPr="00DC6757">
        <w:rPr>
          <w:rFonts w:ascii="Times New Roman" w:hAnsi="Times New Roman" w:cs="Times New Roman"/>
          <w:sz w:val="24"/>
          <w:szCs w:val="24"/>
          <w:lang w:val="en-US"/>
        </w:rPr>
        <w:t xml:space="preserve">While more complex relationships are likely, we show here for clarity a simple one-to-one relationship between a MIE and one DEB parameter (indicated by larger red arrows). </w:t>
      </w:r>
      <w:r w:rsidR="00A74AF8" w:rsidRPr="00DC6757">
        <w:rPr>
          <w:rFonts w:ascii="Times New Roman" w:hAnsi="Times New Roman" w:cs="Times New Roman"/>
          <w:sz w:val="24"/>
          <w:szCs w:val="24"/>
          <w:lang w:val="en-US"/>
        </w:rPr>
        <w:t>E</w:t>
      </w:r>
      <w:r w:rsidRPr="00DC6757">
        <w:rPr>
          <w:rFonts w:ascii="Times New Roman" w:hAnsi="Times New Roman" w:cs="Times New Roman"/>
          <w:sz w:val="24"/>
          <w:szCs w:val="24"/>
          <w:lang w:val="en-US"/>
        </w:rPr>
        <w:t>strogen receptor assay</w:t>
      </w:r>
      <w:r w:rsidR="00A74AF8" w:rsidRPr="00DC6757">
        <w:rPr>
          <w:rFonts w:ascii="Times New Roman" w:hAnsi="Times New Roman" w:cs="Times New Roman"/>
          <w:sz w:val="24"/>
          <w:szCs w:val="24"/>
          <w:lang w:val="en-US"/>
        </w:rPr>
        <w:t xml:space="preserve">s (e.g. such as those used in screening programs like </w:t>
      </w:r>
      <w:proofErr w:type="spellStart"/>
      <w:r w:rsidR="00A74AF8" w:rsidRPr="00DC6757">
        <w:rPr>
          <w:rFonts w:ascii="Times New Roman" w:hAnsi="Times New Roman" w:cs="Times New Roman"/>
          <w:sz w:val="24"/>
          <w:szCs w:val="24"/>
          <w:lang w:val="en-US"/>
        </w:rPr>
        <w:t>ToxCast</w:t>
      </w:r>
      <w:proofErr w:type="spellEnd"/>
      <w:r w:rsidR="00A74AF8" w:rsidRPr="00DC6757">
        <w:rPr>
          <w:rFonts w:ascii="Times New Roman" w:hAnsi="Times New Roman" w:cs="Times New Roman"/>
          <w:sz w:val="24"/>
          <w:szCs w:val="24"/>
          <w:lang w:val="en-US"/>
        </w:rPr>
        <w:t xml:space="preserve"> (</w:t>
      </w:r>
      <w:hyperlink r:id="rId29" w:history="1">
        <w:r w:rsidRPr="00DC6757">
          <w:rPr>
            <w:rStyle w:val="Hyperlink"/>
            <w:rFonts w:ascii="Times New Roman" w:hAnsi="Times New Roman" w:cs="Times New Roman"/>
            <w:sz w:val="24"/>
            <w:szCs w:val="24"/>
            <w:lang w:val="en-US"/>
          </w:rPr>
          <w:t>https://www.epa.gov/chemical-research/toxcast-dashboard</w:t>
        </w:r>
      </w:hyperlink>
      <w:r w:rsidRPr="00DC6757">
        <w:rPr>
          <w:rFonts w:ascii="Times New Roman" w:hAnsi="Times New Roman" w:cs="Times New Roman"/>
          <w:sz w:val="24"/>
          <w:szCs w:val="24"/>
          <w:lang w:val="en-US"/>
        </w:rPr>
        <w:t>) can inform vitellogenesis, egg production, and population trajectories (</w:t>
      </w:r>
      <w:hyperlink r:id="rId30" w:history="1">
        <w:r w:rsidRPr="00DC6757">
          <w:rPr>
            <w:rStyle w:val="Hyperlink"/>
            <w:rFonts w:ascii="Times New Roman" w:hAnsi="Times New Roman" w:cs="Times New Roman"/>
            <w:sz w:val="24"/>
            <w:szCs w:val="24"/>
          </w:rPr>
          <w:t>https://aopwiki.org/aops/30</w:t>
        </w:r>
      </w:hyperlink>
      <w:r w:rsidRPr="00DC6757">
        <w:rPr>
          <w:rFonts w:ascii="Times New Roman" w:hAnsi="Times New Roman" w:cs="Times New Roman"/>
          <w:sz w:val="24"/>
          <w:szCs w:val="24"/>
          <w:lang w:val="en-US"/>
        </w:rPr>
        <w:t>) and could potentially link to the partitioning rule in DEB that determines what proportion of energy goes towards reproduction or growth, but also to the utilization of material in the reproductive buffer.</w:t>
      </w:r>
      <w:r w:rsidR="00DC6757">
        <w:rPr>
          <w:rFonts w:ascii="Times New Roman" w:hAnsi="Times New Roman" w:cs="Times New Roman"/>
          <w:sz w:val="24"/>
          <w:szCs w:val="24"/>
          <w:lang w:val="en-US"/>
        </w:rPr>
        <w:t xml:space="preserve"> </w:t>
      </w:r>
      <w:r w:rsidR="00A74AF8" w:rsidRPr="00DC6757">
        <w:rPr>
          <w:rFonts w:ascii="Times New Roman" w:hAnsi="Times New Roman" w:cs="Times New Roman"/>
          <w:sz w:val="24"/>
          <w:szCs w:val="24"/>
          <w:lang w:val="en-US"/>
        </w:rPr>
        <w:t xml:space="preserve">Similarly, information from PPARα assays (such as those included in </w:t>
      </w:r>
      <w:proofErr w:type="spellStart"/>
      <w:r w:rsidR="00A74AF8" w:rsidRPr="00DC6757">
        <w:rPr>
          <w:rFonts w:ascii="Times New Roman" w:hAnsi="Times New Roman" w:cs="Times New Roman"/>
          <w:sz w:val="24"/>
          <w:szCs w:val="24"/>
          <w:lang w:val="en-US"/>
        </w:rPr>
        <w:t>ToxCast</w:t>
      </w:r>
      <w:proofErr w:type="spellEnd"/>
      <w:r w:rsidR="00A74AF8" w:rsidRPr="00DC6757">
        <w:rPr>
          <w:rFonts w:ascii="Times New Roman" w:hAnsi="Times New Roman" w:cs="Times New Roman"/>
          <w:sz w:val="24"/>
          <w:szCs w:val="24"/>
          <w:lang w:val="en-US"/>
        </w:rPr>
        <w:t xml:space="preserve"> screening </w:t>
      </w:r>
      <w:proofErr w:type="gramStart"/>
      <w:r w:rsidR="00A74AF8" w:rsidRPr="00DC6757">
        <w:rPr>
          <w:rFonts w:ascii="Times New Roman" w:hAnsi="Times New Roman" w:cs="Times New Roman"/>
          <w:sz w:val="24"/>
          <w:szCs w:val="24"/>
          <w:lang w:val="en-US"/>
        </w:rPr>
        <w:t>-</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 xml:space="preserve"> </w:t>
      </w:r>
      <w:proofErr w:type="spellStart"/>
      <w:r w:rsidRPr="00DC6757">
        <w:rPr>
          <w:rFonts w:ascii="Times New Roman" w:hAnsi="Times New Roman" w:cs="Times New Roman"/>
          <w:sz w:val="24"/>
          <w:szCs w:val="24"/>
          <w:lang w:val="en-US"/>
        </w:rPr>
        <w:t>Toxcast</w:t>
      </w:r>
      <w:proofErr w:type="spellEnd"/>
      <w:proofErr w:type="gramEnd"/>
      <w:r w:rsidRPr="00DC6757">
        <w:rPr>
          <w:rFonts w:ascii="Times New Roman" w:hAnsi="Times New Roman" w:cs="Times New Roman"/>
          <w:sz w:val="24"/>
          <w:szCs w:val="24"/>
          <w:lang w:val="en-US"/>
        </w:rPr>
        <w:t xml:space="preserve"> lists 3 assays two are human liver cell based (for CIS and TRANS config); the third </w:t>
      </w:r>
      <w:r w:rsidR="00A74AF8" w:rsidRPr="00DC6757">
        <w:rPr>
          <w:rFonts w:ascii="Times New Roman" w:hAnsi="Times New Roman" w:cs="Times New Roman"/>
          <w:sz w:val="24"/>
          <w:szCs w:val="24"/>
          <w:lang w:val="en-US"/>
        </w:rPr>
        <w:t>is cell-free).</w:t>
      </w:r>
      <w:r w:rsidR="00DC6757">
        <w:rPr>
          <w:rFonts w:ascii="Times New Roman" w:hAnsi="Times New Roman" w:cs="Times New Roman"/>
          <w:sz w:val="24"/>
          <w:szCs w:val="24"/>
          <w:lang w:val="en-US"/>
        </w:rPr>
        <w:t xml:space="preserve"> </w:t>
      </w:r>
      <w:r w:rsidRPr="00DC6757">
        <w:rPr>
          <w:rFonts w:ascii="Times New Roman" w:hAnsi="Times New Roman" w:cs="Times New Roman"/>
          <w:sz w:val="24"/>
          <w:szCs w:val="24"/>
          <w:lang w:val="en-US"/>
        </w:rPr>
        <w:t>PPARα antagonism leads to reduced ability to obtain energy from fatty acids and reduces the production of ketone bodies and ultimately results in increased muscle protein catabolism that reduces body weight in an individual (</w:t>
      </w:r>
      <w:hyperlink r:id="rId31" w:history="1">
        <w:r w:rsidRPr="00DC6757">
          <w:rPr>
            <w:rStyle w:val="Hyperlink"/>
            <w:rFonts w:ascii="Times New Roman" w:hAnsi="Times New Roman" w:cs="Times New Roman"/>
            <w:sz w:val="24"/>
            <w:szCs w:val="24"/>
            <w:lang w:val="en-US"/>
          </w:rPr>
          <w:t>https://aopwiki.org/aops/6</w:t>
        </w:r>
      </w:hyperlink>
      <w:r w:rsidRPr="00DC6757">
        <w:rPr>
          <w:rFonts w:ascii="Times New Roman" w:hAnsi="Times New Roman" w:cs="Times New Roman"/>
          <w:sz w:val="24"/>
          <w:szCs w:val="24"/>
          <w:lang w:val="en-US"/>
        </w:rPr>
        <w:t xml:space="preserve">). Again, one AOP may </w:t>
      </w:r>
      <w:proofErr w:type="gramStart"/>
      <w:r w:rsidRPr="00DC6757">
        <w:rPr>
          <w:rFonts w:ascii="Times New Roman" w:hAnsi="Times New Roman" w:cs="Times New Roman"/>
          <w:sz w:val="24"/>
          <w:szCs w:val="24"/>
          <w:lang w:val="en-US"/>
        </w:rPr>
        <w:t>actually link</w:t>
      </w:r>
      <w:proofErr w:type="gramEnd"/>
      <w:r w:rsidRPr="00DC6757">
        <w:rPr>
          <w:rFonts w:ascii="Times New Roman" w:hAnsi="Times New Roman" w:cs="Times New Roman"/>
          <w:sz w:val="24"/>
          <w:szCs w:val="24"/>
          <w:lang w:val="en-US"/>
        </w:rPr>
        <w:t xml:space="preserve"> to more than one flux in DEB.</w:t>
      </w:r>
    </w:p>
    <w:p w14:paraId="567F8CC0" w14:textId="77777777" w:rsidR="00C16B36" w:rsidRPr="00DC6757" w:rsidRDefault="00C16B36" w:rsidP="004D7DC4">
      <w:pPr>
        <w:spacing w:after="0" w:line="240" w:lineRule="auto"/>
        <w:rPr>
          <w:rFonts w:ascii="Times New Roman" w:hAnsi="Times New Roman" w:cs="Times New Roman"/>
          <w:b/>
          <w:sz w:val="24"/>
          <w:szCs w:val="24"/>
          <w:lang w:val="en-GB"/>
        </w:rPr>
      </w:pPr>
    </w:p>
    <w:p w14:paraId="764796A3" w14:textId="77777777" w:rsidR="00C16B36" w:rsidRPr="00DC6757" w:rsidRDefault="00C16B36">
      <w:pPr>
        <w:rPr>
          <w:rFonts w:ascii="Times New Roman" w:hAnsi="Times New Roman" w:cs="Times New Roman"/>
          <w:b/>
          <w:sz w:val="24"/>
          <w:szCs w:val="24"/>
          <w:lang w:val="en-GB"/>
        </w:rPr>
      </w:pPr>
      <w:r w:rsidRPr="00DC6757">
        <w:rPr>
          <w:rFonts w:ascii="Times New Roman" w:hAnsi="Times New Roman" w:cs="Times New Roman"/>
          <w:b/>
          <w:sz w:val="24"/>
          <w:szCs w:val="24"/>
          <w:lang w:val="en-GB"/>
        </w:rPr>
        <w:br w:type="page"/>
      </w:r>
    </w:p>
    <w:p w14:paraId="336AD2D7" w14:textId="77777777" w:rsidR="00C16B36" w:rsidRPr="00DC6757" w:rsidRDefault="00C16B36" w:rsidP="00C16B36">
      <w:pPr>
        <w:spacing w:line="480" w:lineRule="auto"/>
        <w:rPr>
          <w:rFonts w:ascii="Times New Roman" w:hAnsi="Times New Roman" w:cs="Times New Roman"/>
          <w:lang w:val="en-GB"/>
        </w:rPr>
      </w:pPr>
      <w:r w:rsidRPr="00DC6757">
        <w:rPr>
          <w:noProof/>
        </w:rPr>
        <w:lastRenderedPageBreak/>
        <w:drawing>
          <wp:inline distT="0" distB="0" distL="0" distR="0" wp14:anchorId="259A7229" wp14:editId="311A4A3D">
            <wp:extent cx="5943600" cy="423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231225"/>
                    </a:xfrm>
                    <a:prstGeom prst="rect">
                      <a:avLst/>
                    </a:prstGeom>
                    <a:noFill/>
                    <a:ln>
                      <a:noFill/>
                    </a:ln>
                  </pic:spPr>
                </pic:pic>
              </a:graphicData>
            </a:graphic>
          </wp:inline>
        </w:drawing>
      </w:r>
    </w:p>
    <w:p w14:paraId="2427640A" w14:textId="240DC886" w:rsidR="00C16B36" w:rsidRPr="00DC6757" w:rsidRDefault="00C16B36" w:rsidP="00C16B36">
      <w:pPr>
        <w:spacing w:line="240" w:lineRule="auto"/>
        <w:rPr>
          <w:rFonts w:ascii="Times New Roman" w:hAnsi="Times New Roman" w:cs="Times New Roman"/>
          <w:sz w:val="24"/>
          <w:lang w:val="en-GB"/>
        </w:rPr>
      </w:pPr>
      <w:r w:rsidRPr="00DC6757">
        <w:rPr>
          <w:rFonts w:ascii="Times New Roman" w:hAnsi="Times New Roman" w:cs="Times New Roman"/>
          <w:b/>
          <w:sz w:val="24"/>
          <w:lang w:val="en-GB"/>
        </w:rPr>
        <w:t>Figure 3.</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 xml:space="preserve">One approach to link </w:t>
      </w:r>
      <w:proofErr w:type="spellStart"/>
      <w:r w:rsidRPr="00DC6757">
        <w:rPr>
          <w:rFonts w:ascii="Times New Roman" w:hAnsi="Times New Roman" w:cs="Times New Roman"/>
          <w:sz w:val="24"/>
          <w:lang w:val="en-GB"/>
        </w:rPr>
        <w:t>qAOPs</w:t>
      </w:r>
      <w:proofErr w:type="spellEnd"/>
      <w:r w:rsidRPr="00DC6757">
        <w:rPr>
          <w:rFonts w:ascii="Times New Roman" w:hAnsi="Times New Roman" w:cs="Times New Roman"/>
          <w:sz w:val="24"/>
          <w:lang w:val="en-GB"/>
        </w:rPr>
        <w:t xml:space="preserve"> to DEB is to create a simplified </w:t>
      </w:r>
      <w:proofErr w:type="spellStart"/>
      <w:r w:rsidRPr="00DC6757">
        <w:rPr>
          <w:rFonts w:ascii="Times New Roman" w:hAnsi="Times New Roman" w:cs="Times New Roman"/>
          <w:sz w:val="24"/>
          <w:lang w:val="en-GB"/>
        </w:rPr>
        <w:t>submodel</w:t>
      </w:r>
      <w:proofErr w:type="spellEnd"/>
      <w:r w:rsidRPr="00DC6757">
        <w:rPr>
          <w:rFonts w:ascii="Times New Roman" w:hAnsi="Times New Roman" w:cs="Times New Roman"/>
          <w:sz w:val="24"/>
          <w:lang w:val="en-GB"/>
        </w:rPr>
        <w:t xml:space="preserve"> of the physiological processes (in this case the hormones involved in the fish hypothalamic-pituitary-gonadal</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w:t>
      </w:r>
      <w:proofErr w:type="spellStart"/>
      <w:r w:rsidRPr="00DC6757">
        <w:rPr>
          <w:rFonts w:ascii="Times New Roman" w:hAnsi="Times New Roman" w:cs="Times New Roman"/>
          <w:sz w:val="24"/>
          <w:lang w:val="en-GB"/>
        </w:rPr>
        <w:t>HPGaxis</w:t>
      </w:r>
      <w:proofErr w:type="spellEnd"/>
      <w:r w:rsidRPr="00DC6757">
        <w:rPr>
          <w:rFonts w:ascii="Times New Roman" w:hAnsi="Times New Roman" w:cs="Times New Roman"/>
          <w:sz w:val="24"/>
          <w:lang w:val="en-GB"/>
        </w:rPr>
        <w:t xml:space="preserve">) and this </w:t>
      </w:r>
      <w:proofErr w:type="spellStart"/>
      <w:r w:rsidRPr="00DC6757">
        <w:rPr>
          <w:rFonts w:ascii="Times New Roman" w:hAnsi="Times New Roman" w:cs="Times New Roman"/>
          <w:sz w:val="24"/>
          <w:lang w:val="en-GB"/>
        </w:rPr>
        <w:t>submodel</w:t>
      </w:r>
      <w:proofErr w:type="spellEnd"/>
      <w:r w:rsidRPr="00DC6757">
        <w:rPr>
          <w:rFonts w:ascii="Times New Roman" w:hAnsi="Times New Roman" w:cs="Times New Roman"/>
          <w:sz w:val="24"/>
          <w:lang w:val="en-GB"/>
        </w:rPr>
        <w:t xml:space="preserve"> can regulate </w:t>
      </w:r>
      <w:r w:rsidR="00784AE1" w:rsidRPr="00DC6757">
        <w:rPr>
          <w:rFonts w:ascii="Times New Roman" w:hAnsi="Times New Roman" w:cs="Times New Roman"/>
          <w:sz w:val="24"/>
          <w:lang w:val="en-GB"/>
        </w:rPr>
        <w:t xml:space="preserve">model </w:t>
      </w:r>
      <w:r w:rsidRPr="00DC6757">
        <w:rPr>
          <w:rFonts w:ascii="Times New Roman" w:hAnsi="Times New Roman" w:cs="Times New Roman"/>
          <w:sz w:val="24"/>
          <w:lang w:val="en-GB"/>
        </w:rPr>
        <w:t>fluxes within the standard DEB by interfacing with synthesizing units (SU, blue dot).</w:t>
      </w:r>
      <w:r w:rsidR="00DC6757">
        <w:rPr>
          <w:rFonts w:ascii="Times New Roman" w:hAnsi="Times New Roman" w:cs="Times New Roman"/>
          <w:sz w:val="24"/>
          <w:lang w:val="en-GB"/>
        </w:rPr>
        <w:t xml:space="preserve"> </w:t>
      </w:r>
      <w:r w:rsidRPr="00DC6757">
        <w:rPr>
          <w:rFonts w:ascii="Times New Roman" w:hAnsi="Times New Roman" w:cs="Times New Roman"/>
          <w:sz w:val="24"/>
          <w:lang w:val="en-GB"/>
        </w:rPr>
        <w:t>The model of the HPG axis is reduced into forcing function, regulator, activator and activate- regulator.</w:t>
      </w:r>
    </w:p>
    <w:p w14:paraId="1635969F" w14:textId="77777777" w:rsidR="00C16B36" w:rsidRPr="00DC6757" w:rsidRDefault="00C16B36">
      <w:pPr>
        <w:rPr>
          <w:rFonts w:ascii="Times New Roman" w:hAnsi="Times New Roman" w:cs="Times New Roman"/>
          <w:sz w:val="24"/>
          <w:lang w:val="en-GB"/>
        </w:rPr>
      </w:pPr>
      <w:r w:rsidRPr="00DC6757">
        <w:rPr>
          <w:rFonts w:ascii="Times New Roman" w:hAnsi="Times New Roman" w:cs="Times New Roman"/>
          <w:sz w:val="24"/>
          <w:lang w:val="en-GB"/>
        </w:rPr>
        <w:br w:type="page"/>
      </w:r>
    </w:p>
    <w:p w14:paraId="20E01413" w14:textId="77777777" w:rsidR="00C16B36" w:rsidRPr="00DC6757" w:rsidRDefault="0023229B" w:rsidP="00C16B36">
      <w:pPr>
        <w:spacing w:after="0" w:line="480" w:lineRule="auto"/>
        <w:rPr>
          <w:rFonts w:ascii="Times New Roman" w:hAnsi="Times New Roman" w:cs="Times New Roman"/>
          <w:sz w:val="24"/>
          <w:szCs w:val="24"/>
          <w:lang w:val="en-GB"/>
        </w:rPr>
      </w:pPr>
      <w:r w:rsidRPr="00DC6757">
        <w:rPr>
          <w:rFonts w:ascii="Times New Roman" w:hAnsi="Times New Roman" w:cs="Times New Roman"/>
          <w:noProof/>
          <w:sz w:val="24"/>
          <w:szCs w:val="24"/>
        </w:rPr>
        <w:lastRenderedPageBreak/>
        <w:drawing>
          <wp:inline distT="0" distB="0" distL="0" distR="0" wp14:anchorId="589EDA9A" wp14:editId="61353AFB">
            <wp:extent cx="5943600" cy="4637167"/>
            <wp:effectExtent l="0" t="0" r="0" b="0"/>
            <wp:docPr id="6" name="Picture 6" descr="C:\Users\camurphy\AppData\Local\Microsoft\Windows\Temporary Internet Files\Content.Outlook\X97KI23Y\6160_2017_fig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amurphy\AppData\Local\Microsoft\Windows\Temporary Internet Files\Content.Outlook\X97KI23Y\6160_2017_fig1-3 (0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637167"/>
                    </a:xfrm>
                    <a:prstGeom prst="rect">
                      <a:avLst/>
                    </a:prstGeom>
                    <a:noFill/>
                    <a:ln>
                      <a:noFill/>
                    </a:ln>
                  </pic:spPr>
                </pic:pic>
              </a:graphicData>
            </a:graphic>
          </wp:inline>
        </w:drawing>
      </w:r>
    </w:p>
    <w:p w14:paraId="4F6EED3A" w14:textId="77777777" w:rsidR="00C16B36" w:rsidRPr="00D71F06" w:rsidRDefault="00C16B36" w:rsidP="00C16B36">
      <w:pPr>
        <w:pStyle w:val="NoSpacing"/>
        <w:ind w:left="720"/>
        <w:jc w:val="both"/>
        <w:rPr>
          <w:rFonts w:ascii="Times New Roman" w:hAnsi="Times New Roman" w:cs="Times New Roman"/>
          <w:sz w:val="16"/>
          <w:szCs w:val="16"/>
          <w:lang w:val="en-US"/>
        </w:rPr>
      </w:pPr>
      <w:r w:rsidRPr="00DC6757">
        <w:rPr>
          <w:rFonts w:ascii="Times New Roman" w:hAnsi="Times New Roman" w:cs="Times New Roman"/>
          <w:b/>
          <w:sz w:val="24"/>
          <w:szCs w:val="16"/>
          <w:lang w:val="en-US"/>
        </w:rPr>
        <w:t>Figure 4</w:t>
      </w:r>
      <w:r w:rsidRPr="00DC6757">
        <w:rPr>
          <w:rFonts w:ascii="Times New Roman" w:hAnsi="Times New Roman" w:cs="Times New Roman"/>
          <w:sz w:val="24"/>
          <w:szCs w:val="16"/>
          <w:lang w:val="en-US"/>
        </w:rPr>
        <w:t>: Schematic relating parallel descriptions of sub-organismal processes (AOP and DEB) and how they can interact to improve predictions of how whole organisms respond to stressors</w:t>
      </w:r>
      <w:r w:rsidRPr="00DC6757">
        <w:rPr>
          <w:rFonts w:ascii="Times New Roman" w:hAnsi="Times New Roman" w:cs="Times New Roman"/>
          <w:sz w:val="16"/>
          <w:szCs w:val="16"/>
          <w:lang w:val="en-US"/>
        </w:rPr>
        <w:t>.</w:t>
      </w:r>
      <w:r w:rsidRPr="00D71F06">
        <w:rPr>
          <w:rFonts w:ascii="Times New Roman" w:hAnsi="Times New Roman" w:cs="Times New Roman"/>
          <w:sz w:val="16"/>
          <w:szCs w:val="16"/>
          <w:lang w:val="en-US"/>
        </w:rPr>
        <w:t xml:space="preserve"> </w:t>
      </w:r>
    </w:p>
    <w:p w14:paraId="6D8F991E" w14:textId="77777777" w:rsidR="00C16B36" w:rsidRPr="00A6185C" w:rsidRDefault="00C16B36" w:rsidP="00C16B36">
      <w:pPr>
        <w:spacing w:line="240" w:lineRule="auto"/>
        <w:rPr>
          <w:rFonts w:ascii="Times New Roman" w:hAnsi="Times New Roman" w:cs="Times New Roman"/>
          <w:sz w:val="24"/>
          <w:lang w:val="en-GB"/>
        </w:rPr>
      </w:pPr>
    </w:p>
    <w:p w14:paraId="38F205F1" w14:textId="77777777" w:rsidR="00C16B36" w:rsidRPr="00D71F06" w:rsidRDefault="00C16B36" w:rsidP="004D7DC4">
      <w:pPr>
        <w:spacing w:after="0" w:line="240" w:lineRule="auto"/>
        <w:rPr>
          <w:rFonts w:ascii="Times New Roman" w:hAnsi="Times New Roman" w:cs="Times New Roman"/>
          <w:b/>
          <w:sz w:val="24"/>
          <w:szCs w:val="24"/>
          <w:lang w:val="en-GB"/>
        </w:rPr>
      </w:pPr>
    </w:p>
    <w:sectPr w:rsidR="00C16B36" w:rsidRPr="00D71F06" w:rsidSect="002C0DF6">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2D83" w14:textId="77777777" w:rsidR="007A10B4" w:rsidRDefault="007A10B4" w:rsidP="00FF5812">
      <w:pPr>
        <w:spacing w:after="0" w:line="240" w:lineRule="auto"/>
      </w:pPr>
      <w:r>
        <w:separator/>
      </w:r>
    </w:p>
  </w:endnote>
  <w:endnote w:type="continuationSeparator" w:id="0">
    <w:p w14:paraId="13F738A3" w14:textId="77777777" w:rsidR="007A10B4" w:rsidRDefault="007A10B4" w:rsidP="00FF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F673" w14:textId="77777777" w:rsidR="007A10B4" w:rsidRDefault="007A10B4" w:rsidP="00FF5812">
      <w:pPr>
        <w:spacing w:after="0" w:line="240" w:lineRule="auto"/>
      </w:pPr>
      <w:r>
        <w:separator/>
      </w:r>
    </w:p>
  </w:footnote>
  <w:footnote w:type="continuationSeparator" w:id="0">
    <w:p w14:paraId="70009733" w14:textId="77777777" w:rsidR="007A10B4" w:rsidRDefault="007A10B4" w:rsidP="00FF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729A" w14:textId="77777777" w:rsidR="002C0DF6" w:rsidRDefault="002C0DF6">
    <w:pPr>
      <w:pStyle w:val="Header"/>
    </w:pPr>
    <w:r>
      <w:t>Revised May 14, 2018</w:t>
    </w:r>
  </w:p>
  <w:p w14:paraId="53612BE0" w14:textId="77777777" w:rsidR="002C0DF6" w:rsidRDefault="002C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E25"/>
    <w:multiLevelType w:val="hybridMultilevel"/>
    <w:tmpl w:val="43FECE46"/>
    <w:lvl w:ilvl="0" w:tplc="CB421C8E">
      <w:start w:val="1"/>
      <w:numFmt w:val="bullet"/>
      <w:lvlText w:val="•"/>
      <w:lvlJc w:val="left"/>
      <w:pPr>
        <w:tabs>
          <w:tab w:val="num" w:pos="720"/>
        </w:tabs>
        <w:ind w:left="720" w:hanging="360"/>
      </w:pPr>
      <w:rPr>
        <w:rFonts w:ascii="Arial" w:hAnsi="Arial" w:hint="default"/>
      </w:rPr>
    </w:lvl>
    <w:lvl w:ilvl="1" w:tplc="DD2ED968">
      <w:start w:val="1745"/>
      <w:numFmt w:val="bullet"/>
      <w:lvlText w:val="–"/>
      <w:lvlJc w:val="left"/>
      <w:pPr>
        <w:tabs>
          <w:tab w:val="num" w:pos="1440"/>
        </w:tabs>
        <w:ind w:left="1440" w:hanging="360"/>
      </w:pPr>
      <w:rPr>
        <w:rFonts w:ascii="Arial" w:hAnsi="Arial" w:hint="default"/>
      </w:rPr>
    </w:lvl>
    <w:lvl w:ilvl="2" w:tplc="F1FE3B7A" w:tentative="1">
      <w:start w:val="1"/>
      <w:numFmt w:val="bullet"/>
      <w:lvlText w:val="•"/>
      <w:lvlJc w:val="left"/>
      <w:pPr>
        <w:tabs>
          <w:tab w:val="num" w:pos="2160"/>
        </w:tabs>
        <w:ind w:left="2160" w:hanging="360"/>
      </w:pPr>
      <w:rPr>
        <w:rFonts w:ascii="Arial" w:hAnsi="Arial" w:hint="default"/>
      </w:rPr>
    </w:lvl>
    <w:lvl w:ilvl="3" w:tplc="26086CDE" w:tentative="1">
      <w:start w:val="1"/>
      <w:numFmt w:val="bullet"/>
      <w:lvlText w:val="•"/>
      <w:lvlJc w:val="left"/>
      <w:pPr>
        <w:tabs>
          <w:tab w:val="num" w:pos="2880"/>
        </w:tabs>
        <w:ind w:left="2880" w:hanging="360"/>
      </w:pPr>
      <w:rPr>
        <w:rFonts w:ascii="Arial" w:hAnsi="Arial" w:hint="default"/>
      </w:rPr>
    </w:lvl>
    <w:lvl w:ilvl="4" w:tplc="E3F23A9E" w:tentative="1">
      <w:start w:val="1"/>
      <w:numFmt w:val="bullet"/>
      <w:lvlText w:val="•"/>
      <w:lvlJc w:val="left"/>
      <w:pPr>
        <w:tabs>
          <w:tab w:val="num" w:pos="3600"/>
        </w:tabs>
        <w:ind w:left="3600" w:hanging="360"/>
      </w:pPr>
      <w:rPr>
        <w:rFonts w:ascii="Arial" w:hAnsi="Arial" w:hint="default"/>
      </w:rPr>
    </w:lvl>
    <w:lvl w:ilvl="5" w:tplc="218E85CE" w:tentative="1">
      <w:start w:val="1"/>
      <w:numFmt w:val="bullet"/>
      <w:lvlText w:val="•"/>
      <w:lvlJc w:val="left"/>
      <w:pPr>
        <w:tabs>
          <w:tab w:val="num" w:pos="4320"/>
        </w:tabs>
        <w:ind w:left="4320" w:hanging="360"/>
      </w:pPr>
      <w:rPr>
        <w:rFonts w:ascii="Arial" w:hAnsi="Arial" w:hint="default"/>
      </w:rPr>
    </w:lvl>
    <w:lvl w:ilvl="6" w:tplc="9D902B44" w:tentative="1">
      <w:start w:val="1"/>
      <w:numFmt w:val="bullet"/>
      <w:lvlText w:val="•"/>
      <w:lvlJc w:val="left"/>
      <w:pPr>
        <w:tabs>
          <w:tab w:val="num" w:pos="5040"/>
        </w:tabs>
        <w:ind w:left="5040" w:hanging="360"/>
      </w:pPr>
      <w:rPr>
        <w:rFonts w:ascii="Arial" w:hAnsi="Arial" w:hint="default"/>
      </w:rPr>
    </w:lvl>
    <w:lvl w:ilvl="7" w:tplc="2FFE7D8A" w:tentative="1">
      <w:start w:val="1"/>
      <w:numFmt w:val="bullet"/>
      <w:lvlText w:val="•"/>
      <w:lvlJc w:val="left"/>
      <w:pPr>
        <w:tabs>
          <w:tab w:val="num" w:pos="5760"/>
        </w:tabs>
        <w:ind w:left="5760" w:hanging="360"/>
      </w:pPr>
      <w:rPr>
        <w:rFonts w:ascii="Arial" w:hAnsi="Arial" w:hint="default"/>
      </w:rPr>
    </w:lvl>
    <w:lvl w:ilvl="8" w:tplc="A7562A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F605DC"/>
    <w:multiLevelType w:val="hybridMultilevel"/>
    <w:tmpl w:val="F2D0C660"/>
    <w:lvl w:ilvl="0" w:tplc="C5944AE0">
      <w:start w:val="1"/>
      <w:numFmt w:val="bullet"/>
      <w:lvlText w:val="•"/>
      <w:lvlJc w:val="left"/>
      <w:pPr>
        <w:tabs>
          <w:tab w:val="num" w:pos="720"/>
        </w:tabs>
        <w:ind w:left="720" w:hanging="360"/>
      </w:pPr>
      <w:rPr>
        <w:rFonts w:ascii="Arial" w:hAnsi="Arial" w:hint="default"/>
      </w:rPr>
    </w:lvl>
    <w:lvl w:ilvl="1" w:tplc="D1F2BB04" w:tentative="1">
      <w:start w:val="1"/>
      <w:numFmt w:val="bullet"/>
      <w:lvlText w:val="•"/>
      <w:lvlJc w:val="left"/>
      <w:pPr>
        <w:tabs>
          <w:tab w:val="num" w:pos="1440"/>
        </w:tabs>
        <w:ind w:left="1440" w:hanging="360"/>
      </w:pPr>
      <w:rPr>
        <w:rFonts w:ascii="Arial" w:hAnsi="Arial" w:hint="default"/>
      </w:rPr>
    </w:lvl>
    <w:lvl w:ilvl="2" w:tplc="1072416A">
      <w:start w:val="1"/>
      <w:numFmt w:val="bullet"/>
      <w:lvlText w:val="•"/>
      <w:lvlJc w:val="left"/>
      <w:pPr>
        <w:tabs>
          <w:tab w:val="num" w:pos="2160"/>
        </w:tabs>
        <w:ind w:left="2160" w:hanging="360"/>
      </w:pPr>
      <w:rPr>
        <w:rFonts w:ascii="Arial" w:hAnsi="Arial" w:hint="default"/>
      </w:rPr>
    </w:lvl>
    <w:lvl w:ilvl="3" w:tplc="E5BCE7EE" w:tentative="1">
      <w:start w:val="1"/>
      <w:numFmt w:val="bullet"/>
      <w:lvlText w:val="•"/>
      <w:lvlJc w:val="left"/>
      <w:pPr>
        <w:tabs>
          <w:tab w:val="num" w:pos="2880"/>
        </w:tabs>
        <w:ind w:left="2880" w:hanging="360"/>
      </w:pPr>
      <w:rPr>
        <w:rFonts w:ascii="Arial" w:hAnsi="Arial" w:hint="default"/>
      </w:rPr>
    </w:lvl>
    <w:lvl w:ilvl="4" w:tplc="1E6C79B6" w:tentative="1">
      <w:start w:val="1"/>
      <w:numFmt w:val="bullet"/>
      <w:lvlText w:val="•"/>
      <w:lvlJc w:val="left"/>
      <w:pPr>
        <w:tabs>
          <w:tab w:val="num" w:pos="3600"/>
        </w:tabs>
        <w:ind w:left="3600" w:hanging="360"/>
      </w:pPr>
      <w:rPr>
        <w:rFonts w:ascii="Arial" w:hAnsi="Arial" w:hint="default"/>
      </w:rPr>
    </w:lvl>
    <w:lvl w:ilvl="5" w:tplc="B74C76C4" w:tentative="1">
      <w:start w:val="1"/>
      <w:numFmt w:val="bullet"/>
      <w:lvlText w:val="•"/>
      <w:lvlJc w:val="left"/>
      <w:pPr>
        <w:tabs>
          <w:tab w:val="num" w:pos="4320"/>
        </w:tabs>
        <w:ind w:left="4320" w:hanging="360"/>
      </w:pPr>
      <w:rPr>
        <w:rFonts w:ascii="Arial" w:hAnsi="Arial" w:hint="default"/>
      </w:rPr>
    </w:lvl>
    <w:lvl w:ilvl="6" w:tplc="A1A49B50" w:tentative="1">
      <w:start w:val="1"/>
      <w:numFmt w:val="bullet"/>
      <w:lvlText w:val="•"/>
      <w:lvlJc w:val="left"/>
      <w:pPr>
        <w:tabs>
          <w:tab w:val="num" w:pos="5040"/>
        </w:tabs>
        <w:ind w:left="5040" w:hanging="360"/>
      </w:pPr>
      <w:rPr>
        <w:rFonts w:ascii="Arial" w:hAnsi="Arial" w:hint="default"/>
      </w:rPr>
    </w:lvl>
    <w:lvl w:ilvl="7" w:tplc="CB7AB0FA" w:tentative="1">
      <w:start w:val="1"/>
      <w:numFmt w:val="bullet"/>
      <w:lvlText w:val="•"/>
      <w:lvlJc w:val="left"/>
      <w:pPr>
        <w:tabs>
          <w:tab w:val="num" w:pos="5760"/>
        </w:tabs>
        <w:ind w:left="5760" w:hanging="360"/>
      </w:pPr>
      <w:rPr>
        <w:rFonts w:ascii="Arial" w:hAnsi="Arial" w:hint="default"/>
      </w:rPr>
    </w:lvl>
    <w:lvl w:ilvl="8" w:tplc="F502F1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6664BD"/>
    <w:multiLevelType w:val="hybridMultilevel"/>
    <w:tmpl w:val="F5985614"/>
    <w:lvl w:ilvl="0" w:tplc="C54EBD96">
      <w:start w:val="1"/>
      <w:numFmt w:val="bullet"/>
      <w:lvlText w:val="•"/>
      <w:lvlJc w:val="left"/>
      <w:pPr>
        <w:tabs>
          <w:tab w:val="num" w:pos="720"/>
        </w:tabs>
        <w:ind w:left="720" w:hanging="360"/>
      </w:pPr>
      <w:rPr>
        <w:rFonts w:ascii="Arial" w:hAnsi="Arial" w:hint="default"/>
      </w:rPr>
    </w:lvl>
    <w:lvl w:ilvl="1" w:tplc="D02E2630">
      <w:start w:val="1745"/>
      <w:numFmt w:val="bullet"/>
      <w:lvlText w:val="–"/>
      <w:lvlJc w:val="left"/>
      <w:pPr>
        <w:tabs>
          <w:tab w:val="num" w:pos="1440"/>
        </w:tabs>
        <w:ind w:left="1440" w:hanging="360"/>
      </w:pPr>
      <w:rPr>
        <w:rFonts w:ascii="Arial" w:hAnsi="Arial" w:hint="default"/>
      </w:rPr>
    </w:lvl>
    <w:lvl w:ilvl="2" w:tplc="58681350" w:tentative="1">
      <w:start w:val="1"/>
      <w:numFmt w:val="bullet"/>
      <w:lvlText w:val="•"/>
      <w:lvlJc w:val="left"/>
      <w:pPr>
        <w:tabs>
          <w:tab w:val="num" w:pos="2160"/>
        </w:tabs>
        <w:ind w:left="2160" w:hanging="360"/>
      </w:pPr>
      <w:rPr>
        <w:rFonts w:ascii="Arial" w:hAnsi="Arial" w:hint="default"/>
      </w:rPr>
    </w:lvl>
    <w:lvl w:ilvl="3" w:tplc="63BA3DAA" w:tentative="1">
      <w:start w:val="1"/>
      <w:numFmt w:val="bullet"/>
      <w:lvlText w:val="•"/>
      <w:lvlJc w:val="left"/>
      <w:pPr>
        <w:tabs>
          <w:tab w:val="num" w:pos="2880"/>
        </w:tabs>
        <w:ind w:left="2880" w:hanging="360"/>
      </w:pPr>
      <w:rPr>
        <w:rFonts w:ascii="Arial" w:hAnsi="Arial" w:hint="default"/>
      </w:rPr>
    </w:lvl>
    <w:lvl w:ilvl="4" w:tplc="02329BA0" w:tentative="1">
      <w:start w:val="1"/>
      <w:numFmt w:val="bullet"/>
      <w:lvlText w:val="•"/>
      <w:lvlJc w:val="left"/>
      <w:pPr>
        <w:tabs>
          <w:tab w:val="num" w:pos="3600"/>
        </w:tabs>
        <w:ind w:left="3600" w:hanging="360"/>
      </w:pPr>
      <w:rPr>
        <w:rFonts w:ascii="Arial" w:hAnsi="Arial" w:hint="default"/>
      </w:rPr>
    </w:lvl>
    <w:lvl w:ilvl="5" w:tplc="D3B4200A" w:tentative="1">
      <w:start w:val="1"/>
      <w:numFmt w:val="bullet"/>
      <w:lvlText w:val="•"/>
      <w:lvlJc w:val="left"/>
      <w:pPr>
        <w:tabs>
          <w:tab w:val="num" w:pos="4320"/>
        </w:tabs>
        <w:ind w:left="4320" w:hanging="360"/>
      </w:pPr>
      <w:rPr>
        <w:rFonts w:ascii="Arial" w:hAnsi="Arial" w:hint="default"/>
      </w:rPr>
    </w:lvl>
    <w:lvl w:ilvl="6" w:tplc="6DF6D680" w:tentative="1">
      <w:start w:val="1"/>
      <w:numFmt w:val="bullet"/>
      <w:lvlText w:val="•"/>
      <w:lvlJc w:val="left"/>
      <w:pPr>
        <w:tabs>
          <w:tab w:val="num" w:pos="5040"/>
        </w:tabs>
        <w:ind w:left="5040" w:hanging="360"/>
      </w:pPr>
      <w:rPr>
        <w:rFonts w:ascii="Arial" w:hAnsi="Arial" w:hint="default"/>
      </w:rPr>
    </w:lvl>
    <w:lvl w:ilvl="7" w:tplc="6DD86C20" w:tentative="1">
      <w:start w:val="1"/>
      <w:numFmt w:val="bullet"/>
      <w:lvlText w:val="•"/>
      <w:lvlJc w:val="left"/>
      <w:pPr>
        <w:tabs>
          <w:tab w:val="num" w:pos="5760"/>
        </w:tabs>
        <w:ind w:left="5760" w:hanging="360"/>
      </w:pPr>
      <w:rPr>
        <w:rFonts w:ascii="Arial" w:hAnsi="Arial" w:hint="default"/>
      </w:rPr>
    </w:lvl>
    <w:lvl w:ilvl="8" w:tplc="659808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692334"/>
    <w:multiLevelType w:val="hybridMultilevel"/>
    <w:tmpl w:val="582CE9B2"/>
    <w:lvl w:ilvl="0" w:tplc="E7E02E4E">
      <w:start w:val="1"/>
      <w:numFmt w:val="bullet"/>
      <w:lvlText w:val="•"/>
      <w:lvlJc w:val="left"/>
      <w:pPr>
        <w:tabs>
          <w:tab w:val="num" w:pos="720"/>
        </w:tabs>
        <w:ind w:left="720" w:hanging="360"/>
      </w:pPr>
      <w:rPr>
        <w:rFonts w:ascii="Arial" w:hAnsi="Arial" w:hint="default"/>
      </w:rPr>
    </w:lvl>
    <w:lvl w:ilvl="1" w:tplc="C3648CB0" w:tentative="1">
      <w:start w:val="1"/>
      <w:numFmt w:val="bullet"/>
      <w:lvlText w:val="•"/>
      <w:lvlJc w:val="left"/>
      <w:pPr>
        <w:tabs>
          <w:tab w:val="num" w:pos="1440"/>
        </w:tabs>
        <w:ind w:left="1440" w:hanging="360"/>
      </w:pPr>
      <w:rPr>
        <w:rFonts w:ascii="Arial" w:hAnsi="Arial" w:hint="default"/>
      </w:rPr>
    </w:lvl>
    <w:lvl w:ilvl="2" w:tplc="D968EAEC" w:tentative="1">
      <w:start w:val="1"/>
      <w:numFmt w:val="bullet"/>
      <w:lvlText w:val="•"/>
      <w:lvlJc w:val="left"/>
      <w:pPr>
        <w:tabs>
          <w:tab w:val="num" w:pos="2160"/>
        </w:tabs>
        <w:ind w:left="2160" w:hanging="360"/>
      </w:pPr>
      <w:rPr>
        <w:rFonts w:ascii="Arial" w:hAnsi="Arial" w:hint="default"/>
      </w:rPr>
    </w:lvl>
    <w:lvl w:ilvl="3" w:tplc="0CFECC8A" w:tentative="1">
      <w:start w:val="1"/>
      <w:numFmt w:val="bullet"/>
      <w:lvlText w:val="•"/>
      <w:lvlJc w:val="left"/>
      <w:pPr>
        <w:tabs>
          <w:tab w:val="num" w:pos="2880"/>
        </w:tabs>
        <w:ind w:left="2880" w:hanging="360"/>
      </w:pPr>
      <w:rPr>
        <w:rFonts w:ascii="Arial" w:hAnsi="Arial" w:hint="default"/>
      </w:rPr>
    </w:lvl>
    <w:lvl w:ilvl="4" w:tplc="8918D40E" w:tentative="1">
      <w:start w:val="1"/>
      <w:numFmt w:val="bullet"/>
      <w:lvlText w:val="•"/>
      <w:lvlJc w:val="left"/>
      <w:pPr>
        <w:tabs>
          <w:tab w:val="num" w:pos="3600"/>
        </w:tabs>
        <w:ind w:left="3600" w:hanging="360"/>
      </w:pPr>
      <w:rPr>
        <w:rFonts w:ascii="Arial" w:hAnsi="Arial" w:hint="default"/>
      </w:rPr>
    </w:lvl>
    <w:lvl w:ilvl="5" w:tplc="B770EAE0" w:tentative="1">
      <w:start w:val="1"/>
      <w:numFmt w:val="bullet"/>
      <w:lvlText w:val="•"/>
      <w:lvlJc w:val="left"/>
      <w:pPr>
        <w:tabs>
          <w:tab w:val="num" w:pos="4320"/>
        </w:tabs>
        <w:ind w:left="4320" w:hanging="360"/>
      </w:pPr>
      <w:rPr>
        <w:rFonts w:ascii="Arial" w:hAnsi="Arial" w:hint="default"/>
      </w:rPr>
    </w:lvl>
    <w:lvl w:ilvl="6" w:tplc="140C5236" w:tentative="1">
      <w:start w:val="1"/>
      <w:numFmt w:val="bullet"/>
      <w:lvlText w:val="•"/>
      <w:lvlJc w:val="left"/>
      <w:pPr>
        <w:tabs>
          <w:tab w:val="num" w:pos="5040"/>
        </w:tabs>
        <w:ind w:left="5040" w:hanging="360"/>
      </w:pPr>
      <w:rPr>
        <w:rFonts w:ascii="Arial" w:hAnsi="Arial" w:hint="default"/>
      </w:rPr>
    </w:lvl>
    <w:lvl w:ilvl="7" w:tplc="326E1E6C" w:tentative="1">
      <w:start w:val="1"/>
      <w:numFmt w:val="bullet"/>
      <w:lvlText w:val="•"/>
      <w:lvlJc w:val="left"/>
      <w:pPr>
        <w:tabs>
          <w:tab w:val="num" w:pos="5760"/>
        </w:tabs>
        <w:ind w:left="5760" w:hanging="360"/>
      </w:pPr>
      <w:rPr>
        <w:rFonts w:ascii="Arial" w:hAnsi="Arial" w:hint="default"/>
      </w:rPr>
    </w:lvl>
    <w:lvl w:ilvl="8" w:tplc="63A8A3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C56F68"/>
    <w:multiLevelType w:val="hybridMultilevel"/>
    <w:tmpl w:val="2D047AC4"/>
    <w:lvl w:ilvl="0" w:tplc="38601884">
      <w:start w:val="13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4B2508"/>
    <w:multiLevelType w:val="hybridMultilevel"/>
    <w:tmpl w:val="C144E2F8"/>
    <w:lvl w:ilvl="0" w:tplc="DD42EC0A">
      <w:start w:val="1"/>
      <w:numFmt w:val="bullet"/>
      <w:lvlText w:val="•"/>
      <w:lvlJc w:val="left"/>
      <w:pPr>
        <w:tabs>
          <w:tab w:val="num" w:pos="720"/>
        </w:tabs>
        <w:ind w:left="720" w:hanging="360"/>
      </w:pPr>
      <w:rPr>
        <w:rFonts w:ascii="Arial" w:hAnsi="Arial" w:hint="default"/>
      </w:rPr>
    </w:lvl>
    <w:lvl w:ilvl="1" w:tplc="D466F3E6" w:tentative="1">
      <w:start w:val="1"/>
      <w:numFmt w:val="bullet"/>
      <w:lvlText w:val="•"/>
      <w:lvlJc w:val="left"/>
      <w:pPr>
        <w:tabs>
          <w:tab w:val="num" w:pos="1440"/>
        </w:tabs>
        <w:ind w:left="1440" w:hanging="360"/>
      </w:pPr>
      <w:rPr>
        <w:rFonts w:ascii="Arial" w:hAnsi="Arial" w:hint="default"/>
      </w:rPr>
    </w:lvl>
    <w:lvl w:ilvl="2" w:tplc="665AF7C8" w:tentative="1">
      <w:start w:val="1"/>
      <w:numFmt w:val="bullet"/>
      <w:lvlText w:val="•"/>
      <w:lvlJc w:val="left"/>
      <w:pPr>
        <w:tabs>
          <w:tab w:val="num" w:pos="2160"/>
        </w:tabs>
        <w:ind w:left="2160" w:hanging="360"/>
      </w:pPr>
      <w:rPr>
        <w:rFonts w:ascii="Arial" w:hAnsi="Arial" w:hint="default"/>
      </w:rPr>
    </w:lvl>
    <w:lvl w:ilvl="3" w:tplc="3D762E90" w:tentative="1">
      <w:start w:val="1"/>
      <w:numFmt w:val="bullet"/>
      <w:lvlText w:val="•"/>
      <w:lvlJc w:val="left"/>
      <w:pPr>
        <w:tabs>
          <w:tab w:val="num" w:pos="2880"/>
        </w:tabs>
        <w:ind w:left="2880" w:hanging="360"/>
      </w:pPr>
      <w:rPr>
        <w:rFonts w:ascii="Arial" w:hAnsi="Arial" w:hint="default"/>
      </w:rPr>
    </w:lvl>
    <w:lvl w:ilvl="4" w:tplc="A23A0DDE" w:tentative="1">
      <w:start w:val="1"/>
      <w:numFmt w:val="bullet"/>
      <w:lvlText w:val="•"/>
      <w:lvlJc w:val="left"/>
      <w:pPr>
        <w:tabs>
          <w:tab w:val="num" w:pos="3600"/>
        </w:tabs>
        <w:ind w:left="3600" w:hanging="360"/>
      </w:pPr>
      <w:rPr>
        <w:rFonts w:ascii="Arial" w:hAnsi="Arial" w:hint="default"/>
      </w:rPr>
    </w:lvl>
    <w:lvl w:ilvl="5" w:tplc="52CE0A88" w:tentative="1">
      <w:start w:val="1"/>
      <w:numFmt w:val="bullet"/>
      <w:lvlText w:val="•"/>
      <w:lvlJc w:val="left"/>
      <w:pPr>
        <w:tabs>
          <w:tab w:val="num" w:pos="4320"/>
        </w:tabs>
        <w:ind w:left="4320" w:hanging="360"/>
      </w:pPr>
      <w:rPr>
        <w:rFonts w:ascii="Arial" w:hAnsi="Arial" w:hint="default"/>
      </w:rPr>
    </w:lvl>
    <w:lvl w:ilvl="6" w:tplc="46FEEE56" w:tentative="1">
      <w:start w:val="1"/>
      <w:numFmt w:val="bullet"/>
      <w:lvlText w:val="•"/>
      <w:lvlJc w:val="left"/>
      <w:pPr>
        <w:tabs>
          <w:tab w:val="num" w:pos="5040"/>
        </w:tabs>
        <w:ind w:left="5040" w:hanging="360"/>
      </w:pPr>
      <w:rPr>
        <w:rFonts w:ascii="Arial" w:hAnsi="Arial" w:hint="default"/>
      </w:rPr>
    </w:lvl>
    <w:lvl w:ilvl="7" w:tplc="F822CDBA" w:tentative="1">
      <w:start w:val="1"/>
      <w:numFmt w:val="bullet"/>
      <w:lvlText w:val="•"/>
      <w:lvlJc w:val="left"/>
      <w:pPr>
        <w:tabs>
          <w:tab w:val="num" w:pos="5760"/>
        </w:tabs>
        <w:ind w:left="5760" w:hanging="360"/>
      </w:pPr>
      <w:rPr>
        <w:rFonts w:ascii="Arial" w:hAnsi="Arial" w:hint="default"/>
      </w:rPr>
    </w:lvl>
    <w:lvl w:ilvl="8" w:tplc="F942F1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E4E18"/>
    <w:multiLevelType w:val="hybridMultilevel"/>
    <w:tmpl w:val="F8B0153A"/>
    <w:lvl w:ilvl="0" w:tplc="C598DB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76CE6"/>
    <w:multiLevelType w:val="hybridMultilevel"/>
    <w:tmpl w:val="DDA005F2"/>
    <w:lvl w:ilvl="0" w:tplc="08E226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0" w:nlCheck="1" w:checkStyle="0"/>
  <w:activeWritingStyle w:appName="MSWord" w:lang="fr-CA" w:vendorID="64" w:dllVersion="0" w:nlCheck="1" w:checkStyle="0"/>
  <w:activeWritingStyle w:appName="MSWord" w:lang="de-DE"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9"/>
    <w:rsid w:val="000026C4"/>
    <w:rsid w:val="00005B77"/>
    <w:rsid w:val="00006DC2"/>
    <w:rsid w:val="00013EB8"/>
    <w:rsid w:val="0002250B"/>
    <w:rsid w:val="00030856"/>
    <w:rsid w:val="000335C0"/>
    <w:rsid w:val="00046026"/>
    <w:rsid w:val="000575D1"/>
    <w:rsid w:val="0006088D"/>
    <w:rsid w:val="00073C47"/>
    <w:rsid w:val="00093566"/>
    <w:rsid w:val="00097A1E"/>
    <w:rsid w:val="000A31BE"/>
    <w:rsid w:val="000A36C3"/>
    <w:rsid w:val="000B02AA"/>
    <w:rsid w:val="000F30C8"/>
    <w:rsid w:val="000F4E12"/>
    <w:rsid w:val="00103B9E"/>
    <w:rsid w:val="00110A58"/>
    <w:rsid w:val="00114D08"/>
    <w:rsid w:val="00133BFA"/>
    <w:rsid w:val="001406A7"/>
    <w:rsid w:val="0015249E"/>
    <w:rsid w:val="00160C66"/>
    <w:rsid w:val="00163693"/>
    <w:rsid w:val="00171DBF"/>
    <w:rsid w:val="001740DF"/>
    <w:rsid w:val="001A3FBA"/>
    <w:rsid w:val="001B1BF1"/>
    <w:rsid w:val="001D0716"/>
    <w:rsid w:val="001D4E38"/>
    <w:rsid w:val="001E0ED5"/>
    <w:rsid w:val="001F0024"/>
    <w:rsid w:val="002044E9"/>
    <w:rsid w:val="0023229B"/>
    <w:rsid w:val="00245CDD"/>
    <w:rsid w:val="00251831"/>
    <w:rsid w:val="00261B05"/>
    <w:rsid w:val="00272D80"/>
    <w:rsid w:val="0027489C"/>
    <w:rsid w:val="00281C55"/>
    <w:rsid w:val="00282165"/>
    <w:rsid w:val="00290D66"/>
    <w:rsid w:val="0029262B"/>
    <w:rsid w:val="00294993"/>
    <w:rsid w:val="00295487"/>
    <w:rsid w:val="002970A0"/>
    <w:rsid w:val="002A574E"/>
    <w:rsid w:val="002B2E60"/>
    <w:rsid w:val="002C0DF6"/>
    <w:rsid w:val="002C6384"/>
    <w:rsid w:val="002C70B5"/>
    <w:rsid w:val="002D2020"/>
    <w:rsid w:val="002D4BBD"/>
    <w:rsid w:val="002D4F26"/>
    <w:rsid w:val="002E5D10"/>
    <w:rsid w:val="002E671E"/>
    <w:rsid w:val="00301275"/>
    <w:rsid w:val="00311222"/>
    <w:rsid w:val="00343E4A"/>
    <w:rsid w:val="00346C66"/>
    <w:rsid w:val="00356A63"/>
    <w:rsid w:val="00361F4A"/>
    <w:rsid w:val="00382F8A"/>
    <w:rsid w:val="00385E9D"/>
    <w:rsid w:val="00391660"/>
    <w:rsid w:val="0039731E"/>
    <w:rsid w:val="003B1478"/>
    <w:rsid w:val="003C3D02"/>
    <w:rsid w:val="003C6784"/>
    <w:rsid w:val="003C7C28"/>
    <w:rsid w:val="003E0986"/>
    <w:rsid w:val="003E25A7"/>
    <w:rsid w:val="003E6017"/>
    <w:rsid w:val="003E7211"/>
    <w:rsid w:val="004011A8"/>
    <w:rsid w:val="004045C8"/>
    <w:rsid w:val="0044128A"/>
    <w:rsid w:val="00444EDB"/>
    <w:rsid w:val="0045088B"/>
    <w:rsid w:val="00480DA8"/>
    <w:rsid w:val="004B7AB1"/>
    <w:rsid w:val="004B7F82"/>
    <w:rsid w:val="004C01FB"/>
    <w:rsid w:val="004C545B"/>
    <w:rsid w:val="004D7DC4"/>
    <w:rsid w:val="004E512A"/>
    <w:rsid w:val="004E7D5E"/>
    <w:rsid w:val="00502282"/>
    <w:rsid w:val="00505FD1"/>
    <w:rsid w:val="005209EC"/>
    <w:rsid w:val="0053083E"/>
    <w:rsid w:val="00534FFB"/>
    <w:rsid w:val="00540E17"/>
    <w:rsid w:val="00543719"/>
    <w:rsid w:val="00562E7D"/>
    <w:rsid w:val="00572725"/>
    <w:rsid w:val="00581B02"/>
    <w:rsid w:val="0058790D"/>
    <w:rsid w:val="005A5F62"/>
    <w:rsid w:val="005B5BBA"/>
    <w:rsid w:val="005C78F9"/>
    <w:rsid w:val="005D53E5"/>
    <w:rsid w:val="005D729D"/>
    <w:rsid w:val="005F3F64"/>
    <w:rsid w:val="005F4810"/>
    <w:rsid w:val="006130F4"/>
    <w:rsid w:val="00613C8F"/>
    <w:rsid w:val="00615702"/>
    <w:rsid w:val="00617647"/>
    <w:rsid w:val="00623976"/>
    <w:rsid w:val="006263E0"/>
    <w:rsid w:val="006268B4"/>
    <w:rsid w:val="006306E8"/>
    <w:rsid w:val="006327E8"/>
    <w:rsid w:val="00635318"/>
    <w:rsid w:val="006360FF"/>
    <w:rsid w:val="006374DB"/>
    <w:rsid w:val="006401BF"/>
    <w:rsid w:val="00653637"/>
    <w:rsid w:val="00673082"/>
    <w:rsid w:val="00677093"/>
    <w:rsid w:val="0069310D"/>
    <w:rsid w:val="00693D07"/>
    <w:rsid w:val="006A3588"/>
    <w:rsid w:val="006C22C0"/>
    <w:rsid w:val="006C26B0"/>
    <w:rsid w:val="006E6B9E"/>
    <w:rsid w:val="006F2A52"/>
    <w:rsid w:val="00706D12"/>
    <w:rsid w:val="00720376"/>
    <w:rsid w:val="007211F6"/>
    <w:rsid w:val="00730479"/>
    <w:rsid w:val="00734CAD"/>
    <w:rsid w:val="00736958"/>
    <w:rsid w:val="00745AC2"/>
    <w:rsid w:val="007716FF"/>
    <w:rsid w:val="00771CE1"/>
    <w:rsid w:val="00772963"/>
    <w:rsid w:val="007808F3"/>
    <w:rsid w:val="00784660"/>
    <w:rsid w:val="00784AE1"/>
    <w:rsid w:val="007A10B4"/>
    <w:rsid w:val="007A29AE"/>
    <w:rsid w:val="007A7D19"/>
    <w:rsid w:val="007B4E7F"/>
    <w:rsid w:val="007C3627"/>
    <w:rsid w:val="007C63A6"/>
    <w:rsid w:val="007E6B32"/>
    <w:rsid w:val="007F0ABB"/>
    <w:rsid w:val="007F1364"/>
    <w:rsid w:val="007F376D"/>
    <w:rsid w:val="007F4673"/>
    <w:rsid w:val="00804C6C"/>
    <w:rsid w:val="00817782"/>
    <w:rsid w:val="0082175C"/>
    <w:rsid w:val="008361BD"/>
    <w:rsid w:val="00840AF4"/>
    <w:rsid w:val="00862222"/>
    <w:rsid w:val="00866B19"/>
    <w:rsid w:val="00871F6A"/>
    <w:rsid w:val="0088316A"/>
    <w:rsid w:val="00893B32"/>
    <w:rsid w:val="00895148"/>
    <w:rsid w:val="008A44BB"/>
    <w:rsid w:val="008B7844"/>
    <w:rsid w:val="008B7F47"/>
    <w:rsid w:val="008C5FED"/>
    <w:rsid w:val="008E117F"/>
    <w:rsid w:val="008E3171"/>
    <w:rsid w:val="008E6627"/>
    <w:rsid w:val="008F4C27"/>
    <w:rsid w:val="009013CC"/>
    <w:rsid w:val="00902A39"/>
    <w:rsid w:val="00902DAF"/>
    <w:rsid w:val="009170AE"/>
    <w:rsid w:val="009214EC"/>
    <w:rsid w:val="0093193F"/>
    <w:rsid w:val="00934151"/>
    <w:rsid w:val="00940751"/>
    <w:rsid w:val="009407E0"/>
    <w:rsid w:val="0095356E"/>
    <w:rsid w:val="00960126"/>
    <w:rsid w:val="00961731"/>
    <w:rsid w:val="00962373"/>
    <w:rsid w:val="00972CA1"/>
    <w:rsid w:val="009815D6"/>
    <w:rsid w:val="00984C56"/>
    <w:rsid w:val="009B48D7"/>
    <w:rsid w:val="009B490D"/>
    <w:rsid w:val="009C0F71"/>
    <w:rsid w:val="009C552D"/>
    <w:rsid w:val="009C7754"/>
    <w:rsid w:val="009D01C0"/>
    <w:rsid w:val="009D3343"/>
    <w:rsid w:val="009D724B"/>
    <w:rsid w:val="009E035C"/>
    <w:rsid w:val="009F3AA3"/>
    <w:rsid w:val="00A06765"/>
    <w:rsid w:val="00A148C8"/>
    <w:rsid w:val="00A32525"/>
    <w:rsid w:val="00A4296D"/>
    <w:rsid w:val="00A42D70"/>
    <w:rsid w:val="00A43E2A"/>
    <w:rsid w:val="00A462B8"/>
    <w:rsid w:val="00A56178"/>
    <w:rsid w:val="00A60341"/>
    <w:rsid w:val="00A6185C"/>
    <w:rsid w:val="00A62ED5"/>
    <w:rsid w:val="00A71288"/>
    <w:rsid w:val="00A74AF8"/>
    <w:rsid w:val="00A923A6"/>
    <w:rsid w:val="00AA462F"/>
    <w:rsid w:val="00AB0F62"/>
    <w:rsid w:val="00AB15FF"/>
    <w:rsid w:val="00AB6485"/>
    <w:rsid w:val="00AB6C33"/>
    <w:rsid w:val="00AC6B91"/>
    <w:rsid w:val="00AD0B0B"/>
    <w:rsid w:val="00AE400E"/>
    <w:rsid w:val="00B11DC5"/>
    <w:rsid w:val="00B2037D"/>
    <w:rsid w:val="00B20A1E"/>
    <w:rsid w:val="00B2298C"/>
    <w:rsid w:val="00B2470C"/>
    <w:rsid w:val="00B338EC"/>
    <w:rsid w:val="00B340FE"/>
    <w:rsid w:val="00B37FB9"/>
    <w:rsid w:val="00B46C5D"/>
    <w:rsid w:val="00B5280A"/>
    <w:rsid w:val="00B8729B"/>
    <w:rsid w:val="00B9315C"/>
    <w:rsid w:val="00B93B11"/>
    <w:rsid w:val="00BB3E69"/>
    <w:rsid w:val="00BB549D"/>
    <w:rsid w:val="00BB5C58"/>
    <w:rsid w:val="00BC3596"/>
    <w:rsid w:val="00BC78B8"/>
    <w:rsid w:val="00BD7A76"/>
    <w:rsid w:val="00BF00E1"/>
    <w:rsid w:val="00BF2004"/>
    <w:rsid w:val="00C00404"/>
    <w:rsid w:val="00C16B36"/>
    <w:rsid w:val="00C20404"/>
    <w:rsid w:val="00C24734"/>
    <w:rsid w:val="00C31717"/>
    <w:rsid w:val="00C64A36"/>
    <w:rsid w:val="00C650CC"/>
    <w:rsid w:val="00C728AD"/>
    <w:rsid w:val="00C8136C"/>
    <w:rsid w:val="00C94138"/>
    <w:rsid w:val="00CC37AA"/>
    <w:rsid w:val="00CE6594"/>
    <w:rsid w:val="00CF4E1D"/>
    <w:rsid w:val="00CF6126"/>
    <w:rsid w:val="00D04B48"/>
    <w:rsid w:val="00D41A2E"/>
    <w:rsid w:val="00D45B24"/>
    <w:rsid w:val="00D502DD"/>
    <w:rsid w:val="00D52EB1"/>
    <w:rsid w:val="00D533A5"/>
    <w:rsid w:val="00D53688"/>
    <w:rsid w:val="00D672B7"/>
    <w:rsid w:val="00D71F06"/>
    <w:rsid w:val="00D759EF"/>
    <w:rsid w:val="00D807CF"/>
    <w:rsid w:val="00DA530D"/>
    <w:rsid w:val="00DB5F00"/>
    <w:rsid w:val="00DB6358"/>
    <w:rsid w:val="00DB6ADD"/>
    <w:rsid w:val="00DC4349"/>
    <w:rsid w:val="00DC5B89"/>
    <w:rsid w:val="00DC6757"/>
    <w:rsid w:val="00DD4463"/>
    <w:rsid w:val="00DD523B"/>
    <w:rsid w:val="00DE00E5"/>
    <w:rsid w:val="00DE49A3"/>
    <w:rsid w:val="00DE62F4"/>
    <w:rsid w:val="00DF2A9F"/>
    <w:rsid w:val="00DF403E"/>
    <w:rsid w:val="00E10C52"/>
    <w:rsid w:val="00E1240A"/>
    <w:rsid w:val="00E21F54"/>
    <w:rsid w:val="00E222B8"/>
    <w:rsid w:val="00E23EDD"/>
    <w:rsid w:val="00E256CB"/>
    <w:rsid w:val="00E327E3"/>
    <w:rsid w:val="00E36E64"/>
    <w:rsid w:val="00E4666F"/>
    <w:rsid w:val="00E54BB0"/>
    <w:rsid w:val="00E56B50"/>
    <w:rsid w:val="00E8575C"/>
    <w:rsid w:val="00E978E2"/>
    <w:rsid w:val="00EB0B28"/>
    <w:rsid w:val="00ED5A84"/>
    <w:rsid w:val="00EE6525"/>
    <w:rsid w:val="00EE7D03"/>
    <w:rsid w:val="00EF138C"/>
    <w:rsid w:val="00F064F0"/>
    <w:rsid w:val="00F124B9"/>
    <w:rsid w:val="00F26845"/>
    <w:rsid w:val="00F55170"/>
    <w:rsid w:val="00F67AFE"/>
    <w:rsid w:val="00F71667"/>
    <w:rsid w:val="00F758AB"/>
    <w:rsid w:val="00FC29B4"/>
    <w:rsid w:val="00FC2DE7"/>
    <w:rsid w:val="00FC4C22"/>
    <w:rsid w:val="00FE31D9"/>
    <w:rsid w:val="00FE71DB"/>
    <w:rsid w:val="00FF3CB8"/>
    <w:rsid w:val="00FF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723D6"/>
  <w15:docId w15:val="{7A25E46D-515A-4BDC-A186-83B53149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57"/>
    <w:pPr>
      <w:jc w:val="both"/>
    </w:pPr>
  </w:style>
  <w:style w:type="paragraph" w:styleId="Heading1">
    <w:name w:val="heading 1"/>
    <w:basedOn w:val="Normal"/>
    <w:next w:val="Normal"/>
    <w:link w:val="Heading1Char"/>
    <w:uiPriority w:val="9"/>
    <w:qFormat/>
    <w:rsid w:val="004D7DC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58"/>
    <w:rPr>
      <w:rFonts w:ascii="Segoe UI" w:hAnsi="Segoe UI" w:cs="Segoe UI"/>
      <w:sz w:val="18"/>
      <w:szCs w:val="18"/>
    </w:rPr>
  </w:style>
  <w:style w:type="paragraph" w:customStyle="1" w:styleId="Body1">
    <w:name w:val="Body 1"/>
    <w:rsid w:val="00311222"/>
    <w:pPr>
      <w:spacing w:after="0" w:line="240" w:lineRule="auto"/>
      <w:outlineLvl w:val="0"/>
    </w:pPr>
    <w:rPr>
      <w:rFonts w:ascii="Helvetica" w:eastAsia="Arial Unicode MS" w:hAnsi="Helvetica" w:cs="Times New Roman"/>
      <w:color w:val="000000"/>
      <w:sz w:val="24"/>
      <w:szCs w:val="24"/>
      <w:u w:color="000000"/>
      <w:lang w:eastAsia="ja-JP"/>
    </w:rPr>
  </w:style>
  <w:style w:type="character" w:customStyle="1" w:styleId="Heading1Char">
    <w:name w:val="Heading 1 Char"/>
    <w:basedOn w:val="DefaultParagraphFont"/>
    <w:link w:val="Heading1"/>
    <w:uiPriority w:val="9"/>
    <w:rsid w:val="004D7DC4"/>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4D7DC4"/>
    <w:rPr>
      <w:color w:val="0563C1" w:themeColor="hyperlink"/>
      <w:u w:val="single"/>
    </w:rPr>
  </w:style>
  <w:style w:type="paragraph" w:styleId="ListParagraph">
    <w:name w:val="List Paragraph"/>
    <w:basedOn w:val="Normal"/>
    <w:uiPriority w:val="34"/>
    <w:qFormat/>
    <w:rsid w:val="004D7DC4"/>
    <w:pPr>
      <w:spacing w:after="200" w:line="276" w:lineRule="auto"/>
      <w:ind w:left="720"/>
      <w:contextualSpacing/>
    </w:pPr>
  </w:style>
  <w:style w:type="paragraph" w:styleId="NormalWeb">
    <w:name w:val="Normal (Web)"/>
    <w:basedOn w:val="Normal"/>
    <w:uiPriority w:val="99"/>
    <w:semiHidden/>
    <w:unhideWhenUsed/>
    <w:rsid w:val="004D7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rsid w:val="004D7DC4"/>
    <w:pPr>
      <w:spacing w:after="0" w:line="240" w:lineRule="auto"/>
    </w:pPr>
    <w:rPr>
      <w:rFonts w:ascii="Arial" w:eastAsia="Times New Roman" w:hAnsi="Arial" w:cs="Times New Roman"/>
      <w:noProof/>
      <w:szCs w:val="20"/>
      <w:lang w:val="de-DE" w:eastAsia="de-DE"/>
    </w:rPr>
  </w:style>
  <w:style w:type="paragraph" w:styleId="CommentText">
    <w:name w:val="annotation text"/>
    <w:basedOn w:val="Normal"/>
    <w:link w:val="CommentTextChar"/>
    <w:unhideWhenUsed/>
    <w:rsid w:val="004D7DC4"/>
    <w:pPr>
      <w:spacing w:after="0" w:line="240" w:lineRule="auto"/>
    </w:pPr>
    <w:rPr>
      <w:rFonts w:eastAsiaTheme="minorEastAsia"/>
      <w:sz w:val="24"/>
      <w:szCs w:val="24"/>
    </w:rPr>
  </w:style>
  <w:style w:type="character" w:customStyle="1" w:styleId="CommentTextChar">
    <w:name w:val="Comment Text Char"/>
    <w:basedOn w:val="DefaultParagraphFont"/>
    <w:link w:val="CommentText"/>
    <w:rsid w:val="004D7DC4"/>
    <w:rPr>
      <w:rFonts w:eastAsiaTheme="minorEastAsia"/>
      <w:sz w:val="24"/>
      <w:szCs w:val="24"/>
    </w:rPr>
  </w:style>
  <w:style w:type="character" w:styleId="CommentReference">
    <w:name w:val="annotation reference"/>
    <w:basedOn w:val="DefaultParagraphFont"/>
    <w:uiPriority w:val="99"/>
    <w:semiHidden/>
    <w:unhideWhenUsed/>
    <w:rsid w:val="004D7DC4"/>
    <w:rPr>
      <w:sz w:val="18"/>
      <w:szCs w:val="18"/>
    </w:rPr>
  </w:style>
  <w:style w:type="paragraph" w:customStyle="1" w:styleId="EndNoteBibliography">
    <w:name w:val="EndNote Bibliography"/>
    <w:basedOn w:val="Normal"/>
    <w:rsid w:val="004D7DC4"/>
    <w:pPr>
      <w:spacing w:after="0" w:line="240" w:lineRule="auto"/>
    </w:pPr>
    <w:rPr>
      <w:rFonts w:ascii="Cambria" w:eastAsiaTheme="minorEastAsia" w:hAnsi="Cambria"/>
      <w:sz w:val="24"/>
      <w:szCs w:val="24"/>
    </w:rPr>
  </w:style>
  <w:style w:type="paragraph" w:customStyle="1" w:styleId="Level1">
    <w:name w:val="Level 1"/>
    <w:basedOn w:val="Normal"/>
    <w:rsid w:val="004D7DC4"/>
    <w:pPr>
      <w:widowControl w:val="0"/>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4D7DC4"/>
    <w:pPr>
      <w:spacing w:after="0" w:line="240" w:lineRule="auto"/>
    </w:pPr>
    <w:rPr>
      <w:lang w:val="el-GR"/>
    </w:rPr>
  </w:style>
  <w:style w:type="paragraph" w:customStyle="1" w:styleId="Default">
    <w:name w:val="Default"/>
    <w:rsid w:val="004D7DC4"/>
    <w:pPr>
      <w:widowControl w:val="0"/>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paragraph" w:styleId="CommentSubject">
    <w:name w:val="annotation subject"/>
    <w:basedOn w:val="CommentText"/>
    <w:next w:val="CommentText"/>
    <w:link w:val="CommentSubjectChar"/>
    <w:uiPriority w:val="99"/>
    <w:semiHidden/>
    <w:unhideWhenUsed/>
    <w:rsid w:val="004D7DC4"/>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D7DC4"/>
    <w:rPr>
      <w:rFonts w:eastAsiaTheme="minorEastAsia"/>
      <w:b/>
      <w:bCs/>
      <w:sz w:val="20"/>
      <w:szCs w:val="20"/>
    </w:rPr>
  </w:style>
  <w:style w:type="paragraph" w:customStyle="1" w:styleId="mb15">
    <w:name w:val="mb15"/>
    <w:basedOn w:val="Normal"/>
    <w:rsid w:val="004D7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DC4"/>
  </w:style>
  <w:style w:type="paragraph" w:styleId="Revision">
    <w:name w:val="Revision"/>
    <w:hidden/>
    <w:uiPriority w:val="99"/>
    <w:semiHidden/>
    <w:rsid w:val="004D7DC4"/>
    <w:pPr>
      <w:spacing w:after="0" w:line="240" w:lineRule="auto"/>
    </w:pPr>
  </w:style>
  <w:style w:type="paragraph" w:styleId="Header">
    <w:name w:val="header"/>
    <w:basedOn w:val="Normal"/>
    <w:link w:val="HeaderChar"/>
    <w:uiPriority w:val="99"/>
    <w:unhideWhenUsed/>
    <w:rsid w:val="00FF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12"/>
  </w:style>
  <w:style w:type="paragraph" w:styleId="Footer">
    <w:name w:val="footer"/>
    <w:basedOn w:val="Normal"/>
    <w:link w:val="FooterChar"/>
    <w:uiPriority w:val="99"/>
    <w:unhideWhenUsed/>
    <w:rsid w:val="00FF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12"/>
  </w:style>
  <w:style w:type="paragraph" w:styleId="PlainText">
    <w:name w:val="Plain Text"/>
    <w:basedOn w:val="Normal"/>
    <w:link w:val="PlainTextChar"/>
    <w:uiPriority w:val="99"/>
    <w:unhideWhenUsed/>
    <w:rsid w:val="003E25A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E25A7"/>
    <w:rPr>
      <w:rFonts w:ascii="Calibri" w:hAnsi="Calibri" w:cs="Consolas"/>
      <w:szCs w:val="21"/>
    </w:rPr>
  </w:style>
  <w:style w:type="character" w:styleId="LineNumber">
    <w:name w:val="line number"/>
    <w:basedOn w:val="DefaultParagraphFont"/>
    <w:uiPriority w:val="99"/>
    <w:semiHidden/>
    <w:unhideWhenUsed/>
    <w:rsid w:val="00A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7081">
      <w:bodyDiv w:val="1"/>
      <w:marLeft w:val="0"/>
      <w:marRight w:val="0"/>
      <w:marTop w:val="0"/>
      <w:marBottom w:val="0"/>
      <w:divBdr>
        <w:top w:val="none" w:sz="0" w:space="0" w:color="auto"/>
        <w:left w:val="none" w:sz="0" w:space="0" w:color="auto"/>
        <w:bottom w:val="none" w:sz="0" w:space="0" w:color="auto"/>
        <w:right w:val="none" w:sz="0" w:space="0" w:color="auto"/>
      </w:divBdr>
    </w:div>
    <w:div w:id="931546996">
      <w:bodyDiv w:val="1"/>
      <w:marLeft w:val="0"/>
      <w:marRight w:val="0"/>
      <w:marTop w:val="0"/>
      <w:marBottom w:val="0"/>
      <w:divBdr>
        <w:top w:val="none" w:sz="0" w:space="0" w:color="auto"/>
        <w:left w:val="none" w:sz="0" w:space="0" w:color="auto"/>
        <w:bottom w:val="none" w:sz="0" w:space="0" w:color="auto"/>
        <w:right w:val="none" w:sz="0" w:space="0" w:color="auto"/>
      </w:divBdr>
    </w:div>
    <w:div w:id="1959094690">
      <w:bodyDiv w:val="1"/>
      <w:marLeft w:val="0"/>
      <w:marRight w:val="0"/>
      <w:marTop w:val="0"/>
      <w:marBottom w:val="0"/>
      <w:divBdr>
        <w:top w:val="none" w:sz="0" w:space="0" w:color="auto"/>
        <w:left w:val="none" w:sz="0" w:space="0" w:color="auto"/>
        <w:bottom w:val="none" w:sz="0" w:space="0" w:color="auto"/>
        <w:right w:val="none" w:sz="0" w:space="0" w:color="auto"/>
      </w:divBdr>
    </w:div>
    <w:div w:id="20778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opwiki.org/aops/30"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pa.gov/chemical-research/toxcast-dashboard"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epa.gov/chemical-research/toxcast-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boanalyst.ca/faces/home.xhtml" TargetMode="External"/><Relationship Id="rId24" Type="http://schemas.openxmlformats.org/officeDocument/2006/relationships/oleObject" Target="embeddings/oleObject5.bin"/><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yperlink" Target="https://www.epa.gov/chemical-research/toxcast-dashboard" TargetMode="External"/><Relationship Id="rId19" Type="http://schemas.openxmlformats.org/officeDocument/2006/relationships/image" Target="media/image3.wmf"/><Relationship Id="rId31" Type="http://schemas.openxmlformats.org/officeDocument/2006/relationships/hyperlink" Target="https://aopwiki.org/aops/6" TargetMode="External"/><Relationship Id="rId4" Type="http://schemas.openxmlformats.org/officeDocument/2006/relationships/settings" Target="settings.xml"/><Relationship Id="rId9" Type="http://schemas.openxmlformats.org/officeDocument/2006/relationships/hyperlink" Target="mailto:rogernisbet@ucsb.edu" TargetMode="External"/><Relationship Id="rId14" Type="http://schemas.openxmlformats.org/officeDocument/2006/relationships/hyperlink" Target="https://aopwiki.org/aops/6" TargetMode="External"/><Relationship Id="rId22" Type="http://schemas.openxmlformats.org/officeDocument/2006/relationships/oleObject" Target="embeddings/oleObject4.bin"/><Relationship Id="rId27" Type="http://schemas.openxmlformats.org/officeDocument/2006/relationships/image" Target="media/image7.jpeg"/><Relationship Id="rId30" Type="http://schemas.openxmlformats.org/officeDocument/2006/relationships/hyperlink" Target="https://aopwiki.org/aops/30" TargetMode="External"/><Relationship Id="rId35" Type="http://schemas.openxmlformats.org/officeDocument/2006/relationships/fontTable" Target="fontTable.xml"/><Relationship Id="rId8" Type="http://schemas.openxmlformats.org/officeDocument/2006/relationships/hyperlink" Target="mailto:camurphy@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C78B-EC82-41DB-B2CE-2AD4BB5F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8205</Words>
  <Characters>46771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Nisbet</dc:creator>
  <cp:keywords/>
  <dc:description/>
  <cp:lastModifiedBy>Antczak, Philipp</cp:lastModifiedBy>
  <cp:revision>3</cp:revision>
  <dcterms:created xsi:type="dcterms:W3CDTF">2019-07-04T20:12:00Z</dcterms:created>
  <dcterms:modified xsi:type="dcterms:W3CDTF">2019-07-05T08:30:00Z</dcterms:modified>
</cp:coreProperties>
</file>