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5DEE" w:rsidRPr="00F137CC" w:rsidRDefault="00E85DEE" w:rsidP="00E85DEE">
      <w:pPr>
        <w:rPr>
          <w:b/>
        </w:rPr>
      </w:pPr>
      <w:r w:rsidRPr="00F137CC">
        <w:rPr>
          <w:b/>
        </w:rPr>
        <w:t>Title: Characteristics and patient pathways of Lyme disease patients: a retrospective analysis of hospital episode data in England and Wales (1998 – 2015)</w:t>
      </w:r>
    </w:p>
    <w:p w:rsidR="005566D6" w:rsidRDefault="005566D6" w:rsidP="00E85DEE">
      <w:pPr>
        <w:spacing w:line="240" w:lineRule="auto"/>
        <w:rPr>
          <w:rFonts w:cs="Times New Roman"/>
          <w:b/>
        </w:rPr>
      </w:pPr>
    </w:p>
    <w:p w:rsidR="00E85DEE" w:rsidRPr="00E728AF" w:rsidRDefault="00E85DEE" w:rsidP="00E85DEE">
      <w:pPr>
        <w:spacing w:line="240" w:lineRule="auto"/>
        <w:rPr>
          <w:rFonts w:cs="Times New Roman"/>
        </w:rPr>
      </w:pPr>
      <w:r w:rsidRPr="00E728AF">
        <w:rPr>
          <w:rFonts w:cs="Times New Roman"/>
          <w:b/>
        </w:rPr>
        <w:t>Authors</w:t>
      </w:r>
      <w:r w:rsidRPr="00E728AF">
        <w:rPr>
          <w:rFonts w:cs="Times New Roman"/>
        </w:rPr>
        <w:t xml:space="preserve">: </w:t>
      </w:r>
    </w:p>
    <w:p w:rsidR="00E85DEE" w:rsidRPr="00E728AF" w:rsidRDefault="00E85DEE" w:rsidP="00E85DEE">
      <w:pPr>
        <w:spacing w:line="240" w:lineRule="auto"/>
        <w:rPr>
          <w:rFonts w:cs="Times New Roman"/>
        </w:rPr>
      </w:pPr>
      <w:r w:rsidRPr="00E728AF">
        <w:rPr>
          <w:rFonts w:cs="Times New Roman"/>
          <w:b/>
        </w:rPr>
        <w:t>John</w:t>
      </w:r>
      <w:r w:rsidR="005566D6">
        <w:rPr>
          <w:rFonts w:cs="Times New Roman"/>
          <w:b/>
        </w:rPr>
        <w:t xml:space="preserve"> S. P.</w:t>
      </w:r>
      <w:r w:rsidRPr="00E728AF">
        <w:rPr>
          <w:rFonts w:cs="Times New Roman"/>
          <w:b/>
        </w:rPr>
        <w:t xml:space="preserve"> Tulloch</w:t>
      </w:r>
      <w:r>
        <w:rPr>
          <w:rFonts w:cs="Times New Roman"/>
          <w:b/>
        </w:rPr>
        <w:t xml:space="preserve"> – Corresponding Author</w:t>
      </w:r>
      <w:r w:rsidRPr="00E728AF">
        <w:rPr>
          <w:rFonts w:cs="Times New Roman"/>
        </w:rPr>
        <w:t xml:space="preserve">; </w:t>
      </w:r>
    </w:p>
    <w:p w:rsidR="00E85DEE" w:rsidRPr="00F137CC" w:rsidRDefault="00E85DEE" w:rsidP="00E85DEE">
      <w:pPr>
        <w:spacing w:line="240" w:lineRule="auto"/>
        <w:rPr>
          <w:rFonts w:cs="Times New Roman"/>
        </w:rPr>
      </w:pPr>
      <w:r w:rsidRPr="00E728AF">
        <w:rPr>
          <w:rFonts w:cs="Times New Roman"/>
        </w:rPr>
        <w:t xml:space="preserve">NIHR Health Protection Research Unit in Emerging and Zoonotic Infections, University of Liverpool, </w:t>
      </w:r>
      <w:r>
        <w:rPr>
          <w:rFonts w:cs="Times New Roman"/>
        </w:rPr>
        <w:t xml:space="preserve">L69 3GL, </w:t>
      </w:r>
      <w:r w:rsidRPr="00E728AF">
        <w:rPr>
          <w:rFonts w:cs="Times New Roman"/>
        </w:rPr>
        <w:t>UK.</w:t>
      </w:r>
    </w:p>
    <w:p w:rsidR="00E85DEE" w:rsidRDefault="00E85DEE" w:rsidP="00E85DEE">
      <w:pPr>
        <w:spacing w:after="0" w:line="480" w:lineRule="auto"/>
        <w:rPr>
          <w:rFonts w:cs="Times New Roman"/>
        </w:rPr>
      </w:pPr>
      <w:r w:rsidRPr="00F137CC">
        <w:rPr>
          <w:rFonts w:cs="Times New Roman"/>
        </w:rPr>
        <w:t xml:space="preserve">Public Health England, Liverpool, L3 1DS, UK </w:t>
      </w:r>
    </w:p>
    <w:p w:rsidR="00E85DEE" w:rsidRPr="009F55F1" w:rsidRDefault="00E85DEE" w:rsidP="00E85DEE">
      <w:pPr>
        <w:spacing w:line="240" w:lineRule="auto"/>
        <w:rPr>
          <w:rFonts w:cs="Times New Roman"/>
          <w:lang w:val="es-ES"/>
        </w:rPr>
      </w:pPr>
      <w:r w:rsidRPr="009F55F1">
        <w:rPr>
          <w:rFonts w:cs="Times New Roman"/>
          <w:b/>
          <w:lang w:val="es-ES"/>
        </w:rPr>
        <w:t>Valerie Decraene</w:t>
      </w:r>
      <w:r w:rsidRPr="009F55F1">
        <w:rPr>
          <w:rFonts w:cs="Times New Roman"/>
          <w:lang w:val="es-ES"/>
        </w:rPr>
        <w:t xml:space="preserve">; </w:t>
      </w:r>
    </w:p>
    <w:p w:rsidR="00E85DEE" w:rsidRPr="00E728AF" w:rsidRDefault="00E85DEE" w:rsidP="00E85DEE">
      <w:pPr>
        <w:spacing w:line="240" w:lineRule="auto"/>
        <w:rPr>
          <w:rFonts w:cs="Times New Roman"/>
        </w:rPr>
      </w:pPr>
      <w:r w:rsidRPr="00E728AF">
        <w:rPr>
          <w:rFonts w:cs="Times New Roman"/>
        </w:rPr>
        <w:t xml:space="preserve">Public Health England, Liverpool, </w:t>
      </w:r>
      <w:r>
        <w:rPr>
          <w:rFonts w:cs="Times New Roman"/>
        </w:rPr>
        <w:t xml:space="preserve">L3 1DS, </w:t>
      </w:r>
      <w:r w:rsidRPr="00E728AF">
        <w:rPr>
          <w:rFonts w:cs="Times New Roman"/>
        </w:rPr>
        <w:t xml:space="preserve">UK. </w:t>
      </w:r>
    </w:p>
    <w:p w:rsidR="00E85DEE" w:rsidRPr="00E728AF" w:rsidRDefault="00E85DEE" w:rsidP="00E85DEE">
      <w:pPr>
        <w:spacing w:line="240" w:lineRule="auto"/>
        <w:rPr>
          <w:rFonts w:cs="Times New Roman"/>
        </w:rPr>
      </w:pPr>
      <w:r w:rsidRPr="00E728AF">
        <w:rPr>
          <w:rFonts w:cs="Times New Roman"/>
          <w:b/>
        </w:rPr>
        <w:t>Rob</w:t>
      </w:r>
      <w:r w:rsidR="005566D6">
        <w:rPr>
          <w:rFonts w:cs="Times New Roman"/>
          <w:b/>
        </w:rPr>
        <w:t xml:space="preserve"> M.</w:t>
      </w:r>
      <w:r w:rsidRPr="00E728AF">
        <w:rPr>
          <w:rFonts w:cs="Times New Roman"/>
          <w:b/>
        </w:rPr>
        <w:t xml:space="preserve"> Christley</w:t>
      </w:r>
      <w:r w:rsidRPr="00E728AF">
        <w:rPr>
          <w:rFonts w:cs="Times New Roman"/>
        </w:rPr>
        <w:t xml:space="preserve">; </w:t>
      </w:r>
    </w:p>
    <w:p w:rsidR="00E85DEE" w:rsidRPr="00E728AF" w:rsidRDefault="00E85DEE" w:rsidP="00E85DEE">
      <w:pPr>
        <w:spacing w:line="240" w:lineRule="auto"/>
        <w:rPr>
          <w:rFonts w:cs="Times New Roman"/>
        </w:rPr>
      </w:pPr>
      <w:r w:rsidRPr="00E728AF">
        <w:rPr>
          <w:rFonts w:cs="Times New Roman"/>
        </w:rPr>
        <w:t xml:space="preserve">NIHR Health Protection Research Unit in Emerging and Zoonotic Infections, University of Liverpool, </w:t>
      </w:r>
      <w:r>
        <w:rPr>
          <w:rFonts w:cs="Times New Roman"/>
        </w:rPr>
        <w:t xml:space="preserve">L69 3GL, </w:t>
      </w:r>
      <w:r w:rsidRPr="00E728AF">
        <w:rPr>
          <w:rFonts w:cs="Times New Roman"/>
        </w:rPr>
        <w:t xml:space="preserve">UK. </w:t>
      </w:r>
    </w:p>
    <w:p w:rsidR="00E85DEE" w:rsidRPr="00E728AF" w:rsidRDefault="00E85DEE" w:rsidP="00E85DEE">
      <w:pPr>
        <w:spacing w:line="240" w:lineRule="auto"/>
        <w:rPr>
          <w:rFonts w:cs="Times New Roman"/>
        </w:rPr>
      </w:pPr>
      <w:r w:rsidRPr="00E728AF">
        <w:rPr>
          <w:rFonts w:cs="Times New Roman"/>
        </w:rPr>
        <w:t xml:space="preserve">Institute of Infection and Global Health, University of Liverpool, Liverpool, </w:t>
      </w:r>
      <w:r>
        <w:rPr>
          <w:rFonts w:cs="Times New Roman"/>
        </w:rPr>
        <w:t xml:space="preserve">CH64 7TE, </w:t>
      </w:r>
      <w:r w:rsidRPr="00E728AF">
        <w:rPr>
          <w:rFonts w:cs="Times New Roman"/>
        </w:rPr>
        <w:t>UK.</w:t>
      </w:r>
    </w:p>
    <w:p w:rsidR="00E85DEE" w:rsidRPr="00E728AF" w:rsidRDefault="00E85DEE" w:rsidP="00E85DEE">
      <w:pPr>
        <w:spacing w:line="240" w:lineRule="auto"/>
        <w:rPr>
          <w:rFonts w:cs="Times New Roman"/>
          <w:b/>
        </w:rPr>
      </w:pPr>
      <w:r w:rsidRPr="00E728AF">
        <w:rPr>
          <w:rFonts w:cs="Times New Roman"/>
          <w:b/>
        </w:rPr>
        <w:t xml:space="preserve">Alan </w:t>
      </w:r>
      <w:r w:rsidR="005566D6">
        <w:rPr>
          <w:rFonts w:cs="Times New Roman"/>
          <w:b/>
        </w:rPr>
        <w:t xml:space="preserve">D. </w:t>
      </w:r>
      <w:r w:rsidRPr="00E728AF">
        <w:rPr>
          <w:rFonts w:cs="Times New Roman"/>
          <w:b/>
        </w:rPr>
        <w:t>Radford;</w:t>
      </w:r>
    </w:p>
    <w:p w:rsidR="00E85DEE" w:rsidRPr="00E728AF" w:rsidRDefault="00E85DEE" w:rsidP="00E85DEE">
      <w:pPr>
        <w:spacing w:line="240" w:lineRule="auto"/>
        <w:rPr>
          <w:rFonts w:cs="Times New Roman"/>
        </w:rPr>
      </w:pPr>
      <w:r w:rsidRPr="00E728AF">
        <w:rPr>
          <w:rFonts w:cs="Times New Roman"/>
        </w:rPr>
        <w:t xml:space="preserve">NIHR Health Protection Research Unit in Emerging and Zoonotic Infections, University of Liverpool, </w:t>
      </w:r>
      <w:r>
        <w:rPr>
          <w:rFonts w:cs="Times New Roman"/>
        </w:rPr>
        <w:t xml:space="preserve">L69 3GL, </w:t>
      </w:r>
      <w:r w:rsidRPr="00E728AF">
        <w:rPr>
          <w:rFonts w:cs="Times New Roman"/>
        </w:rPr>
        <w:t xml:space="preserve">UK. </w:t>
      </w:r>
    </w:p>
    <w:p w:rsidR="00E85DEE" w:rsidRPr="00E728AF" w:rsidRDefault="00E85DEE" w:rsidP="00E85DEE">
      <w:pPr>
        <w:spacing w:line="240" w:lineRule="auto"/>
        <w:rPr>
          <w:rFonts w:cs="Times New Roman"/>
        </w:rPr>
      </w:pPr>
      <w:r w:rsidRPr="00E728AF">
        <w:rPr>
          <w:rFonts w:cs="Times New Roman"/>
        </w:rPr>
        <w:t xml:space="preserve">Institute of Infection and Global Health, University of Liverpool, Liverpool, </w:t>
      </w:r>
      <w:r>
        <w:rPr>
          <w:rFonts w:cs="Times New Roman"/>
        </w:rPr>
        <w:t>CH64 7TE,</w:t>
      </w:r>
      <w:r w:rsidRPr="00E728AF">
        <w:rPr>
          <w:rFonts w:cs="Times New Roman"/>
        </w:rPr>
        <w:t xml:space="preserve"> UK.</w:t>
      </w:r>
    </w:p>
    <w:p w:rsidR="00E85DEE" w:rsidRPr="00E728AF" w:rsidRDefault="00E85DEE" w:rsidP="00E85DEE">
      <w:pPr>
        <w:spacing w:line="240" w:lineRule="auto"/>
        <w:rPr>
          <w:rFonts w:cs="Times New Roman"/>
          <w:b/>
        </w:rPr>
      </w:pPr>
      <w:r w:rsidRPr="00E728AF">
        <w:rPr>
          <w:rFonts w:cs="Times New Roman"/>
          <w:b/>
        </w:rPr>
        <w:t xml:space="preserve">Jenny </w:t>
      </w:r>
      <w:r w:rsidR="005566D6">
        <w:rPr>
          <w:rFonts w:cs="Times New Roman"/>
          <w:b/>
        </w:rPr>
        <w:t xml:space="preserve">C. </w:t>
      </w:r>
      <w:r w:rsidRPr="00E728AF">
        <w:rPr>
          <w:rFonts w:cs="Times New Roman"/>
          <w:b/>
        </w:rPr>
        <w:t>Warner;</w:t>
      </w:r>
    </w:p>
    <w:p w:rsidR="00E85DEE" w:rsidRPr="00F137CC" w:rsidRDefault="00E85DEE" w:rsidP="00E85DEE">
      <w:pPr>
        <w:spacing w:line="240" w:lineRule="auto"/>
        <w:rPr>
          <w:rFonts w:cs="Times New Roman"/>
        </w:rPr>
      </w:pPr>
      <w:r w:rsidRPr="00E728AF">
        <w:rPr>
          <w:rFonts w:cs="Times New Roman"/>
        </w:rPr>
        <w:t xml:space="preserve">NIHR Health Protection Research Unit in Emerging and Zoonotic Infections, Public Health England, </w:t>
      </w:r>
      <w:proofErr w:type="spellStart"/>
      <w:r w:rsidRPr="00F137CC">
        <w:rPr>
          <w:rFonts w:cs="Times New Roman"/>
        </w:rPr>
        <w:t>Porton</w:t>
      </w:r>
      <w:proofErr w:type="spellEnd"/>
      <w:r w:rsidRPr="00F137CC">
        <w:rPr>
          <w:rFonts w:cs="Times New Roman"/>
        </w:rPr>
        <w:t xml:space="preserve"> Down, SP4 0JQ, UK.</w:t>
      </w:r>
    </w:p>
    <w:p w:rsidR="00E85DEE" w:rsidRPr="00F137CC" w:rsidRDefault="00E85DEE" w:rsidP="00E85DEE">
      <w:pPr>
        <w:spacing w:after="0" w:line="480" w:lineRule="auto"/>
        <w:rPr>
          <w:rFonts w:cs="Times New Roman"/>
        </w:rPr>
      </w:pPr>
      <w:r w:rsidRPr="00F137CC">
        <w:rPr>
          <w:rFonts w:cs="Times New Roman"/>
        </w:rPr>
        <w:t xml:space="preserve">Rare and Imported Pathogens Laboratory, Public Health England, </w:t>
      </w:r>
      <w:proofErr w:type="spellStart"/>
      <w:r w:rsidRPr="00F137CC">
        <w:rPr>
          <w:rFonts w:cs="Times New Roman"/>
        </w:rPr>
        <w:t>Porton</w:t>
      </w:r>
      <w:proofErr w:type="spellEnd"/>
      <w:r w:rsidRPr="00F137CC">
        <w:rPr>
          <w:rFonts w:cs="Times New Roman"/>
        </w:rPr>
        <w:t xml:space="preserve"> Down, SP4 0JQ, UK</w:t>
      </w:r>
    </w:p>
    <w:p w:rsidR="00E85DEE" w:rsidRPr="00E728AF" w:rsidRDefault="00E85DEE" w:rsidP="00E85DEE">
      <w:pPr>
        <w:spacing w:line="240" w:lineRule="auto"/>
        <w:rPr>
          <w:rFonts w:cs="Times New Roman"/>
          <w:b/>
        </w:rPr>
      </w:pPr>
      <w:r w:rsidRPr="00E728AF">
        <w:rPr>
          <w:rFonts w:cs="Times New Roman"/>
          <w:b/>
        </w:rPr>
        <w:t>Roberto Vivancos</w:t>
      </w:r>
      <w:r>
        <w:rPr>
          <w:rFonts w:cs="Times New Roman"/>
          <w:b/>
        </w:rPr>
        <w:t>;</w:t>
      </w:r>
      <w:r w:rsidRPr="00E728AF">
        <w:rPr>
          <w:rFonts w:cs="Times New Roman"/>
          <w:b/>
        </w:rPr>
        <w:t xml:space="preserve"> </w:t>
      </w:r>
    </w:p>
    <w:p w:rsidR="00E85DEE" w:rsidRPr="00E728AF" w:rsidRDefault="00E85DEE" w:rsidP="00E85DEE">
      <w:pPr>
        <w:spacing w:line="240" w:lineRule="auto"/>
        <w:rPr>
          <w:rFonts w:cs="Times New Roman"/>
        </w:rPr>
      </w:pPr>
      <w:r w:rsidRPr="00E728AF">
        <w:rPr>
          <w:rFonts w:cs="Times New Roman"/>
        </w:rPr>
        <w:t xml:space="preserve">NIHR Health Protection Research Unit in Emerging and Zoonotic Infections, Public Health England, Liverpool, </w:t>
      </w:r>
      <w:r>
        <w:rPr>
          <w:rFonts w:cs="Times New Roman"/>
        </w:rPr>
        <w:t xml:space="preserve">L3 1DS, </w:t>
      </w:r>
      <w:r w:rsidRPr="00E728AF">
        <w:rPr>
          <w:rFonts w:cs="Times New Roman"/>
        </w:rPr>
        <w:t>UK.</w:t>
      </w:r>
    </w:p>
    <w:p w:rsidR="00F3739A" w:rsidRDefault="00E85DEE" w:rsidP="00E85DEE">
      <w:pPr>
        <w:rPr>
          <w:rFonts w:cs="Times New Roman"/>
        </w:rPr>
      </w:pPr>
      <w:r w:rsidRPr="00E728AF">
        <w:rPr>
          <w:rFonts w:cs="Times New Roman"/>
        </w:rPr>
        <w:t xml:space="preserve">Public Health England, Liverpool, </w:t>
      </w:r>
      <w:r>
        <w:rPr>
          <w:rFonts w:cs="Times New Roman"/>
        </w:rPr>
        <w:t>L3 1DS,</w:t>
      </w:r>
      <w:r w:rsidRPr="00E728AF">
        <w:rPr>
          <w:rFonts w:cs="Times New Roman"/>
        </w:rPr>
        <w:t xml:space="preserve"> UK.</w:t>
      </w:r>
    </w:p>
    <w:p w:rsidR="005566D6" w:rsidRDefault="005566D6" w:rsidP="00E85DEE">
      <w:pPr>
        <w:rPr>
          <w:rFonts w:cs="Times New Roman"/>
        </w:rPr>
      </w:pPr>
    </w:p>
    <w:p w:rsidR="005566D6" w:rsidRDefault="005566D6" w:rsidP="00E85DEE">
      <w:pPr>
        <w:rPr>
          <w:rFonts w:cs="Times New Roman"/>
        </w:rPr>
      </w:pPr>
    </w:p>
    <w:p w:rsidR="005566D6" w:rsidRDefault="005566D6" w:rsidP="00E85DEE">
      <w:pPr>
        <w:rPr>
          <w:rFonts w:cs="Times New Roman"/>
        </w:rPr>
      </w:pPr>
    </w:p>
    <w:p w:rsidR="005566D6" w:rsidRDefault="005566D6" w:rsidP="00E85DEE">
      <w:pPr>
        <w:rPr>
          <w:rFonts w:cs="Times New Roman"/>
        </w:rPr>
      </w:pPr>
    </w:p>
    <w:p w:rsidR="005566D6" w:rsidRDefault="005566D6" w:rsidP="00E85DEE">
      <w:pPr>
        <w:rPr>
          <w:rFonts w:cs="Times New Roman"/>
        </w:rPr>
      </w:pPr>
    </w:p>
    <w:p w:rsidR="005566D6" w:rsidRDefault="005566D6" w:rsidP="00E85DEE">
      <w:pPr>
        <w:rPr>
          <w:rFonts w:cs="Times New Roman"/>
        </w:rPr>
      </w:pPr>
    </w:p>
    <w:p w:rsidR="005566D6" w:rsidRDefault="005566D6" w:rsidP="00E85DEE">
      <w:pPr>
        <w:rPr>
          <w:rFonts w:cs="Times New Roman"/>
        </w:rPr>
      </w:pPr>
    </w:p>
    <w:p w:rsidR="00C55D03" w:rsidRDefault="00C55D03" w:rsidP="005566D6">
      <w:pPr>
        <w:spacing w:line="480" w:lineRule="auto"/>
        <w:rPr>
          <w:rFonts w:cs="Times New Roman"/>
        </w:rPr>
      </w:pPr>
    </w:p>
    <w:p w:rsidR="005566D6" w:rsidRDefault="005566D6" w:rsidP="005566D6">
      <w:pPr>
        <w:spacing w:line="480" w:lineRule="auto"/>
        <w:rPr>
          <w:b/>
        </w:rPr>
      </w:pPr>
      <w:r>
        <w:rPr>
          <w:b/>
        </w:rPr>
        <w:lastRenderedPageBreak/>
        <w:t xml:space="preserve">Abstract </w:t>
      </w:r>
    </w:p>
    <w:p w:rsidR="005566D6" w:rsidRPr="00BC4000" w:rsidRDefault="005566D6" w:rsidP="005566D6">
      <w:pPr>
        <w:spacing w:line="480" w:lineRule="auto"/>
      </w:pPr>
      <w:r>
        <w:rPr>
          <w:b/>
        </w:rPr>
        <w:t xml:space="preserve">Background: </w:t>
      </w:r>
      <w:r>
        <w:t>Lyme disease is a tick-borne disease of increasing global importance. There is scant information on Lyme disease patient demographics in England and Wales, and how they interact with the National Health Service (NHS). Our aims were to explore the demographic characteristics of Lyme disease patients within the Hospital Episode Statistics (HES) and Patient Episode Database for Wales (PEDW), and to describe patient pathways.</w:t>
      </w:r>
    </w:p>
    <w:p w:rsidR="005566D6" w:rsidRPr="002615C0" w:rsidRDefault="005566D6" w:rsidP="005566D6">
      <w:pPr>
        <w:spacing w:line="480" w:lineRule="auto"/>
      </w:pPr>
      <w:r>
        <w:rPr>
          <w:b/>
        </w:rPr>
        <w:t xml:space="preserve">Methods: </w:t>
      </w:r>
      <w:r>
        <w:t>Data from 1</w:t>
      </w:r>
      <w:r w:rsidRPr="002615C0">
        <w:rPr>
          <w:vertAlign w:val="superscript"/>
        </w:rPr>
        <w:t>st</w:t>
      </w:r>
      <w:r>
        <w:t xml:space="preserve"> January 1998 to 31</w:t>
      </w:r>
      <w:r w:rsidRPr="002615C0">
        <w:rPr>
          <w:vertAlign w:val="superscript"/>
        </w:rPr>
        <w:t>st</w:t>
      </w:r>
      <w:r>
        <w:t xml:space="preserve"> December 2015 was retrieved from the two administrative hospital datasets (HES and PEDW), based on patients coded with Lyme disease. Information was collected on demographic characteristics, home address and case management. Incidence rates were calculated, and demographics compared to the national population. </w:t>
      </w:r>
    </w:p>
    <w:p w:rsidR="005566D6" w:rsidRDefault="005566D6" w:rsidP="005566D6">
      <w:pPr>
        <w:spacing w:line="480" w:lineRule="auto"/>
      </w:pPr>
      <w:r>
        <w:rPr>
          <w:b/>
        </w:rPr>
        <w:t xml:space="preserve">Results: </w:t>
      </w:r>
      <w:r>
        <w:t xml:space="preserve">Within HES and PEDW, 2,361 patients were coded with Lyme disease. There was a significant increase (p&lt;0.01) in incidence from 0.08 cases/100,000 in 1998, to 0.53 cases/100,000 in 2015. There was a bimodal age distribution, patients were predominantly female, white and from areas of low deprivation. New cases peaked annually in August, with higher incidence rates in southern central and western England. Within hospital admission data (n=2,066), most cases were either referred from primary care (28.8%, n=596) or admitted via accident and emergency (A&amp;E) (29.5%, n=610). This population entering secondary care through A&amp;E suggest a poor understanding of the recommended care pathways for symptoms related to Lyme disease by the general population. </w:t>
      </w:r>
    </w:p>
    <w:p w:rsidR="005566D6" w:rsidRDefault="005566D6" w:rsidP="005566D6">
      <w:pPr>
        <w:spacing w:line="480" w:lineRule="auto"/>
      </w:pPr>
      <w:r>
        <w:rPr>
          <w:b/>
        </w:rPr>
        <w:t xml:space="preserve">Conclusions: </w:t>
      </w:r>
      <w:r>
        <w:t xml:space="preserve">These data can be used to inform future investigations into Lyme disease burden, and patient management within the NHS. They provide demographic information for clinicians to target public health messaging or interventions. </w:t>
      </w:r>
    </w:p>
    <w:p w:rsidR="00C55D03" w:rsidRDefault="00C55D03" w:rsidP="005566D6">
      <w:pPr>
        <w:spacing w:line="480" w:lineRule="auto"/>
      </w:pPr>
      <w:r>
        <w:rPr>
          <w:b/>
        </w:rPr>
        <w:t>Trial registration</w:t>
      </w:r>
      <w:r>
        <w:t>: Not applicable</w:t>
      </w:r>
    </w:p>
    <w:p w:rsidR="005566D6" w:rsidRDefault="005566D6" w:rsidP="005566D6">
      <w:pPr>
        <w:spacing w:line="480" w:lineRule="auto"/>
        <w:rPr>
          <w:b/>
        </w:rPr>
      </w:pPr>
      <w:r>
        <w:rPr>
          <w:b/>
        </w:rPr>
        <w:lastRenderedPageBreak/>
        <w:t>Keywords – Lyme disease; incidence; care pathway; hospital episodes; secondary care; hospital care</w:t>
      </w:r>
      <w:r w:rsidR="00394791">
        <w:rPr>
          <w:b/>
        </w:rPr>
        <w:t>; England; Wales</w:t>
      </w:r>
    </w:p>
    <w:p w:rsidR="00C55D03" w:rsidRDefault="00C55D03" w:rsidP="00C55D03">
      <w:pPr>
        <w:spacing w:line="480" w:lineRule="auto"/>
        <w:rPr>
          <w:b/>
        </w:rPr>
      </w:pPr>
    </w:p>
    <w:p w:rsidR="00C55D03" w:rsidRDefault="00C55D03" w:rsidP="00C55D03">
      <w:pPr>
        <w:spacing w:line="480" w:lineRule="auto"/>
        <w:rPr>
          <w:b/>
        </w:rPr>
      </w:pPr>
      <w:r>
        <w:rPr>
          <w:b/>
        </w:rPr>
        <w:t xml:space="preserve">Background </w:t>
      </w:r>
    </w:p>
    <w:p w:rsidR="00C55D03" w:rsidRDefault="00C55D03" w:rsidP="00C55D03">
      <w:pPr>
        <w:spacing w:line="480" w:lineRule="auto"/>
      </w:pPr>
      <w:r>
        <w:t xml:space="preserve">Lyme disease is an important emerging tick-borne disease caused by members of the spirochaetal complex </w:t>
      </w:r>
      <w:r>
        <w:rPr>
          <w:i/>
        </w:rPr>
        <w:t xml:space="preserve">Borrelia burgdorferi </w:t>
      </w:r>
      <w:proofErr w:type="spellStart"/>
      <w:r>
        <w:t>sensu</w:t>
      </w:r>
      <w:proofErr w:type="spellEnd"/>
      <w:r>
        <w:t xml:space="preserve"> </w:t>
      </w:r>
      <w:proofErr w:type="spellStart"/>
      <w:r>
        <w:t>lato</w:t>
      </w:r>
      <w:proofErr w:type="spellEnd"/>
      <w:r>
        <w:t xml:space="preserve">. The population-weighted incidence across Western Europe has been estimated to be 22.04/100,000 person-years </w:t>
      </w:r>
      <w:r>
        <w:fldChar w:fldCharType="begin" w:fldLock="1"/>
      </w:r>
      <w:r w:rsidR="003E3EEF">
        <w:instrText>ADDIN CSL_CITATION {"citationItems":[{"id":"ITEM-1","itemData":{"DOI":"10.2218/resmedica.v22i1.743","ISSN":"2051-7580","abstract":"Background: Lyme borreliosis (LB) is the most common zoonotic disease transmitted by ticks in the USA and Europe. This review aims to estimate the regional burden of LB in Western Europe. Data from previous publications were used to calculate the mean incidence. The mean incidence rates were then combined to estimate the regional burden and a population-weighted regional burden of disease based on the standardized incidence from the included studies and the total population at risk. Methods: Reviews and surveillance reports identified by the initial database search were first assessed for eligibility by their title and abstract, and subsequently by a more detailed review of the source for the most recent data regarding LB. 11 sources of incidence data were included in the review, representing 17 countries in total. Incidence estimates were calculated from reported values and population data. Results: Countries in Western Europe have a large variance in the incidence rates. The highest reported incidences for LB were reported in southern Sweden with 464 per 100 000 and the lowest in Italy of 0.001 per 100 000. The unweighted mean for the included data provided an incidence of 56.3 per 100 000 persons per year, equating to approximately 232 125 cases in one year throughout the region. The calculated population-weighted average incidence for the regional burden of LB in Western Europe was 22.05 cases per 100 000 person-years. Conclusions: LB is an emerging disease and the most common zoonotic infection in Western Europe approaching endemic proportions in many European countries. The population-weighted incidence has been estimated by this study to be 22.04 per 100 000 person-years. Concordant and well-conducted surveillance and disease awareness should continue to be encouraged to monitor LB as tick numbers and activity increases.","author":[{"dropping-particle":"","family":"Sykes","given":"Robert Alexander;","non-dropping-particle":"","parse-names":false,"suffix":""},{"dropping-particle":"","family":"Makiello","given":"Phoebe","non-dropping-particle":"","parse-names":false,"suffix":""}],"container-title":"Journal of Public Health","id":"ITEM-1","issued":{"date-parts":[["2016"]]},"page":"1-8","title":"An Estimate of Lyme Borreliosis Incidence in Western Europe","type":"article-journal"},"uris":["http://www.mendeley.com/documents/?uuid=3faa1a96-35c5-428a-8fbf-fc0995189404"]}],"mendeley":{"formattedCitation":"(1)","plainTextFormattedCitation":"(1)","previouslyFormattedCitation":"(1)"},"properties":{"noteIndex":0},"schema":"https://github.com/citation-style-language/schema/raw/master/csl-citation.json"}</w:instrText>
      </w:r>
      <w:r>
        <w:fldChar w:fldCharType="separate"/>
      </w:r>
      <w:r w:rsidR="003E3EEF" w:rsidRPr="003E3EEF">
        <w:rPr>
          <w:noProof/>
        </w:rPr>
        <w:t>(1)</w:t>
      </w:r>
      <w:r>
        <w:fldChar w:fldCharType="end"/>
      </w:r>
      <w:r>
        <w:t xml:space="preserve">. In England and Wales the national incidence of laboratory confirmed cases has risen from 0.38 per 100,000 population in 1997 </w:t>
      </w:r>
      <w:r>
        <w:fldChar w:fldCharType="begin" w:fldLock="1"/>
      </w:r>
      <w:r w:rsidR="003E3EEF">
        <w:instrText>ADDIN CSL_CITATION {"citationItems":[{"id":"ITEM-1","itemData":{"URL":"https://www.gov.uk/government/publications/lyme-borreliosis-epidemiology/lyme-borreliosis-epidemiology-and-surveillance","author":[{"dropping-particle":"","family":"Public Health England","given":"","non-dropping-particle":"","parse-names":false,"suffix":""}],"id":"ITEM-1","issued":{"date-parts":[["2013"]]},"note":"NULL","title":"Lyme borreliosis epidemiology and surveillance","type":"webpage"},"uris":["http://www.mendeley.com/documents/?uuid=a2d601a5-3410-41ed-bef1-f462ba73635f"]}],"mendeley":{"formattedCitation":"(2)","plainTextFormattedCitation":"(2)","previouslyFormattedCitation":"(2)"},"properties":{"noteIndex":0},"schema":"https://github.com/citation-style-language/schema/raw/master/csl-citation.json"}</w:instrText>
      </w:r>
      <w:r>
        <w:fldChar w:fldCharType="separate"/>
      </w:r>
      <w:r w:rsidR="003E3EEF" w:rsidRPr="003E3EEF">
        <w:rPr>
          <w:noProof/>
        </w:rPr>
        <w:t>(2)</w:t>
      </w:r>
      <w:r>
        <w:fldChar w:fldCharType="end"/>
      </w:r>
      <w:r>
        <w:t xml:space="preserve"> to 1.95 per 100,000 population in 2016 </w:t>
      </w:r>
      <w:r>
        <w:fldChar w:fldCharType="begin" w:fldLock="1"/>
      </w:r>
      <w:r w:rsidR="003E3EEF">
        <w:instrText>ADDIN CSL_CITATION {"citationItems":[{"id":"ITEM-1","itemData":{"URL":"https://www.gov.uk/government/publications/zoonoses-uk-annual-reports","accessed":{"date-parts":[["2017","11","3"]]},"author":[{"dropping-particle":"","family":"Public Health England","given":"","non-dropping-particle":"","parse-names":false,"suffix":""}],"id":"ITEM-1","issued":{"date-parts":[["2017"]]},"title":"Zoonoses: UK annual reports","type":"webpage"},"uris":["http://www.mendeley.com/documents/?uuid=bed4d186-34ed-46c8-a948-bab86db66acb"]},{"id":"ITEM-2","itemData":{"author":[{"dropping-particle":"","family":"Tulloch","given":"J.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press)","id":"ITEM-2","issued":{"date-parts":[["2019"]]},"title":"The demographics and geographic distribution of laboratory-confirmed Lyme disease cases in England and Wales (2013-2016): an ecological study","type":"article-journal"},"uris":["http://www.mendeley.com/documents/?uuid=e4a3e3e9-ceb1-41a8-ae79-31e73bc578a3"]}],"mendeley":{"formattedCitation":"(3,4)","plainTextFormattedCitation":"(3,4)","previouslyFormattedCitation":"(3,4)"},"properties":{"noteIndex":0},"schema":"https://github.com/citation-style-language/schema/raw/master/csl-citation.json"}</w:instrText>
      </w:r>
      <w:r>
        <w:fldChar w:fldCharType="separate"/>
      </w:r>
      <w:r w:rsidR="003E3EEF" w:rsidRPr="003E3EEF">
        <w:rPr>
          <w:noProof/>
        </w:rPr>
        <w:t>(3,4)</w:t>
      </w:r>
      <w:r>
        <w:fldChar w:fldCharType="end"/>
      </w:r>
      <w:r>
        <w:t xml:space="preserve">. Lyme disease is associated with a range of clinical presentations which may vary as infection progresses, though it commonly presents as erythema migrans with associated flu-like symptoms </w:t>
      </w:r>
      <w:r>
        <w:fldChar w:fldCharType="begin" w:fldLock="1"/>
      </w:r>
      <w:r w:rsidR="003E3EEF">
        <w:instrText>ADDIN CSL_CITATION {"citationItems":[{"id":"ITEM-1","itemData":{"URL":"https://www.nice.org.uk/guidance/ng95","accessed":{"date-parts":[["2017","10","23"]]},"author":[{"dropping-particle":"","family":"National Institute for Health and Care Excellence","given":"","non-dropping-particle":"","parse-names":false,"suffix":""}],"id":"ITEM-1","issued":{"date-parts":[["2018"]]},"title":"Lyme disease NICE guideline [NG95]","type":"webpage"},"uris":["http://www.mendeley.com/documents/?uuid=3c60817c-61d3-46a6-b42a-4baa11776ecd"]}],"mendeley":{"formattedCitation":"(5)","plainTextFormattedCitation":"(5)","previouslyFormattedCitation":"(5)"},"properties":{"noteIndex":0},"schema":"https://github.com/citation-style-language/schema/raw/master/csl-citation.json"}</w:instrText>
      </w:r>
      <w:r>
        <w:fldChar w:fldCharType="separate"/>
      </w:r>
      <w:r w:rsidR="003E3EEF" w:rsidRPr="003E3EEF">
        <w:rPr>
          <w:noProof/>
        </w:rPr>
        <w:t>(5)</w:t>
      </w:r>
      <w:r>
        <w:fldChar w:fldCharType="end"/>
      </w:r>
      <w:r>
        <w:t xml:space="preserve">. Other presentations include; borrelial lymphocytoma, Lyme neuroborreliosis, carditis, arthritis and acrodermatitis </w:t>
      </w:r>
      <w:proofErr w:type="spellStart"/>
      <w:r>
        <w:t>chronica</w:t>
      </w:r>
      <w:proofErr w:type="spellEnd"/>
      <w:r>
        <w:t xml:space="preserve"> </w:t>
      </w:r>
      <w:proofErr w:type="spellStart"/>
      <w:r>
        <w:t>atrophicans</w:t>
      </w:r>
      <w:proofErr w:type="spellEnd"/>
      <w:r>
        <w:t xml:space="preserve"> (ACA) </w:t>
      </w:r>
      <w:r>
        <w:fldChar w:fldCharType="begin" w:fldLock="1"/>
      </w:r>
      <w:r w:rsidR="003E3EEF">
        <w:instrText>ADDIN CSL_CITATION {"citationItems":[{"id":"ITEM-1","itemData":{"DOI":"10.1038/nrdp.2016.90","ISSN":"2056-676X","PMID":"27976670","author":[{"dropping-particle":"","family":"Steere","given":"Allen C.","non-dropping-particle":"","parse-names":false,"suffix":""},{"dropping-particle":"","family":"Strle","given":"Franc","non-dropping-particle":"","parse-names":false,"suffix":""},{"dropping-particle":"","family":"Wormser","given":"Gary P.","non-dropping-particle":"","parse-names":false,"suffix":""},{"dropping-particle":"","family":"Hu","given":"Linden T.","non-dropping-particle":"","parse-names":false,"suffix":""},{"dropping-particle":"","family":"Branda","given":"John A.","non-dropping-particle":"","parse-names":false,"suffix":""},{"dropping-particle":"","family":"Hovius","given":"Joppe W. R.","non-dropping-particle":"","parse-names":false,"suffix":""},{"dropping-particle":"","family":"Li","given":"Xin","non-dropping-particle":"","parse-names":false,"suffix":""},{"dropping-particle":"","family":"Mead","given":"Paul S.","non-dropping-particle":"","parse-names":false,"suffix":""}],"container-title":"Nature Reviews Disease Primers","id":"ITEM-1","issued":{"date-parts":[["2016"]]},"note":"NULL","page":"16090","publisher":"Macmillan Publishers Limited","title":"Lyme borreliosis","type":"article-journal","volume":"2"},"uris":["http://www.mendeley.com/documents/?uuid=597fd981-33c4-41af-b301-bd3fd480d68e"]}],"mendeley":{"formattedCitation":"(6)","plainTextFormattedCitation":"(6)","previouslyFormattedCitation":"(6)"},"properties":{"noteIndex":0},"schema":"https://github.com/citation-style-language/schema/raw/master/csl-citation.json"}</w:instrText>
      </w:r>
      <w:r>
        <w:fldChar w:fldCharType="separate"/>
      </w:r>
      <w:r w:rsidR="003E3EEF" w:rsidRPr="003E3EEF">
        <w:rPr>
          <w:noProof/>
        </w:rPr>
        <w:t>(6)</w:t>
      </w:r>
      <w:r>
        <w:fldChar w:fldCharType="end"/>
      </w:r>
      <w:r>
        <w:t xml:space="preserve">. This has resulted in broad and varied case definitions </w:t>
      </w:r>
      <w:r>
        <w:fldChar w:fldCharType="begin" w:fldLock="1"/>
      </w:r>
      <w:r w:rsidR="003E3EEF">
        <w:instrText>ADDIN CSL_CITATION {"citationItems":[{"id":"ITEM-1","itemData":{"DOI":"10.1111/j.1469-0691.2010.03175.x","ISBN":"9076906890","ISSN":"1469-0691","PMID":"20132258","abstract":"Lyme borreliosis, caused by spirochaetes of the Borrelia burgdorferi genospecies complex, is the most commonly reported tick-borne infection in Europe and North America. The non-specific nature of many of its clinical manifestations presents a diagnostic challenge and concise case definitions are essential for its satisfactory management. Lyme borreliosis is very similar in Europe and North America but the greater variety of genospecies in Europe leads to some important differences in clinical presentation. These new case definitions for European Lyme borreliosis emphasise recognition of clinical manifestations supported by relevant laboratory criteria and may be used in a clinical setting and also for epidemiological investigations.","author":[{"dropping-particle":"","family":"Stanek","given":"G","non-dropping-particle":"","parse-names":false,"suffix":""},{"dropping-particle":"","family":"Fingerle","given":"V","non-dropping-particle":"","parse-names":false,"suffix":""},{"dropping-particle":"","family":"Hunfeld","given":"K-P","non-dropping-particle":"","parse-names":false,"suffix":""},{"dropping-particle":"","family":"Jaulhac","given":"B","non-dropping-particle":"","parse-names":false,"suffix":""},{"dropping-particle":"","family":"Kaiser","given":"R","non-dropping-particle":"","parse-names":false,"suffix":""},{"dropping-particle":"","family":"Krause","given":"a","non-dropping-particle":"","parse-names":false,"suffix":""},{"dropping-particle":"","family":"Kristoferitsch","given":"W","non-dropping-particle":"","parse-names":false,"suffix":""},{"dropping-particle":"","family":"O'Connell","given":"S","non-dropping-particle":"","parse-names":false,"suffix":""},{"dropping-particle":"","family":"Ornstein","given":"K","non-dropping-particle":"","parse-names":false,"suffix":""},{"dropping-particle":"","family":"Strle","given":"F","non-dropping-particle":"","parse-names":false,"suffix":""},{"dropping-particle":"","family":"Gray","given":"J","non-dropping-particle":"","parse-names":false,"suffix":""}],"container-title":"Clinical microbiology and infection : the official publication of the European Society of Clinical Microbiology and Infectious Diseases","id":"ITEM-1","issue":"1","issued":{"date-parts":[["2011"]]},"page":"69-79","title":"Lyme borreliosis: clinical case definitions for diagnosis and management in Europe.","type":"article-journal","volume":"17"},"uris":["http://www.mendeley.com/documents/?uuid=c77563ec-9634-4887-98f6-df87e713a0f2"]},{"id":"ITEM-2","itemData":{"DOI":"10.1016/j.jinf.2011.03.006","ISSN":"01634453","author":[{"dropping-particle":"","family":"British Infection Association","given":"","non-dropping-particle":"","parse-names":false,"suffix":""}],"container-title":"Journal of Infection","id":"ITEM-2","issue":"5","issued":{"date-parts":[["2011"]]},"page":"329-338","publisher":"Elsevier Ltd","title":"The epidemiology, prevention, investigation and treatment of Lyme borreliosis in United Kingdom patients: A position statement by the British Infection Association","type":"article-journal","volume":"62"},"uris":["http://www.mendeley.com/documents/?uuid=1031c539-4609-4adc-9558-6ac5cd05375a"]},{"id":"ITEM-3","itemData":{"ISSN":"688","abstract":"Evidence-based guidelines for the management of patients with Lyme disease, human granulocytic anaplasmosis (formerly known as human granulocytic ehrlichiosis), and babesiosis were prepared by an expert panel of the Infectious Diseases Society of America. These updated guidelines replace the previous treatment guidelines published in 2000 (Clin Infect Dis 2000; 31[Suppl 1]:1-14). The guidelines are intended for use by health care providers who care for patients who either have these infections or may be at risk for them. For each of these Ixodes tickborne infections, information is provided about prevention, epidemiology, clinical manifestations, diagnosis, and treatment. Tables list the doses and durations of antimicrobial therapy recommended for treatment and prevention of Lyme disease and provide a partial list of therapies to be avoided. A definition of post-Lyme disease syndrome is proposed","author":[{"dropping-particle":"","family":"Wormser","given":"Gary-P","non-dropping-particle":"","parse-names":false,"suffix":""},{"dropping-particle":"","family":"Dattwyler","given":"Raymond-J","non-dropping-particle":"","parse-names":false,"suffix":""},{"dropping-particle":"","family":"Shapiro","given":"Eugene-D","non-dropping-particle":"","parse-names":false,"suffix":""},{"dropping-particle":"","family":"Halperin","given":"John-J","non-dropping-particle":"","parse-names":false,"suffix":""},{"dropping-particle":"","family":"Steere","given":"Allen-C","non-dropping-particle":"","parse-names":false,"suffix":""},{"dropping-particle":"","family":"Klempner","given":"Mark-S","non-dropping-particle":"","parse-names":false,"suffix":""},{"dropping-particle":"","family":"Krause","given":"Peter-J","non-dropping-particle":"","parse-names":false,"suffix":""},{"dropping-particle":"","family":"Bakken","given":"Johan-S","non-dropping-particle":"","parse-names":false,"suffix":""},{"dropping-particle":"","family":"Strle","given":"Franc","non-dropping-particle":"","parse-names":false,"suffix":""},{"dropping-particle":"","family":"Stanek","given":"Gerold","non-dropping-particle":"","parse-names":false,"suffix":""},{"dropping-particle":"","family":"Bockenstedt","given":"Linda","non-dropping-particle":"","parse-names":false,"suffix":""},{"dropping-particle":"","family":"Fish","given":"Durland","non-dropping-particle":"","parse-names":false,"suffix":""},{"dropping-particle":"","family":"Stephen Dumler","given":"J.","non-dropping-particle":"","parse-names":false,"suffix":""},{"dropping-particle":"","family":"Nadelman","given":"Robert-B","non-dropping-particle":"","parse-names":false,"suffix":""}],"container-title":"Clinical Infectious Diseases","id":"ITEM-3","issue":"9","issued":{"date-parts":[["2006"]]},"note":"IDSA guidlines. Currently being updated.","page":"1089-1134","title":"The Clinical Assessment, Treatment, and Prevention of Lyme Disease, Human Granulocytic Anaplasmosis, and Babesiosis: Clinical Practice Guidelines by the Infectious Diseases Society of America","type":"article-journal","volume":"43"},"uris":["http://www.mendeley.com/documents/?uuid=3e9e1bc4-14f3-436c-b0d2-27b47cec0bfe"]},{"id":"ITEM-4","itemData":{"URL":"https://www.nice.org.uk/guidance/ng95","accessed":{"date-parts":[["2017","10","23"]]},"author":[{"dropping-particle":"","family":"National Institute for Health and Care Excellence","given":"","non-dropping-particle":"","parse-names":false,"suffix":""}],"id":"ITEM-4","issued":{"date-parts":[["2018"]]},"title":"Lyme disease NICE guideline [NG95]","type":"webpage"},"uris":["http://www.mendeley.com/documents/?uuid=3c60817c-61d3-46a6-b42a-4baa11776ecd"]}],"mendeley":{"formattedCitation":"(5,7–9)","plainTextFormattedCitation":"(5,7–9)","previouslyFormattedCitation":"(5,7–9)"},"properties":{"noteIndex":0},"schema":"https://github.com/citation-style-language/schema/raw/master/csl-citation.json"}</w:instrText>
      </w:r>
      <w:r>
        <w:fldChar w:fldCharType="separate"/>
      </w:r>
      <w:r w:rsidR="003E3EEF" w:rsidRPr="003E3EEF">
        <w:rPr>
          <w:noProof/>
        </w:rPr>
        <w:t>(5,7–9)</w:t>
      </w:r>
      <w:r>
        <w:fldChar w:fldCharType="end"/>
      </w:r>
      <w:r w:rsidR="00F020D9">
        <w:t xml:space="preserve">. </w:t>
      </w:r>
      <w:bookmarkStart w:id="0" w:name="_Hlk9519614"/>
      <w:r w:rsidR="00F020D9">
        <w:t xml:space="preserve">However, </w:t>
      </w:r>
      <w:r w:rsidR="00F020D9" w:rsidRPr="00F31BFB">
        <w:t>UK and European</w:t>
      </w:r>
      <w:r w:rsidRPr="00F31BFB">
        <w:t xml:space="preserve"> case definitions agree that erythema migrans alone, without any laboratory confirmation, is sufficient for case confirmation</w:t>
      </w:r>
      <w:r w:rsidR="00F020D9" w:rsidRPr="00F31BFB">
        <w:t xml:space="preserve"> (5,7)</w:t>
      </w:r>
      <w:r w:rsidRPr="00F31BFB">
        <w:t>.</w:t>
      </w:r>
      <w:r>
        <w:t xml:space="preserve"> </w:t>
      </w:r>
      <w:bookmarkEnd w:id="0"/>
      <w:r>
        <w:t xml:space="preserve">Considering this, current surveillance for England and Wales, which is based on laboratory diagnosis </w:t>
      </w:r>
      <w:r>
        <w:fldChar w:fldCharType="begin" w:fldLock="1"/>
      </w:r>
      <w:r w:rsidR="003E3EEF">
        <w:instrText>ADDIN CSL_CITATION {"citationItems":[{"id":"ITEM-1","itemData":{"URL":"https://www.gov.uk/government/publications/lyme-borreliosis-epidemiology/lyme-borreliosis-epidemiology-and-surveillance","author":[{"dropping-particle":"","family":"Public Health England","given":"","non-dropping-particle":"","parse-names":false,"suffix":""}],"id":"ITEM-1","issued":{"date-parts":[["2013"]]},"note":"NULL","title":"Lyme borreliosis epidemiology and surveillance","type":"webpage"},"uris":["http://www.mendeley.com/documents/?uuid=a2d601a5-3410-41ed-bef1-f462ba73635f"]}],"mendeley":{"formattedCitation":"(2)","plainTextFormattedCitation":"(2)","previouslyFormattedCitation":"(2)"},"properties":{"noteIndex":0},"schema":"https://github.com/citation-style-language/schema/raw/master/csl-citation.json"}</w:instrText>
      </w:r>
      <w:r>
        <w:fldChar w:fldCharType="separate"/>
      </w:r>
      <w:r w:rsidR="003E3EEF" w:rsidRPr="003E3EEF">
        <w:rPr>
          <w:noProof/>
        </w:rPr>
        <w:t>(2)</w:t>
      </w:r>
      <w:r>
        <w:fldChar w:fldCharType="end"/>
      </w:r>
      <w:r>
        <w:t>,  is likely to underestimate the true incidence of disease</w:t>
      </w:r>
      <w:r w:rsidR="003E3EEF">
        <w:t xml:space="preserve"> </w:t>
      </w:r>
      <w:r w:rsidR="003E3EEF">
        <w:fldChar w:fldCharType="begin" w:fldLock="1"/>
      </w:r>
      <w:r w:rsidR="003E3EEF">
        <w:instrText>ADDIN CSL_CITATION {"citationItems":[{"id":"ITEM-1","itemData":{"author":[{"dropping-particle":"","family":"Tulloch","given":"J.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press)","id":"ITEM-1","issued":{"date-parts":[["2019"]]},"title":"The demographics and geographic distribution of laboratory-confirmed Lyme disease cases in England and Wales (2013-2016): an ecological study","type":"article-journal"},"uris":["http://www.mendeley.com/documents/?uuid=e4a3e3e9-ceb1-41a8-ae79-31e73bc578a3"]}],"mendeley":{"formattedCitation":"(4)","plainTextFormattedCitation":"(4)","previouslyFormattedCitation":"(4)"},"properties":{"noteIndex":0},"schema":"https://github.com/citation-style-language/schema/raw/master/csl-citation.json"}</w:instrText>
      </w:r>
      <w:r w:rsidR="003E3EEF">
        <w:fldChar w:fldCharType="separate"/>
      </w:r>
      <w:r w:rsidR="003E3EEF" w:rsidRPr="003E3EEF">
        <w:rPr>
          <w:noProof/>
        </w:rPr>
        <w:t>(4)</w:t>
      </w:r>
      <w:r w:rsidR="003E3EEF">
        <w:fldChar w:fldCharType="end"/>
      </w:r>
      <w:r>
        <w:t xml:space="preserve">. </w:t>
      </w:r>
      <w:r w:rsidRPr="00D479B8">
        <w:t xml:space="preserve">This resulted in the recent NICE (National Institute for Health and Care Excellence) guidelines explicitly stating that ‘there is a lack of robust epidemiological data on Lyme disease in the UK’ </w:t>
      </w:r>
      <w:r w:rsidRPr="00D479B8">
        <w:fldChar w:fldCharType="begin" w:fldLock="1"/>
      </w:r>
      <w:r w:rsidR="003E3EEF">
        <w:instrText>ADDIN CSL_CITATION {"citationItems":[{"id":"ITEM-1","itemData":{"URL":"https://www.nice.org.uk/guidance/ng95","accessed":{"date-parts":[["2017","10","23"]]},"author":[{"dropping-particle":"","family":"National Institute for Health and Care Excellence","given":"","non-dropping-particle":"","parse-names":false,"suffix":""}],"id":"ITEM-1","issued":{"date-parts":[["2018"]]},"title":"Lyme disease NICE guideline [NG95]","type":"webpage"},"uris":["http://www.mendeley.com/documents/?uuid=3c60817c-61d3-46a6-b42a-4baa11776ecd"]}],"mendeley":{"formattedCitation":"(5)","plainTextFormattedCitation":"(5)","previouslyFormattedCitation":"(5)"},"properties":{"noteIndex":0},"schema":"https://github.com/citation-style-language/schema/raw/master/csl-citation.json"}</w:instrText>
      </w:r>
      <w:r w:rsidRPr="00D479B8">
        <w:fldChar w:fldCharType="separate"/>
      </w:r>
      <w:r w:rsidR="003E3EEF" w:rsidRPr="003E3EEF">
        <w:rPr>
          <w:noProof/>
        </w:rPr>
        <w:t>(5)</w:t>
      </w:r>
      <w:r w:rsidRPr="00D479B8">
        <w:fldChar w:fldCharType="end"/>
      </w:r>
      <w:r w:rsidRPr="00D479B8">
        <w:t>.</w:t>
      </w:r>
    </w:p>
    <w:p w:rsidR="00C55D03" w:rsidRDefault="00C55D03" w:rsidP="00C55D03">
      <w:pPr>
        <w:spacing w:line="480" w:lineRule="auto"/>
      </w:pPr>
      <w:r>
        <w:t xml:space="preserve">Patients may present with Lyme disease in either a primary care or hospital setting, with an unknown proportion receiving confirmatory laboratory diagnosis. The relative proportion of patients presenting to either setting is currently unknown, as is the patient pathway between primary, secondary and tertiary care. Within England and Wales, studies that describe patients in a hospital setting have been either limited to one hospital </w:t>
      </w:r>
      <w:r>
        <w:fldChar w:fldCharType="begin" w:fldLock="1"/>
      </w:r>
      <w:r w:rsidR="003E3EEF">
        <w:instrText>ADDIN CSL_CITATION {"citationItems":[{"id":"ITEM-1","itemData":{"DOI":"10.1017/S0950268808000472","ISBN":"9780861833924","ISSN":"0950-2688","PMID":"18325130","abstract":"Although Lyme borreliosis is increasingly diagnosed in the United Kingdom, few systematic studies have been performed there. UK data suggest that the commonest complications are neurological, but inadequate information exists about their nature and the incidence of late neuroborreliosis. Local data are necessary because clinical presentations may show geographical variation. This study aimed to provide data on clinical manifestations in an area of South West England and to estimate treatment delay. We reviewed clinical records of 88 patients in the Royal Devon and Exeter Hospital catchment area who had positive Borrelia antibody tests during a 5-year period. Fifty-six (64%) reported tick bites. The commonest presentations were erythema migrans (65%) and arthralgia/myalgia (27%). However, 22 patients (25%) had neurological symptoms other than headache alone. Fourteen had facial palsy, eight had confusion/drowsiness, four had meningism, five had radiculopathy, two had sixth nerve palsies, and two had peripheral neuropathies. No late, progressive or atypical neurological syndromes were found. Neurological manifestations were generally predictable and usually included either (or all) of meningoencephalitis, facial palsy or radiculopathy.","author":[{"dropping-particle":"","family":"Lovett","given":"J K","non-dropping-particle":"","parse-names":false,"suffix":""},{"dropping-particle":"","family":"Evans","given":"P H","non-dropping-particle":"","parse-names":false,"suffix":""},{"dropping-particle":"","family":"O'Connell","given":"S","non-dropping-particle":"","parse-names":false,"suffix":""},{"dropping-particle":"","family":"Gutowski","given":"N J","non-dropping-particle":"","parse-names":false,"suffix":""}],"container-title":"Epidemiology and infection","id":"ITEM-1","issue":"12","issued":{"date-parts":[["2008"]]},"page":"1707-1711","title":"Neuroborreliosis in the South West of England.","type":"article-journal","volume":"136"},"uris":["http://www.mendeley.com/documents/?uuid=e71db3e5-8a39-438f-947a-8649cfb77b14"]},{"id":"ITEM-2","itemData":{"DOI":"10.1017/S0950268814001071","ISSN":"1469-4409","PMID":"24814098","abstract":"SUMMARY This series of serologically confirmed Lyme disease is the largest reported in the UK and represents 508 patients who presented to one hospital in the South of England between 1992 and 2012. The mean rate of borreliosis throughout this period was 9·8/100 000 population, much higher than the reported national rate of 1·7/100 000. The actual rate increased each year until 2009 when it levelled off. Patients clinically presented with rash (71%), neurological symptoms (16%, of whom half had VII cranial nerve palsies), arthropathy (8%), pyrexia (5%), cardiac abnormalities (1%) or other manifestations (&lt;1%). Twenty percent of patients had additional non-specific symptoms of fatigue, myalgia, and cognitive changes. Serological diagnosis was with a two-tiered system of ELISA and immunoblot. There was a marked seasonal presentation in the summer months and in the first and sixth decades of life. A third of patients gave a clear history of a tick bite. The median interval between tick bite and clinical symptoms was 15 days [interquartile range (IQR) 9-28 days], with a further interval of 14 days to clinical diagnosis/treatment (IQR 2-31 days). Most cases were acquired locally and only 5% abroad. Patients responded to standard antibiotic therapy and recurrence or persistence was extremely rare. A second group of patients, not included in the clinical case series, were those who believed they had Lyme disease based on a probable tick bite but were seronegative by currently available validated tests and presented with subjective symptoms. This condition is often labelled chronic Lyme disease. These patients have a different disease from Lyme disease and therefore an alternative name, chronic arthropod-borne neuropathy (CAN), and case definition for this condition is proposed. We suggest that this chronic condition needs to be distinguished from Lyme disease, as calling the chronic illness 'Lyme disease' causes confusion to patients and physicians. We recommend research initiatives to investigate the aetiology, diagnosis and therapy of CAN.","author":[{"dropping-particle":"","family":"Dryden","given":"M S","non-dropping-particle":"","parse-names":false,"suffix":""},{"dropping-particle":"","family":"Saeed","given":"K","non-dropping-particle":"","parse-names":false,"suffix":""},{"dropping-particle":"","family":"Ogborn","given":"S","non-dropping-particle":"","parse-names":false,"suffix":""},{"dropping-particle":"","family":"Swales","given":"P","non-dropping-particle":"","parse-names":false,"suffix":""}],"container-title":"Epidemiology and infection","id":"ITEM-2","issued":{"date-parts":[["2014"]]},"page":"1-12","title":"Lyme borreliosis in southern United Kingdom and a case for a new syndrome, chronic arthropod-borne neuropathy.","type":"article-journal"},"uris":["http://www.mendeley.com/documents/?uuid=e3ffb15b-17c4-4c18-9653-edcd4060dc77"]}],"mendeley":{"formattedCitation":"(10,11)","plainTextFormattedCitation":"(10,11)","previouslyFormattedCitation":"(10,11)"},"properties":{"noteIndex":0},"schema":"https://github.com/citation-style-language/schema/raw/master/csl-citation.json"}</w:instrText>
      </w:r>
      <w:r>
        <w:fldChar w:fldCharType="separate"/>
      </w:r>
      <w:r w:rsidR="003E3EEF" w:rsidRPr="003E3EEF">
        <w:rPr>
          <w:noProof/>
        </w:rPr>
        <w:t>(10,11)</w:t>
      </w:r>
      <w:r>
        <w:fldChar w:fldCharType="end"/>
      </w:r>
      <w:r>
        <w:t xml:space="preserve">, specialist referral centres </w:t>
      </w:r>
      <w:r>
        <w:fldChar w:fldCharType="begin" w:fldLock="1"/>
      </w:r>
      <w:r w:rsidR="003E3EEF">
        <w:instrText>ADDIN CSL_CITATION {"citationItems":[{"id":"ITEM-1","itemData":{"author":[{"dropping-particle":"","family":"Marcu","given":"Afrodita","non-dropping-particle":"","parse-names":false,"suffix":""},{"dropping-particle":"","family":"Barnett","given":"Julie","non-dropping-particle":"","parse-names":false,"suffix":""},{"dropping-particle":"","family":"Uzzell","given":"David","non-dropping-particle":"","parse-names":false,"suffix":""},{"dropping-particle":"","family":"Vasileiou","given":"Konstantina","non-dropping-particle":"","parse-names":false,"suffix":""},{"dropping-particle":"","family":"Connell","given":"Susan O","non-dropping-particle":"","parse-names":false,"suffix":""}],"id":"ITEM-1","issued":{"date-parts":[["2013"]]},"title":"Experience of Lyme disease and preferences for precautions : a cross-sectional survey of UK patients","type":"article-journal"},"uris":["http://www.mendeley.com/documents/?uuid=af279865-9e94-4e97-9748-237439479a61"]},{"id":"ITEM-2","itemData":{"DOI":"10.7861/clinmedicine.10-5-454","ISSN":"1470-2118","PMID":"21117376","abstract":"Lyme disease is rare in the U.K. but there is evidence of an increase in both prevalence of, and patient concern about, the infection. There are no published data characterising Lyme disease as it is seen in the U.K. The clinical and laboratory features of 65 patients diagnosed with the disease between 2002 and 2007 were recorded and their clinical presentation and response to treatment documented. In total, 34% of patients acquired the infection in the UK, 20% in North America and 46% in Europe. Exposure to ticks was reported by 58% of patients. Erythema migrans was seen in 91%, systemic upset in 62%, headaches in 31%, arthralgia or arthritis in 28%, radiculitis in 11% and cranial nerve palsies in 4.6%. Screening enzyme immunoassay tests were negative in 39% and reference laboratory immunoblots were negative in 31% of patients, principally those with early infection. The majority of patients were cured with one course of antibiotic treatment, three patients had evidence of persistent infection after treatment and two required intravenous therapy. No cases of chronic Lyme disease were seen.","author":[{"dropping-particle":"","family":"Dillon","given":"R.","non-dropping-particle":"","parse-names":false,"suffix":""},{"dropping-particle":"","family":"O'Connell","given":"S.","non-dropping-particle":"","parse-names":false,"suffix":""},{"dropping-particle":"","family":"Wright","given":"S.","non-dropping-particle":"","parse-names":false,"suffix":""}],"container-title":"Clinical Medicine","id":"ITEM-2","issue":"5","issued":{"date-parts":[["2010"]]},"page":"454-457","title":"Lyme disease in the UK: clinical and laboratory features and response to treatment","type":"article-journal","volume":"10"},"uris":["http://www.mendeley.com/documents/?uuid=615d5482-8058-44d3-831f-1bd7a9bf0948"]},{"id":"ITEM-3","itemData":{"DOI":"10.1093/qjmed/hcs003","ISSN":"1460-2393","PMID":"22301822","abstract":"BACKGROUND: Concerns about over-diagnosis and inappropriate management of Lyme disease (LD) are well documented in North America and supported by clinical data. There are few parallel data on the situation in the UK.\\n\\nAIM: To describe the patterns of referral, investigation, diagnosis and treatment of patients with suspected LD referred to an infectious disease unit in Liverpool, UK. Previous management by National Health Service (NHS) and non-NHS practitioners was reviewed.\\n\\nDESIGN: Descriptive study conducted by retrospective casenotes review.\\n\\nMETHODS: Retrospective casenotes review of adults referred with possible LD to an infectious disease unit in Liverpool, UK, over 5 years (2006-2010).\\n\\nRESULTS: Of 115 patients, 27 (23%) were diagnosed with LD, 38 (33%) with chronic fatigue syndrome (CFS) and 13 (11%) with other medical conditions. No specific diagnosis could be made in 38 (33%). At least 53 unnecessary antibiotic courses had been given by non-NHS practitioners; 21 unnecessary courses had been prescribed by NHS practitioners. Among 38 patients, 17 (45%) with CFS had been misdiagnosed as having LD by non-NHS practitioners.\\n\\nCONCLUSION: A minority of referred patients had LD, while a third had CFS. LD is over-diagnosed by non-specialists, reflecting the complexities of clinical and/or laboratory diagnosis. Patients with CFS were susceptible to misdiagnosis in non-NHS settings, reinforcing concerns about missed opportunities for appropriate treatment for this group and about the use of inappropriate diagnostic modalities and anti-microbials in non-NHS settings.","author":[{"dropping-particle":"","family":"Cottle","given":"L E","non-dropping-particle":"","parse-names":false,"suffix":""},{"dropping-particle":"","family":"Mekonnen","given":"E","non-dropping-particle":"","parse-names":false,"suffix":""},{"dropping-particle":"","family":"Beadsworth","given":"M B J","non-dropping-particle":"","parse-names":false,"suffix":""},{"dropping-particle":"","family":"Miller","given":"a R O","non-dropping-particle":"","parse-names":false,"suffix":""},{"dropping-particle":"","family":"Beeching","given":"N J","non-dropping-particle":"","parse-names":false,"suffix":""}],"container-title":"QJM : monthly journal of the Association of Physicians","id":"ITEM-3","issue":"6","issued":{"date-parts":[["2012"]]},"note":"Total 115 Patients\n\n27 -Disease, 11 already NHS treated, 15 now got treatment, 1 get treatment abroad\n\n38 - CFS - 1 adequate LD treatment by NHS, 5 suspected LD by NHS, 17 non NHS diagnosis of Lyme(13 of these had recieved treatment)\n\n38 -No diagnosis. 7 LD treatment in NHS setting, 4 treatment in non NHS, 3 overseas LD treatment\n\n13- Non lyme, non-cfs. 6 LD treatment by NHS","page":"537-43","title":"Lyme disease in a British referral clinic.","type":"article-journal","volume":"105"},"uris":["http://www.mendeley.com/documents/?uuid=a6b738f7-6472-45fd-97cb-ed4f06df07ba"]}],"mendeley":{"formattedCitation":"(12–14)","plainTextFormattedCitation":"(12–14)","previouslyFormattedCitation":"(12–14)"},"properties":{"noteIndex":0},"schema":"https://github.com/citation-style-language/schema/raw/master/csl-citation.json"}</w:instrText>
      </w:r>
      <w:r>
        <w:fldChar w:fldCharType="separate"/>
      </w:r>
      <w:r w:rsidR="003E3EEF" w:rsidRPr="003E3EEF">
        <w:rPr>
          <w:noProof/>
        </w:rPr>
        <w:t>(12–14)</w:t>
      </w:r>
      <w:r>
        <w:fldChar w:fldCharType="end"/>
      </w:r>
      <w:r>
        <w:t xml:space="preserve">, or one clinical presentation </w:t>
      </w:r>
      <w:r>
        <w:fldChar w:fldCharType="begin" w:fldLock="1"/>
      </w:r>
      <w:r w:rsidR="003E3EEF">
        <w:instrText>ADDIN CSL_CITATION {"citationItems":[{"id":"ITEM-1","itemData":{"author":[{"dropping-particle":"","family":"Cooper","given":"Lilli","non-dropping-particle":"","parse-names":false,"suffix":""},{"dropping-particle":"","family":"Branagan-harris","given":"Michael","non-dropping-particle":"","parse-names":false,"suffix":""},{"dropping-particle":"","family":"Tuson","given":"Richard","non-dropping-particle":"","parse-names":false,"suffix":""},{"dropping-particle":"","family":"Nduka","given":"Charles","non-dropping-particle":"","parse-names":false,"suffix":""}],"id":"ITEM-1","issue":"May","issued":{"date-parts":[["2017"]]},"title":"Lyme disease and Bell ’ s palsy :","type":"article-journal"},"uris":["http://www.mendeley.com/documents/?uuid=bf47929b-a6e2-413e-a446-7bdf56b4ce3d"]}],"mendeley":{"formattedCitation":"(15)","plainTextFormattedCitation":"(15)","previouslyFormattedCitation":"(15)"},"properties":{"noteIndex":0},"schema":"https://github.com/citation-style-language/schema/raw/master/csl-citation.json"}</w:instrText>
      </w:r>
      <w:r>
        <w:fldChar w:fldCharType="separate"/>
      </w:r>
      <w:r w:rsidR="003E3EEF" w:rsidRPr="003E3EEF">
        <w:rPr>
          <w:noProof/>
        </w:rPr>
        <w:t>(15)</w:t>
      </w:r>
      <w:r>
        <w:fldChar w:fldCharType="end"/>
      </w:r>
      <w:r>
        <w:t xml:space="preserve">. </w:t>
      </w:r>
    </w:p>
    <w:p w:rsidR="00C55D03" w:rsidRDefault="00C55D03" w:rsidP="00C55D03">
      <w:pPr>
        <w:spacing w:line="480" w:lineRule="auto"/>
      </w:pPr>
      <w:r>
        <w:lastRenderedPageBreak/>
        <w:t xml:space="preserve">Since 1989 Hospital Episode Statistics (HES) have recorded every ‘episode’ of admitted patient care (APC) delivered in National Health Service (NHS) hospitals in England </w:t>
      </w:r>
      <w:r>
        <w:fldChar w:fldCharType="begin" w:fldLock="1"/>
      </w:r>
      <w:r w:rsidR="003E3EEF">
        <w:instrText>ADDIN CSL_CITATION {"citationItems":[{"id":"ITEM-1","itemData":{"URL":"http://content.digital.nhs.uk/hes","author":[{"dropping-particle":"","family":"NHS","given":"","non-dropping-particle":"","parse-names":false,"suffix":""}],"id":"ITEM-1","issued":{"date-parts":[["0"]]},"note":"NULL","title":"NHS Digital - Hospital Episode Statistics","type":"webpage"},"uris":["http://www.mendeley.com/documents/?uuid=8bbfbabd-dd48-4252-8983-6eedc1f49930"]}],"mendeley":{"formattedCitation":"(16)","plainTextFormattedCitation":"(16)","previouslyFormattedCitation":"(16)"},"properties":{"noteIndex":0},"schema":"https://github.com/citation-style-language/schema/raw/master/csl-citation.json"}</w:instrText>
      </w:r>
      <w:r>
        <w:fldChar w:fldCharType="separate"/>
      </w:r>
      <w:r w:rsidR="003E3EEF" w:rsidRPr="003E3EEF">
        <w:rPr>
          <w:noProof/>
        </w:rPr>
        <w:t>(16)</w:t>
      </w:r>
      <w:r>
        <w:fldChar w:fldCharType="end"/>
      </w:r>
      <w:r>
        <w:t>. Outpatient attendance (OA) and accident and emergency departments (A&amp;E) datasets were added in 2003 and 2007</w:t>
      </w:r>
      <w:bookmarkStart w:id="1" w:name="OLE_LINK1"/>
      <w:bookmarkStart w:id="2" w:name="OLE_LINK2"/>
      <w:r>
        <w:t>. Patient Episode Database for Wales (PEDW</w:t>
      </w:r>
      <w:bookmarkEnd w:id="1"/>
      <w:bookmarkEnd w:id="2"/>
      <w:r>
        <w:t xml:space="preserve">) is a central administrative database that collects admissions data from NHS hospitals in Wales </w:t>
      </w:r>
      <w:r>
        <w:fldChar w:fldCharType="begin" w:fldLock="1"/>
      </w:r>
      <w:r w:rsidR="003E3EEF">
        <w:instrText>ADDIN CSL_CITATION {"citationItems":[{"id":"ITEM-1","itemData":{"URL":"http://www.wales.nhs.uk/sitesplus/922/page/50308","author":[{"dropping-particle":"","family":"Observatory","given":"NHS Wales Public Health Wales","non-dropping-particle":"","parse-names":false,"suffix":""}],"id":"ITEM-1","issued":{"date-parts":[["0"]]},"note":"NULL","title":"Patient Episode Database for Wales (PEDW)","type":"webpage"},"uris":["http://www.mendeley.com/documents/?uuid=ed302e7f-f802-4d8a-b2ed-595723cbd0f2"]},{"id":"ITEM-2","itemData":{"author":[{"dropping-particle":"","family":"Service","given":"NHS Wales Informatics","non-dropping-particle":"","parse-names":false,"suffix":""}],"id":"ITEM-2","issued":{"date-parts":[["2015"]]},"title":"Information and Statistics","type":"article-journal"},"uris":["http://www.mendeley.com/documents/?uuid=016796b1-1723-4b4a-84a4-e94b1b3b389a"]}],"mendeley":{"formattedCitation":"(17,18)","plainTextFormattedCitation":"(17,18)","previouslyFormattedCitation":"(17,18)"},"properties":{"noteIndex":0},"schema":"https://github.com/citation-style-language/schema/raw/master/csl-citation.json"}</w:instrText>
      </w:r>
      <w:r>
        <w:fldChar w:fldCharType="separate"/>
      </w:r>
      <w:r w:rsidR="003E3EEF" w:rsidRPr="003E3EEF">
        <w:rPr>
          <w:noProof/>
        </w:rPr>
        <w:t>(17,18)</w:t>
      </w:r>
      <w:r>
        <w:fldChar w:fldCharType="end"/>
      </w:r>
      <w:r>
        <w:t xml:space="preserve">.  The primary use of these data is the calculation of health care costs and therefore mainly administrative data is collated. There is now an increasing body of medical research using the HES and PEDW databases; nevertheless, a recent systematic review highlighted that only seventeen out of 148 HES publications were related to the epidemiology of a specific disease </w:t>
      </w:r>
      <w:r>
        <w:fldChar w:fldCharType="begin" w:fldLock="1"/>
      </w:r>
      <w:r w:rsidR="003E3EEF">
        <w:instrText>ADDIN CSL_CITATION {"citationItems":[{"id":"ITEM-1","itemData":{"DOI":"10.1093/eurpub/cks046","ISBN":"1101-1262","ISSN":"11011262","PMID":"22577123","abstract":"BACKGROUND: Studies using English administrative data from the Hospital Episode Statistics (HES) are increasingly used for the assessment of health-care quality. This study aims to catalogue the published body of studies using HES data to assess health-care outcomes, to assess their methodological qualities and to determine if reporting recommendations can be formulated.\\n\\nMETHODS: Systematic searches of the EMBASE, Medline and Cochrane databases were performed using defined search terms. Included studies were those that described the use of HES data extracts to assess health-care outcomes.\\n\\nRESULTS: A total of 148 studies were included. The majority of published studies were on surgical specialties (60.8%), and the most common analytic theme was of inequalities and variations in treatment or outcome (27%). The volume of published studies has increased with time (r = 0.82, P &lt; 0.0001), as has the length of study period (r = 0.76, P &lt; 0.001) and the number of outcomes assessed per study (r = 0.72, P = 0.0023). Age (80%) and gender (57.4%) were the most commonly used factors in risk adjustment, and regression modelling was used most commonly (65.2%) to adjust for confounders. Generic methodologic data were better reported than those specific to HES data extraction. For the majority of parameters, there were no improvements with time.\\n\\nCONCLUSIONS: Studies published using HES data to report health-care outcomes have increased in volume, scope and complexity with time. However, persisting deficiencies related to both generic and context-specific reporting have been identified. Recommendations have been made to improve these aspects as it is likely that the role of these studies in assessing health care, benchmarking practice and planning service delivery will continue to increase.","author":[{"dropping-particle":"","family":"Sinha","given":"Sidhartha","non-dropping-particle":"","parse-names":false,"suffix":""},{"dropping-particle":"","family":"Peach","given":"George","non-dropping-particle":"","parse-names":false,"suffix":""},{"dropping-particle":"","family":"Poloniecki","given":"Jan D.","non-dropping-particle":"","parse-names":false,"suffix":""},{"dropping-particle":"","family":"Thompson","given":"Matt M.","non-dropping-particle":"","parse-names":false,"suffix":""},{"dropping-particle":"","family":"Holt","given":"Peter J.","non-dropping-particle":"","parse-names":false,"suffix":""}],"container-title":"European Journal of Public Health","id":"ITEM-1","issue":"1","issued":{"date-parts":[["2013"]]},"page":"86-92","title":"Studies using english administrative data (hospital episode statistics) to assess health-care outcomes-systematic review and recommendations for reporting","type":"article-journal","volume":"23"},"uris":["http://www.mendeley.com/documents/?uuid=300746c8-5f55-4658-8b0b-d06c7270eb31"]}],"mendeley":{"formattedCitation":"(19)","plainTextFormattedCitation":"(19)","previouslyFormattedCitation":"(19)"},"properties":{"noteIndex":0},"schema":"https://github.com/citation-style-language/schema/raw/master/csl-citation.json"}</w:instrText>
      </w:r>
      <w:r>
        <w:fldChar w:fldCharType="separate"/>
      </w:r>
      <w:r w:rsidR="003E3EEF" w:rsidRPr="003E3EEF">
        <w:rPr>
          <w:noProof/>
        </w:rPr>
        <w:t>(19)</w:t>
      </w:r>
      <w:r>
        <w:fldChar w:fldCharType="end"/>
      </w:r>
      <w:r>
        <w:t xml:space="preserve">. </w:t>
      </w:r>
    </w:p>
    <w:p w:rsidR="00C55D03" w:rsidRPr="00102F9E" w:rsidRDefault="00C55D03" w:rsidP="00C55D03">
      <w:pPr>
        <w:spacing w:line="480" w:lineRule="auto"/>
      </w:pPr>
      <w:r>
        <w:t xml:space="preserve">The aim of this study was to perform a retrospective analysis of HES and PEDW records to describe the incidence and demographics of Lyme disease patients in a hospital setting, and to describe their patient pathways through the NHS. </w:t>
      </w:r>
    </w:p>
    <w:p w:rsidR="00C55D03" w:rsidRDefault="00C55D03" w:rsidP="00C55D03">
      <w:pPr>
        <w:spacing w:line="480" w:lineRule="auto"/>
        <w:rPr>
          <w:b/>
        </w:rPr>
      </w:pPr>
      <w:r w:rsidRPr="00015E8C">
        <w:rPr>
          <w:b/>
        </w:rPr>
        <w:t>Methods</w:t>
      </w:r>
    </w:p>
    <w:p w:rsidR="00C55D03" w:rsidRDefault="00C55D03" w:rsidP="00C55D03">
      <w:pPr>
        <w:spacing w:line="480" w:lineRule="auto"/>
      </w:pPr>
      <w:r>
        <w:t>We performed a retrospective search of both HES (including all datasets of APC, OA and A&amp;E) and PEDW databases to identify patients coded with Lyme disease. A case was defined as a patient with a Lyme disease diagnostic code drawn from the International Statistical Classification of Diseases and Related Health Problems 10</w:t>
      </w:r>
      <w:r w:rsidRPr="00405A57">
        <w:rPr>
          <w:vertAlign w:val="superscript"/>
        </w:rPr>
        <w:t>th</w:t>
      </w:r>
      <w:r>
        <w:t xml:space="preserve"> Revision (ICD-10) (Table 1)</w:t>
      </w:r>
      <w:r>
        <w:fldChar w:fldCharType="begin" w:fldLock="1"/>
      </w:r>
      <w:r w:rsidR="003E3EEF">
        <w:instrText>ADDIN CSL_CITATION {"citationItems":[{"id":"ITEM-1","itemData":{"ISSN":"688","abstract":"Evidence-based guidelines for the management of patients with Lyme disease, human granulocytic anaplasmosis (formerly known as human granulocytic ehrlichiosis), and babesiosis were prepared by an expert panel of the Infectious Diseases Society of America. These updated guidelines replace the previous treatment guidelines published in 2000 (Clin Infect Dis 2000; 31[Suppl 1]:1-14). The guidelines are intended for use by health care providers who care for patients who either have these infections or may be at risk for them. For each of these Ixodes tickborne infections, information is provided about prevention, epidemiology, clinical manifestations, diagnosis, and treatment. Tables list the doses and durations of antimicrobial therapy recommended for treatment and prevention of Lyme disease and provide a partial list of therapies to be avoided. A definition of post-Lyme disease syndrome is proposed","author":[{"dropping-particle":"","family":"Wormser","given":"Gary-P","non-dropping-particle":"","parse-names":false,"suffix":""},{"dropping-particle":"","family":"Dattwyler","given":"Raymond-J","non-dropping-particle":"","parse-names":false,"suffix":""},{"dropping-particle":"","family":"Shapiro","given":"Eugene-D","non-dropping-particle":"","parse-names":false,"suffix":""},{"dropping-particle":"","family":"Halperin","given":"John-J","non-dropping-particle":"","parse-names":false,"suffix":""},{"dropping-particle":"","family":"Steere","given":"Allen-C","non-dropping-particle":"","parse-names":false,"suffix":""},{"dropping-particle":"","family":"Klempner","given":"Mark-S","non-dropping-particle":"","parse-names":false,"suffix":""},{"dropping-particle":"","family":"Krause","given":"Peter-J","non-dropping-particle":"","parse-names":false,"suffix":""},{"dropping-particle":"","family":"Bakken","given":"Johan-S","non-dropping-particle":"","parse-names":false,"suffix":""},{"dropping-particle":"","family":"Strle","given":"Franc","non-dropping-particle":"","parse-names":false,"suffix":""},{"dropping-particle":"","family":"Stanek","given":"Gerold","non-dropping-particle":"","parse-names":false,"suffix":""},{"dropping-particle":"","family":"Bockenstedt","given":"Linda","non-dropping-particle":"","parse-names":false,"suffix":""},{"dropping-particle":"","family":"Fish","given":"Durland","non-dropping-particle":"","parse-names":false,"suffix":""},{"dropping-particle":"","family":"Stephen Dumler","given":"J.","non-dropping-particle":"","parse-names":false,"suffix":""},{"dropping-particle":"","family":"Nadelman","given":"Robert-B","non-dropping-particle":"","parse-names":false,"suffix":""}],"container-title":"Clinical Infectious Diseases","id":"ITEM-1","issue":"9","issued":{"date-parts":[["2006"]]},"note":"IDSA guidlines. Currently being updated.","page":"1089-1134","title":"The Clinical Assessment, Treatment, and Prevention of Lyme Disease, Human Granulocytic Anaplasmosis, and Babesiosis: Clinical Practice Guidelines by the Infectious Diseases Society of America","type":"article-journal","volume":"43"},"uris":["http://www.mendeley.com/documents/?uuid=3e9e1bc4-14f3-436c-b0d2-27b47cec0bfe"]},{"id":"ITEM-2","itemData":{"DOI":"10.1111/j.1469-0691.2010.03175.x","ISBN":"9076906890","ISSN":"1469-0691","PMID":"20132258","abstract":"Lyme borreliosis, caused by spirochaetes of the Borrelia burgdorferi genospecies complex, is the most commonly reported tick-borne infection in Europe and North America. The non-specific nature of many of its clinical manifestations presents a diagnostic challenge and concise case definitions are essential for its satisfactory management. Lyme borreliosis is very similar in Europe and North America but the greater variety of genospecies in Europe leads to some important differences in clinical presentation. These new case definitions for European Lyme borreliosis emphasise recognition of clinical manifestations supported by relevant laboratory criteria and may be used in a clinical setting and also for epidemiological investigations.","author":[{"dropping-particle":"","family":"Stanek","given":"G","non-dropping-particle":"","parse-names":false,"suffix":""},{"dropping-particle":"","family":"Fingerle","given":"V","non-dropping-particle":"","parse-names":false,"suffix":""},{"dropping-particle":"","family":"Hunfeld","given":"K-P","non-dropping-particle":"","parse-names":false,"suffix":""},{"dropping-particle":"","family":"Jaulhac","given":"B","non-dropping-particle":"","parse-names":false,"suffix":""},{"dropping-particle":"","family":"Kaiser","given":"R","non-dropping-particle":"","parse-names":false,"suffix":""},{"dropping-particle":"","family":"Krause","given":"a","non-dropping-particle":"","parse-names":false,"suffix":""},{"dropping-particle":"","family":"Kristoferitsch","given":"W","non-dropping-particle":"","parse-names":false,"suffix":""},{"dropping-particle":"","family":"O'Connell","given":"S","non-dropping-particle":"","parse-names":false,"suffix":""},{"dropping-particle":"","family":"Ornstein","given":"K","non-dropping-particle":"","parse-names":false,"suffix":""},{"dropping-particle":"","family":"Strle","given":"F","non-dropping-particle":"","parse-names":false,"suffix":""},{"dropping-particle":"","family":"Gray","given":"J","non-dropping-particle":"","parse-names":false,"suffix":""}],"container-title":"Clinical microbiology and infection : the official publication of the European Society of Clinical Microbiology and Infectious Diseases","id":"ITEM-2","issue":"1","issued":{"date-parts":[["2011"]]},"page":"69-79","title":"Lyme borreliosis: clinical case definitions for diagnosis and management in Europe.","type":"article-journal","volume":"17"},"uris":["http://www.mendeley.com/documents/?uuid=c77563ec-9634-4887-98f6-df87e713a0f2"]},{"id":"ITEM-3","itemData":{"DOI":"10.1016/j.jinf.2011.03.006","ISSN":"01634453","author":[{"dropping-particle":"","family":"British Infection Association","given":"","non-dropping-particle":"","parse-names":false,"suffix":""}],"container-title":"Journal of Infection","id":"ITEM-3","issue":"5","issued":{"date-parts":[["2011"]]},"page":"329-338","publisher":"Elsevier Ltd","title":"The epidemiology, prevention, investigation and treatment of Lyme borreliosis in United Kingdom patients: A position statement by the British Infection Association","type":"article-journal","volume":"62"},"uris":["http://www.mendeley.com/documents/?uuid=1031c539-4609-4adc-9558-6ac5cd05375a"]},{"id":"ITEM-4","itemData":{"URL":"http://apps.who.int/classifications/icd10/browse/2010/en","id":"ITEM-4","issued":{"date-parts":[["0"]]},"note":"NULL","title":"ICD-10 Version:2010","type":"webpage"},"uris":["http://www.mendeley.com/documents/?uuid=d2509161-f491-495e-8c6b-dc77e41620c0"]},{"id":"ITEM-5","itemData":{"URL":"https://www.nice.org.uk/guidance/ng95","accessed":{"date-parts":[["2017","10","23"]]},"author":[{"dropping-particle":"","family":"National Institute for Health and Care Excellence","given":"","non-dropping-particle":"","parse-names":false,"suffix":""}],"id":"ITEM-5","issued":{"date-parts":[["2018"]]},"title":"Lyme disease NICE guideline [NG95]","type":"webpage"},"uris":["http://www.mendeley.com/documents/?uuid=3c60817c-61d3-46a6-b42a-4baa11776ecd"]}],"mendeley":{"formattedCitation":"(5,7–9,20)","plainTextFormattedCitation":"(5,7–9,20)","previouslyFormattedCitation":"(5,7–9,20)"},"properties":{"noteIndex":0},"schema":"https://github.com/citation-style-language/schema/raw/master/csl-citation.json"}</w:instrText>
      </w:r>
      <w:r>
        <w:fldChar w:fldCharType="separate"/>
      </w:r>
      <w:r w:rsidR="003E3EEF" w:rsidRPr="003E3EEF">
        <w:rPr>
          <w:noProof/>
        </w:rPr>
        <w:t>(5,7–9,20)</w:t>
      </w:r>
      <w:r>
        <w:fldChar w:fldCharType="end"/>
      </w:r>
      <w:r>
        <w:t xml:space="preserve">. </w:t>
      </w:r>
    </w:p>
    <w:p w:rsidR="00481CF7" w:rsidRDefault="00481CF7" w:rsidP="00481CF7">
      <w:pPr>
        <w:jc w:val="both"/>
      </w:pPr>
      <w:r>
        <w:t>Table 1.  Lyme disease ICD-10</w:t>
      </w:r>
      <w:r w:rsidRPr="00102F9E">
        <w:t xml:space="preserve"> codes</w:t>
      </w:r>
      <w:r>
        <w:t xml:space="preserve"> used to query hospital administrative data</w:t>
      </w:r>
    </w:p>
    <w:tbl>
      <w:tblPr>
        <w:tblStyle w:val="TableGrid"/>
        <w:tblW w:w="0" w:type="auto"/>
        <w:tblLook w:val="04A0" w:firstRow="1" w:lastRow="0" w:firstColumn="1" w:lastColumn="0" w:noHBand="0" w:noVBand="1"/>
      </w:tblPr>
      <w:tblGrid>
        <w:gridCol w:w="1443"/>
        <w:gridCol w:w="3575"/>
      </w:tblGrid>
      <w:tr w:rsidR="00481CF7" w:rsidTr="002A075D">
        <w:tc>
          <w:tcPr>
            <w:tcW w:w="1443" w:type="dxa"/>
          </w:tcPr>
          <w:p w:rsidR="00481CF7" w:rsidRPr="0077194E" w:rsidRDefault="00481CF7" w:rsidP="00834CF8">
            <w:pPr>
              <w:jc w:val="both"/>
              <w:rPr>
                <w:b/>
                <w:sz w:val="18"/>
                <w:szCs w:val="18"/>
              </w:rPr>
            </w:pPr>
            <w:r w:rsidRPr="0077194E">
              <w:rPr>
                <w:b/>
                <w:sz w:val="18"/>
                <w:szCs w:val="18"/>
              </w:rPr>
              <w:t>ICD-10 Code</w:t>
            </w:r>
          </w:p>
        </w:tc>
        <w:tc>
          <w:tcPr>
            <w:tcW w:w="3575" w:type="dxa"/>
          </w:tcPr>
          <w:p w:rsidR="00481CF7" w:rsidRPr="0077194E" w:rsidRDefault="00481CF7" w:rsidP="00834CF8">
            <w:pPr>
              <w:jc w:val="both"/>
              <w:rPr>
                <w:b/>
                <w:sz w:val="18"/>
                <w:szCs w:val="18"/>
              </w:rPr>
            </w:pPr>
            <w:r w:rsidRPr="0077194E">
              <w:rPr>
                <w:b/>
                <w:sz w:val="18"/>
                <w:szCs w:val="18"/>
              </w:rPr>
              <w:t>Description</w:t>
            </w:r>
          </w:p>
        </w:tc>
      </w:tr>
      <w:tr w:rsidR="00481CF7" w:rsidTr="002A075D">
        <w:tc>
          <w:tcPr>
            <w:tcW w:w="1443" w:type="dxa"/>
          </w:tcPr>
          <w:p w:rsidR="00481CF7" w:rsidRPr="0077194E" w:rsidRDefault="00481CF7" w:rsidP="00834CF8">
            <w:pPr>
              <w:jc w:val="both"/>
              <w:rPr>
                <w:sz w:val="18"/>
                <w:szCs w:val="18"/>
              </w:rPr>
            </w:pPr>
            <w:r w:rsidRPr="0077194E">
              <w:rPr>
                <w:sz w:val="18"/>
                <w:szCs w:val="18"/>
              </w:rPr>
              <w:t>A69.2</w:t>
            </w:r>
          </w:p>
        </w:tc>
        <w:tc>
          <w:tcPr>
            <w:tcW w:w="3575" w:type="dxa"/>
          </w:tcPr>
          <w:p w:rsidR="00481CF7" w:rsidRPr="0077194E" w:rsidRDefault="00481CF7" w:rsidP="00834CF8">
            <w:pPr>
              <w:jc w:val="both"/>
              <w:rPr>
                <w:sz w:val="18"/>
                <w:szCs w:val="18"/>
              </w:rPr>
            </w:pPr>
            <w:r w:rsidRPr="0077194E">
              <w:rPr>
                <w:sz w:val="18"/>
                <w:szCs w:val="18"/>
              </w:rPr>
              <w:t>Lyme disease</w:t>
            </w:r>
          </w:p>
        </w:tc>
      </w:tr>
      <w:tr w:rsidR="00481CF7" w:rsidTr="002A075D">
        <w:tc>
          <w:tcPr>
            <w:tcW w:w="1443" w:type="dxa"/>
          </w:tcPr>
          <w:p w:rsidR="00481CF7" w:rsidRPr="0077194E" w:rsidRDefault="00481CF7" w:rsidP="00834CF8">
            <w:pPr>
              <w:jc w:val="both"/>
              <w:rPr>
                <w:sz w:val="18"/>
                <w:szCs w:val="18"/>
              </w:rPr>
            </w:pPr>
            <w:r w:rsidRPr="0077194E">
              <w:rPr>
                <w:sz w:val="18"/>
                <w:szCs w:val="18"/>
              </w:rPr>
              <w:t>M01.2</w:t>
            </w:r>
          </w:p>
        </w:tc>
        <w:tc>
          <w:tcPr>
            <w:tcW w:w="3575" w:type="dxa"/>
          </w:tcPr>
          <w:p w:rsidR="00481CF7" w:rsidRPr="0077194E" w:rsidRDefault="00481CF7" w:rsidP="00834CF8">
            <w:pPr>
              <w:jc w:val="both"/>
              <w:rPr>
                <w:sz w:val="18"/>
                <w:szCs w:val="18"/>
              </w:rPr>
            </w:pPr>
            <w:r w:rsidRPr="0077194E">
              <w:rPr>
                <w:sz w:val="18"/>
                <w:szCs w:val="18"/>
              </w:rPr>
              <w:t>Arthritis in Lyme disease</w:t>
            </w:r>
          </w:p>
        </w:tc>
      </w:tr>
      <w:tr w:rsidR="00481CF7" w:rsidTr="002A075D">
        <w:tc>
          <w:tcPr>
            <w:tcW w:w="1443" w:type="dxa"/>
          </w:tcPr>
          <w:p w:rsidR="00481CF7" w:rsidRPr="0077194E" w:rsidRDefault="00481CF7" w:rsidP="00834CF8">
            <w:pPr>
              <w:jc w:val="both"/>
              <w:rPr>
                <w:sz w:val="18"/>
                <w:szCs w:val="18"/>
              </w:rPr>
            </w:pPr>
            <w:r w:rsidRPr="0077194E">
              <w:rPr>
                <w:sz w:val="18"/>
                <w:szCs w:val="18"/>
              </w:rPr>
              <w:t>L90.4</w:t>
            </w:r>
          </w:p>
        </w:tc>
        <w:tc>
          <w:tcPr>
            <w:tcW w:w="3575" w:type="dxa"/>
          </w:tcPr>
          <w:p w:rsidR="00481CF7" w:rsidRPr="0077194E" w:rsidRDefault="00481CF7" w:rsidP="00834CF8">
            <w:pPr>
              <w:jc w:val="both"/>
              <w:rPr>
                <w:b/>
                <w:sz w:val="18"/>
                <w:szCs w:val="18"/>
              </w:rPr>
            </w:pPr>
            <w:r w:rsidRPr="0077194E">
              <w:rPr>
                <w:sz w:val="18"/>
                <w:szCs w:val="18"/>
              </w:rPr>
              <w:t xml:space="preserve">Acrodermatitis </w:t>
            </w:r>
            <w:proofErr w:type="spellStart"/>
            <w:r w:rsidRPr="0077194E">
              <w:rPr>
                <w:sz w:val="18"/>
                <w:szCs w:val="18"/>
              </w:rPr>
              <w:t>chronica</w:t>
            </w:r>
            <w:proofErr w:type="spellEnd"/>
            <w:r w:rsidRPr="0077194E">
              <w:rPr>
                <w:sz w:val="18"/>
                <w:szCs w:val="18"/>
              </w:rPr>
              <w:t xml:space="preserve"> </w:t>
            </w:r>
            <w:proofErr w:type="spellStart"/>
            <w:r w:rsidRPr="0077194E">
              <w:rPr>
                <w:sz w:val="18"/>
                <w:szCs w:val="18"/>
              </w:rPr>
              <w:t>atrophicans</w:t>
            </w:r>
            <w:proofErr w:type="spellEnd"/>
          </w:p>
        </w:tc>
      </w:tr>
    </w:tbl>
    <w:p w:rsidR="00481CF7" w:rsidRDefault="00481CF7" w:rsidP="00C55D03">
      <w:pPr>
        <w:spacing w:line="480" w:lineRule="auto"/>
      </w:pPr>
    </w:p>
    <w:p w:rsidR="00481CF7" w:rsidRDefault="00675754" w:rsidP="00C55D03">
      <w:pPr>
        <w:spacing w:line="480" w:lineRule="auto"/>
      </w:pPr>
      <w:bookmarkStart w:id="3" w:name="_Hlk9518398"/>
      <w:r w:rsidRPr="00F31BFB">
        <w:t>ICD-10 codes have been used in NHS hospitals since 1995. Therefore, all the hospitals in this study used this coding system throughout the study period</w:t>
      </w:r>
      <w:bookmarkEnd w:id="3"/>
      <w:r>
        <w:t>.</w:t>
      </w:r>
      <w:r w:rsidR="00C55D03">
        <w:t xml:space="preserve"> </w:t>
      </w:r>
      <w:r w:rsidR="004A0C40">
        <w:t xml:space="preserve">A </w:t>
      </w:r>
      <w:r w:rsidR="00C55D03">
        <w:t xml:space="preserve">list of variables for each dataset within HES </w:t>
      </w:r>
      <w:r w:rsidR="00C55D03">
        <w:lastRenderedPageBreak/>
        <w:t xml:space="preserve">and PEDW was constructed. These variables could be split into three categories; patient demographics, patient geography, and patient management (Table 2). </w:t>
      </w:r>
    </w:p>
    <w:p w:rsidR="00481CF7" w:rsidRPr="00730995" w:rsidRDefault="00481CF7" w:rsidP="00481CF7">
      <w:pPr>
        <w:jc w:val="both"/>
      </w:pPr>
      <w:r>
        <w:t>Table 2.</w:t>
      </w:r>
      <w:r w:rsidRPr="00730995">
        <w:t xml:space="preserve"> Variables queried of Lyme </w:t>
      </w:r>
      <w:r>
        <w:t>disease</w:t>
      </w:r>
      <w:r w:rsidRPr="00730995">
        <w:t xml:space="preserve"> coded patients in hospital administrative data</w:t>
      </w:r>
    </w:p>
    <w:tbl>
      <w:tblPr>
        <w:tblStyle w:val="TableGrid"/>
        <w:tblW w:w="0" w:type="auto"/>
        <w:tblLook w:val="04A0" w:firstRow="1" w:lastRow="0" w:firstColumn="1" w:lastColumn="0" w:noHBand="0" w:noVBand="1"/>
      </w:tblPr>
      <w:tblGrid>
        <w:gridCol w:w="2660"/>
        <w:gridCol w:w="2693"/>
        <w:gridCol w:w="3119"/>
      </w:tblGrid>
      <w:tr w:rsidR="00481CF7" w:rsidTr="002A075D">
        <w:tc>
          <w:tcPr>
            <w:tcW w:w="2660" w:type="dxa"/>
          </w:tcPr>
          <w:p w:rsidR="00481CF7" w:rsidRPr="0077194E" w:rsidRDefault="00481CF7" w:rsidP="00834CF8">
            <w:pPr>
              <w:jc w:val="both"/>
              <w:rPr>
                <w:b/>
                <w:sz w:val="18"/>
                <w:szCs w:val="18"/>
              </w:rPr>
            </w:pPr>
            <w:r w:rsidRPr="0077194E">
              <w:rPr>
                <w:b/>
                <w:sz w:val="18"/>
                <w:szCs w:val="18"/>
              </w:rPr>
              <w:t>Hospital Episode Statistic variable codes</w:t>
            </w:r>
          </w:p>
        </w:tc>
        <w:tc>
          <w:tcPr>
            <w:tcW w:w="2693" w:type="dxa"/>
          </w:tcPr>
          <w:p w:rsidR="00481CF7" w:rsidRPr="0077194E" w:rsidRDefault="00481CF7" w:rsidP="00834CF8">
            <w:pPr>
              <w:jc w:val="both"/>
              <w:rPr>
                <w:b/>
                <w:sz w:val="18"/>
                <w:szCs w:val="18"/>
              </w:rPr>
            </w:pPr>
            <w:r w:rsidRPr="0077194E">
              <w:rPr>
                <w:b/>
                <w:sz w:val="18"/>
                <w:szCs w:val="18"/>
              </w:rPr>
              <w:t>Patient Episode Database for Wales variable codes</w:t>
            </w:r>
          </w:p>
        </w:tc>
        <w:tc>
          <w:tcPr>
            <w:tcW w:w="3119" w:type="dxa"/>
          </w:tcPr>
          <w:p w:rsidR="00481CF7" w:rsidRPr="0077194E" w:rsidRDefault="00481CF7" w:rsidP="00834CF8">
            <w:pPr>
              <w:jc w:val="both"/>
              <w:rPr>
                <w:b/>
                <w:sz w:val="18"/>
                <w:szCs w:val="18"/>
              </w:rPr>
            </w:pPr>
            <w:r w:rsidRPr="0077194E">
              <w:rPr>
                <w:b/>
                <w:sz w:val="18"/>
                <w:szCs w:val="18"/>
              </w:rPr>
              <w:t>Description</w:t>
            </w:r>
          </w:p>
        </w:tc>
      </w:tr>
      <w:tr w:rsidR="00481CF7" w:rsidTr="002A075D">
        <w:tc>
          <w:tcPr>
            <w:tcW w:w="2660" w:type="dxa"/>
          </w:tcPr>
          <w:p w:rsidR="00481CF7" w:rsidRPr="0077194E" w:rsidRDefault="00481CF7" w:rsidP="00834CF8">
            <w:pPr>
              <w:jc w:val="both"/>
              <w:rPr>
                <w:sz w:val="18"/>
                <w:szCs w:val="18"/>
              </w:rPr>
            </w:pPr>
            <w:r w:rsidRPr="0077194E">
              <w:rPr>
                <w:sz w:val="18"/>
                <w:szCs w:val="18"/>
              </w:rPr>
              <w:t>HESID</w:t>
            </w:r>
            <w:r w:rsidRPr="0077194E">
              <w:rPr>
                <w:sz w:val="18"/>
                <w:szCs w:val="18"/>
              </w:rPr>
              <w:tab/>
            </w:r>
          </w:p>
        </w:tc>
        <w:tc>
          <w:tcPr>
            <w:tcW w:w="2693" w:type="dxa"/>
          </w:tcPr>
          <w:p w:rsidR="00481CF7" w:rsidRPr="0077194E" w:rsidRDefault="00481CF7" w:rsidP="00834CF8">
            <w:pPr>
              <w:jc w:val="both"/>
              <w:rPr>
                <w:sz w:val="18"/>
                <w:szCs w:val="18"/>
              </w:rPr>
            </w:pPr>
            <w:r w:rsidRPr="0077194E">
              <w:rPr>
                <w:sz w:val="18"/>
                <w:szCs w:val="18"/>
              </w:rPr>
              <w:t>Patient ID</w:t>
            </w:r>
          </w:p>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 xml:space="preserve">Unique </w:t>
            </w:r>
            <w:proofErr w:type="spellStart"/>
            <w:r w:rsidRPr="0077194E">
              <w:rPr>
                <w:sz w:val="18"/>
                <w:szCs w:val="18"/>
              </w:rPr>
              <w:t>pseudoanonymised</w:t>
            </w:r>
            <w:proofErr w:type="spellEnd"/>
            <w:r w:rsidRPr="0077194E">
              <w:rPr>
                <w:sz w:val="18"/>
                <w:szCs w:val="18"/>
              </w:rPr>
              <w:t xml:space="preserve"> patient identifier</w:t>
            </w:r>
          </w:p>
        </w:tc>
      </w:tr>
      <w:tr w:rsidR="00481CF7" w:rsidTr="002A075D">
        <w:tc>
          <w:tcPr>
            <w:tcW w:w="2660" w:type="dxa"/>
          </w:tcPr>
          <w:p w:rsidR="00481CF7" w:rsidRPr="0077194E" w:rsidRDefault="00481CF7" w:rsidP="00834CF8">
            <w:pPr>
              <w:jc w:val="both"/>
              <w:rPr>
                <w:sz w:val="18"/>
                <w:szCs w:val="18"/>
              </w:rPr>
            </w:pPr>
            <w:r w:rsidRPr="0077194E">
              <w:rPr>
                <w:sz w:val="18"/>
                <w:szCs w:val="18"/>
              </w:rPr>
              <w:t>ADMIAGE</w:t>
            </w:r>
          </w:p>
        </w:tc>
        <w:tc>
          <w:tcPr>
            <w:tcW w:w="2693" w:type="dxa"/>
          </w:tcPr>
          <w:p w:rsidR="00481CF7" w:rsidRPr="0077194E" w:rsidRDefault="00481CF7" w:rsidP="00834CF8">
            <w:pPr>
              <w:jc w:val="both"/>
              <w:rPr>
                <w:sz w:val="18"/>
                <w:szCs w:val="18"/>
              </w:rPr>
            </w:pPr>
            <w:r w:rsidRPr="0077194E">
              <w:rPr>
                <w:sz w:val="18"/>
                <w:szCs w:val="18"/>
              </w:rPr>
              <w:t>Admitted Age</w:t>
            </w:r>
          </w:p>
        </w:tc>
        <w:tc>
          <w:tcPr>
            <w:tcW w:w="3119" w:type="dxa"/>
          </w:tcPr>
          <w:p w:rsidR="00481CF7" w:rsidRPr="0077194E" w:rsidRDefault="00481CF7" w:rsidP="00834CF8">
            <w:pPr>
              <w:jc w:val="both"/>
              <w:rPr>
                <w:sz w:val="18"/>
                <w:szCs w:val="18"/>
              </w:rPr>
            </w:pPr>
            <w:r w:rsidRPr="0077194E">
              <w:rPr>
                <w:sz w:val="18"/>
                <w:szCs w:val="18"/>
              </w:rPr>
              <w:t>Age on day of admission</w:t>
            </w:r>
          </w:p>
        </w:tc>
      </w:tr>
      <w:tr w:rsidR="00481CF7" w:rsidTr="002A075D">
        <w:tc>
          <w:tcPr>
            <w:tcW w:w="2660" w:type="dxa"/>
          </w:tcPr>
          <w:p w:rsidR="00481CF7" w:rsidRPr="0077194E" w:rsidRDefault="00481CF7" w:rsidP="00834CF8">
            <w:pPr>
              <w:jc w:val="both"/>
              <w:rPr>
                <w:sz w:val="18"/>
                <w:szCs w:val="18"/>
              </w:rPr>
            </w:pPr>
            <w:r w:rsidRPr="0077194E">
              <w:rPr>
                <w:sz w:val="18"/>
                <w:szCs w:val="18"/>
              </w:rPr>
              <w:t>ADMIDATE</w:t>
            </w:r>
          </w:p>
        </w:tc>
        <w:tc>
          <w:tcPr>
            <w:tcW w:w="2693" w:type="dxa"/>
          </w:tcPr>
          <w:p w:rsidR="00481CF7" w:rsidRPr="0077194E" w:rsidRDefault="00481CF7" w:rsidP="00834CF8">
            <w:pPr>
              <w:jc w:val="both"/>
              <w:rPr>
                <w:sz w:val="18"/>
                <w:szCs w:val="18"/>
              </w:rPr>
            </w:pPr>
            <w:r w:rsidRPr="0077194E">
              <w:rPr>
                <w:sz w:val="18"/>
                <w:szCs w:val="18"/>
              </w:rPr>
              <w:t>Date first admitted</w:t>
            </w:r>
          </w:p>
        </w:tc>
        <w:tc>
          <w:tcPr>
            <w:tcW w:w="3119" w:type="dxa"/>
          </w:tcPr>
          <w:p w:rsidR="00481CF7" w:rsidRPr="0077194E" w:rsidRDefault="00481CF7" w:rsidP="00834CF8">
            <w:pPr>
              <w:jc w:val="both"/>
              <w:rPr>
                <w:sz w:val="18"/>
                <w:szCs w:val="18"/>
              </w:rPr>
            </w:pPr>
            <w:r w:rsidRPr="0077194E">
              <w:rPr>
                <w:sz w:val="18"/>
                <w:szCs w:val="18"/>
              </w:rPr>
              <w:t>Date of admission</w:t>
            </w:r>
          </w:p>
        </w:tc>
      </w:tr>
      <w:tr w:rsidR="00481CF7" w:rsidTr="002A075D">
        <w:tc>
          <w:tcPr>
            <w:tcW w:w="2660" w:type="dxa"/>
          </w:tcPr>
          <w:p w:rsidR="00481CF7" w:rsidRPr="0077194E" w:rsidRDefault="00481CF7" w:rsidP="00834CF8">
            <w:pPr>
              <w:jc w:val="both"/>
              <w:rPr>
                <w:sz w:val="18"/>
                <w:szCs w:val="18"/>
              </w:rPr>
            </w:pPr>
            <w:r w:rsidRPr="0077194E">
              <w:rPr>
                <w:sz w:val="18"/>
                <w:szCs w:val="18"/>
              </w:rPr>
              <w:t>ADMISOURCE</w:t>
            </w:r>
          </w:p>
        </w:tc>
        <w:tc>
          <w:tcPr>
            <w:tcW w:w="2693" w:type="dxa"/>
          </w:tcPr>
          <w:p w:rsidR="00481CF7" w:rsidRPr="0077194E" w:rsidRDefault="00481CF7" w:rsidP="00834CF8">
            <w:pPr>
              <w:jc w:val="both"/>
              <w:rPr>
                <w:sz w:val="18"/>
                <w:szCs w:val="18"/>
              </w:rPr>
            </w:pPr>
            <w:r w:rsidRPr="0077194E">
              <w:rPr>
                <w:sz w:val="18"/>
                <w:szCs w:val="18"/>
              </w:rPr>
              <w:t>Admission Method</w:t>
            </w:r>
          </w:p>
        </w:tc>
        <w:tc>
          <w:tcPr>
            <w:tcW w:w="3119" w:type="dxa"/>
          </w:tcPr>
          <w:p w:rsidR="00481CF7" w:rsidRPr="0077194E" w:rsidRDefault="00481CF7" w:rsidP="00834CF8">
            <w:pPr>
              <w:jc w:val="both"/>
              <w:rPr>
                <w:sz w:val="18"/>
                <w:szCs w:val="18"/>
              </w:rPr>
            </w:pPr>
            <w:r w:rsidRPr="0077194E">
              <w:rPr>
                <w:sz w:val="18"/>
                <w:szCs w:val="18"/>
              </w:rPr>
              <w:t>Source of admission</w:t>
            </w:r>
          </w:p>
        </w:tc>
      </w:tr>
      <w:tr w:rsidR="00481CF7" w:rsidTr="002A075D">
        <w:tc>
          <w:tcPr>
            <w:tcW w:w="2660" w:type="dxa"/>
          </w:tcPr>
          <w:p w:rsidR="00481CF7" w:rsidRPr="0077194E" w:rsidRDefault="00481CF7" w:rsidP="00834CF8">
            <w:pPr>
              <w:jc w:val="both"/>
              <w:rPr>
                <w:sz w:val="18"/>
                <w:szCs w:val="18"/>
              </w:rPr>
            </w:pPr>
            <w:r w:rsidRPr="0077194E">
              <w:rPr>
                <w:sz w:val="18"/>
                <w:szCs w:val="18"/>
              </w:rPr>
              <w:t>AEARRIVALMODE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Accident and emergency source</w:t>
            </w:r>
          </w:p>
        </w:tc>
      </w:tr>
      <w:tr w:rsidR="00481CF7" w:rsidTr="002A075D">
        <w:tc>
          <w:tcPr>
            <w:tcW w:w="2660" w:type="dxa"/>
          </w:tcPr>
          <w:p w:rsidR="00481CF7" w:rsidRPr="0077194E" w:rsidRDefault="00481CF7" w:rsidP="00834CF8">
            <w:pPr>
              <w:jc w:val="both"/>
              <w:rPr>
                <w:sz w:val="18"/>
                <w:szCs w:val="18"/>
              </w:rPr>
            </w:pPr>
            <w:r w:rsidRPr="0077194E">
              <w:rPr>
                <w:sz w:val="18"/>
                <w:szCs w:val="18"/>
              </w:rPr>
              <w:t>AEATTENDDISP</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Accident and emergency discharge destination</w:t>
            </w:r>
          </w:p>
        </w:tc>
      </w:tr>
      <w:tr w:rsidR="00481CF7" w:rsidTr="002A075D">
        <w:tc>
          <w:tcPr>
            <w:tcW w:w="2660" w:type="dxa"/>
          </w:tcPr>
          <w:p w:rsidR="00481CF7" w:rsidRPr="0077194E" w:rsidRDefault="00481CF7" w:rsidP="00834CF8">
            <w:pPr>
              <w:jc w:val="both"/>
              <w:rPr>
                <w:sz w:val="18"/>
                <w:szCs w:val="18"/>
              </w:rPr>
            </w:pPr>
            <w:r w:rsidRPr="0077194E">
              <w:rPr>
                <w:sz w:val="18"/>
                <w:szCs w:val="18"/>
              </w:rPr>
              <w:t>APPTAGE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Age on day of appointment</w:t>
            </w:r>
          </w:p>
        </w:tc>
      </w:tr>
      <w:tr w:rsidR="00481CF7" w:rsidTr="002A075D">
        <w:tc>
          <w:tcPr>
            <w:tcW w:w="2660" w:type="dxa"/>
          </w:tcPr>
          <w:p w:rsidR="00481CF7" w:rsidRPr="0077194E" w:rsidRDefault="00481CF7" w:rsidP="00834CF8">
            <w:pPr>
              <w:jc w:val="both"/>
              <w:rPr>
                <w:sz w:val="18"/>
                <w:szCs w:val="18"/>
              </w:rPr>
            </w:pPr>
            <w:r w:rsidRPr="0077194E">
              <w:rPr>
                <w:sz w:val="18"/>
                <w:szCs w:val="18"/>
              </w:rPr>
              <w:t>APPTDATE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Appointment date</w:t>
            </w:r>
          </w:p>
        </w:tc>
      </w:tr>
      <w:tr w:rsidR="00481CF7" w:rsidTr="002A075D">
        <w:tc>
          <w:tcPr>
            <w:tcW w:w="2660" w:type="dxa"/>
          </w:tcPr>
          <w:p w:rsidR="00481CF7" w:rsidRPr="0077194E" w:rsidRDefault="00481CF7" w:rsidP="00834CF8">
            <w:pPr>
              <w:jc w:val="both"/>
              <w:rPr>
                <w:sz w:val="18"/>
                <w:szCs w:val="18"/>
              </w:rPr>
            </w:pPr>
            <w:r w:rsidRPr="0077194E">
              <w:rPr>
                <w:sz w:val="18"/>
                <w:szCs w:val="18"/>
              </w:rPr>
              <w:t>ARRIVALAGE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Age on arrival to accident and emergency</w:t>
            </w:r>
          </w:p>
        </w:tc>
      </w:tr>
      <w:tr w:rsidR="00481CF7" w:rsidTr="002A075D">
        <w:tc>
          <w:tcPr>
            <w:tcW w:w="2660" w:type="dxa"/>
          </w:tcPr>
          <w:p w:rsidR="00481CF7" w:rsidRPr="0077194E" w:rsidRDefault="00481CF7" w:rsidP="00834CF8">
            <w:pPr>
              <w:jc w:val="both"/>
              <w:rPr>
                <w:sz w:val="18"/>
                <w:szCs w:val="18"/>
              </w:rPr>
            </w:pPr>
            <w:r w:rsidRPr="0077194E">
              <w:rPr>
                <w:sz w:val="18"/>
                <w:szCs w:val="18"/>
              </w:rPr>
              <w:t>ARRIVALDATE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Date on arrival to accident and emergency</w:t>
            </w:r>
          </w:p>
        </w:tc>
      </w:tr>
      <w:tr w:rsidR="00481CF7" w:rsidTr="002A075D">
        <w:tc>
          <w:tcPr>
            <w:tcW w:w="2660" w:type="dxa"/>
          </w:tcPr>
          <w:p w:rsidR="00481CF7" w:rsidRPr="0077194E" w:rsidRDefault="00481CF7" w:rsidP="00834CF8">
            <w:pPr>
              <w:jc w:val="both"/>
              <w:rPr>
                <w:sz w:val="18"/>
                <w:szCs w:val="18"/>
              </w:rPr>
            </w:pPr>
            <w:r w:rsidRPr="0077194E">
              <w:rPr>
                <w:sz w:val="18"/>
                <w:szCs w:val="18"/>
              </w:rPr>
              <w:t>ATTENDED</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Did or did not attend outpatient appointment</w:t>
            </w:r>
          </w:p>
        </w:tc>
      </w:tr>
      <w:tr w:rsidR="00481CF7" w:rsidTr="002A075D">
        <w:tc>
          <w:tcPr>
            <w:tcW w:w="2660" w:type="dxa"/>
          </w:tcPr>
          <w:p w:rsidR="00481CF7" w:rsidRPr="0077194E" w:rsidRDefault="00481CF7" w:rsidP="00834CF8">
            <w:pPr>
              <w:jc w:val="both"/>
              <w:rPr>
                <w:sz w:val="18"/>
                <w:szCs w:val="18"/>
              </w:rPr>
            </w:pPr>
            <w:r w:rsidRPr="0077194E">
              <w:rPr>
                <w:sz w:val="18"/>
                <w:szCs w:val="18"/>
              </w:rPr>
              <w:t>DEPDUR</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Time spent in accident and emergency until departure</w:t>
            </w:r>
          </w:p>
        </w:tc>
      </w:tr>
      <w:tr w:rsidR="00481CF7" w:rsidTr="002A075D">
        <w:tc>
          <w:tcPr>
            <w:tcW w:w="2660" w:type="dxa"/>
          </w:tcPr>
          <w:p w:rsidR="00481CF7" w:rsidRPr="0077194E" w:rsidRDefault="00481CF7" w:rsidP="00834CF8">
            <w:pPr>
              <w:jc w:val="both"/>
              <w:rPr>
                <w:sz w:val="18"/>
                <w:szCs w:val="18"/>
              </w:rPr>
            </w:pPr>
            <w:r w:rsidRPr="0077194E">
              <w:rPr>
                <w:sz w:val="18"/>
                <w:szCs w:val="18"/>
              </w:rPr>
              <w:t>DIAG_CODE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Diagnose code searched in all diagnosis code fields</w:t>
            </w:r>
          </w:p>
        </w:tc>
      </w:tr>
      <w:tr w:rsidR="00481CF7" w:rsidTr="002A075D">
        <w:tc>
          <w:tcPr>
            <w:tcW w:w="2660" w:type="dxa"/>
          </w:tcPr>
          <w:p w:rsidR="00481CF7" w:rsidRPr="0077194E" w:rsidRDefault="00481CF7" w:rsidP="00834CF8">
            <w:pPr>
              <w:jc w:val="both"/>
              <w:rPr>
                <w:sz w:val="18"/>
                <w:szCs w:val="18"/>
              </w:rPr>
            </w:pPr>
            <w:r w:rsidRPr="0077194E">
              <w:rPr>
                <w:sz w:val="18"/>
                <w:szCs w:val="18"/>
              </w:rPr>
              <w:t>DISDEST</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Discharge destination</w:t>
            </w:r>
          </w:p>
        </w:tc>
      </w:tr>
      <w:tr w:rsidR="00481CF7" w:rsidTr="002A075D">
        <w:tc>
          <w:tcPr>
            <w:tcW w:w="2660" w:type="dxa"/>
          </w:tcPr>
          <w:p w:rsidR="00481CF7" w:rsidRPr="0077194E" w:rsidRDefault="00481CF7" w:rsidP="00834CF8">
            <w:pPr>
              <w:jc w:val="both"/>
              <w:rPr>
                <w:sz w:val="18"/>
                <w:szCs w:val="18"/>
              </w:rPr>
            </w:pPr>
            <w:r w:rsidRPr="0077194E">
              <w:rPr>
                <w:sz w:val="18"/>
                <w:szCs w:val="18"/>
              </w:rPr>
              <w:t>EPIDUR</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Duration of episode</w:t>
            </w:r>
          </w:p>
        </w:tc>
      </w:tr>
      <w:tr w:rsidR="00481CF7" w:rsidTr="002A075D">
        <w:tc>
          <w:tcPr>
            <w:tcW w:w="2660" w:type="dxa"/>
          </w:tcPr>
          <w:p w:rsidR="00481CF7" w:rsidRPr="0077194E" w:rsidRDefault="00481CF7" w:rsidP="00834CF8">
            <w:pPr>
              <w:jc w:val="both"/>
              <w:rPr>
                <w:sz w:val="18"/>
                <w:szCs w:val="18"/>
              </w:rPr>
            </w:pPr>
            <w:r w:rsidRPr="0077194E">
              <w:rPr>
                <w:sz w:val="18"/>
                <w:szCs w:val="18"/>
              </w:rPr>
              <w:t>ETHNOS</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Ethnicity</w:t>
            </w:r>
          </w:p>
        </w:tc>
      </w:tr>
      <w:tr w:rsidR="00481CF7" w:rsidTr="002A075D">
        <w:tc>
          <w:tcPr>
            <w:tcW w:w="2660" w:type="dxa"/>
          </w:tcPr>
          <w:p w:rsidR="00481CF7" w:rsidRPr="0077194E" w:rsidRDefault="00481CF7" w:rsidP="00834CF8">
            <w:pPr>
              <w:jc w:val="both"/>
              <w:rPr>
                <w:sz w:val="18"/>
                <w:szCs w:val="18"/>
              </w:rPr>
            </w:pPr>
            <w:r w:rsidRPr="0077194E">
              <w:rPr>
                <w:sz w:val="18"/>
                <w:szCs w:val="18"/>
              </w:rPr>
              <w:t>IMD04</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 xml:space="preserve">Index of Multiple Deprivation </w:t>
            </w:r>
          </w:p>
        </w:tc>
      </w:tr>
      <w:tr w:rsidR="00481CF7" w:rsidTr="002A075D">
        <w:tc>
          <w:tcPr>
            <w:tcW w:w="2660" w:type="dxa"/>
          </w:tcPr>
          <w:p w:rsidR="00481CF7" w:rsidRPr="0077194E" w:rsidRDefault="00481CF7" w:rsidP="00834CF8">
            <w:pPr>
              <w:jc w:val="both"/>
              <w:rPr>
                <w:sz w:val="18"/>
                <w:szCs w:val="18"/>
              </w:rPr>
            </w:pPr>
          </w:p>
        </w:tc>
        <w:tc>
          <w:tcPr>
            <w:tcW w:w="2693" w:type="dxa"/>
          </w:tcPr>
          <w:p w:rsidR="00481CF7" w:rsidRPr="0077194E" w:rsidRDefault="00481CF7" w:rsidP="00834CF8">
            <w:pPr>
              <w:jc w:val="both"/>
              <w:rPr>
                <w:sz w:val="18"/>
                <w:szCs w:val="18"/>
              </w:rPr>
            </w:pPr>
            <w:r w:rsidRPr="0077194E">
              <w:rPr>
                <w:sz w:val="18"/>
                <w:szCs w:val="18"/>
              </w:rPr>
              <w:t>Deprivation Index</w:t>
            </w:r>
          </w:p>
        </w:tc>
        <w:tc>
          <w:tcPr>
            <w:tcW w:w="3119" w:type="dxa"/>
          </w:tcPr>
          <w:p w:rsidR="00481CF7" w:rsidRPr="0077194E" w:rsidRDefault="00481CF7" w:rsidP="00834CF8">
            <w:pPr>
              <w:jc w:val="both"/>
              <w:rPr>
                <w:sz w:val="18"/>
                <w:szCs w:val="18"/>
              </w:rPr>
            </w:pPr>
            <w:r w:rsidRPr="0077194E">
              <w:rPr>
                <w:sz w:val="18"/>
                <w:szCs w:val="18"/>
              </w:rPr>
              <w:t>Welsh Index of Multiple Deprivation</w:t>
            </w:r>
          </w:p>
        </w:tc>
      </w:tr>
      <w:tr w:rsidR="00481CF7" w:rsidTr="002A075D">
        <w:tc>
          <w:tcPr>
            <w:tcW w:w="2660" w:type="dxa"/>
          </w:tcPr>
          <w:p w:rsidR="00481CF7" w:rsidRPr="0077194E" w:rsidRDefault="00481CF7" w:rsidP="00834CF8">
            <w:pPr>
              <w:jc w:val="both"/>
              <w:rPr>
                <w:sz w:val="18"/>
                <w:szCs w:val="18"/>
              </w:rPr>
            </w:pPr>
            <w:r w:rsidRPr="0077194E">
              <w:rPr>
                <w:sz w:val="18"/>
                <w:szCs w:val="18"/>
              </w:rPr>
              <w:t>LSOA11</w:t>
            </w:r>
          </w:p>
        </w:tc>
        <w:tc>
          <w:tcPr>
            <w:tcW w:w="2693" w:type="dxa"/>
          </w:tcPr>
          <w:p w:rsidR="00481CF7" w:rsidRPr="0077194E" w:rsidRDefault="00481CF7" w:rsidP="00834CF8">
            <w:pPr>
              <w:jc w:val="both"/>
              <w:rPr>
                <w:sz w:val="18"/>
                <w:szCs w:val="18"/>
              </w:rPr>
            </w:pPr>
            <w:proofErr w:type="spellStart"/>
            <w:r w:rsidRPr="0077194E">
              <w:rPr>
                <w:sz w:val="18"/>
                <w:szCs w:val="18"/>
              </w:rPr>
              <w:t>LSOA_Code</w:t>
            </w:r>
            <w:proofErr w:type="spellEnd"/>
          </w:p>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Lower super output area – 2011 census</w:t>
            </w:r>
          </w:p>
        </w:tc>
      </w:tr>
      <w:tr w:rsidR="00481CF7" w:rsidTr="002A075D">
        <w:tc>
          <w:tcPr>
            <w:tcW w:w="2660" w:type="dxa"/>
          </w:tcPr>
          <w:p w:rsidR="00481CF7" w:rsidRPr="0077194E" w:rsidRDefault="00481CF7" w:rsidP="00834CF8">
            <w:pPr>
              <w:jc w:val="both"/>
              <w:rPr>
                <w:sz w:val="18"/>
                <w:szCs w:val="18"/>
              </w:rPr>
            </w:pPr>
            <w:r w:rsidRPr="0077194E">
              <w:rPr>
                <w:sz w:val="18"/>
                <w:szCs w:val="18"/>
              </w:rPr>
              <w:t>REFSOURCE</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Source of referral for outpatients</w:t>
            </w:r>
          </w:p>
        </w:tc>
      </w:tr>
      <w:tr w:rsidR="00481CF7" w:rsidTr="002A075D">
        <w:tc>
          <w:tcPr>
            <w:tcW w:w="2660" w:type="dxa"/>
          </w:tcPr>
          <w:p w:rsidR="00481CF7" w:rsidRPr="0077194E" w:rsidRDefault="00481CF7" w:rsidP="00834CF8">
            <w:pPr>
              <w:jc w:val="both"/>
              <w:rPr>
                <w:sz w:val="18"/>
                <w:szCs w:val="18"/>
              </w:rPr>
            </w:pPr>
            <w:r w:rsidRPr="0077194E">
              <w:rPr>
                <w:sz w:val="18"/>
                <w:szCs w:val="18"/>
              </w:rPr>
              <w:t>RURURB_IND</w:t>
            </w:r>
          </w:p>
        </w:tc>
        <w:tc>
          <w:tcPr>
            <w:tcW w:w="2693" w:type="dxa"/>
          </w:tcPr>
          <w:p w:rsidR="00481CF7" w:rsidRPr="0077194E" w:rsidRDefault="00481CF7" w:rsidP="00834CF8">
            <w:pPr>
              <w:jc w:val="both"/>
              <w:rPr>
                <w:sz w:val="18"/>
                <w:szCs w:val="18"/>
              </w:rPr>
            </w:pPr>
            <w:r w:rsidRPr="0077194E">
              <w:rPr>
                <w:sz w:val="18"/>
                <w:szCs w:val="18"/>
              </w:rPr>
              <w:t>Urban Indicator</w:t>
            </w:r>
          </w:p>
        </w:tc>
        <w:tc>
          <w:tcPr>
            <w:tcW w:w="3119" w:type="dxa"/>
          </w:tcPr>
          <w:p w:rsidR="00481CF7" w:rsidRPr="0077194E" w:rsidRDefault="00481CF7" w:rsidP="00834CF8">
            <w:pPr>
              <w:jc w:val="both"/>
              <w:rPr>
                <w:sz w:val="18"/>
                <w:szCs w:val="18"/>
              </w:rPr>
            </w:pPr>
            <w:r w:rsidRPr="0077194E">
              <w:rPr>
                <w:sz w:val="18"/>
                <w:szCs w:val="18"/>
              </w:rPr>
              <w:t>Rural-urban indicator</w:t>
            </w:r>
          </w:p>
        </w:tc>
      </w:tr>
      <w:tr w:rsidR="00481CF7" w:rsidTr="002A075D">
        <w:tc>
          <w:tcPr>
            <w:tcW w:w="2660" w:type="dxa"/>
          </w:tcPr>
          <w:p w:rsidR="00481CF7" w:rsidRPr="0077194E" w:rsidRDefault="00481CF7" w:rsidP="00834CF8">
            <w:pPr>
              <w:jc w:val="both"/>
              <w:rPr>
                <w:sz w:val="18"/>
                <w:szCs w:val="18"/>
              </w:rPr>
            </w:pPr>
            <w:r w:rsidRPr="0077194E">
              <w:rPr>
                <w:sz w:val="18"/>
                <w:szCs w:val="18"/>
              </w:rPr>
              <w:t>SEX</w:t>
            </w:r>
          </w:p>
        </w:tc>
        <w:tc>
          <w:tcPr>
            <w:tcW w:w="2693" w:type="dxa"/>
          </w:tcPr>
          <w:p w:rsidR="00481CF7" w:rsidRPr="0077194E" w:rsidRDefault="00481CF7" w:rsidP="00834CF8">
            <w:pPr>
              <w:jc w:val="both"/>
              <w:rPr>
                <w:sz w:val="18"/>
                <w:szCs w:val="18"/>
              </w:rPr>
            </w:pPr>
            <w:r w:rsidRPr="0077194E">
              <w:rPr>
                <w:sz w:val="18"/>
                <w:szCs w:val="18"/>
              </w:rPr>
              <w:t>Sex</w:t>
            </w:r>
          </w:p>
        </w:tc>
        <w:tc>
          <w:tcPr>
            <w:tcW w:w="3119" w:type="dxa"/>
          </w:tcPr>
          <w:p w:rsidR="00481CF7" w:rsidRPr="0077194E" w:rsidRDefault="00481CF7" w:rsidP="00834CF8">
            <w:pPr>
              <w:jc w:val="both"/>
              <w:rPr>
                <w:sz w:val="18"/>
                <w:szCs w:val="18"/>
              </w:rPr>
            </w:pPr>
            <w:r w:rsidRPr="0077194E">
              <w:rPr>
                <w:sz w:val="18"/>
                <w:szCs w:val="18"/>
              </w:rPr>
              <w:t>Sex</w:t>
            </w:r>
          </w:p>
        </w:tc>
      </w:tr>
      <w:tr w:rsidR="00481CF7" w:rsidTr="002A075D">
        <w:tc>
          <w:tcPr>
            <w:tcW w:w="2660" w:type="dxa"/>
          </w:tcPr>
          <w:p w:rsidR="00481CF7" w:rsidRPr="0077194E" w:rsidRDefault="00481CF7" w:rsidP="00834CF8">
            <w:pPr>
              <w:jc w:val="both"/>
              <w:rPr>
                <w:sz w:val="18"/>
                <w:szCs w:val="18"/>
              </w:rPr>
            </w:pPr>
            <w:r w:rsidRPr="0077194E">
              <w:rPr>
                <w:sz w:val="18"/>
                <w:szCs w:val="18"/>
              </w:rPr>
              <w:t>TRETSPEF</w:t>
            </w:r>
          </w:p>
        </w:tc>
        <w:tc>
          <w:tcPr>
            <w:tcW w:w="2693" w:type="dxa"/>
          </w:tcPr>
          <w:p w:rsidR="00481CF7" w:rsidRPr="0077194E" w:rsidRDefault="00481CF7" w:rsidP="00834CF8">
            <w:pPr>
              <w:jc w:val="both"/>
              <w:rPr>
                <w:sz w:val="18"/>
                <w:szCs w:val="18"/>
              </w:rPr>
            </w:pPr>
          </w:p>
        </w:tc>
        <w:tc>
          <w:tcPr>
            <w:tcW w:w="3119" w:type="dxa"/>
          </w:tcPr>
          <w:p w:rsidR="00481CF7" w:rsidRPr="0077194E" w:rsidRDefault="00481CF7" w:rsidP="00834CF8">
            <w:pPr>
              <w:jc w:val="both"/>
              <w:rPr>
                <w:sz w:val="18"/>
                <w:szCs w:val="18"/>
              </w:rPr>
            </w:pPr>
            <w:r w:rsidRPr="0077194E">
              <w:rPr>
                <w:sz w:val="18"/>
                <w:szCs w:val="18"/>
              </w:rPr>
              <w:t>Main treatment speciality</w:t>
            </w:r>
          </w:p>
        </w:tc>
      </w:tr>
    </w:tbl>
    <w:p w:rsidR="00481CF7" w:rsidRDefault="00481CF7" w:rsidP="00C55D03">
      <w:pPr>
        <w:spacing w:line="480" w:lineRule="auto"/>
      </w:pPr>
    </w:p>
    <w:p w:rsidR="00C55D03" w:rsidRDefault="00C55D03" w:rsidP="00C55D03">
      <w:pPr>
        <w:spacing w:line="480" w:lineRule="auto"/>
      </w:pPr>
      <w:r>
        <w:t xml:space="preserve">Data were extracted for patients presenting between 1 January 1998 and 31 December 2015 who had a Lyme disease code in any of the diagnostic fields. Data was cleaned by identifying missing values and deduplication of records. Date of first appearance of a patient within any of the databases, based on pseudo-anonymised patient identifiers and admission date, was used for analysis. Using these index records, the incidence of Lyme disease coded patients was described for each dataset; mid-year population estimates provided by the Office for National Statistics (ONS) were used as the denominator population data </w:t>
      </w:r>
      <w:r>
        <w:fldChar w:fldCharType="begin" w:fldLock="1"/>
      </w:r>
      <w:r w:rsidR="003E3EEF">
        <w:instrText>ADDIN CSL_CITATION {"citationItems":[{"id":"ITEM-1","itemData":{"id":"ITEM-1","issued":{"date-parts":[["0"]]},"note":"NULL","title":"Office for National Statistics - People, population and community","type":"article-journal"},"uris":["http://www.mendeley.com/documents/?uuid=3bb6334c-2e45-4411-84c9-636cbeafc6bd"]}],"mendeley":{"formattedCitation":"(21)","plainTextFormattedCitation":"(21)","previouslyFormattedCitation":"(21)"},"properties":{"noteIndex":0},"schema":"https://github.com/citation-style-language/schema/raw/master/csl-citation.json"}</w:instrText>
      </w:r>
      <w:r>
        <w:fldChar w:fldCharType="separate"/>
      </w:r>
      <w:r w:rsidR="003E3EEF" w:rsidRPr="003E3EEF">
        <w:rPr>
          <w:noProof/>
        </w:rPr>
        <w:t>(21)</w:t>
      </w:r>
      <w:r>
        <w:fldChar w:fldCharType="end"/>
      </w:r>
      <w:r>
        <w:t xml:space="preserve">. Annual incidences were analysed using linear regression. </w:t>
      </w:r>
    </w:p>
    <w:p w:rsidR="00C55D03" w:rsidRDefault="00C55D03" w:rsidP="00C55D03">
      <w:pPr>
        <w:spacing w:line="480" w:lineRule="auto"/>
      </w:pPr>
      <w:r>
        <w:t xml:space="preserve">Information on patient sex was stratified by age and compared using a binomial test. Ethnicity was compared to national figures available from the ONS using a Chi-squared test </w:t>
      </w:r>
      <w:r>
        <w:fldChar w:fldCharType="begin" w:fldLock="1"/>
      </w:r>
      <w:r w:rsidR="003E3EEF">
        <w:instrText>ADDIN CSL_CITATION {"citationItems":[{"id":"ITEM-1","itemData":{"id":"ITEM-1","issued":{"date-parts":[["0"]]},"note":"NULL","title":"Office for National Statistics - People, population and community","type":"article-journal"},"uris":["http://www.mendeley.com/documents/?uuid=3bb6334c-2e45-4411-84c9-636cbeafc6bd"]}],"mendeley":{"formattedCitation":"(21)","plainTextFormattedCitation":"(21)","previouslyFormattedCitation":"(21)"},"properties":{"noteIndex":0},"schema":"https://github.com/citation-style-language/schema/raw/master/csl-citation.json"}</w:instrText>
      </w:r>
      <w:r>
        <w:fldChar w:fldCharType="separate"/>
      </w:r>
      <w:r w:rsidR="003E3EEF" w:rsidRPr="003E3EEF">
        <w:rPr>
          <w:noProof/>
        </w:rPr>
        <w:t>(21)</w:t>
      </w:r>
      <w:r>
        <w:fldChar w:fldCharType="end"/>
      </w:r>
      <w:r>
        <w:t xml:space="preserve">. The average annual incidence was calculated at the geographical area of local authority. The rural-urban indicators of the study populations were compared to the national population using a Chi-squared test. </w:t>
      </w:r>
    </w:p>
    <w:p w:rsidR="00C55D03" w:rsidRDefault="00C55D03" w:rsidP="00C55D03">
      <w:pPr>
        <w:spacing w:line="480" w:lineRule="auto"/>
      </w:pPr>
      <w:r>
        <w:t xml:space="preserve">Associations were assessed using linear regression for the Index of Multiple Deprivation (IMD) of English patients, whereas the Welsh Index of Multiple Deprivation (WIMD) of Welsh patients was assessed using a Chi-squared test for trend. </w:t>
      </w:r>
      <w:r w:rsidRPr="00D479B8">
        <w:t>Linear regression could not be performed on WIMD as the defined WIMD groups were of uneven proportion, unlike the IMD which is organised in equally sized deciles. Both were compared to the national populations using a Chi-squared test of independence.</w:t>
      </w:r>
    </w:p>
    <w:p w:rsidR="00C55D03" w:rsidRDefault="00C55D03" w:rsidP="00C55D03">
      <w:pPr>
        <w:spacing w:line="480" w:lineRule="auto"/>
      </w:pPr>
      <w:r>
        <w:t xml:space="preserve">Information relating to patient management primarily was analysed descriptively. </w:t>
      </w:r>
      <w:r w:rsidRPr="005C5807">
        <w:t>To determine if any ‘day of the week’ bias existed in the data, the number of cases per day was compared to the expected number of cases per day, using a Chi-squared test. This was performed for each dataset and by the admission method recorded in the APC dataset, with the null hypothesis being that there were an equal number of cases every day of the week.</w:t>
      </w:r>
    </w:p>
    <w:p w:rsidR="00C55D03" w:rsidRDefault="00C55D03" w:rsidP="00C55D03">
      <w:pPr>
        <w:spacing w:line="480" w:lineRule="auto"/>
      </w:pPr>
      <w:proofErr w:type="spellStart"/>
      <w:r>
        <w:lastRenderedPageBreak/>
        <w:t>Pseudoanonymised</w:t>
      </w:r>
      <w:proofErr w:type="spellEnd"/>
      <w:r>
        <w:t xml:space="preserve"> patient identifiers were used to describe the patient pathway. Statistical analyses</w:t>
      </w:r>
      <w:r w:rsidDel="005D3805">
        <w:t xml:space="preserve"> were carried out using R (version 3.2.0)</w:t>
      </w:r>
      <w:r w:rsidRPr="00B718ED">
        <w:t xml:space="preserve"> </w:t>
      </w:r>
      <w:r>
        <w:t xml:space="preserve">(R Core Team 2015), and associations were deemed significant where a p value was less than 0.05. </w:t>
      </w:r>
    </w:p>
    <w:p w:rsidR="00C55D03" w:rsidRDefault="00C55D03" w:rsidP="00C55D03">
      <w:pPr>
        <w:spacing w:line="480" w:lineRule="auto"/>
        <w:rPr>
          <w:b/>
        </w:rPr>
      </w:pPr>
      <w:r>
        <w:rPr>
          <w:b/>
        </w:rPr>
        <w:t>Results</w:t>
      </w:r>
    </w:p>
    <w:p w:rsidR="00C55D03" w:rsidRDefault="00C55D03" w:rsidP="00C55D03">
      <w:pPr>
        <w:spacing w:line="480" w:lineRule="auto"/>
      </w:pPr>
      <w:r>
        <w:t>After de-duplication, 2,361 patients</w:t>
      </w:r>
      <w:r w:rsidRPr="00CF0EBD">
        <w:t xml:space="preserve"> </w:t>
      </w:r>
      <w:r>
        <w:t>were identified with Lyme disease codes between 1998 and 2015. Within English records (HES) 2,259 unique patients were identified, 2,045 of these were found in APC alone, 180 in outpatients, 13 in A&amp;E, 18 were found in APC and outpatients, and three were found in APC and A&amp;E.  Within Welsh records (PEDW), 102 patients were identified. Even though they could not be linked with the HES databases, these were likely to be unique patients, as none of them shared age, sex and lower super output area (LSOA) of home address combinations with any HES patients. We therefore described the combined results of both datasets unless otherwise specified.</w:t>
      </w:r>
    </w:p>
    <w:p w:rsidR="00C55D03" w:rsidRDefault="00C55D03" w:rsidP="00C55D03">
      <w:pPr>
        <w:spacing w:line="480" w:lineRule="auto"/>
      </w:pPr>
      <w:r>
        <w:t xml:space="preserve">The annual incidence of Lyme disease coded patients rose significantly from 0.08 cases per 100,000 population in 1998 to 0.53 in 2015 (r²=0.93, p&lt;0.01; Fig 1). This significant correlation was seen both in English (r²=0.93, p&lt;0.01) and Welsh (r²=0.55, p&lt;0.01) populations. There was marked seasonality, with peak number of cases recorded in August (Fig 2).   </w:t>
      </w:r>
    </w:p>
    <w:p w:rsidR="00C55D03" w:rsidRDefault="00C55D03" w:rsidP="00C55D03">
      <w:pPr>
        <w:spacing w:line="480" w:lineRule="auto"/>
        <w:rPr>
          <w:i/>
        </w:rPr>
      </w:pPr>
      <w:r>
        <w:rPr>
          <w:i/>
        </w:rPr>
        <w:t>Demographic characteristics</w:t>
      </w:r>
    </w:p>
    <w:p w:rsidR="00C55D03" w:rsidRPr="00801BC6" w:rsidRDefault="00C55D03" w:rsidP="00C55D03">
      <w:pPr>
        <w:spacing w:line="480" w:lineRule="auto"/>
      </w:pPr>
      <w:r>
        <w:t xml:space="preserve">In England and Wales, 70.9% (n=1,673) of records contained information on the patients’ age and sex. When stratified by country, English records contained 69.5% (n=1,571) of this information, and Welsh 100% (n=102). There were significantly (p&lt;0.01) more female patients than male in England and Wales 60.1% (n=1,005), displaying a bimodal age distribution, with peaks at 6-10 and </w:t>
      </w:r>
      <w:proofErr w:type="gramStart"/>
      <w:r>
        <w:t>61-65 year</w:t>
      </w:r>
      <w:proofErr w:type="gramEnd"/>
      <w:r>
        <w:t xml:space="preserve"> age bands (Fig 3). This sex ratio held true in England (60.5%, p&lt;0 .01), in Wales there were more female patients 52.9% (n=54), however this was not significant (p=0.62). Ethnicity information was available for 79.5% (n=1,877) of records in England and Wales. Of these records, 96.1% (n=1,803) of </w:t>
      </w:r>
      <w:r>
        <w:lastRenderedPageBreak/>
        <w:t xml:space="preserve">patients were recorded as identifying with being white. Using a Chi-squared test to assess white ethnicity vs other ethnicities, a significantly (p=0.01) greater proportion of this population was white compared to the 2011 Census population </w:t>
      </w:r>
      <w:r>
        <w:fldChar w:fldCharType="begin" w:fldLock="1"/>
      </w:r>
      <w:r w:rsidR="003E3EEF">
        <w:instrText>ADDIN CSL_CITATION {"citationItems":[{"id":"ITEM-1","itemData":{"URL":"https://www.ons.gov.uk/peoplepopulationandcommunity/culturalidentity/ethnicity/articles/ethnicityandnationalidentityinenglandandwales/2012-12-11","accessed":{"date-parts":[["2017","12","15"]]},"author":[{"dropping-particle":"","family":"Office for National Statistics","given":"","non-dropping-particle":"","parse-names":false,"suffix":""}],"id":"ITEM-1","issued":{"date-parts":[["0"]]},"title":"Ethnicity and national identity in England and Wales: 2011","type":"webpage"},"uris":["http://www.mendeley.com/documents/?uuid=b622530d-ea48-4be7-a899-c92233b2fb1c"]}],"mendeley":{"formattedCitation":"(22)","plainTextFormattedCitation":"(22)","previouslyFormattedCitation":"(22)"},"properties":{"noteIndex":0},"schema":"https://github.com/citation-style-language/schema/raw/master/csl-citation.json"}</w:instrText>
      </w:r>
      <w:r>
        <w:fldChar w:fldCharType="separate"/>
      </w:r>
      <w:r w:rsidR="003E3EEF" w:rsidRPr="003E3EEF">
        <w:rPr>
          <w:noProof/>
        </w:rPr>
        <w:t>(22)</w:t>
      </w:r>
      <w:r>
        <w:fldChar w:fldCharType="end"/>
      </w:r>
      <w:r>
        <w:t xml:space="preserve">. </w:t>
      </w:r>
    </w:p>
    <w:p w:rsidR="00C55D03" w:rsidRDefault="00C55D03" w:rsidP="00C55D03">
      <w:pPr>
        <w:spacing w:line="480" w:lineRule="auto"/>
        <w:rPr>
          <w:i/>
        </w:rPr>
      </w:pPr>
      <w:r w:rsidRPr="00F90C9E">
        <w:rPr>
          <w:i/>
        </w:rPr>
        <w:t>Geographical distribution</w:t>
      </w:r>
    </w:p>
    <w:p w:rsidR="00C55D03" w:rsidRDefault="00C55D03" w:rsidP="00C55D03">
      <w:pPr>
        <w:spacing w:line="480" w:lineRule="auto"/>
      </w:pPr>
      <w:r>
        <w:t xml:space="preserve">Over two thousand (2,078; 88.0%) records contained geographical information (Fig 4). The areas with the highest incidence </w:t>
      </w:r>
      <w:proofErr w:type="gramStart"/>
      <w:r>
        <w:t>were located in</w:t>
      </w:r>
      <w:proofErr w:type="gramEnd"/>
      <w:r>
        <w:t xml:space="preserve"> south west of England. The local authorities with the highest incidence were Purbeck with 3.13 cases per 100,000 per year, New Forest (2.58), and East Dorset (2.32), with incidence in neighbouring areas in central southern England also with high rates.  Thirty-four (9.8%) local authorities recorded no hospital cases assessed for Lyme disease.</w:t>
      </w:r>
    </w:p>
    <w:p w:rsidR="00C55D03" w:rsidRDefault="00C55D03" w:rsidP="00C55D03">
      <w:pPr>
        <w:spacing w:line="480" w:lineRule="auto"/>
      </w:pPr>
      <w:r>
        <w:t>Analysis of rural-urban indicators showed a significant difference between the study population (n = 2,292) and the national population, where Lyme disease patients were more likely to live in rural rather than urban areas, compared to the national population (p&lt;0.01).</w:t>
      </w:r>
    </w:p>
    <w:p w:rsidR="00C55D03" w:rsidRPr="002D5447" w:rsidRDefault="00C55D03" w:rsidP="00C55D03">
      <w:pPr>
        <w:spacing w:line="480" w:lineRule="auto"/>
        <w:rPr>
          <w:i/>
        </w:rPr>
      </w:pPr>
      <w:r w:rsidRPr="002D5447">
        <w:rPr>
          <w:i/>
        </w:rPr>
        <w:t xml:space="preserve">Sociodemographic characteristics </w:t>
      </w:r>
    </w:p>
    <w:p w:rsidR="00C55D03" w:rsidRDefault="00C55D03" w:rsidP="00C55D03">
      <w:pPr>
        <w:spacing w:line="480" w:lineRule="auto"/>
      </w:pPr>
      <w:r>
        <w:t>Information on IMD deciles was available for 96.7% of English patients (n=2,186). There was a significant difference (p&lt;0.01) between this population and the national English population, with a significant linear trend showing that patients were found in increasing numbers in less deprived areas (r²=0.87, p&lt;0.01). Information on WIMD was available for 90.1% (n=92) of Welsh patients; using Chi-squared tests, there was a significant difference (p&lt;0.01) between this population and the national Welsh population, and there was a significant linear trend, with increasing number of patients found in the least deprived areas (p&lt;0.01).</w:t>
      </w:r>
    </w:p>
    <w:p w:rsidR="00C55D03" w:rsidRDefault="00C55D03" w:rsidP="00C55D03">
      <w:pPr>
        <w:spacing w:line="480" w:lineRule="auto"/>
        <w:rPr>
          <w:i/>
        </w:rPr>
      </w:pPr>
      <w:r>
        <w:rPr>
          <w:i/>
        </w:rPr>
        <w:t>Patient Management</w:t>
      </w:r>
    </w:p>
    <w:p w:rsidR="00C55D03" w:rsidRDefault="00C55D03" w:rsidP="00C55D03">
      <w:pPr>
        <w:spacing w:line="480" w:lineRule="auto"/>
      </w:pPr>
      <w:r w:rsidRPr="005C5807">
        <w:t xml:space="preserve">There were significant differences between the daily cases in APC (p&lt;0.01), OA (p&lt;0.01), and Welsh admissions (p=0.01), compared to the expected number of cases per day of the week. For these three datasets, there were fewer cases at the weekend, and the APC dataset had a high number of </w:t>
      </w:r>
      <w:r w:rsidRPr="005C5807">
        <w:lastRenderedPageBreak/>
        <w:t xml:space="preserve">cases on a Monday (Fig </w:t>
      </w:r>
      <w:r w:rsidR="00A7663B">
        <w:t>5</w:t>
      </w:r>
      <w:r w:rsidRPr="005C5807">
        <w:t>). There was no significant difference between daily case numbers for the A&amp;E dataset (p=0.72).  Within the APC dataset, there were significant differences between the daily cases admitted via the elective (p&lt;0.01), GP (p&lt;0.01), and other (p&lt;0.01) routes, compared to the expected number of cases per day of the week. There were fewer cases admitted via these routes at the weekend. There was no significant difference between daily case numbers for patients admitted through A&amp;E (p=0.67</w:t>
      </w:r>
      <w:r w:rsidR="00156F1A" w:rsidRPr="005C5807">
        <w:t>) (</w:t>
      </w:r>
      <w:r w:rsidRPr="005C5807">
        <w:t xml:space="preserve">Fig </w:t>
      </w:r>
      <w:r w:rsidR="00A7663B">
        <w:t>6</w:t>
      </w:r>
      <w:r w:rsidRPr="005C5807">
        <w:t>).</w:t>
      </w:r>
    </w:p>
    <w:p w:rsidR="00481CF7" w:rsidRDefault="00481CF7" w:rsidP="00481CF7">
      <w:pPr>
        <w:spacing w:line="480" w:lineRule="auto"/>
        <w:jc w:val="both"/>
      </w:pPr>
      <w:r>
        <w:t>In t</w:t>
      </w:r>
      <w:r w:rsidR="00C55D03">
        <w:t>able 3</w:t>
      </w:r>
      <w:r>
        <w:t>,</w:t>
      </w:r>
      <w:r w:rsidR="00C55D03">
        <w:t xml:space="preserve"> coding patterns, department of treatment, bed days, number of appointments, and length of time in A&amp;E for HES data</w:t>
      </w:r>
      <w:r>
        <w:t>, are shown</w:t>
      </w:r>
      <w:r w:rsidR="00C55D03">
        <w:t>.</w:t>
      </w:r>
      <w:r w:rsidRPr="00481CF7">
        <w:t xml:space="preserve"> </w:t>
      </w:r>
    </w:p>
    <w:p w:rsidR="00481CF7" w:rsidRDefault="00481CF7" w:rsidP="00481CF7">
      <w:pPr>
        <w:spacing w:line="480" w:lineRule="auto"/>
        <w:jc w:val="both"/>
      </w:pPr>
      <w:r>
        <w:t>Table 3. Patient management statistics for Lyme disease coded patients in Hospital Episode Statistics (1998-2015)</w:t>
      </w:r>
    </w:p>
    <w:tbl>
      <w:tblPr>
        <w:tblStyle w:val="TableGrid"/>
        <w:tblW w:w="8613" w:type="dxa"/>
        <w:tblLook w:val="04A0" w:firstRow="1" w:lastRow="0" w:firstColumn="1" w:lastColumn="0" w:noHBand="0" w:noVBand="1"/>
      </w:tblPr>
      <w:tblGrid>
        <w:gridCol w:w="2235"/>
        <w:gridCol w:w="2693"/>
        <w:gridCol w:w="2410"/>
        <w:gridCol w:w="1275"/>
      </w:tblGrid>
      <w:tr w:rsidR="00481CF7" w:rsidTr="002A075D">
        <w:trPr>
          <w:trHeight w:val="283"/>
        </w:trPr>
        <w:tc>
          <w:tcPr>
            <w:tcW w:w="2235" w:type="dxa"/>
          </w:tcPr>
          <w:p w:rsidR="00481CF7" w:rsidRPr="00B71335" w:rsidRDefault="00481CF7" w:rsidP="00834CF8">
            <w:pPr>
              <w:rPr>
                <w:sz w:val="18"/>
                <w:szCs w:val="18"/>
              </w:rPr>
            </w:pPr>
          </w:p>
        </w:tc>
        <w:tc>
          <w:tcPr>
            <w:tcW w:w="2693" w:type="dxa"/>
          </w:tcPr>
          <w:p w:rsidR="00481CF7" w:rsidRPr="002A075D" w:rsidRDefault="00481CF7" w:rsidP="00834CF8">
            <w:pPr>
              <w:rPr>
                <w:b/>
                <w:sz w:val="18"/>
                <w:szCs w:val="18"/>
              </w:rPr>
            </w:pPr>
            <w:r w:rsidRPr="002A075D">
              <w:rPr>
                <w:b/>
                <w:sz w:val="18"/>
                <w:szCs w:val="18"/>
              </w:rPr>
              <w:t>Admitted Patient Care (APC)</w:t>
            </w:r>
          </w:p>
        </w:tc>
        <w:tc>
          <w:tcPr>
            <w:tcW w:w="2410" w:type="dxa"/>
          </w:tcPr>
          <w:p w:rsidR="00481CF7" w:rsidRPr="002A075D" w:rsidRDefault="00481CF7" w:rsidP="00834CF8">
            <w:pPr>
              <w:rPr>
                <w:b/>
                <w:sz w:val="18"/>
                <w:szCs w:val="18"/>
              </w:rPr>
            </w:pPr>
            <w:r w:rsidRPr="002A075D">
              <w:rPr>
                <w:b/>
                <w:sz w:val="18"/>
                <w:szCs w:val="18"/>
              </w:rPr>
              <w:t>Outpatients</w:t>
            </w:r>
          </w:p>
        </w:tc>
        <w:tc>
          <w:tcPr>
            <w:tcW w:w="1275" w:type="dxa"/>
          </w:tcPr>
          <w:p w:rsidR="00481CF7" w:rsidRPr="002A075D" w:rsidRDefault="00481CF7" w:rsidP="00834CF8">
            <w:pPr>
              <w:rPr>
                <w:b/>
                <w:sz w:val="18"/>
                <w:szCs w:val="18"/>
              </w:rPr>
            </w:pPr>
            <w:r w:rsidRPr="002A075D">
              <w:rPr>
                <w:b/>
                <w:sz w:val="18"/>
                <w:szCs w:val="18"/>
              </w:rPr>
              <w:t>Accident and Emergency (A&amp;E)</w:t>
            </w:r>
          </w:p>
        </w:tc>
      </w:tr>
      <w:tr w:rsidR="00481CF7" w:rsidTr="002A075D">
        <w:trPr>
          <w:trHeight w:val="283"/>
        </w:trPr>
        <w:tc>
          <w:tcPr>
            <w:tcW w:w="2235" w:type="dxa"/>
          </w:tcPr>
          <w:p w:rsidR="00481CF7" w:rsidRPr="002A075D" w:rsidRDefault="00481CF7" w:rsidP="00834CF8">
            <w:pPr>
              <w:rPr>
                <w:b/>
                <w:sz w:val="18"/>
                <w:szCs w:val="18"/>
              </w:rPr>
            </w:pPr>
            <w:r w:rsidRPr="002A075D">
              <w:rPr>
                <w:b/>
                <w:sz w:val="18"/>
                <w:szCs w:val="18"/>
              </w:rPr>
              <w:t>ICD-10 Codes</w:t>
            </w:r>
          </w:p>
        </w:tc>
        <w:tc>
          <w:tcPr>
            <w:tcW w:w="2693" w:type="dxa"/>
          </w:tcPr>
          <w:p w:rsidR="00481CF7" w:rsidRPr="00B71335" w:rsidRDefault="00481CF7" w:rsidP="00834CF8">
            <w:pPr>
              <w:rPr>
                <w:sz w:val="18"/>
                <w:szCs w:val="18"/>
              </w:rPr>
            </w:pPr>
          </w:p>
        </w:tc>
        <w:tc>
          <w:tcPr>
            <w:tcW w:w="2410" w:type="dxa"/>
          </w:tcPr>
          <w:p w:rsidR="00481CF7" w:rsidRPr="00B71335" w:rsidRDefault="00481CF7" w:rsidP="00834CF8">
            <w:pPr>
              <w:rPr>
                <w:sz w:val="18"/>
                <w:szCs w:val="18"/>
              </w:rPr>
            </w:pPr>
          </w:p>
        </w:tc>
        <w:tc>
          <w:tcPr>
            <w:tcW w:w="1275" w:type="dxa"/>
          </w:tcPr>
          <w:p w:rsidR="00481CF7" w:rsidRPr="00B71335" w:rsidRDefault="00481CF7" w:rsidP="00834CF8">
            <w:pPr>
              <w:rPr>
                <w:sz w:val="18"/>
                <w:szCs w:val="18"/>
              </w:rPr>
            </w:pPr>
          </w:p>
        </w:tc>
      </w:tr>
      <w:tr w:rsidR="00481CF7" w:rsidTr="002A075D">
        <w:trPr>
          <w:trHeight w:val="289"/>
        </w:trPr>
        <w:tc>
          <w:tcPr>
            <w:tcW w:w="2235" w:type="dxa"/>
          </w:tcPr>
          <w:p w:rsidR="00481CF7" w:rsidRPr="002A075D" w:rsidRDefault="00481CF7" w:rsidP="00834CF8">
            <w:pPr>
              <w:rPr>
                <w:sz w:val="18"/>
                <w:szCs w:val="18"/>
              </w:rPr>
            </w:pPr>
            <w:r w:rsidRPr="002A075D">
              <w:rPr>
                <w:sz w:val="18"/>
                <w:szCs w:val="18"/>
              </w:rPr>
              <w:t>Lyme disease</w:t>
            </w:r>
          </w:p>
        </w:tc>
        <w:tc>
          <w:tcPr>
            <w:tcW w:w="2693" w:type="dxa"/>
          </w:tcPr>
          <w:p w:rsidR="00481CF7" w:rsidRPr="00B71335" w:rsidRDefault="00481CF7" w:rsidP="00834CF8">
            <w:pPr>
              <w:rPr>
                <w:sz w:val="18"/>
                <w:szCs w:val="18"/>
              </w:rPr>
            </w:pPr>
            <w:r w:rsidRPr="00B71335">
              <w:rPr>
                <w:sz w:val="18"/>
                <w:szCs w:val="18"/>
              </w:rPr>
              <w:t>91.5% (n=1,891)</w:t>
            </w:r>
          </w:p>
        </w:tc>
        <w:tc>
          <w:tcPr>
            <w:tcW w:w="2410" w:type="dxa"/>
          </w:tcPr>
          <w:p w:rsidR="00481CF7" w:rsidRPr="00B71335" w:rsidRDefault="00481CF7" w:rsidP="00834CF8">
            <w:pPr>
              <w:rPr>
                <w:sz w:val="18"/>
                <w:szCs w:val="18"/>
              </w:rPr>
            </w:pPr>
            <w:r w:rsidRPr="00B71335">
              <w:rPr>
                <w:sz w:val="18"/>
                <w:szCs w:val="18"/>
              </w:rPr>
              <w:t>27.8% (n=55)</w:t>
            </w:r>
          </w:p>
        </w:tc>
        <w:tc>
          <w:tcPr>
            <w:tcW w:w="1275" w:type="dxa"/>
          </w:tcPr>
          <w:p w:rsidR="00481CF7" w:rsidRPr="00B71335" w:rsidRDefault="00481CF7" w:rsidP="00834CF8">
            <w:pPr>
              <w:rPr>
                <w:sz w:val="18"/>
                <w:szCs w:val="18"/>
              </w:rPr>
            </w:pPr>
            <w:r w:rsidRPr="00B71335">
              <w:rPr>
                <w:sz w:val="18"/>
                <w:szCs w:val="18"/>
              </w:rPr>
              <w:t>100% (n=16)</w:t>
            </w:r>
          </w:p>
        </w:tc>
      </w:tr>
      <w:tr w:rsidR="00481CF7" w:rsidTr="002A075D">
        <w:trPr>
          <w:trHeight w:val="283"/>
        </w:trPr>
        <w:tc>
          <w:tcPr>
            <w:tcW w:w="2235" w:type="dxa"/>
          </w:tcPr>
          <w:p w:rsidR="00481CF7" w:rsidRPr="002A075D" w:rsidRDefault="00481CF7" w:rsidP="00834CF8">
            <w:pPr>
              <w:rPr>
                <w:sz w:val="18"/>
                <w:szCs w:val="18"/>
              </w:rPr>
            </w:pPr>
            <w:r w:rsidRPr="002A075D">
              <w:rPr>
                <w:sz w:val="18"/>
                <w:szCs w:val="18"/>
              </w:rPr>
              <w:t xml:space="preserve">Acrodermatitis </w:t>
            </w:r>
            <w:proofErr w:type="spellStart"/>
            <w:r w:rsidRPr="002A075D">
              <w:rPr>
                <w:sz w:val="18"/>
                <w:szCs w:val="18"/>
              </w:rPr>
              <w:t>chronica</w:t>
            </w:r>
            <w:proofErr w:type="spellEnd"/>
            <w:r w:rsidRPr="002A075D">
              <w:rPr>
                <w:sz w:val="18"/>
                <w:szCs w:val="18"/>
              </w:rPr>
              <w:t xml:space="preserve"> </w:t>
            </w:r>
            <w:proofErr w:type="spellStart"/>
            <w:r w:rsidRPr="002A075D">
              <w:rPr>
                <w:sz w:val="18"/>
                <w:szCs w:val="18"/>
              </w:rPr>
              <w:t>atrophicans</w:t>
            </w:r>
            <w:proofErr w:type="spellEnd"/>
          </w:p>
        </w:tc>
        <w:tc>
          <w:tcPr>
            <w:tcW w:w="2693" w:type="dxa"/>
          </w:tcPr>
          <w:p w:rsidR="00481CF7" w:rsidRPr="00B71335" w:rsidRDefault="00481CF7" w:rsidP="00834CF8">
            <w:pPr>
              <w:rPr>
                <w:sz w:val="18"/>
                <w:szCs w:val="18"/>
              </w:rPr>
            </w:pPr>
            <w:r w:rsidRPr="00B71335">
              <w:rPr>
                <w:sz w:val="18"/>
                <w:szCs w:val="18"/>
              </w:rPr>
              <w:t>8.0% (n=166)</w:t>
            </w:r>
          </w:p>
        </w:tc>
        <w:tc>
          <w:tcPr>
            <w:tcW w:w="2410" w:type="dxa"/>
          </w:tcPr>
          <w:p w:rsidR="00481CF7" w:rsidRPr="00B71335" w:rsidRDefault="00481CF7" w:rsidP="00834CF8">
            <w:pPr>
              <w:rPr>
                <w:sz w:val="18"/>
                <w:szCs w:val="18"/>
              </w:rPr>
            </w:pPr>
            <w:r w:rsidRPr="00B71335">
              <w:rPr>
                <w:sz w:val="18"/>
                <w:szCs w:val="18"/>
              </w:rPr>
              <w:t>71.4% (n=142)</w:t>
            </w:r>
          </w:p>
        </w:tc>
        <w:tc>
          <w:tcPr>
            <w:tcW w:w="1275" w:type="dxa"/>
          </w:tcPr>
          <w:p w:rsidR="00481CF7" w:rsidRPr="00B71335" w:rsidRDefault="00481CF7" w:rsidP="00834CF8">
            <w:pPr>
              <w:rPr>
                <w:sz w:val="18"/>
                <w:szCs w:val="18"/>
              </w:rPr>
            </w:pPr>
            <w:r w:rsidRPr="00B71335">
              <w:rPr>
                <w:sz w:val="18"/>
                <w:szCs w:val="18"/>
              </w:rPr>
              <w:t>0</w:t>
            </w:r>
          </w:p>
        </w:tc>
      </w:tr>
      <w:tr w:rsidR="00481CF7" w:rsidTr="002A075D">
        <w:trPr>
          <w:trHeight w:val="283"/>
        </w:trPr>
        <w:tc>
          <w:tcPr>
            <w:tcW w:w="2235" w:type="dxa"/>
          </w:tcPr>
          <w:p w:rsidR="00481CF7" w:rsidRPr="002A075D" w:rsidRDefault="00481CF7" w:rsidP="00834CF8">
            <w:pPr>
              <w:rPr>
                <w:sz w:val="18"/>
                <w:szCs w:val="18"/>
              </w:rPr>
            </w:pPr>
            <w:r w:rsidRPr="002A075D">
              <w:rPr>
                <w:sz w:val="18"/>
                <w:szCs w:val="18"/>
              </w:rPr>
              <w:t>Lyme Arthritis</w:t>
            </w:r>
          </w:p>
        </w:tc>
        <w:tc>
          <w:tcPr>
            <w:tcW w:w="2693" w:type="dxa"/>
          </w:tcPr>
          <w:p w:rsidR="00481CF7" w:rsidRPr="00B71335" w:rsidRDefault="00481CF7" w:rsidP="00834CF8">
            <w:pPr>
              <w:rPr>
                <w:sz w:val="18"/>
                <w:szCs w:val="18"/>
              </w:rPr>
            </w:pPr>
            <w:r w:rsidRPr="00B71335">
              <w:rPr>
                <w:sz w:val="18"/>
                <w:szCs w:val="18"/>
              </w:rPr>
              <w:t>0.1% (n=2)</w:t>
            </w:r>
          </w:p>
        </w:tc>
        <w:tc>
          <w:tcPr>
            <w:tcW w:w="2410" w:type="dxa"/>
          </w:tcPr>
          <w:p w:rsidR="00481CF7" w:rsidRPr="00B71335" w:rsidRDefault="00481CF7" w:rsidP="00834CF8">
            <w:pPr>
              <w:rPr>
                <w:sz w:val="18"/>
                <w:szCs w:val="18"/>
              </w:rPr>
            </w:pPr>
            <w:r w:rsidRPr="00B71335">
              <w:rPr>
                <w:sz w:val="18"/>
                <w:szCs w:val="18"/>
              </w:rPr>
              <w:t>0.5% (n=1)</w:t>
            </w:r>
          </w:p>
        </w:tc>
        <w:tc>
          <w:tcPr>
            <w:tcW w:w="1275" w:type="dxa"/>
          </w:tcPr>
          <w:p w:rsidR="00481CF7" w:rsidRPr="00B71335" w:rsidRDefault="00481CF7" w:rsidP="00834CF8">
            <w:pPr>
              <w:rPr>
                <w:sz w:val="18"/>
                <w:szCs w:val="18"/>
              </w:rPr>
            </w:pPr>
            <w:r w:rsidRPr="00B71335">
              <w:rPr>
                <w:sz w:val="18"/>
                <w:szCs w:val="18"/>
              </w:rPr>
              <w:t>0</w:t>
            </w:r>
          </w:p>
        </w:tc>
      </w:tr>
      <w:tr w:rsidR="00481CF7" w:rsidTr="002A075D">
        <w:trPr>
          <w:trHeight w:val="283"/>
        </w:trPr>
        <w:tc>
          <w:tcPr>
            <w:tcW w:w="2235" w:type="dxa"/>
          </w:tcPr>
          <w:p w:rsidR="00481CF7" w:rsidRPr="002A075D" w:rsidRDefault="00481CF7" w:rsidP="00834CF8">
            <w:pPr>
              <w:rPr>
                <w:sz w:val="18"/>
                <w:szCs w:val="18"/>
              </w:rPr>
            </w:pPr>
            <w:r w:rsidRPr="002A075D">
              <w:rPr>
                <w:sz w:val="18"/>
                <w:szCs w:val="18"/>
              </w:rPr>
              <w:t>Lyme and LA</w:t>
            </w:r>
          </w:p>
        </w:tc>
        <w:tc>
          <w:tcPr>
            <w:tcW w:w="2693" w:type="dxa"/>
          </w:tcPr>
          <w:p w:rsidR="00481CF7" w:rsidRPr="00B71335" w:rsidRDefault="00481CF7" w:rsidP="00834CF8">
            <w:pPr>
              <w:rPr>
                <w:sz w:val="18"/>
                <w:szCs w:val="18"/>
              </w:rPr>
            </w:pPr>
            <w:r w:rsidRPr="00B71335">
              <w:rPr>
                <w:sz w:val="18"/>
                <w:szCs w:val="18"/>
              </w:rPr>
              <w:t>0.3% (n=7)</w:t>
            </w:r>
          </w:p>
        </w:tc>
        <w:tc>
          <w:tcPr>
            <w:tcW w:w="2410" w:type="dxa"/>
          </w:tcPr>
          <w:p w:rsidR="00481CF7" w:rsidRPr="00B71335" w:rsidRDefault="00481CF7" w:rsidP="00834CF8">
            <w:pPr>
              <w:rPr>
                <w:sz w:val="18"/>
                <w:szCs w:val="18"/>
              </w:rPr>
            </w:pPr>
            <w:r w:rsidRPr="00B71335">
              <w:rPr>
                <w:sz w:val="18"/>
                <w:szCs w:val="18"/>
              </w:rPr>
              <w:t>0</w:t>
            </w:r>
          </w:p>
        </w:tc>
        <w:tc>
          <w:tcPr>
            <w:tcW w:w="1275" w:type="dxa"/>
          </w:tcPr>
          <w:p w:rsidR="00481CF7" w:rsidRPr="00B71335" w:rsidRDefault="00481CF7" w:rsidP="00834CF8">
            <w:pPr>
              <w:rPr>
                <w:sz w:val="18"/>
                <w:szCs w:val="18"/>
              </w:rPr>
            </w:pPr>
            <w:r w:rsidRPr="00B71335">
              <w:rPr>
                <w:sz w:val="18"/>
                <w:szCs w:val="18"/>
              </w:rPr>
              <w:t>0</w:t>
            </w:r>
          </w:p>
        </w:tc>
      </w:tr>
      <w:tr w:rsidR="00481CF7" w:rsidTr="002A075D">
        <w:trPr>
          <w:trHeight w:val="283"/>
        </w:trPr>
        <w:tc>
          <w:tcPr>
            <w:tcW w:w="2235" w:type="dxa"/>
          </w:tcPr>
          <w:p w:rsidR="00481CF7" w:rsidRPr="002A075D" w:rsidRDefault="00481CF7" w:rsidP="00834CF8">
            <w:pPr>
              <w:rPr>
                <w:b/>
                <w:sz w:val="18"/>
                <w:szCs w:val="18"/>
              </w:rPr>
            </w:pPr>
            <w:r w:rsidRPr="002A075D">
              <w:rPr>
                <w:b/>
                <w:sz w:val="18"/>
                <w:szCs w:val="18"/>
              </w:rPr>
              <w:t>Number of Departments of Treatment Recorded</w:t>
            </w:r>
          </w:p>
        </w:tc>
        <w:tc>
          <w:tcPr>
            <w:tcW w:w="2693" w:type="dxa"/>
          </w:tcPr>
          <w:p w:rsidR="00481CF7" w:rsidRPr="00B71335" w:rsidRDefault="009A5EE7" w:rsidP="00834CF8">
            <w:pPr>
              <w:rPr>
                <w:sz w:val="18"/>
                <w:szCs w:val="18"/>
              </w:rPr>
            </w:pPr>
            <w:r>
              <w:rPr>
                <w:sz w:val="18"/>
                <w:szCs w:val="18"/>
              </w:rPr>
              <w:t>63 (2</w:t>
            </w:r>
            <w:r w:rsidR="00481CF7" w:rsidRPr="00B71335">
              <w:rPr>
                <w:sz w:val="18"/>
                <w:szCs w:val="18"/>
              </w:rPr>
              <w:t>065 patients)</w:t>
            </w:r>
          </w:p>
        </w:tc>
        <w:tc>
          <w:tcPr>
            <w:tcW w:w="2410" w:type="dxa"/>
          </w:tcPr>
          <w:p w:rsidR="00481CF7" w:rsidRPr="00B71335" w:rsidRDefault="00481CF7" w:rsidP="00834CF8">
            <w:pPr>
              <w:rPr>
                <w:sz w:val="18"/>
                <w:szCs w:val="18"/>
              </w:rPr>
            </w:pPr>
            <w:r w:rsidRPr="00B71335">
              <w:rPr>
                <w:sz w:val="18"/>
                <w:szCs w:val="18"/>
              </w:rPr>
              <w:t>20 (198 Patients)</w:t>
            </w:r>
          </w:p>
        </w:tc>
        <w:tc>
          <w:tcPr>
            <w:tcW w:w="1275" w:type="dxa"/>
          </w:tcPr>
          <w:p w:rsidR="00481CF7" w:rsidRPr="00B71335" w:rsidRDefault="00481CF7" w:rsidP="00834CF8">
            <w:pPr>
              <w:rPr>
                <w:sz w:val="18"/>
                <w:szCs w:val="18"/>
              </w:rPr>
            </w:pPr>
            <w:r w:rsidRPr="00B71335">
              <w:rPr>
                <w:sz w:val="18"/>
                <w:szCs w:val="18"/>
              </w:rPr>
              <w:t>N/A</w:t>
            </w:r>
          </w:p>
        </w:tc>
      </w:tr>
      <w:tr w:rsidR="00481CF7" w:rsidTr="002A075D">
        <w:trPr>
          <w:trHeight w:val="283"/>
        </w:trPr>
        <w:tc>
          <w:tcPr>
            <w:tcW w:w="2235" w:type="dxa"/>
          </w:tcPr>
          <w:p w:rsidR="00481CF7" w:rsidRPr="002A075D" w:rsidRDefault="00481CF7" w:rsidP="00834CF8">
            <w:pPr>
              <w:rPr>
                <w:b/>
                <w:sz w:val="18"/>
                <w:szCs w:val="18"/>
              </w:rPr>
            </w:pPr>
            <w:r w:rsidRPr="002A075D">
              <w:rPr>
                <w:b/>
                <w:sz w:val="18"/>
                <w:szCs w:val="18"/>
              </w:rPr>
              <w:t>Top 5 Departments of Treatment</w:t>
            </w:r>
          </w:p>
        </w:tc>
        <w:tc>
          <w:tcPr>
            <w:tcW w:w="2693" w:type="dxa"/>
          </w:tcPr>
          <w:p w:rsidR="00481CF7" w:rsidRPr="00B71335" w:rsidRDefault="00481CF7" w:rsidP="00834CF8">
            <w:pPr>
              <w:rPr>
                <w:sz w:val="18"/>
                <w:szCs w:val="18"/>
              </w:rPr>
            </w:pPr>
            <w:r>
              <w:rPr>
                <w:sz w:val="18"/>
                <w:szCs w:val="18"/>
              </w:rPr>
              <w:t>G</w:t>
            </w:r>
            <w:r w:rsidRPr="00B71335">
              <w:rPr>
                <w:sz w:val="18"/>
                <w:szCs w:val="18"/>
              </w:rPr>
              <w:t xml:space="preserve">eneral medicine    </w:t>
            </w:r>
            <w:r>
              <w:rPr>
                <w:sz w:val="18"/>
                <w:szCs w:val="18"/>
              </w:rPr>
              <w:t xml:space="preserve">   </w:t>
            </w:r>
            <w:r w:rsidRPr="00B71335">
              <w:rPr>
                <w:sz w:val="18"/>
                <w:szCs w:val="18"/>
              </w:rPr>
              <w:t xml:space="preserve"> 28.9%</w:t>
            </w:r>
          </w:p>
          <w:p w:rsidR="00481CF7" w:rsidRDefault="00481CF7" w:rsidP="00834CF8">
            <w:pPr>
              <w:rPr>
                <w:sz w:val="18"/>
                <w:szCs w:val="18"/>
              </w:rPr>
            </w:pPr>
            <w:r>
              <w:rPr>
                <w:sz w:val="18"/>
                <w:szCs w:val="18"/>
              </w:rPr>
              <w:t>P</w:t>
            </w:r>
            <w:r w:rsidRPr="00B71335">
              <w:rPr>
                <w:sz w:val="18"/>
                <w:szCs w:val="18"/>
              </w:rPr>
              <w:t xml:space="preserve">aediatrics </w:t>
            </w:r>
            <w:r>
              <w:rPr>
                <w:sz w:val="18"/>
                <w:szCs w:val="18"/>
              </w:rPr>
              <w:t xml:space="preserve">                   </w:t>
            </w:r>
            <w:r w:rsidRPr="00B71335">
              <w:rPr>
                <w:sz w:val="18"/>
                <w:szCs w:val="18"/>
              </w:rPr>
              <w:t>14.7%</w:t>
            </w:r>
          </w:p>
          <w:p w:rsidR="00481CF7" w:rsidRDefault="00481CF7" w:rsidP="00834CF8">
            <w:pPr>
              <w:rPr>
                <w:sz w:val="18"/>
                <w:szCs w:val="18"/>
              </w:rPr>
            </w:pPr>
            <w:r>
              <w:rPr>
                <w:sz w:val="18"/>
                <w:szCs w:val="18"/>
              </w:rPr>
              <w:t>N</w:t>
            </w:r>
            <w:r w:rsidRPr="00B71335">
              <w:rPr>
                <w:sz w:val="18"/>
                <w:szCs w:val="18"/>
              </w:rPr>
              <w:t xml:space="preserve">eurology </w:t>
            </w:r>
            <w:r>
              <w:rPr>
                <w:sz w:val="18"/>
                <w:szCs w:val="18"/>
              </w:rPr>
              <w:t xml:space="preserve">                    </w:t>
            </w:r>
            <w:r w:rsidRPr="00B71335">
              <w:rPr>
                <w:sz w:val="18"/>
                <w:szCs w:val="18"/>
              </w:rPr>
              <w:t>10.8%</w:t>
            </w:r>
          </w:p>
          <w:p w:rsidR="00481CF7" w:rsidRDefault="00481CF7" w:rsidP="00834CF8">
            <w:pPr>
              <w:rPr>
                <w:sz w:val="18"/>
                <w:szCs w:val="18"/>
              </w:rPr>
            </w:pPr>
            <w:r>
              <w:rPr>
                <w:sz w:val="18"/>
                <w:szCs w:val="18"/>
              </w:rPr>
              <w:t>G</w:t>
            </w:r>
            <w:r w:rsidRPr="00B71335">
              <w:rPr>
                <w:sz w:val="18"/>
                <w:szCs w:val="18"/>
              </w:rPr>
              <w:t xml:space="preserve">ynaecology </w:t>
            </w:r>
            <w:r>
              <w:rPr>
                <w:sz w:val="18"/>
                <w:szCs w:val="18"/>
              </w:rPr>
              <w:t xml:space="preserve">                 </w:t>
            </w:r>
            <w:r w:rsidRPr="00B71335">
              <w:rPr>
                <w:sz w:val="18"/>
                <w:szCs w:val="18"/>
              </w:rPr>
              <w:t>4.8%</w:t>
            </w:r>
          </w:p>
          <w:p w:rsidR="00481CF7" w:rsidRPr="00B71335" w:rsidRDefault="00481CF7" w:rsidP="00834CF8">
            <w:pPr>
              <w:rPr>
                <w:sz w:val="18"/>
                <w:szCs w:val="18"/>
              </w:rPr>
            </w:pPr>
            <w:r>
              <w:rPr>
                <w:sz w:val="18"/>
                <w:szCs w:val="18"/>
              </w:rPr>
              <w:t>I</w:t>
            </w:r>
            <w:r w:rsidRPr="00B71335">
              <w:rPr>
                <w:sz w:val="18"/>
                <w:szCs w:val="18"/>
              </w:rPr>
              <w:t xml:space="preserve">nfectious disease     </w:t>
            </w:r>
            <w:r>
              <w:rPr>
                <w:sz w:val="18"/>
                <w:szCs w:val="18"/>
              </w:rPr>
              <w:t xml:space="preserve">    </w:t>
            </w:r>
            <w:r w:rsidRPr="00B71335">
              <w:rPr>
                <w:sz w:val="18"/>
                <w:szCs w:val="18"/>
              </w:rPr>
              <w:t>4.5%</w:t>
            </w:r>
          </w:p>
        </w:tc>
        <w:tc>
          <w:tcPr>
            <w:tcW w:w="2410" w:type="dxa"/>
          </w:tcPr>
          <w:p w:rsidR="00481CF7" w:rsidRDefault="00481CF7" w:rsidP="00834CF8">
            <w:pPr>
              <w:rPr>
                <w:sz w:val="18"/>
                <w:szCs w:val="18"/>
              </w:rPr>
            </w:pPr>
            <w:r>
              <w:rPr>
                <w:sz w:val="18"/>
                <w:szCs w:val="18"/>
              </w:rPr>
              <w:t>D</w:t>
            </w:r>
            <w:r w:rsidRPr="00B71335">
              <w:rPr>
                <w:sz w:val="18"/>
                <w:szCs w:val="18"/>
              </w:rPr>
              <w:t>er</w:t>
            </w:r>
            <w:r>
              <w:rPr>
                <w:sz w:val="18"/>
                <w:szCs w:val="18"/>
              </w:rPr>
              <w:t xml:space="preserve">matology                  </w:t>
            </w:r>
            <w:r w:rsidRPr="00B71335">
              <w:rPr>
                <w:sz w:val="18"/>
                <w:szCs w:val="18"/>
              </w:rPr>
              <w:t>70.7%</w:t>
            </w:r>
          </w:p>
          <w:p w:rsidR="00481CF7" w:rsidRDefault="00481CF7" w:rsidP="00834CF8">
            <w:pPr>
              <w:rPr>
                <w:sz w:val="18"/>
                <w:szCs w:val="18"/>
              </w:rPr>
            </w:pPr>
            <w:r>
              <w:rPr>
                <w:sz w:val="18"/>
                <w:szCs w:val="18"/>
              </w:rPr>
              <w:t>R</w:t>
            </w:r>
            <w:r w:rsidRPr="00B71335">
              <w:rPr>
                <w:sz w:val="18"/>
                <w:szCs w:val="18"/>
              </w:rPr>
              <w:t>heumatology</w:t>
            </w:r>
            <w:r>
              <w:rPr>
                <w:sz w:val="18"/>
                <w:szCs w:val="18"/>
              </w:rPr>
              <w:t xml:space="preserve">               </w:t>
            </w:r>
            <w:r w:rsidRPr="00B71335">
              <w:rPr>
                <w:sz w:val="18"/>
                <w:szCs w:val="18"/>
              </w:rPr>
              <w:t xml:space="preserve"> 5.6%</w:t>
            </w:r>
          </w:p>
          <w:p w:rsidR="00481CF7" w:rsidRPr="00B71335" w:rsidRDefault="00481CF7" w:rsidP="00834CF8">
            <w:pPr>
              <w:rPr>
                <w:sz w:val="18"/>
                <w:szCs w:val="18"/>
              </w:rPr>
            </w:pPr>
            <w:r>
              <w:rPr>
                <w:sz w:val="18"/>
                <w:szCs w:val="18"/>
              </w:rPr>
              <w:t>N</w:t>
            </w:r>
            <w:r w:rsidRPr="00B71335">
              <w:rPr>
                <w:sz w:val="18"/>
                <w:szCs w:val="18"/>
              </w:rPr>
              <w:t>eurology                        5.1%</w:t>
            </w:r>
          </w:p>
          <w:p w:rsidR="00481CF7" w:rsidRPr="00B71335" w:rsidRDefault="00481CF7" w:rsidP="00834CF8">
            <w:pPr>
              <w:rPr>
                <w:sz w:val="18"/>
                <w:szCs w:val="18"/>
              </w:rPr>
            </w:pPr>
            <w:r>
              <w:rPr>
                <w:sz w:val="18"/>
                <w:szCs w:val="18"/>
              </w:rPr>
              <w:t>I</w:t>
            </w:r>
            <w:r w:rsidRPr="00B71335">
              <w:rPr>
                <w:sz w:val="18"/>
                <w:szCs w:val="18"/>
              </w:rPr>
              <w:t>nfectious disease           4.0%</w:t>
            </w:r>
          </w:p>
          <w:p w:rsidR="00481CF7" w:rsidRPr="00B71335" w:rsidRDefault="00481CF7" w:rsidP="00834CF8">
            <w:pPr>
              <w:rPr>
                <w:sz w:val="18"/>
                <w:szCs w:val="18"/>
              </w:rPr>
            </w:pPr>
            <w:r w:rsidRPr="00B71335">
              <w:rPr>
                <w:sz w:val="18"/>
                <w:szCs w:val="18"/>
              </w:rPr>
              <w:t>General medicine           3.0%</w:t>
            </w:r>
          </w:p>
        </w:tc>
        <w:tc>
          <w:tcPr>
            <w:tcW w:w="1275" w:type="dxa"/>
          </w:tcPr>
          <w:p w:rsidR="00481CF7" w:rsidRPr="00B71335" w:rsidRDefault="00481CF7" w:rsidP="00834CF8">
            <w:pPr>
              <w:rPr>
                <w:sz w:val="18"/>
                <w:szCs w:val="18"/>
              </w:rPr>
            </w:pPr>
            <w:r w:rsidRPr="00B71335">
              <w:rPr>
                <w:sz w:val="18"/>
                <w:szCs w:val="18"/>
              </w:rPr>
              <w:t>N/A</w:t>
            </w:r>
          </w:p>
        </w:tc>
      </w:tr>
      <w:tr w:rsidR="00481CF7" w:rsidTr="002A075D">
        <w:trPr>
          <w:trHeight w:val="283"/>
        </w:trPr>
        <w:tc>
          <w:tcPr>
            <w:tcW w:w="2235" w:type="dxa"/>
          </w:tcPr>
          <w:p w:rsidR="00481CF7" w:rsidRPr="002A075D" w:rsidRDefault="00481CF7" w:rsidP="00834CF8">
            <w:pPr>
              <w:rPr>
                <w:b/>
                <w:sz w:val="18"/>
                <w:szCs w:val="18"/>
              </w:rPr>
            </w:pPr>
            <w:r w:rsidRPr="002A075D">
              <w:rPr>
                <w:b/>
                <w:sz w:val="18"/>
                <w:szCs w:val="18"/>
              </w:rPr>
              <w:t>Mean number of episodes per patient</w:t>
            </w:r>
          </w:p>
        </w:tc>
        <w:tc>
          <w:tcPr>
            <w:tcW w:w="2693" w:type="dxa"/>
          </w:tcPr>
          <w:p w:rsidR="00481CF7" w:rsidRPr="00B71335" w:rsidRDefault="00481CF7" w:rsidP="00834CF8">
            <w:pPr>
              <w:rPr>
                <w:sz w:val="18"/>
                <w:szCs w:val="18"/>
              </w:rPr>
            </w:pPr>
            <w:r w:rsidRPr="00B71335">
              <w:rPr>
                <w:sz w:val="18"/>
                <w:szCs w:val="18"/>
              </w:rPr>
              <w:t>1.72 episodes (range: 1-50)</w:t>
            </w:r>
          </w:p>
        </w:tc>
        <w:tc>
          <w:tcPr>
            <w:tcW w:w="2410" w:type="dxa"/>
          </w:tcPr>
          <w:p w:rsidR="00481CF7" w:rsidRPr="00B71335" w:rsidRDefault="00481CF7" w:rsidP="00834CF8">
            <w:pPr>
              <w:rPr>
                <w:sz w:val="18"/>
                <w:szCs w:val="18"/>
              </w:rPr>
            </w:pPr>
            <w:r w:rsidRPr="00B71335">
              <w:rPr>
                <w:sz w:val="18"/>
                <w:szCs w:val="18"/>
              </w:rPr>
              <w:t>N/A</w:t>
            </w:r>
          </w:p>
        </w:tc>
        <w:tc>
          <w:tcPr>
            <w:tcW w:w="1275" w:type="dxa"/>
          </w:tcPr>
          <w:p w:rsidR="00481CF7" w:rsidRPr="00B71335" w:rsidRDefault="00481CF7" w:rsidP="00834CF8">
            <w:pPr>
              <w:rPr>
                <w:sz w:val="18"/>
                <w:szCs w:val="18"/>
              </w:rPr>
            </w:pPr>
            <w:r w:rsidRPr="00B71335">
              <w:rPr>
                <w:sz w:val="18"/>
                <w:szCs w:val="18"/>
              </w:rPr>
              <w:t>N/A</w:t>
            </w:r>
          </w:p>
        </w:tc>
      </w:tr>
      <w:tr w:rsidR="00481CF7" w:rsidTr="002A075D">
        <w:trPr>
          <w:trHeight w:val="283"/>
        </w:trPr>
        <w:tc>
          <w:tcPr>
            <w:tcW w:w="2235" w:type="dxa"/>
          </w:tcPr>
          <w:p w:rsidR="00481CF7" w:rsidRPr="002A075D" w:rsidRDefault="00481CF7" w:rsidP="00834CF8">
            <w:pPr>
              <w:rPr>
                <w:b/>
                <w:sz w:val="18"/>
                <w:szCs w:val="18"/>
              </w:rPr>
            </w:pPr>
            <w:r w:rsidRPr="002A075D">
              <w:rPr>
                <w:b/>
                <w:sz w:val="18"/>
                <w:szCs w:val="18"/>
              </w:rPr>
              <w:t xml:space="preserve">Mean number of bed days with patients with one episode </w:t>
            </w:r>
          </w:p>
          <w:p w:rsidR="00481CF7" w:rsidRPr="002A075D" w:rsidRDefault="00481CF7" w:rsidP="00834CF8">
            <w:pPr>
              <w:rPr>
                <w:sz w:val="18"/>
                <w:szCs w:val="18"/>
              </w:rPr>
            </w:pPr>
            <w:r w:rsidRPr="002A075D">
              <w:rPr>
                <w:sz w:val="18"/>
                <w:szCs w:val="18"/>
              </w:rPr>
              <w:t>(n=1638, 79.3% of APC patients)</w:t>
            </w:r>
          </w:p>
        </w:tc>
        <w:tc>
          <w:tcPr>
            <w:tcW w:w="2693" w:type="dxa"/>
          </w:tcPr>
          <w:p w:rsidR="00481CF7" w:rsidRPr="00B71335" w:rsidRDefault="00481CF7" w:rsidP="00834CF8">
            <w:pPr>
              <w:rPr>
                <w:sz w:val="18"/>
                <w:szCs w:val="18"/>
              </w:rPr>
            </w:pPr>
            <w:r>
              <w:rPr>
                <w:sz w:val="18"/>
                <w:szCs w:val="18"/>
              </w:rPr>
              <w:t>4.47 d</w:t>
            </w:r>
            <w:r w:rsidRPr="00B71335">
              <w:rPr>
                <w:sz w:val="18"/>
                <w:szCs w:val="18"/>
              </w:rPr>
              <w:t>ays (range: 0-137)</w:t>
            </w:r>
          </w:p>
          <w:p w:rsidR="00481CF7" w:rsidRPr="00B71335" w:rsidRDefault="00481CF7" w:rsidP="00834CF8">
            <w:pPr>
              <w:rPr>
                <w:sz w:val="18"/>
                <w:szCs w:val="18"/>
              </w:rPr>
            </w:pPr>
            <w:r w:rsidRPr="00B71335">
              <w:rPr>
                <w:sz w:val="18"/>
                <w:szCs w:val="18"/>
              </w:rPr>
              <w:t xml:space="preserve">733 </w:t>
            </w:r>
            <w:r>
              <w:rPr>
                <w:sz w:val="18"/>
                <w:szCs w:val="18"/>
              </w:rPr>
              <w:t>(35.5%) with</w:t>
            </w:r>
            <w:r w:rsidRPr="00B71335">
              <w:rPr>
                <w:sz w:val="18"/>
                <w:szCs w:val="18"/>
              </w:rPr>
              <w:t xml:space="preserve"> one episode and no bed days.</w:t>
            </w:r>
          </w:p>
          <w:p w:rsidR="00481CF7" w:rsidRPr="00B71335" w:rsidRDefault="00481CF7" w:rsidP="00834CF8">
            <w:pPr>
              <w:rPr>
                <w:sz w:val="18"/>
                <w:szCs w:val="18"/>
              </w:rPr>
            </w:pPr>
            <w:r w:rsidRPr="00B71335">
              <w:rPr>
                <w:sz w:val="18"/>
                <w:szCs w:val="18"/>
              </w:rPr>
              <w:t xml:space="preserve">258 </w:t>
            </w:r>
            <w:r>
              <w:rPr>
                <w:sz w:val="18"/>
                <w:szCs w:val="18"/>
              </w:rPr>
              <w:t>(12.5%) with</w:t>
            </w:r>
            <w:r w:rsidRPr="00B71335">
              <w:rPr>
                <w:sz w:val="18"/>
                <w:szCs w:val="18"/>
              </w:rPr>
              <w:t xml:space="preserve"> one episode </w:t>
            </w:r>
            <w:r w:rsidRPr="00B71335">
              <w:rPr>
                <w:sz w:val="18"/>
                <w:szCs w:val="18"/>
              </w:rPr>
              <w:lastRenderedPageBreak/>
              <w:t>and one bed day.</w:t>
            </w:r>
          </w:p>
        </w:tc>
        <w:tc>
          <w:tcPr>
            <w:tcW w:w="2410" w:type="dxa"/>
          </w:tcPr>
          <w:p w:rsidR="00481CF7" w:rsidRPr="00B71335" w:rsidRDefault="00481CF7" w:rsidP="00834CF8">
            <w:pPr>
              <w:rPr>
                <w:sz w:val="18"/>
                <w:szCs w:val="18"/>
              </w:rPr>
            </w:pPr>
            <w:r w:rsidRPr="00B71335">
              <w:rPr>
                <w:sz w:val="18"/>
                <w:szCs w:val="18"/>
              </w:rPr>
              <w:lastRenderedPageBreak/>
              <w:t>N/A</w:t>
            </w:r>
          </w:p>
        </w:tc>
        <w:tc>
          <w:tcPr>
            <w:tcW w:w="1275" w:type="dxa"/>
          </w:tcPr>
          <w:p w:rsidR="00481CF7" w:rsidRPr="00B71335" w:rsidRDefault="00481CF7" w:rsidP="00834CF8">
            <w:pPr>
              <w:rPr>
                <w:sz w:val="18"/>
                <w:szCs w:val="18"/>
              </w:rPr>
            </w:pPr>
            <w:r w:rsidRPr="00B71335">
              <w:rPr>
                <w:sz w:val="18"/>
                <w:szCs w:val="18"/>
              </w:rPr>
              <w:t>N/A</w:t>
            </w:r>
          </w:p>
        </w:tc>
      </w:tr>
      <w:tr w:rsidR="00481CF7" w:rsidTr="002A075D">
        <w:trPr>
          <w:trHeight w:val="283"/>
        </w:trPr>
        <w:tc>
          <w:tcPr>
            <w:tcW w:w="2235" w:type="dxa"/>
          </w:tcPr>
          <w:p w:rsidR="00481CF7" w:rsidRPr="00B71335" w:rsidRDefault="00481CF7" w:rsidP="00834CF8">
            <w:pPr>
              <w:rPr>
                <w:sz w:val="18"/>
                <w:szCs w:val="18"/>
              </w:rPr>
            </w:pPr>
            <w:r w:rsidRPr="002A075D">
              <w:rPr>
                <w:b/>
                <w:sz w:val="18"/>
                <w:szCs w:val="18"/>
              </w:rPr>
              <w:t xml:space="preserve">Mean number of total bed days for patients </w:t>
            </w:r>
            <w:proofErr w:type="gramStart"/>
            <w:r w:rsidRPr="002A075D">
              <w:rPr>
                <w:b/>
                <w:sz w:val="18"/>
                <w:szCs w:val="18"/>
              </w:rPr>
              <w:t>with  more</w:t>
            </w:r>
            <w:proofErr w:type="gramEnd"/>
            <w:r w:rsidRPr="002A075D">
              <w:rPr>
                <w:b/>
                <w:sz w:val="18"/>
                <w:szCs w:val="18"/>
              </w:rPr>
              <w:t xml:space="preserve"> than one episode</w:t>
            </w:r>
            <w:r w:rsidRPr="00B71335">
              <w:rPr>
                <w:sz w:val="18"/>
                <w:szCs w:val="18"/>
              </w:rPr>
              <w:t xml:space="preserve"> </w:t>
            </w:r>
            <w:r w:rsidRPr="002A075D">
              <w:rPr>
                <w:sz w:val="18"/>
                <w:szCs w:val="18"/>
              </w:rPr>
              <w:t>(n=427, 20.7% of APC patients)</w:t>
            </w:r>
          </w:p>
        </w:tc>
        <w:tc>
          <w:tcPr>
            <w:tcW w:w="2693" w:type="dxa"/>
          </w:tcPr>
          <w:p w:rsidR="00481CF7" w:rsidRPr="00B71335" w:rsidRDefault="00481CF7" w:rsidP="00834CF8">
            <w:pPr>
              <w:rPr>
                <w:sz w:val="18"/>
                <w:szCs w:val="18"/>
              </w:rPr>
            </w:pPr>
            <w:r w:rsidRPr="00B71335">
              <w:rPr>
                <w:sz w:val="18"/>
                <w:szCs w:val="18"/>
              </w:rPr>
              <w:t>11.2 days (range: 0-315)</w:t>
            </w:r>
          </w:p>
        </w:tc>
        <w:tc>
          <w:tcPr>
            <w:tcW w:w="2410" w:type="dxa"/>
          </w:tcPr>
          <w:p w:rsidR="00481CF7" w:rsidRPr="00B71335" w:rsidRDefault="00481CF7" w:rsidP="00834CF8">
            <w:pPr>
              <w:rPr>
                <w:sz w:val="18"/>
                <w:szCs w:val="18"/>
              </w:rPr>
            </w:pPr>
            <w:r>
              <w:rPr>
                <w:sz w:val="18"/>
                <w:szCs w:val="18"/>
              </w:rPr>
              <w:t>N/A</w:t>
            </w:r>
          </w:p>
        </w:tc>
        <w:tc>
          <w:tcPr>
            <w:tcW w:w="1275" w:type="dxa"/>
          </w:tcPr>
          <w:p w:rsidR="00481CF7" w:rsidRPr="00B71335" w:rsidRDefault="00481CF7" w:rsidP="00834CF8">
            <w:pPr>
              <w:rPr>
                <w:sz w:val="18"/>
                <w:szCs w:val="18"/>
              </w:rPr>
            </w:pPr>
            <w:r>
              <w:rPr>
                <w:sz w:val="18"/>
                <w:szCs w:val="18"/>
              </w:rPr>
              <w:t>N/A</w:t>
            </w:r>
          </w:p>
        </w:tc>
      </w:tr>
      <w:tr w:rsidR="00481CF7" w:rsidTr="002A075D">
        <w:trPr>
          <w:trHeight w:val="283"/>
        </w:trPr>
        <w:tc>
          <w:tcPr>
            <w:tcW w:w="2235" w:type="dxa"/>
          </w:tcPr>
          <w:p w:rsidR="00481CF7" w:rsidRPr="00B71335" w:rsidRDefault="00481CF7" w:rsidP="00834CF8">
            <w:pPr>
              <w:rPr>
                <w:sz w:val="18"/>
                <w:szCs w:val="18"/>
              </w:rPr>
            </w:pPr>
            <w:r w:rsidRPr="002A075D">
              <w:rPr>
                <w:b/>
                <w:sz w:val="18"/>
                <w:szCs w:val="18"/>
              </w:rPr>
              <w:t>Mean number of outpatient appointments</w:t>
            </w:r>
            <w:r w:rsidRPr="00B71335">
              <w:rPr>
                <w:sz w:val="18"/>
                <w:szCs w:val="18"/>
              </w:rPr>
              <w:t xml:space="preserve"> </w:t>
            </w:r>
            <w:r w:rsidRPr="002A075D">
              <w:rPr>
                <w:sz w:val="18"/>
                <w:szCs w:val="18"/>
              </w:rPr>
              <w:t>(n=308, 24 cancelled)</w:t>
            </w:r>
          </w:p>
        </w:tc>
        <w:tc>
          <w:tcPr>
            <w:tcW w:w="2693" w:type="dxa"/>
          </w:tcPr>
          <w:p w:rsidR="00481CF7" w:rsidRPr="00B71335" w:rsidRDefault="00481CF7" w:rsidP="00834CF8">
            <w:pPr>
              <w:rPr>
                <w:sz w:val="18"/>
                <w:szCs w:val="18"/>
              </w:rPr>
            </w:pPr>
            <w:r w:rsidRPr="00B71335">
              <w:rPr>
                <w:sz w:val="18"/>
                <w:szCs w:val="18"/>
              </w:rPr>
              <w:t>N/A</w:t>
            </w:r>
          </w:p>
        </w:tc>
        <w:tc>
          <w:tcPr>
            <w:tcW w:w="2410" w:type="dxa"/>
          </w:tcPr>
          <w:p w:rsidR="00481CF7" w:rsidRPr="00B71335" w:rsidRDefault="00481CF7" w:rsidP="00834CF8">
            <w:pPr>
              <w:rPr>
                <w:sz w:val="18"/>
                <w:szCs w:val="18"/>
              </w:rPr>
            </w:pPr>
            <w:r w:rsidRPr="00B71335">
              <w:rPr>
                <w:sz w:val="18"/>
                <w:szCs w:val="18"/>
              </w:rPr>
              <w:t>1.5 (range: 1-25)</w:t>
            </w:r>
          </w:p>
        </w:tc>
        <w:tc>
          <w:tcPr>
            <w:tcW w:w="1275" w:type="dxa"/>
          </w:tcPr>
          <w:p w:rsidR="00481CF7" w:rsidRPr="00B71335" w:rsidRDefault="00481CF7" w:rsidP="00834CF8">
            <w:pPr>
              <w:rPr>
                <w:sz w:val="18"/>
                <w:szCs w:val="18"/>
              </w:rPr>
            </w:pPr>
            <w:r w:rsidRPr="00B71335">
              <w:rPr>
                <w:sz w:val="18"/>
                <w:szCs w:val="18"/>
              </w:rPr>
              <w:t>NA</w:t>
            </w:r>
          </w:p>
        </w:tc>
      </w:tr>
      <w:tr w:rsidR="00481CF7" w:rsidTr="002A075D">
        <w:trPr>
          <w:trHeight w:val="283"/>
        </w:trPr>
        <w:tc>
          <w:tcPr>
            <w:tcW w:w="2235" w:type="dxa"/>
          </w:tcPr>
          <w:p w:rsidR="00481CF7" w:rsidRPr="00B71335" w:rsidRDefault="00481CF7" w:rsidP="00834CF8">
            <w:pPr>
              <w:rPr>
                <w:sz w:val="18"/>
                <w:szCs w:val="18"/>
              </w:rPr>
            </w:pPr>
            <w:r w:rsidRPr="002A075D">
              <w:rPr>
                <w:b/>
                <w:sz w:val="18"/>
                <w:szCs w:val="18"/>
              </w:rPr>
              <w:t>Mean time in A&amp;E</w:t>
            </w:r>
            <w:r w:rsidRPr="00B71335">
              <w:rPr>
                <w:sz w:val="18"/>
                <w:szCs w:val="18"/>
              </w:rPr>
              <w:t xml:space="preserve"> </w:t>
            </w:r>
            <w:r w:rsidRPr="002A075D">
              <w:rPr>
                <w:sz w:val="18"/>
                <w:szCs w:val="18"/>
              </w:rPr>
              <w:t>(minutes)</w:t>
            </w:r>
          </w:p>
        </w:tc>
        <w:tc>
          <w:tcPr>
            <w:tcW w:w="2693" w:type="dxa"/>
          </w:tcPr>
          <w:p w:rsidR="00481CF7" w:rsidRPr="00B71335" w:rsidRDefault="00481CF7" w:rsidP="00834CF8">
            <w:pPr>
              <w:rPr>
                <w:sz w:val="18"/>
                <w:szCs w:val="18"/>
              </w:rPr>
            </w:pPr>
            <w:r w:rsidRPr="00B71335">
              <w:rPr>
                <w:sz w:val="18"/>
                <w:szCs w:val="18"/>
              </w:rPr>
              <w:t>N/A</w:t>
            </w:r>
          </w:p>
        </w:tc>
        <w:tc>
          <w:tcPr>
            <w:tcW w:w="2410" w:type="dxa"/>
          </w:tcPr>
          <w:p w:rsidR="00481CF7" w:rsidRPr="00B71335" w:rsidRDefault="00481CF7" w:rsidP="00834CF8">
            <w:pPr>
              <w:rPr>
                <w:sz w:val="18"/>
                <w:szCs w:val="18"/>
              </w:rPr>
            </w:pPr>
            <w:r w:rsidRPr="00B71335">
              <w:rPr>
                <w:sz w:val="18"/>
                <w:szCs w:val="18"/>
              </w:rPr>
              <w:t>N/A</w:t>
            </w:r>
          </w:p>
        </w:tc>
        <w:tc>
          <w:tcPr>
            <w:tcW w:w="1275" w:type="dxa"/>
          </w:tcPr>
          <w:p w:rsidR="00481CF7" w:rsidRPr="00B71335" w:rsidRDefault="00481CF7" w:rsidP="00834CF8">
            <w:pPr>
              <w:rPr>
                <w:sz w:val="18"/>
                <w:szCs w:val="18"/>
              </w:rPr>
            </w:pPr>
            <w:r w:rsidRPr="00B71335">
              <w:rPr>
                <w:sz w:val="18"/>
                <w:szCs w:val="18"/>
              </w:rPr>
              <w:t>140 (32-237)</w:t>
            </w:r>
          </w:p>
        </w:tc>
      </w:tr>
    </w:tbl>
    <w:p w:rsidR="00481CF7" w:rsidRDefault="00481CF7" w:rsidP="00C55D03">
      <w:pPr>
        <w:spacing w:line="480" w:lineRule="auto"/>
      </w:pPr>
    </w:p>
    <w:p w:rsidR="00C55D03" w:rsidRDefault="00C55D03" w:rsidP="00C55D03">
      <w:pPr>
        <w:spacing w:line="480" w:lineRule="auto"/>
      </w:pPr>
      <w:r>
        <w:t xml:space="preserve"> Lyme disease was the predominant code in admissions (91.5%) and A&amp;E (100%) data, where as it was ACA (71.4%) in outpatients. Data on patient management for PEDW data was limited to patient admission method; 67.6% (n=69) of Welsh patients were admitted through the A&amp;E department, the remainder were electively admitted. </w:t>
      </w:r>
    </w:p>
    <w:p w:rsidR="00C55D03" w:rsidRPr="000608BB" w:rsidRDefault="00C55D03" w:rsidP="00C55D03">
      <w:pPr>
        <w:spacing w:line="480" w:lineRule="auto"/>
      </w:pPr>
      <w:r>
        <w:t xml:space="preserve">Patient pathways were described using the source of the patient and their discharge method (Fig </w:t>
      </w:r>
      <w:r w:rsidR="00A7663B">
        <w:t>7</w:t>
      </w:r>
      <w:r>
        <w:t>). There was no discharge information for OA, and information for APC was excluded as discharge destination codes did not explicitly describe whether patients were to receive primary care on discharge or whether patients were referred to an outpatient or inpatient clinic.</w:t>
      </w:r>
    </w:p>
    <w:p w:rsidR="00C55D03" w:rsidRDefault="00C55D03" w:rsidP="00C55D03">
      <w:pPr>
        <w:spacing w:line="480" w:lineRule="auto"/>
        <w:rPr>
          <w:b/>
        </w:rPr>
      </w:pPr>
      <w:r>
        <w:rPr>
          <w:b/>
        </w:rPr>
        <w:t>Discussion</w:t>
      </w:r>
    </w:p>
    <w:p w:rsidR="00C55D03" w:rsidRPr="00D479B8" w:rsidRDefault="00C55D03" w:rsidP="00C55D03">
      <w:pPr>
        <w:spacing w:line="480" w:lineRule="auto"/>
      </w:pPr>
      <w:r>
        <w:t xml:space="preserve">This study provides an in-depth description of Lyme disease patients seen in English and Welsh hospitals, </w:t>
      </w:r>
      <w:r w:rsidRPr="00D479B8">
        <w:t xml:space="preserve">and addresses some of the NICE guidelines calls for new epidemiological data </w:t>
      </w:r>
      <w:r w:rsidRPr="00D479B8">
        <w:fldChar w:fldCharType="begin" w:fldLock="1"/>
      </w:r>
      <w:r w:rsidR="003E3EEF">
        <w:instrText>ADDIN CSL_CITATION {"citationItems":[{"id":"ITEM-1","itemData":{"URL":"https://www.nice.org.uk/guidance/ng95","accessed":{"date-parts":[["2017","10","23"]]},"author":[{"dropping-particle":"","family":"National Institute for Health and Care Excellence","given":"","non-dropping-particle":"","parse-names":false,"suffix":""}],"id":"ITEM-1","issued":{"date-parts":[["2018"]]},"title":"Lyme disease NICE guideline [NG95]","type":"webpage"},"uris":["http://www.mendeley.com/documents/?uuid=3c60817c-61d3-46a6-b42a-4baa11776ecd"]}],"mendeley":{"formattedCitation":"(5)","plainTextFormattedCitation":"(5)","previouslyFormattedCitation":"(5)"},"properties":{"noteIndex":0},"schema":"https://github.com/citation-style-language/schema/raw/master/csl-citation.json"}</w:instrText>
      </w:r>
      <w:r w:rsidRPr="00D479B8">
        <w:fldChar w:fldCharType="separate"/>
      </w:r>
      <w:r w:rsidR="003E3EEF" w:rsidRPr="003E3EEF">
        <w:rPr>
          <w:noProof/>
        </w:rPr>
        <w:t>(5)</w:t>
      </w:r>
      <w:r w:rsidRPr="00D479B8">
        <w:fldChar w:fldCharType="end"/>
      </w:r>
      <w:r w:rsidRPr="00D479B8">
        <w:t>.</w:t>
      </w:r>
      <w:r>
        <w:t xml:space="preserve"> Incidence rose over the study period, showing a similar trend, but at lower levels, compared to officially published figures based on laboratory confirmed cases</w:t>
      </w:r>
      <w:r>
        <w:fldChar w:fldCharType="begin" w:fldLock="1"/>
      </w:r>
      <w:r w:rsidR="003E3EEF">
        <w:instrText>ADDIN CSL_CITATION {"citationItems":[{"id":"ITEM-1","itemData":{"URL":"https://www.gov.uk/government/publications/lyme-borreliosis-epidemiology/lyme-borreliosis-epidemiology-and-surveillance","author":[{"dropping-particle":"","family":"Public Health England","given":"","non-dropping-particle":"","parse-names":false,"suffix":""}],"id":"ITEM-1","issued":{"date-parts":[["2013"]]},"note":"NULL","title":"Lyme borreliosis epidemiology and surveillance","type":"webpage"},"uris":["http://www.mendeley.com/documents/?uuid=a2d601a5-3410-41ed-bef1-f462ba73635f"]},{"id":"ITEM-2","itemData":{"URL":"https://www.gov.uk/government/publications/zoonoses-uk-annual-reports","accessed":{"date-parts":[["2017","11","3"]]},"author":[{"dropping-particle":"","family":"Public Health England","given":"","non-dropping-particle":"","parse-names":false,"suffix":""}],"id":"ITEM-2","issued":{"date-parts":[["2017"]]},"title":"Zoonoses: UK annual reports","type":"webpage"},"uris":["http://www.mendeley.com/documents/?uuid=bed4d186-34ed-46c8-a948-bab86db66acb"]},{"id":"ITEM-3","itemData":{"author":[{"dropping-particle":"","family":"Tulloch","given":"J.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press)","id":"ITEM-3","issued":{"date-parts":[["2019"]]},"title":"The demographics and geographic distribution of laboratory-confirmed Lyme disease cases in England and Wales (2013-2016): an ecological study","type":"article-journal"},"uris":["http://www.mendeley.com/documents/?uuid=e4a3e3e9-ceb1-41a8-ae79-31e73bc578a3"]}],"mendeley":{"formattedCitation":"(2–4)","manualFormatting":" (2–4)","plainTextFormattedCitation":"(2–4)","previouslyFormattedCitation":"(2–4)"},"properties":{"noteIndex":0},"schema":"https://github.com/citation-style-language/schema/raw/master/csl-citation.json"}</w:instrText>
      </w:r>
      <w:r>
        <w:fldChar w:fldCharType="separate"/>
      </w:r>
      <w:r w:rsidR="003E3EEF">
        <w:rPr>
          <w:noProof/>
        </w:rPr>
        <w:t xml:space="preserve"> </w:t>
      </w:r>
      <w:r w:rsidR="003E3EEF" w:rsidRPr="003E3EEF">
        <w:rPr>
          <w:noProof/>
        </w:rPr>
        <w:t>(2–4)</w:t>
      </w:r>
      <w:r>
        <w:fldChar w:fldCharType="end"/>
      </w:r>
      <w:r>
        <w:t xml:space="preserve">. This discrepancy is to be expected, as national laboratories will receive samples from both hospital and primary care </w:t>
      </w:r>
      <w:proofErr w:type="gramStart"/>
      <w:r>
        <w:t>patients, and</w:t>
      </w:r>
      <w:proofErr w:type="gramEnd"/>
      <w:r>
        <w:t xml:space="preserve"> will therefore have a higher incidence. Not all cases would need to be referred to a hospital clinician from primary care, as the majority of cases are likely to present with an uncomplicated erythema migrans rash </w:t>
      </w:r>
      <w:r>
        <w:fldChar w:fldCharType="begin" w:fldLock="1"/>
      </w:r>
      <w:r w:rsidR="003E3EEF">
        <w:instrText>ADDIN CSL_CITATION {"citationItems":[{"id":"ITEM-1","itemData":{"URL":"https://www.nice.org.uk/guidance/ng95","accessed":{"date-parts":[["2017","10","23"]]},"author":[{"dropping-particle":"","family":"National Institute for Health and Care Excellence","given":"","non-dropping-particle":"","parse-names":false,"suffix":""}],"id":"ITEM-1","issued":{"date-parts":[["2018"]]},"title":"Lyme disease NICE guideline [NG95]","type":"webpage"},"uris":["http://www.mendeley.com/documents/?uuid=3c60817c-61d3-46a6-b42a-4baa11776ecd"]}],"mendeley":{"formattedCitation":"(5)","plainTextFormattedCitation":"(5)","previouslyFormattedCitation":"(5)"},"properties":{"noteIndex":0},"schema":"https://github.com/citation-style-language/schema/raw/master/csl-citation.json"}</w:instrText>
      </w:r>
      <w:r>
        <w:fldChar w:fldCharType="separate"/>
      </w:r>
      <w:r w:rsidR="003E3EEF" w:rsidRPr="003E3EEF">
        <w:rPr>
          <w:noProof/>
        </w:rPr>
        <w:t>(5)</w:t>
      </w:r>
      <w:r>
        <w:fldChar w:fldCharType="end"/>
      </w:r>
      <w:r>
        <w:t xml:space="preserve">. The cause for the increase in incidence is unknown, but may be the result of, among other causes; increased awareness by the public and/or hospital clinicians, increase in </w:t>
      </w:r>
      <w:r>
        <w:lastRenderedPageBreak/>
        <w:t xml:space="preserve">referrals by clinicians in primary care, or a true increase in incidence within </w:t>
      </w:r>
      <w:r w:rsidRPr="00F16D92">
        <w:t>England and Wales. Further research is needed to understand the drivers for this increase in incidence.</w:t>
      </w:r>
      <w:r>
        <w:t xml:space="preserve"> </w:t>
      </w:r>
      <w:r w:rsidRPr="00D479B8">
        <w:t xml:space="preserve">Compared to other European countries the incidence we describe is lower. In France the annual hospitalisation rate due to Lyme diseases is 1.55 cases per 100,000 </w:t>
      </w:r>
      <w:r w:rsidRPr="00D479B8">
        <w:fldChar w:fldCharType="begin" w:fldLock="1"/>
      </w:r>
      <w:r w:rsidR="003E3EEF">
        <w:instrText>ADDIN CSL_CITATION {"citationItems":[{"id":"ITEM-1","itemData":{"DOI":"10.2807/1560-7917.ES2014.19.34.20883","ISSN":"15607917","PMID":"25188613","abstract":"Lyme borreliosis (LB) has become a major concern recently, as trends in several epidemiological studies indicate that there has been an increase in this disease in Europe and America over the last decade. This work provides estimates of LB incidence and hospitalisation rates in France. LB data was obtained from the Sentinelles general practitioner surveillance network (2009–2012) and from the Programme de Médicalisation des Systèmes d’Information (PMSI) data processing centre for hospital discharges (2004–09). The yearly LB incidence rate averaged 42 per 100,000 inhabitants (95% confidence interval (CI): 37–48), ranging from 0 to 184 per 100,000 depending on the region. The annual hospitalisation rate due to LB averaged 1.55 per 100,000 inhabitants (95% CI: 1.42–1.70). Both rates peaked during the summer and fall and had a bimodal age distribution (5–10 years and 50–70 years). Healthcare providers should continue to invest attention to prompt recognition and early therapy for LB, whereas public health strategies should keep promoting use of repellent, daily checks for ticks and their prompt removal.","author":[{"dropping-particle":"","family":"Vandenesch","given":"A.","non-dropping-particle":"","parse-names":false,"suffix":""},{"dropping-particle":"","family":"Turbelin","given":"C.","non-dropping-particle":"","parse-names":false,"suffix":""},{"dropping-particle":"","family":"Couturier","given":"E.","non-dropping-particle":"","parse-names":false,"suffix":""},{"dropping-particle":"","family":"Arena","given":"C.","non-dropping-particle":"","parse-names":false,"suffix":""},{"dropping-particle":"","family":"Jaulhac","given":"B.","non-dropping-particle":"","parse-names":false,"suffix":""},{"dropping-particle":"","family":"Ferquel","given":"E.","non-dropping-particle":"","parse-names":false,"suffix":""},{"dropping-particle":"","family":"Choumet","given":"V.","non-dropping-particle":"","parse-names":false,"suffix":""},{"dropping-particle":"","family":"Saugeon","given":"C.","non-dropping-particle":"","parse-names":false,"suffix":""},{"dropping-particle":"","family":"Coffinieres","given":"E.","non-dropping-particle":"","parse-names":false,"suffix":""},{"dropping-particle":"","family":"Blanchon","given":"T.","non-dropping-particle":"","parse-names":false,"suffix":""},{"dropping-particle":"","family":"Vaillant","given":"V.","non-dropping-particle":"","parse-names":false,"suffix":""},{"dropping-particle":"","family":"Hanslik","given":"T.","non-dropping-particle":"","parse-names":false,"suffix":""}],"container-title":"Euro surveillance : bulletin Europ??en sur les maladies transmissibles = European communicable disease bulletin","id":"ITEM-1","issue":"34","issued":{"date-parts":[["2014"]]},"title":"Incidence and hospitalisation rates of Lyme borreliosis, France, 2004 to 2012","type":"article-journal","volume":"19"},"uris":["http://www.mendeley.com/documents/?uuid=369745cd-9a8d-4f41-b835-f48202372a48"]}],"mendeley":{"formattedCitation":"(23)","plainTextFormattedCitation":"(23)","previouslyFormattedCitation":"(23)"},"properties":{"noteIndex":0},"schema":"https://github.com/citation-style-language/schema/raw/master/csl-citation.json"}</w:instrText>
      </w:r>
      <w:r w:rsidRPr="00D479B8">
        <w:fldChar w:fldCharType="separate"/>
      </w:r>
      <w:r w:rsidR="003E3EEF" w:rsidRPr="003E3EEF">
        <w:rPr>
          <w:noProof/>
        </w:rPr>
        <w:t>(23)</w:t>
      </w:r>
      <w:r w:rsidRPr="00D479B8">
        <w:fldChar w:fldCharType="end"/>
      </w:r>
      <w:r w:rsidRPr="00D479B8">
        <w:t xml:space="preserve">, with an estimated average national incidence of 42 cases per 100,000 population. Whereas in Germany the inpatient incidence was 9 cases per 100,000 population, but with large regional variation </w:t>
      </w:r>
      <w:r w:rsidRPr="00D479B8">
        <w:fldChar w:fldCharType="begin" w:fldLock="1"/>
      </w:r>
      <w:r w:rsidR="003E3EEF">
        <w:instrText>ADDIN CSL_CITATION {"citationItems":[{"id":"ITEM-1","itemData":{"DOI":"10.1016/j.ttbdis.2014.09.004","ISSN":"18779603","PMID":"25448420","abstract":"To date, relatively little is known about the economic and medical impact of Lyme borreliosis (LB) on European health care systems, especially for the inpatient sector. This retrospective analysis is based on data provided for the years 2007-2011 by a German statutory health insurance company (DAK-Gesundheit) covering approximately 6 million insured. Total cost was calculated for a 1-year period both from the third-party payers and from the societal perspective, respectively. In our cohort the incident diagnosis of LB was coded for 2163 inpatient cases during the years 2008-2011. The median inpatient time was 9 days resulting in a median direct medical cost per hospital stay of 3917D for adolescents and 2843D for adults. Based on extrapolation of our findings to the German population, we would expect an average hospital admission of 5200 adults and 2300 adolescents (&lt;18 years) for LB treatment incurring direct medical costs of more than 23 million Euro annually. The annual indirect costs due to loss of productivity would add up to more than 7 million Euro as assessed by the human capital method. Cases tended to accumulate between June and September with remarkable changes in disease manifestations in the course of the year documented in the coded secondary diagnoses. Also specific differences in the disease pattern of adolescents and adults became obvious. Age-specific incidence showed male predominance and a bimodal distribution. Incidence was highest in children aged between 3 and 17 (highest mean incidence of 29 cases/100,000 inhabitants in 6-9 year olds) with a second peak in 60-79 year old individuals. During the study period the nationwide inpatient incidence was 9/100,000 with marked regional variability. In summary, our study is one of the first European investigations on hospital care for LB inpatients and identifies LB as a possibly underestimated socioeconomic factor for health care in Germany.","author":[{"dropping-particle":"","family":"Lohr","given":"B.","non-dropping-particle":"","parse-names":false,"suffix":""},{"dropping-particle":"","family":"Müller","given":"I.","non-dropping-particle":"","parse-names":false,"suffix":""},{"dropping-particle":"","family":"Mai","given":"M.","non-dropping-particle":"","parse-names":false,"suffix":""},{"dropping-particle":"","family":"Norris","given":"D. E.","non-dropping-particle":"","parse-names":false,"suffix":""},{"dropping-particle":"","family":"Schöffski","given":"O.","non-dropping-particle":"","parse-names":false,"suffix":""},{"dropping-particle":"","family":"Hunfel","given":"K. P.","non-dropping-particle":"","parse-names":false,"suffix":""}],"container-title":"Ticks and Tick-borne Diseases","id":"ITEM-1","issue":"1","issued":{"date-parts":[["2015"]]},"page":"56-62","publisher":"Elsevier GmbH.","title":"Epidemiology and cost of hospital care for Lyme borreliosis in Germany: Lessons from a health care utilization database analysis","type":"article-journal","volume":"6"},"uris":["http://www.mendeley.com/documents/?uuid=63e0abe9-5c8a-4813-8ae7-f9a19d44afb9"]}],"mendeley":{"formattedCitation":"(24)","plainTextFormattedCitation":"(24)","previouslyFormattedCitation":"(24)"},"properties":{"noteIndex":0},"schema":"https://github.com/citation-style-language/schema/raw/master/csl-citation.json"}</w:instrText>
      </w:r>
      <w:r w:rsidRPr="00D479B8">
        <w:fldChar w:fldCharType="separate"/>
      </w:r>
      <w:r w:rsidR="003E3EEF" w:rsidRPr="003E3EEF">
        <w:rPr>
          <w:noProof/>
        </w:rPr>
        <w:t>(24)</w:t>
      </w:r>
      <w:r w:rsidRPr="00D479B8">
        <w:fldChar w:fldCharType="end"/>
      </w:r>
      <w:r w:rsidRPr="00D479B8">
        <w:t>.</w:t>
      </w:r>
      <w:r w:rsidR="003E3EEF">
        <w:t xml:space="preserve"> The reasons for this are mixed</w:t>
      </w:r>
      <w:r w:rsidRPr="00D479B8">
        <w:t xml:space="preserve"> and are likely due to; differences in </w:t>
      </w:r>
      <w:proofErr w:type="spellStart"/>
      <w:r w:rsidRPr="00D479B8">
        <w:rPr>
          <w:i/>
        </w:rPr>
        <w:t>Ixodes</w:t>
      </w:r>
      <w:proofErr w:type="spellEnd"/>
      <w:r w:rsidRPr="00D479B8">
        <w:rPr>
          <w:i/>
        </w:rPr>
        <w:t xml:space="preserve"> </w:t>
      </w:r>
      <w:proofErr w:type="spellStart"/>
      <w:r w:rsidRPr="00D479B8">
        <w:rPr>
          <w:i/>
        </w:rPr>
        <w:t>spp</w:t>
      </w:r>
      <w:proofErr w:type="spellEnd"/>
      <w:r w:rsidRPr="00D479B8">
        <w:rPr>
          <w:i/>
        </w:rPr>
        <w:t xml:space="preserve"> </w:t>
      </w:r>
      <w:r w:rsidRPr="00D479B8">
        <w:t xml:space="preserve">prevalence and </w:t>
      </w:r>
      <w:r w:rsidRPr="00D479B8">
        <w:rPr>
          <w:i/>
        </w:rPr>
        <w:t xml:space="preserve">Borrelia </w:t>
      </w:r>
      <w:proofErr w:type="spellStart"/>
      <w:r w:rsidRPr="00D479B8">
        <w:rPr>
          <w:i/>
        </w:rPr>
        <w:t>spp</w:t>
      </w:r>
      <w:proofErr w:type="spellEnd"/>
      <w:r w:rsidRPr="00D479B8">
        <w:rPr>
          <w:i/>
        </w:rPr>
        <w:t xml:space="preserve"> </w:t>
      </w:r>
      <w:r w:rsidRPr="00D479B8">
        <w:t xml:space="preserve">carriage rates, different levels of exposure to ticks by the general population, and differences in how patients access healthcare. </w:t>
      </w:r>
    </w:p>
    <w:p w:rsidR="00C55D03" w:rsidRDefault="00C55D03" w:rsidP="00C55D03">
      <w:pPr>
        <w:spacing w:line="480" w:lineRule="auto"/>
      </w:pPr>
      <w:r w:rsidRPr="00D479B8">
        <w:t xml:space="preserve">The seasonality observed here supports the known risk factors and epidemiology of Lyme disease. Tick populations in the UK have been shown to peak in June or July each year </w:t>
      </w:r>
      <w:r w:rsidRPr="00D479B8">
        <w:fldChar w:fldCharType="begin" w:fldLock="1"/>
      </w:r>
      <w:r w:rsidR="003E3EEF">
        <w:instrText>ADDIN CSL_CITATION {"citationItems":[{"id":"ITEM-1","itemData":{"DOI":"10.1017/S0950268817000826","author":[{"dropping-particle":"","family":"Tulloch","given":"J S P","non-dropping-particle":"","parse-names":false,"suffix":""},{"dropping-particle":"","family":"McGinley","given":"L","non-dropping-particle":"","parse-names":false,"suffix":""},{"dropping-particle":"","family":"Sanchez-Vizcaino","given":"F","non-dropping-particle":"","parse-names":false,"suffix":""},{"dropping-particle":"","family":"MEDLOCK","given":"J. M.","non-dropping-particle":"","parse-names":false,"suffix":""},{"dropping-particle":"","family":"Radford","given":"A D","non-dropping-particle":"","parse-names":false,"suffix":""}],"container-title":"Epidemiology and Infection","id":"ITEM-1","issue":"May","issued":{"date-parts":[["2017"]]},"title":"The passive surveillance of ticks using companion animal electronic health records","type":"article-journal"},"uris":["http://www.mendeley.com/documents/?uuid=5c109453-6777-4121-9f02-fc3caa4a583c"]},{"id":"ITEM-2","itemData":{"DOI":"10.1089/vbz.2010.0079","ISBN":"1557-7759 (Electronic)\\r1530-3667 (Linking)","ISSN":"1557-7759","PMID":"20849277","abstract":"The ability for public/veterinary health agencies to assess the risks posed by tick-borne pathogens is reliant on an understanding of the main tick vector species. Crucially, the status, distribution, and changing trends in tick distribution and abundance are implicit requirements of any risk assessment; however, this is contingent on the quality of tick distribution data. Since 2005 the Health Protection Agency has promoted an enhanced tick surveillance program. Through engagement with a variety of public and veterinary health agencies and practitioners (e.g., clinicians and veterinarians), wildlife groups (deer society, zoos, animal refuge centers, and academics), and amateur entomologists, &gt;4000 ticks from 900 separate records across Great Britain have been submitted, representing 14 tick species (Ixodes ricinus, Ixodes hexagonus, Ixodes acuminatus, Ixodes arboricola, Ixodes canisuga, Ixodes frontalis, Ixodes lividus, Ixodes trianguliceps, Ixodes ventalloi, Carios vespertilionis, Dermacentor reticulatus, Haemaphysalis punctata, Hyalomma marginatum, and Amblyomma species). The majority of ticks submitted were I. ricinus (81%), followed by I. hexagonus (10%) and I. frontalis (2.5%). Predominant host groups include companion animals (411 records), humans (198 records), wild birds (111 records), and large wild mammals (88 records), with records also from small/medium wild mammals, livestock, the environment and domestic/aviary birds. The scheme has elucidated the detection of two nonnative tick species, the expansion of previously geographically restricted D. reticulatus and produced ground data on the spread of I. ricinus in southwest England. It has also provided a forum for submission of ticks from the concerned public and particularly those infected with Lyme borreliosis, thus raising awareness among public health agencies of the increased peri-urban tick problem in Britain. Our results demonstrate that it is possible to run a cost-effective nationwide surveillance program to successfully monitor endemic tick species, identify subtle changes in their distribution, and detect the arrival and presence of exotic species.","author":[{"dropping-particle":"","family":"Jameson","given":"Lisa J","non-dropping-particle":"","parse-names":false,"suffix":""},{"dropping-particle":"","family":"Medlock","given":"Jolyon M","non-dropping-particle":"","parse-names":false,"suffix":""}],"container-title":"Vector borne and zoonotic diseases (Larchmont, N.Y.)","id":"ITEM-2","issue":"4","issued":{"date-parts":[["2011"]]},"page":"403-12","title":"Tick surveillance in Great Britain.","type":"article-journal","volume":"11"},"uris":["http://www.mendeley.com/documents/?uuid=aadea22d-3355-4385-a46b-d17198e879db"]},{"id":"ITEM-3","itemData":{"DOI":"10.1016/J.TTBDIS.2018.01.011","ISSN":"1877-959X","PMID":"29426591","abstract":"Public Health England’s passive Tick Surveillance Scheme (TSS) records the distribution, seasonality and host associations of ticks submitted from across the United Kingdom (UK), and helps to inform the UK government on emerging tick-borne disease risks. Here we summarise data collected through surveillance during 2010–2016, and compare with previous TSS data from 2005 to 2009, particularly in relation to the primary Lyme borreliosis vector Ixodes ricinus. 4173 records were submitted, constituting &gt;14,000 ticks; 97% were endemic tick records (13,833 ticks of 11 species), with an additional 97 records of imported ticks (438 ticks of 17 species). Tick submissions were mainly from veterinary professionals (n = 1954; 46.8%) and members of the public and amateur entomologists (n = 1600; 38.3%), as well as from academic institutions (n = 249; 6.0%), wildlife groups (n = 239; 5.7%) and health professionals (n = 131; 3.1%). The most commonly reported hosts of endemic ticks were dogs (n = 1593; 39.1% of all records), humans (n = 835; 20.5%) and cats (n = 569; 14%). New host associations were recorded for a number of tick species. Ixodes ricinus was the most frequently recorded endemic tick species (n = 2413; 59.2% of all records), followed by I. hexagonus (n = 1355; 33.2%), I. canisuga (n = 132; 3.2%) and I. frontalis (n = 56; 1.4%), with other species each making up &lt;1% total records. 81% of I. ricinus recorded from humans were nymphs, whereas 93.4% of I. ricinus from companion animals were adults. Recent TSS records of I. ricinus in the UK add a considerable amount of new presence data for this species, particularly in the southern regions of England, and confirm that this species is widespread across the UK. The scheme remains a valuable method of collecting continuous national distribution data on ticks from a variety of host species.","author":[{"dropping-particle":"","family":"Cull","given":"Benjamin","non-dropping-particle":"","parse-names":false,"suffix":""},{"dropping-particle":"","family":"Pietzsch","given":"Maaike E.","non-dropping-particle":"","parse-names":false,"suffix":""},{"dropping-particle":"","family":"Hansford","given":"Kayleigh M.","non-dropping-particle":"","parse-names":false,"suffix":""},{"dropping-particle":"","family":"Gillingham","given":"Emma L.","non-dropping-particle":"","parse-names":false,"suffix":""},{"dropping-particle":"","family":"Medlock","given":"Jolyon M.","non-dropping-particle":"","parse-names":false,"suffix":""}],"container-title":"Ticks and Tick-borne Diseases","id":"ITEM-3","issue":"3","issued":{"date-parts":[["2018"]]},"page":"605-614","publisher":"Elsevier","title":"Surveillance of British ticks: An overview of species records, host associations, and new records of Ixodes ricinus distribution","type":"article-journal","volume":"9"},"uris":["http://www.mendeley.com/documents/?uuid=323229de-3eb9-4083-b3ef-ffde3f48c397"]}],"mendeley":{"formattedCitation":"(25–27)","plainTextFormattedCitation":"(25–27)","previouslyFormattedCitation":"(25–27)"},"properties":{"noteIndex":0},"schema":"https://github.com/citation-style-language/schema/raw/master/csl-citation.json"}</w:instrText>
      </w:r>
      <w:r w:rsidRPr="00D479B8">
        <w:fldChar w:fldCharType="separate"/>
      </w:r>
      <w:r w:rsidR="003E3EEF" w:rsidRPr="003E3EEF">
        <w:rPr>
          <w:noProof/>
        </w:rPr>
        <w:t>(25–27)</w:t>
      </w:r>
      <w:r w:rsidRPr="00D479B8">
        <w:fldChar w:fldCharType="end"/>
      </w:r>
      <w:r w:rsidRPr="00D479B8">
        <w:t xml:space="preserve">. One would therefore expect to see tick bite incidence and exposure to Lyme disease to peak similarly. Clinical signs will appear anywhere from several days to a few weeks after a tick bite </w:t>
      </w:r>
      <w:r w:rsidRPr="00D479B8">
        <w:fldChar w:fldCharType="begin" w:fldLock="1"/>
      </w:r>
      <w:r w:rsidR="003E3EEF">
        <w:instrText>ADDIN CSL_CITATION {"citationItems":[{"id":"ITEM-1","itemData":{"DOI":"10.1111/j.1469-0691.2010.03175.x","ISBN":"9076906890","ISSN":"1469-0691","PMID":"20132258","abstract":"Lyme borreliosis, caused by spirochaetes of the Borrelia burgdorferi genospecies complex, is the most commonly reported tick-borne infection in Europe and North America. The non-specific nature of many of its clinical manifestations presents a diagnostic challenge and concise case definitions are essential for its satisfactory management. Lyme borreliosis is very similar in Europe and North America but the greater variety of genospecies in Europe leads to some important differences in clinical presentation. These new case definitions for European Lyme borreliosis emphasise recognition of clinical manifestations supported by relevant laboratory criteria and may be used in a clinical setting and also for epidemiological investigations.","author":[{"dropping-particle":"","family":"Stanek","given":"G","non-dropping-particle":"","parse-names":false,"suffix":""},{"dropping-particle":"","family":"Fingerle","given":"V","non-dropping-particle":"","parse-names":false,"suffix":""},{"dropping-particle":"","family":"Hunfeld","given":"K-P","non-dropping-particle":"","parse-names":false,"suffix":""},{"dropping-particle":"","family":"Jaulhac","given":"B","non-dropping-particle":"","parse-names":false,"suffix":""},{"dropping-particle":"","family":"Kaiser","given":"R","non-dropping-particle":"","parse-names":false,"suffix":""},{"dropping-particle":"","family":"Krause","given":"a","non-dropping-particle":"","parse-names":false,"suffix":""},{"dropping-particle":"","family":"Kristoferitsch","given":"W","non-dropping-particle":"","parse-names":false,"suffix":""},{"dropping-particle":"","family":"O'Connell","given":"S","non-dropping-particle":"","parse-names":false,"suffix":""},{"dropping-particle":"","family":"Ornstein","given":"K","non-dropping-particle":"","parse-names":false,"suffix":""},{"dropping-particle":"","family":"Strle","given":"F","non-dropping-particle":"","parse-names":false,"suffix":""},{"dropping-particle":"","family":"Gray","given":"J","non-dropping-particle":"","parse-names":false,"suffix":""}],"container-title":"Clinical microbiology and infection : the official publication of the European Society of Clinical Microbiology and Infectious Diseases","id":"ITEM-1","issue":"1","issued":{"date-parts":[["2011"]]},"page":"69-79","title":"Lyme borreliosis: clinical case definitions for diagnosis and management in Europe.","type":"article-journal","volume":"17"},"uris":["http://www.mendeley.com/documents/?uuid=c77563ec-9634-4887-98f6-df87e713a0f2"]}],"mendeley":{"formattedCitation":"(7)","plainTextFormattedCitation":"(7)","previouslyFormattedCitation":"(7)"},"properties":{"noteIndex":0},"schema":"https://github.com/citation-style-language/schema/raw/master/csl-citation.json"}</w:instrText>
      </w:r>
      <w:r w:rsidRPr="00D479B8">
        <w:fldChar w:fldCharType="separate"/>
      </w:r>
      <w:r w:rsidR="003E3EEF" w:rsidRPr="003E3EEF">
        <w:rPr>
          <w:noProof/>
        </w:rPr>
        <w:t>(7)</w:t>
      </w:r>
      <w:r w:rsidRPr="00D479B8">
        <w:fldChar w:fldCharType="end"/>
      </w:r>
      <w:r w:rsidRPr="00D479B8">
        <w:t xml:space="preserve">. </w:t>
      </w:r>
      <w:bookmarkStart w:id="4" w:name="_Hlk4151283"/>
      <w:r w:rsidRPr="00D479B8">
        <w:t>Previous work in England and Wales showed a peak of serologicall</w:t>
      </w:r>
      <w:r w:rsidR="003E3EEF">
        <w:t>y confirmed cases between July</w:t>
      </w:r>
      <w:r w:rsidRPr="00D479B8">
        <w:t xml:space="preserve"> and September, with an assumed peak of symptoms earlier in the summer</w:t>
      </w:r>
      <w:bookmarkEnd w:id="4"/>
      <w:r w:rsidRPr="00D479B8">
        <w:t xml:space="preserve"> </w:t>
      </w:r>
      <w:r w:rsidRPr="00D479B8">
        <w:fldChar w:fldCharType="begin" w:fldLock="1"/>
      </w:r>
      <w:r w:rsidR="003E3EEF">
        <w:instrText>ADDIN CSL_CITATION {"citationItems":[{"id":"ITEM-1","itemData":{"DOI":"10.3201/eid0604.000416","ISBN":"1080-6040 (Print)","ISSN":"1080-6040","PMID":"10905978","abstract":"Improved surveillance indicates that Lyme borreliosis, an emerging zoonosis in the United Kingdom, has increased from 0.06/100,000 during 1986-1992 to 0.32/100,000 since 1996. Case reports peaked in the third quarter of each year. Several high-incidence localities were identified. Erythema migrans was reported in 41% of patients; arthritis in 4%; musculoskeletal symptoms in 18%; and neuroborreliosis in 15%.","author":[{"dropping-particle":"","family":"Smith","given":"Robert","non-dropping-particle":"","parse-names":false,"suffix":""},{"dropping-particle":"","family":"O'Connell","given":"S","non-dropping-particle":"","parse-names":false,"suffix":""},{"dropping-particle":"","family":"Palmer","given":"Stephen","non-dropping-particle":"","parse-names":false,"suffix":""}],"container-title":"Emerging infectious diseases","id":"ITEM-1","issue":"4","issued":{"date-parts":[["2000"]]},"note":"NULL","page":"404-7","title":"Lyme disease surveillance in England and Wales, 1986 1998.","type":"article-journal","volume":"6"},"uris":["http://www.mendeley.com/documents/?uuid=6d4ff48a-71df-41fc-be08-c32d8a69cb12"]},{"id":"ITEM-2","itemData":{"author":[{"dropping-particle":"","family":"Tulloch","given":"J.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press)","id":"ITEM-2","issued":{"date-parts":[["2019"]]},"title":"The demographics and geographic distribution of laboratory-confirmed Lyme disease cases in England and Wales (2013-2016): an ecological study","type":"article-journal"},"uris":["http://www.mendeley.com/documents/?uuid=e4a3e3e9-ceb1-41a8-ae79-31e73bc578a3"]}],"mendeley":{"formattedCitation":"(4,28)","plainTextFormattedCitation":"(4,28)","previouslyFormattedCitation":"(4,28)"},"properties":{"noteIndex":0},"schema":"https://github.com/citation-style-language/schema/raw/master/csl-citation.json"}</w:instrText>
      </w:r>
      <w:r w:rsidRPr="00D479B8">
        <w:fldChar w:fldCharType="separate"/>
      </w:r>
      <w:r w:rsidR="003E3EEF" w:rsidRPr="003E3EEF">
        <w:rPr>
          <w:noProof/>
        </w:rPr>
        <w:t>(4,28)</w:t>
      </w:r>
      <w:r w:rsidRPr="00D479B8">
        <w:fldChar w:fldCharType="end"/>
      </w:r>
      <w:r w:rsidRPr="00D479B8">
        <w:t xml:space="preserve">. This work would support this conclusion. This mirrors other Northern European countries, such as Finland and Germany, where clinically diagnosed cases peak throughout July and August </w:t>
      </w:r>
      <w:r w:rsidRPr="00D479B8">
        <w:fldChar w:fldCharType="begin" w:fldLock="1"/>
      </w:r>
      <w:r w:rsidR="003E3EEF">
        <w:instrText>ADDIN CSL_CITATION {"citationItems":[{"id":"ITEM-1","itemData":{"DOI":"https://dx.doi.org/10.3201/eid2308.161273","ISBN":"0753-3322 (Print)\\r0753-3322 (Linking)","ISSN":"07533322","PMID":"2686770","abstract":"In 1986-1988 there were 123 patients with positive serology for Lyme borreliosis out of 4000 sera referred to the Department of Bacteriology and Immunology, University of Helsinki. Of the 63 patients with positive serology in 1986-1987 20 showed a predominant involvement of the nervous system, 18 complained of joint symptoms and 11 patients merely showed a skin involvement including 8 patients with erythema chronicum migrans (ECM) and 3 patients with acrodermatitis chronica atrophicans (ACA). Two of the patients had unspedfic general symptoms and in 5 patients the type of involvement remained unknown. The serology was considered to be falsely positive in 2 patients with tuberculous meningitis, in one with syphilis and in another with recurrent fever. ?? 1988.","author":[{"dropping-particle":"","family":"Sajanti","given":"Eeva","non-dropping-particle":"","parse-names":false,"suffix":""},{"dropping-particle":"","family":"Virtanen","given":"Mikko","non-dropping-particle":"","parse-names":false,"suffix":""},{"dropping-particle":"","family":"Helve","given":"Otto","non-dropping-particle":"","parse-names":false,"suffix":""},{"dropping-particle":"","family":"Kussi","given":"Markku","non-dropping-particle":"","parse-names":false,"suffix":""},{"dropping-particle":"","family":"Lyytikainen","given":"Outi","non-dropping-particle":"","parse-names":false,"suffix":""},{"dropping-particle":"","family":"Hytonen","given":"Jukka","non-dropping-particle":"","parse-names":false,"suffix":""},{"dropping-particle":"","family":"Sane","given":"Jussi","non-dropping-particle":"","parse-names":false,"suffix":""}],"container-title":"Emerging infectious diseases","id":"ITEM-1","issue":"8","issued":{"date-parts":[["2017"]]},"page":"128-1288","title":"Lyme borreliosis in Finland in 1995-2014","type":"article-journal","volume":"23"},"uris":["http://www.mendeley.com/documents/?uuid=b12af0ee-1c00-41c2-9567-0c7ec4d4d748"]},{"id":"ITEM-2","itemData":{"DOI":"10.1016/j.ttbdis.2013.10.010","ISBN":"1877-959X","ISSN":"18779603","PMID":"24656810","abstract":"Lyme borreliosis (LB) is the most frequent vector-borne disease in Germany. For more than 10 years, data from mandatory notifications have been available from 6 federal states in the eastern part of Germany. A common case definition was applied. Clinical manifestations of erythema migrans, neuroborreliosis (radiculoneuritis, cranial neuritis, meningitis), and Lyme arthritis were notifiable. From 2009 to 2012, altogether 18,894 cases were notified. The overall incidence varied between 34.9 cases/100,000 inhabitants in 2009 and 19.54 cases/100,000 persons in 2012. LB in eastern Germany showed a pronounced seasonality with a peak in August. Decreasing as well as increasing trends were observed in different federal states. Females predominated among all cases (55.3%). The age distribution was bimodal with incidence peaks in children 5-9 years old (32.4 cases/100,000 persons in 2011) and in adults aged 60-69 years (56.7 cases/100,000 persons in 2011). Erythema migrans affected 95.4% of the patients and acute neuroborreliosis 3.3%. Among the latter, the most common manifestation was radiculoneuritis (n. = 316). Neuritis cranialis was more common in children than in adults (p&lt;. 0.01). The same was true for meningitis (p&lt;. 0.01). Altogether 2.0% of the LB cases developed Lyme arthritis. LB has a significant disease burden in the study area. Different levels of under-ascertainment in the surveillance system could explain parts of the differences in the incidence. Furthermore, there may be discrepancies in disease awareness among patients and physicians. Changes in time and differences among geographical regions could result from variations in risk factors related to human behaviour (e.g., outdoor activity). Additionally, vector-related risk factors may have varied (e.g., landscape, climate). Public health strategies with a particular focus on the high-incidence age groups should promote daily checks for ticks and prompt removal of ticks after exposure to avoid infection. Physicians should be able to recognize LB patients with early manifestations and promptly treat those appropriately. © 2014 Elsevier GmbH.","author":[{"dropping-particle":"","family":"Wilking","given":"Hendrik","non-dropping-particle":"","parse-names":false,"suffix":""},{"dropping-particle":"","family":"Stark","given":"Klaus","non-dropping-particle":"","parse-names":false,"suffix":""}],"container-title":"Ticks and Tick-borne Diseases","id":"ITEM-2","issue":"3","issued":{"date-parts":[["2014"]]},"page":"219-224","publisher":"Elsevier GmbH.","title":"Trends in surveillance data of human Lyme borreliosis from six federal states in eastern Germany, 2009-2012","type":"article-journal","volume":"5"},"uris":["http://www.mendeley.com/documents/?uuid=a4cb2cc7-8837-47af-a57c-4acd7ebd948c"]}],"mendeley":{"formattedCitation":"(29,30)","plainTextFormattedCitation":"(29,30)","previouslyFormattedCitation":"(29,30)"},"properties":{"noteIndex":0},"schema":"https://github.com/citation-style-language/schema/raw/master/csl-citation.json"}</w:instrText>
      </w:r>
      <w:r w:rsidRPr="00D479B8">
        <w:fldChar w:fldCharType="separate"/>
      </w:r>
      <w:r w:rsidR="003E3EEF" w:rsidRPr="003E3EEF">
        <w:rPr>
          <w:noProof/>
        </w:rPr>
        <w:t>(29,30)</w:t>
      </w:r>
      <w:r w:rsidRPr="00D479B8">
        <w:fldChar w:fldCharType="end"/>
      </w:r>
      <w:r w:rsidRPr="00D479B8">
        <w:t>.</w:t>
      </w:r>
    </w:p>
    <w:p w:rsidR="00C55D03" w:rsidRPr="007A5500" w:rsidRDefault="00C55D03" w:rsidP="00C55D03">
      <w:pPr>
        <w:spacing w:line="480" w:lineRule="auto"/>
      </w:pPr>
      <w:bookmarkStart w:id="5" w:name="_Hlk4151357"/>
      <w:r>
        <w:t>The age structure of this po</w:t>
      </w:r>
      <w:r w:rsidR="005E7A3B">
        <w:t xml:space="preserve">pulation compares closely with </w:t>
      </w:r>
      <w:r w:rsidR="003E3EEF">
        <w:t>two recent studies</w:t>
      </w:r>
      <w:r>
        <w:t xml:space="preserve"> performed in England and Wales </w:t>
      </w:r>
      <w:bookmarkEnd w:id="5"/>
      <w:r>
        <w:fldChar w:fldCharType="begin" w:fldLock="1"/>
      </w:r>
      <w:r w:rsidR="000B1587">
        <w:instrText>ADDIN CSL_CITATION {"citationItems":[{"id":"ITEM-1","itemData":{"author":[{"dropping-particle":"","family":"Cooper","given":"Lilli","non-dropping-particle":"","parse-names":false,"suffix":""},{"dropping-particle":"","family":"Branagan-harris","given":"Michael","non-dropping-particle":"","parse-names":false,"suffix":""},{"dropping-particle":"","family":"Tuson","given":"Richard","non-dropping-particle":"","parse-names":false,"suffix":""},{"dropping-particle":"","family":"Nduka","given":"Charles","non-dropping-particle":"","parse-names":false,"suffix":""}],"id":"ITEM-1","issue":"May","issued":{"date-parts":[["2017"]]},"title":"Lyme disease and Bell ’ s palsy :","type":"article-journal"},"uris":["http://www.mendeley.com/documents/?uuid=bf47929b-a6e2-413e-a446-7bdf56b4ce3d"]},{"id":"ITEM-2","itemData":{"author":[{"dropping-particle":"","family":"Tulloch","given":"J.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press)","id":"ITEM-2","issued":{"date-parts":[["2019"]]},"title":"The demographics and geographic distribution of laboratory-confirmed Lyme disease cases in England and Wales (2013-2016): an ecological study","type":"article-journal"},"uris":["http://www.mendeley.com/documents/?uuid=e4a3e3e9-ceb1-41a8-ae79-31e73bc578a3"]}],"mendeley":{"formattedCitation":"(4,15)","plainTextFormattedCitation":"(4,15)","previouslyFormattedCitation":"(4,15)"},"properties":{"noteIndex":0},"schema":"https://github.com/citation-style-language/schema/raw/master/csl-citation.json"}</w:instrText>
      </w:r>
      <w:r>
        <w:fldChar w:fldCharType="separate"/>
      </w:r>
      <w:r w:rsidR="003E3EEF" w:rsidRPr="003E3EEF">
        <w:rPr>
          <w:noProof/>
        </w:rPr>
        <w:t>(4,15)</w:t>
      </w:r>
      <w:r>
        <w:fldChar w:fldCharType="end"/>
      </w:r>
      <w:r>
        <w:t xml:space="preserve">. It shows the classic bimodal age distribution seen with Lyme disease, with an initial peak incidence in pre and peri-pubescent children, followed by a second larger peak from late middle age. </w:t>
      </w:r>
      <w:r w:rsidRPr="005C5807">
        <w:t>The reasons for this age structure haven’t been formally assessed, however there is agreement that it likely reflects an increased exposure to tick habitats due to leisure behaviour rather than occupational exposure</w:t>
      </w:r>
      <w:r>
        <w:t xml:space="preserve"> </w:t>
      </w:r>
      <w:r>
        <w:fldChar w:fldCharType="begin" w:fldLock="1"/>
      </w:r>
      <w:r w:rsidR="003E3EEF">
        <w:instrText>ADDIN CSL_CITATION {"citationItems":[{"id":"ITEM-1","itemData":{"DOI":"10.1016/j.ttbdis.2013.10.010","ISBN":"1877-959X","ISSN":"18779603","PMID":"24656810","abstract":"Lyme borreliosis (LB) is the most frequent vector-borne disease in Germany. For more than 10 years, data from mandatory notifications have been available from 6 federal states in the eastern part of Germany. A common case definition was applied. Clinical manifestations of erythema migrans, neuroborreliosis (radiculoneuritis, cranial neuritis, meningitis), and Lyme arthritis were notifiable. From 2009 to 2012, altogether 18,894 cases were notified. The overall incidence varied between 34.9 cases/100,000 inhabitants in 2009 and 19.54 cases/100,000 persons in 2012. LB in eastern Germany showed a pronounced seasonality with a peak in August. Decreasing as well as increasing trends were observed in different federal states. Females predominated among all cases (55.3%). The age distribution was bimodal with incidence peaks in children 5-9 years old (32.4 cases/100,000 persons in 2011) and in adults aged 60-69 years (56.7 cases/100,000 persons in 2011). Erythema migrans affected 95.4% of the patients and acute neuroborreliosis 3.3%. Among the latter, the most common manifestation was radiculoneuritis (n. = 316). Neuritis cranialis was more common in children than in adults (p&lt;. 0.01). The same was true for meningitis (p&lt;. 0.01). Altogether 2.0% of the LB cases developed Lyme arthritis. LB has a significant disease burden in the study area. Different levels of under-ascertainment in the surveillance system could explain parts of the differences in the incidence. Furthermore, there may be discrepancies in disease awareness among patients and physicians. Changes in time and differences among geographical regions could result from variations in risk factors related to human behaviour (e.g., outdoor activity). Additionally, vector-related risk factors may have varied (e.g., landscape, climate). Public health strategies with a particular focus on the high-incidence age groups should promote daily checks for ticks and prompt removal of ticks after exposure to avoid infection. Physicians should be able to recognize LB patients with early manifestations and promptly treat those appropriately. © 2014 Elsevier GmbH.","author":[{"dropping-particle":"","family":"Wilking","given":"Hendrik","non-dropping-particle":"","parse-names":false,"suffix":""},{"dropping-particle":"","family":"Stark","given":"Klaus","non-dropping-particle":"","parse-names":false,"suffix":""}],"container-title":"Ticks and Tick-borne Diseases","id":"ITEM-1","issue":"3","issued":{"date-parts":[["2014"]]},"page":"219-224","publisher":"Elsevier GmbH.","title":"Trends in surveillance data of human Lyme borreliosis from six federal states in eastern Germany, 2009-2012","type":"article-journal","volume":"5"},"uris":["http://www.mendeley.com/documents/?uuid=a4cb2cc7-8837-47af-a57c-4acd7ebd948c"]}],"mendeley":{"formattedCitation":"(30)","plainTextFormattedCitation":"(30)","previouslyFormattedCitation":"(30)"},"properties":{"noteIndex":0},"schema":"https://github.com/citation-style-language/schema/raw/master/csl-citation.json"}</w:instrText>
      </w:r>
      <w:r>
        <w:fldChar w:fldCharType="separate"/>
      </w:r>
      <w:r w:rsidR="003E3EEF" w:rsidRPr="003E3EEF">
        <w:rPr>
          <w:noProof/>
        </w:rPr>
        <w:t>(30)</w:t>
      </w:r>
      <w:r>
        <w:fldChar w:fldCharType="end"/>
      </w:r>
      <w:r>
        <w:t xml:space="preserve">. </w:t>
      </w:r>
      <w:bookmarkStart w:id="6" w:name="_Hlk4151405"/>
      <w:r>
        <w:t xml:space="preserve">These data display a predominance of female cases, unlike </w:t>
      </w:r>
      <w:r w:rsidR="003E3EEF">
        <w:t xml:space="preserve">both </w:t>
      </w:r>
      <w:r>
        <w:t>stud</w:t>
      </w:r>
      <w:r w:rsidR="003E3EEF">
        <w:t>ies</w:t>
      </w:r>
      <w:r>
        <w:t xml:space="preserve"> referenced above. </w:t>
      </w:r>
      <w:bookmarkEnd w:id="6"/>
      <w:r>
        <w:t xml:space="preserve">The reasons for this are hard to explain, but could be related to differences in health seeking behaviour </w:t>
      </w:r>
      <w:r>
        <w:fldChar w:fldCharType="begin" w:fldLock="1"/>
      </w:r>
      <w:r w:rsidR="003E3EEF">
        <w:instrText>ADDIN CSL_CITATION {"citationItems":[{"id":"ITEM-1","itemData":{"DOI":"10.1136/bmjopen-2013-003320","ISSN":"2044-6055","PMID":"23959757","abstract":"OBJECTIVE To examine whether gender differences in primary care consultation rates (1) vary by age and deprivation status and (2) diminish when consultation for reproductive reasons or common underlying morbidities are accounted for. DESIGN Cross-sectional study of a cohort of patients registered with general practice. SETTING UK primary care. SUBJECTS Patients (1 869 149 men and 1 916 898 women) registered with 446 eligible practices in 2010. PRIMARY OUTCOME MEASURES Primary care consultation rate. RESULTS This study analyses routinely collected primary care consultation data. The crude consultation rate was 32% lower in men than women. The magnitude of gender difference varied across the life course, and there was no 'excess' female consulting in early and later life. The greatest gender gap in primary care consultations was seen among those aged between 16 and 60 years. Gender differences in consulting were higher in people from more deprived areas than among those from more affluent areas. Accounting for reproductive-related consultations diminished but did not eradicate the gender gap. However, consultation rates in men and women who had comparable underlying morbidities (as assessed by receipt of medication) were similar; men in receipt of antidepressant medication were only 8% less likely to consult than women in receipt of antidepressant medication (relative risk (RR) 0.916, 95% CI 0.913 to 0.918), and men in receipt of medication to treat cardiovascular disease were just 5% less likely to consult (RR=0.950, 95% CI 0.948 to 0.952) than women receiving similar medication. These small gender differences diminished further, particularly for depression (RR=0.950, 95% CI 0.947 to 0.953), after also taking account of reproductive consultations. CONCLUSIONS Overall gender differences in consulting are most marked between the ages of 16 and 60 years; these differences are only partially accounted for by consultations for reproductive reasons. Differences in consultation rates between men and women were largely eradicated when comparing men and women in receipt of medication for similar underlying morbidities.","author":[{"dropping-particle":"","family":"Wang","given":"Yingying","non-dropping-particle":"","parse-names":false,"suffix":""},{"dropping-particle":"","family":"Hunt","given":"Kate","non-dropping-particle":"","parse-names":false,"suffix":""},{"dropping-particle":"","family":"Nazareth","given":"Irwin","non-dropping-particle":"","parse-names":false,"suffix":""},{"dropping-particle":"","family":"Freemantle","given":"Nick","non-dropping-particle":"","parse-names":false,"suffix":""},{"dropping-particle":"","family":"Petersen","given":"Irene","non-dropping-particle":"","parse-names":false,"suffix":""}],"container-title":"BMJ Open","id":"ITEM-1","issue":"8","issued":{"date-parts":[["2013"]]},"page":"e003320","title":"Do men consult less than women? An analysis of routinely collected UK general practice data","type":"article-journal","volume":"3"},"uris":["http://www.mendeley.com/documents/?uuid=0671aad1-89a8-4142-9364-9ba9dac42aa6"]}],"mendeley":{"formattedCitation":"(31)","plainTextFormattedCitation":"(31)","previouslyFormattedCitation":"(31)"},"properties":{"noteIndex":0},"schema":"https://github.com/citation-style-language/schema/raw/master/csl-citation.json"}</w:instrText>
      </w:r>
      <w:r>
        <w:fldChar w:fldCharType="separate"/>
      </w:r>
      <w:r w:rsidR="003E3EEF" w:rsidRPr="003E3EEF">
        <w:rPr>
          <w:noProof/>
        </w:rPr>
        <w:t>(31)</w:t>
      </w:r>
      <w:r>
        <w:fldChar w:fldCharType="end"/>
      </w:r>
      <w:r>
        <w:t>.</w:t>
      </w:r>
    </w:p>
    <w:p w:rsidR="00B8550C" w:rsidRDefault="00C55D03" w:rsidP="00C55D03">
      <w:pPr>
        <w:spacing w:line="480" w:lineRule="auto"/>
      </w:pPr>
      <w:r>
        <w:lastRenderedPageBreak/>
        <w:t xml:space="preserve">Ninety-six percent of patients identified as being white, compared to 86% in the 2011 national census </w:t>
      </w:r>
      <w:r>
        <w:fldChar w:fldCharType="begin" w:fldLock="1"/>
      </w:r>
      <w:r w:rsidR="003E3EEF">
        <w:instrText>ADDIN CSL_CITATION {"citationItems":[{"id":"ITEM-1","itemData":{"id":"ITEM-1","issued":{"date-parts":[["0"]]},"note":"NULL","title":"Office for National Statistics - People, population and community","type":"article-journal"},"uris":["http://www.mendeley.com/documents/?uuid=3bb6334c-2e45-4411-84c9-636cbeafc6bd"]}],"mendeley":{"formattedCitation":"(21)","plainTextFormattedCitation":"(21)","previouslyFormattedCitation":"(21)"},"properties":{"noteIndex":0},"schema":"https://github.com/citation-style-language/schema/raw/master/csl-citation.json"}</w:instrText>
      </w:r>
      <w:r>
        <w:fldChar w:fldCharType="separate"/>
      </w:r>
      <w:r w:rsidR="003E3EEF" w:rsidRPr="003E3EEF">
        <w:rPr>
          <w:noProof/>
        </w:rPr>
        <w:t>(21)</w:t>
      </w:r>
      <w:r>
        <w:fldChar w:fldCharType="end"/>
      </w:r>
      <w:r>
        <w:t xml:space="preserve">. There is no clear reason why ethnicity has any impact on a person’s susceptibility to Lyme disease. Instead, this apparent association is most likely due to sociocultural and behavioural reasons. Patients were found, in increasing numbers, living in less deprived areas. It must be noted that all ethnic minority groups were more likely to live in areas of higher deprivation than the white population </w:t>
      </w:r>
      <w:r>
        <w:fldChar w:fldCharType="begin" w:fldLock="1"/>
      </w:r>
      <w:r w:rsidR="003E3EEF">
        <w:instrText>ADDIN CSL_CITATION {"citationItems":[{"id":"ITEM-1","itemData":{"abstract":"Jivraj, S. and Khan, O. (2013) Ethnicity and deprivation in England: How likely are ethnic minorities to live in deprived neighbourhoods? Centre on Dynamics of Ethnicity briefing paper. Retrieved 25 March 2014 from http://www.ethnicity.ac.uk/census/CoDE-Deprivation-Census-Briefing.pdf","author":[{"dropping-particle":"","family":"Jivraj","given":"Stephan","non-dropping-particle":"","parse-names":false,"suffix":""},{"dropping-particle":"","family":"Khan","given":"Omar","non-dropping-particle":"","parse-names":false,"suffix":""}],"container-title":"Dynamics of Diversity: Evidence from the 2011 Census","id":"ITEM-1","issue":"DECEMBER","issued":{"date-parts":[["2013"]]},"page":"1-4","title":"Ethnicity and deprivation in England: How likely are ethnic minorities to live in deprived neighbourhoods?","type":"article-journal"},"uris":["http://www.mendeley.com/documents/?uuid=e7d9766a-6722-4142-aa47-dbfa0d5399e0"]}],"mendeley":{"formattedCitation":"(32)","plainTextFormattedCitation":"(32)","previouslyFormattedCitation":"(32)"},"properties":{"noteIndex":0},"schema":"https://github.com/citation-style-language/schema/raw/master/csl-citation.json"}</w:instrText>
      </w:r>
      <w:r>
        <w:fldChar w:fldCharType="separate"/>
      </w:r>
      <w:r w:rsidR="003E3EEF" w:rsidRPr="003E3EEF">
        <w:rPr>
          <w:noProof/>
        </w:rPr>
        <w:t>(32)</w:t>
      </w:r>
      <w:r>
        <w:fldChar w:fldCharType="end"/>
      </w:r>
      <w:r>
        <w:t>, and this could explain the higher proportion of white patients within this population</w:t>
      </w:r>
      <w:r w:rsidDel="00F5651D">
        <w:t xml:space="preserve">. Lyme disease patients were </w:t>
      </w:r>
      <w:r>
        <w:t>more</w:t>
      </w:r>
      <w:r w:rsidDel="00F5651D">
        <w:t xml:space="preserve"> likely than the national population to live in </w:t>
      </w:r>
      <w:r>
        <w:t>rural</w:t>
      </w:r>
      <w:r w:rsidDel="00F5651D">
        <w:t xml:space="preserve"> areas. </w:t>
      </w:r>
      <w:r>
        <w:t xml:space="preserve">The characterisation of Lyme disease patients </w:t>
      </w:r>
      <w:r w:rsidDel="00F5651D">
        <w:t xml:space="preserve"> as white and from suburban or rural areas with low deprivation</w:t>
      </w:r>
      <w:r>
        <w:t xml:space="preserve"> may be explained by a com</w:t>
      </w:r>
      <w:r w:rsidDel="00F5651D">
        <w:t xml:space="preserve">plex combination of risk factors related to access to habitats which support ticks (either through work or recreation), and access to health care </w:t>
      </w:r>
      <w:r w:rsidDel="00F5651D">
        <w:fldChar w:fldCharType="begin" w:fldLock="1"/>
      </w:r>
      <w:r w:rsidR="003E3EEF">
        <w:instrText>ADDIN CSL_CITATION {"citationItems":[{"id":"ITEM-1","itemData":{"DOI":"10.1016/j.ttbdis.2014.01.006","ISSN":"18779603","PMID":"24713278","abstract":"The objective of this research was to determine the most appropriate protective behaviours to promote in order to protect members of the public from Lyme borreliosis, to identify the drivers and barriers for these behaviours, and to determine the strongest predictors of tick-protective behaviour. We used a mixed methods study with qualitative interviews and a quantitative web survey. Interviews with topic experts and members of the public suggested that predictors of tick checking included perceived disease likelihood and severity as well as overall awareness of ticks and tick-borne disease. Twenty-four percent of participants regularly checked for ticks after walking in a tick-endemic area. The strongest predictors of checking for ticks were greater levels of knowledge, perceived likelihood of being bitten, self-efficacy about tick removal, and lower levels of disgust about ticks. Barriers to checking included forgetfulness and lacking time. At-risk members of the UK public require information to increase awareness of ticks and protective behaviours, particularly tick checking. Information may be most effective if it focuses on increasing self-efficacy while also reducing disgust. ?? 2014 Elsevier GmbH.","author":[{"dropping-particle":"","family":"Mowbray","given":"Fiona","non-dropping-particle":"","parse-names":false,"suffix":""},{"dropping-particle":"","family":"Aml??t","given":"Richard","non-dropping-particle":"","parse-names":false,"suffix":""},{"dropping-particle":"","family":"Rubin","given":"G. James","non-dropping-particle":"","parse-names":false,"suffix":""}],"container-title":"Ticks and Tick-borne Diseases","id":"ITEM-1","issue":"4","issued":{"date-parts":[["2014"]]},"page":"392-400","publisher":"Elsevier GmbH.","title":"Predictors of protective behaviour against ticks in the UK: A mixed methods study","type":"article-journal","volume":"5"},"uris":["http://www.mendeley.com/documents/?uuid=94619c8c-45e9-44cf-8c9d-960da5d84f77"]}],"mendeley":{"formattedCitation":"(33)","plainTextFormattedCitation":"(33)","previouslyFormattedCitation":"(33)"},"properties":{"noteIndex":0},"schema":"https://github.com/citation-style-language/schema/raw/master/csl-citation.json"}</w:instrText>
      </w:r>
      <w:r w:rsidDel="00F5651D">
        <w:fldChar w:fldCharType="separate"/>
      </w:r>
      <w:r w:rsidR="003E3EEF" w:rsidRPr="003E3EEF">
        <w:rPr>
          <w:noProof/>
        </w:rPr>
        <w:t>(33)</w:t>
      </w:r>
      <w:r w:rsidDel="00F5651D">
        <w:fldChar w:fldCharType="end"/>
      </w:r>
      <w:r>
        <w:t>.</w:t>
      </w:r>
      <w:r w:rsidR="00B8550C">
        <w:t xml:space="preserve">  </w:t>
      </w:r>
      <w:r w:rsidR="00B8550C" w:rsidRPr="007A4192">
        <w:rPr>
          <w:rFonts w:cs="Times New Roman"/>
        </w:rPr>
        <w:t xml:space="preserve">As deprivation and rural-urban data are derived from aggregated data, the exact location of a case’s Lyme disease acquisition and socioeconomic status is unknown. These data are therefore acting as proxies and it is unknown how representative they are of the individual case. Despite the identification of clear trends and associations, these factors cannot be unravelled using these datasets, and so the degree of inherent bias remains unknown. </w:t>
      </w:r>
      <w:r w:rsidR="00B8550C" w:rsidRPr="007A4192">
        <w:t>Further research, utilising multivariable models, is required to understand the link, and any interaction and confounding, between ethnicity, deprivation, area of residence and presentation to hospitals with Lyme disease.</w:t>
      </w:r>
    </w:p>
    <w:p w:rsidR="00AA7C0C" w:rsidRPr="00AA7C0C" w:rsidRDefault="00C55D03" w:rsidP="00AA7C0C">
      <w:pPr>
        <w:spacing w:line="480" w:lineRule="auto"/>
        <w:rPr>
          <w:rFonts w:cstheme="minorHAnsi"/>
          <w:color w:val="212121"/>
          <w:shd w:val="clear" w:color="auto" w:fill="FFFFFF"/>
        </w:rPr>
      </w:pPr>
      <w:r w:rsidRPr="00AA7C0C">
        <w:rPr>
          <w:rFonts w:cstheme="minorHAnsi"/>
        </w:rPr>
        <w:t xml:space="preserve">There is clear geographical variation in incidence between local authorities. The highest incidence is in southern-central and western England, which has traditionally been seen as a Lyme disease hotspot </w:t>
      </w:r>
      <w:r w:rsidRPr="00AA7C0C">
        <w:rPr>
          <w:rFonts w:cstheme="minorHAnsi"/>
        </w:rPr>
        <w:fldChar w:fldCharType="begin" w:fldLock="1"/>
      </w:r>
      <w:r w:rsidR="003E3EEF" w:rsidRPr="00AA7C0C">
        <w:rPr>
          <w:rFonts w:cstheme="minorHAnsi"/>
        </w:rPr>
        <w:instrText>ADDIN CSL_CITATION {"citationItems":[{"id":"ITEM-1","itemData":{"DOI":"10.3201/eid0604.000416","ISBN":"1080-6040 (Print)","ISSN":"1080-6040","PMID":"10905978","abstract":"Improved surveillance indicates that Lyme borreliosis, an emerging zoonosis in the United Kingdom, has increased from 0.06/100,000 during 1986-1992 to 0.32/100,000 since 1996. Case reports peaked in the third quarter of each year. Several high-incidence localities were identified. Erythema migrans was reported in 41% of patients; arthritis in 4%; musculoskeletal symptoms in 18%; and neuroborreliosis in 15%.","author":[{"dropping-particle":"","family":"Smith","given":"Robert","non-dropping-particle":"","parse-names":false,"suffix":""},{"dropping-particle":"","family":"O'Connell","given":"S","non-dropping-particle":"","parse-names":false,"suffix":""},{"dropping-particle":"","family":"Palmer","given":"Stephen","non-dropping-particle":"","parse-names":false,"suffix":""}],"container-title":"Emerging infectious diseases","id":"ITEM-1","issue":"4","issued":{"date-parts":[["2000"]]},"note":"NULL","page":"404-7","title":"Lyme disease surveillance in England and Wales, 1986 1998.","type":"article-journal","volume":"6"},"uris":["http://www.mendeley.com/documents/?uuid=6d4ff48a-71df-41fc-be08-c32d8a69cb12"]}],"mendeley":{"formattedCitation":"(28)","plainTextFormattedCitation":"(28)","previouslyFormattedCitation":"(28)"},"properties":{"noteIndex":0},"schema":"https://github.com/citation-style-language/schema/raw/master/csl-citation.json"}</w:instrText>
      </w:r>
      <w:r w:rsidRPr="00AA7C0C">
        <w:rPr>
          <w:rFonts w:cstheme="minorHAnsi"/>
        </w:rPr>
        <w:fldChar w:fldCharType="separate"/>
      </w:r>
      <w:r w:rsidR="003E3EEF" w:rsidRPr="00AA7C0C">
        <w:rPr>
          <w:rFonts w:cstheme="minorHAnsi"/>
          <w:noProof/>
        </w:rPr>
        <w:t>(28)</w:t>
      </w:r>
      <w:r w:rsidRPr="00AA7C0C">
        <w:rPr>
          <w:rFonts w:cstheme="minorHAnsi"/>
        </w:rPr>
        <w:fldChar w:fldCharType="end"/>
      </w:r>
      <w:r w:rsidRPr="00AA7C0C">
        <w:rPr>
          <w:rFonts w:cstheme="minorHAnsi"/>
        </w:rPr>
        <w:t xml:space="preserve">. Areas with no cases are unlikely to be due to an absence of disease but may reflect differences in case management or hospital coding practices.  The remainder of England and Wales is a patchwork of low incidence with no obvious hotspots of disease. Interestingly, there are no clear foci of infection observed in either the Thetford Forest, the Lake District or the North Yorkshire Moors as identified previously by Public Health England (PHE) </w:t>
      </w:r>
      <w:r w:rsidRPr="00AA7C0C">
        <w:rPr>
          <w:rFonts w:cstheme="minorHAnsi"/>
        </w:rPr>
        <w:fldChar w:fldCharType="begin" w:fldLock="1"/>
      </w:r>
      <w:r w:rsidR="003E3EEF" w:rsidRPr="00AA7C0C">
        <w:rPr>
          <w:rFonts w:cstheme="minorHAnsi"/>
        </w:rPr>
        <w:instrText>ADDIN CSL_CITATION {"citationItems":[{"id":"ITEM-1","itemData":{"URL":"https://www.gov.uk/government/publications/lyme-borreliosis-epidemiology/lyme-borreliosis-epidemiology-and-surveillance","author":[{"dropping-particle":"","family":"Public Health England","given":"","non-dropping-particle":"","parse-names":false,"suffix":""}],"id":"ITEM-1","issued":{"date-parts":[["2013"]]},"note":"NULL","title":"Lyme borreliosis epidemiology and surveillance","type":"webpage"},"uris":["http://www.mendeley.com/documents/?uuid=a2d601a5-3410-41ed-bef1-f462ba73635f"]}],"mendeley":{"formattedCitation":"(2)","plainTextFormattedCitation":"(2)","previouslyFormattedCitation":"(2)"},"properties":{"noteIndex":0},"schema":"https://github.com/citation-style-language/schema/raw/master/csl-citation.json"}</w:instrText>
      </w:r>
      <w:r w:rsidRPr="00AA7C0C">
        <w:rPr>
          <w:rFonts w:cstheme="minorHAnsi"/>
        </w:rPr>
        <w:fldChar w:fldCharType="separate"/>
      </w:r>
      <w:r w:rsidR="003E3EEF" w:rsidRPr="00AA7C0C">
        <w:rPr>
          <w:rFonts w:cstheme="minorHAnsi"/>
          <w:noProof/>
        </w:rPr>
        <w:t>(2)</w:t>
      </w:r>
      <w:r w:rsidRPr="00AA7C0C">
        <w:rPr>
          <w:rFonts w:cstheme="minorHAnsi"/>
        </w:rPr>
        <w:fldChar w:fldCharType="end"/>
      </w:r>
      <w:r w:rsidRPr="00AA7C0C">
        <w:rPr>
          <w:rFonts w:cstheme="minorHAnsi"/>
        </w:rPr>
        <w:t xml:space="preserve">. In these areas the awareness, diagnosis and management of Lyme disease may differ from other areas, perhaps with primary care clinicians treating cases in the community and with fewer subsequent cases referred to hospitals. </w:t>
      </w:r>
      <w:bookmarkStart w:id="7" w:name="_Hlk4151901"/>
      <w:r w:rsidR="000B1587" w:rsidRPr="00AA7C0C">
        <w:rPr>
          <w:rFonts w:cstheme="minorHAnsi"/>
        </w:rPr>
        <w:lastRenderedPageBreak/>
        <w:t xml:space="preserve">This shows a similar geographic distribution to laboratory-confirmed cases of Lyme disease </w:t>
      </w:r>
      <w:r w:rsidR="000B1587" w:rsidRPr="00AA7C0C">
        <w:rPr>
          <w:rFonts w:cstheme="minorHAnsi"/>
        </w:rPr>
        <w:fldChar w:fldCharType="begin" w:fldLock="1"/>
      </w:r>
      <w:r w:rsidR="000B1587" w:rsidRPr="00AA7C0C">
        <w:rPr>
          <w:rFonts w:cstheme="minorHAnsi"/>
        </w:rPr>
        <w:instrText>ADDIN CSL_CITATION {"citationItems":[{"id":"ITEM-1","itemData":{"author":[{"dropping-particle":"","family":"Tulloch","given":"J. S. P.","non-dropping-particle":"","parse-names":false,"suffix":""},{"dropping-particle":"","family":"Semper","given":"A","non-dropping-particle":"","parse-names":false,"suffix":""},{"dropping-particle":"","family":"Brooks","given":"T","non-dropping-particle":"","parse-names":false,"suffix":""},{"dropping-particle":"","family":"Russell","given":"K","non-dropping-particle":"","parse-names":false,"suffix":""},{"dropping-particle":"","family":"Halsby","given":"K","non-dropping-particle":"","parse-names":false,"suffix":""},{"dropping-particle":"","family":"Christley","given":"R","non-dropping-particle":"","parse-names":false,"suffix":""},{"dropping-particle":"","family":"Radford","given":"A","non-dropping-particle":"","parse-names":false,"suffix":""},{"dropping-particle":"","family":"Vivancos","given":"R","non-dropping-particle":"","parse-names":false,"suffix":""},{"dropping-particle":"","family":"Warner","given":"J","non-dropping-particle":"","parse-names":false,"suffix":""}],"container-title":"BMJ Open (In press)","id":"ITEM-1","issued":{"date-parts":[["2019"]]},"title":"The demographics and geographic distribution of laboratory-confirmed Lyme disease cases in England and Wales (2013-2016): an ecological study","type":"article-journal"},"uris":["http://www.mendeley.com/documents/?uuid=e4a3e3e9-ceb1-41a8-ae79-31e73bc578a3"]}],"mendeley":{"formattedCitation":"(4)","plainTextFormattedCitation":"(4)"},"properties":{"noteIndex":0},"schema":"https://github.com/citation-style-language/schema/raw/master/csl-citation.json"}</w:instrText>
      </w:r>
      <w:r w:rsidR="000B1587" w:rsidRPr="00AA7C0C">
        <w:rPr>
          <w:rFonts w:cstheme="minorHAnsi"/>
        </w:rPr>
        <w:fldChar w:fldCharType="separate"/>
      </w:r>
      <w:r w:rsidR="000B1587" w:rsidRPr="00AA7C0C">
        <w:rPr>
          <w:rFonts w:cstheme="minorHAnsi"/>
          <w:noProof/>
        </w:rPr>
        <w:t>(4)</w:t>
      </w:r>
      <w:r w:rsidR="000B1587" w:rsidRPr="00AA7C0C">
        <w:rPr>
          <w:rFonts w:cstheme="minorHAnsi"/>
        </w:rPr>
        <w:fldChar w:fldCharType="end"/>
      </w:r>
      <w:r w:rsidR="000B1587" w:rsidRPr="00AA7C0C">
        <w:rPr>
          <w:rFonts w:cstheme="minorHAnsi"/>
        </w:rPr>
        <w:t xml:space="preserve">. However, the areas of higher incidence in the hospital data expand further in to the south-west of England and into central England compared to laboratory cases. This is likely due to differences in case management. The high level of visual concordance between this research and the laboratory data suggest that both are accurately capturing the locations of Lyme disease patients. </w:t>
      </w:r>
      <w:bookmarkEnd w:id="7"/>
      <w:r w:rsidRPr="00AA7C0C">
        <w:rPr>
          <w:rFonts w:cstheme="minorHAnsi"/>
        </w:rPr>
        <w:t xml:space="preserve">The geographical data collected by HES and PEDW is based upon the patient’s home address and no information is recorded on recent travel history or where a tick bite may have occurred, and so there may be an element of bias in the results. </w:t>
      </w:r>
      <w:r w:rsidR="00AA7C0C" w:rsidRPr="00F31BFB">
        <w:rPr>
          <w:rFonts w:cstheme="minorHAnsi"/>
          <w:color w:val="212121"/>
          <w:shd w:val="clear" w:color="auto" w:fill="FFFFFF"/>
        </w:rPr>
        <w:t xml:space="preserve">The data presented in this paper is at too low a geographical </w:t>
      </w:r>
      <w:r w:rsidR="00F31BFB" w:rsidRPr="00F31BFB">
        <w:rPr>
          <w:rFonts w:cstheme="minorHAnsi"/>
          <w:color w:val="212121"/>
          <w:shd w:val="clear" w:color="auto" w:fill="FFFFFF"/>
        </w:rPr>
        <w:t>resolution</w:t>
      </w:r>
      <w:r w:rsidR="00F31BFB">
        <w:rPr>
          <w:rFonts w:cstheme="minorHAnsi"/>
          <w:color w:val="212121"/>
          <w:shd w:val="clear" w:color="auto" w:fill="FFFFFF"/>
        </w:rPr>
        <w:t xml:space="preserve"> and</w:t>
      </w:r>
      <w:r w:rsidR="00AA7C0C" w:rsidRPr="00F31BFB">
        <w:rPr>
          <w:rFonts w:cstheme="minorHAnsi"/>
          <w:color w:val="212121"/>
          <w:shd w:val="clear" w:color="auto" w:fill="FFFFFF"/>
        </w:rPr>
        <w:t xml:space="preserve"> does not provide information on the patient’s tick bite location</w:t>
      </w:r>
      <w:r w:rsidR="00F31BFB">
        <w:rPr>
          <w:rFonts w:cstheme="minorHAnsi"/>
          <w:color w:val="212121"/>
          <w:shd w:val="clear" w:color="auto" w:fill="FFFFFF"/>
        </w:rPr>
        <w:t>,</w:t>
      </w:r>
      <w:r w:rsidR="00AA7C0C" w:rsidRPr="00F31BFB">
        <w:rPr>
          <w:rFonts w:cstheme="minorHAnsi"/>
          <w:color w:val="212121"/>
          <w:shd w:val="clear" w:color="auto" w:fill="FFFFFF"/>
        </w:rPr>
        <w:t xml:space="preserve"> to be able to hypothesise about any ecological associations with Lyme disease incidence.</w:t>
      </w:r>
    </w:p>
    <w:p w:rsidR="00C55D03" w:rsidRDefault="00C55D03" w:rsidP="00C55D03">
      <w:pPr>
        <w:spacing w:line="480" w:lineRule="auto"/>
      </w:pPr>
      <w:r>
        <w:t xml:space="preserve">Bed day analysis showed three distinct populations; those with one episode who weren’t admitted (35.5% of patients) or stayed for one night (12.5%), those with multiple episodes and a low number of bed days and those with one or many episodes that had </w:t>
      </w:r>
      <w:proofErr w:type="gramStart"/>
      <w:r>
        <w:t>a large number of</w:t>
      </w:r>
      <w:proofErr w:type="gramEnd"/>
      <w:r>
        <w:t xml:space="preserve"> bed days (Table 3). The first group is likely to represent patients with uncomplicated cases of Lyme disease. The second group often had consecutive daily episodes totalling fourteen to twenty-one days, which could be consistent with daily intravenous doses of antibiotics as </w:t>
      </w:r>
      <w:r w:rsidRPr="00A93C34">
        <w:t>recommend by the B</w:t>
      </w:r>
      <w:r>
        <w:t xml:space="preserve">ritish Infection Association and National Institute for Health and Care Excellence (NICE) guidelines </w:t>
      </w:r>
      <w:r>
        <w:fldChar w:fldCharType="begin" w:fldLock="1"/>
      </w:r>
      <w:r w:rsidR="003E3EEF">
        <w:instrText>ADDIN CSL_CITATION {"citationItems":[{"id":"ITEM-1","itemData":{"DOI":"10.1016/j.jinf.2011.03.006","ISSN":"01634453","author":[{"dropping-particle":"","family":"British Infection Association","given":"","non-dropping-particle":"","parse-names":false,"suffix":""}],"container-title":"Journal of Infection","id":"ITEM-1","issue":"5","issued":{"date-parts":[["2011"]]},"page":"329-338","publisher":"Elsevier Ltd","title":"The epidemiology, prevention, investigation and treatment of Lyme borreliosis in United Kingdom patients: A position statement by the British Infection Association","type":"article-journal","volume":"62"},"uris":["http://www.mendeley.com/documents/?uuid=1031c539-4609-4adc-9558-6ac5cd05375a"]},{"id":"ITEM-2","itemData":{"URL":"https://www.nice.org.uk/guidance/ng95","accessed":{"date-parts":[["2017","10","23"]]},"author":[{"dropping-particle":"","family":"National Institute for Health and Care Excellence","given":"","non-dropping-particle":"","parse-names":false,"suffix":""}],"id":"ITEM-2","issued":{"date-parts":[["2018"]]},"title":"Lyme disease NICE guideline [NG95]","type":"webpage"},"uris":["http://www.mendeley.com/documents/?uuid=3c60817c-61d3-46a6-b42a-4baa11776ecd"]}],"mendeley":{"formattedCitation":"(5,8)","plainTextFormattedCitation":"(5,8)","previouslyFormattedCitation":"(5,8)"},"properties":{"noteIndex":0},"schema":"https://github.com/citation-style-language/schema/raw/master/csl-citation.json"}</w:instrText>
      </w:r>
      <w:r>
        <w:fldChar w:fldCharType="separate"/>
      </w:r>
      <w:r w:rsidR="003E3EEF" w:rsidRPr="003E3EEF">
        <w:rPr>
          <w:noProof/>
        </w:rPr>
        <w:t>(5,8)</w:t>
      </w:r>
      <w:r>
        <w:fldChar w:fldCharType="end"/>
      </w:r>
      <w:r>
        <w:t xml:space="preserve">. The final group appear to represent complicated cases of Lyme disease that require prolonged stays in hospital. It was not in the scope of this project to see whether any clinical presentations predisposed patients to these three groups, but further investigations are recommended. </w:t>
      </w:r>
    </w:p>
    <w:p w:rsidR="00C55D03" w:rsidRDefault="00C55D03" w:rsidP="00C55D03">
      <w:pPr>
        <w:spacing w:line="480" w:lineRule="auto"/>
        <w:jc w:val="both"/>
      </w:pPr>
      <w:r>
        <w:t xml:space="preserve">Analysing the patient flow through the datasets has enabled better understanding of the care pathway for Lyme disease infected patients. Thirty percent of Lyme disease admissions in England, and 67.6% in Wales, originate from the A&amp;E department. </w:t>
      </w:r>
      <w:r w:rsidRPr="005C5807">
        <w:t xml:space="preserve">To place this into context, in 2011 69% of all NHS England admissions originate from A&amp;E </w:t>
      </w:r>
      <w:r w:rsidRPr="005C5807">
        <w:fldChar w:fldCharType="begin" w:fldLock="1"/>
      </w:r>
      <w:r w:rsidR="003E3EEF">
        <w:instrText>ADDIN CSL_CITATION {"citationItems":[{"id":"ITEM-1","itemData":{"DOI":"10.1177/0141076814542669","ISBN":"0141-0768","ISSN":"01410768","PMID":"25377736","author":[{"dropping-particle":"","family":"Cowling","given":"Thomas E.","non-dropping-particle":"","parse-names":false,"suffix":""},{"dropping-particle":"","family":"Soljak","given":"Michael A.","non-dropping-particle":"","parse-names":false,"suffix":""},{"dropping-particle":"","family":"Bell","given":"Derek","non-dropping-particle":"","parse-names":false,"suffix":""},{"dropping-particle":"","family":"Majeed","given":"Azeem","non-dropping-particle":"","parse-names":false,"suffix":""}],"container-title":"Journal of the Royal Society of Medicine","id":"ITEM-1","issue":"11","issued":{"date-parts":[["2014"]]},"page":"432-438","title":"Emergency hospital admissions via accident and emergency departments in England: time trend, conceptual framework and policy implications","type":"article-journal","volume":"107"},"uris":["http://www.mendeley.com/documents/?uuid=78a88b5c-f198-4304-ab0e-8182513b06fe"]}],"mendeley":{"formattedCitation":"(34)","plainTextFormattedCitation":"(34)","previouslyFormattedCitation":"(34)"},"properties":{"noteIndex":0},"schema":"https://github.com/citation-style-language/schema/raw/master/csl-citation.json"}</w:instrText>
      </w:r>
      <w:r w:rsidRPr="005C5807">
        <w:fldChar w:fldCharType="separate"/>
      </w:r>
      <w:r w:rsidR="003E3EEF" w:rsidRPr="003E3EEF">
        <w:rPr>
          <w:noProof/>
        </w:rPr>
        <w:t>(34)</w:t>
      </w:r>
      <w:r w:rsidRPr="005C5807">
        <w:fldChar w:fldCharType="end"/>
      </w:r>
      <w:r w:rsidRPr="005C5807">
        <w:t>. The same report saw a decline in admissions through primary care referral and an increase through A&amp;E between 2001 and 2011.</w:t>
      </w:r>
      <w:r>
        <w:t xml:space="preserve"> It would be </w:t>
      </w:r>
      <w:r>
        <w:lastRenderedPageBreak/>
        <w:t xml:space="preserve">unlikely that the numbers of patients admitted in our study have more acute/severe presentations of disease that require immediate hospital attendance, however this cannot be ruled out. </w:t>
      </w:r>
      <w:r w:rsidRPr="005C5807">
        <w:t xml:space="preserve">A combination of two factors possibly result in this finding; the lack of knowledge of the recommended care pathways for symptoms associated with Lyme disease (such as flu-like illness and rashes), and the difficulty in getting a prompt appointment in primary care </w:t>
      </w:r>
      <w:r w:rsidRPr="005C5807">
        <w:fldChar w:fldCharType="begin" w:fldLock="1"/>
      </w:r>
      <w:r w:rsidR="003E3EEF">
        <w:instrText>ADDIN CSL_CITATION {"citationItems":[{"id":"ITEM-1","itemData":{"author":[{"dropping-particle":"","family":"Marcu","given":"Afrodita","non-dropping-particle":"","parse-names":false,"suffix":""},{"dropping-particle":"","family":"Barnett","given":"Julie","non-dropping-particle":"","parse-names":false,"suffix":""},{"dropping-particle":"","family":"Uzzell","given":"David","non-dropping-particle":"","parse-names":false,"suffix":""},{"dropping-particle":"","family":"Vasileiou","given":"Konstantina","non-dropping-particle":"","parse-names":false,"suffix":""},{"dropping-particle":"","family":"Connell","given":"Susan O","non-dropping-particle":"","parse-names":false,"suffix":""}],"id":"ITEM-1","issued":{"date-parts":[["2013"]]},"title":"Experience of Lyme disease and preferences for precautions : a cross-sectional survey of UK patients","type":"article-journal"},"uris":["http://www.mendeley.com/documents/?uuid=af279865-9e94-4e97-9748-237439479a61"]},{"id":"ITEM-2","itemData":{"DOI":"10.1016/j.healthplace.2011.03.010","ISSN":"13538292","PMID":"21514209","abstract":"The focus of this paper is on how popular representations of the countryside provide countryside users with a discursive framework to make sense of unfamiliar countryside-based risks, taking Lyme disease as an example. Sixty-six semi-structured interviews were conducted with 82 visitors in Richmond Park, New Forest, and Exmoor National Park in the UK. The data were analysed using thematic analysis and was informed by social representations theory. The analysis indicated that a lay understanding of the risk of Lyme disease was filtered by place-attachment and the social representations of the countryside. Lyme disease was not understood primarily as a risk to health, but was instead constructed as a risk to the social and restorative practices in the context of the countryside. The findings suggest that advice about zoonoses such as Lyme disease is unlikely to cause panic, and that it should focus on the least intrusive preventative measures. ?? 2011 Elsevier Ltd.","author":[{"dropping-particle":"","family":"Marcu","given":"Afrodita","non-dropping-particle":"","parse-names":false,"suffix":""},{"dropping-particle":"","family":"Uzzell","given":"David","non-dropping-particle":"","parse-names":false,"suffix":""},{"dropping-particle":"","family":"Barnett","given":"Julie","non-dropping-particle":"","parse-names":false,"suffix":""}],"container-title":"Health and Place","id":"ITEM-2","issue":"3","issued":{"date-parts":[["2011"]]},"page":"843-850","publisher":"Elsevier","title":"Making sense of unfamiliar risks in the countryside: The case of Lyme disease","type":"article-journal","volume":"17"},"uris":["http://www.mendeley.com/documents/?uuid=42a59a9d-9e71-4c2d-b969-a99557dd8a6e"]},{"id":"ITEM-3","itemData":{"DOI":"10.1542/peds.2015-1492","ISSN":"0031-4005","PMID":"26791971","author":[{"dropping-particle":"","family":"Cecil","given":"E.","non-dropping-particle":"","parse-names":false,"suffix":""},{"dropping-particle":"","family":"Bottle","given":"A.","non-dropping-particle":"","parse-names":false,"suffix":""},{"dropping-particle":"","family":"Cowling","given":"T. E.","non-dropping-particle":"","parse-names":false,"suffix":""},{"dropping-particle":"","family":"Majeed","given":"A.","non-dropping-particle":"","parse-names":false,"suffix":""},{"dropping-particle":"","family":"Wolfe","given":"I.","non-dropping-particle":"","parse-names":false,"suffix":""},{"dropping-particle":"","family":"Saxena","given":"S.","non-dropping-particle":"","parse-names":false,"suffix":""}],"container-title":"Pediatrics","id":"ITEM-3","issue":"2","issued":{"date-parts":[["2016"]]},"page":"1-9","title":"Primary Care Access, Emergency Department Visits, and Unplanned Short Hospitalizations in the UK","type":"article-journal","volume":"137"},"uris":["http://www.mendeley.com/documents/?uuid=7b203fc4-d6f8-4444-b863-5728628f0d55"]},{"id":"ITEM-4","itemData":{"DOI":"10.1136/emermed-2013-203451","ISBN":"1472-0205","ISSN":"1472-0213","PMID":"24850778","abstract":"INTRODUCTION: It is believed that some patients are more likely to use out-of-hours primary care services because of difficulties in accessing in-hours care, but substantial evidence about any such association is missing.\\n\\nMETHODS: We analysed data from 567 049 respondents to the 2011/2012 English General Practice Patient Survey who reported at least one in-hours primary care consultation in the preceding 6 months. Of those respondents, 7% also reported using out-of-hours primary care. We used logistic regression to explore associations between use of out-of-hours primary care and five measures of in-hours access (ease of getting through on the telephone, ability to see a preferred general practitioner, ability to get an urgent or routine appointment and convenience of opening hours). We illustrated the potential for reduction in use of out-of-hours primary care in a model where access to in-hours care was made optimal.\\n\\nRESULTS: Worse in-hours access was associated with greater use of out-of-hours primary care for each access factor. In multivariable analysis adjusting for access and patient characteristic variables, worse access was independently associated with increased out-of-hours use for all measures except ease of telephone access. Assuming these associations were causal, we estimated that an 11% relative reduction in use of out-of-hours primary care services in England could be achievable if access to in-hours care were optimal.\\n\\nCONCLUSIONS: This secondary quantitative analysis provides evidence for an association between difficulty in accessing in-hours care and use of out-of-hours primary care services. The findings can motivate the development of interventions to improve in-hour access.","author":[{"dropping-particle":"","family":"Zhou","given":"Yin","non-dropping-particle":"","parse-names":false,"suffix":""},{"dropping-particle":"","family":"Abel","given":"Gary","non-dropping-particle":"","parse-names":false,"suffix":""},{"dropping-particle":"","family":"Warren","given":"Fiona","non-dropping-particle":"","parse-names":false,"suffix":""},{"dropping-particle":"","family":"Roland","given":"Martin","non-dropping-particle":"","parse-names":false,"suffix":""},{"dropping-particle":"","family":"Campbell","given":"John","non-dropping-particle":"","parse-names":false,"suffix":""},{"dropping-particle":"","family":"Lyratzopoulos","given":"Georgios","non-dropping-particle":"","parse-names":false,"suffix":""}],"container-title":"Emergency medicine journal : EMJ","id":"ITEM-4","issued":{"date-parts":[["2014"]]},"page":"1-6","title":"Do difficulties in accessing in-hours primary care predict higher use of out-of-hours GP services? Evidence from an English National Patient Survey.","type":"article-journal"},"uris":["http://www.mendeley.com/documents/?uuid=bc097c19-1d7e-4594-b22a-3c6fc52f6385"]},{"id":"ITEM-5","itemData":{"DOI":"10.1177/0141076814542669","ISBN":"0141-0768","ISSN":"01410768","PMID":"25377736","author":[{"dropping-particle":"","family":"Cowling","given":"Thomas E.","non-dropping-particle":"","parse-names":false,"suffix":""},{"dropping-particle":"","family":"Soljak","given":"Michael A.","non-dropping-particle":"","parse-names":false,"suffix":""},{"dropping-particle":"","family":"Bell","given":"Derek","non-dropping-particle":"","parse-names":false,"suffix":""},{"dropping-particle":"","family":"Majeed","given":"Azeem","non-dropping-particle":"","parse-names":false,"suffix":""}],"container-title":"Journal of the Royal Society of Medicine","id":"ITEM-5","issue":"11","issued":{"date-parts":[["2014"]]},"page":"432-438","title":"Emergency hospital admissions via accident and emergency departments in England: time trend, conceptual framework and policy implications","type":"article-journal","volume":"107"},"uris":["http://www.mendeley.com/documents/?uuid=78a88b5c-f198-4304-ab0e-8182513b06fe"]}],"mendeley":{"formattedCitation":"(12,34–37)","plainTextFormattedCitation":"(12,34–37)","previouslyFormattedCitation":"(12,34–37)"},"properties":{"noteIndex":0},"schema":"https://github.com/citation-style-language/schema/raw/master/csl-citation.json"}</w:instrText>
      </w:r>
      <w:r w:rsidRPr="005C5807">
        <w:fldChar w:fldCharType="separate"/>
      </w:r>
      <w:r w:rsidR="003E3EEF" w:rsidRPr="003E3EEF">
        <w:rPr>
          <w:noProof/>
        </w:rPr>
        <w:t>(12,34–37)</w:t>
      </w:r>
      <w:r w:rsidRPr="005C5807">
        <w:fldChar w:fldCharType="end"/>
      </w:r>
      <w:r w:rsidRPr="005C5807">
        <w:t xml:space="preserve">. Peak non-urgent attendance at NHS emergency departments has been recorded at weekends </w:t>
      </w:r>
      <w:r w:rsidRPr="005C5807">
        <w:fldChar w:fldCharType="begin" w:fldLock="1"/>
      </w:r>
      <w:r w:rsidR="003E3EEF">
        <w:instrText>ADDIN CSL_CITATION {"citationItems":[{"id":"ITEM-1","itemData":{"DOI":"10.1371/journal.pone.0192855","ISBN":"1111111111","ISSN":"1932-6203","author":[{"dropping-particle":"","family":"O’Keeffe","given":"Colin","non-dropping-particle":"","parse-names":false,"suffix":""},{"dropping-particle":"","family":"Mason","given":"Suzanne","non-dropping-particle":"","parse-names":false,"suffix":""},{"dropping-particle":"","family":"Jacques","given":"Richard","non-dropping-particle":"","parse-names":false,"suffix":""},{"dropping-particle":"","family":"Nicholl","given":"Jon","non-dropping-particle":"","parse-names":false,"suffix":""}],"container-title":"Plos One","id":"ITEM-1","issue":"2","issued":{"date-parts":[["2018"]]},"page":"e0192855","title":"Characterising non-urgent users of the emergency department (ED): A retrospective analysis of routine ED data","type":"article-journal","volume":"13"},"uris":["http://www.mendeley.com/documents/?uuid=581b286b-b1ed-48a8-bc53-0f3df29f8ef4"]}],"mendeley":{"formattedCitation":"(38)","plainTextFormattedCitation":"(38)","previouslyFormattedCitation":"(38)"},"properties":{"noteIndex":0},"schema":"https://github.com/citation-style-language/schema/raw/master/csl-citation.json"}</w:instrText>
      </w:r>
      <w:r w:rsidRPr="005C5807">
        <w:fldChar w:fldCharType="separate"/>
      </w:r>
      <w:r w:rsidR="003E3EEF" w:rsidRPr="003E3EEF">
        <w:rPr>
          <w:noProof/>
        </w:rPr>
        <w:t>(38)</w:t>
      </w:r>
      <w:r w:rsidRPr="005C5807">
        <w:fldChar w:fldCharType="end"/>
      </w:r>
      <w:r w:rsidRPr="005C5807">
        <w:t xml:space="preserve">, which may be due to the lack of access to primary care at the weekend </w:t>
      </w:r>
      <w:r w:rsidRPr="005C5807">
        <w:fldChar w:fldCharType="begin" w:fldLock="1"/>
      </w:r>
      <w:r w:rsidR="003E3EEF">
        <w:instrText>ADDIN CSL_CITATION {"citationItems":[{"id":"ITEM-1","itemData":{"author":[{"dropping-particle":"","family":"Marcu","given":"Afrodita","non-dropping-particle":"","parse-names":false,"suffix":""},{"dropping-particle":"","family":"Barnett","given":"Julie","non-dropping-particle":"","parse-names":false,"suffix":""},{"dropping-particle":"","family":"Uzzell","given":"David","non-dropping-particle":"","parse-names":false,"suffix":""},{"dropping-particle":"","family":"Vasileiou","given":"Konstantina","non-dropping-particle":"","parse-names":false,"suffix":""},{"dropping-particle":"","family":"Connell","given":"Susan O","non-dropping-particle":"","parse-names":false,"suffix":""}],"id":"ITEM-1","issued":{"date-parts":[["2013"]]},"title":"Experience of Lyme disease and preferences for precautions : a cross-sectional survey of UK patients","type":"article-journal"},"uris":["http://www.mendeley.com/documents/?uuid=af279865-9e94-4e97-9748-237439479a61"]},{"id":"ITEM-2","itemData":{"DOI":"10.1016/j.healthplace.2011.03.010","ISSN":"13538292","PMID":"21514209","abstract":"The focus of this paper is on how popular representations of the countryside provide countryside users with a discursive framework to make sense of unfamiliar countryside-based risks, taking Lyme disease as an example. Sixty-six semi-structured interviews were conducted with 82 visitors in Richmond Park, New Forest, and Exmoor National Park in the UK. The data were analysed using thematic analysis and was informed by social representations theory. The analysis indicated that a lay understanding of the risk of Lyme disease was filtered by place-attachment and the social representations of the countryside. Lyme disease was not understood primarily as a risk to health, but was instead constructed as a risk to the social and restorative practices in the context of the countryside. The findings suggest that advice about zoonoses such as Lyme disease is unlikely to cause panic, and that it should focus on the least intrusive preventative measures. ?? 2011 Elsevier Ltd.","author":[{"dropping-particle":"","family":"Marcu","given":"Afrodita","non-dropping-particle":"","parse-names":false,"suffix":""},{"dropping-particle":"","family":"Uzzell","given":"David","non-dropping-particle":"","parse-names":false,"suffix":""},{"dropping-particle":"","family":"Barnett","given":"Julie","non-dropping-particle":"","parse-names":false,"suffix":""}],"container-title":"Health and Place","id":"ITEM-2","issue":"3","issued":{"date-parts":[["2011"]]},"page":"843-850","publisher":"Elsevier","title":"Making sense of unfamiliar risks in the countryside: The case of Lyme disease","type":"article-journal","volume":"17"},"uris":["http://www.mendeley.com/documents/?uuid=42a59a9d-9e71-4c2d-b969-a99557dd8a6e"]},{"id":"ITEM-3","itemData":{"DOI":"10.1542/peds.2015-1492","ISSN":"0031-4005","PMID":"26791971","author":[{"dropping-particle":"","family":"Cecil","given":"E.","non-dropping-particle":"","parse-names":false,"suffix":""},{"dropping-particle":"","family":"Bottle","given":"A.","non-dropping-particle":"","parse-names":false,"suffix":""},{"dropping-particle":"","family":"Cowling","given":"T. E.","non-dropping-particle":"","parse-names":false,"suffix":""},{"dropping-particle":"","family":"Majeed","given":"A.","non-dropping-particle":"","parse-names":false,"suffix":""},{"dropping-particle":"","family":"Wolfe","given":"I.","non-dropping-particle":"","parse-names":false,"suffix":""},{"dropping-particle":"","family":"Saxena","given":"S.","non-dropping-particle":"","parse-names":false,"suffix":""}],"container-title":"Pediatrics","id":"ITEM-3","issue":"2","issued":{"date-parts":[["2016"]]},"page":"1-9","title":"Primary Care Access, Emergency Department Visits, and Unplanned Short Hospitalizations in the UK","type":"article-journal","volume":"137"},"uris":["http://www.mendeley.com/documents/?uuid=7b203fc4-d6f8-4444-b863-5728628f0d55"]},{"id":"ITEM-4","itemData":{"DOI":"10.1136/emermed-2013-203451","ISBN":"1472-0205","ISSN":"1472-0213","PMID":"24850778","abstract":"INTRODUCTION: It is believed that some patients are more likely to use out-of-hours primary care services because of difficulties in accessing in-hours care, but substantial evidence about any such association is missing.\\n\\nMETHODS: We analysed data from 567 049 respondents to the 2011/2012 English General Practice Patient Survey who reported at least one in-hours primary care consultation in the preceding 6 months. Of those respondents, 7% also reported using out-of-hours primary care. We used logistic regression to explore associations between use of out-of-hours primary care and five measures of in-hours access (ease of getting through on the telephone, ability to see a preferred general practitioner, ability to get an urgent or routine appointment and convenience of opening hours). We illustrated the potential for reduction in use of out-of-hours primary care in a model where access to in-hours care was made optimal.\\n\\nRESULTS: Worse in-hours access was associated with greater use of out-of-hours primary care for each access factor. In multivariable analysis adjusting for access and patient characteristic variables, worse access was independently associated with increased out-of-hours use for all measures except ease of telephone access. Assuming these associations were causal, we estimated that an 11% relative reduction in use of out-of-hours primary care services in England could be achievable if access to in-hours care were optimal.\\n\\nCONCLUSIONS: This secondary quantitative analysis provides evidence for an association between difficulty in accessing in-hours care and use of out-of-hours primary care services. The findings can motivate the development of interventions to improve in-hour access.","author":[{"dropping-particle":"","family":"Zhou","given":"Yin","non-dropping-particle":"","parse-names":false,"suffix":""},{"dropping-particle":"","family":"Abel","given":"Gary","non-dropping-particle":"","parse-names":false,"suffix":""},{"dropping-particle":"","family":"Warren","given":"Fiona","non-dropping-particle":"","parse-names":false,"suffix":""},{"dropping-particle":"","family":"Roland","given":"Martin","non-dropping-particle":"","parse-names":false,"suffix":""},{"dropping-particle":"","family":"Campbell","given":"John","non-dropping-particle":"","parse-names":false,"suffix":""},{"dropping-particle":"","family":"Lyratzopoulos","given":"Georgios","non-dropping-particle":"","parse-names":false,"suffix":""}],"container-title":"Emergency medicine journal : EMJ","id":"ITEM-4","issued":{"date-parts":[["2014"]]},"page":"1-6","title":"Do difficulties in accessing in-hours primary care predict higher use of out-of-hours GP services? Evidence from an English National Patient Survey.","type":"article-journal"},"uris":["http://www.mendeley.com/documents/?uuid=bc097c19-1d7e-4594-b22a-3c6fc52f6385"]},{"id":"ITEM-5","itemData":{"DOI":"10.1177/0141076818755557","ISSN":"0141-0768","author":[{"dropping-particle":"","family":"Rosenberg-Wohl","given":"Sarah","non-dropping-particle":"","parse-names":false,"suffix":""},{"dropping-particle":"","family":"Greenfield","given":"Geva","non-dropping-particle":"","parse-names":false,"suffix":""},{"dropping-particle":"","family":"Majeed","given":"Azeem","non-dropping-particle":"","parse-names":false,"suffix":""},{"dropping-particle":"","family":"Hayhoe","given":"Benedict","non-dropping-particle":"","parse-names":false,"suffix":""}],"container-title":"Journal of the Royal Society of Medicine","id":"ITEM-5","issue":"0","issued":{"date-parts":[["2018"]]},"page":"014107681875555","title":"Seven-day access to NHS primary care: how does England compare with Europe?","type":"article-journal","volume":"0"},"uris":["http://www.mendeley.com/documents/?uuid=0b3eed6b-1a29-4eb1-ac79-d907fef460d1"]}],"mendeley":{"formattedCitation":"(12,35–37,39)","plainTextFormattedCitation":"(12,35–37,39)","previouslyFormattedCitation":"(12,35–37,39)"},"properties":{"noteIndex":0},"schema":"https://github.com/citation-style-language/schema/raw/master/csl-citation.json"}</w:instrText>
      </w:r>
      <w:r w:rsidRPr="005C5807">
        <w:fldChar w:fldCharType="separate"/>
      </w:r>
      <w:r w:rsidR="003E3EEF" w:rsidRPr="003E3EEF">
        <w:rPr>
          <w:noProof/>
        </w:rPr>
        <w:t>(12,35–37,39)</w:t>
      </w:r>
      <w:r w:rsidRPr="005C5807">
        <w:fldChar w:fldCharType="end"/>
      </w:r>
      <w:r w:rsidRPr="005C5807">
        <w:t>. However, our data show that the number of cases appearing in A&amp;E is relatively evenly distributed throughout week, suggesting that the lack of knowledge of where to seek help with Lyme disease symptoms may be the predominant cause of the above findings.</w:t>
      </w:r>
      <w:r>
        <w:t xml:space="preserve"> Further work is needed to explore why so many patients would seek treatment at a hospital when, for </w:t>
      </w:r>
      <w:proofErr w:type="gramStart"/>
      <w:r>
        <w:t>the majority of</w:t>
      </w:r>
      <w:proofErr w:type="gramEnd"/>
      <w:r>
        <w:t xml:space="preserve"> cases, management could occur at primary care level. By linking with primary care electronic health records, one may be able to see whether they had sought help first in primary care before arriving at A&amp;E.</w:t>
      </w:r>
    </w:p>
    <w:p w:rsidR="00C55D03" w:rsidRDefault="00C55D03" w:rsidP="00C55D03">
      <w:pPr>
        <w:spacing w:line="480" w:lineRule="auto"/>
      </w:pPr>
      <w:r>
        <w:t xml:space="preserve">The major limitations of this study revolve around the use and validity of ICD-10 codes. A case of Lyme disease can be defined without laboratory confirmation, so there is no way to independently validate the accuracy of diagnostic coding in this context </w:t>
      </w:r>
      <w:r>
        <w:fldChar w:fldCharType="begin" w:fldLock="1"/>
      </w:r>
      <w:r w:rsidR="003E3EEF">
        <w:instrText>ADDIN CSL_CITATION {"citationItems":[{"id":"ITEM-1","itemData":{"URL":"https://www.nice.org.uk/guidance/ng95","accessed":{"date-parts":[["2017","10","23"]]},"author":[{"dropping-particle":"","family":"National Institute for Health and Care Excellence","given":"","non-dropping-particle":"","parse-names":false,"suffix":""}],"id":"ITEM-1","issued":{"date-parts":[["2018"]]},"title":"Lyme disease NICE guideline [NG95]","type":"webpage"},"uris":["http://www.mendeley.com/documents/?uuid=3c60817c-61d3-46a6-b42a-4baa11776ecd"]},{"id":"ITEM-2","itemData":{"DOI":"10.1016/j.jinf.2011.03.006","ISSN":"01634453","author":[{"dropping-particle":"","family":"British Infection Association","given":"","non-dropping-particle":"","parse-names":false,"suffix":""}],"container-title":"Journal of Infection","id":"ITEM-2","issue":"5","issued":{"date-parts":[["2011"]]},"page":"329-338","publisher":"Elsevier Ltd","title":"The epidemiology, prevention, investigation and treatment of Lyme borreliosis in United Kingdom patients: A position statement by the British Infection Association","type":"article-journal","volume":"62"},"uris":["http://www.mendeley.com/documents/?uuid=1031c539-4609-4adc-9558-6ac5cd05375a"]}],"mendeley":{"formattedCitation":"(5,8)","plainTextFormattedCitation":"(5,8)","previouslyFormattedCitation":"(5,8)"},"properties":{"noteIndex":0},"schema":"https://github.com/citation-style-language/schema/raw/master/csl-citation.json"}</w:instrText>
      </w:r>
      <w:r>
        <w:fldChar w:fldCharType="separate"/>
      </w:r>
      <w:r w:rsidR="003E3EEF" w:rsidRPr="003E3EEF">
        <w:rPr>
          <w:noProof/>
        </w:rPr>
        <w:t>(5,8)</w:t>
      </w:r>
      <w:r>
        <w:fldChar w:fldCharType="end"/>
      </w:r>
      <w:r>
        <w:t xml:space="preserve">. Previous work has shown that coding practices in hospitals are not infallible, but are steadily improving; quality issues were primarily focused on patient management variables, rather than demographics and geography </w:t>
      </w:r>
      <w:r>
        <w:fldChar w:fldCharType="begin" w:fldLock="1"/>
      </w:r>
      <w:r w:rsidR="003E3EEF">
        <w:instrText>ADDIN CSL_CITATION {"citationItems":[{"id":"ITEM-1","itemData":{"DOI":"10.1093/pubmed/fdr054","ISBN":"0957-4832 (Print)\\r0957-4832 (Linking)","ISSN":"17413842","PMID":"11585193","abstract":"BACKGROUND: The aim of the study was to review systematically the literature measuring the accuracy of routine UK hospital statistics that classify patients on discharge. METHODS: A systematic review was carried out of studies comparing routine discharge statistics about an episode of hospital care with the original medical record. Dual quality assessment and extraction was completed for included studies. Qualitative and descriptive analyses were undertaken. Additional comparisons of factors that could potentially introduce systematic variation in coding accuracy were also undertaken. RESULTS: Thirty studies were identified, of which 21 were included in the review. Twelve of these were conducted in England and Wales, and nine in Scotland. The majority assessed the accuracy of a single diagnosis, or selection of diagnoses in a limited range of hospital settings. The median coding accuracy rates were 91 per cent for diagnostic codes and 69.5 per cent for operation or procedure codes in studies in England or Wales; 82 per cent for diagnostic codes and 98 per cent for operation or procedure codes in Scottish studies. There were no significant differences in coding accuracy over time or in the type or rarity of the codes being assessed. Accuracy rates were higher for ICD7 codes (median 96.5 per cent) than for ICD8 (median 87 per cent) or ICD9 (median 77 per cent). CONCLUSIONS: Coding accuracy on average is high in the United Kingdom, especially for operations and procedures. However, policy-makers, planners and researchers need to recognize and account for the degree of inaccuracy in routine hospital information statistics. Further research is needed into methods of improving and maintaining coding accuracy.","author":[{"dropping-particle":"","family":"Burns","given":"E. M.","non-dropping-particle":"","parse-names":false,"suffix":""},{"dropping-particle":"","family":"Rigby","given":"E.","non-dropping-particle":"","parse-names":false,"suffix":""},{"dropping-particle":"","family":"Mamidanna","given":"R.","non-dropping-particle":"","parse-names":false,"suffix":""},{"dropping-particle":"","family":"Bottle","given":"A.","non-dropping-particle":"","parse-names":false,"suffix":""},{"dropping-particle":"","family":"Aylin","given":"P.","non-dropping-particle":"","parse-names":false,"suffix":""},{"dropping-particle":"","family":"Ziprin","given":"P.","non-dropping-particle":"","parse-names":false,"suffix":""},{"dropping-particle":"","family":"Faiz","given":"O. D.","non-dropping-particle":"","parse-names":false,"suffix":""}],"container-title":"Journal of Public Health","id":"ITEM-1","issue":"1","issued":{"date-parts":[["2012"]]},"page":"138-148","title":"Systematic review of discharge coding accuracy","type":"article-journal","volume":"34"},"uris":["http://www.mendeley.com/documents/?uuid=efa5a8be-b41b-4a0a-ac8b-58c3ae66388c"]}],"mendeley":{"formattedCitation":"(40)","plainTextFormattedCitation":"(40)","previouslyFormattedCitation":"(40)"},"properties":{"noteIndex":0},"schema":"https://github.com/citation-style-language/schema/raw/master/csl-citation.json"}</w:instrText>
      </w:r>
      <w:r>
        <w:fldChar w:fldCharType="separate"/>
      </w:r>
      <w:r w:rsidR="003E3EEF" w:rsidRPr="003E3EEF">
        <w:rPr>
          <w:noProof/>
        </w:rPr>
        <w:t>(40)</w:t>
      </w:r>
      <w:r>
        <w:fldChar w:fldCharType="end"/>
      </w:r>
      <w:r>
        <w:t>. Without such an audit, any potential inconsistencies in coding behaviour cannot be fully understood or quantified. Subjectively, admissions data in HES and PEDW were the most robust. As such, further work on the Lyme disease patient hospital population should primarily focus on admissions data.</w:t>
      </w:r>
    </w:p>
    <w:p w:rsidR="00C55D03" w:rsidRDefault="00C55D03" w:rsidP="00C55D03">
      <w:pPr>
        <w:spacing w:line="480" w:lineRule="auto"/>
      </w:pPr>
      <w:r>
        <w:t xml:space="preserve">Sixty-three treatment departments were recorded, some of which have no discernible link to Lyme disease. This may represent simple coding errors or that the code has been added for completeness when the primary reason for admission was unrelated to Lyme disease. The outpatient dataset was significantly overrepresented by two hospitals; both had the main treating department as </w:t>
      </w:r>
      <w:r>
        <w:lastRenderedPageBreak/>
        <w:t xml:space="preserve">dermatology and resulted in a high number of ACA codes. </w:t>
      </w:r>
      <w:r w:rsidRPr="005C5807">
        <w:t>This is further seen, by the large number of outpatients seen on a Monday. These cases were all from one hospital, and likely represent one dermatology clinician’s outpatient clinic.</w:t>
      </w:r>
      <w:r>
        <w:t xml:space="preserve"> This suggests that outpatient departments across England and Wales were not coding consistently and episodes may be being lost. The A&amp;E dataset contained very low numbers of patients, in stark contrast to the large number being admitted through A&amp;E as recorded in the APC dataset. The main reasons for these low numbers is not through lack of attendance but how coding is encouraged. Within A&amp;E, coding is not required to be as specific as the admissions data, and is just needed to code a generalised condition, sub-analysis of more serious conditions and anatomical area involved </w:t>
      </w:r>
      <w:r>
        <w:fldChar w:fldCharType="begin" w:fldLock="1"/>
      </w:r>
      <w:r w:rsidR="003E3EEF">
        <w:instrText>ADDIN CSL_CITATION {"citationItems":[{"id":"ITEM-1","itemData":{"URL":"http://www.datadictionary.nhs.uk/web_site_content/supporting_information/clinical_coding/accident_and_emergency_diagnosis_tables.asp?shownav=1","id":"ITEM-1","issued":{"date-parts":[["0"]]},"title":"NHS Accident and Emergency Diagnosis Table","type":"webpage"},"uris":["http://www.mendeley.com/documents/?uuid=b6753abe-33ac-4c3d-871b-131f36b74562"]}],"mendeley":{"formattedCitation":"(41)","plainTextFormattedCitation":"(41)","previouslyFormattedCitation":"(41)"},"properties":{"noteIndex":0},"schema":"https://github.com/citation-style-language/schema/raw/master/csl-citation.json"}</w:instrText>
      </w:r>
      <w:r>
        <w:fldChar w:fldCharType="separate"/>
      </w:r>
      <w:r w:rsidR="003E3EEF" w:rsidRPr="003E3EEF">
        <w:rPr>
          <w:noProof/>
        </w:rPr>
        <w:t>(41)</w:t>
      </w:r>
      <w:r>
        <w:fldChar w:fldCharType="end"/>
      </w:r>
      <w:r>
        <w:t>. This results in Lyme disease potentially falling into multiple categories depending on symptoms, such as “Infectious disease”, “Local infection”, “Dermatological conditions” and “</w:t>
      </w:r>
      <w:proofErr w:type="spellStart"/>
      <w:r>
        <w:t>Facio</w:t>
      </w:r>
      <w:proofErr w:type="spellEnd"/>
      <w:r>
        <w:t xml:space="preserve">-maxillary conditions”. This has been seen in previous work on arthropod bites, where all cases were recorded as “Bites/Stings” and routinely didn’t specify the causal arthropod </w:t>
      </w:r>
      <w:r>
        <w:fldChar w:fldCharType="begin" w:fldLock="1"/>
      </w:r>
      <w:r w:rsidR="003E3EEF">
        <w:instrText>ADDIN CSL_CITATION {"citationItems":[{"id":"ITEM-1","itemData":{"DOI":"10.1017/S0950268816000686","ISSN":"1469-4409 (Electronic)","PMID":"27068133","author":[{"dropping-particle":"","family":"Newitt","given":"S","non-dropping-particle":"","parse-names":false,"suffix":""},{"dropping-particle":"","family":"Ellliot","given":"A.J.","non-dropping-particle":"","parse-names":false,"suffix":""},{"dropping-particle":"","family":"Morbey","given":"Roger Antony","non-dropping-particle":"","parse-names":false,"suffix":""},{"dropping-particle":"","family":"Durnall","given":"H","non-dropping-particle":"","parse-names":false,"suffix":""},{"dropping-particle":"","family":"Pietzsch","given":"M. E.","non-dropping-particle":"","parse-names":false,"suffix":""},{"dropping-particle":"","family":"MEDLOCK","given":"J. M.","non-dropping-particle":"","parse-names":false,"suffix":""},{"dropping-particle":"","family":"Leach","given":"S","non-dropping-particle":"","parse-names":false,"suffix":""},{"dropping-particle":"","family":"Smith","given":"G.E.","non-dropping-particle":"","parse-names":false,"suffix":""}],"container-title":"Epidemiology and infection","id":"ITEM-1","issue":"11","issued":{"date-parts":[["2016"]]},"page":"2251-2259","title":"The use of syndromic surveillance to monitor the incidence of arthropod bites requiring healthcare in England , 2000 – 2013 : a retrospective ecological study","type":"article-journal","volume":"144"},"uris":["http://www.mendeley.com/documents/?uuid=92b6090c-6ded-4124-901c-0e1b57427c11"]}],"mendeley":{"formattedCitation":"(42)","plainTextFormattedCitation":"(42)","previouslyFormattedCitation":"(42)"},"properties":{"noteIndex":0},"schema":"https://github.com/citation-style-language/schema/raw/master/csl-citation.json"}</w:instrText>
      </w:r>
      <w:r>
        <w:fldChar w:fldCharType="separate"/>
      </w:r>
      <w:r w:rsidR="003E3EEF" w:rsidRPr="003E3EEF">
        <w:rPr>
          <w:noProof/>
        </w:rPr>
        <w:t>(42)</w:t>
      </w:r>
      <w:r>
        <w:fldChar w:fldCharType="end"/>
      </w:r>
      <w:r>
        <w:t xml:space="preserve">.  </w:t>
      </w:r>
    </w:p>
    <w:p w:rsidR="00C55D03" w:rsidRDefault="00C55D03" w:rsidP="00C55D03">
      <w:pPr>
        <w:spacing w:line="480" w:lineRule="auto"/>
      </w:pPr>
      <w:r>
        <w:t xml:space="preserve">PEDW only collects admission data and so some of the issues discussed above for the English dataset were negated. </w:t>
      </w:r>
      <w:proofErr w:type="gramStart"/>
      <w:r>
        <w:t>Unfortunately</w:t>
      </w:r>
      <w:proofErr w:type="gramEnd"/>
      <w:r>
        <w:t xml:space="preserve"> linkage between the PEDW and HES datasets was not possible; though, for reasons described above, these patients were likely to be unique. Without linkage there still is the potential of duplication of patients within the records and therefore there is a small degree of uncertainty attached to these results. </w:t>
      </w:r>
    </w:p>
    <w:p w:rsidR="00C55D03" w:rsidRPr="00C55D03" w:rsidRDefault="00C55D03" w:rsidP="00C55D03">
      <w:pPr>
        <w:spacing w:line="480" w:lineRule="auto"/>
        <w:rPr>
          <w:b/>
        </w:rPr>
      </w:pPr>
      <w:r>
        <w:rPr>
          <w:b/>
        </w:rPr>
        <w:t>Conclusions</w:t>
      </w:r>
    </w:p>
    <w:p w:rsidR="00C55D03" w:rsidRDefault="00C55D03" w:rsidP="00C55D03">
      <w:pPr>
        <w:spacing w:line="480" w:lineRule="auto"/>
      </w:pPr>
      <w:r>
        <w:t xml:space="preserve">This study has, for the first time, described the demographics of hospital patients who are coded with Lyme disease, across England and Wales.  The demography of this population poses some interesting questions, especially around female predominance, the relative lack of ethnic diversity and the trend towards habitation in areas of low deprivation. This study provides a platform to inform future work on Lyme disease patients within hospital settings. Analysis of secondary care </w:t>
      </w:r>
      <w:r>
        <w:lastRenderedPageBreak/>
        <w:t xml:space="preserve">data can inform and help target health promotion messages, and as this is an ongoing dataset, interventions relating to Lyme disease could be formally assessed. </w:t>
      </w:r>
    </w:p>
    <w:p w:rsidR="00C55D03" w:rsidRDefault="00C55D03" w:rsidP="00C55D03">
      <w:pPr>
        <w:spacing w:line="480" w:lineRule="auto"/>
        <w:rPr>
          <w:b/>
        </w:rPr>
      </w:pPr>
    </w:p>
    <w:p w:rsidR="00C55D03" w:rsidRDefault="00C55D03" w:rsidP="00C55D03">
      <w:pPr>
        <w:spacing w:line="480" w:lineRule="auto"/>
        <w:rPr>
          <w:b/>
        </w:rPr>
      </w:pPr>
      <w:r>
        <w:rPr>
          <w:b/>
        </w:rPr>
        <w:t>List of abbreviations</w:t>
      </w:r>
    </w:p>
    <w:p w:rsidR="00C55D03" w:rsidRDefault="00C55D03" w:rsidP="00C55D03">
      <w:pPr>
        <w:spacing w:line="480" w:lineRule="auto"/>
      </w:pPr>
      <w:r>
        <w:t>National Health Service – NHS</w:t>
      </w:r>
    </w:p>
    <w:p w:rsidR="00C55D03" w:rsidRDefault="00C55D03" w:rsidP="00C55D03">
      <w:pPr>
        <w:spacing w:line="480" w:lineRule="auto"/>
      </w:pPr>
      <w:r>
        <w:t>Hospital Episode Statistics – HES</w:t>
      </w:r>
    </w:p>
    <w:p w:rsidR="00C55D03" w:rsidRDefault="00C55D03" w:rsidP="00C55D03">
      <w:pPr>
        <w:spacing w:line="480" w:lineRule="auto"/>
      </w:pPr>
      <w:r>
        <w:t>Patient Episode Database for Wales – PEDW</w:t>
      </w:r>
    </w:p>
    <w:p w:rsidR="00C55D03" w:rsidRDefault="000F6F9F" w:rsidP="00C55D03">
      <w:pPr>
        <w:spacing w:line="480" w:lineRule="auto"/>
      </w:pPr>
      <w:r>
        <w:t>Accident and emergency – A&amp;E</w:t>
      </w:r>
    </w:p>
    <w:p w:rsidR="000F6F9F" w:rsidRDefault="000F6F9F" w:rsidP="00C55D03">
      <w:pPr>
        <w:spacing w:line="480" w:lineRule="auto"/>
      </w:pPr>
      <w:r>
        <w:t xml:space="preserve">Acrodermatitis </w:t>
      </w:r>
      <w:proofErr w:type="spellStart"/>
      <w:r>
        <w:t>chronica</w:t>
      </w:r>
      <w:proofErr w:type="spellEnd"/>
      <w:r>
        <w:t xml:space="preserve"> </w:t>
      </w:r>
      <w:proofErr w:type="spellStart"/>
      <w:r>
        <w:t>atrophicans</w:t>
      </w:r>
      <w:proofErr w:type="spellEnd"/>
      <w:r>
        <w:t xml:space="preserve"> – ACA</w:t>
      </w:r>
    </w:p>
    <w:p w:rsidR="000F6F9F" w:rsidRDefault="000F6F9F" w:rsidP="00C55D03">
      <w:pPr>
        <w:spacing w:line="480" w:lineRule="auto"/>
      </w:pPr>
      <w:r>
        <w:t>National Institute for Health and Care Excellence – NICE</w:t>
      </w:r>
    </w:p>
    <w:p w:rsidR="000F6F9F" w:rsidRDefault="000F6F9F" w:rsidP="00C55D03">
      <w:pPr>
        <w:spacing w:line="480" w:lineRule="auto"/>
      </w:pPr>
      <w:r>
        <w:t>Admitted patient care – APC</w:t>
      </w:r>
    </w:p>
    <w:p w:rsidR="000F6F9F" w:rsidRDefault="000F6F9F" w:rsidP="00C55D03">
      <w:pPr>
        <w:spacing w:line="480" w:lineRule="auto"/>
      </w:pPr>
      <w:r>
        <w:t>Outpatient attendance – OA</w:t>
      </w:r>
    </w:p>
    <w:p w:rsidR="000F6F9F" w:rsidRDefault="000F6F9F" w:rsidP="00C55D03">
      <w:pPr>
        <w:spacing w:line="480" w:lineRule="auto"/>
      </w:pPr>
      <w:r>
        <w:t>International Statistical Classification of Diseases and Related Health Problems 10</w:t>
      </w:r>
      <w:r w:rsidRPr="00405A57">
        <w:rPr>
          <w:vertAlign w:val="superscript"/>
        </w:rPr>
        <w:t>th</w:t>
      </w:r>
      <w:r>
        <w:t xml:space="preserve"> Revision – ICD-10</w:t>
      </w:r>
    </w:p>
    <w:p w:rsidR="000F6F9F" w:rsidRDefault="000F6F9F" w:rsidP="00C55D03">
      <w:pPr>
        <w:spacing w:line="480" w:lineRule="auto"/>
      </w:pPr>
      <w:r>
        <w:t>Office for National Statistics –ONS</w:t>
      </w:r>
    </w:p>
    <w:p w:rsidR="000F6F9F" w:rsidRDefault="000F6F9F" w:rsidP="00C55D03">
      <w:pPr>
        <w:spacing w:line="480" w:lineRule="auto"/>
      </w:pPr>
      <w:r>
        <w:t>Index of Multiple Deprivation – IMD</w:t>
      </w:r>
    </w:p>
    <w:p w:rsidR="000F6F9F" w:rsidRDefault="000F6F9F" w:rsidP="00C55D03">
      <w:pPr>
        <w:spacing w:line="480" w:lineRule="auto"/>
      </w:pPr>
      <w:r>
        <w:t>Welsh Index of Multiple Deprivation – WIMD</w:t>
      </w:r>
    </w:p>
    <w:p w:rsidR="000F6F9F" w:rsidRDefault="000F6F9F" w:rsidP="00C55D03">
      <w:pPr>
        <w:spacing w:line="480" w:lineRule="auto"/>
      </w:pPr>
      <w:r>
        <w:t>Lower super output area – LSOA</w:t>
      </w:r>
    </w:p>
    <w:p w:rsidR="000F6F9F" w:rsidRDefault="000F6F9F" w:rsidP="00C55D03">
      <w:pPr>
        <w:spacing w:line="480" w:lineRule="auto"/>
      </w:pPr>
      <w:r>
        <w:t>Public Health England –</w:t>
      </w:r>
      <w:r w:rsidR="00BD7F95">
        <w:t>PHE</w:t>
      </w:r>
    </w:p>
    <w:p w:rsidR="00BD7F95" w:rsidRDefault="00BD7F95" w:rsidP="00C55D03">
      <w:pPr>
        <w:spacing w:line="480" w:lineRule="auto"/>
        <w:rPr>
          <w:b/>
        </w:rPr>
      </w:pPr>
    </w:p>
    <w:p w:rsidR="00F31BFB" w:rsidRDefault="00F31BFB" w:rsidP="00C55D03">
      <w:pPr>
        <w:spacing w:line="480" w:lineRule="auto"/>
        <w:rPr>
          <w:b/>
        </w:rPr>
      </w:pPr>
    </w:p>
    <w:p w:rsidR="00C55D03" w:rsidRDefault="00C55D03" w:rsidP="00C55D03">
      <w:pPr>
        <w:spacing w:line="480" w:lineRule="auto"/>
        <w:rPr>
          <w:b/>
        </w:rPr>
      </w:pPr>
      <w:r>
        <w:rPr>
          <w:b/>
        </w:rPr>
        <w:lastRenderedPageBreak/>
        <w:t>Declarations</w:t>
      </w:r>
    </w:p>
    <w:p w:rsidR="00C55D03" w:rsidRPr="00ED23B7" w:rsidRDefault="00C55D03" w:rsidP="00C55D03">
      <w:pPr>
        <w:spacing w:line="480" w:lineRule="auto"/>
        <w:rPr>
          <w:b/>
          <w:i/>
        </w:rPr>
      </w:pPr>
      <w:r w:rsidRPr="00ED23B7">
        <w:rPr>
          <w:b/>
          <w:i/>
        </w:rPr>
        <w:t>Ethics approval and consent to participate</w:t>
      </w:r>
    </w:p>
    <w:p w:rsidR="00C55D03" w:rsidRDefault="00C55D03" w:rsidP="00C55D03">
      <w:pPr>
        <w:spacing w:line="480" w:lineRule="auto"/>
        <w:rPr>
          <w:rFonts w:cs="Arial"/>
          <w:shd w:val="clear" w:color="auto" w:fill="FFFFFF"/>
        </w:rPr>
      </w:pPr>
      <w:r w:rsidRPr="00A06429">
        <w:rPr>
          <w:rFonts w:cs="Times New Roman"/>
        </w:rPr>
        <w:t>No ethical approval was required as these data were collected for public health surveillance under The Health Protection Legislation (England) Guidance 2010</w:t>
      </w:r>
      <w:r w:rsidR="00AA7C0C">
        <w:rPr>
          <w:rFonts w:cs="Times New Roman"/>
        </w:rPr>
        <w:t xml:space="preserve"> [4</w:t>
      </w:r>
      <w:r>
        <w:rPr>
          <w:rFonts w:cs="Times New Roman"/>
        </w:rPr>
        <w:t>3</w:t>
      </w:r>
      <w:r w:rsidRPr="008105C1">
        <w:rPr>
          <w:rFonts w:cs="Times New Roman"/>
        </w:rPr>
        <w:t xml:space="preserve">]. </w:t>
      </w:r>
      <w:r w:rsidRPr="008105C1">
        <w:rPr>
          <w:rFonts w:cs="Arial"/>
          <w:shd w:val="clear" w:color="auto" w:fill="FFFFFF"/>
        </w:rPr>
        <w:t>Hospital Episode Statistics (HES) data were made available by NHS Digital (Copyright 2015, re-used with the permission of NHS Digital. All rights reserved.) Approvals for the use of anonymised HES data were obtained as part of the standard NHS Digital data access process. Patient Episode Database for Wales (PEDW) data were made available by NHS Wales Informatics Service. Approvals for the use of anonymised PEDW data were obtained as part of the standard NHS Wales Informatics Service data access process.</w:t>
      </w:r>
    </w:p>
    <w:p w:rsidR="00BD7F95" w:rsidRDefault="00BD7F95" w:rsidP="00C55D03">
      <w:pPr>
        <w:spacing w:line="480" w:lineRule="auto"/>
        <w:rPr>
          <w:rFonts w:cs="Arial"/>
          <w:b/>
          <w:i/>
          <w:shd w:val="clear" w:color="auto" w:fill="FFFFFF"/>
        </w:rPr>
      </w:pPr>
    </w:p>
    <w:p w:rsidR="00BD7F95" w:rsidRDefault="00BD7F95" w:rsidP="00C55D03">
      <w:pPr>
        <w:spacing w:line="480" w:lineRule="auto"/>
        <w:rPr>
          <w:rFonts w:cs="Arial"/>
          <w:b/>
          <w:i/>
          <w:shd w:val="clear" w:color="auto" w:fill="FFFFFF"/>
        </w:rPr>
      </w:pPr>
      <w:r>
        <w:rPr>
          <w:rFonts w:cs="Arial"/>
          <w:b/>
          <w:i/>
          <w:shd w:val="clear" w:color="auto" w:fill="FFFFFF"/>
        </w:rPr>
        <w:t>Consent for publication</w:t>
      </w:r>
    </w:p>
    <w:p w:rsidR="00BD7F95" w:rsidRPr="00BD7F95" w:rsidRDefault="00BD7F95" w:rsidP="00C55D03">
      <w:pPr>
        <w:spacing w:line="480" w:lineRule="auto"/>
      </w:pPr>
      <w:r>
        <w:rPr>
          <w:rFonts w:cs="Arial"/>
          <w:shd w:val="clear" w:color="auto" w:fill="FFFFFF"/>
        </w:rPr>
        <w:t>Not applicable</w:t>
      </w:r>
    </w:p>
    <w:p w:rsidR="00BD7F95" w:rsidRDefault="00BD7F95" w:rsidP="00C55D03">
      <w:pPr>
        <w:spacing w:line="480" w:lineRule="auto"/>
        <w:rPr>
          <w:b/>
          <w:i/>
        </w:rPr>
      </w:pPr>
    </w:p>
    <w:p w:rsidR="00C55D03" w:rsidRDefault="00C55D03" w:rsidP="00C55D03">
      <w:pPr>
        <w:spacing w:line="480" w:lineRule="auto"/>
      </w:pPr>
      <w:r>
        <w:rPr>
          <w:b/>
          <w:i/>
        </w:rPr>
        <w:t>Availability of data and materials</w:t>
      </w:r>
    </w:p>
    <w:p w:rsidR="00C55D03" w:rsidRPr="008105C1" w:rsidRDefault="00C55D03" w:rsidP="00C55D03">
      <w:pPr>
        <w:spacing w:line="480" w:lineRule="auto"/>
        <w:rPr>
          <w:rFonts w:cs="Arial"/>
          <w:shd w:val="clear" w:color="auto" w:fill="FFFFFF"/>
        </w:rPr>
      </w:pPr>
      <w:r w:rsidRPr="008105C1">
        <w:rPr>
          <w:rFonts w:cs="Arial"/>
          <w:shd w:val="clear" w:color="auto" w:fill="FFFFFF"/>
        </w:rPr>
        <w:t>The data governance arrangements for the study do not allow us to redistribute HES data to other parties. Researchers interested in accessing HES data can apply for access through NHS Digital’s Data Access Request Service (DARS) </w:t>
      </w:r>
      <w:hyperlink r:id="rId7" w:history="1">
        <w:r w:rsidRPr="008105C1">
          <w:rPr>
            <w:rStyle w:val="Hyperlink"/>
            <w:rFonts w:cs="Arial"/>
            <w:color w:val="auto"/>
            <w:shd w:val="clear" w:color="auto" w:fill="FFFFFF"/>
          </w:rPr>
          <w:t>https://dataaccessrequest.hscic.gov.uk/</w:t>
        </w:r>
      </w:hyperlink>
      <w:r w:rsidRPr="008105C1">
        <w:rPr>
          <w:rFonts w:cs="Arial"/>
          <w:shd w:val="clear" w:color="auto" w:fill="FFFFFF"/>
        </w:rPr>
        <w:t xml:space="preserve">. </w:t>
      </w:r>
    </w:p>
    <w:p w:rsidR="00C55D03" w:rsidRDefault="00C55D03" w:rsidP="00C55D03">
      <w:pPr>
        <w:spacing w:line="480" w:lineRule="auto"/>
        <w:rPr>
          <w:rFonts w:cs="Arial"/>
          <w:shd w:val="clear" w:color="auto" w:fill="FFFFFF"/>
        </w:rPr>
      </w:pPr>
      <w:r w:rsidRPr="008105C1">
        <w:rPr>
          <w:rFonts w:cs="Arial"/>
          <w:shd w:val="clear" w:color="auto" w:fill="FFFFFF"/>
        </w:rPr>
        <w:t xml:space="preserve">The data governance arrangements for the study do not allow us to redistribute PEDW data to other parties. Researchers interested in accessing PEDW data can apply for access through the NHS Informatics Service – PEDW Data Online </w:t>
      </w:r>
      <w:hyperlink r:id="rId8" w:history="1">
        <w:r w:rsidRPr="008105C1">
          <w:rPr>
            <w:rStyle w:val="Hyperlink"/>
            <w:rFonts w:cs="Arial"/>
            <w:color w:val="auto"/>
            <w:shd w:val="clear" w:color="auto" w:fill="FFFFFF"/>
          </w:rPr>
          <w:t>http://www.infoandstats.wales.nhs.uk/page.cfm?orgid=869&amp;pid=40977</w:t>
        </w:r>
      </w:hyperlink>
      <w:r w:rsidRPr="008105C1">
        <w:rPr>
          <w:rFonts w:cs="Arial"/>
          <w:shd w:val="clear" w:color="auto" w:fill="FFFFFF"/>
        </w:rPr>
        <w:t xml:space="preserve"> </w:t>
      </w:r>
    </w:p>
    <w:p w:rsidR="00BD7F95" w:rsidRPr="008105C1" w:rsidRDefault="00BD7F95" w:rsidP="00C55D03">
      <w:pPr>
        <w:spacing w:line="480" w:lineRule="auto"/>
        <w:rPr>
          <w:rFonts w:cs="Arial"/>
          <w:shd w:val="clear" w:color="auto" w:fill="FFFFFF"/>
        </w:rPr>
      </w:pPr>
    </w:p>
    <w:p w:rsidR="00C55D03" w:rsidRPr="008105C1" w:rsidRDefault="00C55D03" w:rsidP="00C55D03">
      <w:pPr>
        <w:spacing w:line="480" w:lineRule="auto"/>
        <w:rPr>
          <w:rFonts w:cs="Arial"/>
          <w:b/>
          <w:i/>
          <w:shd w:val="clear" w:color="auto" w:fill="FFFFFF"/>
        </w:rPr>
      </w:pPr>
      <w:r w:rsidRPr="008105C1">
        <w:rPr>
          <w:rFonts w:cs="Arial"/>
          <w:b/>
          <w:i/>
          <w:shd w:val="clear" w:color="auto" w:fill="FFFFFF"/>
        </w:rPr>
        <w:t>Competing of Interests</w:t>
      </w:r>
    </w:p>
    <w:p w:rsidR="00C55D03" w:rsidRDefault="00C55D03" w:rsidP="00C55D03">
      <w:pPr>
        <w:spacing w:line="480" w:lineRule="auto"/>
        <w:rPr>
          <w:rFonts w:cs="Arial"/>
          <w:shd w:val="clear" w:color="auto" w:fill="FFFFFF"/>
        </w:rPr>
      </w:pPr>
      <w:r w:rsidRPr="008105C1">
        <w:rPr>
          <w:rFonts w:cs="Arial"/>
          <w:shd w:val="clear" w:color="auto" w:fill="FFFFFF"/>
        </w:rPr>
        <w:lastRenderedPageBreak/>
        <w:t>The authors declare that they have no competing interests.</w:t>
      </w:r>
    </w:p>
    <w:p w:rsidR="003A3B76" w:rsidRDefault="003A3B76" w:rsidP="00C55D03">
      <w:pPr>
        <w:spacing w:line="480" w:lineRule="auto"/>
        <w:rPr>
          <w:rFonts w:cs="Arial"/>
          <w:shd w:val="clear" w:color="auto" w:fill="FFFFFF"/>
        </w:rPr>
      </w:pPr>
    </w:p>
    <w:p w:rsidR="00BD7F95" w:rsidRDefault="00BD7F95" w:rsidP="00C55D03">
      <w:pPr>
        <w:spacing w:line="480" w:lineRule="auto"/>
        <w:rPr>
          <w:rFonts w:cs="Arial"/>
          <w:b/>
          <w:i/>
          <w:shd w:val="clear" w:color="auto" w:fill="FFFFFF"/>
        </w:rPr>
      </w:pPr>
      <w:r>
        <w:rPr>
          <w:rFonts w:cs="Arial"/>
          <w:b/>
          <w:i/>
          <w:shd w:val="clear" w:color="auto" w:fill="FFFFFF"/>
        </w:rPr>
        <w:t>Funding</w:t>
      </w:r>
    </w:p>
    <w:p w:rsidR="00BD7F95" w:rsidRDefault="00BD7F95" w:rsidP="00C55D03">
      <w:pPr>
        <w:spacing w:line="480" w:lineRule="auto"/>
        <w:rPr>
          <w:rFonts w:cs="Arial"/>
          <w:shd w:val="clear" w:color="auto" w:fill="FFFFFF"/>
        </w:rPr>
      </w:pPr>
      <w:r>
        <w:rPr>
          <w:rFonts w:cs="Arial"/>
          <w:shd w:val="clear" w:color="auto" w:fill="FFFFFF"/>
        </w:rPr>
        <w:t xml:space="preserve">The research was funded by the National Institute for Health Research Health Protection Research Unit (NIHR HPRU) in Emerging and Zoonotic Infections at the University of Liverpool in partnership with Public Health England (PHE), in collaboration with the Liverpool School of Tropical Medicine. JW is based at the PHE Rare and Imported Pathogens Laboratory, </w:t>
      </w:r>
      <w:proofErr w:type="spellStart"/>
      <w:r>
        <w:rPr>
          <w:rFonts w:cs="Arial"/>
          <w:shd w:val="clear" w:color="auto" w:fill="FFFFFF"/>
        </w:rPr>
        <w:t>Porton</w:t>
      </w:r>
      <w:proofErr w:type="spellEnd"/>
      <w:r>
        <w:rPr>
          <w:rFonts w:cs="Arial"/>
          <w:shd w:val="clear" w:color="auto" w:fill="FFFFFF"/>
        </w:rPr>
        <w:t xml:space="preserve"> Down. The views expressed are those of the authors and not necessarily thos</w:t>
      </w:r>
      <w:r w:rsidR="00394791">
        <w:rPr>
          <w:rFonts w:cs="Arial"/>
          <w:shd w:val="clear" w:color="auto" w:fill="FFFFFF"/>
        </w:rPr>
        <w:t>e</w:t>
      </w:r>
      <w:r>
        <w:rPr>
          <w:rFonts w:cs="Arial"/>
          <w:shd w:val="clear" w:color="auto" w:fill="FFFFFF"/>
        </w:rPr>
        <w:t xml:space="preserve"> of the NHS, NIHR</w:t>
      </w:r>
      <w:r w:rsidR="00394791">
        <w:rPr>
          <w:rFonts w:cs="Arial"/>
          <w:shd w:val="clear" w:color="auto" w:fill="FFFFFF"/>
        </w:rPr>
        <w:t>,</w:t>
      </w:r>
      <w:r>
        <w:rPr>
          <w:rFonts w:cs="Arial"/>
          <w:shd w:val="clear" w:color="auto" w:fill="FFFFFF"/>
        </w:rPr>
        <w:t xml:space="preserve"> the Department of Health or Public Health England. </w:t>
      </w:r>
    </w:p>
    <w:p w:rsidR="00394791" w:rsidRDefault="00394791" w:rsidP="00C55D03">
      <w:pPr>
        <w:spacing w:line="480" w:lineRule="auto"/>
        <w:rPr>
          <w:rFonts w:cs="Arial"/>
          <w:shd w:val="clear" w:color="auto" w:fill="FFFFFF"/>
        </w:rPr>
      </w:pPr>
    </w:p>
    <w:p w:rsidR="00394791" w:rsidRDefault="00394791" w:rsidP="00C55D03">
      <w:pPr>
        <w:spacing w:line="480" w:lineRule="auto"/>
        <w:rPr>
          <w:rFonts w:cs="Arial"/>
          <w:b/>
          <w:i/>
          <w:shd w:val="clear" w:color="auto" w:fill="FFFFFF"/>
        </w:rPr>
      </w:pPr>
      <w:r w:rsidRPr="00394791">
        <w:rPr>
          <w:rFonts w:cs="Arial"/>
          <w:b/>
          <w:i/>
          <w:shd w:val="clear" w:color="auto" w:fill="FFFFFF"/>
        </w:rPr>
        <w:t>Authors’ Contributions</w:t>
      </w:r>
    </w:p>
    <w:p w:rsidR="00394791" w:rsidRPr="00394791" w:rsidRDefault="00394791" w:rsidP="00C55D03">
      <w:pPr>
        <w:spacing w:line="480" w:lineRule="auto"/>
        <w:rPr>
          <w:rFonts w:cs="Arial"/>
          <w:shd w:val="clear" w:color="auto" w:fill="FFFFFF"/>
        </w:rPr>
      </w:pPr>
      <w:r>
        <w:rPr>
          <w:rFonts w:cs="Arial"/>
          <w:shd w:val="clear" w:color="auto" w:fill="FFFFFF"/>
        </w:rPr>
        <w:t xml:space="preserve">JT, RC, JW, AR and RV contributed to the design and implementation of the research. JT performed data analysis, with the assistance of VD. JT and RV wrote the manuscript in consultation with RC, AR, VD, and JW. All Authors read, commented and approved the final manuscript. </w:t>
      </w:r>
    </w:p>
    <w:p w:rsidR="00394791" w:rsidRDefault="00394791" w:rsidP="00C55D03">
      <w:pPr>
        <w:spacing w:line="480" w:lineRule="auto"/>
        <w:rPr>
          <w:b/>
          <w:i/>
        </w:rPr>
      </w:pPr>
    </w:p>
    <w:p w:rsidR="00C55D03" w:rsidRDefault="00C55D03" w:rsidP="00C55D03">
      <w:pPr>
        <w:spacing w:line="480" w:lineRule="auto"/>
        <w:rPr>
          <w:b/>
          <w:i/>
        </w:rPr>
      </w:pPr>
      <w:r>
        <w:rPr>
          <w:b/>
          <w:i/>
        </w:rPr>
        <w:t>Acknowledgements</w:t>
      </w:r>
    </w:p>
    <w:p w:rsidR="003A3B76" w:rsidRPr="00741677" w:rsidRDefault="00741677" w:rsidP="00C55D03">
      <w:pPr>
        <w:spacing w:line="480" w:lineRule="auto"/>
        <w:rPr>
          <w:rFonts w:cstheme="minorHAnsi"/>
        </w:rPr>
      </w:pPr>
      <w:bookmarkStart w:id="8" w:name="_Hlk4150890"/>
      <w:r w:rsidRPr="00741677">
        <w:rPr>
          <w:rFonts w:cstheme="minorHAnsi"/>
          <w:color w:val="000000"/>
          <w:shd w:val="clear" w:color="auto" w:fill="FFFFFF"/>
        </w:rPr>
        <w:t>This work uses data provided by patients and collected by the NHS as part of their care and support and would not have been possible without access to this data. The NIHR recognises and values the role of patient data, securely accessed and stored, both in underpinning and leading to improvements in research and care</w:t>
      </w:r>
      <w:r w:rsidR="003E3EEF">
        <w:rPr>
          <w:rFonts w:cstheme="minorHAnsi"/>
          <w:color w:val="000000"/>
          <w:shd w:val="clear" w:color="auto" w:fill="FFFFFF"/>
        </w:rPr>
        <w:t>.</w:t>
      </w:r>
    </w:p>
    <w:bookmarkEnd w:id="8"/>
    <w:p w:rsidR="00C55D03" w:rsidRPr="00E728AF" w:rsidRDefault="00C55D03" w:rsidP="00C55D03">
      <w:pPr>
        <w:spacing w:line="480" w:lineRule="auto"/>
        <w:rPr>
          <w:b/>
        </w:rPr>
      </w:pPr>
      <w:r>
        <w:rPr>
          <w:b/>
        </w:rPr>
        <w:t>References</w:t>
      </w:r>
    </w:p>
    <w:p w:rsidR="000B1587" w:rsidRPr="000B1587" w:rsidRDefault="00C55D03" w:rsidP="000B1587">
      <w:pPr>
        <w:widowControl w:val="0"/>
        <w:autoSpaceDE w:val="0"/>
        <w:autoSpaceDN w:val="0"/>
        <w:adjustRightInd w:val="0"/>
        <w:spacing w:line="480" w:lineRule="auto"/>
        <w:ind w:left="640" w:hanging="640"/>
        <w:rPr>
          <w:rFonts w:ascii="Calibri" w:hAnsi="Calibri" w:cs="Calibri"/>
          <w:noProof/>
          <w:szCs w:val="24"/>
        </w:rPr>
      </w:pPr>
      <w:r>
        <w:fldChar w:fldCharType="begin" w:fldLock="1"/>
      </w:r>
      <w:r>
        <w:instrText xml:space="preserve">ADDIN Mendeley Bibliography CSL_BIBLIOGRAPHY </w:instrText>
      </w:r>
      <w:r>
        <w:fldChar w:fldCharType="separate"/>
      </w:r>
      <w:r w:rsidR="000B1587" w:rsidRPr="000B1587">
        <w:rPr>
          <w:rFonts w:ascii="Calibri" w:hAnsi="Calibri" w:cs="Calibri"/>
          <w:noProof/>
          <w:szCs w:val="24"/>
        </w:rPr>
        <w:t xml:space="preserve">1. </w:t>
      </w:r>
      <w:r w:rsidR="000B1587" w:rsidRPr="000B1587">
        <w:rPr>
          <w:rFonts w:ascii="Calibri" w:hAnsi="Calibri" w:cs="Calibri"/>
          <w:noProof/>
          <w:szCs w:val="24"/>
        </w:rPr>
        <w:tab/>
      </w:r>
      <w:r w:rsidR="00273B0B" w:rsidRPr="00405F47">
        <w:rPr>
          <w:rFonts w:cs="Times New Roman"/>
          <w:noProof/>
        </w:rPr>
        <w:t xml:space="preserve">Sykes RA, Makiello P. An estimate of Lyme borreliosis incidence in Western Europe. J Public Health (Oxf). </w:t>
      </w:r>
      <w:r w:rsidR="00273B0B" w:rsidRPr="00405F47">
        <w:rPr>
          <w:rFonts w:cs="Times New Roman"/>
          <w:bCs/>
          <w:noProof/>
        </w:rPr>
        <w:t>2017</w:t>
      </w:r>
      <w:r w:rsidR="00273B0B" w:rsidRPr="00405F47">
        <w:rPr>
          <w:rFonts w:cs="Times New Roman"/>
          <w:noProof/>
        </w:rPr>
        <w:t>;</w:t>
      </w:r>
      <w:r w:rsidR="00273B0B">
        <w:rPr>
          <w:rFonts w:cs="Times New Roman"/>
          <w:noProof/>
        </w:rPr>
        <w:t>39(1):74-81</w:t>
      </w:r>
      <w:r w:rsidR="000B1587"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lastRenderedPageBreak/>
        <w:t xml:space="preserve">2. </w:t>
      </w:r>
      <w:r w:rsidRPr="000B1587">
        <w:rPr>
          <w:rFonts w:ascii="Calibri" w:hAnsi="Calibri" w:cs="Calibri"/>
          <w:noProof/>
          <w:szCs w:val="24"/>
        </w:rPr>
        <w:tab/>
      </w:r>
      <w:r w:rsidR="00273B0B" w:rsidRPr="000608BB">
        <w:rPr>
          <w:rFonts w:ascii="Calibri" w:hAnsi="Calibri" w:cs="Times New Roman"/>
          <w:noProof/>
          <w:szCs w:val="24"/>
        </w:rPr>
        <w:t>Public Health England. Lyme borreliosis epidemiology and surveillance. 2013</w:t>
      </w:r>
      <w:r w:rsidR="00273B0B">
        <w:rPr>
          <w:rFonts w:ascii="Calibri" w:hAnsi="Calibri" w:cs="Times New Roman"/>
          <w:noProof/>
          <w:szCs w:val="24"/>
        </w:rPr>
        <w:t xml:space="preserve">. </w:t>
      </w:r>
      <w:r w:rsidR="00273B0B" w:rsidRPr="000608BB">
        <w:rPr>
          <w:rFonts w:ascii="Calibri" w:hAnsi="Calibri" w:cs="Times New Roman"/>
          <w:noProof/>
          <w:szCs w:val="24"/>
        </w:rPr>
        <w:t>https://www.gov.uk/government/publications/lyme-borreliosis-epidemiology/lyme-borreliosis-epidemiology-and-surveillance</w:t>
      </w:r>
      <w:r w:rsidR="00273B0B">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 </w:t>
      </w:r>
      <w:r w:rsidRPr="000B1587">
        <w:rPr>
          <w:rFonts w:ascii="Calibri" w:hAnsi="Calibri" w:cs="Calibri"/>
          <w:noProof/>
          <w:szCs w:val="24"/>
        </w:rPr>
        <w:tab/>
      </w:r>
      <w:r w:rsidR="00EB2AF3" w:rsidRPr="000608BB">
        <w:rPr>
          <w:rFonts w:ascii="Calibri" w:hAnsi="Calibri" w:cs="Times New Roman"/>
          <w:noProof/>
          <w:szCs w:val="24"/>
        </w:rPr>
        <w:t>Public Health England</w:t>
      </w:r>
      <w:r w:rsidR="00EB2AF3">
        <w:rPr>
          <w:rFonts w:ascii="Calibri" w:hAnsi="Calibri" w:cs="Times New Roman"/>
          <w:noProof/>
          <w:szCs w:val="24"/>
        </w:rPr>
        <w:t xml:space="preserve">. </w:t>
      </w:r>
      <w:r w:rsidR="00EB2AF3" w:rsidRPr="000608BB">
        <w:rPr>
          <w:rFonts w:ascii="Calibri" w:hAnsi="Calibri" w:cs="Times New Roman"/>
          <w:noProof/>
          <w:szCs w:val="24"/>
        </w:rPr>
        <w:t xml:space="preserve"> Zoonoses: UK annual reports. 2017</w:t>
      </w:r>
      <w:r w:rsidR="00EB2AF3">
        <w:rPr>
          <w:rFonts w:ascii="Calibri" w:hAnsi="Calibri" w:cs="Times New Roman"/>
          <w:noProof/>
          <w:szCs w:val="24"/>
        </w:rPr>
        <w:t xml:space="preserve">. </w:t>
      </w:r>
      <w:r w:rsidR="00EB2AF3" w:rsidRPr="000608BB">
        <w:rPr>
          <w:rFonts w:ascii="Calibri" w:hAnsi="Calibri" w:cs="Times New Roman"/>
          <w:noProof/>
          <w:szCs w:val="24"/>
        </w:rPr>
        <w:t>https://www.gov.uk/government/publications/zoonoses-uk-annual-reports</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4. </w:t>
      </w:r>
      <w:r w:rsidRPr="000B1587">
        <w:rPr>
          <w:rFonts w:ascii="Calibri" w:hAnsi="Calibri" w:cs="Calibri"/>
          <w:noProof/>
          <w:szCs w:val="24"/>
        </w:rPr>
        <w:tab/>
        <w:t>Tulloch JSP, Semper A, Brooks T, Russell K, Halsby K, Christley R, et al. The demographics and geographic distribution of laboratory-confirmed Lyme disease cases in England and Wales (2013-2016): an ecological study. BMJ Open (In Press</w:t>
      </w:r>
      <w:r w:rsidR="00EB2AF3">
        <w:rPr>
          <w:rFonts w:ascii="Calibri" w:hAnsi="Calibri" w:cs="Calibri"/>
          <w:noProof/>
          <w:szCs w:val="24"/>
        </w:rPr>
        <w:t>)</w:t>
      </w:r>
      <w:r w:rsidR="00680FD6">
        <w:rPr>
          <w:rFonts w:ascii="Calibri" w:hAnsi="Calibri" w:cs="Calibri"/>
          <w:noProof/>
          <w:szCs w:val="24"/>
        </w:rPr>
        <w:t>. 2019.</w:t>
      </w:r>
      <w:r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5. </w:t>
      </w:r>
      <w:r w:rsidRPr="000B1587">
        <w:rPr>
          <w:rFonts w:ascii="Calibri" w:hAnsi="Calibri" w:cs="Calibri"/>
          <w:noProof/>
          <w:szCs w:val="24"/>
        </w:rPr>
        <w:tab/>
      </w:r>
      <w:r w:rsidR="00EB2AF3" w:rsidRPr="000608BB">
        <w:rPr>
          <w:rFonts w:ascii="Calibri" w:hAnsi="Calibri" w:cs="Times New Roman"/>
          <w:noProof/>
          <w:szCs w:val="24"/>
        </w:rPr>
        <w:t>National Institute for Health and Care Excellence. Lym</w:t>
      </w:r>
      <w:r w:rsidR="00EB2AF3">
        <w:rPr>
          <w:rFonts w:ascii="Calibri" w:hAnsi="Calibri" w:cs="Times New Roman"/>
          <w:noProof/>
          <w:szCs w:val="24"/>
        </w:rPr>
        <w:t>e disease NICE guideline [NG95].</w:t>
      </w:r>
      <w:r w:rsidR="00EB2AF3" w:rsidRPr="000608BB">
        <w:rPr>
          <w:rFonts w:ascii="Calibri" w:hAnsi="Calibri" w:cs="Times New Roman"/>
          <w:noProof/>
          <w:szCs w:val="24"/>
        </w:rPr>
        <w:t xml:space="preserve"> 2018</w:t>
      </w:r>
      <w:r w:rsidR="00EB2AF3">
        <w:rPr>
          <w:rFonts w:ascii="Calibri" w:hAnsi="Calibri" w:cs="Times New Roman"/>
          <w:noProof/>
          <w:szCs w:val="24"/>
        </w:rPr>
        <w:t xml:space="preserve">. </w:t>
      </w:r>
      <w:r w:rsidR="00EB2AF3" w:rsidRPr="000608BB">
        <w:rPr>
          <w:rFonts w:ascii="Calibri" w:hAnsi="Calibri" w:cs="Times New Roman"/>
          <w:noProof/>
          <w:szCs w:val="24"/>
        </w:rPr>
        <w:t>https://www.nice.org.uk/guidance/ng95</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6. </w:t>
      </w:r>
      <w:r w:rsidRPr="000B1587">
        <w:rPr>
          <w:rFonts w:ascii="Calibri" w:hAnsi="Calibri" w:cs="Calibri"/>
          <w:noProof/>
          <w:szCs w:val="24"/>
        </w:rPr>
        <w:tab/>
      </w:r>
      <w:r w:rsidR="00EB2AF3" w:rsidRPr="000608BB">
        <w:rPr>
          <w:rFonts w:ascii="Calibri" w:hAnsi="Calibri" w:cs="Times New Roman"/>
          <w:noProof/>
          <w:szCs w:val="24"/>
        </w:rPr>
        <w:t>Steere AC, Strle F, Wormser GP,</w:t>
      </w:r>
      <w:r w:rsidR="00EB2AF3">
        <w:rPr>
          <w:rFonts w:ascii="Calibri" w:hAnsi="Calibri" w:cs="Times New Roman"/>
          <w:noProof/>
          <w:szCs w:val="24"/>
        </w:rPr>
        <w:t xml:space="preserve"> Hu LT, Branda JA, Hovius JWR, et al.</w:t>
      </w:r>
      <w:r w:rsidR="00EB2AF3" w:rsidRPr="000608BB">
        <w:rPr>
          <w:rFonts w:ascii="Calibri" w:hAnsi="Calibri" w:cs="Times New Roman"/>
          <w:noProof/>
          <w:szCs w:val="24"/>
        </w:rPr>
        <w:t xml:space="preserve"> Lyme borreliosis.</w:t>
      </w:r>
      <w:r w:rsidR="00EB2AF3" w:rsidRPr="00405F47">
        <w:rPr>
          <w:rFonts w:ascii="Calibri" w:hAnsi="Calibri" w:cs="Times New Roman"/>
          <w:noProof/>
          <w:szCs w:val="24"/>
        </w:rPr>
        <w:t xml:space="preserve"> </w:t>
      </w:r>
      <w:r w:rsidR="00EB2AF3" w:rsidRPr="00405F47">
        <w:rPr>
          <w:rFonts w:ascii="Calibri" w:hAnsi="Calibri" w:cs="Times New Roman"/>
          <w:iCs/>
          <w:noProof/>
          <w:szCs w:val="24"/>
        </w:rPr>
        <w:t>Nat Rev Dis Prim</w:t>
      </w:r>
      <w:r w:rsidR="00EB2AF3">
        <w:rPr>
          <w:rFonts w:ascii="Calibri" w:hAnsi="Calibri" w:cs="Times New Roman"/>
          <w:iCs/>
          <w:noProof/>
          <w:szCs w:val="24"/>
        </w:rPr>
        <w:t>.</w:t>
      </w:r>
      <w:r w:rsidR="00EB2AF3" w:rsidRPr="000608BB">
        <w:rPr>
          <w:rFonts w:ascii="Calibri" w:hAnsi="Calibri" w:cs="Times New Roman"/>
          <w:noProof/>
          <w:szCs w:val="24"/>
        </w:rPr>
        <w:t xml:space="preserve"> 2016;</w:t>
      </w:r>
      <w:r w:rsidR="00EB2AF3">
        <w:rPr>
          <w:rFonts w:ascii="Calibri" w:hAnsi="Calibri" w:cs="Times New Roman"/>
          <w:bCs/>
          <w:noProof/>
          <w:szCs w:val="24"/>
        </w:rPr>
        <w:t>2</w:t>
      </w:r>
      <w:r w:rsidR="00EB2AF3" w:rsidRPr="000608BB">
        <w:rPr>
          <w:rFonts w:ascii="Calibri" w:hAnsi="Calibri" w:cs="Times New Roman"/>
          <w:noProof/>
          <w:szCs w:val="24"/>
        </w:rPr>
        <w:t>:16090.</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7. </w:t>
      </w:r>
      <w:r w:rsidRPr="000B1587">
        <w:rPr>
          <w:rFonts w:ascii="Calibri" w:hAnsi="Calibri" w:cs="Calibri"/>
          <w:noProof/>
          <w:szCs w:val="24"/>
        </w:rPr>
        <w:tab/>
      </w:r>
      <w:r w:rsidR="00EB2AF3">
        <w:rPr>
          <w:rFonts w:ascii="Calibri" w:hAnsi="Calibri" w:cs="Times New Roman"/>
          <w:noProof/>
          <w:szCs w:val="24"/>
        </w:rPr>
        <w:t>Stanek G, Fingerle V, Hunfeld K</w:t>
      </w:r>
      <w:r w:rsidR="00EB2AF3" w:rsidRPr="000608BB">
        <w:rPr>
          <w:rFonts w:ascii="Calibri" w:hAnsi="Calibri" w:cs="Times New Roman"/>
          <w:noProof/>
          <w:szCs w:val="24"/>
        </w:rPr>
        <w:t>P</w:t>
      </w:r>
      <w:r w:rsidR="00EB2AF3">
        <w:rPr>
          <w:rFonts w:ascii="Calibri" w:hAnsi="Calibri" w:cs="Times New Roman"/>
          <w:noProof/>
          <w:szCs w:val="24"/>
        </w:rPr>
        <w:t>, Jaulhac B, Kaiser B, Kristoferitsch W, et al.</w:t>
      </w:r>
      <w:r w:rsidR="00EB2AF3" w:rsidRPr="000608BB">
        <w:rPr>
          <w:rFonts w:ascii="Calibri" w:hAnsi="Calibri" w:cs="Times New Roman"/>
          <w:noProof/>
          <w:szCs w:val="24"/>
        </w:rPr>
        <w:t xml:space="preserve"> Lyme borreliosis: clinical case definitions for diagnosis and management in Europe. </w:t>
      </w:r>
      <w:r w:rsidR="00EB2AF3" w:rsidRPr="00405F47">
        <w:rPr>
          <w:rFonts w:ascii="Calibri" w:hAnsi="Calibri" w:cs="Times New Roman"/>
          <w:iCs/>
          <w:noProof/>
          <w:szCs w:val="24"/>
        </w:rPr>
        <w:t>Clin Microbiol Infect</w:t>
      </w:r>
      <w:r w:rsidR="00EB2AF3">
        <w:rPr>
          <w:rFonts w:ascii="Calibri" w:hAnsi="Calibri" w:cs="Times New Roman"/>
          <w:iCs/>
          <w:noProof/>
          <w:szCs w:val="24"/>
        </w:rPr>
        <w:t xml:space="preserve">. </w:t>
      </w:r>
      <w:r w:rsidR="00EB2AF3" w:rsidRPr="000608BB">
        <w:rPr>
          <w:rFonts w:ascii="Calibri" w:hAnsi="Calibri" w:cs="Times New Roman"/>
          <w:noProof/>
          <w:szCs w:val="24"/>
        </w:rPr>
        <w:t>2011;</w:t>
      </w:r>
      <w:r w:rsidR="00EB2AF3" w:rsidRPr="00405F47">
        <w:rPr>
          <w:rFonts w:ascii="Calibri" w:hAnsi="Calibri" w:cs="Times New Roman"/>
          <w:bCs/>
          <w:noProof/>
          <w:szCs w:val="24"/>
        </w:rPr>
        <w:t>17</w:t>
      </w:r>
      <w:r w:rsidR="00EB2AF3" w:rsidRPr="000608BB">
        <w:rPr>
          <w:rFonts w:ascii="Calibri" w:hAnsi="Calibri" w:cs="Times New Roman"/>
          <w:noProof/>
          <w:szCs w:val="24"/>
        </w:rPr>
        <w:t>:69–79.</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8. </w:t>
      </w:r>
      <w:r w:rsidRPr="000B1587">
        <w:rPr>
          <w:rFonts w:ascii="Calibri" w:hAnsi="Calibri" w:cs="Calibri"/>
          <w:noProof/>
          <w:szCs w:val="24"/>
        </w:rPr>
        <w:tab/>
      </w:r>
      <w:r w:rsidR="00EB2AF3" w:rsidRPr="000608BB">
        <w:rPr>
          <w:rFonts w:ascii="Calibri" w:hAnsi="Calibri" w:cs="Times New Roman"/>
          <w:noProof/>
          <w:szCs w:val="24"/>
        </w:rPr>
        <w:t xml:space="preserve">British Infection Association. The epidemiology, prevention, investigation and treatment of Lyme borreliosis in United Kingdom patients: A position statement by the British Infection Association. </w:t>
      </w:r>
      <w:r w:rsidR="00EB2AF3" w:rsidRPr="00405F47">
        <w:rPr>
          <w:rFonts w:ascii="Calibri" w:hAnsi="Calibri" w:cs="Times New Roman"/>
          <w:iCs/>
          <w:noProof/>
          <w:szCs w:val="24"/>
        </w:rPr>
        <w:t>J Infect</w:t>
      </w:r>
      <w:r w:rsidR="00EB2AF3">
        <w:rPr>
          <w:rFonts w:ascii="Calibri" w:hAnsi="Calibri" w:cs="Times New Roman"/>
          <w:iCs/>
          <w:noProof/>
          <w:szCs w:val="24"/>
        </w:rPr>
        <w:t>.</w:t>
      </w:r>
      <w:r w:rsidR="00EB2AF3" w:rsidRPr="00405F47">
        <w:rPr>
          <w:rFonts w:ascii="Calibri" w:hAnsi="Calibri" w:cs="Times New Roman"/>
          <w:noProof/>
          <w:szCs w:val="24"/>
        </w:rPr>
        <w:t xml:space="preserve"> </w:t>
      </w:r>
      <w:r w:rsidR="00EB2AF3" w:rsidRPr="000608BB">
        <w:rPr>
          <w:rFonts w:ascii="Calibri" w:hAnsi="Calibri" w:cs="Times New Roman"/>
          <w:noProof/>
          <w:szCs w:val="24"/>
        </w:rPr>
        <w:t>2011</w:t>
      </w:r>
      <w:r w:rsidR="00EB2AF3" w:rsidRPr="00405F47">
        <w:rPr>
          <w:rFonts w:ascii="Calibri" w:hAnsi="Calibri" w:cs="Times New Roman"/>
          <w:noProof/>
          <w:szCs w:val="24"/>
        </w:rPr>
        <w:t>;</w:t>
      </w:r>
      <w:r w:rsidR="00EB2AF3" w:rsidRPr="00405F47">
        <w:rPr>
          <w:rFonts w:ascii="Calibri" w:hAnsi="Calibri" w:cs="Times New Roman"/>
          <w:bCs/>
          <w:noProof/>
          <w:szCs w:val="24"/>
        </w:rPr>
        <w:t>62</w:t>
      </w:r>
      <w:r w:rsidR="00EB2AF3" w:rsidRPr="000608BB">
        <w:rPr>
          <w:rFonts w:ascii="Calibri" w:hAnsi="Calibri" w:cs="Times New Roman"/>
          <w:noProof/>
          <w:szCs w:val="24"/>
        </w:rPr>
        <w:t>:329–38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9. </w:t>
      </w:r>
      <w:r w:rsidRPr="000B1587">
        <w:rPr>
          <w:rFonts w:ascii="Calibri" w:hAnsi="Calibri" w:cs="Calibri"/>
          <w:noProof/>
          <w:szCs w:val="24"/>
        </w:rPr>
        <w:tab/>
      </w:r>
      <w:r w:rsidR="00EB2AF3">
        <w:rPr>
          <w:rFonts w:ascii="Calibri" w:hAnsi="Calibri" w:cs="Times New Roman"/>
          <w:noProof/>
          <w:szCs w:val="24"/>
        </w:rPr>
        <w:t>Wormser GP, Dattwyler RJ, Shapiro E</w:t>
      </w:r>
      <w:r w:rsidR="00EB2AF3" w:rsidRPr="000608BB">
        <w:rPr>
          <w:rFonts w:ascii="Calibri" w:hAnsi="Calibri" w:cs="Times New Roman"/>
          <w:noProof/>
          <w:szCs w:val="24"/>
        </w:rPr>
        <w:t xml:space="preserve">D, </w:t>
      </w:r>
      <w:r w:rsidR="00EB2AF3">
        <w:rPr>
          <w:rFonts w:ascii="Calibri" w:hAnsi="Calibri" w:cs="Times New Roman"/>
          <w:noProof/>
          <w:szCs w:val="24"/>
        </w:rPr>
        <w:t>Halperin JJ, Steere AC, Klempner MS, et al. The clinical assessment, treatment, and prevention of Lyme d</w:t>
      </w:r>
      <w:r w:rsidR="00EB2AF3" w:rsidRPr="000608BB">
        <w:rPr>
          <w:rFonts w:ascii="Calibri" w:hAnsi="Calibri" w:cs="Times New Roman"/>
          <w:noProof/>
          <w:szCs w:val="24"/>
        </w:rPr>
        <w:t xml:space="preserve">isease, </w:t>
      </w:r>
      <w:r w:rsidR="00EB2AF3">
        <w:rPr>
          <w:rFonts w:ascii="Calibri" w:hAnsi="Calibri" w:cs="Times New Roman"/>
          <w:noProof/>
          <w:szCs w:val="24"/>
        </w:rPr>
        <w:t>h</w:t>
      </w:r>
      <w:r w:rsidR="00EB2AF3" w:rsidRPr="000608BB">
        <w:rPr>
          <w:rFonts w:ascii="Calibri" w:hAnsi="Calibri" w:cs="Times New Roman"/>
          <w:noProof/>
          <w:szCs w:val="24"/>
        </w:rPr>
        <w:t xml:space="preserve">uman </w:t>
      </w:r>
      <w:r w:rsidR="00EB2AF3">
        <w:rPr>
          <w:rFonts w:ascii="Calibri" w:hAnsi="Calibri" w:cs="Times New Roman"/>
          <w:noProof/>
          <w:szCs w:val="24"/>
        </w:rPr>
        <w:t>g</w:t>
      </w:r>
      <w:r w:rsidR="00EB2AF3" w:rsidRPr="000608BB">
        <w:rPr>
          <w:rFonts w:ascii="Calibri" w:hAnsi="Calibri" w:cs="Times New Roman"/>
          <w:noProof/>
          <w:szCs w:val="24"/>
        </w:rPr>
        <w:t xml:space="preserve">ranulocytic </w:t>
      </w:r>
      <w:r w:rsidR="00EB2AF3">
        <w:rPr>
          <w:rFonts w:ascii="Calibri" w:hAnsi="Calibri" w:cs="Times New Roman"/>
          <w:noProof/>
          <w:szCs w:val="24"/>
        </w:rPr>
        <w:t>a</w:t>
      </w:r>
      <w:r w:rsidR="00EB2AF3" w:rsidRPr="000608BB">
        <w:rPr>
          <w:rFonts w:ascii="Calibri" w:hAnsi="Calibri" w:cs="Times New Roman"/>
          <w:noProof/>
          <w:szCs w:val="24"/>
        </w:rPr>
        <w:t xml:space="preserve">naplasmosis, and </w:t>
      </w:r>
      <w:r w:rsidR="00EB2AF3">
        <w:rPr>
          <w:rFonts w:ascii="Calibri" w:hAnsi="Calibri" w:cs="Times New Roman"/>
          <w:noProof/>
          <w:szCs w:val="24"/>
        </w:rPr>
        <w:t>b</w:t>
      </w:r>
      <w:r w:rsidR="00EB2AF3" w:rsidRPr="000608BB">
        <w:rPr>
          <w:rFonts w:ascii="Calibri" w:hAnsi="Calibri" w:cs="Times New Roman"/>
          <w:noProof/>
          <w:szCs w:val="24"/>
        </w:rPr>
        <w:t xml:space="preserve">abesiosis: </w:t>
      </w:r>
      <w:r w:rsidR="00EB2AF3">
        <w:rPr>
          <w:rFonts w:ascii="Calibri" w:hAnsi="Calibri" w:cs="Times New Roman"/>
          <w:noProof/>
          <w:szCs w:val="24"/>
        </w:rPr>
        <w:t>c</w:t>
      </w:r>
      <w:r w:rsidR="00EB2AF3" w:rsidRPr="000608BB">
        <w:rPr>
          <w:rFonts w:ascii="Calibri" w:hAnsi="Calibri" w:cs="Times New Roman"/>
          <w:noProof/>
          <w:szCs w:val="24"/>
        </w:rPr>
        <w:t xml:space="preserve">linical </w:t>
      </w:r>
      <w:r w:rsidR="00EB2AF3">
        <w:rPr>
          <w:rFonts w:ascii="Calibri" w:hAnsi="Calibri" w:cs="Times New Roman"/>
          <w:noProof/>
          <w:szCs w:val="24"/>
        </w:rPr>
        <w:t>p</w:t>
      </w:r>
      <w:r w:rsidR="00EB2AF3" w:rsidRPr="000608BB">
        <w:rPr>
          <w:rFonts w:ascii="Calibri" w:hAnsi="Calibri" w:cs="Times New Roman"/>
          <w:noProof/>
          <w:szCs w:val="24"/>
        </w:rPr>
        <w:t xml:space="preserve">ractice </w:t>
      </w:r>
      <w:r w:rsidR="00EB2AF3">
        <w:rPr>
          <w:rFonts w:ascii="Calibri" w:hAnsi="Calibri" w:cs="Times New Roman"/>
          <w:noProof/>
          <w:szCs w:val="24"/>
        </w:rPr>
        <w:t>g</w:t>
      </w:r>
      <w:r w:rsidR="00EB2AF3" w:rsidRPr="000608BB">
        <w:rPr>
          <w:rFonts w:ascii="Calibri" w:hAnsi="Calibri" w:cs="Times New Roman"/>
          <w:noProof/>
          <w:szCs w:val="24"/>
        </w:rPr>
        <w:t xml:space="preserve">uidelines by the Infectious Diseases Society of America. </w:t>
      </w:r>
      <w:r w:rsidR="00EB2AF3" w:rsidRPr="00FC11F1">
        <w:rPr>
          <w:rFonts w:ascii="Calibri" w:hAnsi="Calibri" w:cs="Times New Roman"/>
          <w:iCs/>
          <w:noProof/>
          <w:szCs w:val="24"/>
        </w:rPr>
        <w:t>Clin Infect Dis</w:t>
      </w:r>
      <w:r w:rsidR="00EB2AF3">
        <w:rPr>
          <w:rFonts w:ascii="Calibri" w:hAnsi="Calibri" w:cs="Times New Roman"/>
          <w:noProof/>
          <w:szCs w:val="24"/>
        </w:rPr>
        <w:t>.</w:t>
      </w:r>
      <w:r w:rsidR="00EB2AF3" w:rsidRPr="000608BB">
        <w:rPr>
          <w:rFonts w:ascii="Calibri" w:hAnsi="Calibri" w:cs="Times New Roman"/>
          <w:noProof/>
          <w:szCs w:val="24"/>
        </w:rPr>
        <w:t xml:space="preserve"> 2006;</w:t>
      </w:r>
      <w:r w:rsidR="00EB2AF3" w:rsidRPr="00FC11F1">
        <w:rPr>
          <w:rFonts w:ascii="Calibri" w:hAnsi="Calibri" w:cs="Times New Roman"/>
          <w:bCs/>
          <w:noProof/>
          <w:szCs w:val="24"/>
        </w:rPr>
        <w:t>43</w:t>
      </w:r>
      <w:r w:rsidR="00EB2AF3" w:rsidRPr="000608BB">
        <w:rPr>
          <w:rFonts w:ascii="Calibri" w:hAnsi="Calibri" w:cs="Times New Roman"/>
          <w:noProof/>
          <w:szCs w:val="24"/>
        </w:rPr>
        <w:t>:1089–134.</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10. </w:t>
      </w:r>
      <w:r w:rsidRPr="000B1587">
        <w:rPr>
          <w:rFonts w:ascii="Calibri" w:hAnsi="Calibri" w:cs="Calibri"/>
          <w:noProof/>
          <w:szCs w:val="24"/>
        </w:rPr>
        <w:tab/>
      </w:r>
      <w:r w:rsidR="00EB2AF3" w:rsidRPr="000608BB">
        <w:rPr>
          <w:rFonts w:ascii="Calibri" w:hAnsi="Calibri" w:cs="Times New Roman"/>
          <w:noProof/>
          <w:szCs w:val="24"/>
        </w:rPr>
        <w:t>Lo</w:t>
      </w:r>
      <w:r w:rsidR="00EB2AF3">
        <w:rPr>
          <w:rFonts w:ascii="Calibri" w:hAnsi="Calibri" w:cs="Times New Roman"/>
          <w:noProof/>
          <w:szCs w:val="24"/>
        </w:rPr>
        <w:t>vett JK, Evans PH, O’Connell S, Gutowski NJ.</w:t>
      </w:r>
      <w:r w:rsidR="00EB2AF3" w:rsidRPr="000608BB">
        <w:rPr>
          <w:rFonts w:ascii="Calibri" w:hAnsi="Calibri" w:cs="Times New Roman"/>
          <w:noProof/>
          <w:szCs w:val="24"/>
        </w:rPr>
        <w:t xml:space="preserve"> Neuroborreliosis in the South West of England. </w:t>
      </w:r>
      <w:r w:rsidR="00EB2AF3" w:rsidRPr="00FC11F1">
        <w:rPr>
          <w:rFonts w:ascii="Calibri" w:hAnsi="Calibri" w:cs="Times New Roman"/>
          <w:iCs/>
          <w:noProof/>
          <w:szCs w:val="24"/>
        </w:rPr>
        <w:lastRenderedPageBreak/>
        <w:t>Epidemiol Infect</w:t>
      </w:r>
      <w:r w:rsidR="00EB2AF3">
        <w:rPr>
          <w:rFonts w:ascii="Calibri" w:hAnsi="Calibri" w:cs="Times New Roman"/>
          <w:iCs/>
          <w:noProof/>
          <w:szCs w:val="24"/>
        </w:rPr>
        <w:t>.</w:t>
      </w:r>
      <w:r w:rsidR="00EB2AF3" w:rsidRPr="00FC11F1">
        <w:rPr>
          <w:rFonts w:ascii="Calibri" w:hAnsi="Calibri" w:cs="Times New Roman"/>
          <w:noProof/>
          <w:szCs w:val="24"/>
        </w:rPr>
        <w:t xml:space="preserve"> </w:t>
      </w:r>
      <w:r w:rsidR="00EB2AF3" w:rsidRPr="000608BB">
        <w:rPr>
          <w:rFonts w:ascii="Calibri" w:hAnsi="Calibri" w:cs="Times New Roman"/>
          <w:noProof/>
          <w:szCs w:val="24"/>
        </w:rPr>
        <w:t>2008;</w:t>
      </w:r>
      <w:r w:rsidR="00EB2AF3" w:rsidRPr="00FC11F1">
        <w:rPr>
          <w:rFonts w:ascii="Calibri" w:hAnsi="Calibri" w:cs="Times New Roman"/>
          <w:bCs/>
          <w:noProof/>
          <w:szCs w:val="24"/>
        </w:rPr>
        <w:t>136</w:t>
      </w:r>
      <w:r w:rsidR="00EB2AF3" w:rsidRPr="00FC11F1">
        <w:rPr>
          <w:rFonts w:ascii="Calibri" w:hAnsi="Calibri" w:cs="Times New Roman"/>
          <w:noProof/>
          <w:szCs w:val="24"/>
        </w:rPr>
        <w:t>:</w:t>
      </w:r>
      <w:r w:rsidR="00EB2AF3" w:rsidRPr="000608BB">
        <w:rPr>
          <w:rFonts w:ascii="Calibri" w:hAnsi="Calibri" w:cs="Times New Roman"/>
          <w:noProof/>
          <w:szCs w:val="24"/>
        </w:rPr>
        <w:t>1707–11.</w:t>
      </w:r>
      <w:r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11. </w:t>
      </w:r>
      <w:r w:rsidRPr="000B1587">
        <w:rPr>
          <w:rFonts w:ascii="Calibri" w:hAnsi="Calibri" w:cs="Calibri"/>
          <w:noProof/>
          <w:szCs w:val="24"/>
        </w:rPr>
        <w:tab/>
      </w:r>
      <w:r w:rsidR="00EB2AF3" w:rsidRPr="000608BB">
        <w:rPr>
          <w:rFonts w:ascii="Calibri" w:hAnsi="Calibri" w:cs="Times New Roman"/>
          <w:noProof/>
          <w:szCs w:val="24"/>
        </w:rPr>
        <w:t>Dryden MS, Saeed K, Ogborn S,</w:t>
      </w:r>
      <w:r w:rsidR="00EB2AF3">
        <w:rPr>
          <w:rFonts w:ascii="Calibri" w:hAnsi="Calibri" w:cs="Times New Roman"/>
          <w:noProof/>
          <w:szCs w:val="24"/>
        </w:rPr>
        <w:t xml:space="preserve"> Swales P.</w:t>
      </w:r>
      <w:r w:rsidR="00EB2AF3" w:rsidRPr="000608BB">
        <w:rPr>
          <w:rFonts w:ascii="Calibri" w:hAnsi="Calibri" w:cs="Times New Roman"/>
          <w:i/>
          <w:iCs/>
          <w:noProof/>
          <w:szCs w:val="24"/>
        </w:rPr>
        <w:t>.</w:t>
      </w:r>
      <w:r w:rsidR="00EB2AF3" w:rsidRPr="000608BB">
        <w:rPr>
          <w:rFonts w:ascii="Calibri" w:hAnsi="Calibri" w:cs="Times New Roman"/>
          <w:noProof/>
          <w:szCs w:val="24"/>
        </w:rPr>
        <w:t xml:space="preserve"> Lyme borreliosis in southern United Kingdom and a case for a new syndrome, chronic arthropod-borne neuropathy. </w:t>
      </w:r>
      <w:r w:rsidR="00EB2AF3" w:rsidRPr="00FC11F1">
        <w:rPr>
          <w:rFonts w:ascii="Calibri" w:hAnsi="Calibri" w:cs="Times New Roman"/>
          <w:iCs/>
          <w:noProof/>
          <w:szCs w:val="24"/>
        </w:rPr>
        <w:t>Epidemiol Infect</w:t>
      </w:r>
      <w:r w:rsidR="00EB2AF3">
        <w:rPr>
          <w:rFonts w:ascii="Calibri" w:hAnsi="Calibri" w:cs="Times New Roman"/>
          <w:iCs/>
          <w:noProof/>
          <w:szCs w:val="24"/>
        </w:rPr>
        <w:t>.</w:t>
      </w:r>
      <w:r w:rsidR="00EB2AF3" w:rsidRPr="00FC11F1">
        <w:rPr>
          <w:rFonts w:ascii="Calibri" w:hAnsi="Calibri" w:cs="Times New Roman"/>
          <w:noProof/>
          <w:szCs w:val="24"/>
        </w:rPr>
        <w:t xml:space="preserve"> </w:t>
      </w:r>
      <w:r w:rsidR="00EB2AF3">
        <w:rPr>
          <w:rFonts w:ascii="Calibri" w:hAnsi="Calibri" w:cs="Times New Roman"/>
          <w:noProof/>
          <w:szCs w:val="24"/>
        </w:rPr>
        <w:t>2015;143:561-72.</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12. </w:t>
      </w:r>
      <w:r w:rsidRPr="000B1587">
        <w:rPr>
          <w:rFonts w:ascii="Calibri" w:hAnsi="Calibri" w:cs="Calibri"/>
          <w:noProof/>
          <w:szCs w:val="24"/>
        </w:rPr>
        <w:tab/>
      </w:r>
      <w:r w:rsidR="00EB2AF3" w:rsidRPr="000608BB">
        <w:rPr>
          <w:rFonts w:ascii="Calibri" w:hAnsi="Calibri" w:cs="Times New Roman"/>
          <w:noProof/>
          <w:szCs w:val="24"/>
        </w:rPr>
        <w:t>Marcu A, Barnett J, Uzzell D,</w:t>
      </w:r>
      <w:r w:rsidR="00EB2AF3">
        <w:rPr>
          <w:rFonts w:ascii="Calibri" w:hAnsi="Calibri" w:cs="Times New Roman"/>
          <w:noProof/>
          <w:szCs w:val="24"/>
        </w:rPr>
        <w:t xml:space="preserve"> Vasileiou K, O'Connell S.</w:t>
      </w:r>
      <w:r w:rsidR="00EB2AF3" w:rsidRPr="000608BB">
        <w:rPr>
          <w:rFonts w:ascii="Calibri" w:hAnsi="Calibri" w:cs="Times New Roman"/>
          <w:noProof/>
          <w:szCs w:val="24"/>
        </w:rPr>
        <w:t xml:space="preserve"> Experience of Lyme disease </w:t>
      </w:r>
      <w:r w:rsidR="00EB2AF3">
        <w:rPr>
          <w:rFonts w:ascii="Calibri" w:hAnsi="Calibri" w:cs="Times New Roman"/>
          <w:noProof/>
          <w:szCs w:val="24"/>
        </w:rPr>
        <w:t>and preferences for precautions</w:t>
      </w:r>
      <w:r w:rsidR="00EB2AF3" w:rsidRPr="000608BB">
        <w:rPr>
          <w:rFonts w:ascii="Calibri" w:hAnsi="Calibri" w:cs="Times New Roman"/>
          <w:noProof/>
          <w:szCs w:val="24"/>
        </w:rPr>
        <w:t>: a cross-sectio</w:t>
      </w:r>
      <w:r w:rsidR="00EB2AF3">
        <w:rPr>
          <w:rFonts w:ascii="Calibri" w:hAnsi="Calibri" w:cs="Times New Roman"/>
          <w:noProof/>
          <w:szCs w:val="24"/>
        </w:rPr>
        <w:t>nal survey of UK patients. BMC Public Health. 2013:481</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13. </w:t>
      </w:r>
      <w:r w:rsidRPr="000B1587">
        <w:rPr>
          <w:rFonts w:ascii="Calibri" w:hAnsi="Calibri" w:cs="Calibri"/>
          <w:noProof/>
          <w:szCs w:val="24"/>
        </w:rPr>
        <w:tab/>
      </w:r>
      <w:r w:rsidR="00EB2AF3" w:rsidRPr="000608BB">
        <w:rPr>
          <w:rFonts w:ascii="Calibri" w:hAnsi="Calibri" w:cs="Times New Roman"/>
          <w:noProof/>
          <w:szCs w:val="24"/>
        </w:rPr>
        <w:t xml:space="preserve">Dillon R, O’Connell S, Wright S. Lyme disease in the UK: clinical and laboratory features and response to treatment. </w:t>
      </w:r>
      <w:r w:rsidR="00EB2AF3">
        <w:rPr>
          <w:rFonts w:ascii="Calibri" w:hAnsi="Calibri" w:cs="Times New Roman"/>
          <w:iCs/>
          <w:noProof/>
          <w:szCs w:val="24"/>
        </w:rPr>
        <w:t>Clin Med (Lond).</w:t>
      </w:r>
      <w:r w:rsidR="00EB2AF3" w:rsidRPr="000608BB">
        <w:rPr>
          <w:rFonts w:ascii="Calibri" w:hAnsi="Calibri" w:cs="Times New Roman"/>
          <w:noProof/>
          <w:szCs w:val="24"/>
        </w:rPr>
        <w:t xml:space="preserve"> 2010;</w:t>
      </w:r>
      <w:r w:rsidR="00EB2AF3" w:rsidRPr="00FC11F1">
        <w:rPr>
          <w:rFonts w:ascii="Calibri" w:hAnsi="Calibri" w:cs="Times New Roman"/>
          <w:bCs/>
          <w:noProof/>
          <w:szCs w:val="24"/>
        </w:rPr>
        <w:t>10</w:t>
      </w:r>
      <w:r w:rsidR="00EB2AF3" w:rsidRPr="000608BB">
        <w:rPr>
          <w:rFonts w:ascii="Calibri" w:hAnsi="Calibri" w:cs="Times New Roman"/>
          <w:noProof/>
          <w:szCs w:val="24"/>
        </w:rPr>
        <w:t>:454–7.</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14. </w:t>
      </w:r>
      <w:r w:rsidRPr="000B1587">
        <w:rPr>
          <w:rFonts w:ascii="Calibri" w:hAnsi="Calibri" w:cs="Calibri"/>
          <w:noProof/>
          <w:szCs w:val="24"/>
        </w:rPr>
        <w:tab/>
      </w:r>
      <w:r w:rsidR="00EB2AF3" w:rsidRPr="000608BB">
        <w:rPr>
          <w:rFonts w:ascii="Calibri" w:hAnsi="Calibri" w:cs="Times New Roman"/>
          <w:noProof/>
          <w:szCs w:val="24"/>
        </w:rPr>
        <w:t>Cottle LE, Mekonnen E, Beadsworth MB,</w:t>
      </w:r>
      <w:r w:rsidR="00EB2AF3">
        <w:rPr>
          <w:rFonts w:ascii="Calibri" w:hAnsi="Calibri" w:cs="Times New Roman"/>
          <w:noProof/>
          <w:szCs w:val="24"/>
        </w:rPr>
        <w:t xml:space="preserve"> Miller AR, Beeching NJ. </w:t>
      </w:r>
      <w:r w:rsidR="00EB2AF3" w:rsidRPr="000608BB">
        <w:rPr>
          <w:rFonts w:ascii="Calibri" w:hAnsi="Calibri" w:cs="Times New Roman"/>
          <w:noProof/>
          <w:szCs w:val="24"/>
        </w:rPr>
        <w:t xml:space="preserve"> Lyme disease in a British referral clinic. </w:t>
      </w:r>
      <w:r w:rsidR="00EB2AF3" w:rsidRPr="00C442DA">
        <w:rPr>
          <w:rFonts w:ascii="Calibri" w:hAnsi="Calibri" w:cs="Times New Roman"/>
          <w:iCs/>
          <w:noProof/>
          <w:szCs w:val="24"/>
        </w:rPr>
        <w:t>QJM</w:t>
      </w:r>
      <w:r w:rsidR="00EB2AF3">
        <w:rPr>
          <w:rFonts w:ascii="Calibri" w:hAnsi="Calibri" w:cs="Times New Roman"/>
          <w:noProof/>
          <w:szCs w:val="24"/>
        </w:rPr>
        <w:t>.</w:t>
      </w:r>
      <w:r w:rsidR="00EB2AF3" w:rsidRPr="000608BB">
        <w:rPr>
          <w:rFonts w:ascii="Calibri" w:hAnsi="Calibri" w:cs="Times New Roman"/>
          <w:noProof/>
          <w:szCs w:val="24"/>
        </w:rPr>
        <w:t xml:space="preserve"> 2012;</w:t>
      </w:r>
      <w:r w:rsidR="00EB2AF3" w:rsidRPr="00C442DA">
        <w:rPr>
          <w:rFonts w:ascii="Calibri" w:hAnsi="Calibri" w:cs="Times New Roman"/>
          <w:bCs/>
          <w:noProof/>
          <w:szCs w:val="24"/>
        </w:rPr>
        <w:t>105</w:t>
      </w:r>
      <w:r w:rsidR="00EB2AF3" w:rsidRPr="000608BB">
        <w:rPr>
          <w:rFonts w:ascii="Calibri" w:hAnsi="Calibri" w:cs="Times New Roman"/>
          <w:noProof/>
          <w:szCs w:val="24"/>
        </w:rPr>
        <w:t>:537–43.</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15. </w:t>
      </w:r>
      <w:r w:rsidRPr="000B1587">
        <w:rPr>
          <w:rFonts w:ascii="Calibri" w:hAnsi="Calibri" w:cs="Calibri"/>
          <w:noProof/>
          <w:szCs w:val="24"/>
        </w:rPr>
        <w:tab/>
      </w:r>
      <w:r w:rsidR="00EB2AF3" w:rsidRPr="000608BB">
        <w:rPr>
          <w:rFonts w:ascii="Calibri" w:hAnsi="Calibri" w:cs="Times New Roman"/>
          <w:noProof/>
          <w:szCs w:val="24"/>
        </w:rPr>
        <w:t>Coope</w:t>
      </w:r>
      <w:r w:rsidR="00EB2AF3">
        <w:rPr>
          <w:rFonts w:ascii="Calibri" w:hAnsi="Calibri" w:cs="Times New Roman"/>
          <w:noProof/>
          <w:szCs w:val="24"/>
        </w:rPr>
        <w:t>r L, Branagan-H</w:t>
      </w:r>
      <w:r w:rsidR="00EB2AF3" w:rsidRPr="000608BB">
        <w:rPr>
          <w:rFonts w:ascii="Calibri" w:hAnsi="Calibri" w:cs="Times New Roman"/>
          <w:noProof/>
          <w:szCs w:val="24"/>
        </w:rPr>
        <w:t>arris M, Tuson R,</w:t>
      </w:r>
      <w:r w:rsidR="00EB2AF3">
        <w:rPr>
          <w:rFonts w:ascii="Calibri" w:hAnsi="Calibri" w:cs="Times New Roman"/>
          <w:noProof/>
          <w:szCs w:val="24"/>
        </w:rPr>
        <w:t xml:space="preserve"> Nduka C. Lyme disease and Bell’s palsy</w:t>
      </w:r>
      <w:r w:rsidR="00EB2AF3" w:rsidRPr="000608BB">
        <w:rPr>
          <w:rFonts w:ascii="Calibri" w:hAnsi="Calibri" w:cs="Times New Roman"/>
          <w:noProof/>
          <w:szCs w:val="24"/>
        </w:rPr>
        <w:t>:</w:t>
      </w:r>
      <w:r w:rsidR="00EB2AF3">
        <w:rPr>
          <w:rFonts w:ascii="Calibri" w:hAnsi="Calibri" w:cs="Times New Roman"/>
          <w:noProof/>
          <w:szCs w:val="24"/>
        </w:rPr>
        <w:t xml:space="preserve"> an epidemiological study of diagnosis and risk in England. Br J Gen Pract. 2017;67:e329-e335.</w:t>
      </w:r>
      <w:r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16. </w:t>
      </w:r>
      <w:r w:rsidRPr="000B1587">
        <w:rPr>
          <w:rFonts w:ascii="Calibri" w:hAnsi="Calibri" w:cs="Calibri"/>
          <w:noProof/>
          <w:szCs w:val="24"/>
        </w:rPr>
        <w:tab/>
      </w:r>
      <w:r w:rsidR="00EB2AF3" w:rsidRPr="000608BB">
        <w:rPr>
          <w:rFonts w:ascii="Calibri" w:hAnsi="Calibri" w:cs="Times New Roman"/>
          <w:noProof/>
          <w:szCs w:val="24"/>
        </w:rPr>
        <w:t>NHS. NHS Digital - Hospital Episode Statistics.</w:t>
      </w:r>
      <w:r w:rsidR="00EB2AF3">
        <w:rPr>
          <w:rFonts w:ascii="Calibri" w:hAnsi="Calibri" w:cs="Times New Roman"/>
          <w:noProof/>
          <w:szCs w:val="24"/>
        </w:rPr>
        <w:t xml:space="preserve"> 2</w:t>
      </w:r>
      <w:r w:rsidR="00EB2AF3" w:rsidRPr="000608BB">
        <w:rPr>
          <w:rFonts w:ascii="Calibri" w:hAnsi="Calibri" w:cs="Times New Roman"/>
          <w:noProof/>
          <w:szCs w:val="24"/>
        </w:rPr>
        <w:t>017</w:t>
      </w:r>
      <w:r w:rsidR="00EB2AF3">
        <w:rPr>
          <w:rFonts w:ascii="Calibri" w:hAnsi="Calibri" w:cs="Times New Roman"/>
          <w:noProof/>
          <w:szCs w:val="24"/>
        </w:rPr>
        <w:t>.</w:t>
      </w:r>
      <w:r w:rsidR="00EB2AF3" w:rsidRPr="000608BB">
        <w:rPr>
          <w:rFonts w:ascii="Calibri" w:hAnsi="Calibri" w:cs="Times New Roman"/>
          <w:noProof/>
          <w:szCs w:val="24"/>
        </w:rPr>
        <w:t xml:space="preserve"> http://content.digital.nhs.uk/hes</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17. </w:t>
      </w:r>
      <w:r w:rsidRPr="000B1587">
        <w:rPr>
          <w:rFonts w:ascii="Calibri" w:hAnsi="Calibri" w:cs="Calibri"/>
          <w:noProof/>
          <w:szCs w:val="24"/>
        </w:rPr>
        <w:tab/>
      </w:r>
      <w:r w:rsidR="00EB2AF3">
        <w:rPr>
          <w:rFonts w:ascii="Calibri" w:hAnsi="Calibri" w:cs="Times New Roman"/>
          <w:noProof/>
          <w:szCs w:val="24"/>
        </w:rPr>
        <w:t xml:space="preserve">NHS Wales, Publich Health Wales </w:t>
      </w:r>
      <w:r w:rsidR="00EB2AF3" w:rsidRPr="000608BB">
        <w:rPr>
          <w:rFonts w:ascii="Calibri" w:hAnsi="Calibri" w:cs="Times New Roman"/>
          <w:noProof/>
          <w:szCs w:val="24"/>
        </w:rPr>
        <w:t>Observatory</w:t>
      </w:r>
      <w:r w:rsidR="00EB2AF3">
        <w:rPr>
          <w:rFonts w:ascii="Calibri" w:hAnsi="Calibri" w:cs="Times New Roman"/>
          <w:noProof/>
          <w:szCs w:val="24"/>
        </w:rPr>
        <w:t>.</w:t>
      </w:r>
      <w:r w:rsidR="00EB2AF3" w:rsidRPr="000608BB">
        <w:rPr>
          <w:rFonts w:ascii="Calibri" w:hAnsi="Calibri" w:cs="Times New Roman"/>
          <w:noProof/>
          <w:szCs w:val="24"/>
        </w:rPr>
        <w:t xml:space="preserve"> Patient Episode Database for Wales (PEDW).</w:t>
      </w:r>
      <w:r w:rsidR="00EB2AF3">
        <w:rPr>
          <w:rFonts w:ascii="Calibri" w:hAnsi="Calibri" w:cs="Times New Roman"/>
          <w:noProof/>
          <w:szCs w:val="24"/>
        </w:rPr>
        <w:t xml:space="preserve">2017. </w:t>
      </w:r>
      <w:r w:rsidR="00EB2AF3" w:rsidRPr="0056697B">
        <w:rPr>
          <w:rFonts w:ascii="Calibri" w:hAnsi="Calibri" w:cs="Times New Roman"/>
          <w:noProof/>
          <w:szCs w:val="24"/>
        </w:rPr>
        <w:t>http://www.publichealthwalesobservatory.wales.nhs.uk/pedw/</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18. </w:t>
      </w:r>
      <w:r w:rsidRPr="000B1587">
        <w:rPr>
          <w:rFonts w:ascii="Calibri" w:hAnsi="Calibri" w:cs="Calibri"/>
          <w:noProof/>
          <w:szCs w:val="24"/>
        </w:rPr>
        <w:tab/>
      </w:r>
      <w:r w:rsidR="00EB2AF3">
        <w:rPr>
          <w:rFonts w:ascii="Calibri" w:hAnsi="Calibri" w:cs="Times New Roman"/>
          <w:noProof/>
          <w:szCs w:val="24"/>
        </w:rPr>
        <w:t>NHS Wales Informatics Service</w:t>
      </w:r>
      <w:r w:rsidR="00EB2AF3" w:rsidRPr="000608BB">
        <w:rPr>
          <w:rFonts w:ascii="Calibri" w:hAnsi="Calibri" w:cs="Times New Roman"/>
          <w:noProof/>
          <w:szCs w:val="24"/>
        </w:rPr>
        <w:t xml:space="preserve">. Information and Statistics. </w:t>
      </w:r>
      <w:r w:rsidR="00EB2AF3">
        <w:rPr>
          <w:rFonts w:ascii="Calibri" w:hAnsi="Calibri" w:cs="Times New Roman"/>
          <w:noProof/>
          <w:szCs w:val="24"/>
        </w:rPr>
        <w:t xml:space="preserve">2015. </w:t>
      </w:r>
      <w:r w:rsidR="00EB2AF3" w:rsidRPr="000608BB">
        <w:rPr>
          <w:rFonts w:ascii="Calibri" w:hAnsi="Calibri" w:cs="Times New Roman"/>
          <w:noProof/>
          <w:szCs w:val="24"/>
        </w:rPr>
        <w:t>http://www.infoandstats.wales.nhs.uk/page.cfm?orgid=869&amp;pid=40977</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19. </w:t>
      </w:r>
      <w:r w:rsidRPr="000B1587">
        <w:rPr>
          <w:rFonts w:ascii="Calibri" w:hAnsi="Calibri" w:cs="Calibri"/>
          <w:noProof/>
          <w:szCs w:val="24"/>
        </w:rPr>
        <w:tab/>
      </w:r>
      <w:r w:rsidR="00EB2AF3" w:rsidRPr="000608BB">
        <w:rPr>
          <w:rFonts w:ascii="Calibri" w:hAnsi="Calibri" w:cs="Times New Roman"/>
          <w:noProof/>
          <w:szCs w:val="24"/>
        </w:rPr>
        <w:t>Sinha S, Peach G, Poloniecki JD,</w:t>
      </w:r>
      <w:r w:rsidR="00EB2AF3">
        <w:rPr>
          <w:rFonts w:ascii="Calibri" w:hAnsi="Calibri" w:cs="Times New Roman"/>
          <w:noProof/>
          <w:szCs w:val="24"/>
        </w:rPr>
        <w:t xml:space="preserve"> Thompson MM, Holt PJ. Studies using E</w:t>
      </w:r>
      <w:r w:rsidR="00EB2AF3" w:rsidRPr="000608BB">
        <w:rPr>
          <w:rFonts w:ascii="Calibri" w:hAnsi="Calibri" w:cs="Times New Roman"/>
          <w:noProof/>
          <w:szCs w:val="24"/>
        </w:rPr>
        <w:t>nglish a</w:t>
      </w:r>
      <w:r w:rsidR="00EB2AF3">
        <w:rPr>
          <w:rFonts w:ascii="Calibri" w:hAnsi="Calibri" w:cs="Times New Roman"/>
          <w:noProof/>
          <w:szCs w:val="24"/>
        </w:rPr>
        <w:t>dministrative data (Hospital Episode S</w:t>
      </w:r>
      <w:r w:rsidR="00EB2AF3" w:rsidRPr="000608BB">
        <w:rPr>
          <w:rFonts w:ascii="Calibri" w:hAnsi="Calibri" w:cs="Times New Roman"/>
          <w:noProof/>
          <w:szCs w:val="24"/>
        </w:rPr>
        <w:t>tatistics) to assess health-care outcome</w:t>
      </w:r>
      <w:r w:rsidR="00EB2AF3">
        <w:rPr>
          <w:rFonts w:ascii="Calibri" w:hAnsi="Calibri" w:cs="Times New Roman"/>
          <w:noProof/>
          <w:szCs w:val="24"/>
        </w:rPr>
        <w:t xml:space="preserve">s: </w:t>
      </w:r>
      <w:r w:rsidR="00EB2AF3" w:rsidRPr="000608BB">
        <w:rPr>
          <w:rFonts w:ascii="Calibri" w:hAnsi="Calibri" w:cs="Times New Roman"/>
          <w:noProof/>
          <w:szCs w:val="24"/>
        </w:rPr>
        <w:t xml:space="preserve">systematic review and </w:t>
      </w:r>
      <w:r w:rsidR="00EB2AF3" w:rsidRPr="000608BB">
        <w:rPr>
          <w:rFonts w:ascii="Calibri" w:hAnsi="Calibri" w:cs="Times New Roman"/>
          <w:noProof/>
          <w:szCs w:val="24"/>
        </w:rPr>
        <w:lastRenderedPageBreak/>
        <w:t xml:space="preserve">recommendations for reporting. </w:t>
      </w:r>
      <w:r w:rsidR="00EB2AF3" w:rsidRPr="0056697B">
        <w:rPr>
          <w:rFonts w:ascii="Calibri" w:hAnsi="Calibri" w:cs="Times New Roman"/>
          <w:iCs/>
          <w:noProof/>
          <w:szCs w:val="24"/>
        </w:rPr>
        <w:t>Eur J Public Health</w:t>
      </w:r>
      <w:r w:rsidR="00EB2AF3">
        <w:rPr>
          <w:rFonts w:ascii="Calibri" w:hAnsi="Calibri" w:cs="Times New Roman"/>
          <w:iCs/>
          <w:noProof/>
          <w:szCs w:val="24"/>
        </w:rPr>
        <w:t>.</w:t>
      </w:r>
      <w:r w:rsidR="00EB2AF3" w:rsidRPr="0056697B">
        <w:rPr>
          <w:rFonts w:ascii="Calibri" w:hAnsi="Calibri" w:cs="Times New Roman"/>
          <w:noProof/>
          <w:szCs w:val="24"/>
        </w:rPr>
        <w:t xml:space="preserve"> </w:t>
      </w:r>
      <w:r w:rsidR="00EB2AF3" w:rsidRPr="000608BB">
        <w:rPr>
          <w:rFonts w:ascii="Calibri" w:hAnsi="Calibri" w:cs="Times New Roman"/>
          <w:noProof/>
          <w:szCs w:val="24"/>
        </w:rPr>
        <w:t>2013;</w:t>
      </w:r>
      <w:r w:rsidR="00EB2AF3" w:rsidRPr="0056697B">
        <w:rPr>
          <w:rFonts w:ascii="Calibri" w:hAnsi="Calibri" w:cs="Times New Roman"/>
          <w:bCs/>
          <w:noProof/>
          <w:szCs w:val="24"/>
        </w:rPr>
        <w:t>23</w:t>
      </w:r>
      <w:r w:rsidR="00EB2AF3">
        <w:rPr>
          <w:rFonts w:ascii="Calibri" w:hAnsi="Calibri" w:cs="Times New Roman"/>
          <w:noProof/>
          <w:szCs w:val="24"/>
        </w:rPr>
        <w:t>:86–92.</w:t>
      </w:r>
      <w:r w:rsidRPr="000B1587">
        <w:rPr>
          <w:rFonts w:ascii="Calibri" w:hAnsi="Calibri" w:cs="Calibri"/>
          <w:noProof/>
          <w:szCs w:val="24"/>
        </w:rPr>
        <w:t xml:space="preserve"> </w:t>
      </w:r>
    </w:p>
    <w:p w:rsidR="000B1587" w:rsidRPr="000B1587" w:rsidRDefault="00EB2AF3" w:rsidP="000B1587">
      <w:pPr>
        <w:widowControl w:val="0"/>
        <w:autoSpaceDE w:val="0"/>
        <w:autoSpaceDN w:val="0"/>
        <w:adjustRightInd w:val="0"/>
        <w:spacing w:line="480" w:lineRule="auto"/>
        <w:ind w:left="640" w:hanging="640"/>
        <w:rPr>
          <w:rFonts w:ascii="Calibri" w:hAnsi="Calibri" w:cs="Calibri"/>
          <w:noProof/>
          <w:szCs w:val="24"/>
        </w:rPr>
      </w:pPr>
      <w:r>
        <w:rPr>
          <w:rFonts w:ascii="Calibri" w:hAnsi="Calibri" w:cs="Calibri"/>
          <w:noProof/>
          <w:szCs w:val="24"/>
        </w:rPr>
        <w:t xml:space="preserve">20. </w:t>
      </w:r>
      <w:r>
        <w:rPr>
          <w:rFonts w:ascii="Calibri" w:hAnsi="Calibri" w:cs="Calibri"/>
          <w:noProof/>
          <w:szCs w:val="24"/>
        </w:rPr>
        <w:tab/>
      </w:r>
      <w:r>
        <w:rPr>
          <w:rFonts w:ascii="Calibri" w:hAnsi="Calibri" w:cs="Times New Roman"/>
          <w:noProof/>
          <w:szCs w:val="24"/>
        </w:rPr>
        <w:t xml:space="preserve">World Health Organisation. </w:t>
      </w:r>
      <w:r w:rsidRPr="000608BB">
        <w:rPr>
          <w:rFonts w:ascii="Calibri" w:hAnsi="Calibri" w:cs="Times New Roman"/>
          <w:noProof/>
          <w:szCs w:val="24"/>
        </w:rPr>
        <w:t xml:space="preserve">ICD-10 Version:2010. </w:t>
      </w:r>
      <w:r>
        <w:rPr>
          <w:rFonts w:ascii="Calibri" w:hAnsi="Calibri" w:cs="Times New Roman"/>
          <w:noProof/>
          <w:szCs w:val="24"/>
        </w:rPr>
        <w:t xml:space="preserve">2016. </w:t>
      </w:r>
      <w:r w:rsidRPr="000608BB">
        <w:rPr>
          <w:rFonts w:ascii="Calibri" w:hAnsi="Calibri" w:cs="Times New Roman"/>
          <w:noProof/>
          <w:szCs w:val="24"/>
        </w:rPr>
        <w:t>http://apps.who.int/classifications/icd10/browse/2010/en</w:t>
      </w:r>
      <w:r>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21. </w:t>
      </w:r>
      <w:r w:rsidRPr="000B1587">
        <w:rPr>
          <w:rFonts w:ascii="Calibri" w:hAnsi="Calibri" w:cs="Calibri"/>
          <w:noProof/>
          <w:szCs w:val="24"/>
        </w:rPr>
        <w:tab/>
      </w:r>
      <w:r w:rsidR="00EB2AF3" w:rsidRPr="000608BB">
        <w:rPr>
          <w:rFonts w:ascii="Calibri" w:hAnsi="Calibri" w:cs="Times New Roman"/>
          <w:noProof/>
          <w:szCs w:val="24"/>
        </w:rPr>
        <w:t>Office for National Statistics</w:t>
      </w:r>
      <w:r w:rsidR="00EB2AF3">
        <w:rPr>
          <w:rFonts w:ascii="Calibri" w:hAnsi="Calibri" w:cs="Times New Roman"/>
          <w:noProof/>
          <w:szCs w:val="24"/>
        </w:rPr>
        <w:t>.</w:t>
      </w:r>
      <w:r w:rsidR="00EB2AF3" w:rsidRPr="000608BB">
        <w:rPr>
          <w:rFonts w:ascii="Calibri" w:hAnsi="Calibri" w:cs="Times New Roman"/>
          <w:noProof/>
          <w:szCs w:val="24"/>
        </w:rPr>
        <w:t xml:space="preserve"> People, population and community. </w:t>
      </w:r>
      <w:r w:rsidR="00EB2AF3">
        <w:rPr>
          <w:rFonts w:ascii="Calibri" w:hAnsi="Calibri" w:cs="Times New Roman"/>
          <w:noProof/>
          <w:szCs w:val="24"/>
        </w:rPr>
        <w:t xml:space="preserve">2018. </w:t>
      </w:r>
      <w:r w:rsidR="00EB2AF3" w:rsidRPr="000608BB">
        <w:rPr>
          <w:rFonts w:ascii="Calibri" w:hAnsi="Calibri" w:cs="Times New Roman"/>
          <w:noProof/>
          <w:szCs w:val="24"/>
        </w:rPr>
        <w:t>https://www.ons.gov.uk/peoplepopulationandcommunity</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22. </w:t>
      </w:r>
      <w:r w:rsidRPr="000B1587">
        <w:rPr>
          <w:rFonts w:ascii="Calibri" w:hAnsi="Calibri" w:cs="Calibri"/>
          <w:noProof/>
          <w:szCs w:val="24"/>
        </w:rPr>
        <w:tab/>
      </w:r>
      <w:r w:rsidR="00EB2AF3" w:rsidRPr="000608BB">
        <w:rPr>
          <w:rFonts w:ascii="Calibri" w:hAnsi="Calibri" w:cs="Times New Roman"/>
          <w:noProof/>
          <w:szCs w:val="24"/>
        </w:rPr>
        <w:t xml:space="preserve">Office for National Statistics. Ethnicity and national identity in England and Wales: 2011. </w:t>
      </w:r>
      <w:r w:rsidR="00EB2AF3">
        <w:rPr>
          <w:rFonts w:ascii="Calibri" w:hAnsi="Calibri" w:cs="Times New Roman"/>
          <w:noProof/>
          <w:szCs w:val="24"/>
        </w:rPr>
        <w:t xml:space="preserve">2012. </w:t>
      </w:r>
      <w:r w:rsidR="00EB2AF3" w:rsidRPr="000608BB">
        <w:rPr>
          <w:rFonts w:ascii="Calibri" w:hAnsi="Calibri" w:cs="Times New Roman"/>
          <w:noProof/>
          <w:szCs w:val="24"/>
        </w:rPr>
        <w:t>https://www.ons.gov.uk/peoplepopulationandcommunity/culturalidentity/ethnicity/articles/ethnicityandnationalidentityinenglandandwales/2012-12-11</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23. </w:t>
      </w:r>
      <w:r w:rsidRPr="000B1587">
        <w:rPr>
          <w:rFonts w:ascii="Calibri" w:hAnsi="Calibri" w:cs="Calibri"/>
          <w:noProof/>
          <w:szCs w:val="24"/>
        </w:rPr>
        <w:tab/>
      </w:r>
      <w:r w:rsidR="00EB2AF3" w:rsidRPr="004D3184">
        <w:rPr>
          <w:rFonts w:ascii="Calibri" w:hAnsi="Calibri" w:cs="Times New Roman"/>
          <w:noProof/>
          <w:szCs w:val="24"/>
        </w:rPr>
        <w:t>Vandenesch A, Turbelin C, Couturier E,</w:t>
      </w:r>
      <w:r w:rsidR="00EB2AF3">
        <w:rPr>
          <w:rFonts w:ascii="Calibri" w:hAnsi="Calibri" w:cs="Times New Roman"/>
          <w:noProof/>
          <w:szCs w:val="24"/>
        </w:rPr>
        <w:t xml:space="preserve"> Arena C, Jaulhac B, Ferquel E, et al.</w:t>
      </w:r>
      <w:r w:rsidR="00EB2AF3" w:rsidRPr="004D3184">
        <w:rPr>
          <w:rFonts w:ascii="Calibri" w:hAnsi="Calibri" w:cs="Times New Roman"/>
          <w:noProof/>
          <w:szCs w:val="24"/>
        </w:rPr>
        <w:t xml:space="preserve"> Incidence and hospitalisation rates of Lyme borreliosis, France, 2004 to 2012. </w:t>
      </w:r>
      <w:r w:rsidR="00EB2AF3" w:rsidRPr="007B0D3F">
        <w:rPr>
          <w:rFonts w:ascii="Calibri" w:hAnsi="Calibri" w:cs="Times New Roman"/>
          <w:iCs/>
          <w:noProof/>
          <w:szCs w:val="24"/>
        </w:rPr>
        <w:t>Euro Surveill</w:t>
      </w:r>
      <w:r w:rsidR="00EB2AF3">
        <w:rPr>
          <w:rFonts w:ascii="Calibri" w:hAnsi="Calibri" w:cs="Times New Roman"/>
          <w:iCs/>
          <w:noProof/>
          <w:szCs w:val="24"/>
        </w:rPr>
        <w:t>. 2014;19(34):pii:20883</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24. </w:t>
      </w:r>
      <w:r w:rsidRPr="000B1587">
        <w:rPr>
          <w:rFonts w:ascii="Calibri" w:hAnsi="Calibri" w:cs="Calibri"/>
          <w:noProof/>
          <w:szCs w:val="24"/>
        </w:rPr>
        <w:tab/>
      </w:r>
      <w:r w:rsidR="00EB2AF3" w:rsidRPr="004D3184">
        <w:rPr>
          <w:rFonts w:ascii="Calibri" w:hAnsi="Calibri" w:cs="Times New Roman"/>
          <w:noProof/>
          <w:szCs w:val="24"/>
        </w:rPr>
        <w:t xml:space="preserve">Lohr B, Müller I, Mai M, </w:t>
      </w:r>
      <w:r w:rsidR="00EB2AF3">
        <w:rPr>
          <w:rFonts w:ascii="Calibri" w:hAnsi="Calibri" w:cs="Times New Roman"/>
          <w:noProof/>
          <w:szCs w:val="24"/>
        </w:rPr>
        <w:t xml:space="preserve"> Norris DE, Schöffski O, Hunfeld HP.</w:t>
      </w:r>
      <w:r w:rsidR="00EB2AF3" w:rsidRPr="004D3184">
        <w:rPr>
          <w:rFonts w:ascii="Calibri" w:hAnsi="Calibri" w:cs="Times New Roman"/>
          <w:noProof/>
          <w:szCs w:val="24"/>
        </w:rPr>
        <w:t xml:space="preserve"> Epidemiology and cost of hospital care for Lyme borreliosis in Germany: Lessons from a health care utilization database analysis. </w:t>
      </w:r>
      <w:r w:rsidR="00EB2AF3" w:rsidRPr="007B0D3F">
        <w:rPr>
          <w:rFonts w:ascii="Calibri" w:hAnsi="Calibri" w:cs="Times New Roman"/>
          <w:iCs/>
          <w:noProof/>
          <w:szCs w:val="24"/>
        </w:rPr>
        <w:t>Ticks Tick Borne Dis</w:t>
      </w:r>
      <w:r w:rsidR="00EB2AF3">
        <w:rPr>
          <w:rFonts w:ascii="Calibri" w:hAnsi="Calibri" w:cs="Times New Roman"/>
          <w:iCs/>
          <w:noProof/>
          <w:szCs w:val="24"/>
        </w:rPr>
        <w:t>.</w:t>
      </w:r>
      <w:r w:rsidR="00EB2AF3" w:rsidRPr="004D3184">
        <w:rPr>
          <w:rFonts w:ascii="Calibri" w:hAnsi="Calibri" w:cs="Times New Roman"/>
          <w:noProof/>
          <w:szCs w:val="24"/>
        </w:rPr>
        <w:t xml:space="preserve"> 2015;</w:t>
      </w:r>
      <w:r w:rsidR="00EB2AF3" w:rsidRPr="007B0D3F">
        <w:rPr>
          <w:rFonts w:ascii="Calibri" w:hAnsi="Calibri" w:cs="Times New Roman"/>
          <w:bCs/>
          <w:noProof/>
          <w:szCs w:val="24"/>
        </w:rPr>
        <w:t>6</w:t>
      </w:r>
      <w:r w:rsidR="00EB2AF3" w:rsidRPr="004D3184">
        <w:rPr>
          <w:rFonts w:ascii="Calibri" w:hAnsi="Calibri" w:cs="Times New Roman"/>
          <w:noProof/>
          <w:szCs w:val="24"/>
        </w:rPr>
        <w:t>:56–62</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25. </w:t>
      </w:r>
      <w:r w:rsidRPr="000B1587">
        <w:rPr>
          <w:rFonts w:ascii="Calibri" w:hAnsi="Calibri" w:cs="Calibri"/>
          <w:noProof/>
          <w:szCs w:val="24"/>
        </w:rPr>
        <w:tab/>
      </w:r>
      <w:r w:rsidR="00EB2AF3" w:rsidRPr="000608BB">
        <w:rPr>
          <w:rFonts w:ascii="Calibri" w:hAnsi="Calibri" w:cs="Times New Roman"/>
          <w:noProof/>
          <w:szCs w:val="24"/>
        </w:rPr>
        <w:t>Tulloch JSP, McGinley L, Sanchez-Vizcaino F,</w:t>
      </w:r>
      <w:r w:rsidR="00EB2AF3">
        <w:rPr>
          <w:rFonts w:ascii="Calibri" w:hAnsi="Calibri" w:cs="Times New Roman"/>
          <w:noProof/>
          <w:szCs w:val="24"/>
        </w:rPr>
        <w:t xml:space="preserve"> Medlock JM, Radford AD.</w:t>
      </w:r>
      <w:r w:rsidR="00EB2AF3" w:rsidRPr="000608BB">
        <w:rPr>
          <w:rFonts w:ascii="Calibri" w:hAnsi="Calibri" w:cs="Times New Roman"/>
          <w:noProof/>
          <w:szCs w:val="24"/>
        </w:rPr>
        <w:t xml:space="preserve"> The passive surveillance of ticks using companion animal electronic health records. </w:t>
      </w:r>
      <w:r w:rsidR="00EB2AF3" w:rsidRPr="000301A5">
        <w:rPr>
          <w:rFonts w:ascii="Calibri" w:hAnsi="Calibri" w:cs="Times New Roman"/>
          <w:iCs/>
          <w:noProof/>
          <w:szCs w:val="24"/>
        </w:rPr>
        <w:t>Epidemiol Infect</w:t>
      </w:r>
      <w:r w:rsidR="00EB2AF3">
        <w:rPr>
          <w:rFonts w:ascii="Calibri" w:hAnsi="Calibri" w:cs="Times New Roman"/>
          <w:iCs/>
          <w:noProof/>
          <w:szCs w:val="24"/>
        </w:rPr>
        <w:t>. 2017;145:2020-2029</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26. </w:t>
      </w:r>
      <w:r w:rsidRPr="000B1587">
        <w:rPr>
          <w:rFonts w:ascii="Calibri" w:hAnsi="Calibri" w:cs="Calibri"/>
          <w:noProof/>
          <w:szCs w:val="24"/>
        </w:rPr>
        <w:tab/>
      </w:r>
      <w:r w:rsidR="00EB2AF3" w:rsidRPr="000608BB">
        <w:rPr>
          <w:rFonts w:ascii="Calibri" w:hAnsi="Calibri" w:cs="Times New Roman"/>
          <w:noProof/>
          <w:szCs w:val="24"/>
        </w:rPr>
        <w:t xml:space="preserve">Jameson LJ, Medlock JM. Tick surveillance in Great Britain. </w:t>
      </w:r>
      <w:r w:rsidR="00EB2AF3" w:rsidRPr="000301A5">
        <w:rPr>
          <w:rFonts w:ascii="Calibri" w:hAnsi="Calibri" w:cs="Times New Roman"/>
          <w:iCs/>
          <w:noProof/>
          <w:szCs w:val="24"/>
        </w:rPr>
        <w:t>Vector Borne Zoonotic Dis</w:t>
      </w:r>
      <w:r w:rsidR="00EB2AF3">
        <w:rPr>
          <w:rFonts w:ascii="Calibri" w:hAnsi="Calibri" w:cs="Times New Roman"/>
          <w:iCs/>
          <w:noProof/>
          <w:szCs w:val="24"/>
        </w:rPr>
        <w:t>.</w:t>
      </w:r>
      <w:r w:rsidR="00EB2AF3" w:rsidRPr="000301A5">
        <w:rPr>
          <w:rFonts w:ascii="Calibri" w:hAnsi="Calibri" w:cs="Times New Roman"/>
          <w:noProof/>
          <w:szCs w:val="24"/>
        </w:rPr>
        <w:t xml:space="preserve"> </w:t>
      </w:r>
      <w:r w:rsidR="00EB2AF3" w:rsidRPr="000608BB">
        <w:rPr>
          <w:rFonts w:ascii="Calibri" w:hAnsi="Calibri" w:cs="Times New Roman"/>
          <w:noProof/>
          <w:szCs w:val="24"/>
        </w:rPr>
        <w:t>2011;</w:t>
      </w:r>
      <w:r w:rsidR="00EB2AF3" w:rsidRPr="000301A5">
        <w:rPr>
          <w:rFonts w:ascii="Calibri" w:hAnsi="Calibri" w:cs="Times New Roman"/>
          <w:bCs/>
          <w:noProof/>
          <w:szCs w:val="24"/>
        </w:rPr>
        <w:t>11</w:t>
      </w:r>
      <w:r w:rsidR="00EB2AF3" w:rsidRPr="000608BB">
        <w:rPr>
          <w:rFonts w:ascii="Calibri" w:hAnsi="Calibri" w:cs="Times New Roman"/>
          <w:noProof/>
          <w:szCs w:val="24"/>
        </w:rPr>
        <w:t>:403–12.</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27. </w:t>
      </w:r>
      <w:r w:rsidRPr="000B1587">
        <w:rPr>
          <w:rFonts w:ascii="Calibri" w:hAnsi="Calibri" w:cs="Calibri"/>
          <w:noProof/>
          <w:szCs w:val="24"/>
        </w:rPr>
        <w:tab/>
      </w:r>
      <w:r w:rsidR="00EB2AF3" w:rsidRPr="000608BB">
        <w:rPr>
          <w:rFonts w:ascii="Calibri" w:hAnsi="Calibri" w:cs="Times New Roman"/>
          <w:noProof/>
          <w:szCs w:val="24"/>
        </w:rPr>
        <w:t xml:space="preserve">Cull B, Pietzsch ME, Hansford KM, </w:t>
      </w:r>
      <w:r w:rsidR="00EB2AF3">
        <w:rPr>
          <w:rFonts w:ascii="Calibri" w:hAnsi="Calibri" w:cs="Times New Roman"/>
          <w:noProof/>
          <w:szCs w:val="24"/>
        </w:rPr>
        <w:t>Gillingham EL, Medlock JM.</w:t>
      </w:r>
      <w:r w:rsidR="00EB2AF3" w:rsidRPr="000608BB">
        <w:rPr>
          <w:rFonts w:ascii="Calibri" w:hAnsi="Calibri" w:cs="Times New Roman"/>
          <w:noProof/>
          <w:szCs w:val="24"/>
        </w:rPr>
        <w:t xml:space="preserve"> Surveillance of British ticks: An overview of species records, host associations, and new records of Ixodes ricinus distribution. </w:t>
      </w:r>
      <w:r w:rsidR="00EB2AF3" w:rsidRPr="000301A5">
        <w:rPr>
          <w:rFonts w:ascii="Calibri" w:hAnsi="Calibri" w:cs="Times New Roman"/>
          <w:iCs/>
          <w:noProof/>
          <w:szCs w:val="24"/>
        </w:rPr>
        <w:t>Ticks Tick Borne Dis</w:t>
      </w:r>
      <w:r w:rsidR="00EB2AF3">
        <w:rPr>
          <w:rFonts w:ascii="Calibri" w:hAnsi="Calibri" w:cs="Times New Roman"/>
          <w:noProof/>
          <w:szCs w:val="24"/>
        </w:rPr>
        <w:t>.</w:t>
      </w:r>
      <w:r w:rsidR="00EB2AF3" w:rsidRPr="000608BB">
        <w:rPr>
          <w:rFonts w:ascii="Calibri" w:hAnsi="Calibri" w:cs="Times New Roman"/>
          <w:noProof/>
          <w:szCs w:val="24"/>
        </w:rPr>
        <w:t xml:space="preserve"> 2018;</w:t>
      </w:r>
      <w:r w:rsidR="00EB2AF3" w:rsidRPr="000608BB">
        <w:rPr>
          <w:rFonts w:ascii="Calibri" w:hAnsi="Calibri" w:cs="Times New Roman"/>
          <w:b/>
          <w:bCs/>
          <w:noProof/>
          <w:szCs w:val="24"/>
        </w:rPr>
        <w:t>9</w:t>
      </w:r>
      <w:r w:rsidR="00EB2AF3" w:rsidRPr="000608BB">
        <w:rPr>
          <w:rFonts w:ascii="Calibri" w:hAnsi="Calibri" w:cs="Times New Roman"/>
          <w:noProof/>
          <w:szCs w:val="24"/>
        </w:rPr>
        <w:t>:605–14</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lastRenderedPageBreak/>
        <w:t xml:space="preserve">28. </w:t>
      </w:r>
      <w:r w:rsidRPr="000B1587">
        <w:rPr>
          <w:rFonts w:ascii="Calibri" w:hAnsi="Calibri" w:cs="Calibri"/>
          <w:noProof/>
          <w:szCs w:val="24"/>
        </w:rPr>
        <w:tab/>
      </w:r>
      <w:r w:rsidR="00EB2AF3" w:rsidRPr="000608BB">
        <w:rPr>
          <w:rFonts w:ascii="Calibri" w:hAnsi="Calibri" w:cs="Times New Roman"/>
          <w:noProof/>
          <w:szCs w:val="24"/>
        </w:rPr>
        <w:t xml:space="preserve">Smith R, O’Connell S, Palmer S. Lyme disease surveillance in England and Wales, 1986 1998. </w:t>
      </w:r>
      <w:r w:rsidR="00EB2AF3" w:rsidRPr="000301A5">
        <w:rPr>
          <w:rFonts w:ascii="Calibri" w:hAnsi="Calibri" w:cs="Times New Roman"/>
          <w:iCs/>
          <w:noProof/>
          <w:szCs w:val="24"/>
        </w:rPr>
        <w:t>Emerg Infect Dis</w:t>
      </w:r>
      <w:r w:rsidR="00EB2AF3">
        <w:rPr>
          <w:rFonts w:ascii="Calibri" w:hAnsi="Calibri" w:cs="Times New Roman"/>
          <w:iCs/>
          <w:noProof/>
          <w:szCs w:val="24"/>
        </w:rPr>
        <w:t>.</w:t>
      </w:r>
      <w:r w:rsidR="00EB2AF3" w:rsidRPr="000608BB">
        <w:rPr>
          <w:rFonts w:ascii="Calibri" w:hAnsi="Calibri" w:cs="Times New Roman"/>
          <w:noProof/>
          <w:szCs w:val="24"/>
        </w:rPr>
        <w:t xml:space="preserve"> 2000;</w:t>
      </w:r>
      <w:r w:rsidR="00EB2AF3" w:rsidRPr="000301A5">
        <w:rPr>
          <w:rFonts w:ascii="Calibri" w:hAnsi="Calibri" w:cs="Times New Roman"/>
          <w:bCs/>
          <w:noProof/>
          <w:szCs w:val="24"/>
        </w:rPr>
        <w:t>6</w:t>
      </w:r>
      <w:r w:rsidR="00EB2AF3">
        <w:rPr>
          <w:rFonts w:ascii="Calibri" w:hAnsi="Calibri" w:cs="Times New Roman"/>
          <w:noProof/>
          <w:szCs w:val="24"/>
        </w:rPr>
        <w:t>:404–7</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29. </w:t>
      </w:r>
      <w:r w:rsidRPr="000B1587">
        <w:rPr>
          <w:rFonts w:ascii="Calibri" w:hAnsi="Calibri" w:cs="Calibri"/>
          <w:noProof/>
          <w:szCs w:val="24"/>
        </w:rPr>
        <w:tab/>
      </w:r>
      <w:r w:rsidR="00EB2AF3" w:rsidRPr="004D3184">
        <w:rPr>
          <w:rFonts w:ascii="Calibri" w:hAnsi="Calibri" w:cs="Times New Roman"/>
          <w:noProof/>
          <w:szCs w:val="24"/>
        </w:rPr>
        <w:t>Sajanti E, Virtanen M, Helve O</w:t>
      </w:r>
      <w:r w:rsidR="00EB2AF3">
        <w:rPr>
          <w:rFonts w:ascii="Calibri" w:hAnsi="Calibri" w:cs="Times New Roman"/>
          <w:noProof/>
          <w:szCs w:val="24"/>
        </w:rPr>
        <w:t>, Kuusi M, Lyytikäinen O, Hytönen J, et al.</w:t>
      </w:r>
      <w:r w:rsidR="00EB2AF3" w:rsidRPr="004D3184">
        <w:rPr>
          <w:rFonts w:ascii="Calibri" w:hAnsi="Calibri" w:cs="Times New Roman"/>
          <w:noProof/>
          <w:szCs w:val="24"/>
        </w:rPr>
        <w:t xml:space="preserve"> Lyme borreliosis in Finland in 1995-2014. </w:t>
      </w:r>
      <w:r w:rsidR="00EB2AF3" w:rsidRPr="007B0D3F">
        <w:rPr>
          <w:rFonts w:ascii="Calibri" w:hAnsi="Calibri" w:cs="Times New Roman"/>
          <w:iCs/>
          <w:noProof/>
          <w:szCs w:val="24"/>
        </w:rPr>
        <w:t>Emerg Infect Dis</w:t>
      </w:r>
      <w:r w:rsidR="00EB2AF3">
        <w:rPr>
          <w:rFonts w:ascii="Calibri" w:hAnsi="Calibri" w:cs="Times New Roman"/>
          <w:iCs/>
          <w:noProof/>
          <w:szCs w:val="24"/>
        </w:rPr>
        <w:t>.</w:t>
      </w:r>
      <w:r w:rsidR="00EB2AF3" w:rsidRPr="004D3184">
        <w:rPr>
          <w:rFonts w:ascii="Calibri" w:hAnsi="Calibri" w:cs="Times New Roman"/>
          <w:noProof/>
          <w:szCs w:val="24"/>
        </w:rPr>
        <w:t xml:space="preserve"> 2017;</w:t>
      </w:r>
      <w:r w:rsidR="00EB2AF3" w:rsidRPr="007B0D3F">
        <w:rPr>
          <w:rFonts w:ascii="Calibri" w:hAnsi="Calibri" w:cs="Times New Roman"/>
          <w:bCs/>
          <w:noProof/>
          <w:szCs w:val="24"/>
        </w:rPr>
        <w:t>23</w:t>
      </w:r>
      <w:r w:rsidR="00EB2AF3">
        <w:rPr>
          <w:rFonts w:ascii="Calibri" w:hAnsi="Calibri" w:cs="Times New Roman"/>
          <w:noProof/>
          <w:szCs w:val="24"/>
        </w:rPr>
        <w:t>:128–1288</w:t>
      </w:r>
      <w:r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30. </w:t>
      </w:r>
      <w:r w:rsidRPr="000B1587">
        <w:rPr>
          <w:rFonts w:ascii="Calibri" w:hAnsi="Calibri" w:cs="Calibri"/>
          <w:noProof/>
          <w:szCs w:val="24"/>
        </w:rPr>
        <w:tab/>
      </w:r>
      <w:r w:rsidR="00EB2AF3" w:rsidRPr="004D3184">
        <w:rPr>
          <w:rFonts w:ascii="Calibri" w:hAnsi="Calibri" w:cs="Times New Roman"/>
          <w:noProof/>
          <w:szCs w:val="24"/>
        </w:rPr>
        <w:t xml:space="preserve">Wilking H, Stark K. Trends in surveillance data of human Lyme borreliosis from six federal states in eastern Germany, 2009-2012. </w:t>
      </w:r>
      <w:r w:rsidR="00EB2AF3" w:rsidRPr="007B0D3F">
        <w:rPr>
          <w:rFonts w:ascii="Calibri" w:hAnsi="Calibri" w:cs="Times New Roman"/>
          <w:iCs/>
          <w:noProof/>
          <w:szCs w:val="24"/>
        </w:rPr>
        <w:t>Ticks Tick Borne Dis</w:t>
      </w:r>
      <w:r w:rsidR="00EB2AF3">
        <w:rPr>
          <w:rFonts w:ascii="Calibri" w:hAnsi="Calibri" w:cs="Times New Roman"/>
          <w:iCs/>
          <w:noProof/>
          <w:szCs w:val="24"/>
        </w:rPr>
        <w:t>.</w:t>
      </w:r>
      <w:r w:rsidR="00EB2AF3" w:rsidRPr="004D3184">
        <w:rPr>
          <w:rFonts w:ascii="Calibri" w:hAnsi="Calibri" w:cs="Times New Roman"/>
          <w:noProof/>
          <w:szCs w:val="24"/>
        </w:rPr>
        <w:t xml:space="preserve"> 2014;</w:t>
      </w:r>
      <w:r w:rsidR="00EB2AF3" w:rsidRPr="007B0D3F">
        <w:rPr>
          <w:rFonts w:ascii="Calibri" w:hAnsi="Calibri" w:cs="Times New Roman"/>
          <w:bCs/>
          <w:noProof/>
          <w:szCs w:val="24"/>
        </w:rPr>
        <w:t>5</w:t>
      </w:r>
      <w:r w:rsidR="00EB2AF3">
        <w:rPr>
          <w:rFonts w:ascii="Calibri" w:hAnsi="Calibri" w:cs="Times New Roman"/>
          <w:noProof/>
          <w:szCs w:val="24"/>
        </w:rPr>
        <w:t>:219–24</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31. </w:t>
      </w:r>
      <w:r w:rsidRPr="000B1587">
        <w:rPr>
          <w:rFonts w:ascii="Calibri" w:hAnsi="Calibri" w:cs="Calibri"/>
          <w:noProof/>
          <w:szCs w:val="24"/>
        </w:rPr>
        <w:tab/>
      </w:r>
      <w:r w:rsidR="00EB2AF3" w:rsidRPr="000608BB">
        <w:rPr>
          <w:rFonts w:ascii="Calibri" w:hAnsi="Calibri" w:cs="Times New Roman"/>
          <w:noProof/>
          <w:szCs w:val="24"/>
        </w:rPr>
        <w:t>Wang Y, Hunt K, Nazareth I,</w:t>
      </w:r>
      <w:r w:rsidR="00EB2AF3">
        <w:rPr>
          <w:rFonts w:ascii="Calibri" w:hAnsi="Calibri" w:cs="Times New Roman"/>
          <w:noProof/>
          <w:szCs w:val="24"/>
        </w:rPr>
        <w:t xml:space="preserve"> Freemantle N, Petersen I.</w:t>
      </w:r>
      <w:r w:rsidR="00EB2AF3" w:rsidRPr="000608BB">
        <w:rPr>
          <w:rFonts w:ascii="Calibri" w:hAnsi="Calibri" w:cs="Times New Roman"/>
          <w:noProof/>
          <w:szCs w:val="24"/>
        </w:rPr>
        <w:t xml:space="preserve"> Do men consult less than women? An analysis of routinely collected UK general practice data. </w:t>
      </w:r>
      <w:r w:rsidR="00EB2AF3" w:rsidRPr="00F24D57">
        <w:rPr>
          <w:rFonts w:ascii="Calibri" w:hAnsi="Calibri" w:cs="Times New Roman"/>
          <w:iCs/>
          <w:noProof/>
          <w:szCs w:val="24"/>
        </w:rPr>
        <w:t>BMJ Open</w:t>
      </w:r>
      <w:r w:rsidR="00EB2AF3">
        <w:rPr>
          <w:rFonts w:ascii="Calibri" w:hAnsi="Calibri" w:cs="Times New Roman"/>
          <w:iCs/>
          <w:noProof/>
          <w:szCs w:val="24"/>
        </w:rPr>
        <w:t>.</w:t>
      </w:r>
      <w:r w:rsidR="00EB2AF3" w:rsidRPr="00F24D57">
        <w:rPr>
          <w:rFonts w:ascii="Calibri" w:hAnsi="Calibri" w:cs="Times New Roman"/>
          <w:noProof/>
          <w:szCs w:val="24"/>
        </w:rPr>
        <w:t xml:space="preserve"> </w:t>
      </w:r>
      <w:r w:rsidR="00EB2AF3" w:rsidRPr="000608BB">
        <w:rPr>
          <w:rFonts w:ascii="Calibri" w:hAnsi="Calibri" w:cs="Times New Roman"/>
          <w:noProof/>
          <w:szCs w:val="24"/>
        </w:rPr>
        <w:t>2013;</w:t>
      </w:r>
      <w:r w:rsidR="00EB2AF3" w:rsidRPr="00F24D57">
        <w:rPr>
          <w:rFonts w:ascii="Calibri" w:hAnsi="Calibri" w:cs="Times New Roman"/>
          <w:bCs/>
          <w:noProof/>
          <w:szCs w:val="24"/>
        </w:rPr>
        <w:t>3</w:t>
      </w:r>
      <w:r w:rsidR="00EB2AF3" w:rsidRPr="000608BB">
        <w:rPr>
          <w:rFonts w:ascii="Calibri" w:hAnsi="Calibri" w:cs="Times New Roman"/>
          <w:noProof/>
          <w:szCs w:val="24"/>
        </w:rPr>
        <w:t>:e003320</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32. </w:t>
      </w:r>
      <w:r w:rsidRPr="000B1587">
        <w:rPr>
          <w:rFonts w:ascii="Calibri" w:hAnsi="Calibri" w:cs="Calibri"/>
          <w:noProof/>
          <w:szCs w:val="24"/>
        </w:rPr>
        <w:tab/>
      </w:r>
      <w:r w:rsidR="00EB2AF3" w:rsidRPr="000608BB">
        <w:rPr>
          <w:rFonts w:ascii="Calibri" w:hAnsi="Calibri" w:cs="Times New Roman"/>
          <w:noProof/>
          <w:szCs w:val="24"/>
        </w:rPr>
        <w:t>Jivraj S, Khan O. Ethnicity and deprivation in England: How likely are ethnic minorities to l</w:t>
      </w:r>
      <w:r w:rsidR="00EB2AF3">
        <w:rPr>
          <w:rFonts w:ascii="Calibri" w:hAnsi="Calibri" w:cs="Times New Roman"/>
          <w:noProof/>
          <w:szCs w:val="24"/>
        </w:rPr>
        <w:t xml:space="preserve">ive in deprived neighbourhoods? Dynamics of Diversity: Evidence from the 2011 Census. 2013. </w:t>
      </w:r>
      <w:r w:rsidR="00EB2AF3" w:rsidRPr="00F24D57">
        <w:rPr>
          <w:rFonts w:ascii="Calibri" w:hAnsi="Calibri" w:cs="Times New Roman"/>
          <w:noProof/>
          <w:szCs w:val="24"/>
        </w:rPr>
        <w:t>http://hummedia.manchester.ac.uk/institutes/code/briefingsupdated/ethnicity-and-deprivation-in-england-how-likely-are-ethnic-minorities-to-live-in-deprived-neighbourhoods%20(1).pdf</w:t>
      </w:r>
      <w:r w:rsidR="00EB2AF3">
        <w:rPr>
          <w:rFonts w:ascii="Calibri" w:hAnsi="Calibri" w:cs="Times New Roman"/>
          <w:noProof/>
          <w:szCs w:val="24"/>
        </w:rPr>
        <w:t>. Accessed 3 Jun 2018.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33. </w:t>
      </w:r>
      <w:r w:rsidRPr="000B1587">
        <w:rPr>
          <w:rFonts w:ascii="Calibri" w:hAnsi="Calibri" w:cs="Calibri"/>
          <w:noProof/>
          <w:szCs w:val="24"/>
        </w:rPr>
        <w:tab/>
      </w:r>
      <w:r w:rsidR="00EB2AF3" w:rsidRPr="000608BB">
        <w:rPr>
          <w:rFonts w:ascii="Calibri" w:hAnsi="Calibri" w:cs="Times New Roman"/>
          <w:noProof/>
          <w:szCs w:val="24"/>
        </w:rPr>
        <w:t>Mowbray F, Aml</w:t>
      </w:r>
      <w:r w:rsidR="00EB2AF3">
        <w:rPr>
          <w:rFonts w:ascii="Calibri" w:hAnsi="Calibri" w:cs="Times New Roman"/>
          <w:noProof/>
          <w:szCs w:val="24"/>
        </w:rPr>
        <w:t>ô</w:t>
      </w:r>
      <w:r w:rsidR="00EB2AF3" w:rsidRPr="000608BB">
        <w:rPr>
          <w:rFonts w:ascii="Calibri" w:hAnsi="Calibri" w:cs="Times New Roman"/>
          <w:noProof/>
          <w:szCs w:val="24"/>
        </w:rPr>
        <w:t>t R, Rubin GJ. Predictors of protective beha</w:t>
      </w:r>
      <w:r w:rsidR="00EB2AF3">
        <w:rPr>
          <w:rFonts w:ascii="Calibri" w:hAnsi="Calibri" w:cs="Times New Roman"/>
          <w:noProof/>
          <w:szCs w:val="24"/>
        </w:rPr>
        <w:t>viour against ticks in the UK: a</w:t>
      </w:r>
      <w:r w:rsidR="00EB2AF3" w:rsidRPr="000608BB">
        <w:rPr>
          <w:rFonts w:ascii="Calibri" w:hAnsi="Calibri" w:cs="Times New Roman"/>
          <w:noProof/>
          <w:szCs w:val="24"/>
        </w:rPr>
        <w:t xml:space="preserve"> mixed methods study. </w:t>
      </w:r>
      <w:r w:rsidR="00EB2AF3" w:rsidRPr="00F24D57">
        <w:rPr>
          <w:rFonts w:ascii="Calibri" w:hAnsi="Calibri" w:cs="Times New Roman"/>
          <w:iCs/>
          <w:noProof/>
          <w:szCs w:val="24"/>
        </w:rPr>
        <w:t>Ticks Tick Borne Dis</w:t>
      </w:r>
      <w:r w:rsidR="00EB2AF3">
        <w:rPr>
          <w:rFonts w:ascii="Calibri" w:hAnsi="Calibri" w:cs="Times New Roman"/>
          <w:iCs/>
          <w:noProof/>
          <w:szCs w:val="24"/>
        </w:rPr>
        <w:t>.</w:t>
      </w:r>
      <w:r w:rsidR="00EB2AF3" w:rsidRPr="000608BB">
        <w:rPr>
          <w:rFonts w:ascii="Calibri" w:hAnsi="Calibri" w:cs="Times New Roman"/>
          <w:noProof/>
          <w:szCs w:val="24"/>
        </w:rPr>
        <w:t xml:space="preserve"> 2014;</w:t>
      </w:r>
      <w:r w:rsidR="00EB2AF3" w:rsidRPr="00F24D57">
        <w:rPr>
          <w:rFonts w:ascii="Calibri" w:hAnsi="Calibri" w:cs="Times New Roman"/>
          <w:bCs/>
          <w:noProof/>
          <w:szCs w:val="24"/>
        </w:rPr>
        <w:t>5</w:t>
      </w:r>
      <w:r w:rsidR="00EB2AF3" w:rsidRPr="000608BB">
        <w:rPr>
          <w:rFonts w:ascii="Calibri" w:hAnsi="Calibri" w:cs="Times New Roman"/>
          <w:noProof/>
          <w:szCs w:val="24"/>
        </w:rPr>
        <w:t>:392–400</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34. </w:t>
      </w:r>
      <w:r w:rsidRPr="000B1587">
        <w:rPr>
          <w:rFonts w:ascii="Calibri" w:hAnsi="Calibri" w:cs="Calibri"/>
          <w:noProof/>
          <w:szCs w:val="24"/>
        </w:rPr>
        <w:tab/>
      </w:r>
      <w:r w:rsidR="00EB2AF3" w:rsidRPr="000608BB">
        <w:rPr>
          <w:rFonts w:ascii="Calibri" w:hAnsi="Calibri" w:cs="Times New Roman"/>
          <w:noProof/>
          <w:szCs w:val="24"/>
        </w:rPr>
        <w:t xml:space="preserve">Cowling TE, Soljak MA, Bell D, </w:t>
      </w:r>
      <w:r w:rsidR="00EB2AF3">
        <w:rPr>
          <w:rFonts w:ascii="Calibri" w:hAnsi="Calibri" w:cs="Times New Roman"/>
          <w:noProof/>
          <w:szCs w:val="24"/>
        </w:rPr>
        <w:t>Majeed A</w:t>
      </w:r>
      <w:r w:rsidR="00EB2AF3" w:rsidRPr="000608BB">
        <w:rPr>
          <w:rFonts w:ascii="Calibri" w:hAnsi="Calibri" w:cs="Times New Roman"/>
          <w:i/>
          <w:iCs/>
          <w:noProof/>
          <w:szCs w:val="24"/>
        </w:rPr>
        <w:t>.</w:t>
      </w:r>
      <w:r w:rsidR="00EB2AF3" w:rsidRPr="000608BB">
        <w:rPr>
          <w:rFonts w:ascii="Calibri" w:hAnsi="Calibri" w:cs="Times New Roman"/>
          <w:noProof/>
          <w:szCs w:val="24"/>
        </w:rPr>
        <w:t xml:space="preserve"> Emergency hospital admissions via accident and emergency departments in England: time trend, conceptual framework and policy implications. </w:t>
      </w:r>
      <w:r w:rsidR="00EB2AF3" w:rsidRPr="00F24D57">
        <w:rPr>
          <w:rFonts w:ascii="Calibri" w:hAnsi="Calibri" w:cs="Times New Roman"/>
          <w:iCs/>
          <w:noProof/>
          <w:szCs w:val="24"/>
        </w:rPr>
        <w:t>J R Soc Med</w:t>
      </w:r>
      <w:r w:rsidR="00EB2AF3">
        <w:rPr>
          <w:rFonts w:ascii="Calibri" w:hAnsi="Calibri" w:cs="Times New Roman"/>
          <w:noProof/>
          <w:szCs w:val="24"/>
        </w:rPr>
        <w:t>.</w:t>
      </w:r>
      <w:r w:rsidR="00EB2AF3" w:rsidRPr="000608BB">
        <w:rPr>
          <w:rFonts w:ascii="Calibri" w:hAnsi="Calibri" w:cs="Times New Roman"/>
          <w:noProof/>
          <w:szCs w:val="24"/>
        </w:rPr>
        <w:t>2014;</w:t>
      </w:r>
      <w:r w:rsidR="00EB2AF3" w:rsidRPr="00F24D57">
        <w:rPr>
          <w:rFonts w:ascii="Calibri" w:hAnsi="Calibri" w:cs="Times New Roman"/>
          <w:bCs/>
          <w:noProof/>
          <w:szCs w:val="24"/>
        </w:rPr>
        <w:t>107</w:t>
      </w:r>
      <w:r w:rsidR="00EB2AF3">
        <w:rPr>
          <w:rFonts w:ascii="Calibri" w:hAnsi="Calibri" w:cs="Times New Roman"/>
          <w:noProof/>
          <w:szCs w:val="24"/>
        </w:rPr>
        <w:t>:432–8</w:t>
      </w:r>
      <w:r w:rsidRPr="000B1587">
        <w:rPr>
          <w:rFonts w:ascii="Calibri" w:hAnsi="Calibri" w:cs="Calibri"/>
          <w:noProof/>
          <w:szCs w:val="24"/>
        </w:rPr>
        <w:t xml:space="preserve"> </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35. </w:t>
      </w:r>
      <w:r w:rsidRPr="000B1587">
        <w:rPr>
          <w:rFonts w:ascii="Calibri" w:hAnsi="Calibri" w:cs="Calibri"/>
          <w:noProof/>
          <w:szCs w:val="24"/>
        </w:rPr>
        <w:tab/>
      </w:r>
      <w:r w:rsidR="00EB2AF3" w:rsidRPr="000608BB">
        <w:rPr>
          <w:rFonts w:ascii="Calibri" w:hAnsi="Calibri" w:cs="Times New Roman"/>
          <w:noProof/>
          <w:szCs w:val="24"/>
        </w:rPr>
        <w:t xml:space="preserve">Marcu A, Uzzell D, Barnett J. Making sense of unfamiliar risks in the countryside: The case of Lyme disease. </w:t>
      </w:r>
      <w:r w:rsidR="00EB2AF3" w:rsidRPr="00435FEE">
        <w:rPr>
          <w:rFonts w:ascii="Calibri" w:hAnsi="Calibri" w:cs="Times New Roman"/>
          <w:iCs/>
          <w:noProof/>
          <w:szCs w:val="24"/>
        </w:rPr>
        <w:t>Heal</w:t>
      </w:r>
      <w:r w:rsidR="00EB2AF3">
        <w:rPr>
          <w:rFonts w:ascii="Calibri" w:hAnsi="Calibri" w:cs="Times New Roman"/>
          <w:iCs/>
          <w:noProof/>
          <w:szCs w:val="24"/>
        </w:rPr>
        <w:t>th</w:t>
      </w:r>
      <w:r w:rsidR="00EB2AF3" w:rsidRPr="00435FEE">
        <w:rPr>
          <w:rFonts w:ascii="Calibri" w:hAnsi="Calibri" w:cs="Times New Roman"/>
          <w:iCs/>
          <w:noProof/>
          <w:szCs w:val="24"/>
        </w:rPr>
        <w:t xml:space="preserve"> Place</w:t>
      </w:r>
      <w:r w:rsidR="00EB2AF3">
        <w:rPr>
          <w:rFonts w:ascii="Calibri" w:hAnsi="Calibri" w:cs="Times New Roman"/>
          <w:iCs/>
          <w:noProof/>
          <w:szCs w:val="24"/>
        </w:rPr>
        <w:t>.</w:t>
      </w:r>
      <w:r w:rsidR="00EB2AF3" w:rsidRPr="00435FEE">
        <w:rPr>
          <w:rFonts w:ascii="Calibri" w:hAnsi="Calibri" w:cs="Times New Roman"/>
          <w:noProof/>
          <w:szCs w:val="24"/>
        </w:rPr>
        <w:t xml:space="preserve"> </w:t>
      </w:r>
      <w:r w:rsidR="00EB2AF3" w:rsidRPr="000608BB">
        <w:rPr>
          <w:rFonts w:ascii="Calibri" w:hAnsi="Calibri" w:cs="Times New Roman"/>
          <w:noProof/>
          <w:szCs w:val="24"/>
        </w:rPr>
        <w:t>2011;</w:t>
      </w:r>
      <w:r w:rsidR="00EB2AF3" w:rsidRPr="00435FEE">
        <w:rPr>
          <w:rFonts w:ascii="Calibri" w:hAnsi="Calibri" w:cs="Times New Roman"/>
          <w:bCs/>
          <w:noProof/>
          <w:szCs w:val="24"/>
        </w:rPr>
        <w:t>17</w:t>
      </w:r>
      <w:r w:rsidR="00EB2AF3">
        <w:rPr>
          <w:rFonts w:ascii="Calibri" w:hAnsi="Calibri" w:cs="Times New Roman"/>
          <w:noProof/>
          <w:szCs w:val="24"/>
        </w:rPr>
        <w:t>:843–50</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36. </w:t>
      </w:r>
      <w:r w:rsidRPr="000B1587">
        <w:rPr>
          <w:rFonts w:ascii="Calibri" w:hAnsi="Calibri" w:cs="Calibri"/>
          <w:noProof/>
          <w:szCs w:val="24"/>
        </w:rPr>
        <w:tab/>
      </w:r>
      <w:r w:rsidR="00EB2AF3" w:rsidRPr="000608BB">
        <w:rPr>
          <w:rFonts w:ascii="Calibri" w:hAnsi="Calibri" w:cs="Times New Roman"/>
          <w:noProof/>
          <w:szCs w:val="24"/>
        </w:rPr>
        <w:t>Cecil E, Bottle A, Cowling TE,</w:t>
      </w:r>
      <w:r w:rsidR="00EB2AF3">
        <w:rPr>
          <w:rFonts w:ascii="Calibri" w:hAnsi="Calibri" w:cs="Times New Roman"/>
          <w:noProof/>
          <w:szCs w:val="24"/>
        </w:rPr>
        <w:t xml:space="preserve"> Majeed A, Wolfe I, Saxena S. Primary care access, emergency department visits, and unplanned short h</w:t>
      </w:r>
      <w:r w:rsidR="00EB2AF3" w:rsidRPr="000608BB">
        <w:rPr>
          <w:rFonts w:ascii="Calibri" w:hAnsi="Calibri" w:cs="Times New Roman"/>
          <w:noProof/>
          <w:szCs w:val="24"/>
        </w:rPr>
        <w:t xml:space="preserve">ospitalizations in the UK. </w:t>
      </w:r>
      <w:r w:rsidR="00EB2AF3" w:rsidRPr="00435FEE">
        <w:rPr>
          <w:rFonts w:ascii="Calibri" w:hAnsi="Calibri" w:cs="Times New Roman"/>
          <w:iCs/>
          <w:noProof/>
          <w:szCs w:val="24"/>
        </w:rPr>
        <w:t>Pediatrics</w:t>
      </w:r>
      <w:r w:rsidR="00EB2AF3">
        <w:rPr>
          <w:rFonts w:ascii="Calibri" w:hAnsi="Calibri" w:cs="Times New Roman"/>
          <w:iCs/>
          <w:noProof/>
          <w:szCs w:val="24"/>
        </w:rPr>
        <w:t>.</w:t>
      </w:r>
      <w:r w:rsidR="00EB2AF3" w:rsidRPr="000608BB">
        <w:rPr>
          <w:rFonts w:ascii="Calibri" w:hAnsi="Calibri" w:cs="Times New Roman"/>
          <w:noProof/>
          <w:szCs w:val="24"/>
        </w:rPr>
        <w:t xml:space="preserve"> 2016;</w:t>
      </w:r>
      <w:r w:rsidR="00EB2AF3" w:rsidRPr="00435FEE">
        <w:rPr>
          <w:rFonts w:ascii="Calibri" w:hAnsi="Calibri" w:cs="Times New Roman"/>
          <w:bCs/>
          <w:noProof/>
          <w:szCs w:val="24"/>
        </w:rPr>
        <w:t>137</w:t>
      </w:r>
      <w:r w:rsidR="00EB2AF3" w:rsidRPr="000608BB">
        <w:rPr>
          <w:rFonts w:ascii="Calibri" w:hAnsi="Calibri" w:cs="Times New Roman"/>
          <w:noProof/>
          <w:szCs w:val="24"/>
        </w:rPr>
        <w:t>:</w:t>
      </w:r>
      <w:r w:rsidR="00EB2AF3">
        <w:rPr>
          <w:rFonts w:ascii="Calibri" w:hAnsi="Calibri" w:cs="Times New Roman"/>
          <w:noProof/>
          <w:szCs w:val="24"/>
        </w:rPr>
        <w:t>e20151492</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lastRenderedPageBreak/>
        <w:t xml:space="preserve">37. </w:t>
      </w:r>
      <w:r w:rsidRPr="000B1587">
        <w:rPr>
          <w:rFonts w:ascii="Calibri" w:hAnsi="Calibri" w:cs="Calibri"/>
          <w:noProof/>
          <w:szCs w:val="24"/>
        </w:rPr>
        <w:tab/>
      </w:r>
      <w:r w:rsidR="00EB2AF3" w:rsidRPr="000608BB">
        <w:rPr>
          <w:rFonts w:ascii="Calibri" w:hAnsi="Calibri" w:cs="Times New Roman"/>
          <w:noProof/>
          <w:szCs w:val="24"/>
        </w:rPr>
        <w:t>Zhou Y, Abel G, Warren F,</w:t>
      </w:r>
      <w:r w:rsidR="00EB2AF3">
        <w:rPr>
          <w:rFonts w:ascii="Calibri" w:hAnsi="Calibri" w:cs="Times New Roman"/>
          <w:noProof/>
          <w:szCs w:val="24"/>
        </w:rPr>
        <w:t xml:space="preserve"> Roland M, Campbell J, Lyratzopoulos G.</w:t>
      </w:r>
      <w:r w:rsidR="00EB2AF3" w:rsidRPr="000608BB">
        <w:rPr>
          <w:rFonts w:ascii="Calibri" w:hAnsi="Calibri" w:cs="Times New Roman"/>
          <w:noProof/>
          <w:szCs w:val="24"/>
        </w:rPr>
        <w:t xml:space="preserve"> Do difficulties in accessing in-hours primary care predict higher use of out-of-hours GP services? Evidence from an English National Patient Survey. </w:t>
      </w:r>
      <w:r w:rsidR="00EB2AF3" w:rsidRPr="00435FEE">
        <w:rPr>
          <w:rFonts w:ascii="Calibri" w:hAnsi="Calibri" w:cs="Times New Roman"/>
          <w:iCs/>
          <w:noProof/>
          <w:szCs w:val="24"/>
        </w:rPr>
        <w:t>Emerg Med J</w:t>
      </w:r>
      <w:r w:rsidR="00EB2AF3">
        <w:rPr>
          <w:rFonts w:ascii="Calibri" w:hAnsi="Calibri" w:cs="Times New Roman"/>
          <w:iCs/>
          <w:noProof/>
          <w:szCs w:val="24"/>
        </w:rPr>
        <w:t>.</w:t>
      </w:r>
      <w:r w:rsidR="00EB2AF3" w:rsidRPr="00435FEE">
        <w:rPr>
          <w:rFonts w:ascii="Calibri" w:hAnsi="Calibri" w:cs="Times New Roman"/>
          <w:noProof/>
          <w:szCs w:val="24"/>
        </w:rPr>
        <w:t xml:space="preserve"> </w:t>
      </w:r>
      <w:r w:rsidR="00EB2AF3" w:rsidRPr="000608BB">
        <w:rPr>
          <w:rFonts w:ascii="Calibri" w:hAnsi="Calibri" w:cs="Times New Roman"/>
          <w:noProof/>
          <w:szCs w:val="24"/>
        </w:rPr>
        <w:t>201</w:t>
      </w:r>
      <w:r w:rsidR="00EB2AF3">
        <w:rPr>
          <w:rFonts w:ascii="Calibri" w:hAnsi="Calibri" w:cs="Times New Roman"/>
          <w:noProof/>
          <w:szCs w:val="24"/>
        </w:rPr>
        <w:t>5;32:373-8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38. </w:t>
      </w:r>
      <w:r w:rsidRPr="000B1587">
        <w:rPr>
          <w:rFonts w:ascii="Calibri" w:hAnsi="Calibri" w:cs="Calibri"/>
          <w:noProof/>
          <w:szCs w:val="24"/>
        </w:rPr>
        <w:tab/>
      </w:r>
      <w:r w:rsidR="00EB2AF3" w:rsidRPr="000608BB">
        <w:rPr>
          <w:rFonts w:ascii="Calibri" w:hAnsi="Calibri" w:cs="Times New Roman"/>
          <w:noProof/>
          <w:szCs w:val="24"/>
        </w:rPr>
        <w:t>O’Keeffe C, Mason S, Jacques R,</w:t>
      </w:r>
      <w:r w:rsidR="00EB2AF3">
        <w:rPr>
          <w:rFonts w:ascii="Calibri" w:hAnsi="Calibri" w:cs="Times New Roman"/>
          <w:noProof/>
          <w:szCs w:val="24"/>
        </w:rPr>
        <w:t xml:space="preserve"> Nicholl J.</w:t>
      </w:r>
      <w:r w:rsidR="00EB2AF3" w:rsidRPr="000608BB">
        <w:rPr>
          <w:rFonts w:ascii="Calibri" w:hAnsi="Calibri" w:cs="Times New Roman"/>
          <w:noProof/>
          <w:szCs w:val="24"/>
        </w:rPr>
        <w:t xml:space="preserve"> Characterising non-urgent users of the emergency department (ED): A retrospective analysis of routine ED data. </w:t>
      </w:r>
      <w:r w:rsidR="00EB2AF3" w:rsidRPr="00435FEE">
        <w:rPr>
          <w:rFonts w:ascii="Calibri" w:hAnsi="Calibri" w:cs="Times New Roman"/>
          <w:iCs/>
          <w:noProof/>
          <w:szCs w:val="24"/>
        </w:rPr>
        <w:t>PLoS One</w:t>
      </w:r>
      <w:r w:rsidR="00EB2AF3">
        <w:rPr>
          <w:rFonts w:ascii="Calibri" w:hAnsi="Calibri" w:cs="Times New Roman"/>
          <w:iCs/>
          <w:noProof/>
          <w:szCs w:val="24"/>
        </w:rPr>
        <w:t>.</w:t>
      </w:r>
      <w:r w:rsidR="00EB2AF3" w:rsidRPr="00435FEE">
        <w:rPr>
          <w:rFonts w:ascii="Calibri" w:hAnsi="Calibri" w:cs="Times New Roman"/>
          <w:noProof/>
          <w:szCs w:val="24"/>
        </w:rPr>
        <w:t xml:space="preserve"> </w:t>
      </w:r>
      <w:r w:rsidR="00EB2AF3" w:rsidRPr="000608BB">
        <w:rPr>
          <w:rFonts w:ascii="Calibri" w:hAnsi="Calibri" w:cs="Times New Roman"/>
          <w:noProof/>
          <w:szCs w:val="24"/>
        </w:rPr>
        <w:t>2018;</w:t>
      </w:r>
      <w:r w:rsidR="00EB2AF3" w:rsidRPr="00435FEE">
        <w:rPr>
          <w:rFonts w:ascii="Calibri" w:hAnsi="Calibri" w:cs="Times New Roman"/>
          <w:bCs/>
          <w:noProof/>
          <w:szCs w:val="24"/>
        </w:rPr>
        <w:t>13</w:t>
      </w:r>
      <w:r w:rsidR="00EB2AF3" w:rsidRPr="000608BB">
        <w:rPr>
          <w:rFonts w:ascii="Calibri" w:hAnsi="Calibri" w:cs="Times New Roman"/>
          <w:noProof/>
          <w:szCs w:val="24"/>
        </w:rPr>
        <w:t>:e0192855</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39. </w:t>
      </w:r>
      <w:r w:rsidRPr="000B1587">
        <w:rPr>
          <w:rFonts w:ascii="Calibri" w:hAnsi="Calibri" w:cs="Calibri"/>
          <w:noProof/>
          <w:szCs w:val="24"/>
        </w:rPr>
        <w:tab/>
      </w:r>
      <w:r w:rsidR="00EB2AF3" w:rsidRPr="000608BB">
        <w:rPr>
          <w:rFonts w:ascii="Calibri" w:hAnsi="Calibri" w:cs="Times New Roman"/>
          <w:noProof/>
          <w:szCs w:val="24"/>
        </w:rPr>
        <w:t>Rosenberg-Wohl S, Greenfield G, Majeed A,</w:t>
      </w:r>
      <w:r w:rsidR="00EB2AF3">
        <w:rPr>
          <w:rFonts w:ascii="Calibri" w:hAnsi="Calibri" w:cs="Times New Roman"/>
          <w:noProof/>
          <w:szCs w:val="24"/>
        </w:rPr>
        <w:t xml:space="preserve"> Hayhoe B.</w:t>
      </w:r>
      <w:r w:rsidR="00EB2AF3" w:rsidRPr="000608BB">
        <w:rPr>
          <w:rFonts w:ascii="Calibri" w:hAnsi="Calibri" w:cs="Times New Roman"/>
          <w:noProof/>
          <w:szCs w:val="24"/>
        </w:rPr>
        <w:t xml:space="preserve"> Seven-day access to NHS primary care: how does England compare with Europe? </w:t>
      </w:r>
      <w:r w:rsidR="00EB2AF3" w:rsidRPr="00435FEE">
        <w:rPr>
          <w:rFonts w:ascii="Calibri" w:hAnsi="Calibri" w:cs="Times New Roman"/>
          <w:iCs/>
          <w:noProof/>
          <w:szCs w:val="24"/>
        </w:rPr>
        <w:t>J R Soc Med</w:t>
      </w:r>
      <w:r w:rsidR="00EB2AF3">
        <w:rPr>
          <w:rFonts w:ascii="Calibri" w:hAnsi="Calibri" w:cs="Times New Roman"/>
          <w:noProof/>
          <w:szCs w:val="24"/>
        </w:rPr>
        <w:t>.</w:t>
      </w:r>
      <w:r w:rsidR="00EB2AF3" w:rsidRPr="000608BB">
        <w:rPr>
          <w:rFonts w:ascii="Calibri" w:hAnsi="Calibri" w:cs="Times New Roman"/>
          <w:noProof/>
          <w:szCs w:val="24"/>
        </w:rPr>
        <w:t xml:space="preserve"> 2018;</w:t>
      </w:r>
      <w:r w:rsidR="00EB2AF3">
        <w:rPr>
          <w:rFonts w:ascii="Calibri" w:hAnsi="Calibri" w:cs="Times New Roman"/>
          <w:noProof/>
          <w:szCs w:val="24"/>
        </w:rPr>
        <w:t>111:88-91</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40. </w:t>
      </w:r>
      <w:r w:rsidRPr="000B1587">
        <w:rPr>
          <w:rFonts w:ascii="Calibri" w:hAnsi="Calibri" w:cs="Calibri"/>
          <w:noProof/>
          <w:szCs w:val="24"/>
        </w:rPr>
        <w:tab/>
      </w:r>
      <w:r w:rsidR="00EB2AF3" w:rsidRPr="000608BB">
        <w:rPr>
          <w:rFonts w:ascii="Calibri" w:hAnsi="Calibri" w:cs="Times New Roman"/>
          <w:noProof/>
          <w:szCs w:val="24"/>
        </w:rPr>
        <w:t>Burns EM, Rigby E, Mamidanna R,</w:t>
      </w:r>
      <w:r w:rsidR="00EB2AF3">
        <w:rPr>
          <w:rFonts w:ascii="Calibri" w:hAnsi="Calibri" w:cs="Times New Roman"/>
          <w:noProof/>
          <w:szCs w:val="24"/>
        </w:rPr>
        <w:t xml:space="preserve"> Bottle A, Aylin P, Ziprin P, et al.</w:t>
      </w:r>
      <w:r w:rsidR="00EB2AF3" w:rsidRPr="000608BB">
        <w:rPr>
          <w:rFonts w:ascii="Calibri" w:hAnsi="Calibri" w:cs="Times New Roman"/>
          <w:noProof/>
          <w:szCs w:val="24"/>
        </w:rPr>
        <w:t xml:space="preserve"> Systematic review of discharge coding accuracy. </w:t>
      </w:r>
      <w:r w:rsidR="00EB2AF3" w:rsidRPr="00435FEE">
        <w:rPr>
          <w:rFonts w:ascii="Calibri" w:hAnsi="Calibri" w:cs="Times New Roman"/>
          <w:iCs/>
          <w:noProof/>
          <w:szCs w:val="24"/>
        </w:rPr>
        <w:t>J Public Health (Oxf)</w:t>
      </w:r>
      <w:r w:rsidR="00EB2AF3">
        <w:rPr>
          <w:rFonts w:ascii="Calibri" w:hAnsi="Calibri" w:cs="Times New Roman"/>
          <w:iCs/>
          <w:noProof/>
          <w:szCs w:val="24"/>
        </w:rPr>
        <w:t>.</w:t>
      </w:r>
      <w:r w:rsidR="00EB2AF3" w:rsidRPr="00435FEE">
        <w:rPr>
          <w:rFonts w:ascii="Calibri" w:hAnsi="Calibri" w:cs="Times New Roman"/>
          <w:noProof/>
          <w:szCs w:val="24"/>
        </w:rPr>
        <w:t xml:space="preserve"> </w:t>
      </w:r>
      <w:r w:rsidR="00EB2AF3" w:rsidRPr="000608BB">
        <w:rPr>
          <w:rFonts w:ascii="Calibri" w:hAnsi="Calibri" w:cs="Times New Roman"/>
          <w:noProof/>
          <w:szCs w:val="24"/>
        </w:rPr>
        <w:t>2012;</w:t>
      </w:r>
      <w:r w:rsidR="00EB2AF3" w:rsidRPr="00435FEE">
        <w:rPr>
          <w:rFonts w:ascii="Calibri" w:hAnsi="Calibri" w:cs="Times New Roman"/>
          <w:bCs/>
          <w:noProof/>
          <w:szCs w:val="24"/>
        </w:rPr>
        <w:t>34</w:t>
      </w:r>
      <w:r w:rsidR="00EB2AF3">
        <w:rPr>
          <w:rFonts w:ascii="Calibri" w:hAnsi="Calibri" w:cs="Times New Roman"/>
          <w:noProof/>
          <w:szCs w:val="24"/>
        </w:rPr>
        <w:t>:138–48</w:t>
      </w:r>
    </w:p>
    <w:p w:rsidR="000B1587" w:rsidRPr="000B1587" w:rsidRDefault="000B1587" w:rsidP="000B1587">
      <w:pPr>
        <w:widowControl w:val="0"/>
        <w:autoSpaceDE w:val="0"/>
        <w:autoSpaceDN w:val="0"/>
        <w:adjustRightInd w:val="0"/>
        <w:spacing w:line="480" w:lineRule="auto"/>
        <w:ind w:left="640" w:hanging="640"/>
        <w:rPr>
          <w:rFonts w:ascii="Calibri" w:hAnsi="Calibri" w:cs="Calibri"/>
          <w:noProof/>
          <w:szCs w:val="24"/>
        </w:rPr>
      </w:pPr>
      <w:r w:rsidRPr="000B1587">
        <w:rPr>
          <w:rFonts w:ascii="Calibri" w:hAnsi="Calibri" w:cs="Calibri"/>
          <w:noProof/>
          <w:szCs w:val="24"/>
        </w:rPr>
        <w:t xml:space="preserve">41. </w:t>
      </w:r>
      <w:r w:rsidRPr="000B1587">
        <w:rPr>
          <w:rFonts w:ascii="Calibri" w:hAnsi="Calibri" w:cs="Calibri"/>
          <w:noProof/>
          <w:szCs w:val="24"/>
        </w:rPr>
        <w:tab/>
      </w:r>
      <w:r w:rsidR="00EB2AF3">
        <w:rPr>
          <w:rFonts w:ascii="Calibri" w:hAnsi="Calibri" w:cs="Times New Roman"/>
          <w:noProof/>
          <w:szCs w:val="24"/>
        </w:rPr>
        <w:t xml:space="preserve">NHS. </w:t>
      </w:r>
      <w:r w:rsidR="00EB2AF3" w:rsidRPr="000608BB">
        <w:rPr>
          <w:rFonts w:ascii="Calibri" w:hAnsi="Calibri" w:cs="Times New Roman"/>
          <w:noProof/>
          <w:szCs w:val="24"/>
        </w:rPr>
        <w:t>Accident and Emergency Diagnosis Table</w:t>
      </w:r>
      <w:r w:rsidR="00EB2AF3">
        <w:rPr>
          <w:rFonts w:ascii="Calibri" w:hAnsi="Calibri" w:cs="Times New Roman"/>
          <w:noProof/>
          <w:szCs w:val="24"/>
        </w:rPr>
        <w:t>s</w:t>
      </w:r>
      <w:r w:rsidR="00EB2AF3" w:rsidRPr="000608BB">
        <w:rPr>
          <w:rFonts w:ascii="Calibri" w:hAnsi="Calibri" w:cs="Times New Roman"/>
          <w:noProof/>
          <w:szCs w:val="24"/>
        </w:rPr>
        <w:t xml:space="preserve">. </w:t>
      </w:r>
      <w:r w:rsidR="00EB2AF3">
        <w:rPr>
          <w:rFonts w:ascii="Calibri" w:hAnsi="Calibri" w:cs="Times New Roman"/>
          <w:noProof/>
          <w:szCs w:val="24"/>
        </w:rPr>
        <w:t xml:space="preserve">2018. </w:t>
      </w:r>
      <w:r w:rsidR="00EB2AF3" w:rsidRPr="000608BB">
        <w:rPr>
          <w:rFonts w:ascii="Calibri" w:hAnsi="Calibri" w:cs="Times New Roman"/>
          <w:noProof/>
          <w:szCs w:val="24"/>
        </w:rPr>
        <w:t>http://www.datadictionary.nhs.uk/web_site_content/supporting_information/clinical_coding/accident_and_emergency_diagnosis_tables.asp?shownav=1</w:t>
      </w:r>
      <w:r w:rsidR="00EB2AF3">
        <w:rPr>
          <w:rFonts w:ascii="Calibri" w:hAnsi="Calibri" w:cs="Times New Roman"/>
          <w:noProof/>
          <w:szCs w:val="24"/>
        </w:rPr>
        <w:t>. Accessed 3 Jun 2018.</w:t>
      </w:r>
    </w:p>
    <w:p w:rsidR="000B1587" w:rsidRDefault="000B1587" w:rsidP="000B1587">
      <w:pPr>
        <w:widowControl w:val="0"/>
        <w:autoSpaceDE w:val="0"/>
        <w:autoSpaceDN w:val="0"/>
        <w:adjustRightInd w:val="0"/>
        <w:spacing w:line="480" w:lineRule="auto"/>
        <w:ind w:left="640" w:hanging="640"/>
        <w:rPr>
          <w:rFonts w:ascii="Calibri" w:hAnsi="Calibri" w:cs="Times New Roman"/>
          <w:noProof/>
          <w:szCs w:val="24"/>
        </w:rPr>
      </w:pPr>
      <w:r w:rsidRPr="000B1587">
        <w:rPr>
          <w:rFonts w:ascii="Calibri" w:hAnsi="Calibri" w:cs="Calibri"/>
          <w:noProof/>
          <w:szCs w:val="24"/>
        </w:rPr>
        <w:t xml:space="preserve">42. </w:t>
      </w:r>
      <w:r w:rsidRPr="000B1587">
        <w:rPr>
          <w:rFonts w:ascii="Calibri" w:hAnsi="Calibri" w:cs="Calibri"/>
          <w:noProof/>
          <w:szCs w:val="24"/>
        </w:rPr>
        <w:tab/>
      </w:r>
      <w:r w:rsidR="00EB2AF3" w:rsidRPr="000608BB">
        <w:rPr>
          <w:rFonts w:ascii="Calibri" w:hAnsi="Calibri" w:cs="Times New Roman"/>
          <w:noProof/>
          <w:szCs w:val="24"/>
        </w:rPr>
        <w:t>Newitt S, Ellliot AJ, Morbey RA,</w:t>
      </w:r>
      <w:r w:rsidR="00EB2AF3">
        <w:rPr>
          <w:rFonts w:ascii="Calibri" w:hAnsi="Calibri" w:cs="Times New Roman"/>
          <w:noProof/>
          <w:szCs w:val="24"/>
        </w:rPr>
        <w:t xml:space="preserve"> Durnall H, Pietzsch ME, Medlock JM, et al.</w:t>
      </w:r>
      <w:r w:rsidR="00EB2AF3" w:rsidRPr="000608BB">
        <w:rPr>
          <w:rFonts w:ascii="Calibri" w:hAnsi="Calibri" w:cs="Times New Roman"/>
          <w:noProof/>
          <w:szCs w:val="24"/>
        </w:rPr>
        <w:t xml:space="preserve"> The use of syndromic surveillance to monitor the incidence of arthropod bites requiring healthcare in England</w:t>
      </w:r>
      <w:r w:rsidR="00EB2AF3">
        <w:rPr>
          <w:rFonts w:ascii="Calibri" w:hAnsi="Calibri" w:cs="Times New Roman"/>
          <w:noProof/>
          <w:szCs w:val="24"/>
        </w:rPr>
        <w:t>, 2000–2013</w:t>
      </w:r>
      <w:r w:rsidR="00EB2AF3" w:rsidRPr="000608BB">
        <w:rPr>
          <w:rFonts w:ascii="Calibri" w:hAnsi="Calibri" w:cs="Times New Roman"/>
          <w:noProof/>
          <w:szCs w:val="24"/>
        </w:rPr>
        <w:t xml:space="preserve">: a retrospective ecological study. </w:t>
      </w:r>
      <w:r w:rsidR="00EB2AF3" w:rsidRPr="00435FEE">
        <w:rPr>
          <w:rFonts w:ascii="Calibri" w:hAnsi="Calibri" w:cs="Times New Roman"/>
          <w:iCs/>
          <w:noProof/>
          <w:szCs w:val="24"/>
        </w:rPr>
        <w:t>Epidemiol Infect</w:t>
      </w:r>
      <w:r w:rsidR="00EB2AF3">
        <w:rPr>
          <w:rFonts w:ascii="Calibri" w:hAnsi="Calibri" w:cs="Times New Roman"/>
          <w:iCs/>
          <w:noProof/>
          <w:szCs w:val="24"/>
        </w:rPr>
        <w:t>.</w:t>
      </w:r>
      <w:r w:rsidR="00EB2AF3" w:rsidRPr="00435FEE">
        <w:rPr>
          <w:rFonts w:ascii="Calibri" w:hAnsi="Calibri" w:cs="Times New Roman"/>
          <w:noProof/>
          <w:szCs w:val="24"/>
        </w:rPr>
        <w:t xml:space="preserve"> </w:t>
      </w:r>
      <w:r w:rsidR="00EB2AF3" w:rsidRPr="000608BB">
        <w:rPr>
          <w:rFonts w:ascii="Calibri" w:hAnsi="Calibri" w:cs="Times New Roman"/>
          <w:noProof/>
          <w:szCs w:val="24"/>
        </w:rPr>
        <w:t>2016;</w:t>
      </w:r>
      <w:r w:rsidR="00EB2AF3" w:rsidRPr="00435FEE">
        <w:rPr>
          <w:rFonts w:ascii="Calibri" w:hAnsi="Calibri" w:cs="Times New Roman"/>
          <w:bCs/>
          <w:noProof/>
          <w:szCs w:val="24"/>
        </w:rPr>
        <w:t>144</w:t>
      </w:r>
      <w:r w:rsidR="00EB2AF3" w:rsidRPr="000608BB">
        <w:rPr>
          <w:rFonts w:ascii="Calibri" w:hAnsi="Calibri" w:cs="Times New Roman"/>
          <w:noProof/>
          <w:szCs w:val="24"/>
        </w:rPr>
        <w:t>:2251–9</w:t>
      </w:r>
    </w:p>
    <w:p w:rsidR="00AA7C0C" w:rsidRPr="000B1587" w:rsidRDefault="00AA7C0C" w:rsidP="000B1587">
      <w:pPr>
        <w:widowControl w:val="0"/>
        <w:autoSpaceDE w:val="0"/>
        <w:autoSpaceDN w:val="0"/>
        <w:adjustRightInd w:val="0"/>
        <w:spacing w:line="480" w:lineRule="auto"/>
        <w:ind w:left="640" w:hanging="640"/>
        <w:rPr>
          <w:rFonts w:ascii="Calibri" w:hAnsi="Calibri" w:cs="Calibri"/>
          <w:noProof/>
        </w:rPr>
      </w:pPr>
      <w:r>
        <w:rPr>
          <w:rFonts w:ascii="Calibri" w:hAnsi="Calibri" w:cs="Times New Roman"/>
          <w:noProof/>
          <w:szCs w:val="24"/>
        </w:rPr>
        <w:t>43.</w:t>
      </w:r>
      <w:r>
        <w:rPr>
          <w:rFonts w:ascii="Calibri" w:hAnsi="Calibri" w:cs="Times New Roman"/>
          <w:noProof/>
          <w:szCs w:val="24"/>
        </w:rPr>
        <w:tab/>
      </w:r>
      <w:r w:rsidRPr="00AA7C0C">
        <w:rPr>
          <w:rFonts w:ascii="Calibri" w:hAnsi="Calibri" w:cs="Calibri"/>
          <w:noProof/>
        </w:rPr>
        <w:t xml:space="preserve">Department of Health. </w:t>
      </w:r>
      <w:bookmarkStart w:id="9" w:name="_Hlk9524883"/>
      <w:r w:rsidRPr="00AA7C0C">
        <w:rPr>
          <w:rFonts w:ascii="Calibri" w:hAnsi="Calibri" w:cs="Calibri"/>
          <w:noProof/>
        </w:rPr>
        <w:t>Health Protection Legislation (England) Guidance 2010.</w:t>
      </w:r>
      <w:bookmarkEnd w:id="9"/>
      <w:r w:rsidRPr="00AA7C0C">
        <w:rPr>
          <w:rFonts w:ascii="Calibri" w:hAnsi="Calibri" w:cs="Calibri"/>
          <w:noProof/>
        </w:rPr>
        <w:t xml:space="preserve"> http://webarchive.nationalarchives.gov.uk/20130105053557/http://www.dh.gov.uk/prod_consum_dh/groups/dh_digitalassets/@dh/@en/@ps/documents/digitalasset/dh_114589.pdf (accessed 23 Oct 2018).</w:t>
      </w:r>
    </w:p>
    <w:p w:rsidR="00C55D03" w:rsidRDefault="00C55D03" w:rsidP="00C55D03">
      <w:pPr>
        <w:widowControl w:val="0"/>
        <w:autoSpaceDE w:val="0"/>
        <w:autoSpaceDN w:val="0"/>
        <w:adjustRightInd w:val="0"/>
        <w:spacing w:line="480" w:lineRule="auto"/>
      </w:pPr>
      <w:r>
        <w:fldChar w:fldCharType="end"/>
      </w:r>
    </w:p>
    <w:p w:rsidR="00EB2AF3" w:rsidRDefault="00EB2AF3" w:rsidP="00C55D03">
      <w:pPr>
        <w:widowControl w:val="0"/>
        <w:autoSpaceDE w:val="0"/>
        <w:autoSpaceDN w:val="0"/>
        <w:adjustRightInd w:val="0"/>
        <w:spacing w:line="480" w:lineRule="auto"/>
      </w:pPr>
    </w:p>
    <w:p w:rsidR="00F31BFB" w:rsidRDefault="00F31BFB" w:rsidP="00C55D03">
      <w:pPr>
        <w:widowControl w:val="0"/>
        <w:autoSpaceDE w:val="0"/>
        <w:autoSpaceDN w:val="0"/>
        <w:adjustRightInd w:val="0"/>
        <w:spacing w:line="480" w:lineRule="auto"/>
      </w:pPr>
    </w:p>
    <w:p w:rsidR="00F31BFB" w:rsidRDefault="00F31BFB" w:rsidP="00C55D03">
      <w:pPr>
        <w:widowControl w:val="0"/>
        <w:autoSpaceDE w:val="0"/>
        <w:autoSpaceDN w:val="0"/>
        <w:adjustRightInd w:val="0"/>
        <w:spacing w:line="480" w:lineRule="auto"/>
      </w:pPr>
      <w:bookmarkStart w:id="10" w:name="_GoBack"/>
      <w:bookmarkEnd w:id="10"/>
    </w:p>
    <w:p w:rsidR="00C55D03" w:rsidRPr="00324B22" w:rsidRDefault="00C55D03" w:rsidP="00C55D03">
      <w:pPr>
        <w:widowControl w:val="0"/>
        <w:autoSpaceDE w:val="0"/>
        <w:autoSpaceDN w:val="0"/>
        <w:adjustRightInd w:val="0"/>
        <w:spacing w:line="480" w:lineRule="auto"/>
        <w:ind w:left="640" w:hanging="640"/>
        <w:rPr>
          <w:b/>
        </w:rPr>
      </w:pPr>
      <w:r w:rsidRPr="00324B22">
        <w:rPr>
          <w:b/>
        </w:rPr>
        <w:lastRenderedPageBreak/>
        <w:t>Figures</w:t>
      </w:r>
    </w:p>
    <w:p w:rsidR="00C55D03" w:rsidRDefault="00C55D03" w:rsidP="00C55D03">
      <w:pPr>
        <w:spacing w:line="480" w:lineRule="auto"/>
        <w:jc w:val="both"/>
        <w:rPr>
          <w:b/>
        </w:rPr>
      </w:pPr>
      <w:r>
        <w:rPr>
          <w:b/>
        </w:rPr>
        <w:t xml:space="preserve">Figure 1 – </w:t>
      </w:r>
      <w:r w:rsidRPr="00100F8A">
        <w:t>Incidence of Lyme disease coded patients within hospital administrative records in England and Wales (1998-2015)</w:t>
      </w:r>
    </w:p>
    <w:p w:rsidR="00C55D03" w:rsidRDefault="00C55D03" w:rsidP="00C55D03">
      <w:pPr>
        <w:spacing w:line="480" w:lineRule="auto"/>
        <w:jc w:val="both"/>
        <w:rPr>
          <w:b/>
        </w:rPr>
      </w:pPr>
      <w:r>
        <w:rPr>
          <w:b/>
        </w:rPr>
        <w:t>Figure 2 –</w:t>
      </w:r>
      <w:r w:rsidR="00CD646B">
        <w:rPr>
          <w:b/>
        </w:rPr>
        <w:t xml:space="preserve"> </w:t>
      </w:r>
      <w:r w:rsidR="00CD646B">
        <w:t xml:space="preserve">Lyme disease patient </w:t>
      </w:r>
      <w:r w:rsidR="00135054">
        <w:t>monthly count</w:t>
      </w:r>
      <w:r w:rsidRPr="00100F8A">
        <w:t>, within hospital administrative records in England and Wales (1998-2015)</w:t>
      </w:r>
    </w:p>
    <w:p w:rsidR="00C55D03" w:rsidRDefault="00C55D03" w:rsidP="00C55D03">
      <w:pPr>
        <w:spacing w:line="480" w:lineRule="auto"/>
        <w:jc w:val="both"/>
      </w:pPr>
      <w:r>
        <w:rPr>
          <w:b/>
        </w:rPr>
        <w:t xml:space="preserve">Figure 3 – </w:t>
      </w:r>
      <w:r w:rsidRPr="00100F8A">
        <w:t>Population demographics of Lyme disease patients within hospital administrative records in England and Wales (1998-2015)</w:t>
      </w:r>
    </w:p>
    <w:p w:rsidR="00CD646B" w:rsidRDefault="00CD646B" w:rsidP="00C55D03">
      <w:pPr>
        <w:spacing w:line="480" w:lineRule="auto"/>
        <w:jc w:val="both"/>
        <w:rPr>
          <w:b/>
        </w:rPr>
      </w:pPr>
      <w:r>
        <w:t xml:space="preserve">Legend: </w:t>
      </w:r>
      <w:r w:rsidRPr="005C5807">
        <w:t>Asterisks represent a significant difference (p&lt;0.05)</w:t>
      </w:r>
      <w:r>
        <w:t xml:space="preserve"> between sexes.</w:t>
      </w:r>
    </w:p>
    <w:p w:rsidR="00CD646B" w:rsidRDefault="00C55D03" w:rsidP="00C55D03">
      <w:pPr>
        <w:spacing w:line="480" w:lineRule="auto"/>
        <w:jc w:val="both"/>
      </w:pPr>
      <w:r w:rsidRPr="002D7A39">
        <w:rPr>
          <w:b/>
        </w:rPr>
        <w:t xml:space="preserve">Figure 4 - </w:t>
      </w:r>
      <w:r w:rsidRPr="00100F8A">
        <w:t>The average incidence rate of Lyme disease in Engl</w:t>
      </w:r>
      <w:r w:rsidR="00CD646B">
        <w:t>ish and Welsh</w:t>
      </w:r>
      <w:r w:rsidRPr="00100F8A">
        <w:t xml:space="preserve"> local authorities</w:t>
      </w:r>
      <w:r>
        <w:t xml:space="preserve"> (n=348),</w:t>
      </w:r>
      <w:r w:rsidRPr="00100F8A">
        <w:t xml:space="preserve"> (1998-2015)</w:t>
      </w:r>
    </w:p>
    <w:p w:rsidR="00C55D03" w:rsidRDefault="00CD646B" w:rsidP="00C55D03">
      <w:pPr>
        <w:spacing w:line="480" w:lineRule="auto"/>
        <w:jc w:val="both"/>
      </w:pPr>
      <w:r>
        <w:t xml:space="preserve">Legend: These data were based on hospital administrative records, and incidence measured as number of cases per 100,000 per year. </w:t>
      </w:r>
      <w:r w:rsidR="00C55D03">
        <w:t xml:space="preserve">Black areas recorded no cases over the study period. P = Purbeck, ED </w:t>
      </w:r>
      <w:r>
        <w:t>= East Dorset, NF = New Forest.</w:t>
      </w:r>
    </w:p>
    <w:p w:rsidR="00CD646B" w:rsidRDefault="00A7663B" w:rsidP="00C55D03">
      <w:pPr>
        <w:spacing w:line="480" w:lineRule="auto"/>
        <w:jc w:val="both"/>
      </w:pPr>
      <w:r>
        <w:rPr>
          <w:b/>
        </w:rPr>
        <w:t>Figure 5</w:t>
      </w:r>
      <w:r w:rsidR="00C55D03" w:rsidRPr="005C5807">
        <w:rPr>
          <w:b/>
        </w:rPr>
        <w:t xml:space="preserve"> – </w:t>
      </w:r>
      <w:r w:rsidR="00CD646B">
        <w:t>Proportional daily</w:t>
      </w:r>
      <w:r w:rsidR="00C55D03" w:rsidRPr="005C5807">
        <w:t xml:space="preserve"> Lyme disease case attendance, </w:t>
      </w:r>
      <w:r w:rsidR="00CD646B">
        <w:t xml:space="preserve">in </w:t>
      </w:r>
      <w:r w:rsidR="00C55D03" w:rsidRPr="005C5807">
        <w:t>English and Welsh hospital administrative records (1998</w:t>
      </w:r>
      <w:r w:rsidR="00CD646B">
        <w:t>-</w:t>
      </w:r>
      <w:r w:rsidR="00C55D03" w:rsidRPr="005C5807">
        <w:t xml:space="preserve">2015) </w:t>
      </w:r>
    </w:p>
    <w:p w:rsidR="00C55D03" w:rsidRPr="005C5807" w:rsidRDefault="00CD646B" w:rsidP="00C55D03">
      <w:pPr>
        <w:spacing w:line="480" w:lineRule="auto"/>
        <w:jc w:val="both"/>
      </w:pPr>
      <w:r>
        <w:t xml:space="preserve">Legend: </w:t>
      </w:r>
      <w:r w:rsidR="00C55D03" w:rsidRPr="005C5807">
        <w:t xml:space="preserve">Asterisks represent a significant difference (p&lt;0.05) compared to the expected proportion of daily cases </w:t>
      </w:r>
    </w:p>
    <w:p w:rsidR="00CD646B" w:rsidRDefault="00C55D03" w:rsidP="00C55D03">
      <w:pPr>
        <w:spacing w:line="480" w:lineRule="auto"/>
        <w:jc w:val="both"/>
      </w:pPr>
      <w:r w:rsidRPr="005C5807">
        <w:rPr>
          <w:b/>
        </w:rPr>
        <w:t>F</w:t>
      </w:r>
      <w:r w:rsidR="00A7663B">
        <w:rPr>
          <w:b/>
        </w:rPr>
        <w:t>igure 6</w:t>
      </w:r>
      <w:r w:rsidRPr="005C5807">
        <w:rPr>
          <w:b/>
        </w:rPr>
        <w:t xml:space="preserve"> – </w:t>
      </w:r>
      <w:r w:rsidR="00CD646B">
        <w:t>Proportional daily</w:t>
      </w:r>
      <w:r w:rsidR="00CD646B" w:rsidRPr="005C5807">
        <w:t xml:space="preserve"> Lyme disease case </w:t>
      </w:r>
      <w:r w:rsidR="00CD646B">
        <w:t>admission routes</w:t>
      </w:r>
      <w:r w:rsidR="00CD646B" w:rsidRPr="005C5807">
        <w:t xml:space="preserve">, </w:t>
      </w:r>
      <w:r w:rsidR="00CD646B">
        <w:t xml:space="preserve">in </w:t>
      </w:r>
      <w:r w:rsidR="00CD646B" w:rsidRPr="005C5807">
        <w:t>English and Welsh</w:t>
      </w:r>
      <w:r w:rsidR="00CD646B">
        <w:t xml:space="preserve"> hospitals (1998-</w:t>
      </w:r>
      <w:r w:rsidRPr="005C5807">
        <w:t>2015)</w:t>
      </w:r>
      <w:r>
        <w:t xml:space="preserve"> </w:t>
      </w:r>
    </w:p>
    <w:p w:rsidR="00C55D03" w:rsidRPr="00CD646B" w:rsidRDefault="00CD646B" w:rsidP="00C55D03">
      <w:pPr>
        <w:spacing w:line="480" w:lineRule="auto"/>
        <w:jc w:val="both"/>
        <w:rPr>
          <w:b/>
        </w:rPr>
      </w:pPr>
      <w:r>
        <w:t xml:space="preserve">Legend: </w:t>
      </w:r>
      <w:r w:rsidR="00C55D03">
        <w:t>Asterisks represent a significant difference (p&lt;0.05) compared to the expected proportion</w:t>
      </w:r>
      <w:r>
        <w:t xml:space="preserve"> of daily cases</w:t>
      </w:r>
    </w:p>
    <w:p w:rsidR="00C55D03" w:rsidRDefault="00A7663B" w:rsidP="00C55D03">
      <w:pPr>
        <w:spacing w:line="480" w:lineRule="auto"/>
        <w:jc w:val="both"/>
        <w:rPr>
          <w:b/>
        </w:rPr>
      </w:pPr>
      <w:r>
        <w:rPr>
          <w:b/>
        </w:rPr>
        <w:t>Figure 7</w:t>
      </w:r>
      <w:r w:rsidR="00C55D03">
        <w:rPr>
          <w:b/>
        </w:rPr>
        <w:t xml:space="preserve"> – </w:t>
      </w:r>
      <w:r w:rsidR="00C55D03">
        <w:t>The pathway</w:t>
      </w:r>
      <w:r w:rsidR="00C55D03" w:rsidRPr="00100F8A">
        <w:t xml:space="preserve"> of Lyme disease coded patients through the </w:t>
      </w:r>
      <w:r w:rsidR="00CD646B">
        <w:t>NHS</w:t>
      </w:r>
      <w:r w:rsidR="00C55D03">
        <w:t>, based on hospital administrative records</w:t>
      </w:r>
    </w:p>
    <w:sectPr w:rsidR="00C55D03" w:rsidSect="00C90BA8">
      <w:footerReference w:type="default" r:id="rId9"/>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3B0B" w:rsidRDefault="00273B0B" w:rsidP="00C90BA8">
      <w:pPr>
        <w:spacing w:after="0" w:line="240" w:lineRule="auto"/>
      </w:pPr>
      <w:r>
        <w:separator/>
      </w:r>
    </w:p>
  </w:endnote>
  <w:endnote w:type="continuationSeparator" w:id="0">
    <w:p w:rsidR="00273B0B" w:rsidRDefault="00273B0B" w:rsidP="00C9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7136936"/>
      <w:docPartObj>
        <w:docPartGallery w:val="Page Numbers (Bottom of Page)"/>
        <w:docPartUnique/>
      </w:docPartObj>
    </w:sdtPr>
    <w:sdtEndPr>
      <w:rPr>
        <w:noProof/>
      </w:rPr>
    </w:sdtEndPr>
    <w:sdtContent>
      <w:p w:rsidR="00273B0B" w:rsidRDefault="00273B0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273B0B" w:rsidRDefault="00273B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3B0B" w:rsidRDefault="00273B0B" w:rsidP="00C90BA8">
      <w:pPr>
        <w:spacing w:after="0" w:line="240" w:lineRule="auto"/>
      </w:pPr>
      <w:r>
        <w:separator/>
      </w:r>
    </w:p>
  </w:footnote>
  <w:footnote w:type="continuationSeparator" w:id="0">
    <w:p w:rsidR="00273B0B" w:rsidRDefault="00273B0B" w:rsidP="00C90B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5DEE"/>
    <w:rsid w:val="000B1587"/>
    <w:rsid w:val="000F6F9F"/>
    <w:rsid w:val="001225EC"/>
    <w:rsid w:val="00135054"/>
    <w:rsid w:val="00156F1A"/>
    <w:rsid w:val="00273B0B"/>
    <w:rsid w:val="002A075D"/>
    <w:rsid w:val="00394791"/>
    <w:rsid w:val="003A3B76"/>
    <w:rsid w:val="003E3EEF"/>
    <w:rsid w:val="00481CF7"/>
    <w:rsid w:val="004A0C40"/>
    <w:rsid w:val="005566D6"/>
    <w:rsid w:val="00574ED9"/>
    <w:rsid w:val="005E7A3B"/>
    <w:rsid w:val="0065383E"/>
    <w:rsid w:val="00675754"/>
    <w:rsid w:val="00680FD6"/>
    <w:rsid w:val="006D7A25"/>
    <w:rsid w:val="00741677"/>
    <w:rsid w:val="007A4192"/>
    <w:rsid w:val="00834CF8"/>
    <w:rsid w:val="009A5EE7"/>
    <w:rsid w:val="00A7663B"/>
    <w:rsid w:val="00AA7C0C"/>
    <w:rsid w:val="00B55C1C"/>
    <w:rsid w:val="00B8550C"/>
    <w:rsid w:val="00BB2B75"/>
    <w:rsid w:val="00BD7F95"/>
    <w:rsid w:val="00C55D03"/>
    <w:rsid w:val="00C90BA8"/>
    <w:rsid w:val="00CA63A8"/>
    <w:rsid w:val="00CD646B"/>
    <w:rsid w:val="00D676A7"/>
    <w:rsid w:val="00E85DEE"/>
    <w:rsid w:val="00EA2739"/>
    <w:rsid w:val="00EB2AF3"/>
    <w:rsid w:val="00F020D9"/>
    <w:rsid w:val="00F31BFB"/>
    <w:rsid w:val="00F3739A"/>
    <w:rsid w:val="00F554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F1116B8"/>
  <w15:docId w15:val="{FC35E179-BB96-4864-91FC-EEDF83DF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85DEE"/>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C55D03"/>
    <w:pPr>
      <w:spacing w:line="240" w:lineRule="auto"/>
    </w:pPr>
    <w:rPr>
      <w:sz w:val="20"/>
      <w:szCs w:val="20"/>
    </w:rPr>
  </w:style>
  <w:style w:type="character" w:customStyle="1" w:styleId="CommentTextChar">
    <w:name w:val="Comment Text Char"/>
    <w:basedOn w:val="DefaultParagraphFont"/>
    <w:link w:val="CommentText"/>
    <w:uiPriority w:val="99"/>
    <w:rsid w:val="00C55D03"/>
    <w:rPr>
      <w:sz w:val="20"/>
      <w:szCs w:val="20"/>
    </w:rPr>
  </w:style>
  <w:style w:type="character" w:customStyle="1" w:styleId="BalloonTextChar">
    <w:name w:val="Balloon Text Char"/>
    <w:basedOn w:val="DefaultParagraphFont"/>
    <w:link w:val="BalloonText"/>
    <w:uiPriority w:val="99"/>
    <w:semiHidden/>
    <w:rsid w:val="00C55D03"/>
    <w:rPr>
      <w:rFonts w:ascii="Segoe UI" w:hAnsi="Segoe UI" w:cs="Segoe UI"/>
      <w:sz w:val="18"/>
      <w:szCs w:val="18"/>
    </w:rPr>
  </w:style>
  <w:style w:type="paragraph" w:styleId="BalloonText">
    <w:name w:val="Balloon Text"/>
    <w:basedOn w:val="Normal"/>
    <w:link w:val="BalloonTextChar"/>
    <w:uiPriority w:val="99"/>
    <w:semiHidden/>
    <w:unhideWhenUsed/>
    <w:rsid w:val="00C55D03"/>
    <w:pPr>
      <w:spacing w:after="0" w:line="240" w:lineRule="auto"/>
    </w:pPr>
    <w:rPr>
      <w:rFonts w:ascii="Segoe UI" w:hAnsi="Segoe UI" w:cs="Segoe UI"/>
      <w:sz w:val="18"/>
      <w:szCs w:val="18"/>
    </w:rPr>
  </w:style>
  <w:style w:type="character" w:customStyle="1" w:styleId="CommentSubjectChar">
    <w:name w:val="Comment Subject Char"/>
    <w:basedOn w:val="CommentTextChar"/>
    <w:link w:val="CommentSubject"/>
    <w:uiPriority w:val="99"/>
    <w:semiHidden/>
    <w:rsid w:val="00C55D03"/>
    <w:rPr>
      <w:b/>
      <w:bCs/>
      <w:sz w:val="20"/>
      <w:szCs w:val="20"/>
    </w:rPr>
  </w:style>
  <w:style w:type="paragraph" w:styleId="CommentSubject">
    <w:name w:val="annotation subject"/>
    <w:basedOn w:val="CommentText"/>
    <w:next w:val="CommentText"/>
    <w:link w:val="CommentSubjectChar"/>
    <w:uiPriority w:val="99"/>
    <w:semiHidden/>
    <w:unhideWhenUsed/>
    <w:rsid w:val="00C55D03"/>
    <w:rPr>
      <w:b/>
      <w:bCs/>
    </w:rPr>
  </w:style>
  <w:style w:type="paragraph" w:styleId="Header">
    <w:name w:val="header"/>
    <w:basedOn w:val="Normal"/>
    <w:link w:val="HeaderChar"/>
    <w:uiPriority w:val="99"/>
    <w:unhideWhenUsed/>
    <w:rsid w:val="00C55D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5D03"/>
  </w:style>
  <w:style w:type="paragraph" w:styleId="Footer">
    <w:name w:val="footer"/>
    <w:basedOn w:val="Normal"/>
    <w:link w:val="FooterChar"/>
    <w:uiPriority w:val="99"/>
    <w:unhideWhenUsed/>
    <w:rsid w:val="00C55D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5D03"/>
  </w:style>
  <w:style w:type="character" w:customStyle="1" w:styleId="HTMLPreformattedChar">
    <w:name w:val="HTML Preformatted Char"/>
    <w:basedOn w:val="DefaultParagraphFont"/>
    <w:link w:val="HTMLPreformatted"/>
    <w:uiPriority w:val="99"/>
    <w:semiHidden/>
    <w:rsid w:val="00C55D03"/>
    <w:rPr>
      <w:rFonts w:ascii="Courier New" w:eastAsia="Times New Roman" w:hAnsi="Courier New" w:cs="Courier New"/>
      <w:sz w:val="20"/>
      <w:szCs w:val="20"/>
      <w:lang w:eastAsia="en-GB"/>
    </w:rPr>
  </w:style>
  <w:style w:type="paragraph" w:styleId="HTMLPreformatted">
    <w:name w:val="HTML Preformatted"/>
    <w:basedOn w:val="Normal"/>
    <w:link w:val="HTMLPreformattedChar"/>
    <w:uiPriority w:val="99"/>
    <w:semiHidden/>
    <w:unhideWhenUsed/>
    <w:rsid w:val="00C55D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C55D03"/>
    <w:rPr>
      <w:color w:val="0000FF" w:themeColor="hyperlink"/>
      <w:u w:val="single"/>
    </w:rPr>
  </w:style>
  <w:style w:type="character" w:styleId="LineNumber">
    <w:name w:val="line number"/>
    <w:basedOn w:val="DefaultParagraphFont"/>
    <w:uiPriority w:val="99"/>
    <w:semiHidden/>
    <w:unhideWhenUsed/>
    <w:rsid w:val="00135054"/>
  </w:style>
  <w:style w:type="table" w:styleId="TableGrid">
    <w:name w:val="Table Grid"/>
    <w:basedOn w:val="TableNormal"/>
    <w:uiPriority w:val="39"/>
    <w:rsid w:val="002A07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andstats.wales.nhs.uk/page.cfm?orgid=869&amp;pid=40977" TargetMode="External"/><Relationship Id="rId3" Type="http://schemas.openxmlformats.org/officeDocument/2006/relationships/settings" Target="settings.xml"/><Relationship Id="rId7" Type="http://schemas.openxmlformats.org/officeDocument/2006/relationships/hyperlink" Target="https://dataaccessrequest.hscic.gov.uk/"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AD738-DD86-4AF5-8E34-E767ECD7A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24296</Words>
  <Characters>138492</Characters>
  <Application>Microsoft Office Word</Application>
  <DocSecurity>0</DocSecurity>
  <Lines>1154</Lines>
  <Paragraphs>324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dc:creator>
  <cp:lastModifiedBy>John Tulloch</cp:lastModifiedBy>
  <cp:revision>4</cp:revision>
  <dcterms:created xsi:type="dcterms:W3CDTF">2019-05-23T14:40:00Z</dcterms:created>
  <dcterms:modified xsi:type="dcterms:W3CDTF">2019-05-28T08:39:00Z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http://www.zotero.org/styles/clinical-infectious-diseases</vt:lpwstr>
  </property>
  <property fmtid="{D5CDD505-2E9C-101B-9397-08002B2CF9AE}" pid="11" name="Mendeley Recent Style Name 4_1">
    <vt:lpwstr>Clinical Infectious Diseases</vt:lpwstr>
  </property>
  <property fmtid="{D5CDD505-2E9C-101B-9397-08002B2CF9AE}" pid="12" name="Mendeley Recent Style Id 5_1">
    <vt:lpwstr>http://www.zotero.org/styles/emerging-infectious-diseases</vt:lpwstr>
  </property>
  <property fmtid="{D5CDD505-2E9C-101B-9397-08002B2CF9AE}" pid="13" name="Mendeley Recent Style Name 5_1">
    <vt:lpwstr>Emerging Infectious Diseases</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http://www.zotero.org/styles/journal-of-biomedical-informatics</vt:lpwstr>
  </property>
  <property fmtid="{D5CDD505-2E9C-101B-9397-08002B2CF9AE}" pid="17" name="Mendeley Recent Style Name 7_1">
    <vt:lpwstr>Journal of Biomedical Informatics</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2831b07d-3915-321e-b60f-be08efeaa05e</vt:lpwstr>
  </property>
  <property fmtid="{D5CDD505-2E9C-101B-9397-08002B2CF9AE}" pid="24" name="Mendeley Citation Style_1">
    <vt:lpwstr>http://www.zotero.org/styles/vancouver</vt:lpwstr>
  </property>
</Properties>
</file>