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31" w:rsidRPr="001528FA" w:rsidRDefault="00F74F31" w:rsidP="00337C0C">
      <w:pPr>
        <w:pStyle w:val="EndNoteBibliography"/>
        <w:numPr>
          <w:ilvl w:val="0"/>
          <w:numId w:val="0"/>
        </w:numPr>
        <w:spacing w:after="0"/>
        <w:ind w:left="720" w:hanging="360"/>
      </w:pPr>
    </w:p>
    <w:p w:rsidR="00F74F31" w:rsidRPr="001528FA" w:rsidRDefault="00F74F31" w:rsidP="00337C0C">
      <w:pPr>
        <w:rPr>
          <w:rFonts w:ascii="Calibri" w:hAnsi="Calibri"/>
          <w:noProof/>
          <w:lang w:val="en-US"/>
        </w:rPr>
      </w:pPr>
    </w:p>
    <w:p w:rsidR="00F74F31" w:rsidRPr="001528FA" w:rsidRDefault="00F74F31" w:rsidP="00337C0C">
      <w:pPr>
        <w:pStyle w:val="EndNoteBibliography"/>
        <w:numPr>
          <w:ilvl w:val="0"/>
          <w:numId w:val="0"/>
        </w:numPr>
        <w:ind w:left="720" w:hanging="360"/>
        <w:jc w:val="center"/>
      </w:pPr>
    </w:p>
    <w:p w:rsidR="00F74F31" w:rsidRPr="001528FA" w:rsidRDefault="00F74F31" w:rsidP="00337C0C">
      <w:pPr>
        <w:pStyle w:val="EndNoteBibliography"/>
        <w:numPr>
          <w:ilvl w:val="0"/>
          <w:numId w:val="0"/>
        </w:numPr>
        <w:ind w:left="720" w:hanging="360"/>
        <w:jc w:val="center"/>
      </w:pPr>
      <w:r w:rsidRPr="001528FA">
        <w:t>Supplementary material</w:t>
      </w:r>
    </w:p>
    <w:p w:rsidR="00F74F31" w:rsidRPr="00924B33" w:rsidRDefault="00F74F31" w:rsidP="00337C0C">
      <w:pPr>
        <w:rPr>
          <w:rFonts w:ascii="Calibri" w:hAnsi="Calibri"/>
          <w:noProof/>
          <w:lang w:val="en-US"/>
        </w:rPr>
      </w:pPr>
      <w:r w:rsidRPr="001528FA">
        <w:br w:type="page"/>
      </w:r>
    </w:p>
    <w:p w:rsidR="00F74F31" w:rsidRDefault="00F74F31" w:rsidP="00337C0C">
      <w:pPr>
        <w:jc w:val="center"/>
        <w:rPr>
          <w:rFonts w:ascii="Arial" w:hAnsi="Arial" w:cs="Arial"/>
          <w:b/>
        </w:rPr>
        <w:sectPr w:rsidR="00F74F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74F31" w:rsidRPr="001528FA" w:rsidRDefault="00337C0C" w:rsidP="00337C0C">
      <w:pPr>
        <w:jc w:val="center"/>
      </w:pPr>
      <w:r>
        <w:rPr>
          <w:rFonts w:ascii="Arial" w:hAnsi="Arial" w:cs="Arial"/>
          <w:b/>
        </w:rPr>
        <w:lastRenderedPageBreak/>
        <w:t>Fig. S1</w:t>
      </w:r>
      <w:r w:rsidR="00F74F31" w:rsidRPr="001528FA">
        <w:rPr>
          <w:rFonts w:ascii="Arial" w:hAnsi="Arial" w:cs="Arial"/>
          <w:b/>
        </w:rPr>
        <w:t>.</w:t>
      </w:r>
      <w:r w:rsidR="00F74F31" w:rsidRPr="001528FA">
        <w:rPr>
          <w:rFonts w:ascii="Arial" w:hAnsi="Arial" w:cs="Arial"/>
        </w:rPr>
        <w:t xml:space="preserve"> Screening of convalescent blood donors for anti-HEV IgG and HEV-Ag neutralising antibodies</w:t>
      </w:r>
      <w:r w:rsidR="00F74F31" w:rsidRPr="001528FA">
        <w:t>.</w:t>
      </w:r>
    </w:p>
    <w:p w:rsidR="00F74F31" w:rsidRPr="001528FA" w:rsidRDefault="00F74F31" w:rsidP="00337C0C">
      <w:pPr>
        <w:jc w:val="center"/>
      </w:pPr>
      <w:r w:rsidRPr="00B4182F">
        <w:rPr>
          <w:rFonts w:ascii="Calibri" w:eastAsia="Times New Roman" w:hAnsi="Calibri"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7BD8E" wp14:editId="070FD9CA">
                <wp:simplePos x="0" y="0"/>
                <wp:positionH relativeFrom="column">
                  <wp:posOffset>4629150</wp:posOffset>
                </wp:positionH>
                <wp:positionV relativeFrom="paragraph">
                  <wp:posOffset>132080</wp:posOffset>
                </wp:positionV>
                <wp:extent cx="438150" cy="54800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48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0C" w:rsidRPr="00B4182F" w:rsidRDefault="00337C0C" w:rsidP="00337C0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10.4pt;width:34.5pt;height:4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oVxgoCAADxAwAADgAAAGRycy9lMm9Eb2MueG1srFPbjtsgEH2v1H9AvDd2snGbtUJW292mqrS9&#10;SLv9AIxxjAoMBRI7/foOOJuN2reqPCBgZs7MOTOsb0ajyUH6oMAyOp+VlEgroFV2x+j3p+2bFSUh&#10;cttyDVYyepSB3mxev1oPrpYL6EG30hMEsaEeHKN9jK4uiiB6aXiYgZMWjR14wyNe/a5oPR8Q3ehi&#10;UZZviwF86zwIGQK+3k9Gusn4XSdF/Np1QUaiGcXaYt593pu0F5s1r3eeu16JUxn8H6owXFlMeoa6&#10;55GTvVd/QRklPATo4kyAKaDrlJCZA7KZl3+weey5k5kLihPcWabw/2DFl8M3T1TL6BUllhts0ZMc&#10;I3kPI1kkdQYXanR6dOgWR3zGLmemwT2A+BGIhbue25289R6GXvIWq5unyOIidMIJCaQZPkOLafg+&#10;QgYaO2+SdCgGQXTs0vHcmVSKwMfl1WpeoUWgqVquyrLKGXj9HOx8iB8lGJIOjHpsfAbnh4cQUzG8&#10;fnZJuSxslda5+dqSgdHralHlgAuLURFnUyvDKGbENU1L4vjBtjk4cqWnMybQ9kQ68ZwYx7EZ0TEp&#10;0UB7RPoephnEP4OHHvwvSgacP0bDzz33khL9yaKE1/PlMg1sviyrdwu8+EtLc2nhViAUo5GS6XgX&#10;85AnrsHdotRblWV4qeRUK85VVuf0B9LgXt6z18tP3fwGAAD//wMAUEsDBBQABgAIAAAAIQAG2UTF&#10;3QAAAAoBAAAPAAAAZHJzL2Rvd25yZXYueG1sTI/BTsMwDIbvSLxDZCRuLFkPdCtNpwlt4whsFees&#10;MW1F41RJ1pW3x5zgaPvT7+8vN7MbxIQh9p40LBcKBFLjbU+thvq0f1iBiMmQNYMn1PCNETbV7U1p&#10;Cuuv9I7TMbWCQygWRkOX0lhIGZsOnYkLPyLx7dMHZxKPoZU2mCuHu0FmSj1KZ3riD50Z8bnD5ut4&#10;cRrGNB7yl/D6tt3tJ1V/HOqsb3da39/N2ycQCef0B8OvPqtDxU5nfyEbxaAhz9bcJWnIFFdgIF+v&#10;eHFmUuVLkFUp/1eofgAAAP//AwBQSwECLQAUAAYACAAAACEA5JnDwPsAAADhAQAAEwAAAAAAAAAA&#10;AAAAAAAAAAAAW0NvbnRlbnRfVHlwZXNdLnhtbFBLAQItABQABgAIAAAAIQAjsmrh1wAAAJQBAAAL&#10;AAAAAAAAAAAAAAAAACwBAABfcmVscy8ucmVsc1BLAQItABQABgAIAAAAIQBhKhXGCgIAAPEDAAAO&#10;AAAAAAAAAAAAAAAAACwCAABkcnMvZTJvRG9jLnhtbFBLAQItABQABgAIAAAAIQAG2UTF3QAAAAoB&#10;AAAPAAAAAAAAAAAAAAAAAGIEAABkcnMvZG93bnJldi54bWxQSwUGAAAAAAQABADzAAAAbAUAAAAA&#10;" filled="f" stroked="f">
                <v:textbox style="mso-fit-shape-to-text:t">
                  <w:txbxContent>
                    <w:p w:rsidR="00337C0C" w:rsidRPr="00B4182F" w:rsidRDefault="00337C0C" w:rsidP="00337C0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Pr="00B4182F">
        <w:rPr>
          <w:rFonts w:ascii="Calibri" w:eastAsia="Times New Roman" w:hAnsi="Calibri"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2CEC3" wp14:editId="0062C10C">
                <wp:simplePos x="0" y="0"/>
                <wp:positionH relativeFrom="column">
                  <wp:posOffset>143053</wp:posOffset>
                </wp:positionH>
                <wp:positionV relativeFrom="paragraph">
                  <wp:posOffset>122555</wp:posOffset>
                </wp:positionV>
                <wp:extent cx="438150" cy="548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48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0C" w:rsidRPr="00B4182F" w:rsidRDefault="00337C0C" w:rsidP="00337C0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25pt;margin-top:9.65pt;width:34.5pt;height:43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HWMAsCAAD4AwAADgAAAGRycy9lMm9Eb2MueG1srFPbbtswDH0fsH8Q9L7YyZItNeIUXbsMA7oL&#10;0O4DGFmOhUmiJimxs68vJadpsL0N04MgieQhzyG1uh6MZgfpg0Jb8+mk5ExagY2yu5r/eNy8WXIW&#10;ItgGNFpZ86MM/Hr9+tWqd5WcYYe6kZ4RiA1V72rexeiqogiikwbCBJ20ZGzRG4h09bui8dATutHF&#10;rCzfFT36xnkUMgR6vRuNfJ3x21aK+K1tg4xM15xqi3n3ed+mvVivoNp5cJ0SpzLgH6owoCwlPUPd&#10;QQS29+ovKKOEx4BtnAg0BbatEjJzIDbT8g82Dx04mbmQOMGdZQr/D1Z8PXz3TDXUO84sGGrRoxwi&#10;+4ADmyV1ehcqcnpw5BYHek6eiWlw9yh+BmbxtgO7kzfeY99JaKi6aYosLkJHnJBAtv0XbCgN7CNm&#10;oKH1JgGSGIzQqUvHc2dSKYIe52+X0wVZBJkW82VZLnIGqJ6DnQ/xk0TD0qHmnhqfweFwH2IqBqpn&#10;l5TL4kZpnZuvLetrfrWYLXLAhcWoSLOplak5ZaQ1Tkvi+NE2OTiC0uOZEmh7Ip14jozjsB1O6pJ/&#10;EmSLzZFU8DiOIn0dOnTof3PW0xjWPPzag5ec6c+WlLyazudpbvNlvng/o4u/tGwvLWAFQdU8cjYe&#10;b2Oe9bFfN6T4RmU1Xio5lUzjlUU6fYU0v5f37PXyYddPAAAA//8DAFBLAwQUAAYACAAAACEAVCIp&#10;UtwAAAAIAQAADwAAAGRycy9kb3ducmV2LnhtbEyPwU7DMBBE70j8g7VI3KjdoBYa4lQVasuRUiLO&#10;brwkEfHait00/D3LCY5vZzQ7U6wn14sRh9h50jCfKRBItbcdNRqq993dI4iYDFnTe0IN3xhhXV5f&#10;FSa3/kJvOB5TIziEYm40tCmFXMpYt+hMnPmAxNqnH5xJjEMj7WAuHO56mSm1lM50xB9aE/C5xfrr&#10;eHYaQgr7h5fh9bDZ7kZVfeyrrGu2Wt/eTJsnEAmn9GeG3/pcHUrudPJnslH0GrJswU6+r+5BsL6a&#10;M5+Y1WIJsizk/wHlDwAAAP//AwBQSwECLQAUAAYACAAAACEA5JnDwPsAAADhAQAAEwAAAAAAAAAA&#10;AAAAAAAAAAAAW0NvbnRlbnRfVHlwZXNdLnhtbFBLAQItABQABgAIAAAAIQAjsmrh1wAAAJQBAAAL&#10;AAAAAAAAAAAAAAAAACwBAABfcmVscy8ucmVsc1BLAQItABQABgAIAAAAIQDSYdYwCwIAAPgDAAAO&#10;AAAAAAAAAAAAAAAAACwCAABkcnMvZTJvRG9jLnhtbFBLAQItABQABgAIAAAAIQBUIilS3AAAAAgB&#10;AAAPAAAAAAAAAAAAAAAAAGMEAABkcnMvZG93bnJldi54bWxQSwUGAAAAAAQABADzAAAAbAUAAAAA&#10;" filled="f" stroked="f">
                <v:textbox style="mso-fit-shape-to-text:t">
                  <w:txbxContent>
                    <w:p w:rsidR="00337C0C" w:rsidRPr="00B4182F" w:rsidRDefault="00337C0C" w:rsidP="00337C0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B4182F">
        <w:rPr>
          <w:rFonts w:ascii="Calibri" w:eastAsia="Times New Roman" w:hAnsi="Calibri"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4914B" wp14:editId="4996E355">
                <wp:simplePos x="0" y="0"/>
                <wp:positionH relativeFrom="column">
                  <wp:posOffset>-4231411</wp:posOffset>
                </wp:positionH>
                <wp:positionV relativeFrom="paragraph">
                  <wp:posOffset>130327</wp:posOffset>
                </wp:positionV>
                <wp:extent cx="446227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0C" w:rsidRPr="00B4182F" w:rsidRDefault="00337C0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3.15pt;margin-top:10.25pt;width:35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MhZA8CAAD7AwAADgAAAGRycy9lMm9Eb2MueG1srFNdb9sgFH2ftP+AeF/suE6bWCFV167TpO5D&#10;avcDCMYxGnAZkNjdr+8Fp1m0vU3zgwVc7rnnnHtZX49Gk4P0QYFldD4rKZFWQKvsjtHvT/fvlpSE&#10;yG3LNVjJ6LMM9Hrz9s16cI2soAfdSk8QxIZmcIz2MbqmKILopeFhBk5aDHbgDY+49bui9XxAdKOL&#10;qiwviwF86zwIGQKe3k1Busn4XSdF/Np1QUaiGUVuMf99/m/Tv9isebPz3PVKHGnwf2BhuLJY9AR1&#10;xyMne6/+gjJKeAjQxZkAU0DXKSGzBlQzL/9Q89hzJ7MWNCe4k03h/8GKL4dvnqiW0YvyihLLDTbp&#10;SY6RvIeRVMmfwYUGrz06vBhHPMY+Z63BPYD4EYiF257bnbzxHoZe8hb5zVNmcZY64YQEsh0+Q4tl&#10;+D5CBho7b5J5aAdBdOzT86k3iYrAw7q+rCpkKDA0r8uL1XKRS/DmNdv5ED9KMCQtGPXY+4zODw8h&#10;Jja8eb2Silm4V1rn/mtLBkZXi2qRE84iRkUcT60Mo8syfdPAJJEfbJuTI1d6WmMBbY+qk9BJchy3&#10;Yzb4ZOYW2me0wcM0jfh6cNGD/0XJgJPIaPi5515Soj9ZtHI1r+s0unlTL64q3PjzyPY8wq1AKEYj&#10;JdPyNuZxnyTfoOWdym6k3kxMjpRxwrJJx9eQRvh8n2/9frObFwAAAP//AwBQSwMEFAAGAAgAAAAh&#10;AD1qbHbhAAAADAEAAA8AAABkcnMvZG93bnJldi54bWxMj8FOg0AQhu8mvsNmTLwYuoCyqcjSGNPa&#10;mJ6sjecprEDKzhJ2S/HtHU96nJkv/3x/sZptLyYz+s6RhmQRgzBUubqjRsPhYxMtQfiAVGPvyGj4&#10;Nh5W5fVVgXntLvRupn1oBIeQz1FDG8KQS+mr1lj0CzcY4tuXGy0GHsdG1iNeONz2Mo1jJS12xB9a&#10;HMxLa6rT/mw1hHXymm3d7rS7+8TtJrxNPl1LrW9v5ucnEMHM4Q+GX31Wh5Kdju5MtRe9hkgpdc+s&#10;hjTOQDARZY+K6x1585AokGUh/5cofwAAAP//AwBQSwECLQAUAAYACAAAACEA5JnDwPsAAADhAQAA&#10;EwAAAAAAAAAAAAAAAAAAAAAAW0NvbnRlbnRfVHlwZXNdLnhtbFBLAQItABQABgAIAAAAIQAjsmrh&#10;1wAAAJQBAAALAAAAAAAAAAAAAAAAACwBAABfcmVscy8ucmVsc1BLAQItABQABgAIAAAAIQDmgyFk&#10;DwIAAPsDAAAOAAAAAAAAAAAAAAAAACwCAABkcnMvZTJvRG9jLnhtbFBLAQItABQABgAIAAAAIQA9&#10;amx24QAAAAwBAAAPAAAAAAAAAAAAAAAAAGcEAABkcnMvZG93bnJldi54bWxQSwUGAAAAAAQABADz&#10;AAAAdQUAAAAA&#10;" filled="f" stroked="f">
                <v:textbox>
                  <w:txbxContent>
                    <w:p w:rsidR="00337C0C" w:rsidRPr="00B4182F" w:rsidRDefault="00337C0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9373" w:tblpY="3841"/>
        <w:tblW w:w="5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"/>
        <w:gridCol w:w="1500"/>
        <w:gridCol w:w="1497"/>
        <w:gridCol w:w="1560"/>
      </w:tblGrid>
      <w:tr w:rsidR="00F74F31" w:rsidRPr="001528FA" w:rsidTr="00337C0C">
        <w:trPr>
          <w:trHeight w:val="1455"/>
        </w:trPr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Donor</w:t>
            </w:r>
          </w:p>
        </w:tc>
        <w:tc>
          <w:tcPr>
            <w:tcW w:w="15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No. of days since HEV RNA positive sample</w:t>
            </w:r>
          </w:p>
        </w:tc>
        <w:tc>
          <w:tcPr>
            <w:tcW w:w="1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74F31" w:rsidRPr="001528FA" w:rsidRDefault="00A27CB2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  <w:r w:rsidR="00F74F31"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uantification of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anti-HEV </w:t>
            </w:r>
            <w:proofErr w:type="spellStart"/>
            <w:r w:rsidR="00F74F31"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IgG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(WHO units</w:t>
            </w:r>
            <w:r w:rsidR="00F74F31"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/ml)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% HEV-Ag neutralisation of diluted sample</w:t>
            </w:r>
            <w:r w:rsidRPr="001528F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F74F31" w:rsidRPr="001528FA" w:rsidTr="00337C0C">
        <w:trPr>
          <w:trHeight w:hRule="exact" w:val="284"/>
        </w:trPr>
        <w:tc>
          <w:tcPr>
            <w:tcW w:w="960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500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465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13.9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80.84</w:t>
            </w:r>
          </w:p>
        </w:tc>
      </w:tr>
      <w:tr w:rsidR="00F74F31" w:rsidRPr="001528FA" w:rsidTr="00337C0C">
        <w:trPr>
          <w:trHeight w:hRule="exact" w:val="284"/>
        </w:trPr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10.3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82.38</w:t>
            </w:r>
          </w:p>
        </w:tc>
      </w:tr>
      <w:tr w:rsidR="00F74F31" w:rsidRPr="001528FA" w:rsidTr="00337C0C">
        <w:trPr>
          <w:trHeight w:hRule="exact" w:val="284"/>
        </w:trPr>
        <w:tc>
          <w:tcPr>
            <w:tcW w:w="960" w:type="dxa"/>
            <w:tcBorders>
              <w:left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500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465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hAnsi="Calibri"/>
                <w:color w:val="000000"/>
              </w:rPr>
              <w:t>10.5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101.0</w:t>
            </w:r>
          </w:p>
        </w:tc>
      </w:tr>
      <w:tr w:rsidR="00F74F31" w:rsidRPr="001528FA" w:rsidTr="00337C0C">
        <w:trPr>
          <w:trHeight w:hRule="exact" w:val="284"/>
        </w:trPr>
        <w:tc>
          <w:tcPr>
            <w:tcW w:w="960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hAnsi="Calibri"/>
                <w:color w:val="000000"/>
              </w:rPr>
              <w:t>30.7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74F31" w:rsidRPr="001528FA" w:rsidRDefault="00F74F31" w:rsidP="0033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8FA">
              <w:rPr>
                <w:rFonts w:ascii="Calibri" w:eastAsia="Times New Roman" w:hAnsi="Calibri" w:cs="Times New Roman"/>
                <w:color w:val="000000"/>
                <w:lang w:eastAsia="en-GB"/>
              </w:rPr>
              <w:t>94.66</w:t>
            </w:r>
          </w:p>
        </w:tc>
      </w:tr>
    </w:tbl>
    <w:p w:rsidR="00F74F31" w:rsidRPr="001528FA" w:rsidRDefault="00A27CB2" w:rsidP="00337C0C">
      <w:r w:rsidRPr="00A27CB2">
        <w:drawing>
          <wp:anchor distT="0" distB="0" distL="114300" distR="114300" simplePos="0" relativeHeight="251664384" behindDoc="0" locked="0" layoutInCell="1" allowOverlap="1" wp14:anchorId="672CBBD3" wp14:editId="3A2E7EA5">
            <wp:simplePos x="0" y="0"/>
            <wp:positionH relativeFrom="column">
              <wp:posOffset>114300</wp:posOffset>
            </wp:positionH>
            <wp:positionV relativeFrom="paragraph">
              <wp:posOffset>267970</wp:posOffset>
            </wp:positionV>
            <wp:extent cx="4660900" cy="2800350"/>
            <wp:effectExtent l="0" t="0" r="12700" b="0"/>
            <wp:wrapTight wrapText="bothSides">
              <wp:wrapPolygon edited="0">
                <wp:start x="0" y="0"/>
                <wp:lineTo x="0" y="21355"/>
                <wp:lineTo x="21541" y="21355"/>
                <wp:lineTo x="215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9-05-22 06.33.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2800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F31" w:rsidRPr="001528FA" w:rsidRDefault="00F74F31" w:rsidP="00337C0C"/>
    <w:p w:rsidR="00F74F31" w:rsidRPr="001528FA" w:rsidRDefault="00F74F31" w:rsidP="00337C0C">
      <w:pPr>
        <w:jc w:val="center"/>
      </w:pPr>
    </w:p>
    <w:p w:rsidR="00F74F31" w:rsidRDefault="00F74F31" w:rsidP="00337C0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74F31" w:rsidRDefault="00F74F31" w:rsidP="00337C0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74F31" w:rsidRDefault="00F74F31" w:rsidP="00337C0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74F31" w:rsidRDefault="00F74F31" w:rsidP="00337C0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74F31" w:rsidRDefault="00F74F31" w:rsidP="00337C0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70FB8" w:rsidRDefault="00970FB8" w:rsidP="00970FB8">
      <w:pPr>
        <w:rPr>
          <w:b/>
        </w:rPr>
      </w:pPr>
    </w:p>
    <w:p w:rsidR="00970FB8" w:rsidRDefault="00970FB8" w:rsidP="00970FB8">
      <w:pPr>
        <w:rPr>
          <w:b/>
        </w:rPr>
      </w:pPr>
    </w:p>
    <w:p w:rsidR="00970FB8" w:rsidRDefault="00970FB8" w:rsidP="00970FB8">
      <w:pPr>
        <w:rPr>
          <w:b/>
        </w:rPr>
      </w:pPr>
    </w:p>
    <w:p w:rsidR="00970FB8" w:rsidRDefault="00970FB8" w:rsidP="00970FB8">
      <w:pPr>
        <w:rPr>
          <w:b/>
        </w:rPr>
      </w:pPr>
    </w:p>
    <w:p w:rsidR="00970FB8" w:rsidRDefault="00970FB8" w:rsidP="00970FB8">
      <w:pPr>
        <w:rPr>
          <w:b/>
        </w:rPr>
      </w:pPr>
    </w:p>
    <w:p w:rsidR="00970FB8" w:rsidRPr="00970FB8" w:rsidRDefault="00337C0C" w:rsidP="00970FB8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Legend to Fig.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S1.</w:t>
      </w:r>
      <w:r w:rsidR="00970FB8" w:rsidRPr="00970FB8">
        <w:rPr>
          <w:rFonts w:ascii="Arial" w:hAnsi="Arial" w:cs="Arial"/>
          <w:sz w:val="24"/>
          <w:szCs w:val="24"/>
        </w:rPr>
        <w:t xml:space="preserve"> (a) </w:t>
      </w:r>
      <w:r w:rsidR="00F74F31" w:rsidRPr="00970FB8">
        <w:rPr>
          <w:rFonts w:ascii="Arial" w:hAnsi="Arial" w:cs="Arial"/>
          <w:sz w:val="24"/>
          <w:szCs w:val="24"/>
        </w:rPr>
        <w:t>Plasma samples from the four</w:t>
      </w:r>
      <w:r w:rsidR="00A27CB2">
        <w:rPr>
          <w:rFonts w:ascii="Arial" w:hAnsi="Arial" w:cs="Arial"/>
          <w:sz w:val="24"/>
          <w:szCs w:val="24"/>
        </w:rPr>
        <w:t xml:space="preserve"> blood donors (A-D) were tested</w:t>
      </w:r>
      <w:r w:rsidR="00F74F31" w:rsidRPr="00970FB8">
        <w:rPr>
          <w:rFonts w:ascii="Arial" w:hAnsi="Arial" w:cs="Arial"/>
          <w:sz w:val="24"/>
          <w:szCs w:val="24"/>
        </w:rPr>
        <w:t xml:space="preserve"> in a dilution series in parallel </w:t>
      </w:r>
      <w:r w:rsidR="00970FB8" w:rsidRPr="00970FB8">
        <w:rPr>
          <w:rFonts w:ascii="Arial" w:hAnsi="Arial" w:cs="Arial"/>
          <w:sz w:val="24"/>
          <w:szCs w:val="24"/>
        </w:rPr>
        <w:t>with the WHO reference</w:t>
      </w:r>
      <w:r w:rsidR="00A27CB2">
        <w:rPr>
          <w:rFonts w:ascii="Arial" w:hAnsi="Arial" w:cs="Arial"/>
          <w:sz w:val="24"/>
          <w:szCs w:val="24"/>
        </w:rPr>
        <w:t xml:space="preserve"> standard (NIBSC code: 95/584) </w:t>
      </w:r>
      <w:r w:rsidR="00F74F31" w:rsidRPr="00970FB8">
        <w:rPr>
          <w:rFonts w:ascii="Arial" w:hAnsi="Arial" w:cs="Arial"/>
          <w:sz w:val="24"/>
          <w:szCs w:val="24"/>
        </w:rPr>
        <w:t>for anti-HEV IgG (Fortress Diagnostics, Antrim, Northern Ireland, UK)</w:t>
      </w:r>
      <w:r w:rsidR="00970FB8" w:rsidRPr="00970FB8">
        <w:rPr>
          <w:rFonts w:ascii="Arial" w:hAnsi="Arial" w:cs="Arial"/>
          <w:sz w:val="24"/>
          <w:szCs w:val="24"/>
        </w:rPr>
        <w:t>.</w:t>
      </w:r>
      <w:r w:rsidR="00F74F31" w:rsidRPr="00970FB8">
        <w:rPr>
          <w:rFonts w:ascii="Arial" w:hAnsi="Arial" w:cs="Arial"/>
          <w:sz w:val="24"/>
          <w:szCs w:val="24"/>
        </w:rPr>
        <w:t xml:space="preserve"> The raw optical density (OD) values of the WHO standard were used to generate a smoothed sigmoid curve and patient samples were ascribed a WHO </w:t>
      </w:r>
      <w:proofErr w:type="spellStart"/>
      <w:r w:rsidR="00F74F31" w:rsidRPr="00970FB8">
        <w:rPr>
          <w:rFonts w:ascii="Arial" w:hAnsi="Arial" w:cs="Arial"/>
          <w:sz w:val="24"/>
          <w:szCs w:val="24"/>
        </w:rPr>
        <w:t>unitage</w:t>
      </w:r>
      <w:proofErr w:type="spellEnd"/>
      <w:r w:rsidR="00F74F31" w:rsidRPr="00970FB8">
        <w:rPr>
          <w:rFonts w:ascii="Arial" w:hAnsi="Arial" w:cs="Arial"/>
          <w:sz w:val="24"/>
          <w:szCs w:val="24"/>
        </w:rPr>
        <w:t xml:space="preserve"> (WHO units/ml</w:t>
      </w:r>
      <w:r w:rsidR="00A27CB2">
        <w:rPr>
          <w:rFonts w:ascii="Arial" w:hAnsi="Arial" w:cs="Arial"/>
          <w:sz w:val="24"/>
          <w:szCs w:val="24"/>
        </w:rPr>
        <w:t>, Wu/ml</w:t>
      </w:r>
      <w:r w:rsidR="00F74F31" w:rsidRPr="00970FB8">
        <w:rPr>
          <w:rFonts w:ascii="Arial" w:hAnsi="Arial" w:cs="Arial"/>
          <w:sz w:val="24"/>
          <w:szCs w:val="24"/>
        </w:rPr>
        <w:t xml:space="preserve">) based on the OD values compared to the linear section of the sigmoid curve (not shown).  </w:t>
      </w:r>
      <w:r w:rsidR="00970FB8" w:rsidRPr="00970FB8">
        <w:rPr>
          <w:rFonts w:ascii="Arial" w:hAnsi="Arial" w:cs="Arial"/>
          <w:sz w:val="24"/>
          <w:szCs w:val="24"/>
        </w:rPr>
        <w:t xml:space="preserve">(b) </w:t>
      </w:r>
      <w:r w:rsidR="00F74F31" w:rsidRPr="00970FB8">
        <w:rPr>
          <w:rFonts w:ascii="Arial" w:hAnsi="Arial" w:cs="Arial"/>
          <w:sz w:val="24"/>
          <w:szCs w:val="24"/>
        </w:rPr>
        <w:t>Plasma samples were also tested for the presence of antibodies capable of binding HEV-Ag and preventing reactivity in the ELISA, termed HEV-Ag neutralisation using a previously published method</w:t>
      </w:r>
      <w:r w:rsidR="00970FB8" w:rsidRPr="00970FB8">
        <w:rPr>
          <w:rFonts w:ascii="Arial" w:hAnsi="Arial" w:cs="Arial"/>
          <w:sz w:val="24"/>
          <w:szCs w:val="24"/>
        </w:rPr>
        <w:t xml:space="preserve"> </w:t>
      </w:r>
      <w:r w:rsidR="00970FB8" w:rsidRPr="00970FB8">
        <w:rPr>
          <w:rFonts w:ascii="Arial" w:hAnsi="Arial" w:cs="Arial"/>
          <w:sz w:val="24"/>
          <w:szCs w:val="24"/>
        </w:rPr>
        <w:fldChar w:fldCharType="begin"/>
      </w:r>
      <w:r w:rsidR="00970FB8" w:rsidRPr="00970FB8">
        <w:rPr>
          <w:rFonts w:ascii="Arial" w:hAnsi="Arial" w:cs="Arial"/>
          <w:sz w:val="24"/>
          <w:szCs w:val="24"/>
        </w:rPr>
        <w:instrText xml:space="preserve"> ADDIN EN.CITE &lt;EndNote&gt;&lt;Cite&gt;&lt;Author&gt;Ankcorn&lt;/Author&gt;&lt;Year&gt;2018&lt;/Year&gt;&lt;RecNum&gt;3576&lt;/RecNum&gt;&lt;DisplayText&gt;[1]&lt;/DisplayText&gt;&lt;record&gt;&lt;rec-number&gt;3576&lt;/rec-number&gt;&lt;foreign-keys&gt;&lt;key app="EN" db-id="95twwexf5arvzlex52rvfrvdapf0p2pvwd2p" timestamp="1511253699"&gt;3576&lt;/key&gt;&lt;/foreign-keys&gt;&lt;ref-type name="Journal Article"&gt;17&lt;/ref-type&gt;&lt;contributors&gt;&lt;authors&gt;&lt;author&gt;Ankcorn, M. J.&lt;/author&gt;&lt;author&gt;Ijaz, S.&lt;/author&gt;&lt;author&gt;Haywood, B.&lt;/author&gt;&lt;author&gt;Neuberger, J.&lt;/author&gt;&lt;author&gt;Elsharkawy, A. M.&lt;/author&gt;&lt;author&gt;Maggs, J.&lt;/author&gt;&lt;author&gt;Tedder, R. S.&lt;/author&gt;&lt;/authors&gt;&lt;/contributors&gt;&lt;titles&gt;&lt;title&gt;Confirmation of specificity of reactivity in a solid phase ELISA for the detection of hepatitis E viral antigen improves utility of the assay&lt;/title&gt;&lt;secondary-title&gt;Journal of Virological Methods&lt;/secondary-title&gt;&lt;/titles&gt;&lt;periodical&gt;&lt;full-title&gt;Journal of Virological Methods&lt;/full-title&gt;&lt;/periodical&gt;&lt;pages&gt;42-48&lt;/pages&gt;&lt;volume&gt;252&lt;/volume&gt;&lt;keywords&gt;&lt;keyword&gt;Hepatitis E virus&lt;/keyword&gt;&lt;keyword&gt;Antigens&lt;/keyword&gt;&lt;keyword&gt;Neutralisation&lt;/keyword&gt;&lt;keyword&gt;Chronic infection&lt;/keyword&gt;&lt;/keywords&gt;&lt;dates&gt;&lt;year&gt;2018&lt;/year&gt;&lt;pub-dates&gt;&lt;date&gt;2//&lt;/date&gt;&lt;/pub-dates&gt;&lt;/dates&gt;&lt;isbn&gt;0166-0934&lt;/isbn&gt;&lt;urls&gt;&lt;related-urls&gt;&lt;url&gt;https://www.sciencedirect.com/science/article/pii/S0166093417306213&lt;/url&gt;&lt;url&gt;https://www.sciencedirect.com/science/article/pii/S0166093417306213?via%3Dihub&lt;/url&gt;&lt;url&gt;https://ac.els-cdn.com/S0166093417306213/1-s2.0-S0166093417306213-main.pdf?_tid=b2aa9993-3f70-4ef9-bdb1-4671a3efb872&amp;amp;acdnat=1535632923_385af348809a0f245b7ad836a4d82682&lt;/url&gt;&lt;/related-urls&gt;&lt;/urls&gt;&lt;electronic-resource-num&gt;https://doi.org/10.1016/j.jviromet.2017.11.007&lt;/electronic-resource-num&gt;&lt;/record&gt;&lt;/Cite&gt;&lt;/EndNote&gt;</w:instrText>
      </w:r>
      <w:r w:rsidR="00970FB8" w:rsidRPr="00970FB8">
        <w:rPr>
          <w:rFonts w:ascii="Arial" w:hAnsi="Arial" w:cs="Arial"/>
          <w:sz w:val="24"/>
          <w:szCs w:val="24"/>
        </w:rPr>
        <w:fldChar w:fldCharType="separate"/>
      </w:r>
      <w:r w:rsidR="00970FB8" w:rsidRPr="00970FB8">
        <w:rPr>
          <w:rFonts w:ascii="Arial" w:hAnsi="Arial" w:cs="Arial"/>
          <w:noProof/>
          <w:sz w:val="24"/>
          <w:szCs w:val="24"/>
        </w:rPr>
        <w:t>[1]</w:t>
      </w:r>
      <w:r w:rsidR="00970FB8" w:rsidRPr="00970FB8">
        <w:rPr>
          <w:rFonts w:ascii="Arial" w:hAnsi="Arial" w:cs="Arial"/>
          <w:sz w:val="24"/>
          <w:szCs w:val="24"/>
        </w:rPr>
        <w:fldChar w:fldCharType="end"/>
      </w:r>
      <w:r w:rsidR="00F74F31" w:rsidRPr="00970FB8">
        <w:rPr>
          <w:rFonts w:ascii="Arial" w:hAnsi="Arial" w:cs="Arial"/>
          <w:sz w:val="24"/>
          <w:szCs w:val="24"/>
        </w:rPr>
        <w:t xml:space="preserve">. </w:t>
      </w:r>
    </w:p>
    <w:p w:rsidR="00F74F31" w:rsidRPr="00970FB8" w:rsidRDefault="00970FB8" w:rsidP="00970FB8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70FB8">
        <w:rPr>
          <w:rFonts w:ascii="Arial" w:hAnsi="Arial" w:cs="Arial"/>
          <w:sz w:val="24"/>
          <w:szCs w:val="24"/>
          <w:vertAlign w:val="superscript"/>
        </w:rPr>
        <w:t>a</w:t>
      </w:r>
      <w:r w:rsidR="00F74F31" w:rsidRPr="00970FB8">
        <w:rPr>
          <w:rFonts w:ascii="Arial" w:hAnsi="Arial" w:cs="Arial"/>
          <w:sz w:val="24"/>
          <w:szCs w:val="24"/>
        </w:rPr>
        <w:t>Prior</w:t>
      </w:r>
      <w:proofErr w:type="spellEnd"/>
      <w:proofErr w:type="gramEnd"/>
      <w:r w:rsidR="00F74F31" w:rsidRPr="00970FB8">
        <w:rPr>
          <w:rFonts w:ascii="Arial" w:hAnsi="Arial" w:cs="Arial"/>
          <w:sz w:val="24"/>
          <w:szCs w:val="24"/>
        </w:rPr>
        <w:t xml:space="preserve"> to testing, samples were assigned an anti-HEV IgG WHO value as described and subsequently diluted in normal human plasma (NHP) to have an equivalent level of anti-HEV IgG</w:t>
      </w:r>
      <w:r w:rsidR="00A27CB2">
        <w:rPr>
          <w:rFonts w:ascii="Arial" w:hAnsi="Arial" w:cs="Arial"/>
          <w:sz w:val="24"/>
          <w:szCs w:val="24"/>
        </w:rPr>
        <w:t xml:space="preserve"> (2-5</w:t>
      </w:r>
      <w:r w:rsidRPr="00970FB8">
        <w:rPr>
          <w:rFonts w:ascii="Arial" w:hAnsi="Arial" w:cs="Arial"/>
          <w:sz w:val="24"/>
          <w:szCs w:val="24"/>
        </w:rPr>
        <w:t xml:space="preserve"> WHO units/ml)</w:t>
      </w:r>
      <w:r w:rsidR="00F74F31" w:rsidRPr="00970FB8">
        <w:rPr>
          <w:rFonts w:ascii="Arial" w:hAnsi="Arial" w:cs="Arial"/>
          <w:sz w:val="24"/>
          <w:szCs w:val="24"/>
        </w:rPr>
        <w:t>. HEV-Ag neutralising activity was then measured by incubating 50μl of diluted supernatant fluid from tissue culture expressing ORF2 HEV-Ag (day 45 post-inoculation of HepG2/C3a cell line with G3 HEV-containing faecal sample) with 50μl of donor sample (or NHP control) for one hour at room temperature. Residual HEV-Ag reactivity was measured using the aforementioned ELISA. HEV-Ag neutralising activity was determined as a percentage of reduction in reactivity in the HEV-Ag assay when the tissue culture supernatant was incubated with the test sample in comparison to incubation with a non-neutralising control (NHP):</w:t>
      </w:r>
    </w:p>
    <w:p w:rsidR="00F74F31" w:rsidRPr="00970FB8" w:rsidRDefault="00F74F31" w:rsidP="00970FB8">
      <w:pPr>
        <w:spacing w:line="480" w:lineRule="auto"/>
        <w:rPr>
          <w:rFonts w:ascii="Arial" w:hAnsi="Arial" w:cs="Arial"/>
          <w:sz w:val="24"/>
          <w:szCs w:val="24"/>
        </w:rPr>
      </w:pPr>
      <w:r w:rsidRPr="00970FB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83520" wp14:editId="6A3AC6B1">
                <wp:simplePos x="0" y="0"/>
                <wp:positionH relativeFrom="column">
                  <wp:posOffset>1697126</wp:posOffset>
                </wp:positionH>
                <wp:positionV relativeFrom="paragraph">
                  <wp:posOffset>277038</wp:posOffset>
                </wp:positionV>
                <wp:extent cx="2311604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21.8pt" to="315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fntQEAALcDAAAOAAAAZHJzL2Uyb0RvYy54bWysU02P0zAQvSPxHyzfaZKyWqGo6R66gguC&#10;ioUf4HXGjbW2xxqbfvx7xm6bRYAQQntxPPZ7b+aNJ6u7o3diD5QshkF2i1YKCBpHG3aD/Pb1/Zt3&#10;UqSswqgcBhjkCZK8W79+tTrEHpY4oRuBBIuE1B/iIKecY980SU/gVVpghMCXBsmrzCHtmpHUgdW9&#10;a5Zte9sckMZIqCElPr0/X8p11TcGdP5sTIIs3CC5tlxXqutjWZv1SvU7UnGy+lKG+o8qvLKBk85S&#10;9yor8Z3sb1LeasKEJi80+gaNsRqqB3bTtb+4eZhUhOqFm5Pi3Kb0crL6035Lwo6DvJEiKM9P9JBJ&#10;2d2UxQZD4AYiiZvSp0NMPcM3YUuXKMUtFdNHQ7582Y441t6e5t7CMQvNh8u3XXfbchJ9vWueiZFS&#10;/gDoRdkM0tlQbKte7T+mzMkYeoVwUAo5p667fHJQwC58AcNWOFlX2XWIYONI7BU///jUFRusVZGF&#10;YqxzM6n9O+mCLTSog/WvxBldM2LIM9HbgPSnrPl4LdWc8VfXZ6/F9iOOp/oQtR08HdXZZZLL+P0c&#10;V/rz/7b+AQAA//8DAFBLAwQUAAYACAAAACEAzN8WAN0AAAAJAQAADwAAAGRycy9kb3ducmV2Lnht&#10;bEyPTU+DQBCG7yb+h82YeLNLi4GGsjTGj5MeED30uGVHIGVnCbsF9Nc7xoMe550n7zyT7xfbiwlH&#10;3zlSsF5FIJBqZzpqFLy/Pd1sQfigyejeESr4RA/74vIi15lxM73iVIVGcAn5TCtoQxgyKX3dotV+&#10;5QYk3n240erA49hIM+qZy20vN1GUSKs74gutHvC+xfpUna2C9PG5Kof54eWrlKksy8mF7emg1PXV&#10;crcDEXAJfzD86LM6FOx0dGcyXvQKNkkaM6rgNk5AMJDEaw6Ov4Escvn/g+IbAAD//wMAUEsBAi0A&#10;FAAGAAgAAAAhALaDOJL+AAAA4QEAABMAAAAAAAAAAAAAAAAAAAAAAFtDb250ZW50X1R5cGVzXS54&#10;bWxQSwECLQAUAAYACAAAACEAOP0h/9YAAACUAQAACwAAAAAAAAAAAAAAAAAvAQAAX3JlbHMvLnJl&#10;bHNQSwECLQAUAAYACAAAACEA96rn57UBAAC3AwAADgAAAAAAAAAAAAAAAAAuAgAAZHJzL2Uyb0Rv&#10;Yy54bWxQSwECLQAUAAYACAAAACEAzN8WAN0AAAAJAQAADwAAAAAAAAAAAAAAAAAPBAAAZHJzL2Rv&#10;d25yZXYueG1sUEsFBgAAAAAEAAQA8wAAABkFAAAAAA==&#10;" strokecolor="black [3040]"/>
            </w:pict>
          </mc:Fallback>
        </mc:AlternateContent>
      </w:r>
      <w:r w:rsidRPr="00970FB8">
        <w:rPr>
          <w:rFonts w:ascii="Arial" w:hAnsi="Arial" w:cs="Arial"/>
          <w:sz w:val="24"/>
          <w:szCs w:val="24"/>
        </w:rPr>
        <w:t>% neutralisation = 100 – (OD</w:t>
      </w:r>
      <w:r w:rsidRPr="00970FB8">
        <w:rPr>
          <w:rFonts w:ascii="Arial" w:hAnsi="Arial" w:cs="Arial"/>
          <w:sz w:val="24"/>
          <w:szCs w:val="24"/>
          <w:vertAlign w:val="subscript"/>
        </w:rPr>
        <w:t>cultured antigen + test sample*</w:t>
      </w:r>
      <w:r w:rsidRPr="00970FB8">
        <w:rPr>
          <w:rFonts w:ascii="Arial" w:hAnsi="Arial" w:cs="Arial"/>
          <w:sz w:val="24"/>
          <w:szCs w:val="24"/>
        </w:rPr>
        <w:t xml:space="preserve"> – OD</w:t>
      </w:r>
      <w:r w:rsidRPr="00970FB8">
        <w:rPr>
          <w:rFonts w:ascii="Arial" w:hAnsi="Arial" w:cs="Arial"/>
          <w:sz w:val="24"/>
          <w:szCs w:val="24"/>
          <w:vertAlign w:val="subscript"/>
        </w:rPr>
        <w:t>NHP</w:t>
      </w:r>
      <w:r w:rsidRPr="00970FB8">
        <w:rPr>
          <w:rFonts w:ascii="Arial" w:hAnsi="Arial" w:cs="Arial"/>
          <w:sz w:val="24"/>
          <w:szCs w:val="24"/>
        </w:rPr>
        <w:t>) x 100</w:t>
      </w:r>
    </w:p>
    <w:p w:rsidR="00F74F31" w:rsidRPr="00970FB8" w:rsidRDefault="00F74F31" w:rsidP="00970FB8">
      <w:pPr>
        <w:spacing w:line="480" w:lineRule="auto"/>
        <w:rPr>
          <w:rFonts w:ascii="Arial" w:hAnsi="Arial" w:cs="Arial"/>
          <w:sz w:val="24"/>
          <w:szCs w:val="24"/>
        </w:rPr>
      </w:pPr>
      <w:r w:rsidRPr="00970FB8">
        <w:rPr>
          <w:rFonts w:ascii="Arial" w:hAnsi="Arial" w:cs="Arial"/>
          <w:sz w:val="24"/>
          <w:szCs w:val="24"/>
        </w:rPr>
        <w:tab/>
      </w:r>
      <w:r w:rsidRPr="00970FB8">
        <w:rPr>
          <w:rFonts w:ascii="Arial" w:hAnsi="Arial" w:cs="Arial"/>
          <w:sz w:val="24"/>
          <w:szCs w:val="24"/>
        </w:rPr>
        <w:tab/>
      </w:r>
      <w:r w:rsidRPr="00970FB8">
        <w:rPr>
          <w:rFonts w:ascii="Arial" w:hAnsi="Arial" w:cs="Arial"/>
          <w:sz w:val="24"/>
          <w:szCs w:val="24"/>
        </w:rPr>
        <w:tab/>
        <w:t xml:space="preserve">          (OD</w:t>
      </w:r>
      <w:r w:rsidR="00A27CB2">
        <w:rPr>
          <w:rFonts w:ascii="Arial" w:hAnsi="Arial" w:cs="Arial"/>
          <w:sz w:val="24"/>
          <w:szCs w:val="24"/>
          <w:vertAlign w:val="subscript"/>
        </w:rPr>
        <w:t>cultured antigen + N</w:t>
      </w:r>
      <w:r w:rsidRPr="00970FB8">
        <w:rPr>
          <w:rFonts w:ascii="Arial" w:hAnsi="Arial" w:cs="Arial"/>
          <w:sz w:val="24"/>
          <w:szCs w:val="24"/>
          <w:vertAlign w:val="subscript"/>
        </w:rPr>
        <w:t>H</w:t>
      </w:r>
      <w:r w:rsidR="00A27CB2">
        <w:rPr>
          <w:rFonts w:ascii="Arial" w:hAnsi="Arial" w:cs="Arial"/>
          <w:sz w:val="24"/>
          <w:szCs w:val="24"/>
          <w:vertAlign w:val="subscript"/>
        </w:rPr>
        <w:t>P</w:t>
      </w:r>
      <w:r w:rsidRPr="00970FB8">
        <w:rPr>
          <w:rFonts w:ascii="Arial" w:hAnsi="Arial" w:cs="Arial"/>
          <w:sz w:val="24"/>
          <w:szCs w:val="24"/>
        </w:rPr>
        <w:t xml:space="preserve"> – OD</w:t>
      </w:r>
      <w:r w:rsidRPr="00970FB8">
        <w:rPr>
          <w:rFonts w:ascii="Arial" w:hAnsi="Arial" w:cs="Arial"/>
          <w:sz w:val="24"/>
          <w:szCs w:val="24"/>
          <w:vertAlign w:val="subscript"/>
        </w:rPr>
        <w:t>NHP</w:t>
      </w:r>
      <w:r w:rsidRPr="00970FB8">
        <w:rPr>
          <w:rFonts w:ascii="Arial" w:hAnsi="Arial" w:cs="Arial"/>
          <w:sz w:val="24"/>
          <w:szCs w:val="24"/>
        </w:rPr>
        <w:t>)</w:t>
      </w:r>
    </w:p>
    <w:p w:rsidR="00F74F31" w:rsidRPr="00970FB8" w:rsidRDefault="00F74F31" w:rsidP="00970FB8">
      <w:pPr>
        <w:spacing w:line="480" w:lineRule="auto"/>
        <w:rPr>
          <w:rFonts w:ascii="Arial" w:hAnsi="Arial" w:cs="Arial"/>
          <w:sz w:val="24"/>
          <w:szCs w:val="24"/>
        </w:rPr>
      </w:pPr>
      <w:r w:rsidRPr="00970FB8">
        <w:rPr>
          <w:rFonts w:ascii="Arial" w:hAnsi="Arial" w:cs="Arial"/>
          <w:sz w:val="24"/>
          <w:szCs w:val="24"/>
        </w:rPr>
        <w:lastRenderedPageBreak/>
        <w:t>OD = optical density at 450/630nm wavelength</w:t>
      </w:r>
    </w:p>
    <w:p w:rsidR="00F74F31" w:rsidRPr="00970FB8" w:rsidRDefault="00F74F31" w:rsidP="00970FB8">
      <w:pPr>
        <w:spacing w:line="480" w:lineRule="auto"/>
        <w:rPr>
          <w:rFonts w:ascii="Arial" w:hAnsi="Arial" w:cs="Arial"/>
          <w:sz w:val="24"/>
          <w:szCs w:val="24"/>
        </w:rPr>
      </w:pPr>
      <w:r w:rsidRPr="00970FB8">
        <w:rPr>
          <w:rFonts w:ascii="Arial" w:hAnsi="Arial" w:cs="Arial"/>
          <w:sz w:val="24"/>
          <w:szCs w:val="24"/>
        </w:rPr>
        <w:t>NHP = normal human plasma (negative for HEV IgG)</w:t>
      </w:r>
    </w:p>
    <w:p w:rsidR="00F74F31" w:rsidRPr="00970FB8" w:rsidRDefault="00A27CB2" w:rsidP="00970FB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= </w:t>
      </w:r>
      <w:proofErr w:type="gramStart"/>
      <w:r>
        <w:rPr>
          <w:rFonts w:ascii="Arial" w:hAnsi="Arial" w:cs="Arial"/>
          <w:sz w:val="24"/>
          <w:szCs w:val="24"/>
        </w:rPr>
        <w:t>donor</w:t>
      </w:r>
      <w:proofErr w:type="gramEnd"/>
      <w:r>
        <w:rPr>
          <w:rFonts w:ascii="Arial" w:hAnsi="Arial" w:cs="Arial"/>
          <w:sz w:val="24"/>
          <w:szCs w:val="24"/>
        </w:rPr>
        <w:t xml:space="preserve"> sample</w:t>
      </w:r>
    </w:p>
    <w:p w:rsidR="00F74F31" w:rsidRPr="007934FB" w:rsidRDefault="00F74F31" w:rsidP="00337C0C">
      <w:pPr>
        <w:rPr>
          <w:rFonts w:ascii="Arial" w:hAnsi="Arial" w:cs="Arial"/>
          <w:b/>
          <w:sz w:val="24"/>
          <w:szCs w:val="24"/>
        </w:rPr>
      </w:pPr>
    </w:p>
    <w:p w:rsidR="00F74F31" w:rsidRPr="001528FA" w:rsidRDefault="00F74F31" w:rsidP="00337C0C"/>
    <w:p w:rsidR="00F74F31" w:rsidRPr="001528FA" w:rsidRDefault="00F74F31" w:rsidP="00337C0C"/>
    <w:p w:rsidR="00F74F31" w:rsidRPr="001528FA" w:rsidRDefault="00F74F31" w:rsidP="00337C0C"/>
    <w:p w:rsidR="00F74F31" w:rsidRPr="001528FA" w:rsidRDefault="00F74F31" w:rsidP="00337C0C"/>
    <w:p w:rsidR="00FD7CC8" w:rsidRDefault="00FD7CC8">
      <w:pPr>
        <w:spacing w:after="0" w:line="240" w:lineRule="auto"/>
        <w:ind w:left="720" w:hanging="720"/>
        <w:jc w:val="both"/>
      </w:pPr>
      <w:r>
        <w:br w:type="page"/>
      </w:r>
    </w:p>
    <w:p w:rsidR="00FD7CC8" w:rsidRDefault="00FD7CC8" w:rsidP="00337C0C">
      <w:pPr>
        <w:sectPr w:rsidR="00FD7CC8" w:rsidSect="00337C0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74F31" w:rsidRPr="001528FA" w:rsidRDefault="00F74F31" w:rsidP="00337C0C"/>
    <w:p w:rsidR="00F74F31" w:rsidRPr="001528FA" w:rsidRDefault="00F74F31" w:rsidP="00337C0C">
      <w:pPr>
        <w:jc w:val="center"/>
      </w:pPr>
      <w:r w:rsidRPr="001528FA">
        <w:rPr>
          <w:b/>
        </w:rPr>
        <w:t xml:space="preserve">Table </w:t>
      </w:r>
      <w:r w:rsidR="00337C0C">
        <w:rPr>
          <w:b/>
        </w:rPr>
        <w:t>S</w:t>
      </w:r>
      <w:r w:rsidRPr="001528FA">
        <w:rPr>
          <w:b/>
        </w:rPr>
        <w:t>1.</w:t>
      </w:r>
      <w:r w:rsidRPr="001528FA">
        <w:t xml:space="preserve"> </w:t>
      </w:r>
      <w:r w:rsidRPr="001528FA">
        <w:rPr>
          <w:rFonts w:ascii="Arial" w:hAnsi="Arial" w:cs="Arial"/>
          <w:sz w:val="20"/>
        </w:rPr>
        <w:t>Protocol for administration and monitoring of convalescent plasma therapy for HEV.</w:t>
      </w:r>
    </w:p>
    <w:p w:rsidR="00F74F31" w:rsidRPr="001528FA" w:rsidRDefault="00F74F31" w:rsidP="00337C0C"/>
    <w:tbl>
      <w:tblPr>
        <w:tblStyle w:val="TableGrid"/>
        <w:tblW w:w="859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013"/>
        <w:gridCol w:w="5812"/>
      </w:tblGrid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sz w:val="20"/>
                <w:szCs w:val="20"/>
              </w:rPr>
            </w:pPr>
            <w:r w:rsidRPr="001528FA">
              <w:rPr>
                <w:sz w:val="20"/>
                <w:szCs w:val="20"/>
              </w:rPr>
              <w:t>Time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sz w:val="20"/>
                <w:szCs w:val="20"/>
              </w:rPr>
            </w:pPr>
            <w:r w:rsidRPr="001528FA">
              <w:rPr>
                <w:sz w:val="20"/>
                <w:szCs w:val="20"/>
              </w:rPr>
              <w:t>Infusion</w:t>
            </w: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sz w:val="20"/>
                <w:szCs w:val="20"/>
              </w:rPr>
            </w:pPr>
            <w:r w:rsidRPr="001528FA">
              <w:rPr>
                <w:sz w:val="20"/>
                <w:szCs w:val="20"/>
              </w:rPr>
              <w:t>Procedures</w:t>
            </w:r>
          </w:p>
        </w:tc>
      </w:tr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Day 0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Admit patient to liver unit. Height and Weight the patient. Confirm consent.</w:t>
            </w:r>
          </w:p>
          <w:p w:rsidR="00F74F31" w:rsidRPr="001528FA" w:rsidRDefault="00F74F31" w:rsidP="00FD7CC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Bloods: FBC, Group &amp; save, U&amp;E, LFTs, HEV RNA, Anti-HEV IgG and HEV-Ag.</w:t>
            </w:r>
          </w:p>
        </w:tc>
      </w:tr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Day 1- baseline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74F31" w:rsidRPr="001528FA" w:rsidRDefault="00F74F31" w:rsidP="00FD7CC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Bloods: HEV RNA, Anti-HEV IgG and HEV-Ag.</w:t>
            </w:r>
          </w:p>
          <w:p w:rsidR="00F74F31" w:rsidRPr="001528FA" w:rsidRDefault="00F74F31" w:rsidP="00FD7CC8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Observations: temperature, pulse, respiratory rate, blood pressure and oxygen saturations. Symptom enquiry. 1 hourly observations for 6 hours then 4 hourly. </w:t>
            </w:r>
          </w:p>
          <w:p w:rsidR="00F74F31" w:rsidRPr="001528FA" w:rsidRDefault="00F74F31" w:rsidP="00FD7CC8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Infuse </w:t>
            </w:r>
            <w:r w:rsidRPr="001528FA">
              <w:rPr>
                <w:color w:val="000000" w:themeColor="text1"/>
                <w:sz w:val="20"/>
                <w:szCs w:val="20"/>
              </w:rPr>
              <w:t xml:space="preserve">1 x </w:t>
            </w: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560ml of CP over 1 hour.</w:t>
            </w:r>
          </w:p>
        </w:tc>
      </w:tr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Day 1- 1 &amp; 4 hours post 1</w:t>
            </w:r>
            <w:r w:rsidRPr="001528FA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1528FA">
              <w:rPr>
                <w:color w:val="000000" w:themeColor="text1"/>
                <w:sz w:val="20"/>
                <w:szCs w:val="20"/>
              </w:rPr>
              <w:t xml:space="preserve"> infusion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74F31" w:rsidRPr="001528FA" w:rsidRDefault="00F74F31" w:rsidP="00FD7CC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Bloods: HEV RNA, Anti-HEV IgG and HEV-Ag.</w:t>
            </w:r>
          </w:p>
        </w:tc>
      </w:tr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Day 1 – baseline</w:t>
            </w:r>
          </w:p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(after 12 hours)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74F31" w:rsidRPr="001528FA" w:rsidRDefault="00F74F31" w:rsidP="00FD7CC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Observations: as before pre and post infusion, then 4 to 6 hourly.</w:t>
            </w:r>
          </w:p>
          <w:p w:rsidR="00F74F31" w:rsidRPr="001528FA" w:rsidRDefault="00F74F31" w:rsidP="00FD7C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 xml:space="preserve">Bloods: FBC, U&amp;Es, LFTs, </w:t>
            </w: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HEV RNA, Anti-HEV IgG and HEV-Ag. </w:t>
            </w:r>
          </w:p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Infuse </w:t>
            </w:r>
            <w:r w:rsidRPr="001528FA">
              <w:rPr>
                <w:color w:val="000000" w:themeColor="text1"/>
                <w:sz w:val="20"/>
                <w:szCs w:val="20"/>
              </w:rPr>
              <w:t xml:space="preserve">1 x </w:t>
            </w: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560ml of CP over 1 hour.</w:t>
            </w:r>
          </w:p>
        </w:tc>
      </w:tr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</w:pPr>
            <w:r w:rsidRPr="001528FA">
              <w:rPr>
                <w:color w:val="000000" w:themeColor="text1"/>
                <w:sz w:val="20"/>
                <w:szCs w:val="20"/>
              </w:rPr>
              <w:t>Day 1- 1 &amp; 4 hours post 2</w:t>
            </w:r>
            <w:r w:rsidRPr="001528FA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1528FA">
              <w:rPr>
                <w:color w:val="000000" w:themeColor="text1"/>
                <w:sz w:val="20"/>
                <w:szCs w:val="20"/>
              </w:rPr>
              <w:t xml:space="preserve"> infusion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74F31" w:rsidRPr="001528FA" w:rsidRDefault="00F74F31" w:rsidP="00FD7CC8">
            <w:pPr>
              <w:spacing w:after="0" w:line="240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Bloods: HEV RNA, Anti-HEV IgG and HEV-Ag.</w:t>
            </w:r>
          </w:p>
        </w:tc>
      </w:tr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Day 2 – baseline</w:t>
            </w:r>
          </w:p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(after 18 hours)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74F31" w:rsidRPr="001528FA" w:rsidRDefault="00F74F31" w:rsidP="00FD7CC8">
            <w:pPr>
              <w:spacing w:after="0" w:line="240" w:lineRule="auto"/>
              <w:jc w:val="center"/>
            </w:pPr>
            <w:r w:rsidRPr="001528FA"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Observations: as before pre and post infusion, then 4 to 6 hourly.</w:t>
            </w:r>
          </w:p>
          <w:p w:rsidR="00F74F31" w:rsidRPr="001528FA" w:rsidRDefault="00F74F31" w:rsidP="00FD7C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 xml:space="preserve">Bloods: FBC, U&amp;Es, LFTs, </w:t>
            </w: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HEV RNA, Anti-HEV IgG and HEV-Ag. </w:t>
            </w:r>
          </w:p>
          <w:p w:rsidR="00F74F31" w:rsidRPr="001528FA" w:rsidRDefault="00F74F31" w:rsidP="00FD7C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Infuse </w:t>
            </w:r>
            <w:r w:rsidRPr="001528FA">
              <w:rPr>
                <w:color w:val="000000" w:themeColor="text1"/>
                <w:sz w:val="20"/>
                <w:szCs w:val="20"/>
              </w:rPr>
              <w:t xml:space="preserve">1 x </w:t>
            </w: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560ml of CP over 1 hour.</w:t>
            </w:r>
          </w:p>
        </w:tc>
      </w:tr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</w:pPr>
            <w:r w:rsidRPr="001528FA">
              <w:rPr>
                <w:color w:val="000000" w:themeColor="text1"/>
                <w:sz w:val="20"/>
                <w:szCs w:val="20"/>
              </w:rPr>
              <w:t>Day 2- 1, 4 &amp; 6 hours post 3rd infusion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Bloods: HEV RNA, Anti-HEV IgG and HEV-Ag.</w:t>
            </w:r>
          </w:p>
          <w:p w:rsidR="00F74F31" w:rsidRPr="001528FA" w:rsidRDefault="00F74F31" w:rsidP="00FD7CC8">
            <w:pPr>
              <w:spacing w:after="0" w:line="240" w:lineRule="auto"/>
            </w:pP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Prior to discharge full systems review by doctor.</w:t>
            </w:r>
          </w:p>
        </w:tc>
      </w:tr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Day 5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 xml:space="preserve">Bloods: FBC, U&amp;Es, LFTs, </w:t>
            </w: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HEV RNA, Anti-HEV IgG and HEV-Ag. </w:t>
            </w:r>
          </w:p>
        </w:tc>
      </w:tr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Day 7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 xml:space="preserve">Bloods: FBC, U&amp;Es, LFTs, </w:t>
            </w: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HEV RNA, Anti-HEV IgG and HEV-Ag. </w:t>
            </w:r>
          </w:p>
        </w:tc>
      </w:tr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Day 14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 xml:space="preserve">Bloods: FBC, U&amp;Es, LFTs, </w:t>
            </w: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HEV RNA, Anti-HEV IgG and HEV-Ag. </w:t>
            </w:r>
          </w:p>
        </w:tc>
      </w:tr>
      <w:tr w:rsidR="00F74F31" w:rsidRPr="001528FA" w:rsidTr="00337C0C">
        <w:trPr>
          <w:jc w:val="center"/>
        </w:trPr>
        <w:tc>
          <w:tcPr>
            <w:tcW w:w="1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>Day 21</w:t>
            </w:r>
          </w:p>
        </w:tc>
        <w:tc>
          <w:tcPr>
            <w:tcW w:w="10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FD7C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28FA">
              <w:rPr>
                <w:color w:val="000000" w:themeColor="text1"/>
                <w:sz w:val="20"/>
                <w:szCs w:val="20"/>
              </w:rPr>
              <w:t xml:space="preserve">Bloods: FBC, U&amp;Es, LFTs, </w:t>
            </w:r>
            <w:r w:rsidRPr="001528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HEV RNA, Anti-HEV IgG and HEV-Ag. </w:t>
            </w:r>
          </w:p>
        </w:tc>
      </w:tr>
    </w:tbl>
    <w:p w:rsidR="00F74F31" w:rsidRPr="001528FA" w:rsidRDefault="00F74F31" w:rsidP="00337C0C">
      <w:pPr>
        <w:rPr>
          <w:color w:val="000000" w:themeColor="text1"/>
          <w:sz w:val="20"/>
          <w:szCs w:val="20"/>
        </w:rPr>
      </w:pPr>
    </w:p>
    <w:p w:rsidR="00F74F31" w:rsidRPr="001528FA" w:rsidRDefault="00F74F31" w:rsidP="00337C0C">
      <w:r w:rsidRPr="001528FA">
        <w:t>Abbreviations: CP, convalescent plasma; FBC, full blood count; HEV, hepatitis E virus; HEV-Ag, hepatitis E virus Antigen; LFTs, liver function tests; U&amp;Es, Urea and electrolytes</w:t>
      </w:r>
      <w:r>
        <w:t>.</w:t>
      </w:r>
    </w:p>
    <w:p w:rsidR="00F74F31" w:rsidRPr="001528FA" w:rsidRDefault="00F74F31" w:rsidP="00337C0C"/>
    <w:p w:rsidR="00F74F31" w:rsidRPr="001528FA" w:rsidRDefault="00F74F31" w:rsidP="00337C0C">
      <w:r w:rsidRPr="001528FA">
        <w:br w:type="page"/>
      </w:r>
    </w:p>
    <w:p w:rsidR="00FD7CC8" w:rsidRDefault="00FD7CC8" w:rsidP="00337C0C">
      <w:pPr>
        <w:jc w:val="center"/>
        <w:rPr>
          <w:b/>
        </w:rPr>
        <w:sectPr w:rsidR="00FD7CC8" w:rsidSect="00FD7C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F74F31" w:rsidRPr="001528FA" w:rsidRDefault="00F74F31" w:rsidP="00337C0C">
      <w:pPr>
        <w:jc w:val="center"/>
      </w:pPr>
      <w:r w:rsidRPr="001528FA">
        <w:rPr>
          <w:b/>
        </w:rPr>
        <w:lastRenderedPageBreak/>
        <w:t xml:space="preserve">Table </w:t>
      </w:r>
      <w:r w:rsidR="00337C0C">
        <w:rPr>
          <w:b/>
        </w:rPr>
        <w:t>S</w:t>
      </w:r>
      <w:r w:rsidRPr="001528FA">
        <w:rPr>
          <w:b/>
        </w:rPr>
        <w:t xml:space="preserve">2. </w:t>
      </w:r>
      <w:r w:rsidRPr="001528FA">
        <w:t>Anti-HEV IgG levels in convalescent plasma donations.</w:t>
      </w:r>
    </w:p>
    <w:p w:rsidR="00F74F31" w:rsidRPr="001528FA" w:rsidRDefault="00F74F31" w:rsidP="00337C0C">
      <w:pPr>
        <w:jc w:val="center"/>
      </w:pPr>
    </w:p>
    <w:tbl>
      <w:tblPr>
        <w:tblStyle w:val="TableGrid"/>
        <w:tblW w:w="0" w:type="auto"/>
        <w:tblInd w:w="18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1281"/>
        <w:gridCol w:w="1559"/>
      </w:tblGrid>
      <w:tr w:rsidR="00F74F31" w:rsidRPr="001528FA" w:rsidTr="00337C0C">
        <w:tc>
          <w:tcPr>
            <w:tcW w:w="12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337C0C">
            <w:pPr>
              <w:jc w:val="center"/>
            </w:pPr>
            <w:r w:rsidRPr="001528FA">
              <w:t>Infusion No.</w:t>
            </w:r>
          </w:p>
        </w:tc>
        <w:tc>
          <w:tcPr>
            <w:tcW w:w="12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F74F31" w:rsidP="00337C0C">
            <w:pPr>
              <w:jc w:val="center"/>
            </w:pPr>
            <w:r w:rsidRPr="001528FA">
              <w:t>Donor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4F31" w:rsidRPr="001528FA" w:rsidRDefault="00A27CB2" w:rsidP="00337C0C">
            <w:pPr>
              <w:jc w:val="center"/>
            </w:pPr>
            <w:r>
              <w:t>Anti-HEV IgG (WHO units</w:t>
            </w:r>
            <w:r w:rsidR="00F74F31" w:rsidRPr="001528FA">
              <w:t>/ml)</w:t>
            </w:r>
          </w:p>
        </w:tc>
      </w:tr>
      <w:tr w:rsidR="00F74F31" w:rsidRPr="001528FA" w:rsidTr="00337C0C">
        <w:tc>
          <w:tcPr>
            <w:tcW w:w="1271" w:type="dxa"/>
            <w:tcBorders>
              <w:top w:val="single" w:sz="4" w:space="0" w:color="000000" w:themeColor="text1"/>
            </w:tcBorders>
          </w:tcPr>
          <w:p w:rsidR="00F74F31" w:rsidRPr="001528FA" w:rsidRDefault="00F74F31" w:rsidP="00337C0C">
            <w:pPr>
              <w:jc w:val="center"/>
            </w:pPr>
            <w:r w:rsidRPr="001528FA">
              <w:t>1a</w:t>
            </w:r>
          </w:p>
        </w:tc>
        <w:tc>
          <w:tcPr>
            <w:tcW w:w="1281" w:type="dxa"/>
            <w:tcBorders>
              <w:top w:val="single" w:sz="4" w:space="0" w:color="000000" w:themeColor="text1"/>
            </w:tcBorders>
          </w:tcPr>
          <w:p w:rsidR="00F74F31" w:rsidRPr="001528FA" w:rsidRDefault="00F74F31" w:rsidP="00337C0C">
            <w:pPr>
              <w:jc w:val="center"/>
            </w:pPr>
            <w:r w:rsidRPr="001528FA">
              <w:t>C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F74F31" w:rsidRPr="001528FA" w:rsidRDefault="00F74F31" w:rsidP="00337C0C">
            <w:pPr>
              <w:jc w:val="center"/>
            </w:pPr>
            <w:r w:rsidRPr="001528FA">
              <w:t>21.6</w:t>
            </w:r>
          </w:p>
        </w:tc>
      </w:tr>
      <w:tr w:rsidR="00F74F31" w:rsidRPr="001528FA" w:rsidTr="00337C0C">
        <w:tc>
          <w:tcPr>
            <w:tcW w:w="1271" w:type="dxa"/>
          </w:tcPr>
          <w:p w:rsidR="00F74F31" w:rsidRPr="001528FA" w:rsidRDefault="00F74F31" w:rsidP="00337C0C">
            <w:pPr>
              <w:jc w:val="center"/>
            </w:pPr>
            <w:r w:rsidRPr="001528FA">
              <w:t>1b</w:t>
            </w:r>
          </w:p>
        </w:tc>
        <w:tc>
          <w:tcPr>
            <w:tcW w:w="1281" w:type="dxa"/>
          </w:tcPr>
          <w:p w:rsidR="00F74F31" w:rsidRPr="001528FA" w:rsidRDefault="00F74F31" w:rsidP="00337C0C">
            <w:pPr>
              <w:jc w:val="center"/>
            </w:pPr>
            <w:r w:rsidRPr="001528FA">
              <w:t>C</w:t>
            </w:r>
          </w:p>
        </w:tc>
        <w:tc>
          <w:tcPr>
            <w:tcW w:w="1559" w:type="dxa"/>
          </w:tcPr>
          <w:p w:rsidR="00F74F31" w:rsidRPr="001528FA" w:rsidRDefault="00F74F31" w:rsidP="00337C0C">
            <w:pPr>
              <w:jc w:val="center"/>
            </w:pPr>
            <w:r w:rsidRPr="001528FA">
              <w:t>22.7</w:t>
            </w:r>
          </w:p>
        </w:tc>
      </w:tr>
      <w:tr w:rsidR="00F74F31" w:rsidRPr="001528FA" w:rsidTr="00337C0C">
        <w:tc>
          <w:tcPr>
            <w:tcW w:w="1271" w:type="dxa"/>
          </w:tcPr>
          <w:p w:rsidR="00F74F31" w:rsidRPr="001528FA" w:rsidRDefault="00F74F31" w:rsidP="00337C0C">
            <w:pPr>
              <w:jc w:val="center"/>
            </w:pPr>
            <w:r w:rsidRPr="001528FA">
              <w:t>2a</w:t>
            </w:r>
          </w:p>
        </w:tc>
        <w:tc>
          <w:tcPr>
            <w:tcW w:w="1281" w:type="dxa"/>
          </w:tcPr>
          <w:p w:rsidR="00F74F31" w:rsidRPr="001528FA" w:rsidRDefault="00F74F31" w:rsidP="00337C0C">
            <w:pPr>
              <w:jc w:val="center"/>
            </w:pPr>
            <w:r w:rsidRPr="001528FA">
              <w:t>D</w:t>
            </w:r>
          </w:p>
        </w:tc>
        <w:tc>
          <w:tcPr>
            <w:tcW w:w="1559" w:type="dxa"/>
          </w:tcPr>
          <w:p w:rsidR="00F74F31" w:rsidRPr="001528FA" w:rsidRDefault="00F74F31" w:rsidP="00337C0C">
            <w:pPr>
              <w:jc w:val="center"/>
              <w:rPr>
                <w:vertAlign w:val="superscript"/>
              </w:rPr>
            </w:pPr>
            <w:r w:rsidRPr="001528FA">
              <w:t>44.8</w:t>
            </w:r>
            <w:r w:rsidRPr="001528FA">
              <w:rPr>
                <w:vertAlign w:val="superscript"/>
              </w:rPr>
              <w:t>a</w:t>
            </w:r>
          </w:p>
        </w:tc>
      </w:tr>
      <w:tr w:rsidR="00F74F31" w:rsidRPr="001528FA" w:rsidTr="00337C0C">
        <w:tc>
          <w:tcPr>
            <w:tcW w:w="1271" w:type="dxa"/>
          </w:tcPr>
          <w:p w:rsidR="00F74F31" w:rsidRPr="001528FA" w:rsidRDefault="00F74F31" w:rsidP="00337C0C">
            <w:pPr>
              <w:jc w:val="center"/>
            </w:pPr>
            <w:r w:rsidRPr="001528FA">
              <w:t>2b</w:t>
            </w:r>
          </w:p>
        </w:tc>
        <w:tc>
          <w:tcPr>
            <w:tcW w:w="1281" w:type="dxa"/>
          </w:tcPr>
          <w:p w:rsidR="00F74F31" w:rsidRPr="001528FA" w:rsidRDefault="00F74F31" w:rsidP="00337C0C">
            <w:pPr>
              <w:jc w:val="center"/>
            </w:pPr>
            <w:r w:rsidRPr="001528FA">
              <w:t>D</w:t>
            </w:r>
          </w:p>
        </w:tc>
        <w:tc>
          <w:tcPr>
            <w:tcW w:w="1559" w:type="dxa"/>
          </w:tcPr>
          <w:p w:rsidR="00F74F31" w:rsidRPr="001528FA" w:rsidRDefault="00F74F31" w:rsidP="00337C0C">
            <w:pPr>
              <w:jc w:val="center"/>
              <w:rPr>
                <w:vertAlign w:val="superscript"/>
              </w:rPr>
            </w:pPr>
            <w:r w:rsidRPr="001528FA">
              <w:t>44.8</w:t>
            </w:r>
            <w:r w:rsidRPr="001528FA">
              <w:rPr>
                <w:vertAlign w:val="superscript"/>
              </w:rPr>
              <w:t>a</w:t>
            </w:r>
          </w:p>
        </w:tc>
      </w:tr>
      <w:tr w:rsidR="00F74F31" w:rsidRPr="001528FA" w:rsidTr="00337C0C">
        <w:tc>
          <w:tcPr>
            <w:tcW w:w="1271" w:type="dxa"/>
            <w:tcBorders>
              <w:bottom w:val="single" w:sz="4" w:space="0" w:color="FFFFFF" w:themeColor="background1"/>
            </w:tcBorders>
          </w:tcPr>
          <w:p w:rsidR="00F74F31" w:rsidRPr="001528FA" w:rsidRDefault="00F74F31" w:rsidP="00337C0C">
            <w:pPr>
              <w:jc w:val="center"/>
            </w:pPr>
            <w:r w:rsidRPr="001528FA">
              <w:t>3a</w:t>
            </w:r>
          </w:p>
        </w:tc>
        <w:tc>
          <w:tcPr>
            <w:tcW w:w="1281" w:type="dxa"/>
            <w:tcBorders>
              <w:bottom w:val="single" w:sz="4" w:space="0" w:color="FFFFFF" w:themeColor="background1"/>
            </w:tcBorders>
          </w:tcPr>
          <w:p w:rsidR="00F74F31" w:rsidRPr="001528FA" w:rsidRDefault="00F74F31" w:rsidP="00337C0C">
            <w:pPr>
              <w:jc w:val="center"/>
            </w:pPr>
            <w:r w:rsidRPr="001528FA">
              <w:t>D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F74F31" w:rsidRPr="001528FA" w:rsidRDefault="00F74F31" w:rsidP="00337C0C">
            <w:pPr>
              <w:jc w:val="center"/>
            </w:pPr>
            <w:r w:rsidRPr="001528FA">
              <w:t>52.9</w:t>
            </w:r>
          </w:p>
        </w:tc>
      </w:tr>
      <w:tr w:rsidR="00F74F31" w:rsidRPr="001528FA" w:rsidTr="00337C0C">
        <w:tc>
          <w:tcPr>
            <w:tcW w:w="1271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F74F31" w:rsidRPr="001528FA" w:rsidRDefault="00F74F31" w:rsidP="00337C0C">
            <w:pPr>
              <w:jc w:val="center"/>
            </w:pPr>
            <w:r w:rsidRPr="001528FA">
              <w:t>3b</w:t>
            </w:r>
          </w:p>
        </w:tc>
        <w:tc>
          <w:tcPr>
            <w:tcW w:w="1281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F74F31" w:rsidRPr="001528FA" w:rsidRDefault="00F74F31" w:rsidP="00337C0C">
            <w:pPr>
              <w:jc w:val="center"/>
            </w:pPr>
            <w:r w:rsidRPr="001528FA">
              <w:t>D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F74F31" w:rsidRPr="001528FA" w:rsidRDefault="00F74F31" w:rsidP="00337C0C">
            <w:pPr>
              <w:jc w:val="center"/>
            </w:pPr>
            <w:r w:rsidRPr="001528FA">
              <w:t>44.8</w:t>
            </w:r>
          </w:p>
        </w:tc>
      </w:tr>
    </w:tbl>
    <w:p w:rsidR="00F74F31" w:rsidRPr="001528FA" w:rsidRDefault="00F74F31" w:rsidP="00337C0C">
      <w:pPr>
        <w:jc w:val="center"/>
      </w:pPr>
    </w:p>
    <w:p w:rsidR="00F74F31" w:rsidRPr="001528FA" w:rsidRDefault="00F74F31" w:rsidP="00337C0C">
      <w:r w:rsidRPr="001528FA">
        <w:rPr>
          <w:vertAlign w:val="superscript"/>
        </w:rPr>
        <w:t>a</w:t>
      </w:r>
      <w:r w:rsidRPr="001528FA">
        <w:t>Same donation episode</w:t>
      </w:r>
    </w:p>
    <w:p w:rsidR="00F74F31" w:rsidRPr="001528FA" w:rsidRDefault="00F74F31" w:rsidP="00337C0C">
      <w:r w:rsidRPr="001528FA">
        <w:t>Abbreviations: WHO, world health organi</w:t>
      </w:r>
      <w:r w:rsidR="00A27CB2">
        <w:t>sation.</w:t>
      </w:r>
    </w:p>
    <w:p w:rsidR="00F74F31" w:rsidRPr="001528FA" w:rsidRDefault="00F74F31" w:rsidP="00337C0C"/>
    <w:p w:rsidR="00F74F31" w:rsidRPr="001528FA" w:rsidRDefault="00F74F31" w:rsidP="00337C0C">
      <w:pPr>
        <w:pStyle w:val="EndNoteBibliography"/>
        <w:numPr>
          <w:ilvl w:val="0"/>
          <w:numId w:val="0"/>
        </w:numPr>
        <w:ind w:left="720" w:hanging="360"/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</w:p>
    <w:p w:rsidR="00F74F31" w:rsidRDefault="00F74F31">
      <w:pPr>
        <w:rPr>
          <w:b/>
        </w:rPr>
      </w:pPr>
      <w:r>
        <w:rPr>
          <w:b/>
        </w:rPr>
        <w:lastRenderedPageBreak/>
        <w:br w:type="page"/>
      </w:r>
    </w:p>
    <w:p w:rsidR="00F74F31" w:rsidRDefault="00F74F31">
      <w:pPr>
        <w:rPr>
          <w:b/>
        </w:rPr>
      </w:pPr>
      <w:r>
        <w:rPr>
          <w:b/>
        </w:rPr>
        <w:lastRenderedPageBreak/>
        <w:t>Supplementary data 1: Illumina whole genome sequencing and Bioinformatics</w:t>
      </w:r>
    </w:p>
    <w:p w:rsidR="00F74F31" w:rsidRDefault="00F74F31">
      <w:pPr>
        <w:rPr>
          <w:b/>
        </w:rPr>
      </w:pPr>
    </w:p>
    <w:p w:rsidR="00F74F31" w:rsidRPr="007934FB" w:rsidRDefault="00F74F31" w:rsidP="00337C0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934FB">
        <w:rPr>
          <w:rFonts w:ascii="Arial" w:hAnsi="Arial" w:cs="Arial"/>
          <w:b/>
          <w:sz w:val="24"/>
          <w:szCs w:val="24"/>
        </w:rPr>
        <w:t>Illumina whole genome sequencing</w:t>
      </w:r>
    </w:p>
    <w:p w:rsidR="00F74F31" w:rsidRPr="007934FB" w:rsidRDefault="00F74F31" w:rsidP="00337C0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934FB">
        <w:rPr>
          <w:rFonts w:ascii="Arial" w:hAnsi="Arial" w:cs="Arial"/>
          <w:sz w:val="24"/>
          <w:szCs w:val="24"/>
        </w:rPr>
        <w:t xml:space="preserve">Illumina whole genome next generation sequencing (NGS) for HEV was undertaken at the MRC-University of Glasgow Centre for Virus Research (CVR) using an HEV target-enrichment protocol. RNA was extracted on the </w:t>
      </w:r>
      <w:proofErr w:type="spellStart"/>
      <w:r w:rsidRPr="007934FB">
        <w:rPr>
          <w:rFonts w:ascii="Arial" w:hAnsi="Arial" w:cs="Arial"/>
          <w:sz w:val="24"/>
          <w:szCs w:val="24"/>
        </w:rPr>
        <w:t>NucliSENS</w:t>
      </w:r>
      <w:proofErr w:type="spellEnd"/>
      <w:r w:rsidRPr="007934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4FB">
        <w:rPr>
          <w:rFonts w:ascii="Arial" w:hAnsi="Arial" w:cs="Arial"/>
          <w:sz w:val="24"/>
          <w:szCs w:val="24"/>
        </w:rPr>
        <w:t>easyMAG</w:t>
      </w:r>
      <w:proofErr w:type="spellEnd"/>
      <w:r w:rsidRPr="007934FB">
        <w:rPr>
          <w:rFonts w:ascii="Arial" w:hAnsi="Arial" w:cs="Arial"/>
          <w:sz w:val="24"/>
          <w:szCs w:val="24"/>
        </w:rPr>
        <w:t xml:space="preserve"> platform (</w:t>
      </w:r>
      <w:proofErr w:type="spellStart"/>
      <w:r w:rsidRPr="007934FB">
        <w:rPr>
          <w:rFonts w:ascii="Arial" w:hAnsi="Arial" w:cs="Arial"/>
          <w:sz w:val="24"/>
          <w:szCs w:val="24"/>
        </w:rPr>
        <w:t>BioMérieux</w:t>
      </w:r>
      <w:proofErr w:type="spellEnd"/>
      <w:r w:rsidRPr="007934FB">
        <w:rPr>
          <w:rFonts w:ascii="Arial" w:hAnsi="Arial" w:cs="Arial"/>
          <w:sz w:val="24"/>
          <w:szCs w:val="24"/>
        </w:rPr>
        <w:t>, Basingstoke, UK; generic 2.0.1 protocol) from 200μl of plasma and eluted into 40μl of buffer. NGS libraries were assembled using the KAPA stranded RNA-</w:t>
      </w:r>
      <w:proofErr w:type="spellStart"/>
      <w:r w:rsidRPr="007934FB">
        <w:rPr>
          <w:rFonts w:ascii="Arial" w:hAnsi="Arial" w:cs="Arial"/>
          <w:sz w:val="24"/>
          <w:szCs w:val="24"/>
        </w:rPr>
        <w:t>seq</w:t>
      </w:r>
      <w:proofErr w:type="spellEnd"/>
      <w:r w:rsidRPr="007934FB">
        <w:rPr>
          <w:rFonts w:ascii="Arial" w:hAnsi="Arial" w:cs="Arial"/>
          <w:sz w:val="24"/>
          <w:szCs w:val="24"/>
        </w:rPr>
        <w:t xml:space="preserve"> kit (Kappa, UK). Libraries were quality checked and quantified by the 2200 </w:t>
      </w:r>
      <w:proofErr w:type="spellStart"/>
      <w:r w:rsidRPr="007934FB">
        <w:rPr>
          <w:rFonts w:ascii="Arial" w:hAnsi="Arial" w:cs="Arial"/>
          <w:sz w:val="24"/>
          <w:szCs w:val="24"/>
        </w:rPr>
        <w:t>Tapestation</w:t>
      </w:r>
      <w:proofErr w:type="spellEnd"/>
      <w:r w:rsidRPr="007934FB">
        <w:rPr>
          <w:rFonts w:ascii="Arial" w:hAnsi="Arial" w:cs="Arial"/>
          <w:sz w:val="24"/>
          <w:szCs w:val="24"/>
        </w:rPr>
        <w:t xml:space="preserve"> (Agilent, Santa Clara, USA) and Qubit™ 3.0 </w:t>
      </w:r>
      <w:proofErr w:type="spellStart"/>
      <w:r w:rsidRPr="007934FB">
        <w:rPr>
          <w:rFonts w:ascii="Arial" w:hAnsi="Arial" w:cs="Arial"/>
          <w:sz w:val="24"/>
          <w:szCs w:val="24"/>
        </w:rPr>
        <w:t>fluorometer</w:t>
      </w:r>
      <w:proofErr w:type="spellEnd"/>
      <w:r w:rsidRPr="007934FB">
        <w:rPr>
          <w:rFonts w:ascii="Arial" w:hAnsi="Arial" w:cs="Arial"/>
          <w:sz w:val="24"/>
          <w:szCs w:val="24"/>
        </w:rPr>
        <w:t xml:space="preserve"> (Invitrogen), prior to target enrichment. A custom set of </w:t>
      </w:r>
      <w:proofErr w:type="spellStart"/>
      <w:r w:rsidRPr="007934FB">
        <w:rPr>
          <w:rFonts w:ascii="Arial" w:hAnsi="Arial" w:cs="Arial"/>
          <w:sz w:val="24"/>
          <w:szCs w:val="24"/>
        </w:rPr>
        <w:t>NimbleGen</w:t>
      </w:r>
      <w:proofErr w:type="spellEnd"/>
      <w:r w:rsidRPr="007934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34F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SeqCap</w:t>
      </w:r>
      <w:proofErr w:type="spellEnd"/>
      <w:r w:rsidRPr="007934F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EZ HEV probes</w:t>
      </w:r>
      <w:r w:rsidRPr="007934FB">
        <w:rPr>
          <w:rFonts w:ascii="Arial" w:hAnsi="Arial" w:cs="Arial"/>
          <w:sz w:val="24"/>
          <w:szCs w:val="24"/>
        </w:rPr>
        <w:t xml:space="preserve"> (Roche) were used for target enrichment by hybridization for 48 hours. After 14 rounds of PCR the resultant pools were sequenced using the </w:t>
      </w:r>
      <w:proofErr w:type="spellStart"/>
      <w:r w:rsidRPr="007934FB">
        <w:rPr>
          <w:rFonts w:ascii="Arial" w:hAnsi="Arial" w:cs="Arial"/>
          <w:sz w:val="24"/>
          <w:szCs w:val="24"/>
        </w:rPr>
        <w:t>NextSeq</w:t>
      </w:r>
      <w:proofErr w:type="spellEnd"/>
      <w:r w:rsidRPr="007934FB">
        <w:rPr>
          <w:rFonts w:ascii="Arial" w:hAnsi="Arial" w:cs="Arial"/>
          <w:sz w:val="24"/>
          <w:szCs w:val="24"/>
        </w:rPr>
        <w:t>™ sequencing system (Illumina).</w:t>
      </w:r>
    </w:p>
    <w:p w:rsidR="00F74F31" w:rsidRPr="007934FB" w:rsidRDefault="00F74F31" w:rsidP="00337C0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34FB">
        <w:rPr>
          <w:rFonts w:ascii="Arial" w:hAnsi="Arial" w:cs="Arial"/>
          <w:b/>
          <w:bCs/>
          <w:sz w:val="24"/>
          <w:szCs w:val="24"/>
        </w:rPr>
        <w:t>Bioinformatics for Illumina whole genome sequencing</w:t>
      </w:r>
    </w:p>
    <w:p w:rsidR="00F74F31" w:rsidRPr="001F5619" w:rsidRDefault="00F74F31" w:rsidP="00337C0C">
      <w:pPr>
        <w:spacing w:after="0" w:line="480" w:lineRule="auto"/>
        <w:rPr>
          <w:b/>
        </w:rPr>
      </w:pPr>
      <w:r w:rsidRPr="007934FB">
        <w:rPr>
          <w:rFonts w:ascii="Arial" w:hAnsi="Arial" w:cs="Arial"/>
          <w:sz w:val="24"/>
          <w:szCs w:val="24"/>
        </w:rPr>
        <w:t xml:space="preserve">FASTQ files generated from short-read Illumina sequencing underwent quality control screening (Trim Galore version 0.4.0, </w:t>
      </w:r>
      <w:proofErr w:type="spellStart"/>
      <w:r w:rsidRPr="007934FB">
        <w:rPr>
          <w:rFonts w:ascii="Arial" w:hAnsi="Arial" w:cs="Arial"/>
          <w:sz w:val="24"/>
          <w:szCs w:val="24"/>
        </w:rPr>
        <w:t>Cutadapt</w:t>
      </w:r>
      <w:proofErr w:type="spellEnd"/>
      <w:r w:rsidRPr="007934FB">
        <w:rPr>
          <w:rFonts w:ascii="Arial" w:hAnsi="Arial" w:cs="Arial"/>
          <w:sz w:val="24"/>
          <w:szCs w:val="24"/>
        </w:rPr>
        <w:t xml:space="preserve"> version 1.16, </w:t>
      </w:r>
      <w:proofErr w:type="spellStart"/>
      <w:r w:rsidRPr="007934FB">
        <w:rPr>
          <w:rFonts w:ascii="Arial" w:hAnsi="Arial" w:cs="Arial"/>
          <w:sz w:val="24"/>
          <w:szCs w:val="24"/>
        </w:rPr>
        <w:t>Phred</w:t>
      </w:r>
      <w:proofErr w:type="spellEnd"/>
      <w:r w:rsidRPr="007934FB">
        <w:rPr>
          <w:rFonts w:ascii="Arial" w:hAnsi="Arial" w:cs="Arial"/>
          <w:sz w:val="24"/>
          <w:szCs w:val="24"/>
        </w:rPr>
        <w:t xml:space="preserve"> score cut-off 30 using ASCII+33 quality encoding). Trimmed files were subsequently used to generate SAM files by reference mapping against the proposed HEV reference sequences using </w:t>
      </w:r>
      <w:proofErr w:type="spellStart"/>
      <w:r w:rsidRPr="007934FB">
        <w:rPr>
          <w:rFonts w:ascii="Arial" w:hAnsi="Arial" w:cs="Arial"/>
          <w:sz w:val="24"/>
          <w:szCs w:val="24"/>
        </w:rPr>
        <w:t>Tanoti</w:t>
      </w:r>
      <w:proofErr w:type="spellEnd"/>
      <w:r w:rsidRPr="007934FB">
        <w:rPr>
          <w:rFonts w:ascii="Arial" w:hAnsi="Arial" w:cs="Arial"/>
          <w:sz w:val="24"/>
          <w:szCs w:val="24"/>
        </w:rPr>
        <w:t xml:space="preserve"> and consensus sequences produced (</w:t>
      </w:r>
      <w:hyperlink r:id="rId7" w:history="1">
        <w:r w:rsidRPr="007934FB">
          <w:rPr>
            <w:rStyle w:val="Hyperlink"/>
            <w:rFonts w:ascii="Arial" w:hAnsi="Arial" w:cs="Arial"/>
            <w:sz w:val="24"/>
            <w:szCs w:val="24"/>
          </w:rPr>
          <w:t>http://bioinformatics.cvr.ac.uk/tanoti.php</w:t>
        </w:r>
      </w:hyperlink>
      <w:r w:rsidR="006F46AC">
        <w:rPr>
          <w:rFonts w:ascii="Arial" w:hAnsi="Arial" w:cs="Arial"/>
          <w:sz w:val="24"/>
          <w:szCs w:val="24"/>
        </w:rPr>
        <w:t>)</w:t>
      </w:r>
      <w:r w:rsidRPr="007934FB">
        <w:rPr>
          <w:rFonts w:ascii="Arial" w:hAnsi="Arial" w:cs="Arial"/>
          <w:sz w:val="24"/>
          <w:szCs w:val="24"/>
        </w:rPr>
        <w:t xml:space="preserve">. Sequences were aligned using MAFFT sequence alignment program (https://mafft.cbrc.jp/alignment/software/). Aligned consensus sequences were viewed in </w:t>
      </w:r>
      <w:proofErr w:type="spellStart"/>
      <w:r w:rsidRPr="007934FB">
        <w:rPr>
          <w:rFonts w:ascii="Arial" w:hAnsi="Arial" w:cs="Arial"/>
          <w:sz w:val="24"/>
          <w:szCs w:val="24"/>
        </w:rPr>
        <w:t>BioEdit</w:t>
      </w:r>
      <w:proofErr w:type="spellEnd"/>
      <w:r w:rsidRPr="007934FB">
        <w:rPr>
          <w:rFonts w:ascii="Arial" w:hAnsi="Arial" w:cs="Arial"/>
          <w:sz w:val="24"/>
          <w:szCs w:val="24"/>
        </w:rPr>
        <w:t xml:space="preserve"> (Version 7.2.5) and the GLUE system, loaded with the HEV-GLUE project (</w:t>
      </w:r>
      <w:hyperlink r:id="rId8" w:history="1">
        <w:r w:rsidRPr="007934FB">
          <w:rPr>
            <w:rStyle w:val="Hyperlink"/>
            <w:rFonts w:ascii="Arial" w:hAnsi="Arial" w:cs="Arial"/>
            <w:sz w:val="24"/>
            <w:szCs w:val="24"/>
          </w:rPr>
          <w:t>http://hev.glue.cvr.ac.uk</w:t>
        </w:r>
      </w:hyperlink>
      <w:r w:rsidRPr="007934FB">
        <w:rPr>
          <w:rFonts w:ascii="Arial" w:hAnsi="Arial" w:cs="Arial"/>
          <w:sz w:val="24"/>
          <w:szCs w:val="24"/>
        </w:rPr>
        <w:t xml:space="preserve">), was used to analyse SAM files for amino acid polymorphisms at specific loci identified by </w:t>
      </w:r>
      <w:proofErr w:type="spellStart"/>
      <w:r w:rsidRPr="007934FB">
        <w:rPr>
          <w:rFonts w:ascii="Arial" w:hAnsi="Arial" w:cs="Arial"/>
          <w:sz w:val="24"/>
          <w:szCs w:val="24"/>
        </w:rPr>
        <w:t>BioEdit</w:t>
      </w:r>
      <w:proofErr w:type="spellEnd"/>
      <w:r w:rsidRPr="007934FB">
        <w:rPr>
          <w:rFonts w:ascii="Arial" w:hAnsi="Arial" w:cs="Arial"/>
          <w:sz w:val="24"/>
          <w:szCs w:val="24"/>
        </w:rPr>
        <w:t xml:space="preserve"> analysis</w:t>
      </w:r>
      <w:r w:rsidR="006F46AC">
        <w:rPr>
          <w:rFonts w:ascii="Arial" w:hAnsi="Arial" w:cs="Arial"/>
          <w:sz w:val="24"/>
          <w:szCs w:val="24"/>
        </w:rPr>
        <w:t xml:space="preserve"> </w:t>
      </w:r>
      <w:r w:rsidR="006F46AC">
        <w:rPr>
          <w:rFonts w:ascii="Arial" w:hAnsi="Arial" w:cs="Arial"/>
          <w:sz w:val="24"/>
          <w:szCs w:val="24"/>
        </w:rPr>
        <w:lastRenderedPageBreak/>
        <w:fldChar w:fldCharType="begin"/>
      </w:r>
      <w:r w:rsidR="006F46AC">
        <w:rPr>
          <w:rFonts w:ascii="Arial" w:hAnsi="Arial" w:cs="Arial"/>
          <w:sz w:val="24"/>
          <w:szCs w:val="24"/>
        </w:rPr>
        <w:instrText xml:space="preserve"> ADDIN EN.CITE &lt;EndNote&gt;&lt;Cite&gt;&lt;Author&gt;Singer&lt;/Author&gt;&lt;Year&gt;2018&lt;/Year&gt;&lt;RecNum&gt;3845&lt;/RecNum&gt;&lt;DisplayText&gt;[2]&lt;/DisplayText&gt;&lt;record&gt;&lt;rec-number&gt;3845&lt;/rec-number&gt;&lt;foreign-keys&gt;&lt;key app="EN" db-id="95twwexf5arvzlex52rvfrvdapf0p2pvwd2p" timestamp="1547497775"&gt;3845&lt;/key&gt;&lt;/foreign-keys&gt;&lt;ref-type name="Journal Article"&gt;17&lt;/ref-type&gt;&lt;contributors&gt;&lt;authors&gt;&lt;author&gt;Singer, J. B.&lt;/author&gt;&lt;author&gt;Thomson, E. C.&lt;/author&gt;&lt;author&gt;McLauchlan, J.&lt;/author&gt;&lt;author&gt;Hughes, J.&lt;/author&gt;&lt;author&gt;Gifford, R. J.&lt;/author&gt;&lt;/authors&gt;&lt;/contributors&gt;&lt;auth-address&gt;MRC-University of Glasgow Centre for Virus Research, Glasgow, Scotland, UK.&amp;#xD;MRC-University of Glasgow Centre for Virus Research, Glasgow, Scotland, UK. robert.gifford@glasgow.ac.uk.&lt;/auth-address&gt;&lt;titles&gt;&lt;title&gt;GLUE: a flexible software system for virus sequence data&lt;/title&gt;&lt;secondary-title&gt;BMC Bioinformatics&lt;/secondary-title&gt;&lt;/titles&gt;&lt;periodical&gt;&lt;full-title&gt;BMC Bioinformatics&lt;/full-title&gt;&lt;/periodical&gt;&lt;pages&gt;532&lt;/pages&gt;&lt;volume&gt;19&lt;/volume&gt;&lt;number&gt;1&lt;/number&gt;&lt;keywords&gt;&lt;keyword&gt;Sequence database&lt;/keyword&gt;&lt;keyword&gt;Virus evolution&lt;/keyword&gt;&lt;keyword&gt;Virus genotyping&lt;/keyword&gt;&lt;keyword&gt;Virus sequence data&lt;/keyword&gt;&lt;keyword&gt;Web-based bioinformatics&lt;/keyword&gt;&lt;/keywords&gt;&lt;dates&gt;&lt;year&gt;2018&lt;/year&gt;&lt;pub-dates&gt;&lt;date&gt;Dec 18&lt;/date&gt;&lt;/pub-dates&gt;&lt;/dates&gt;&lt;isbn&gt;1471-2105 (Electronic)&amp;#xD;1471-2105 (Linking)&lt;/isbn&gt;&lt;accession-num&gt;30563445&lt;/accession-num&gt;&lt;urls&gt;&lt;related-urls&gt;&lt;url&gt;https://www.ncbi.nlm.nih.gov/pubmed/30563445&lt;/url&gt;&lt;/related-urls&gt;&lt;/urls&gt;&lt;custom2&gt;PMC6299651&lt;/custom2&gt;&lt;electronic-resource-num&gt;10.1186/s12859-018-2459-9&lt;/electronic-resource-num&gt;&lt;/record&gt;&lt;/Cite&gt;&lt;/EndNote&gt;</w:instrText>
      </w:r>
      <w:r w:rsidR="006F46AC">
        <w:rPr>
          <w:rFonts w:ascii="Arial" w:hAnsi="Arial" w:cs="Arial"/>
          <w:sz w:val="24"/>
          <w:szCs w:val="24"/>
        </w:rPr>
        <w:fldChar w:fldCharType="separate"/>
      </w:r>
      <w:r w:rsidR="006F46AC">
        <w:rPr>
          <w:rFonts w:ascii="Arial" w:hAnsi="Arial" w:cs="Arial"/>
          <w:noProof/>
          <w:sz w:val="24"/>
          <w:szCs w:val="24"/>
        </w:rPr>
        <w:t>[2]</w:t>
      </w:r>
      <w:r w:rsidR="006F46AC">
        <w:rPr>
          <w:rFonts w:ascii="Arial" w:hAnsi="Arial" w:cs="Arial"/>
          <w:sz w:val="24"/>
          <w:szCs w:val="24"/>
        </w:rPr>
        <w:fldChar w:fldCharType="end"/>
      </w:r>
      <w:r w:rsidRPr="007934FB">
        <w:rPr>
          <w:rFonts w:ascii="Arial" w:hAnsi="Arial" w:cs="Arial"/>
          <w:sz w:val="24"/>
          <w:szCs w:val="24"/>
        </w:rPr>
        <w:t>. Amino acid variations were only called at loci when the depth of reads exceeded 10 and frequencies only recorded when in excess of 5% of the viral population</w:t>
      </w:r>
      <w:r w:rsidR="00337C0C">
        <w:rPr>
          <w:rFonts w:ascii="Arial" w:hAnsi="Arial" w:cs="Arial"/>
          <w:sz w:val="24"/>
          <w:szCs w:val="24"/>
        </w:rPr>
        <w:t xml:space="preserve"> using </w:t>
      </w:r>
      <w:proofErr w:type="spellStart"/>
      <w:r w:rsidR="00337C0C">
        <w:rPr>
          <w:rFonts w:ascii="Arial" w:hAnsi="Arial" w:cs="Arial"/>
          <w:sz w:val="24"/>
          <w:szCs w:val="24"/>
        </w:rPr>
        <w:t>samReporter</w:t>
      </w:r>
      <w:proofErr w:type="spellEnd"/>
      <w:r w:rsidR="00337C0C">
        <w:rPr>
          <w:rFonts w:ascii="Arial" w:hAnsi="Arial" w:cs="Arial"/>
          <w:sz w:val="24"/>
          <w:szCs w:val="24"/>
        </w:rPr>
        <w:t xml:space="preserve"> </w:t>
      </w:r>
      <w:r w:rsidR="00F71B2F">
        <w:rPr>
          <w:rFonts w:ascii="Arial" w:hAnsi="Arial" w:cs="Arial"/>
          <w:sz w:val="24"/>
          <w:szCs w:val="24"/>
        </w:rPr>
        <w:fldChar w:fldCharType="begin"/>
      </w:r>
      <w:r w:rsidR="00F71B2F">
        <w:rPr>
          <w:rFonts w:ascii="Arial" w:hAnsi="Arial" w:cs="Arial"/>
          <w:sz w:val="24"/>
          <w:szCs w:val="24"/>
        </w:rPr>
        <w:instrText xml:space="preserve"> ADDIN EN.CITE &lt;EndNote&gt;&lt;Cite&gt;&lt;Author&gt;Singer&lt;/Author&gt;&lt;Year&gt;2019&lt;/Year&gt;&lt;IDText&gt;Interpreting Viral Deep Sequencing Data with GLUE&lt;/IDText&gt;&lt;DisplayText&gt;[3]&lt;/DisplayText&gt;&lt;record&gt;&lt;dates&gt;&lt;pub-dates&gt;&lt;date&gt;Apr&lt;/date&gt;&lt;/pub-dates&gt;&lt;year&gt;2019&lt;/year&gt;&lt;/dates&gt;&lt;keywords&gt;&lt;keyword&gt;bioinformatics&lt;/keyword&gt;&lt;keyword&gt;deep sequencing&lt;/keyword&gt;&lt;keyword&gt;drug resistance&lt;/keyword&gt;&lt;keyword&gt;hepatitis C virus&lt;/keyword&gt;&lt;keyword&gt;sequence interpretation&lt;/keyword&gt;&lt;keyword&gt;variant calling&lt;/keyword&gt;&lt;keyword&gt;virus genomics&lt;/keyword&gt;&lt;/keywords&gt;&lt;urls&gt;&lt;related-urls&gt;&lt;url&gt;https://www.ncbi.nlm.nih.gov/pubmed/30987147&lt;/url&gt;&lt;/related-urls&gt;&lt;/urls&gt;&lt;isbn&gt;1999-4915&lt;/isbn&gt;&lt;titles&gt;&lt;title&gt;Interpreting Viral Deep Sequencing Data with GLUE&lt;/title&gt;&lt;secondary-title&gt;Viruses&lt;/secondary-title&gt;&lt;/titles&gt;&lt;number&gt;4&lt;/number&gt;&lt;contributors&gt;&lt;authors&gt;&lt;author&gt;Singer, J. B.&lt;/author&gt;&lt;author&gt;Thomson, E. C.&lt;/author&gt;&lt;author&gt;Hughes, J.&lt;/author&gt;&lt;author&gt;Aranday-Cortes, E.&lt;/author&gt;&lt;author&gt;McLauchlan, J.&lt;/author&gt;&lt;author&gt;da Silva Filipe, A.&lt;/author&gt;&lt;author&gt;Tong, L.&lt;/author&gt;&lt;author&gt;Manso, C. F.&lt;/author&gt;&lt;author&gt;Gifford, R. J.&lt;/author&gt;&lt;author&gt;Robertson, D. L.&lt;/author&gt;&lt;author&gt;Barnes, E.&lt;/author&gt;&lt;author&gt;Ansari, M. A.&lt;/author&gt;&lt;author&gt;Mbisa, J. L.&lt;/author&gt;&lt;author&gt;Bibby, D. F.&lt;/author&gt;&lt;author&gt;Bradshaw, D.&lt;/author&gt;&lt;author&gt;Smith, D.&lt;/author&gt;&lt;/authors&gt;&lt;/contributors&gt;&lt;edition&gt;2019/04/03&lt;/edition&gt;&lt;language&gt;eng&lt;/language&gt;&lt;added-date format="utc"&gt;1558560512&lt;/added-date&gt;&lt;ref-type name="Journal Article"&gt;17&lt;/ref-type&gt;&lt;rec-number&gt;3853&lt;/rec-number&gt;&lt;last-updated-date format="utc"&gt;1558560512&lt;/last-updated-date&gt;&lt;accession-num&gt;30987147&lt;/accession-num&gt;&lt;electronic-resource-num&gt;10.3390/v11040323&lt;/electronic-resource-num&gt;&lt;volume&gt;11&lt;/volume&gt;&lt;/record&gt;&lt;/Cite&gt;&lt;/EndNote&gt;</w:instrText>
      </w:r>
      <w:r w:rsidR="00F71B2F">
        <w:rPr>
          <w:rFonts w:ascii="Arial" w:hAnsi="Arial" w:cs="Arial"/>
          <w:sz w:val="24"/>
          <w:szCs w:val="24"/>
        </w:rPr>
        <w:fldChar w:fldCharType="separate"/>
      </w:r>
      <w:r w:rsidR="00F71B2F">
        <w:rPr>
          <w:rFonts w:ascii="Arial" w:hAnsi="Arial" w:cs="Arial"/>
          <w:noProof/>
          <w:sz w:val="24"/>
          <w:szCs w:val="24"/>
        </w:rPr>
        <w:t>[3]</w:t>
      </w:r>
      <w:r w:rsidR="00F71B2F">
        <w:rPr>
          <w:rFonts w:ascii="Arial" w:hAnsi="Arial" w:cs="Arial"/>
          <w:sz w:val="24"/>
          <w:szCs w:val="24"/>
        </w:rPr>
        <w:fldChar w:fldCharType="end"/>
      </w:r>
      <w:r w:rsidRPr="007934FB">
        <w:rPr>
          <w:rFonts w:ascii="Arial" w:hAnsi="Arial" w:cs="Arial"/>
          <w:sz w:val="24"/>
          <w:szCs w:val="24"/>
        </w:rPr>
        <w:t>.</w:t>
      </w:r>
    </w:p>
    <w:p w:rsidR="00970FB8" w:rsidRDefault="00970FB8"/>
    <w:p w:rsidR="00970FB8" w:rsidRDefault="00970FB8"/>
    <w:p w:rsidR="00F71B2F" w:rsidRPr="00F71B2F" w:rsidRDefault="00970FB8" w:rsidP="00F71B2F">
      <w:pPr>
        <w:pStyle w:val="EndNoteBibliography"/>
        <w:numPr>
          <w:ilvl w:val="0"/>
          <w:numId w:val="0"/>
        </w:numPr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71B2F" w:rsidRPr="00F71B2F">
        <w:t>[1]</w:t>
      </w:r>
      <w:r w:rsidR="00F71B2F" w:rsidRPr="00F71B2F">
        <w:tab/>
        <w:t>Ankcorn MJ, Ijaz S, Haywood B, Neuberger J, Elsharkawy AM, Maggs J, et al. Confirmation of specificity of reactivity in a solid phase ELISA for the detection of hepatitis E viral antigen improves utility of the assay. Journal of Virological Methods 2018;252:42-48.</w:t>
      </w:r>
    </w:p>
    <w:p w:rsidR="00F71B2F" w:rsidRPr="00F71B2F" w:rsidRDefault="00F71B2F" w:rsidP="00F71B2F">
      <w:pPr>
        <w:pStyle w:val="EndNoteBibliography"/>
        <w:numPr>
          <w:ilvl w:val="0"/>
          <w:numId w:val="0"/>
        </w:numPr>
        <w:spacing w:after="0"/>
      </w:pPr>
      <w:r w:rsidRPr="00F71B2F">
        <w:t>[2]</w:t>
      </w:r>
      <w:r w:rsidRPr="00F71B2F">
        <w:tab/>
        <w:t>Singer JB, Thomson EC, McLauchlan J, Hughes J, Gifford RJ. GLUE: a flexible software system for virus sequence data. BMC Bioinformatics 2018;19:532.</w:t>
      </w:r>
    </w:p>
    <w:p w:rsidR="00F71B2F" w:rsidRPr="00F71B2F" w:rsidRDefault="00F71B2F" w:rsidP="00F71B2F">
      <w:pPr>
        <w:pStyle w:val="EndNoteBibliography"/>
        <w:numPr>
          <w:ilvl w:val="0"/>
          <w:numId w:val="0"/>
        </w:numPr>
      </w:pPr>
      <w:r w:rsidRPr="00F71B2F">
        <w:t>[3]</w:t>
      </w:r>
      <w:r w:rsidRPr="00F71B2F">
        <w:tab/>
        <w:t>Singer JB, Thomson EC, Hughes J, Aranday-Cortes E, McLauchlan J, da Silva Filipe A, et al. Interpreting Viral Deep Sequencing Data with GLUE. Viruses 2019;11.</w:t>
      </w:r>
    </w:p>
    <w:p w:rsidR="00DC699D" w:rsidRDefault="00970FB8" w:rsidP="00F71B2F">
      <w:r>
        <w:fldChar w:fldCharType="end"/>
      </w:r>
      <w:bookmarkStart w:id="0" w:name="_GoBack"/>
      <w:bookmarkEnd w:id="0"/>
    </w:p>
    <w:sectPr w:rsidR="00DC699D" w:rsidSect="00FD7C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395"/>
    <w:multiLevelType w:val="hybridMultilevel"/>
    <w:tmpl w:val="3FB6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1D51"/>
    <w:multiLevelType w:val="multilevel"/>
    <w:tmpl w:val="76AADEE8"/>
    <w:lvl w:ilvl="0">
      <w:start w:val="8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BB85326"/>
    <w:multiLevelType w:val="hybridMultilevel"/>
    <w:tmpl w:val="CEC4ACD6"/>
    <w:lvl w:ilvl="0" w:tplc="C2CEF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4570"/>
    <w:multiLevelType w:val="hybridMultilevel"/>
    <w:tmpl w:val="52645254"/>
    <w:lvl w:ilvl="0" w:tplc="F3606FA6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A040F"/>
    <w:multiLevelType w:val="hybridMultilevel"/>
    <w:tmpl w:val="A11E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Hepa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4F31"/>
    <w:rsid w:val="00163F55"/>
    <w:rsid w:val="001A221A"/>
    <w:rsid w:val="00256B2D"/>
    <w:rsid w:val="00337C0C"/>
    <w:rsid w:val="003E3FF0"/>
    <w:rsid w:val="00450C66"/>
    <w:rsid w:val="006A535F"/>
    <w:rsid w:val="006F46AC"/>
    <w:rsid w:val="00970FB8"/>
    <w:rsid w:val="00A27CB2"/>
    <w:rsid w:val="00A76FC7"/>
    <w:rsid w:val="00B30B42"/>
    <w:rsid w:val="00DC699D"/>
    <w:rsid w:val="00E16517"/>
    <w:rsid w:val="00E211AF"/>
    <w:rsid w:val="00E7193A"/>
    <w:rsid w:val="00F71B2F"/>
    <w:rsid w:val="00F74F31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74F31"/>
    <w:pPr>
      <w:spacing w:after="200" w:line="276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rsid w:val="00E7193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ain1"/>
    <w:basedOn w:val="Normal"/>
    <w:link w:val="Heading2Char"/>
    <w:uiPriority w:val="9"/>
    <w:qFormat/>
    <w:rsid w:val="00F7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aliases w:val="Main2"/>
    <w:basedOn w:val="Heading1"/>
    <w:next w:val="Normal"/>
    <w:link w:val="Heading3Char"/>
    <w:autoRedefine/>
    <w:uiPriority w:val="9"/>
    <w:unhideWhenUsed/>
    <w:qFormat/>
    <w:rsid w:val="00E7193A"/>
    <w:pPr>
      <w:numPr>
        <w:ilvl w:val="2"/>
      </w:numPr>
      <w:spacing w:before="200"/>
      <w:outlineLvl w:val="2"/>
    </w:pPr>
    <w:rPr>
      <w:rFonts w:ascii="Times New Roman" w:hAnsi="Times New Roman" w:cs="Times New Roman"/>
      <w:bCs w:val="0"/>
      <w:color w:val="000000" w:themeColor="text1"/>
      <w:sz w:val="24"/>
    </w:rPr>
  </w:style>
  <w:style w:type="paragraph" w:styleId="Heading4">
    <w:name w:val="heading 4"/>
    <w:aliases w:val="Main3"/>
    <w:basedOn w:val="Heading2"/>
    <w:next w:val="Normal"/>
    <w:link w:val="Heading4Char"/>
    <w:autoRedefine/>
    <w:uiPriority w:val="9"/>
    <w:unhideWhenUsed/>
    <w:qFormat/>
    <w:rsid w:val="00E7193A"/>
    <w:pPr>
      <w:numPr>
        <w:ilvl w:val="3"/>
      </w:numPr>
      <w:outlineLvl w:val="3"/>
    </w:pPr>
    <w:rPr>
      <w:bCs w:val="0"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93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9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ain1 Char"/>
    <w:basedOn w:val="DefaultParagraphFont"/>
    <w:link w:val="Heading2"/>
    <w:uiPriority w:val="9"/>
    <w:rsid w:val="00F74F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aliases w:val="Main2 Char"/>
    <w:basedOn w:val="DefaultParagraphFont"/>
    <w:link w:val="Heading3"/>
    <w:uiPriority w:val="9"/>
    <w:rsid w:val="00E7193A"/>
    <w:rPr>
      <w:rFonts w:ascii="Times New Roman" w:eastAsiaTheme="majorEastAsia" w:hAnsi="Times New Roman" w:cs="Times New Roman"/>
      <w:b/>
      <w:color w:val="000000" w:themeColor="text1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71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aliases w:val="Main3 Char"/>
    <w:basedOn w:val="DefaultParagraphFont"/>
    <w:link w:val="Heading4"/>
    <w:uiPriority w:val="9"/>
    <w:rsid w:val="00E7193A"/>
    <w:rPr>
      <w:rFonts w:ascii="Times New Roman" w:eastAsiaTheme="majorEastAsia" w:hAnsi="Times New Roman" w:cs="Times New Roman"/>
      <w:b/>
      <w:iCs/>
      <w:color w:val="000000" w:themeColor="tex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9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9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74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F31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31"/>
  </w:style>
  <w:style w:type="paragraph" w:styleId="Footer">
    <w:name w:val="footer"/>
    <w:basedOn w:val="Normal"/>
    <w:link w:val="FooterChar"/>
    <w:uiPriority w:val="99"/>
    <w:unhideWhenUsed/>
    <w:rsid w:val="00F74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31"/>
  </w:style>
  <w:style w:type="paragraph" w:customStyle="1" w:styleId="EndNoteBibliographyTitle">
    <w:name w:val="EndNote Bibliography Title"/>
    <w:basedOn w:val="Normal"/>
    <w:link w:val="EndNoteBibliographyTitleChar"/>
    <w:rsid w:val="00F74F3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4F31"/>
  </w:style>
  <w:style w:type="character" w:customStyle="1" w:styleId="EndNoteBibliographyTitleChar">
    <w:name w:val="EndNote Bibliography Title Char"/>
    <w:basedOn w:val="ListParagraphChar"/>
    <w:link w:val="EndNoteBibliographyTitle"/>
    <w:rsid w:val="00F74F3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74F31"/>
    <w:pPr>
      <w:numPr>
        <w:numId w:val="6"/>
      </w:num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F74F31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F74F31"/>
  </w:style>
  <w:style w:type="character" w:styleId="CommentReference">
    <w:name w:val="annotation reference"/>
    <w:basedOn w:val="DefaultParagraphFont"/>
    <w:uiPriority w:val="99"/>
    <w:semiHidden/>
    <w:unhideWhenUsed/>
    <w:rsid w:val="00F74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F31"/>
    <w:rPr>
      <w:b/>
      <w:bCs/>
      <w:sz w:val="20"/>
      <w:szCs w:val="20"/>
    </w:rPr>
  </w:style>
  <w:style w:type="character" w:customStyle="1" w:styleId="role">
    <w:name w:val="role"/>
    <w:basedOn w:val="DefaultParagraphFont"/>
    <w:rsid w:val="00F74F31"/>
  </w:style>
  <w:style w:type="character" w:styleId="Hyperlink">
    <w:name w:val="Hyperlink"/>
    <w:basedOn w:val="DefaultParagraphFont"/>
    <w:uiPriority w:val="99"/>
    <w:unhideWhenUsed/>
    <w:rsid w:val="00F74F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F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74F31"/>
    <w:pPr>
      <w:spacing w:after="200" w:line="276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rsid w:val="00E7193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ain1"/>
    <w:basedOn w:val="Normal"/>
    <w:link w:val="Heading2Char"/>
    <w:uiPriority w:val="9"/>
    <w:qFormat/>
    <w:rsid w:val="00F7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aliases w:val="Main2"/>
    <w:basedOn w:val="Heading1"/>
    <w:next w:val="Normal"/>
    <w:link w:val="Heading3Char"/>
    <w:autoRedefine/>
    <w:uiPriority w:val="9"/>
    <w:unhideWhenUsed/>
    <w:qFormat/>
    <w:rsid w:val="00E7193A"/>
    <w:pPr>
      <w:numPr>
        <w:ilvl w:val="2"/>
      </w:numPr>
      <w:spacing w:before="200"/>
      <w:outlineLvl w:val="2"/>
    </w:pPr>
    <w:rPr>
      <w:rFonts w:ascii="Times New Roman" w:hAnsi="Times New Roman" w:cs="Times New Roman"/>
      <w:bCs w:val="0"/>
      <w:color w:val="000000" w:themeColor="text1"/>
      <w:sz w:val="24"/>
    </w:rPr>
  </w:style>
  <w:style w:type="paragraph" w:styleId="Heading4">
    <w:name w:val="heading 4"/>
    <w:aliases w:val="Main3"/>
    <w:basedOn w:val="Heading2"/>
    <w:next w:val="Normal"/>
    <w:link w:val="Heading4Char"/>
    <w:autoRedefine/>
    <w:uiPriority w:val="9"/>
    <w:unhideWhenUsed/>
    <w:qFormat/>
    <w:rsid w:val="00E7193A"/>
    <w:pPr>
      <w:numPr>
        <w:ilvl w:val="3"/>
      </w:numPr>
      <w:outlineLvl w:val="3"/>
    </w:pPr>
    <w:rPr>
      <w:bCs w:val="0"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93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9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ain1 Char"/>
    <w:basedOn w:val="DefaultParagraphFont"/>
    <w:link w:val="Heading2"/>
    <w:uiPriority w:val="9"/>
    <w:rsid w:val="00F74F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aliases w:val="Main2 Char"/>
    <w:basedOn w:val="DefaultParagraphFont"/>
    <w:link w:val="Heading3"/>
    <w:uiPriority w:val="9"/>
    <w:rsid w:val="00E7193A"/>
    <w:rPr>
      <w:rFonts w:ascii="Times New Roman" w:eastAsiaTheme="majorEastAsia" w:hAnsi="Times New Roman" w:cs="Times New Roman"/>
      <w:b/>
      <w:color w:val="000000" w:themeColor="text1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71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aliases w:val="Main3 Char"/>
    <w:basedOn w:val="DefaultParagraphFont"/>
    <w:link w:val="Heading4"/>
    <w:uiPriority w:val="9"/>
    <w:rsid w:val="00E7193A"/>
    <w:rPr>
      <w:rFonts w:ascii="Times New Roman" w:eastAsiaTheme="majorEastAsia" w:hAnsi="Times New Roman" w:cs="Times New Roman"/>
      <w:b/>
      <w:iCs/>
      <w:color w:val="000000" w:themeColor="tex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9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9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74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F31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31"/>
  </w:style>
  <w:style w:type="paragraph" w:styleId="Footer">
    <w:name w:val="footer"/>
    <w:basedOn w:val="Normal"/>
    <w:link w:val="FooterChar"/>
    <w:uiPriority w:val="99"/>
    <w:unhideWhenUsed/>
    <w:rsid w:val="00F74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31"/>
  </w:style>
  <w:style w:type="paragraph" w:customStyle="1" w:styleId="EndNoteBibliographyTitle">
    <w:name w:val="EndNote Bibliography Title"/>
    <w:basedOn w:val="Normal"/>
    <w:link w:val="EndNoteBibliographyTitleChar"/>
    <w:rsid w:val="00F74F3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4F31"/>
  </w:style>
  <w:style w:type="character" w:customStyle="1" w:styleId="EndNoteBibliographyTitleChar">
    <w:name w:val="EndNote Bibliography Title Char"/>
    <w:basedOn w:val="ListParagraphChar"/>
    <w:link w:val="EndNoteBibliographyTitle"/>
    <w:rsid w:val="00F74F3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74F31"/>
    <w:pPr>
      <w:numPr>
        <w:numId w:val="6"/>
      </w:num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F74F31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F74F31"/>
  </w:style>
  <w:style w:type="character" w:styleId="CommentReference">
    <w:name w:val="annotation reference"/>
    <w:basedOn w:val="DefaultParagraphFont"/>
    <w:uiPriority w:val="99"/>
    <w:semiHidden/>
    <w:unhideWhenUsed/>
    <w:rsid w:val="00F74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F31"/>
    <w:rPr>
      <w:b/>
      <w:bCs/>
      <w:sz w:val="20"/>
      <w:szCs w:val="20"/>
    </w:rPr>
  </w:style>
  <w:style w:type="character" w:customStyle="1" w:styleId="role">
    <w:name w:val="role"/>
    <w:basedOn w:val="DefaultParagraphFont"/>
    <w:rsid w:val="00F74F31"/>
  </w:style>
  <w:style w:type="character" w:styleId="Hyperlink">
    <w:name w:val="Hyperlink"/>
    <w:basedOn w:val="DefaultParagraphFont"/>
    <w:uiPriority w:val="99"/>
    <w:unhideWhenUsed/>
    <w:rsid w:val="00F74F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bioinformatics.cvr.ac.uk/tanoti.php" TargetMode="External"/><Relationship Id="rId8" Type="http://schemas.openxmlformats.org/officeDocument/2006/relationships/hyperlink" Target="http://hev.glue.cvr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1750</Words>
  <Characters>9977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Ankcorn</dc:creator>
  <cp:lastModifiedBy>Michael Ankcorn</cp:lastModifiedBy>
  <cp:revision>2</cp:revision>
  <dcterms:created xsi:type="dcterms:W3CDTF">2019-05-22T21:30:00Z</dcterms:created>
  <dcterms:modified xsi:type="dcterms:W3CDTF">2019-05-22T21:30:00Z</dcterms:modified>
</cp:coreProperties>
</file>