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2BEDA" w14:textId="77777777" w:rsidR="00F90EFC" w:rsidRPr="00F90EFC" w:rsidRDefault="00F90EFC" w:rsidP="00F90EFC">
      <w:pPr>
        <w:spacing w:line="480" w:lineRule="auto"/>
        <w:rPr>
          <w:b/>
          <w:sz w:val="22"/>
        </w:rPr>
      </w:pPr>
      <w:r w:rsidRPr="00F90EFC">
        <w:rPr>
          <w:b/>
          <w:sz w:val="22"/>
        </w:rPr>
        <w:t>Authors:</w:t>
      </w:r>
    </w:p>
    <w:p w14:paraId="0A209647" w14:textId="7DC7AECE" w:rsidR="00F90EFC" w:rsidRPr="00F90EFC" w:rsidRDefault="00F90EFC" w:rsidP="00F90EFC">
      <w:pPr>
        <w:spacing w:line="480" w:lineRule="auto"/>
        <w:rPr>
          <w:sz w:val="22"/>
        </w:rPr>
      </w:pPr>
      <w:r w:rsidRPr="00F90EFC">
        <w:rPr>
          <w:sz w:val="22"/>
        </w:rPr>
        <w:t>Heather Catt,</w:t>
      </w:r>
      <w:r w:rsidRPr="00F90EFC">
        <w:rPr>
          <w:sz w:val="22"/>
          <w:vertAlign w:val="superscript"/>
        </w:rPr>
        <w:t>1</w:t>
      </w:r>
      <w:r w:rsidR="00980C5C">
        <w:rPr>
          <w:sz w:val="22"/>
          <w:vertAlign w:val="superscript"/>
        </w:rPr>
        <w:t>,2</w:t>
      </w:r>
      <w:r w:rsidRPr="00F90EFC">
        <w:rPr>
          <w:sz w:val="22"/>
        </w:rPr>
        <w:t xml:space="preserve"> Keith Bodger,</w:t>
      </w:r>
      <w:r w:rsidRPr="00F90EFC">
        <w:rPr>
          <w:sz w:val="22"/>
          <w:vertAlign w:val="superscript"/>
        </w:rPr>
        <w:t>1,</w:t>
      </w:r>
      <w:r w:rsidR="00980C5C">
        <w:rPr>
          <w:sz w:val="22"/>
          <w:vertAlign w:val="superscript"/>
        </w:rPr>
        <w:t>3</w:t>
      </w:r>
      <w:r w:rsidRPr="00F90EFC">
        <w:rPr>
          <w:sz w:val="22"/>
        </w:rPr>
        <w:t xml:space="preserve"> Jamie J Kirkham,</w:t>
      </w:r>
      <w:r w:rsidR="00980C5C" w:rsidRPr="00FD3F39">
        <w:rPr>
          <w:sz w:val="22"/>
          <w:vertAlign w:val="superscript"/>
        </w:rPr>
        <w:t>1,</w:t>
      </w:r>
      <w:r w:rsidR="00980C5C">
        <w:rPr>
          <w:sz w:val="22"/>
          <w:vertAlign w:val="superscript"/>
        </w:rPr>
        <w:t>4</w:t>
      </w:r>
      <w:r w:rsidRPr="00F90EFC">
        <w:rPr>
          <w:sz w:val="22"/>
        </w:rPr>
        <w:t xml:space="preserve"> Dyfrig A Hughes</w:t>
      </w:r>
      <w:r w:rsidR="00980C5C">
        <w:rPr>
          <w:sz w:val="22"/>
          <w:vertAlign w:val="superscript"/>
        </w:rPr>
        <w:t>5</w:t>
      </w:r>
    </w:p>
    <w:p w14:paraId="1F31D68B" w14:textId="77777777" w:rsidR="00F90EFC" w:rsidRPr="00F90EFC" w:rsidRDefault="00F90EFC" w:rsidP="00F90EFC">
      <w:pPr>
        <w:spacing w:line="480" w:lineRule="auto"/>
        <w:rPr>
          <w:b/>
          <w:sz w:val="22"/>
        </w:rPr>
      </w:pPr>
      <w:r w:rsidRPr="00F90EFC">
        <w:rPr>
          <w:b/>
          <w:sz w:val="22"/>
        </w:rPr>
        <w:t>Title:</w:t>
      </w:r>
    </w:p>
    <w:p w14:paraId="5600678A" w14:textId="77777777" w:rsidR="00F90EFC" w:rsidRPr="00F90EFC" w:rsidRDefault="00F90EFC" w:rsidP="00F90EFC">
      <w:pPr>
        <w:spacing w:line="480" w:lineRule="auto"/>
        <w:rPr>
          <w:b/>
          <w:sz w:val="22"/>
        </w:rPr>
      </w:pPr>
      <w:r w:rsidRPr="00F90EFC">
        <w:rPr>
          <w:sz w:val="22"/>
        </w:rPr>
        <w:t>Value assessment and quantitative benefit-risk modelling of biosimilar infliximab for Crohn’s disease</w:t>
      </w:r>
    </w:p>
    <w:p w14:paraId="6890F930" w14:textId="77777777" w:rsidR="00F90EFC" w:rsidRPr="00F90EFC" w:rsidRDefault="00F90EFC" w:rsidP="00F90EFC">
      <w:pPr>
        <w:spacing w:line="480" w:lineRule="auto"/>
        <w:rPr>
          <w:b/>
          <w:sz w:val="22"/>
        </w:rPr>
      </w:pPr>
      <w:r w:rsidRPr="00F90EFC">
        <w:rPr>
          <w:b/>
          <w:sz w:val="22"/>
        </w:rPr>
        <w:t>Affiliations:</w:t>
      </w:r>
    </w:p>
    <w:p w14:paraId="1CB4A166" w14:textId="60C8B9CD" w:rsidR="00F90EFC" w:rsidRPr="00F90EFC" w:rsidRDefault="00F90EFC" w:rsidP="00F90EFC">
      <w:pPr>
        <w:spacing w:line="480" w:lineRule="auto"/>
        <w:rPr>
          <w:sz w:val="22"/>
        </w:rPr>
      </w:pPr>
      <w:r w:rsidRPr="00F90EFC">
        <w:rPr>
          <w:sz w:val="22"/>
          <w:vertAlign w:val="superscript"/>
        </w:rPr>
        <w:t>1</w:t>
      </w:r>
      <w:r w:rsidRPr="00F90EFC">
        <w:rPr>
          <w:sz w:val="22"/>
        </w:rPr>
        <w:t xml:space="preserve">MRC North West Hub for Trials Methodology Research, Department of Biostatistics, University of Liverpool, Liverpool, UK; </w:t>
      </w:r>
      <w:r w:rsidR="00980C5C">
        <w:rPr>
          <w:sz w:val="22"/>
          <w:vertAlign w:val="superscript"/>
        </w:rPr>
        <w:t>2</w:t>
      </w:r>
      <w:r w:rsidR="00980C5C" w:rsidRPr="00980C5C">
        <w:rPr>
          <w:sz w:val="22"/>
        </w:rPr>
        <w:t>School of Health Sciences</w:t>
      </w:r>
      <w:r w:rsidR="00980C5C">
        <w:rPr>
          <w:sz w:val="22"/>
        </w:rPr>
        <w:t xml:space="preserve">, </w:t>
      </w:r>
      <w:r w:rsidR="00980C5C" w:rsidRPr="00980C5C">
        <w:rPr>
          <w:sz w:val="22"/>
        </w:rPr>
        <w:t>Division of Population Health, Health Services Research &amp; Primary Care</w:t>
      </w:r>
      <w:r w:rsidR="00980C5C">
        <w:rPr>
          <w:sz w:val="22"/>
        </w:rPr>
        <w:t xml:space="preserve">, Manchester University, Manchester, UK; </w:t>
      </w:r>
      <w:r w:rsidR="00980C5C">
        <w:rPr>
          <w:sz w:val="22"/>
          <w:vertAlign w:val="superscript"/>
        </w:rPr>
        <w:t>3</w:t>
      </w:r>
      <w:r w:rsidRPr="00F90EFC">
        <w:rPr>
          <w:sz w:val="22"/>
        </w:rPr>
        <w:t xml:space="preserve">Aintree University Hospital NHS Trust, Digestive Diseases Centre, Liverpool, UK; </w:t>
      </w:r>
      <w:r w:rsidR="00980C5C">
        <w:rPr>
          <w:sz w:val="22"/>
          <w:vertAlign w:val="superscript"/>
        </w:rPr>
        <w:t>4</w:t>
      </w:r>
      <w:r w:rsidR="009E0984" w:rsidRPr="009E0984">
        <w:rPr>
          <w:sz w:val="22"/>
        </w:rPr>
        <w:t>Centre for Biostatistics, Manchester Academic Health Science Centre, University of Manches</w:t>
      </w:r>
      <w:r w:rsidR="009E0984">
        <w:rPr>
          <w:sz w:val="22"/>
        </w:rPr>
        <w:t>ter, Manchester, UK;</w:t>
      </w:r>
      <w:r w:rsidR="009E0984" w:rsidRPr="009E0984">
        <w:rPr>
          <w:sz w:val="22"/>
        </w:rPr>
        <w:t xml:space="preserve"> </w:t>
      </w:r>
      <w:r w:rsidR="00980C5C">
        <w:rPr>
          <w:sz w:val="22"/>
          <w:vertAlign w:val="superscript"/>
        </w:rPr>
        <w:t>5</w:t>
      </w:r>
      <w:r w:rsidRPr="00F90EFC">
        <w:rPr>
          <w:sz w:val="22"/>
        </w:rPr>
        <w:t>Centre for Health Economics and Medicines Evaluation, Bangor University, Bangor, UK</w:t>
      </w:r>
      <w:r w:rsidRPr="00F90EFC" w:rsidDel="00DC56C6">
        <w:rPr>
          <w:sz w:val="22"/>
        </w:rPr>
        <w:t xml:space="preserve"> </w:t>
      </w:r>
    </w:p>
    <w:p w14:paraId="58A07C4D" w14:textId="77777777" w:rsidR="00F90EFC" w:rsidRPr="00F90EFC" w:rsidRDefault="00F90EFC" w:rsidP="00F90EFC">
      <w:pPr>
        <w:spacing w:line="480" w:lineRule="auto"/>
        <w:rPr>
          <w:b/>
          <w:sz w:val="22"/>
        </w:rPr>
      </w:pPr>
      <w:r w:rsidRPr="00F90EFC">
        <w:rPr>
          <w:b/>
          <w:sz w:val="22"/>
        </w:rPr>
        <w:t>Author</w:t>
      </w:r>
      <w:r w:rsidRPr="00F90EFC">
        <w:rPr>
          <w:b/>
          <w:sz w:val="22"/>
          <w:vertAlign w:val="superscript"/>
        </w:rPr>
        <w:t xml:space="preserve"> </w:t>
      </w:r>
      <w:r w:rsidRPr="00F90EFC">
        <w:rPr>
          <w:b/>
          <w:sz w:val="22"/>
        </w:rPr>
        <w:t>for correspondence:</w:t>
      </w:r>
    </w:p>
    <w:p w14:paraId="1FCD834C" w14:textId="77777777" w:rsidR="00F90EFC" w:rsidRPr="00F90EFC" w:rsidRDefault="00F90EFC" w:rsidP="00F90EFC">
      <w:pPr>
        <w:spacing w:line="480" w:lineRule="auto"/>
        <w:rPr>
          <w:sz w:val="22"/>
        </w:rPr>
      </w:pPr>
      <w:r w:rsidRPr="00F90EFC">
        <w:rPr>
          <w:sz w:val="22"/>
        </w:rPr>
        <w:t>Professor Dyfrig A. Hughes, Centre for Health Economics and Medicines Evaluation, Bangor University, Ardudwy, Holyhead Road, Bangor, UK, LL57 2PZ. Tel: +44 (0)1248 382950. E-mail: d.a.hughes@bangor.ac.uk</w:t>
      </w:r>
    </w:p>
    <w:p w14:paraId="2A32AE9C" w14:textId="77777777" w:rsidR="00F90EFC" w:rsidRPr="00F90EFC" w:rsidRDefault="00F90EFC" w:rsidP="00F90EFC">
      <w:pPr>
        <w:spacing w:line="480" w:lineRule="auto"/>
        <w:rPr>
          <w:sz w:val="22"/>
        </w:rPr>
      </w:pPr>
      <w:r w:rsidRPr="00F90EFC">
        <w:rPr>
          <w:b/>
          <w:sz w:val="22"/>
        </w:rPr>
        <w:t>ORCID numbers:</w:t>
      </w:r>
    </w:p>
    <w:p w14:paraId="756172C1" w14:textId="3764B762" w:rsidR="00F90EFC" w:rsidRPr="00F90EFC" w:rsidRDefault="00F90EFC" w:rsidP="00F90EFC">
      <w:pPr>
        <w:spacing w:after="0" w:line="480" w:lineRule="auto"/>
        <w:rPr>
          <w:sz w:val="22"/>
        </w:rPr>
      </w:pPr>
      <w:r w:rsidRPr="00F90EFC">
        <w:rPr>
          <w:sz w:val="22"/>
        </w:rPr>
        <w:t>Heather Catt:</w:t>
      </w:r>
      <w:r>
        <w:rPr>
          <w:sz w:val="22"/>
        </w:rPr>
        <w:t xml:space="preserve"> </w:t>
      </w:r>
      <w:r w:rsidRPr="00F90EFC">
        <w:rPr>
          <w:sz w:val="22"/>
        </w:rPr>
        <w:t>0000-0001-9515-7497</w:t>
      </w:r>
    </w:p>
    <w:p w14:paraId="367C5F62" w14:textId="77777777" w:rsidR="00F90EFC" w:rsidRPr="00F90EFC" w:rsidRDefault="00F90EFC" w:rsidP="00F90EFC">
      <w:pPr>
        <w:spacing w:after="0" w:line="480" w:lineRule="auto"/>
        <w:rPr>
          <w:sz w:val="22"/>
        </w:rPr>
      </w:pPr>
      <w:r w:rsidRPr="00F90EFC">
        <w:rPr>
          <w:sz w:val="22"/>
        </w:rPr>
        <w:t>Keith Bodger: 0000-0002-1825-3239</w:t>
      </w:r>
    </w:p>
    <w:p w14:paraId="5C640373" w14:textId="77777777" w:rsidR="00F90EFC" w:rsidRPr="00F90EFC" w:rsidRDefault="00F90EFC" w:rsidP="00F90EFC">
      <w:pPr>
        <w:spacing w:after="0" w:line="480" w:lineRule="auto"/>
        <w:rPr>
          <w:sz w:val="22"/>
        </w:rPr>
      </w:pPr>
      <w:r w:rsidRPr="00F90EFC">
        <w:rPr>
          <w:sz w:val="22"/>
        </w:rPr>
        <w:t>Jamie J Kirkham: 0000-0003-2579-9325</w:t>
      </w:r>
    </w:p>
    <w:p w14:paraId="03E52C3F" w14:textId="77777777" w:rsidR="00F90EFC" w:rsidRPr="00F90EFC" w:rsidRDefault="00F90EFC" w:rsidP="00F90EFC">
      <w:pPr>
        <w:spacing w:line="480" w:lineRule="auto"/>
        <w:rPr>
          <w:sz w:val="22"/>
        </w:rPr>
      </w:pPr>
      <w:r w:rsidRPr="00F90EFC">
        <w:rPr>
          <w:sz w:val="22"/>
        </w:rPr>
        <w:t>Dyfrig A Hughes: 0000-0001-8247-7459</w:t>
      </w:r>
    </w:p>
    <w:p w14:paraId="09DF1BB8" w14:textId="77777777" w:rsidR="00F90EFC" w:rsidRPr="00F90EFC" w:rsidRDefault="00F90EFC" w:rsidP="00F90EFC">
      <w:pPr>
        <w:spacing w:after="200" w:line="480" w:lineRule="auto"/>
        <w:rPr>
          <w:b/>
          <w:sz w:val="22"/>
        </w:rPr>
      </w:pPr>
      <w:r w:rsidRPr="00F90EFC">
        <w:rPr>
          <w:b/>
          <w:sz w:val="22"/>
        </w:rPr>
        <w:br w:type="page"/>
      </w:r>
    </w:p>
    <w:p w14:paraId="4F372979" w14:textId="77777777" w:rsidR="00F90EFC" w:rsidRPr="00F90EFC" w:rsidRDefault="00F90EFC" w:rsidP="00F90EFC">
      <w:pPr>
        <w:spacing w:line="480" w:lineRule="auto"/>
        <w:rPr>
          <w:sz w:val="22"/>
        </w:rPr>
      </w:pPr>
      <w:r w:rsidRPr="00F90EFC">
        <w:rPr>
          <w:b/>
          <w:sz w:val="22"/>
        </w:rPr>
        <w:lastRenderedPageBreak/>
        <w:t>Abstract:</w:t>
      </w:r>
    </w:p>
    <w:p w14:paraId="123EF9AD" w14:textId="0F8CD746" w:rsidR="00F90EFC" w:rsidRPr="00F90EFC" w:rsidRDefault="00F90EFC" w:rsidP="00F90EFC">
      <w:pPr>
        <w:pStyle w:val="Dbl"/>
        <w:rPr>
          <w:sz w:val="22"/>
        </w:rPr>
      </w:pPr>
      <w:r w:rsidRPr="00F90EFC">
        <w:rPr>
          <w:sz w:val="22"/>
        </w:rPr>
        <w:t xml:space="preserve">Aim:  Regulatory approval of biosimilars often depends on extrapolating evidence from one clinical indication to all of those of the originator biologic.  We aimed to develop a quantitative benefit-risk analysis to assess whether the resulting increase in the uncertainty in the </w:t>
      </w:r>
      <w:r w:rsidR="00B63F15">
        <w:rPr>
          <w:sz w:val="22"/>
        </w:rPr>
        <w:t>clinical performance</w:t>
      </w:r>
      <w:r w:rsidR="00B63F15" w:rsidRPr="00F90EFC">
        <w:rPr>
          <w:sz w:val="22"/>
        </w:rPr>
        <w:t xml:space="preserve"> </w:t>
      </w:r>
      <w:r w:rsidRPr="00F90EFC">
        <w:rPr>
          <w:sz w:val="22"/>
        </w:rPr>
        <w:t xml:space="preserve">of biosimilars </w:t>
      </w:r>
      <w:r w:rsidR="00B63F15">
        <w:rPr>
          <w:sz w:val="22"/>
        </w:rPr>
        <w:t xml:space="preserve">(i.e. risk) </w:t>
      </w:r>
      <w:r w:rsidRPr="00F90EFC">
        <w:rPr>
          <w:sz w:val="22"/>
        </w:rPr>
        <w:t>may be countered by their lower pricing</w:t>
      </w:r>
      <w:r w:rsidR="00B63F15">
        <w:rPr>
          <w:sz w:val="22"/>
        </w:rPr>
        <w:t xml:space="preserve"> (benefit)</w:t>
      </w:r>
      <w:r w:rsidRPr="00F90EFC">
        <w:rPr>
          <w:sz w:val="22"/>
        </w:rPr>
        <w:t>.</w:t>
      </w:r>
    </w:p>
    <w:p w14:paraId="14FD18D9" w14:textId="01B6C21B" w:rsidR="00F90EFC" w:rsidRPr="00F90EFC" w:rsidRDefault="00F90EFC" w:rsidP="00F90EFC">
      <w:pPr>
        <w:pStyle w:val="Dbl"/>
        <w:rPr>
          <w:sz w:val="22"/>
        </w:rPr>
      </w:pPr>
      <w:r w:rsidRPr="00F90EFC">
        <w:rPr>
          <w:sz w:val="22"/>
        </w:rPr>
        <w:t>Methods: A one-year decision-analytic model was developed for the biosimilar infliximab (Inflectra®) for Crohn’s disease.</w:t>
      </w:r>
      <w:r w:rsidR="006266A8">
        <w:rPr>
          <w:sz w:val="22"/>
        </w:rPr>
        <w:t xml:space="preserve"> The perspective was that of the NHS in the UK and costs were valued to 2015/16.</w:t>
      </w:r>
      <w:r w:rsidRPr="00F90EFC">
        <w:rPr>
          <w:sz w:val="22"/>
        </w:rPr>
        <w:t xml:space="preserve">  </w:t>
      </w:r>
      <w:r w:rsidR="006266A8">
        <w:rPr>
          <w:sz w:val="22"/>
        </w:rPr>
        <w:t xml:space="preserve">A hypothetical cohort of biologic-naïve patients with moderate-to-severe Crohn’s disease were simulated through the model.  </w:t>
      </w:r>
      <w:r w:rsidRPr="00F90EFC">
        <w:rPr>
          <w:sz w:val="22"/>
        </w:rPr>
        <w:t xml:space="preserve">Immunogenicity to infliximab was a key modifier, influencing rates of non-response and infusion reactions.  Net health benefit was estimated based on quality-adjusted life years (QALYs).  A range of sensitivity analyses tested the robustness of the results and explored how the biosimilar price must respond to varying immunogenicity to remain the preferred option.  </w:t>
      </w:r>
    </w:p>
    <w:p w14:paraId="4CAEFCBF" w14:textId="69512F71" w:rsidR="00F90EFC" w:rsidRPr="00F90EFC" w:rsidRDefault="00F90EFC" w:rsidP="00F90EFC">
      <w:pPr>
        <w:pStyle w:val="Dbl"/>
        <w:rPr>
          <w:sz w:val="22"/>
        </w:rPr>
      </w:pPr>
      <w:r w:rsidRPr="00F90EFC">
        <w:rPr>
          <w:sz w:val="22"/>
        </w:rPr>
        <w:t xml:space="preserve">Results: The base-case analysis predicted a positive incremental net health benefit of 0.04 (95% Central Range 0.00-0.09) favouring the biosimilar, based on 0.803 QALYs, and costs of £18,087 and £19,176 for biosimilar and originator, respectively.  Two-way sensitivity analyses suggested that if 50% of patients developed antibodies, the value-based price </w:t>
      </w:r>
      <w:r w:rsidR="008575FC">
        <w:rPr>
          <w:sz w:val="22"/>
        </w:rPr>
        <w:t xml:space="preserve">of £410 per vial </w:t>
      </w:r>
      <w:r w:rsidRPr="00F90EFC">
        <w:rPr>
          <w:sz w:val="22"/>
        </w:rPr>
        <w:t>must be lower than that of the originator</w:t>
      </w:r>
      <w:r w:rsidR="008575FC">
        <w:rPr>
          <w:sz w:val="22"/>
        </w:rPr>
        <w:t xml:space="preserve"> (£420)</w:t>
      </w:r>
      <w:r w:rsidRPr="00F90EFC">
        <w:rPr>
          <w:sz w:val="22"/>
        </w:rPr>
        <w:t>, but remain higher than the actual market price</w:t>
      </w:r>
      <w:r w:rsidR="008575FC">
        <w:rPr>
          <w:sz w:val="22"/>
        </w:rPr>
        <w:t xml:space="preserve"> (£</w:t>
      </w:r>
      <w:r w:rsidR="008575FC" w:rsidRPr="008575FC">
        <w:rPr>
          <w:sz w:val="22"/>
        </w:rPr>
        <w:t>378</w:t>
      </w:r>
      <w:r w:rsidR="008575FC">
        <w:rPr>
          <w:sz w:val="22"/>
        </w:rPr>
        <w:t>)</w:t>
      </w:r>
      <w:r w:rsidRPr="00F90EFC">
        <w:rPr>
          <w:sz w:val="22"/>
        </w:rPr>
        <w:t xml:space="preserve">.  </w:t>
      </w:r>
    </w:p>
    <w:p w14:paraId="702302E6" w14:textId="77777777" w:rsidR="00F90EFC" w:rsidRPr="00F90EFC" w:rsidRDefault="00F90EFC" w:rsidP="00F90EFC">
      <w:pPr>
        <w:pStyle w:val="Dbl"/>
        <w:rPr>
          <w:sz w:val="22"/>
        </w:rPr>
      </w:pPr>
      <w:r w:rsidRPr="00F90EFC">
        <w:rPr>
          <w:sz w:val="22"/>
        </w:rPr>
        <w:t>Conclusions: The model supports the use of Inflecta® for Crohn’s disease in the UK, and provides a framework for the quantitative evaluation of biosimilars in the context of health technology assessment.  Value-based pricing using this methodology could protect health systems from the potential risks of biosimilars where they are untested in the approved populations.</w:t>
      </w:r>
    </w:p>
    <w:p w14:paraId="15D23966" w14:textId="77777777" w:rsidR="0084611B" w:rsidRPr="00F90EFC" w:rsidRDefault="0084611B" w:rsidP="00F90EFC">
      <w:pPr>
        <w:spacing w:after="0" w:line="480" w:lineRule="auto"/>
        <w:rPr>
          <w:sz w:val="22"/>
        </w:rPr>
      </w:pPr>
    </w:p>
    <w:p w14:paraId="2C14E3E2" w14:textId="57972109" w:rsidR="00F90EFC" w:rsidRDefault="00F90EFC">
      <w:pPr>
        <w:rPr>
          <w:b/>
          <w:sz w:val="22"/>
        </w:rPr>
      </w:pPr>
      <w:r>
        <w:rPr>
          <w:b/>
          <w:sz w:val="22"/>
        </w:rPr>
        <w:br w:type="page"/>
      </w:r>
    </w:p>
    <w:p w14:paraId="46E04B73" w14:textId="4F241ABE" w:rsidR="00263545" w:rsidRPr="00F90EFC" w:rsidRDefault="00014A6D" w:rsidP="00F90EFC">
      <w:pPr>
        <w:spacing w:line="480" w:lineRule="auto"/>
        <w:rPr>
          <w:b/>
          <w:sz w:val="22"/>
        </w:rPr>
      </w:pPr>
      <w:r w:rsidRPr="00F90EFC">
        <w:rPr>
          <w:b/>
          <w:sz w:val="22"/>
        </w:rPr>
        <w:t>Key points for decision makers</w:t>
      </w:r>
    </w:p>
    <w:p w14:paraId="6A78668E" w14:textId="553549BB" w:rsidR="006266A8" w:rsidRDefault="006266A8" w:rsidP="00F90EFC">
      <w:pPr>
        <w:pStyle w:val="ListParagraph"/>
        <w:numPr>
          <w:ilvl w:val="0"/>
          <w:numId w:val="14"/>
        </w:numPr>
        <w:spacing w:line="480" w:lineRule="auto"/>
        <w:rPr>
          <w:sz w:val="22"/>
        </w:rPr>
      </w:pPr>
      <w:r w:rsidRPr="00F90EFC">
        <w:rPr>
          <w:sz w:val="22"/>
        </w:rPr>
        <w:t>The base-case analys</w:t>
      </w:r>
      <w:r>
        <w:rPr>
          <w:sz w:val="22"/>
        </w:rPr>
        <w:t>is predicts</w:t>
      </w:r>
      <w:r w:rsidRPr="00F90EFC">
        <w:rPr>
          <w:sz w:val="22"/>
        </w:rPr>
        <w:t xml:space="preserve"> a positive incremental net health benefit of 0.04 (95% Central Range 0.00-0.09) favouring the biosimilar</w:t>
      </w:r>
      <w:r>
        <w:rPr>
          <w:sz w:val="22"/>
        </w:rPr>
        <w:t xml:space="preserve"> and suggests that if 50% of patients developed antibodies, the value</w:t>
      </w:r>
      <w:r w:rsidR="00ED4AFF">
        <w:rPr>
          <w:sz w:val="22"/>
        </w:rPr>
        <w:t>-</w:t>
      </w:r>
      <w:r>
        <w:rPr>
          <w:sz w:val="22"/>
        </w:rPr>
        <w:t>based price would need to be below the originator but higher than the current market price.</w:t>
      </w:r>
    </w:p>
    <w:p w14:paraId="4FAAAC02" w14:textId="2A6E7482" w:rsidR="00263545" w:rsidRPr="00F90EFC" w:rsidRDefault="00263545" w:rsidP="00F90EFC">
      <w:pPr>
        <w:pStyle w:val="ListParagraph"/>
        <w:numPr>
          <w:ilvl w:val="0"/>
          <w:numId w:val="14"/>
        </w:numPr>
        <w:spacing w:line="480" w:lineRule="auto"/>
        <w:rPr>
          <w:sz w:val="22"/>
        </w:rPr>
      </w:pPr>
      <w:r w:rsidRPr="00F90EFC">
        <w:rPr>
          <w:sz w:val="22"/>
        </w:rPr>
        <w:t xml:space="preserve">The study presents a novel framework for the quantitative benefit-risk assessment of biosimilars, </w:t>
      </w:r>
      <w:r w:rsidR="00014A6D" w:rsidRPr="00F90EFC">
        <w:rPr>
          <w:sz w:val="22"/>
        </w:rPr>
        <w:t xml:space="preserve">illustrated with </w:t>
      </w:r>
      <w:r w:rsidRPr="00F90EFC">
        <w:rPr>
          <w:sz w:val="22"/>
        </w:rPr>
        <w:t xml:space="preserve">biosimilar infliximab </w:t>
      </w:r>
      <w:r w:rsidR="00014A6D" w:rsidRPr="00F90EFC">
        <w:rPr>
          <w:sz w:val="22"/>
        </w:rPr>
        <w:t>for Crohn’s disease</w:t>
      </w:r>
    </w:p>
    <w:p w14:paraId="576301B3" w14:textId="292B5E31" w:rsidR="00263545" w:rsidRPr="00F90EFC" w:rsidRDefault="00263545" w:rsidP="00F90EFC">
      <w:pPr>
        <w:pStyle w:val="ListParagraph"/>
        <w:numPr>
          <w:ilvl w:val="0"/>
          <w:numId w:val="14"/>
        </w:numPr>
        <w:spacing w:line="480" w:lineRule="auto"/>
        <w:rPr>
          <w:sz w:val="22"/>
        </w:rPr>
      </w:pPr>
      <w:r w:rsidRPr="00F90EFC">
        <w:rPr>
          <w:sz w:val="22"/>
        </w:rPr>
        <w:t xml:space="preserve">The methods provide an explicit framework for balancing </w:t>
      </w:r>
      <w:r w:rsidR="009E0984">
        <w:rPr>
          <w:sz w:val="22"/>
        </w:rPr>
        <w:t>risks (</w:t>
      </w:r>
      <w:r w:rsidRPr="00F90EFC">
        <w:rPr>
          <w:sz w:val="22"/>
        </w:rPr>
        <w:t xml:space="preserve">the uncertainty in the </w:t>
      </w:r>
      <w:r w:rsidR="009E0984">
        <w:rPr>
          <w:sz w:val="22"/>
        </w:rPr>
        <w:t>efficacy</w:t>
      </w:r>
      <w:r w:rsidR="009E0984" w:rsidRPr="00F90EFC">
        <w:rPr>
          <w:sz w:val="22"/>
        </w:rPr>
        <w:t xml:space="preserve"> </w:t>
      </w:r>
      <w:r w:rsidRPr="00F90EFC">
        <w:rPr>
          <w:sz w:val="22"/>
        </w:rPr>
        <w:t>and harms of biosimilars</w:t>
      </w:r>
      <w:r w:rsidR="009E0984">
        <w:rPr>
          <w:sz w:val="22"/>
        </w:rPr>
        <w:t>)</w:t>
      </w:r>
      <w:r w:rsidRPr="00F90EFC">
        <w:rPr>
          <w:sz w:val="22"/>
        </w:rPr>
        <w:t xml:space="preserve"> against </w:t>
      </w:r>
      <w:r w:rsidR="009E0984">
        <w:rPr>
          <w:sz w:val="22"/>
        </w:rPr>
        <w:t>their benefits (</w:t>
      </w:r>
      <w:r w:rsidRPr="00F90EFC">
        <w:rPr>
          <w:sz w:val="22"/>
        </w:rPr>
        <w:t>cost advantages</w:t>
      </w:r>
      <w:r w:rsidR="009E0984">
        <w:rPr>
          <w:sz w:val="22"/>
        </w:rPr>
        <w:t>)</w:t>
      </w:r>
    </w:p>
    <w:p w14:paraId="357A2A73" w14:textId="0DA84974" w:rsidR="00547DA6" w:rsidRPr="00E24E29" w:rsidRDefault="00547DA6">
      <w:pPr>
        <w:rPr>
          <w:sz w:val="22"/>
        </w:rPr>
      </w:pPr>
      <w:r w:rsidRPr="00E24E29">
        <w:rPr>
          <w:sz w:val="22"/>
        </w:rPr>
        <w:br w:type="page"/>
      </w:r>
    </w:p>
    <w:p w14:paraId="646D3FA9" w14:textId="71DFED13" w:rsidR="00547DA6" w:rsidRPr="00E24E29" w:rsidRDefault="00547DA6" w:rsidP="00563015">
      <w:pPr>
        <w:pStyle w:val="Heading2"/>
        <w:numPr>
          <w:ilvl w:val="0"/>
          <w:numId w:val="15"/>
        </w:numPr>
        <w:rPr>
          <w:rFonts w:asciiTheme="minorHAnsi" w:hAnsiTheme="minorHAnsi"/>
          <w:b/>
          <w:color w:val="auto"/>
          <w:sz w:val="22"/>
          <w:szCs w:val="22"/>
        </w:rPr>
      </w:pPr>
      <w:r w:rsidRPr="00E24E29">
        <w:rPr>
          <w:rFonts w:asciiTheme="minorHAnsi" w:hAnsiTheme="minorHAnsi"/>
          <w:b/>
          <w:color w:val="auto"/>
          <w:sz w:val="22"/>
          <w:szCs w:val="22"/>
        </w:rPr>
        <w:t>Introduction</w:t>
      </w:r>
    </w:p>
    <w:p w14:paraId="71EF56BE" w14:textId="19A56419" w:rsidR="00BF46FB" w:rsidRPr="00E24E29" w:rsidRDefault="007B55DE" w:rsidP="00DF3645">
      <w:pPr>
        <w:pStyle w:val="Dbl"/>
        <w:rPr>
          <w:sz w:val="22"/>
        </w:rPr>
      </w:pPr>
      <w:r w:rsidRPr="00E24E29">
        <w:rPr>
          <w:sz w:val="22"/>
        </w:rPr>
        <w:t>As patents for biologic</w:t>
      </w:r>
      <w:r w:rsidR="00B720B7" w:rsidRPr="00E24E29">
        <w:rPr>
          <w:sz w:val="22"/>
        </w:rPr>
        <w:t>al therapie</w:t>
      </w:r>
      <w:r w:rsidRPr="00E24E29">
        <w:rPr>
          <w:sz w:val="22"/>
        </w:rPr>
        <w:t>s expire, biosimilars</w:t>
      </w:r>
      <w:r w:rsidR="00C74C26" w:rsidRPr="00E24E29">
        <w:rPr>
          <w:sz w:val="22"/>
        </w:rPr>
        <w:t>, which are near identical</w:t>
      </w:r>
      <w:r w:rsidR="006A7072" w:rsidRPr="00E24E29">
        <w:rPr>
          <w:sz w:val="22"/>
        </w:rPr>
        <w:t xml:space="preserve"> </w:t>
      </w:r>
      <w:r w:rsidR="00270742" w:rsidRPr="00E24E29">
        <w:rPr>
          <w:sz w:val="22"/>
        </w:rPr>
        <w:t xml:space="preserve">versions of </w:t>
      </w:r>
      <w:r w:rsidR="00C74C26" w:rsidRPr="00E24E29">
        <w:rPr>
          <w:sz w:val="22"/>
        </w:rPr>
        <w:t>the originator products, are changing the therapeutic landscape</w:t>
      </w:r>
      <w:r w:rsidR="00BB0BF5" w:rsidRPr="00E24E29">
        <w:rPr>
          <w:sz w:val="22"/>
        </w:rPr>
        <w:t xml:space="preserve"> [</w:t>
      </w:r>
      <w:r w:rsidR="00B720B7" w:rsidRPr="00E24E29">
        <w:rPr>
          <w:noProof/>
          <w:sz w:val="22"/>
        </w:rPr>
        <w:t>1</w:t>
      </w:r>
      <w:r w:rsidR="00BB0BF5" w:rsidRPr="00E24E29">
        <w:rPr>
          <w:noProof/>
          <w:sz w:val="22"/>
        </w:rPr>
        <w:t>].</w:t>
      </w:r>
      <w:r w:rsidR="006A7072" w:rsidRPr="00E24E29">
        <w:rPr>
          <w:sz w:val="22"/>
        </w:rPr>
        <w:t xml:space="preserve">  </w:t>
      </w:r>
      <w:r w:rsidR="00BF46FB" w:rsidRPr="00E24E29">
        <w:rPr>
          <w:sz w:val="22"/>
        </w:rPr>
        <w:t xml:space="preserve">Biosimilars are </w:t>
      </w:r>
      <w:r w:rsidR="00C74C26" w:rsidRPr="00E24E29">
        <w:rPr>
          <w:sz w:val="22"/>
        </w:rPr>
        <w:t>generally</w:t>
      </w:r>
      <w:r w:rsidR="00BF46FB" w:rsidRPr="00E24E29">
        <w:rPr>
          <w:sz w:val="22"/>
        </w:rPr>
        <w:t xml:space="preserve"> less expensive</w:t>
      </w:r>
      <w:r w:rsidR="00C74C26" w:rsidRPr="00E24E29">
        <w:rPr>
          <w:sz w:val="22"/>
        </w:rPr>
        <w:t>,</w:t>
      </w:r>
      <w:r w:rsidR="00BF46FB" w:rsidRPr="00E24E29">
        <w:rPr>
          <w:sz w:val="22"/>
        </w:rPr>
        <w:t xml:space="preserve"> </w:t>
      </w:r>
      <w:r w:rsidR="00C74C26" w:rsidRPr="00E24E29">
        <w:rPr>
          <w:sz w:val="22"/>
        </w:rPr>
        <w:t xml:space="preserve">or prompt a reduction in the price of the </w:t>
      </w:r>
      <w:r w:rsidR="00AF330F" w:rsidRPr="00E24E29">
        <w:rPr>
          <w:sz w:val="22"/>
        </w:rPr>
        <w:t>originator</w:t>
      </w:r>
      <w:r w:rsidR="00C74C26" w:rsidRPr="00E24E29">
        <w:rPr>
          <w:sz w:val="22"/>
        </w:rPr>
        <w:t xml:space="preserve"> products while achieving comparable health outcomes</w:t>
      </w:r>
      <w:r w:rsidR="0063349A" w:rsidRPr="00E24E29">
        <w:rPr>
          <w:sz w:val="22"/>
        </w:rPr>
        <w:t>.</w:t>
      </w:r>
      <w:r w:rsidR="00701BAB" w:rsidRPr="00E24E29">
        <w:rPr>
          <w:sz w:val="22"/>
        </w:rPr>
        <w:t xml:space="preserve">  </w:t>
      </w:r>
      <w:r w:rsidRPr="00E24E29">
        <w:rPr>
          <w:sz w:val="22"/>
        </w:rPr>
        <w:t>Medicines r</w:t>
      </w:r>
      <w:r w:rsidR="00BF46FB" w:rsidRPr="00E24E29">
        <w:rPr>
          <w:sz w:val="22"/>
        </w:rPr>
        <w:t xml:space="preserve">egulators seek assurance that </w:t>
      </w:r>
      <w:r w:rsidR="00F369A6" w:rsidRPr="00E24E29">
        <w:rPr>
          <w:sz w:val="22"/>
        </w:rPr>
        <w:t xml:space="preserve">there are no clinically meaningful differences in </w:t>
      </w:r>
      <w:r w:rsidR="00BF46FB" w:rsidRPr="00E24E29">
        <w:rPr>
          <w:sz w:val="22"/>
        </w:rPr>
        <w:t>efficacy</w:t>
      </w:r>
      <w:r w:rsidR="00B943F5" w:rsidRPr="00E24E29">
        <w:rPr>
          <w:sz w:val="22"/>
        </w:rPr>
        <w:t xml:space="preserve"> and</w:t>
      </w:r>
      <w:r w:rsidR="00BF46FB" w:rsidRPr="00E24E29">
        <w:rPr>
          <w:sz w:val="22"/>
        </w:rPr>
        <w:t xml:space="preserve"> safety</w:t>
      </w:r>
      <w:r w:rsidR="00F369A6" w:rsidRPr="00E24E29">
        <w:rPr>
          <w:sz w:val="22"/>
        </w:rPr>
        <w:t xml:space="preserve"> </w:t>
      </w:r>
      <w:r w:rsidR="00BF46FB" w:rsidRPr="00E24E29">
        <w:rPr>
          <w:sz w:val="22"/>
        </w:rPr>
        <w:t xml:space="preserve">to the </w:t>
      </w:r>
      <w:r w:rsidR="00357C4A" w:rsidRPr="00E24E29">
        <w:rPr>
          <w:sz w:val="22"/>
        </w:rPr>
        <w:t>originator</w:t>
      </w:r>
      <w:r w:rsidR="00BB0BF5" w:rsidRPr="00E24E29">
        <w:rPr>
          <w:sz w:val="22"/>
        </w:rPr>
        <w:t xml:space="preserve"> [</w:t>
      </w:r>
      <w:r w:rsidR="00F369A6" w:rsidRPr="00E24E29">
        <w:rPr>
          <w:noProof/>
          <w:sz w:val="22"/>
        </w:rPr>
        <w:t>2,3</w:t>
      </w:r>
      <w:r w:rsidR="00BB0BF5" w:rsidRPr="00E24E29">
        <w:rPr>
          <w:noProof/>
          <w:sz w:val="22"/>
        </w:rPr>
        <w:t>]</w:t>
      </w:r>
      <w:r w:rsidR="00BB0BF5" w:rsidRPr="00E24E29">
        <w:rPr>
          <w:sz w:val="22"/>
        </w:rPr>
        <w:t>.</w:t>
      </w:r>
      <w:r w:rsidR="00EA5B41" w:rsidRPr="00E24E29">
        <w:rPr>
          <w:sz w:val="22"/>
        </w:rPr>
        <w:t xml:space="preserve">  </w:t>
      </w:r>
      <w:r w:rsidR="00B11ECE" w:rsidRPr="00E24E29">
        <w:rPr>
          <w:sz w:val="22"/>
        </w:rPr>
        <w:t xml:space="preserve">This </w:t>
      </w:r>
      <w:r w:rsidR="006771DB" w:rsidRPr="00E24E29">
        <w:rPr>
          <w:sz w:val="22"/>
        </w:rPr>
        <w:t xml:space="preserve">normally requires </w:t>
      </w:r>
      <w:r w:rsidR="00741136" w:rsidRPr="00E24E29">
        <w:rPr>
          <w:sz w:val="22"/>
        </w:rPr>
        <w:t>clinical</w:t>
      </w:r>
      <w:r w:rsidR="006771DB" w:rsidRPr="00E24E29">
        <w:rPr>
          <w:sz w:val="22"/>
        </w:rPr>
        <w:t xml:space="preserve"> trial </w:t>
      </w:r>
      <w:r w:rsidR="00270742" w:rsidRPr="00E24E29">
        <w:rPr>
          <w:sz w:val="22"/>
        </w:rPr>
        <w:t>evidence from</w:t>
      </w:r>
      <w:r w:rsidR="006771DB" w:rsidRPr="00E24E29">
        <w:rPr>
          <w:sz w:val="22"/>
        </w:rPr>
        <w:t xml:space="preserve"> a population sensitive to potential differences in efficacy, safety, or immunogenicity between the biosimilar and originator.  E</w:t>
      </w:r>
      <w:r w:rsidR="00B11ECE" w:rsidRPr="00E24E29">
        <w:rPr>
          <w:sz w:val="22"/>
        </w:rPr>
        <w:t xml:space="preserve">vidence of similarity </w:t>
      </w:r>
      <w:r w:rsidR="00357C4A" w:rsidRPr="00E24E29">
        <w:rPr>
          <w:sz w:val="22"/>
        </w:rPr>
        <w:t xml:space="preserve">in </w:t>
      </w:r>
      <w:r w:rsidR="00BF46FB" w:rsidRPr="00E24E29">
        <w:rPr>
          <w:sz w:val="22"/>
        </w:rPr>
        <w:t>o</w:t>
      </w:r>
      <w:r w:rsidR="00357C4A" w:rsidRPr="00E24E29">
        <w:rPr>
          <w:sz w:val="22"/>
        </w:rPr>
        <w:t>ne</w:t>
      </w:r>
      <w:r w:rsidR="00BF46FB" w:rsidRPr="00E24E29">
        <w:rPr>
          <w:sz w:val="22"/>
        </w:rPr>
        <w:t xml:space="preserve"> clinical indication</w:t>
      </w:r>
      <w:r w:rsidR="00357C4A" w:rsidRPr="00E24E29">
        <w:rPr>
          <w:sz w:val="22"/>
        </w:rPr>
        <w:t xml:space="preserve"> </w:t>
      </w:r>
      <w:r w:rsidR="00B11ECE" w:rsidRPr="00E24E29">
        <w:rPr>
          <w:sz w:val="22"/>
        </w:rPr>
        <w:t xml:space="preserve">is assumed to extrapolate </w:t>
      </w:r>
      <w:r w:rsidR="00357C4A" w:rsidRPr="00E24E29">
        <w:rPr>
          <w:sz w:val="22"/>
        </w:rPr>
        <w:t xml:space="preserve">to other indications for which the </w:t>
      </w:r>
      <w:r w:rsidR="00270742" w:rsidRPr="00E24E29">
        <w:rPr>
          <w:sz w:val="22"/>
        </w:rPr>
        <w:t xml:space="preserve">originator product </w:t>
      </w:r>
      <w:r w:rsidR="00357C4A" w:rsidRPr="00E24E29">
        <w:rPr>
          <w:sz w:val="22"/>
        </w:rPr>
        <w:t>is approved</w:t>
      </w:r>
      <w:r w:rsidR="006771DB" w:rsidRPr="00E24E29">
        <w:rPr>
          <w:sz w:val="22"/>
        </w:rPr>
        <w:t xml:space="preserve"> based on the totality of the evidence, including the structural, physicochemical, functional, and non-clinical data in addition to clinical studies</w:t>
      </w:r>
      <w:r w:rsidR="00BB0BF5" w:rsidRPr="00E24E29">
        <w:rPr>
          <w:sz w:val="22"/>
        </w:rPr>
        <w:t xml:space="preserve"> [</w:t>
      </w:r>
      <w:r w:rsidR="004C51E0" w:rsidRPr="00E24E29">
        <w:rPr>
          <w:noProof/>
          <w:sz w:val="22"/>
        </w:rPr>
        <w:t>2,3</w:t>
      </w:r>
      <w:r w:rsidR="00BB0BF5" w:rsidRPr="00E24E29">
        <w:rPr>
          <w:noProof/>
          <w:sz w:val="22"/>
        </w:rPr>
        <w:t>].</w:t>
      </w:r>
      <w:r w:rsidR="00BF46FB" w:rsidRPr="00E24E29">
        <w:rPr>
          <w:sz w:val="22"/>
        </w:rPr>
        <w:t xml:space="preserve">  </w:t>
      </w:r>
    </w:p>
    <w:p w14:paraId="489543C4" w14:textId="6CE8EF43" w:rsidR="000E6342" w:rsidRPr="00E24E29" w:rsidRDefault="00C61AB6" w:rsidP="00DF3645">
      <w:pPr>
        <w:pStyle w:val="Dbl"/>
        <w:rPr>
          <w:sz w:val="22"/>
        </w:rPr>
      </w:pPr>
      <w:r w:rsidRPr="00E24E29">
        <w:rPr>
          <w:sz w:val="22"/>
        </w:rPr>
        <w:t>B</w:t>
      </w:r>
      <w:r w:rsidR="00936755" w:rsidRPr="00E24E29">
        <w:rPr>
          <w:sz w:val="22"/>
        </w:rPr>
        <w:t>iosimilar</w:t>
      </w:r>
      <w:r w:rsidRPr="00E24E29">
        <w:rPr>
          <w:sz w:val="22"/>
        </w:rPr>
        <w:t>s are not intended to be</w:t>
      </w:r>
      <w:r w:rsidR="00936755" w:rsidRPr="00E24E29">
        <w:rPr>
          <w:sz w:val="22"/>
        </w:rPr>
        <w:t xml:space="preserve"> superior to the originator</w:t>
      </w:r>
      <w:r w:rsidRPr="00E24E29">
        <w:rPr>
          <w:sz w:val="22"/>
        </w:rPr>
        <w:t xml:space="preserve"> (these would be biobetters</w:t>
      </w:r>
      <w:r w:rsidR="00BB0BF5" w:rsidRPr="00E24E29">
        <w:rPr>
          <w:sz w:val="22"/>
        </w:rPr>
        <w:t xml:space="preserve"> [</w:t>
      </w:r>
      <w:r w:rsidR="00CB14D0" w:rsidRPr="00E24E29">
        <w:rPr>
          <w:noProof/>
          <w:sz w:val="22"/>
        </w:rPr>
        <w:t>4</w:t>
      </w:r>
      <w:r w:rsidR="00BB0BF5" w:rsidRPr="00E24E29">
        <w:rPr>
          <w:noProof/>
          <w:sz w:val="22"/>
        </w:rPr>
        <w:t>]</w:t>
      </w:r>
      <w:r w:rsidRPr="00E24E29">
        <w:rPr>
          <w:sz w:val="22"/>
        </w:rPr>
        <w:t>)</w:t>
      </w:r>
      <w:r w:rsidR="003A5897" w:rsidRPr="00E24E29">
        <w:rPr>
          <w:sz w:val="22"/>
        </w:rPr>
        <w:t xml:space="preserve"> </w:t>
      </w:r>
      <w:r w:rsidRPr="00E24E29">
        <w:rPr>
          <w:sz w:val="22"/>
        </w:rPr>
        <w:t xml:space="preserve">but </w:t>
      </w:r>
      <w:r w:rsidR="00936755" w:rsidRPr="00E24E29">
        <w:rPr>
          <w:sz w:val="22"/>
        </w:rPr>
        <w:t>there is</w:t>
      </w:r>
      <w:r w:rsidR="003A5897" w:rsidRPr="00E24E29">
        <w:rPr>
          <w:sz w:val="22"/>
        </w:rPr>
        <w:t xml:space="preserve"> a</w:t>
      </w:r>
      <w:r w:rsidRPr="00E24E29">
        <w:rPr>
          <w:sz w:val="22"/>
        </w:rPr>
        <w:t xml:space="preserve"> risk</w:t>
      </w:r>
      <w:r w:rsidR="00936755" w:rsidRPr="00E24E29">
        <w:rPr>
          <w:sz w:val="22"/>
        </w:rPr>
        <w:t xml:space="preserve"> </w:t>
      </w:r>
      <w:r w:rsidR="00270742" w:rsidRPr="00E24E29">
        <w:rPr>
          <w:sz w:val="22"/>
        </w:rPr>
        <w:t>of</w:t>
      </w:r>
      <w:r w:rsidR="000E6342" w:rsidRPr="00E24E29">
        <w:rPr>
          <w:sz w:val="22"/>
        </w:rPr>
        <w:t xml:space="preserve"> an inferior</w:t>
      </w:r>
      <w:r w:rsidR="00936755" w:rsidRPr="00E24E29">
        <w:rPr>
          <w:sz w:val="22"/>
        </w:rPr>
        <w:t xml:space="preserve"> safety </w:t>
      </w:r>
      <w:r w:rsidR="000E6342" w:rsidRPr="00E24E29">
        <w:rPr>
          <w:sz w:val="22"/>
        </w:rPr>
        <w:t>profile</w:t>
      </w:r>
      <w:r w:rsidR="00936755" w:rsidRPr="00E24E29">
        <w:rPr>
          <w:sz w:val="22"/>
        </w:rPr>
        <w:t xml:space="preserve"> (if only marginally).  </w:t>
      </w:r>
      <w:r w:rsidR="000E6342" w:rsidRPr="00E24E29">
        <w:rPr>
          <w:sz w:val="22"/>
        </w:rPr>
        <w:t>U</w:t>
      </w:r>
      <w:r w:rsidR="00936755" w:rsidRPr="00E24E29">
        <w:rPr>
          <w:sz w:val="22"/>
        </w:rPr>
        <w:t>ncertaint</w:t>
      </w:r>
      <w:r w:rsidR="000E6342" w:rsidRPr="00E24E29">
        <w:rPr>
          <w:sz w:val="22"/>
        </w:rPr>
        <w:t>ies</w:t>
      </w:r>
      <w:r w:rsidR="00936755" w:rsidRPr="00E24E29">
        <w:rPr>
          <w:sz w:val="22"/>
        </w:rPr>
        <w:t xml:space="preserve"> regarding </w:t>
      </w:r>
      <w:r w:rsidR="0089742C" w:rsidRPr="00E24E29">
        <w:rPr>
          <w:sz w:val="22"/>
        </w:rPr>
        <w:t xml:space="preserve">the </w:t>
      </w:r>
      <w:r w:rsidR="00936755" w:rsidRPr="00E24E29">
        <w:rPr>
          <w:sz w:val="22"/>
        </w:rPr>
        <w:t>safety of biosimilar</w:t>
      </w:r>
      <w:r w:rsidR="000E6342" w:rsidRPr="00E24E29">
        <w:rPr>
          <w:sz w:val="22"/>
        </w:rPr>
        <w:t>s</w:t>
      </w:r>
      <w:r w:rsidR="00936755" w:rsidRPr="00E24E29">
        <w:rPr>
          <w:sz w:val="22"/>
        </w:rPr>
        <w:t xml:space="preserve"> </w:t>
      </w:r>
      <w:r w:rsidR="000E6342" w:rsidRPr="00E24E29">
        <w:rPr>
          <w:sz w:val="22"/>
        </w:rPr>
        <w:t xml:space="preserve">at the point of marketing authorisation are inherently related to </w:t>
      </w:r>
      <w:r w:rsidR="00936755" w:rsidRPr="00E24E29">
        <w:rPr>
          <w:sz w:val="22"/>
        </w:rPr>
        <w:t xml:space="preserve">the use of non-inferiority trials to justify near-equivalence of efficacy, </w:t>
      </w:r>
      <w:r w:rsidR="0046162F" w:rsidRPr="00E24E29">
        <w:rPr>
          <w:sz w:val="22"/>
        </w:rPr>
        <w:t>the absence of trial evidence for all indications due to the process of extrapolation</w:t>
      </w:r>
      <w:r w:rsidR="00270742" w:rsidRPr="00E24E29">
        <w:rPr>
          <w:sz w:val="22"/>
        </w:rPr>
        <w:t>,</w:t>
      </w:r>
      <w:r w:rsidR="0046162F" w:rsidRPr="00E24E29">
        <w:rPr>
          <w:sz w:val="22"/>
        </w:rPr>
        <w:t xml:space="preserve"> </w:t>
      </w:r>
      <w:r w:rsidR="00936755" w:rsidRPr="00E24E29">
        <w:rPr>
          <w:sz w:val="22"/>
        </w:rPr>
        <w:t>and the lack of long-term experience and data</w:t>
      </w:r>
      <w:r w:rsidR="00BB0BF5" w:rsidRPr="00E24E29">
        <w:rPr>
          <w:sz w:val="22"/>
        </w:rPr>
        <w:t xml:space="preserve"> [</w:t>
      </w:r>
      <w:r w:rsidR="00FB22BD" w:rsidRPr="00E24E29">
        <w:rPr>
          <w:noProof/>
          <w:sz w:val="22"/>
        </w:rPr>
        <w:t>5,6</w:t>
      </w:r>
      <w:r w:rsidR="00BB0BF5" w:rsidRPr="00E24E29">
        <w:rPr>
          <w:noProof/>
          <w:sz w:val="22"/>
        </w:rPr>
        <w:t>].</w:t>
      </w:r>
      <w:r w:rsidR="0046162F" w:rsidRPr="00E24E29">
        <w:rPr>
          <w:sz w:val="22"/>
        </w:rPr>
        <w:t xml:space="preserve">  </w:t>
      </w:r>
      <w:r w:rsidR="00936755" w:rsidRPr="00E24E29">
        <w:rPr>
          <w:sz w:val="22"/>
        </w:rPr>
        <w:t xml:space="preserve">The primary reason for </w:t>
      </w:r>
      <w:r w:rsidR="000E6342" w:rsidRPr="00E24E29">
        <w:rPr>
          <w:sz w:val="22"/>
        </w:rPr>
        <w:t>adopting biosimilars and</w:t>
      </w:r>
      <w:r w:rsidR="0089742C" w:rsidRPr="00E24E29">
        <w:rPr>
          <w:sz w:val="22"/>
        </w:rPr>
        <w:t xml:space="preserve"> </w:t>
      </w:r>
      <w:r w:rsidR="00936755" w:rsidRPr="00E24E29">
        <w:rPr>
          <w:sz w:val="22"/>
        </w:rPr>
        <w:t>accept</w:t>
      </w:r>
      <w:r w:rsidR="000E6342" w:rsidRPr="00E24E29">
        <w:rPr>
          <w:sz w:val="22"/>
        </w:rPr>
        <w:t>ance of</w:t>
      </w:r>
      <w:r w:rsidR="00936755" w:rsidRPr="00E24E29">
        <w:rPr>
          <w:sz w:val="22"/>
        </w:rPr>
        <w:t xml:space="preserve"> the </w:t>
      </w:r>
      <w:r w:rsidR="0089742C" w:rsidRPr="00E24E29">
        <w:rPr>
          <w:sz w:val="22"/>
        </w:rPr>
        <w:t xml:space="preserve">potential </w:t>
      </w:r>
      <w:r w:rsidR="00936755" w:rsidRPr="00E24E29">
        <w:rPr>
          <w:sz w:val="22"/>
        </w:rPr>
        <w:t>risk</w:t>
      </w:r>
      <w:r w:rsidR="000E6342" w:rsidRPr="00E24E29">
        <w:rPr>
          <w:sz w:val="22"/>
        </w:rPr>
        <w:t>s</w:t>
      </w:r>
      <w:r w:rsidR="00936755" w:rsidRPr="00E24E29">
        <w:rPr>
          <w:sz w:val="22"/>
        </w:rPr>
        <w:t xml:space="preserve"> </w:t>
      </w:r>
      <w:r w:rsidR="0089742C" w:rsidRPr="00E24E29">
        <w:rPr>
          <w:sz w:val="22"/>
        </w:rPr>
        <w:t xml:space="preserve">with no improved health </w:t>
      </w:r>
      <w:r w:rsidR="004860D6" w:rsidRPr="00E24E29">
        <w:rPr>
          <w:sz w:val="22"/>
        </w:rPr>
        <w:t>benefits</w:t>
      </w:r>
      <w:r w:rsidR="00936755" w:rsidRPr="00E24E29">
        <w:rPr>
          <w:sz w:val="22"/>
        </w:rPr>
        <w:t xml:space="preserve"> is the opportunity for </w:t>
      </w:r>
      <w:r w:rsidR="0089742C" w:rsidRPr="00E24E29">
        <w:rPr>
          <w:sz w:val="22"/>
        </w:rPr>
        <w:t>cost savings</w:t>
      </w:r>
      <w:r w:rsidR="00936755" w:rsidRPr="00E24E29">
        <w:rPr>
          <w:sz w:val="22"/>
        </w:rPr>
        <w:t xml:space="preserve">.  </w:t>
      </w:r>
      <w:r w:rsidR="000E6342" w:rsidRPr="00E24E29">
        <w:rPr>
          <w:sz w:val="22"/>
        </w:rPr>
        <w:t>The biosimilar market in the US alone is forecast to save $54 billion in direct spending on biologic drugs from 2017 to 2026</w:t>
      </w:r>
      <w:r w:rsidR="00BB0BF5" w:rsidRPr="00E24E29">
        <w:rPr>
          <w:sz w:val="22"/>
        </w:rPr>
        <w:t xml:space="preserve"> [</w:t>
      </w:r>
      <w:r w:rsidR="00FB22BD" w:rsidRPr="00E24E29">
        <w:rPr>
          <w:noProof/>
          <w:sz w:val="22"/>
        </w:rPr>
        <w:t>7</w:t>
      </w:r>
      <w:r w:rsidR="00BB0BF5" w:rsidRPr="00E24E29">
        <w:rPr>
          <w:noProof/>
          <w:sz w:val="22"/>
        </w:rPr>
        <w:t>].</w:t>
      </w:r>
    </w:p>
    <w:p w14:paraId="10D7A9F0" w14:textId="446768E9" w:rsidR="0089742C" w:rsidRPr="00E24E29" w:rsidRDefault="00DD75CB" w:rsidP="00DF3645">
      <w:pPr>
        <w:pStyle w:val="Dbl"/>
        <w:rPr>
          <w:sz w:val="22"/>
          <w:highlight w:val="yellow"/>
        </w:rPr>
      </w:pPr>
      <w:r w:rsidRPr="00E24E29">
        <w:rPr>
          <w:sz w:val="22"/>
        </w:rPr>
        <w:t>The first biosimilar anti-TNF</w:t>
      </w:r>
      <w:r w:rsidRPr="00E24E29">
        <w:rPr>
          <w:rFonts w:cs="Times New Roman"/>
          <w:sz w:val="22"/>
        </w:rPr>
        <w:t>α</w:t>
      </w:r>
      <w:r w:rsidRPr="00E24E29">
        <w:rPr>
          <w:sz w:val="22"/>
        </w:rPr>
        <w:t xml:space="preserve"> approved in the EU, following the patent expiry of originator infliximab (Remicade®), was Inflectra®. Marketing authorisation was based primarily on evidence relating to non-inferiority in rheumatoid arthritis</w:t>
      </w:r>
      <w:r w:rsidR="00BB0BF5" w:rsidRPr="00E24E29">
        <w:rPr>
          <w:sz w:val="22"/>
        </w:rPr>
        <w:t xml:space="preserve"> [</w:t>
      </w:r>
      <w:r w:rsidR="00FB22BD" w:rsidRPr="00E24E29">
        <w:rPr>
          <w:noProof/>
          <w:sz w:val="22"/>
        </w:rPr>
        <w:t>8</w:t>
      </w:r>
      <w:r w:rsidR="00BB0BF5" w:rsidRPr="00E24E29">
        <w:rPr>
          <w:sz w:val="22"/>
        </w:rPr>
        <w:t>]</w:t>
      </w:r>
      <w:r w:rsidR="005901AD" w:rsidRPr="00E24E29">
        <w:rPr>
          <w:sz w:val="22"/>
        </w:rPr>
        <w:t>;</w:t>
      </w:r>
      <w:r w:rsidRPr="00E24E29">
        <w:rPr>
          <w:sz w:val="22"/>
        </w:rPr>
        <w:t xml:space="preserve"> but regulatory experience with specific reference to Crohn’s disease (CD) has been mixed</w:t>
      </w:r>
      <w:r w:rsidR="0089742C" w:rsidRPr="00E24E29">
        <w:rPr>
          <w:sz w:val="22"/>
        </w:rPr>
        <w:t xml:space="preserve">, with some countries initially rejecting the drug or limiting </w:t>
      </w:r>
      <w:r w:rsidRPr="00E24E29">
        <w:rPr>
          <w:sz w:val="22"/>
        </w:rPr>
        <w:t>its approved indications</w:t>
      </w:r>
      <w:r w:rsidR="00BB0BF5" w:rsidRPr="00E24E29">
        <w:rPr>
          <w:sz w:val="22"/>
        </w:rPr>
        <w:t xml:space="preserve"> [</w:t>
      </w:r>
      <w:r w:rsidR="00FB22BD" w:rsidRPr="00E24E29">
        <w:rPr>
          <w:noProof/>
          <w:sz w:val="22"/>
        </w:rPr>
        <w:t>9–11</w:t>
      </w:r>
      <w:r w:rsidR="00BB0BF5" w:rsidRPr="00E24E29">
        <w:rPr>
          <w:sz w:val="22"/>
        </w:rPr>
        <w:t>].</w:t>
      </w:r>
      <w:r w:rsidRPr="00E24E29">
        <w:rPr>
          <w:sz w:val="22"/>
        </w:rPr>
        <w:t xml:space="preserve"> A key concern wa</w:t>
      </w:r>
      <w:r w:rsidR="0089742C" w:rsidRPr="00E24E29">
        <w:rPr>
          <w:sz w:val="22"/>
        </w:rPr>
        <w:t>s that CD patients are more likely than other</w:t>
      </w:r>
      <w:r w:rsidR="005901AD" w:rsidRPr="00E24E29">
        <w:rPr>
          <w:sz w:val="22"/>
        </w:rPr>
        <w:t>s</w:t>
      </w:r>
      <w:r w:rsidR="0089742C" w:rsidRPr="00E24E29">
        <w:rPr>
          <w:sz w:val="22"/>
        </w:rPr>
        <w:t xml:space="preserve"> to develop antibodies to infliximab (ATI), which trials in other indications </w:t>
      </w:r>
      <w:r w:rsidR="005901AD" w:rsidRPr="00E24E29">
        <w:rPr>
          <w:sz w:val="22"/>
        </w:rPr>
        <w:t>we</w:t>
      </w:r>
      <w:r w:rsidR="0089742C" w:rsidRPr="00E24E29">
        <w:rPr>
          <w:sz w:val="22"/>
        </w:rPr>
        <w:t>re unable to rule out</w:t>
      </w:r>
      <w:r w:rsidR="00BB0BF5" w:rsidRPr="00E24E29">
        <w:rPr>
          <w:sz w:val="22"/>
        </w:rPr>
        <w:t xml:space="preserve"> [</w:t>
      </w:r>
      <w:r w:rsidR="00FB22BD" w:rsidRPr="00E24E29">
        <w:rPr>
          <w:noProof/>
          <w:sz w:val="22"/>
        </w:rPr>
        <w:t>12,13</w:t>
      </w:r>
      <w:r w:rsidR="00BB0BF5" w:rsidRPr="00E24E29">
        <w:rPr>
          <w:sz w:val="22"/>
        </w:rPr>
        <w:t>].</w:t>
      </w:r>
      <w:r w:rsidR="0089742C" w:rsidRPr="00E24E29">
        <w:rPr>
          <w:sz w:val="22"/>
        </w:rPr>
        <w:t xml:space="preserve">  The consequences of </w:t>
      </w:r>
      <w:r w:rsidR="00CB14D0" w:rsidRPr="00E24E29">
        <w:rPr>
          <w:sz w:val="22"/>
        </w:rPr>
        <w:t>developing</w:t>
      </w:r>
      <w:r w:rsidR="0089742C" w:rsidRPr="00E24E29">
        <w:rPr>
          <w:sz w:val="22"/>
        </w:rPr>
        <w:t xml:space="preserve"> ATI (immunogenicity) include reduced efficacy and increased likelihood of adverse events, particularly infusion reactions, which are rare but can be severe. Even minor differences between the biosimilar and originator have the potential to cause significant harm for patients</w:t>
      </w:r>
      <w:r w:rsidR="00BB0BF5" w:rsidRPr="00E24E29">
        <w:rPr>
          <w:sz w:val="22"/>
        </w:rPr>
        <w:t xml:space="preserve"> [</w:t>
      </w:r>
      <w:r w:rsidR="00FB22BD" w:rsidRPr="00E24E29">
        <w:rPr>
          <w:noProof/>
          <w:sz w:val="22"/>
        </w:rPr>
        <w:t>14</w:t>
      </w:r>
      <w:r w:rsidR="00BB0BF5" w:rsidRPr="00E24E29">
        <w:rPr>
          <w:noProof/>
          <w:sz w:val="22"/>
        </w:rPr>
        <w:t>].</w:t>
      </w:r>
    </w:p>
    <w:p w14:paraId="2BA7E33A" w14:textId="17712CBA" w:rsidR="00936755" w:rsidRPr="00E24E29" w:rsidRDefault="000E6342" w:rsidP="00DF3645">
      <w:pPr>
        <w:pStyle w:val="Dbl"/>
        <w:rPr>
          <w:sz w:val="22"/>
        </w:rPr>
      </w:pPr>
      <w:r w:rsidRPr="00E24E29">
        <w:rPr>
          <w:sz w:val="22"/>
        </w:rPr>
        <w:t xml:space="preserve">With each new biosimilar, heath care payers therefore face the question of whether the cost savings can justify the increased uncertainty in their clinical performance.  </w:t>
      </w:r>
      <w:r w:rsidR="0089742C" w:rsidRPr="00E24E29">
        <w:rPr>
          <w:sz w:val="22"/>
        </w:rPr>
        <w:t>Health economic modelling can be used as part of the health technology assessment to evaluate the benefit-risk balance by pooling the available evidence and reflecting uncertainty in inputs, to estimate the likelihood of a biosimilar providing a net health gain</w:t>
      </w:r>
      <w:r w:rsidR="00BB0BF5" w:rsidRPr="00E24E29">
        <w:rPr>
          <w:sz w:val="22"/>
        </w:rPr>
        <w:t xml:space="preserve"> [</w:t>
      </w:r>
      <w:r w:rsidR="00FB22BD" w:rsidRPr="00E24E29">
        <w:rPr>
          <w:noProof/>
          <w:sz w:val="22"/>
        </w:rPr>
        <w:t>15</w:t>
      </w:r>
      <w:r w:rsidR="00BB0BF5" w:rsidRPr="00E24E29">
        <w:rPr>
          <w:sz w:val="22"/>
        </w:rPr>
        <w:t>].</w:t>
      </w:r>
      <w:r w:rsidR="0089742C" w:rsidRPr="00E24E29">
        <w:rPr>
          <w:sz w:val="22"/>
        </w:rPr>
        <w:t xml:space="preserve"> </w:t>
      </w:r>
      <w:r w:rsidR="00DD75CB" w:rsidRPr="00E24E29">
        <w:rPr>
          <w:sz w:val="22"/>
        </w:rPr>
        <w:t xml:space="preserve"> T</w:t>
      </w:r>
      <w:r w:rsidR="005E6C31" w:rsidRPr="00E24E29">
        <w:rPr>
          <w:sz w:val="22"/>
        </w:rPr>
        <w:t>he incremental net health benefit (INHB) between the biosimilar and originator</w:t>
      </w:r>
      <w:r w:rsidR="00DD75CB" w:rsidRPr="00E24E29">
        <w:rPr>
          <w:sz w:val="22"/>
        </w:rPr>
        <w:t xml:space="preserve"> represents the added value of the biosimilar considering both the reduced costs and the increased uncertainty surrounding its clinical performance </w:t>
      </w:r>
      <w:r w:rsidR="005E6C31" w:rsidRPr="00E24E29">
        <w:rPr>
          <w:sz w:val="22"/>
        </w:rPr>
        <w:t>given societal resource constraints</w:t>
      </w:r>
      <w:r w:rsidR="00BB0BF5" w:rsidRPr="00E24E29">
        <w:rPr>
          <w:sz w:val="22"/>
        </w:rPr>
        <w:t xml:space="preserve"> [</w:t>
      </w:r>
      <w:r w:rsidR="00FB22BD" w:rsidRPr="00E24E29">
        <w:rPr>
          <w:noProof/>
          <w:sz w:val="22"/>
        </w:rPr>
        <w:t>16</w:t>
      </w:r>
      <w:r w:rsidR="00BB0BF5" w:rsidRPr="00E24E29">
        <w:rPr>
          <w:sz w:val="22"/>
        </w:rPr>
        <w:t>]</w:t>
      </w:r>
      <w:r w:rsidR="00DD75CB" w:rsidRPr="00E24E29">
        <w:rPr>
          <w:sz w:val="22"/>
        </w:rPr>
        <w:t xml:space="preserve"> and, in effect, represents a quantitative approach to </w:t>
      </w:r>
      <w:r w:rsidR="005901AD" w:rsidRPr="00E24E29">
        <w:rPr>
          <w:sz w:val="22"/>
        </w:rPr>
        <w:t xml:space="preserve">the </w:t>
      </w:r>
      <w:r w:rsidR="00DD75CB" w:rsidRPr="00E24E29">
        <w:rPr>
          <w:sz w:val="22"/>
        </w:rPr>
        <w:t xml:space="preserve">benefit-risk </w:t>
      </w:r>
      <w:r w:rsidR="005901AD" w:rsidRPr="00E24E29">
        <w:rPr>
          <w:sz w:val="22"/>
        </w:rPr>
        <w:t>assessment</w:t>
      </w:r>
      <w:r w:rsidR="00DD75CB" w:rsidRPr="00E24E29">
        <w:rPr>
          <w:sz w:val="22"/>
        </w:rPr>
        <w:t xml:space="preserve"> of biosimilars</w:t>
      </w:r>
      <w:r w:rsidR="005E6C31" w:rsidRPr="00E24E29">
        <w:rPr>
          <w:sz w:val="22"/>
        </w:rPr>
        <w:t>.</w:t>
      </w:r>
    </w:p>
    <w:p w14:paraId="43858D36" w14:textId="3656C87D" w:rsidR="004F2B88" w:rsidRPr="00E24E29" w:rsidRDefault="00122C7C" w:rsidP="00DF3645">
      <w:pPr>
        <w:pStyle w:val="Dbl"/>
        <w:rPr>
          <w:sz w:val="22"/>
        </w:rPr>
      </w:pPr>
      <w:r w:rsidRPr="00E24E29">
        <w:rPr>
          <w:sz w:val="22"/>
        </w:rPr>
        <w:t>This analysis</w:t>
      </w:r>
      <w:r w:rsidR="004F2B88" w:rsidRPr="00E24E29">
        <w:rPr>
          <w:sz w:val="22"/>
        </w:rPr>
        <w:t xml:space="preserve"> aimed to </w:t>
      </w:r>
      <w:r w:rsidR="00681E89" w:rsidRPr="00E24E29">
        <w:rPr>
          <w:sz w:val="22"/>
        </w:rPr>
        <w:t xml:space="preserve">quantitatively </w:t>
      </w:r>
      <w:r w:rsidR="004F2B88" w:rsidRPr="00E24E29">
        <w:rPr>
          <w:sz w:val="22"/>
        </w:rPr>
        <w:t>assess the benefit</w:t>
      </w:r>
      <w:r w:rsidRPr="00E24E29">
        <w:rPr>
          <w:sz w:val="22"/>
        </w:rPr>
        <w:t>-risk</w:t>
      </w:r>
      <w:r w:rsidR="004F2B88" w:rsidRPr="00E24E29">
        <w:rPr>
          <w:sz w:val="22"/>
        </w:rPr>
        <w:t xml:space="preserve"> balance of biosimilar </w:t>
      </w:r>
      <w:r w:rsidR="001D5100" w:rsidRPr="00E24E29">
        <w:rPr>
          <w:sz w:val="22"/>
        </w:rPr>
        <w:t xml:space="preserve">infliximab </w:t>
      </w:r>
      <w:r w:rsidR="004F2B88" w:rsidRPr="00E24E29">
        <w:rPr>
          <w:sz w:val="22"/>
        </w:rPr>
        <w:t>versus originator</w:t>
      </w:r>
      <w:r w:rsidRPr="00E24E29">
        <w:rPr>
          <w:sz w:val="22"/>
        </w:rPr>
        <w:t xml:space="preserve">, </w:t>
      </w:r>
      <w:r w:rsidR="003924FC" w:rsidRPr="00E24E29">
        <w:rPr>
          <w:sz w:val="22"/>
        </w:rPr>
        <w:t>to determine whether the cost savings justify the increased uncertainties in efficacy and safety</w:t>
      </w:r>
      <w:r w:rsidR="001D5100" w:rsidRPr="00E24E29">
        <w:rPr>
          <w:sz w:val="22"/>
        </w:rPr>
        <w:t xml:space="preserve">, and </w:t>
      </w:r>
      <w:r w:rsidR="003924FC" w:rsidRPr="00E24E29">
        <w:rPr>
          <w:sz w:val="22"/>
        </w:rPr>
        <w:t>to assess</w:t>
      </w:r>
      <w:r w:rsidR="009D52AB" w:rsidRPr="00E24E29">
        <w:rPr>
          <w:sz w:val="22"/>
        </w:rPr>
        <w:t xml:space="preserve"> the value of </w:t>
      </w:r>
      <w:r w:rsidRPr="00E24E29">
        <w:rPr>
          <w:sz w:val="22"/>
        </w:rPr>
        <w:t xml:space="preserve">conducting </w:t>
      </w:r>
      <w:r w:rsidR="009D52AB" w:rsidRPr="00E24E29">
        <w:rPr>
          <w:sz w:val="22"/>
        </w:rPr>
        <w:t xml:space="preserve">further </w:t>
      </w:r>
      <w:r w:rsidR="001D5100" w:rsidRPr="00E24E29">
        <w:rPr>
          <w:sz w:val="22"/>
        </w:rPr>
        <w:t xml:space="preserve">trials in CD </w:t>
      </w:r>
      <w:r w:rsidR="009D52AB" w:rsidRPr="00E24E29">
        <w:rPr>
          <w:sz w:val="22"/>
        </w:rPr>
        <w:t>to reduce uncertainty in key parameters</w:t>
      </w:r>
      <w:r w:rsidRPr="00E24E29">
        <w:rPr>
          <w:sz w:val="22"/>
        </w:rPr>
        <w:t>. T</w:t>
      </w:r>
      <w:r w:rsidR="009D52AB" w:rsidRPr="00E24E29">
        <w:rPr>
          <w:sz w:val="22"/>
        </w:rPr>
        <w:t xml:space="preserve">he results </w:t>
      </w:r>
      <w:r w:rsidR="001D5100" w:rsidRPr="00E24E29">
        <w:rPr>
          <w:sz w:val="22"/>
        </w:rPr>
        <w:t>are</w:t>
      </w:r>
      <w:r w:rsidRPr="00E24E29">
        <w:rPr>
          <w:sz w:val="22"/>
        </w:rPr>
        <w:t xml:space="preserve"> </w:t>
      </w:r>
      <w:r w:rsidR="00681E89" w:rsidRPr="00E24E29">
        <w:rPr>
          <w:sz w:val="22"/>
        </w:rPr>
        <w:t>discussed in the context of</w:t>
      </w:r>
      <w:r w:rsidR="009D52AB" w:rsidRPr="00E24E29">
        <w:rPr>
          <w:sz w:val="22"/>
        </w:rPr>
        <w:t xml:space="preserve"> emerging evidence from clinical use and ongoing trials</w:t>
      </w:r>
      <w:r w:rsidRPr="00E24E29">
        <w:rPr>
          <w:sz w:val="22"/>
        </w:rPr>
        <w:t xml:space="preserve"> in CD</w:t>
      </w:r>
      <w:r w:rsidR="009D52AB" w:rsidRPr="00E24E29">
        <w:rPr>
          <w:sz w:val="22"/>
        </w:rPr>
        <w:t>.</w:t>
      </w:r>
    </w:p>
    <w:p w14:paraId="37DC6A89" w14:textId="371BFA2A" w:rsidR="00F37291" w:rsidRPr="00E24E29" w:rsidRDefault="00F37291" w:rsidP="00563015">
      <w:pPr>
        <w:pStyle w:val="Heading2"/>
        <w:numPr>
          <w:ilvl w:val="0"/>
          <w:numId w:val="15"/>
        </w:numPr>
        <w:rPr>
          <w:rFonts w:asciiTheme="minorHAnsi" w:hAnsiTheme="minorHAnsi"/>
          <w:b/>
          <w:color w:val="auto"/>
          <w:sz w:val="22"/>
          <w:szCs w:val="22"/>
        </w:rPr>
      </w:pPr>
      <w:r w:rsidRPr="00E24E29">
        <w:rPr>
          <w:rFonts w:asciiTheme="minorHAnsi" w:hAnsiTheme="minorHAnsi"/>
          <w:b/>
          <w:color w:val="auto"/>
          <w:sz w:val="22"/>
          <w:szCs w:val="22"/>
        </w:rPr>
        <w:t>Methods</w:t>
      </w:r>
    </w:p>
    <w:p w14:paraId="1DEFCB8F" w14:textId="77777777" w:rsidR="00F37291" w:rsidRPr="00E24E29" w:rsidRDefault="00F37291" w:rsidP="00563015">
      <w:pPr>
        <w:pStyle w:val="Heading3"/>
        <w:numPr>
          <w:ilvl w:val="1"/>
          <w:numId w:val="15"/>
        </w:numPr>
        <w:rPr>
          <w:rFonts w:asciiTheme="minorHAnsi" w:hAnsiTheme="minorHAnsi"/>
          <w:color w:val="auto"/>
          <w:sz w:val="22"/>
          <w:szCs w:val="22"/>
        </w:rPr>
      </w:pPr>
      <w:r w:rsidRPr="00E24E29">
        <w:rPr>
          <w:rFonts w:asciiTheme="minorHAnsi" w:hAnsiTheme="minorHAnsi"/>
          <w:color w:val="auto"/>
          <w:sz w:val="22"/>
          <w:szCs w:val="22"/>
        </w:rPr>
        <w:t>Model structure</w:t>
      </w:r>
    </w:p>
    <w:p w14:paraId="1360F2DC" w14:textId="3E25D750" w:rsidR="00F37291" w:rsidRPr="00E24E29" w:rsidRDefault="00F37291" w:rsidP="00DF3645">
      <w:pPr>
        <w:pStyle w:val="Dbl"/>
        <w:rPr>
          <w:sz w:val="22"/>
          <w:highlight w:val="yellow"/>
        </w:rPr>
      </w:pPr>
      <w:r w:rsidRPr="00E24E29">
        <w:rPr>
          <w:sz w:val="22"/>
        </w:rPr>
        <w:t>We constructed a decision analytic model</w:t>
      </w:r>
      <w:r w:rsidR="00584C45" w:rsidRPr="00E24E29">
        <w:rPr>
          <w:sz w:val="22"/>
        </w:rPr>
        <w:t xml:space="preserve"> </w:t>
      </w:r>
      <w:r w:rsidR="000E5FCB">
        <w:rPr>
          <w:sz w:val="22"/>
        </w:rPr>
        <w:t xml:space="preserve">(decision tree) </w:t>
      </w:r>
      <w:r w:rsidR="00584C45" w:rsidRPr="00E24E29">
        <w:rPr>
          <w:sz w:val="22"/>
        </w:rPr>
        <w:t>to compare the benefits and risks of infliximab (IFX) biosimilar and originator.  We</w:t>
      </w:r>
      <w:r w:rsidRPr="00E24E29">
        <w:rPr>
          <w:sz w:val="22"/>
        </w:rPr>
        <w:t xml:space="preserve"> adapted </w:t>
      </w:r>
      <w:r w:rsidR="00584C45" w:rsidRPr="00E24E29">
        <w:rPr>
          <w:sz w:val="22"/>
        </w:rPr>
        <w:t>a model of</w:t>
      </w:r>
      <w:r w:rsidRPr="00E24E29">
        <w:rPr>
          <w:sz w:val="22"/>
        </w:rPr>
        <w:t xml:space="preserve"> </w:t>
      </w:r>
      <w:r w:rsidR="00503CC2" w:rsidRPr="00E24E29">
        <w:rPr>
          <w:sz w:val="22"/>
        </w:rPr>
        <w:t xml:space="preserve">one-year </w:t>
      </w:r>
      <w:r w:rsidRPr="00E24E29">
        <w:rPr>
          <w:sz w:val="22"/>
        </w:rPr>
        <w:t xml:space="preserve">cost-effectiveness </w:t>
      </w:r>
      <w:r w:rsidR="003924FC" w:rsidRPr="00E24E29">
        <w:rPr>
          <w:sz w:val="22"/>
        </w:rPr>
        <w:t>of infliximab dose escalation versus initiation of adalimumab</w:t>
      </w:r>
      <w:r w:rsidR="00BB0BF5" w:rsidRPr="00E24E29">
        <w:rPr>
          <w:sz w:val="22"/>
        </w:rPr>
        <w:t xml:space="preserve"> [17]</w:t>
      </w:r>
      <w:r w:rsidR="00412618" w:rsidRPr="00E24E29">
        <w:rPr>
          <w:sz w:val="22"/>
        </w:rPr>
        <w:t>, identified from a MEDLINE review,</w:t>
      </w:r>
      <w:r w:rsidR="00A33BBE" w:rsidRPr="00E24E29">
        <w:rPr>
          <w:sz w:val="22"/>
        </w:rPr>
        <w:t xml:space="preserve"> </w:t>
      </w:r>
      <w:r w:rsidR="003924FC" w:rsidRPr="00E24E29">
        <w:rPr>
          <w:sz w:val="22"/>
        </w:rPr>
        <w:t>by</w:t>
      </w:r>
      <w:r w:rsidR="00584C45" w:rsidRPr="00E24E29">
        <w:rPr>
          <w:sz w:val="22"/>
        </w:rPr>
        <w:t xml:space="preserve"> the addition of adverse events</w:t>
      </w:r>
      <w:r w:rsidRPr="00E24E29">
        <w:rPr>
          <w:sz w:val="22"/>
        </w:rPr>
        <w:t xml:space="preserve">.  A hypothetical cohort of 100,000 biologic-naïve 35-year-old 70-kg patients with moderate-to-severe CD was simulated through the model (Figure </w:t>
      </w:r>
      <w:r w:rsidR="00AF330F" w:rsidRPr="00E24E29">
        <w:rPr>
          <w:sz w:val="22"/>
        </w:rPr>
        <w:t>1</w:t>
      </w:r>
      <w:r w:rsidRPr="00E24E29">
        <w:rPr>
          <w:sz w:val="22"/>
        </w:rPr>
        <w:t xml:space="preserve">), which was structured over 4-weekly intervals.  The perspective </w:t>
      </w:r>
      <w:r w:rsidR="004661DF" w:rsidRPr="00E24E29">
        <w:rPr>
          <w:sz w:val="22"/>
        </w:rPr>
        <w:t xml:space="preserve">of the analysis </w:t>
      </w:r>
      <w:r w:rsidRPr="00E24E29">
        <w:rPr>
          <w:sz w:val="22"/>
        </w:rPr>
        <w:t xml:space="preserve">was </w:t>
      </w:r>
      <w:r w:rsidR="004661DF" w:rsidRPr="00E24E29">
        <w:rPr>
          <w:sz w:val="22"/>
        </w:rPr>
        <w:t xml:space="preserve">that </w:t>
      </w:r>
      <w:r w:rsidRPr="00E24E29">
        <w:rPr>
          <w:sz w:val="22"/>
        </w:rPr>
        <w:t xml:space="preserve">of </w:t>
      </w:r>
      <w:r w:rsidR="004661DF" w:rsidRPr="00E24E29">
        <w:rPr>
          <w:sz w:val="22"/>
        </w:rPr>
        <w:t>the National Health Service (NHS) in the UK</w:t>
      </w:r>
      <w:r w:rsidRPr="00E24E29">
        <w:rPr>
          <w:sz w:val="22"/>
        </w:rPr>
        <w:t xml:space="preserve">.  For the purposes of the economic analysis, costs were restricted to those of the National Health Service (NHS) in the UK.  Although CD is a chronic condition, a one-year time-horizon was justified, as </w:t>
      </w:r>
      <w:r w:rsidR="00270742" w:rsidRPr="00E24E29">
        <w:rPr>
          <w:sz w:val="22"/>
        </w:rPr>
        <w:t>the analysis</w:t>
      </w:r>
      <w:r w:rsidRPr="00E24E29">
        <w:rPr>
          <w:sz w:val="22"/>
        </w:rPr>
        <w:t xml:space="preserve"> focus</w:t>
      </w:r>
      <w:r w:rsidR="00270742" w:rsidRPr="00E24E29">
        <w:rPr>
          <w:sz w:val="22"/>
        </w:rPr>
        <w:t>ed</w:t>
      </w:r>
      <w:r w:rsidRPr="00E24E29">
        <w:rPr>
          <w:sz w:val="22"/>
        </w:rPr>
        <w:t xml:space="preserve"> on short-term outcomes.</w:t>
      </w:r>
    </w:p>
    <w:p w14:paraId="0951A776" w14:textId="5A69B853" w:rsidR="00F37291" w:rsidRPr="00E24E29" w:rsidRDefault="00A33802" w:rsidP="00DF3645">
      <w:pPr>
        <w:pStyle w:val="Dbl"/>
        <w:rPr>
          <w:sz w:val="22"/>
        </w:rPr>
      </w:pPr>
      <w:r w:rsidRPr="00E24E29">
        <w:rPr>
          <w:sz w:val="22"/>
        </w:rPr>
        <w:t>Due to the concern regarding immunogenicity, t</w:t>
      </w:r>
      <w:r w:rsidR="00F37291" w:rsidRPr="00E24E29">
        <w:rPr>
          <w:sz w:val="22"/>
        </w:rPr>
        <w:t xml:space="preserve">he development of </w:t>
      </w:r>
      <w:r w:rsidRPr="00E24E29">
        <w:rPr>
          <w:sz w:val="22"/>
        </w:rPr>
        <w:t>antibodies to infliximab (</w:t>
      </w:r>
      <w:r w:rsidR="00F37291" w:rsidRPr="00E24E29">
        <w:rPr>
          <w:sz w:val="22"/>
        </w:rPr>
        <w:t>ATI</w:t>
      </w:r>
      <w:r w:rsidRPr="00E24E29">
        <w:rPr>
          <w:sz w:val="22"/>
        </w:rPr>
        <w:t>)</w:t>
      </w:r>
      <w:r w:rsidR="00F37291" w:rsidRPr="00E24E29">
        <w:rPr>
          <w:sz w:val="22"/>
        </w:rPr>
        <w:t xml:space="preserve"> is an important modifier in the model, influencing the rate of primary and secondary non-response</w:t>
      </w:r>
      <w:r w:rsidR="00BB0BF5" w:rsidRPr="00E24E29">
        <w:rPr>
          <w:sz w:val="22"/>
        </w:rPr>
        <w:t xml:space="preserve"> [</w:t>
      </w:r>
      <w:r w:rsidR="00FB22BD" w:rsidRPr="00E24E29">
        <w:rPr>
          <w:noProof/>
          <w:sz w:val="22"/>
        </w:rPr>
        <w:t>18</w:t>
      </w:r>
      <w:r w:rsidR="00BB0BF5" w:rsidRPr="00E24E29">
        <w:rPr>
          <w:sz w:val="22"/>
        </w:rPr>
        <w:t>],</w:t>
      </w:r>
      <w:r w:rsidR="00F37291" w:rsidRPr="00E24E29">
        <w:rPr>
          <w:sz w:val="22"/>
        </w:rPr>
        <w:t xml:space="preserve"> and the likelihood of infusion reaction</w:t>
      </w:r>
      <w:r w:rsidRPr="00E24E29">
        <w:rPr>
          <w:sz w:val="22"/>
        </w:rPr>
        <w:t>.  A</w:t>
      </w:r>
      <w:r w:rsidR="00F37291" w:rsidRPr="00E24E29">
        <w:rPr>
          <w:sz w:val="22"/>
        </w:rPr>
        <w:t>cute or severe infusion reactions take place within 24 hours of infusion</w:t>
      </w:r>
      <w:r w:rsidR="00270742" w:rsidRPr="00E24E29">
        <w:rPr>
          <w:sz w:val="22"/>
        </w:rPr>
        <w:t>,</w:t>
      </w:r>
      <w:r w:rsidR="00F37291" w:rsidRPr="00E24E29">
        <w:rPr>
          <w:sz w:val="22"/>
        </w:rPr>
        <w:t xml:space="preserve"> and delayed infusion reactions take place </w:t>
      </w:r>
      <w:r w:rsidR="00270742" w:rsidRPr="00E24E29">
        <w:rPr>
          <w:sz w:val="22"/>
        </w:rPr>
        <w:t xml:space="preserve">between </w:t>
      </w:r>
      <w:r w:rsidR="00F37291" w:rsidRPr="00E24E29">
        <w:rPr>
          <w:sz w:val="22"/>
        </w:rPr>
        <w:t xml:space="preserve">24 hours </w:t>
      </w:r>
      <w:r w:rsidR="00270742" w:rsidRPr="00E24E29">
        <w:rPr>
          <w:sz w:val="22"/>
        </w:rPr>
        <w:t xml:space="preserve">and </w:t>
      </w:r>
      <w:r w:rsidR="00F37291" w:rsidRPr="00E24E29">
        <w:rPr>
          <w:sz w:val="22"/>
        </w:rPr>
        <w:t>14 days after infusion</w:t>
      </w:r>
      <w:r w:rsidR="00BB0BF5" w:rsidRPr="00E24E29">
        <w:rPr>
          <w:sz w:val="22"/>
        </w:rPr>
        <w:t xml:space="preserve"> [</w:t>
      </w:r>
      <w:r w:rsidR="00FB22BD" w:rsidRPr="00E24E29">
        <w:rPr>
          <w:noProof/>
          <w:sz w:val="22"/>
        </w:rPr>
        <w:t>19</w:t>
      </w:r>
      <w:r w:rsidR="00BB0BF5" w:rsidRPr="00E24E29">
        <w:rPr>
          <w:sz w:val="22"/>
        </w:rPr>
        <w:t>].</w:t>
      </w:r>
      <w:r w:rsidR="00F37291" w:rsidRPr="00E24E29">
        <w:rPr>
          <w:sz w:val="22"/>
        </w:rPr>
        <w:t xml:space="preserve">  In line with common practice</w:t>
      </w:r>
      <w:r w:rsidR="00BB0BF5" w:rsidRPr="00E24E29">
        <w:rPr>
          <w:sz w:val="22"/>
        </w:rPr>
        <w:t xml:space="preserve"> [</w:t>
      </w:r>
      <w:r w:rsidR="00FB22BD" w:rsidRPr="00E24E29">
        <w:rPr>
          <w:noProof/>
          <w:sz w:val="22"/>
        </w:rPr>
        <w:t>20</w:t>
      </w:r>
      <w:r w:rsidR="00BB0BF5" w:rsidRPr="00E24E29">
        <w:rPr>
          <w:sz w:val="22"/>
        </w:rPr>
        <w:t>],</w:t>
      </w:r>
      <w:r w:rsidR="00F37291" w:rsidRPr="00E24E29">
        <w:rPr>
          <w:sz w:val="22"/>
        </w:rPr>
        <w:t xml:space="preserve"> the disease states were defined by the Crohn’s Disease Activity Index (CDAI): moderate-to-severe disease equates to a CDAI score ≥220, remission to a score &lt;150 and response to a reduction in CDAI score ≥70 points, resulting in mild disease (≥150 CDAI score &lt;220).</w:t>
      </w:r>
    </w:p>
    <w:p w14:paraId="1C91FC90" w14:textId="70D52BBB" w:rsidR="00F37291" w:rsidRPr="00E24E29" w:rsidRDefault="00F37291" w:rsidP="00DF3645">
      <w:pPr>
        <w:pStyle w:val="Dbl"/>
        <w:rPr>
          <w:sz w:val="22"/>
        </w:rPr>
      </w:pPr>
      <w:r w:rsidRPr="00E24E29">
        <w:rPr>
          <w:sz w:val="22"/>
        </w:rPr>
        <w:t xml:space="preserve">All patients entered the model in period 1 in moderate-to-severe disease state and received IFX </w:t>
      </w:r>
      <w:r w:rsidR="00470F31" w:rsidRPr="00E24E29">
        <w:rPr>
          <w:sz w:val="22"/>
        </w:rPr>
        <w:t>t</w:t>
      </w:r>
      <w:r w:rsidRPr="00E24E29">
        <w:rPr>
          <w:sz w:val="22"/>
        </w:rPr>
        <w:t xml:space="preserve">herapy of 5mg/kg at weeks 0, 2 and 6, </w:t>
      </w:r>
      <w:r w:rsidR="00470F31" w:rsidRPr="00E24E29">
        <w:rPr>
          <w:sz w:val="22"/>
        </w:rPr>
        <w:t xml:space="preserve">with infusions every eight weeks for those who respond, </w:t>
      </w:r>
      <w:r w:rsidRPr="00E24E29">
        <w:rPr>
          <w:sz w:val="22"/>
        </w:rPr>
        <w:t xml:space="preserve">in accordance with the </w:t>
      </w:r>
      <w:r w:rsidR="00470F31" w:rsidRPr="00E24E29">
        <w:rPr>
          <w:sz w:val="22"/>
        </w:rPr>
        <w:t>summary of product characteristics</w:t>
      </w:r>
      <w:r w:rsidR="00BB0BF5" w:rsidRPr="00E24E29">
        <w:rPr>
          <w:sz w:val="22"/>
        </w:rPr>
        <w:t xml:space="preserve"> [</w:t>
      </w:r>
      <w:r w:rsidR="00FB22BD" w:rsidRPr="00E24E29">
        <w:rPr>
          <w:noProof/>
          <w:sz w:val="22"/>
        </w:rPr>
        <w:t>21</w:t>
      </w:r>
      <w:r w:rsidR="00BB0BF5" w:rsidRPr="00E24E29">
        <w:rPr>
          <w:sz w:val="22"/>
        </w:rPr>
        <w:t>].</w:t>
      </w:r>
      <w:r w:rsidRPr="00E24E29">
        <w:rPr>
          <w:sz w:val="22"/>
        </w:rPr>
        <w:t xml:space="preserve">  Initial response and the development of ATI were measured at week 12 (period 4). Those with no initial response ceased treatment with IFX, moved to standard care therapy in period 4, initially remaining in moderate-to-severe disease state.  Standard care included all other possible therapies and surgeries</w:t>
      </w:r>
      <w:r w:rsidR="00BB0BF5" w:rsidRPr="00E24E29">
        <w:rPr>
          <w:sz w:val="22"/>
        </w:rPr>
        <w:t xml:space="preserve"> [</w:t>
      </w:r>
      <w:r w:rsidR="00FB22BD" w:rsidRPr="00E24E29">
        <w:rPr>
          <w:noProof/>
          <w:sz w:val="22"/>
        </w:rPr>
        <w:t>22</w:t>
      </w:r>
      <w:r w:rsidR="00BB0BF5" w:rsidRPr="00E24E29">
        <w:rPr>
          <w:noProof/>
          <w:sz w:val="22"/>
        </w:rPr>
        <w:t>].</w:t>
      </w:r>
      <w:r w:rsidRPr="00E24E29">
        <w:rPr>
          <w:noProof/>
          <w:sz w:val="22"/>
        </w:rPr>
        <w:t xml:space="preserve">  </w:t>
      </w:r>
    </w:p>
    <w:p w14:paraId="2792D79D" w14:textId="7443BE66" w:rsidR="00F37291" w:rsidRPr="00E24E29" w:rsidRDefault="00F37291" w:rsidP="00DF3645">
      <w:pPr>
        <w:pStyle w:val="Dbl"/>
        <w:rPr>
          <w:sz w:val="22"/>
        </w:rPr>
      </w:pPr>
      <w:r w:rsidRPr="00E24E29">
        <w:rPr>
          <w:sz w:val="22"/>
        </w:rPr>
        <w:t>Patients with primary response were in a mild disease state during periods 2 and 3 and entered ATI status-dependent remission or mild disease states in period 4.  IFX maintenance therapy continued every 8 weeks unless they experienced secondary non-response (loss of response), or a severe infusion reaction, upon which they moved to standard care.  Patients who experience</w:t>
      </w:r>
      <w:r w:rsidR="00270742" w:rsidRPr="00E24E29">
        <w:rPr>
          <w:sz w:val="22"/>
        </w:rPr>
        <w:t>d</w:t>
      </w:r>
      <w:r w:rsidRPr="00E24E29">
        <w:rPr>
          <w:sz w:val="22"/>
        </w:rPr>
        <w:t xml:space="preserve"> secondary non-response did so from a mild disease state.  Acute and delayed infusion reactions were managed in the same period and IFX was not withdrawn.  Patients could only experience one infusion reaction over the year and all were assumed to be in period 4, following the 4</w:t>
      </w:r>
      <w:r w:rsidRPr="00E24E29">
        <w:rPr>
          <w:sz w:val="22"/>
          <w:vertAlign w:val="superscript"/>
        </w:rPr>
        <w:t>th</w:t>
      </w:r>
      <w:r w:rsidRPr="00E24E29">
        <w:rPr>
          <w:sz w:val="22"/>
        </w:rPr>
        <w:t xml:space="preserve"> infusion, consistent with </w:t>
      </w:r>
      <w:r w:rsidR="00682DA4" w:rsidRPr="00E24E29">
        <w:rPr>
          <w:sz w:val="22"/>
        </w:rPr>
        <w:t xml:space="preserve">the </w:t>
      </w:r>
      <w:r w:rsidR="008F2336" w:rsidRPr="00E24E29">
        <w:rPr>
          <w:sz w:val="22"/>
        </w:rPr>
        <w:t>findings of the pivotal clinical trial of maintenance infliximab</w:t>
      </w:r>
      <w:r w:rsidR="00682DA4" w:rsidRPr="00E24E29">
        <w:rPr>
          <w:sz w:val="22"/>
        </w:rPr>
        <w:t xml:space="preserve"> </w:t>
      </w:r>
      <w:r w:rsidR="008F2336" w:rsidRPr="00E24E29">
        <w:rPr>
          <w:sz w:val="22"/>
        </w:rPr>
        <w:t>(</w:t>
      </w:r>
      <w:r w:rsidRPr="00E24E29">
        <w:rPr>
          <w:sz w:val="22"/>
        </w:rPr>
        <w:t>ACCENT I</w:t>
      </w:r>
      <w:r w:rsidR="008F2336" w:rsidRPr="00E24E29">
        <w:rPr>
          <w:sz w:val="22"/>
        </w:rPr>
        <w:t>)</w:t>
      </w:r>
      <w:r w:rsidR="00BB0BF5" w:rsidRPr="00E24E29">
        <w:rPr>
          <w:sz w:val="22"/>
        </w:rPr>
        <w:t xml:space="preserve"> [</w:t>
      </w:r>
      <w:r w:rsidR="00FB22BD" w:rsidRPr="00E24E29">
        <w:rPr>
          <w:noProof/>
          <w:sz w:val="22"/>
        </w:rPr>
        <w:t>23</w:t>
      </w:r>
      <w:r w:rsidR="00BB0BF5" w:rsidRPr="00E24E29">
        <w:rPr>
          <w:noProof/>
          <w:sz w:val="22"/>
        </w:rPr>
        <w:t>].</w:t>
      </w:r>
    </w:p>
    <w:p w14:paraId="47665775" w14:textId="31D814B2" w:rsidR="00F37291" w:rsidRPr="00E24E29" w:rsidRDefault="00F37291" w:rsidP="00DF3645">
      <w:pPr>
        <w:pStyle w:val="Dbl"/>
        <w:rPr>
          <w:sz w:val="22"/>
        </w:rPr>
      </w:pPr>
      <w:r w:rsidRPr="00E24E29">
        <w:rPr>
          <w:sz w:val="22"/>
        </w:rPr>
        <w:t xml:space="preserve">At the end of one year, patients who remained on IFX could be in remission or experiencing mild disease or had moved to standard care or died.  Patients </w:t>
      </w:r>
      <w:r w:rsidR="008F2336" w:rsidRPr="00E24E29">
        <w:rPr>
          <w:sz w:val="22"/>
        </w:rPr>
        <w:t>receiving</w:t>
      </w:r>
      <w:r w:rsidRPr="00E24E29">
        <w:rPr>
          <w:sz w:val="22"/>
        </w:rPr>
        <w:t xml:space="preserve"> standard care could end the year in a moderate-to-severe disease state or post-surgical remission.  Death in the model could result from age-specific, all-cause mortality, severe infusion reaction</w:t>
      </w:r>
      <w:r w:rsidR="0071691B" w:rsidRPr="00E24E29">
        <w:rPr>
          <w:sz w:val="22"/>
        </w:rPr>
        <w:t xml:space="preserve"> (SIR)</w:t>
      </w:r>
      <w:r w:rsidRPr="00E24E29">
        <w:rPr>
          <w:sz w:val="22"/>
        </w:rPr>
        <w:t>, surgery or disease flare.  Age-specific, all-cause mortality</w:t>
      </w:r>
      <w:r w:rsidR="00BB0BF5" w:rsidRPr="00E24E29">
        <w:rPr>
          <w:sz w:val="22"/>
        </w:rPr>
        <w:t xml:space="preserve"> [</w:t>
      </w:r>
      <w:r w:rsidR="00FB22BD" w:rsidRPr="00E24E29">
        <w:rPr>
          <w:noProof/>
          <w:sz w:val="22"/>
        </w:rPr>
        <w:t>24</w:t>
      </w:r>
      <w:r w:rsidR="00BB0BF5" w:rsidRPr="00E24E29">
        <w:rPr>
          <w:sz w:val="22"/>
        </w:rPr>
        <w:t>]</w:t>
      </w:r>
      <w:r w:rsidRPr="00E24E29">
        <w:rPr>
          <w:sz w:val="22"/>
        </w:rPr>
        <w:t xml:space="preserve"> was applied during week 12, meaning none had experienced maintenance therapy.</w:t>
      </w:r>
    </w:p>
    <w:p w14:paraId="3C3610E6" w14:textId="4AA5094B" w:rsidR="00F37291" w:rsidRPr="00E24E29" w:rsidRDefault="00F37291" w:rsidP="00DF3645">
      <w:pPr>
        <w:pStyle w:val="Dbl"/>
        <w:rPr>
          <w:sz w:val="22"/>
        </w:rPr>
      </w:pPr>
      <w:r w:rsidRPr="00E24E29">
        <w:rPr>
          <w:sz w:val="22"/>
        </w:rPr>
        <w:t>Moves to alternative treatment or surgery occurred at the end of each period to allow for</w:t>
      </w:r>
      <w:r w:rsidR="00503CC2" w:rsidRPr="00E24E29">
        <w:rPr>
          <w:sz w:val="22"/>
        </w:rPr>
        <w:t xml:space="preserve"> benefits, harms </w:t>
      </w:r>
      <w:r w:rsidRPr="00E24E29">
        <w:rPr>
          <w:sz w:val="22"/>
        </w:rPr>
        <w:t xml:space="preserve">and costs to be allocated in whole periods. </w:t>
      </w:r>
      <w:r w:rsidR="005901AD" w:rsidRPr="00E24E29">
        <w:rPr>
          <w:sz w:val="22"/>
        </w:rPr>
        <w:t>The impact of treatment b</w:t>
      </w:r>
      <w:r w:rsidR="00503CC2" w:rsidRPr="00E24E29">
        <w:rPr>
          <w:sz w:val="22"/>
        </w:rPr>
        <w:t xml:space="preserve">enefits and harms </w:t>
      </w:r>
      <w:r w:rsidR="005901AD" w:rsidRPr="00E24E29">
        <w:rPr>
          <w:sz w:val="22"/>
        </w:rPr>
        <w:t>were represented as</w:t>
      </w:r>
      <w:r w:rsidR="00503CC2" w:rsidRPr="00E24E29">
        <w:rPr>
          <w:sz w:val="22"/>
        </w:rPr>
        <w:t xml:space="preserve"> utilit</w:t>
      </w:r>
      <w:r w:rsidR="005901AD" w:rsidRPr="00E24E29">
        <w:rPr>
          <w:sz w:val="22"/>
        </w:rPr>
        <w:t>ies</w:t>
      </w:r>
      <w:r w:rsidR="00503CC2" w:rsidRPr="00E24E29">
        <w:rPr>
          <w:sz w:val="22"/>
        </w:rPr>
        <w:t xml:space="preserve">, </w:t>
      </w:r>
      <w:r w:rsidR="005901AD" w:rsidRPr="00E24E29">
        <w:rPr>
          <w:sz w:val="22"/>
        </w:rPr>
        <w:t>from which</w:t>
      </w:r>
      <w:r w:rsidR="00503CC2" w:rsidRPr="00E24E29">
        <w:rPr>
          <w:sz w:val="22"/>
        </w:rPr>
        <w:t xml:space="preserve"> quality</w:t>
      </w:r>
      <w:r w:rsidR="005901AD" w:rsidRPr="00E24E29">
        <w:rPr>
          <w:sz w:val="22"/>
        </w:rPr>
        <w:t>-</w:t>
      </w:r>
      <w:r w:rsidR="00503CC2" w:rsidRPr="00E24E29">
        <w:rPr>
          <w:sz w:val="22"/>
        </w:rPr>
        <w:t>adjusted life years (QALYs)</w:t>
      </w:r>
      <w:r w:rsidR="005901AD" w:rsidRPr="00E24E29">
        <w:rPr>
          <w:sz w:val="22"/>
        </w:rPr>
        <w:t xml:space="preserve"> could be estimated</w:t>
      </w:r>
      <w:r w:rsidR="00503CC2" w:rsidRPr="00E24E29">
        <w:rPr>
          <w:sz w:val="22"/>
        </w:rPr>
        <w:t xml:space="preserve">. </w:t>
      </w:r>
      <w:r w:rsidRPr="00E24E29">
        <w:rPr>
          <w:sz w:val="22"/>
        </w:rPr>
        <w:t xml:space="preserve">The effects of IFX treatment </w:t>
      </w:r>
      <w:r w:rsidR="008F2336" w:rsidRPr="00E24E29">
        <w:rPr>
          <w:sz w:val="22"/>
        </w:rPr>
        <w:t xml:space="preserve">(and other biologics in scenarios) </w:t>
      </w:r>
      <w:r w:rsidRPr="00E24E29">
        <w:rPr>
          <w:sz w:val="22"/>
        </w:rPr>
        <w:t>occur within the period of treatment. Standard care is assumed to take two periods to have effect</w:t>
      </w:r>
      <w:r w:rsidR="00BB0BF5" w:rsidRPr="00E24E29">
        <w:rPr>
          <w:sz w:val="22"/>
        </w:rPr>
        <w:t xml:space="preserve"> [</w:t>
      </w:r>
      <w:r w:rsidR="00FB22BD" w:rsidRPr="00E24E29">
        <w:rPr>
          <w:noProof/>
          <w:sz w:val="22"/>
        </w:rPr>
        <w:t>17</w:t>
      </w:r>
      <w:r w:rsidR="00BB0BF5" w:rsidRPr="00E24E29">
        <w:rPr>
          <w:sz w:val="22"/>
        </w:rPr>
        <w:t>].</w:t>
      </w:r>
      <w:r w:rsidRPr="00E24E29">
        <w:rPr>
          <w:sz w:val="22"/>
        </w:rPr>
        <w:t xml:space="preserve">  Secondary non-response is assumed to take place at 38 weeks in line with the median in patients receiving the standard therapy of 5mg/kg of infliximab from ACCENT I</w:t>
      </w:r>
      <w:r w:rsidR="00BB0BF5" w:rsidRPr="00E24E29">
        <w:rPr>
          <w:sz w:val="22"/>
        </w:rPr>
        <w:t xml:space="preserve"> [</w:t>
      </w:r>
      <w:r w:rsidR="00FB22BD" w:rsidRPr="00E24E29">
        <w:rPr>
          <w:noProof/>
          <w:sz w:val="22"/>
        </w:rPr>
        <w:t>23</w:t>
      </w:r>
      <w:r w:rsidR="00BB0BF5" w:rsidRPr="00E24E29">
        <w:rPr>
          <w:sz w:val="22"/>
        </w:rPr>
        <w:t>].</w:t>
      </w:r>
      <w:r w:rsidRPr="00E24E29">
        <w:rPr>
          <w:sz w:val="22"/>
        </w:rPr>
        <w:t xml:space="preserve"> The effect of IFX was assumed to wash out 19 weeks after stopping IFX due to a severe infusion reaction, in line with the median time to offset of response during placebo maintenance in ACCENT I</w:t>
      </w:r>
      <w:r w:rsidR="00BB0BF5" w:rsidRPr="00E24E29">
        <w:rPr>
          <w:sz w:val="22"/>
        </w:rPr>
        <w:t xml:space="preserve"> [</w:t>
      </w:r>
      <w:r w:rsidR="00FB22BD" w:rsidRPr="00E24E29">
        <w:rPr>
          <w:noProof/>
          <w:sz w:val="22"/>
        </w:rPr>
        <w:t>23</w:t>
      </w:r>
      <w:r w:rsidR="00BB0BF5" w:rsidRPr="00E24E29">
        <w:rPr>
          <w:sz w:val="22"/>
        </w:rPr>
        <w:t>].</w:t>
      </w:r>
      <w:r w:rsidRPr="00E24E29">
        <w:rPr>
          <w:sz w:val="22"/>
        </w:rPr>
        <w:t xml:space="preserve"> </w:t>
      </w:r>
    </w:p>
    <w:p w14:paraId="013328E4" w14:textId="37F48D48" w:rsidR="00F37291" w:rsidRPr="00E24E29" w:rsidRDefault="00F37291" w:rsidP="00DF3645">
      <w:pPr>
        <w:pStyle w:val="Dbl"/>
        <w:rPr>
          <w:sz w:val="22"/>
        </w:rPr>
      </w:pPr>
      <w:r w:rsidRPr="00E24E29">
        <w:rPr>
          <w:sz w:val="22"/>
        </w:rPr>
        <w:t>The model was constructed in Microsoft Excel using visual basic language for probabilistic sensitivity analysis.</w:t>
      </w:r>
    </w:p>
    <w:p w14:paraId="22B4646F" w14:textId="77777777" w:rsidR="00F37291" w:rsidRPr="00E24E29" w:rsidRDefault="00F37291" w:rsidP="00563015">
      <w:pPr>
        <w:pStyle w:val="Heading3"/>
        <w:numPr>
          <w:ilvl w:val="1"/>
          <w:numId w:val="15"/>
        </w:numPr>
        <w:rPr>
          <w:rFonts w:asciiTheme="minorHAnsi" w:hAnsiTheme="minorHAnsi"/>
          <w:color w:val="auto"/>
          <w:sz w:val="22"/>
          <w:szCs w:val="22"/>
        </w:rPr>
      </w:pPr>
      <w:r w:rsidRPr="00E24E29">
        <w:rPr>
          <w:rFonts w:asciiTheme="minorHAnsi" w:hAnsiTheme="minorHAnsi"/>
          <w:color w:val="auto"/>
          <w:sz w:val="22"/>
          <w:szCs w:val="22"/>
        </w:rPr>
        <w:t>Model parameters</w:t>
      </w:r>
    </w:p>
    <w:p w14:paraId="7D7DB33D" w14:textId="692DA9C4" w:rsidR="00F37291" w:rsidRPr="00E24E29" w:rsidRDefault="00F37291" w:rsidP="00DF3645">
      <w:pPr>
        <w:pStyle w:val="Dbl"/>
        <w:rPr>
          <w:sz w:val="22"/>
        </w:rPr>
      </w:pPr>
      <w:r w:rsidRPr="00E24E29">
        <w:rPr>
          <w:sz w:val="22"/>
        </w:rPr>
        <w:t xml:space="preserve">We obtained parameter estimates for ATI development, efficacy, adverse events, health utilities and costs from targeted MEDLINE literature reviews of clinical trials and previous cost-effectiveness models. </w:t>
      </w:r>
      <w:r w:rsidR="00202779">
        <w:rPr>
          <w:sz w:val="22"/>
        </w:rPr>
        <w:t>All s</w:t>
      </w:r>
      <w:r w:rsidR="006266A8">
        <w:rPr>
          <w:sz w:val="22"/>
        </w:rPr>
        <w:t xml:space="preserve">earches included </w:t>
      </w:r>
      <w:r w:rsidR="00ED4AFF">
        <w:rPr>
          <w:sz w:val="22"/>
        </w:rPr>
        <w:t xml:space="preserve">the </w:t>
      </w:r>
      <w:r w:rsidR="006266A8">
        <w:rPr>
          <w:sz w:val="22"/>
        </w:rPr>
        <w:t>terms</w:t>
      </w:r>
      <w:r w:rsidR="00202779">
        <w:rPr>
          <w:sz w:val="22"/>
        </w:rPr>
        <w:t xml:space="preserve"> “Crohn’s disease” and “infliximab”</w:t>
      </w:r>
      <w:r w:rsidR="00ED4AFF">
        <w:rPr>
          <w:sz w:val="22"/>
        </w:rPr>
        <w:t>,</w:t>
      </w:r>
      <w:r w:rsidR="00202779">
        <w:rPr>
          <w:sz w:val="22"/>
        </w:rPr>
        <w:t xml:space="preserve"> as well as other relevant terms depending upon the parameter, for example “loss of response”, “antibodies” and “drug sensitivity/or infusion reaction”.  </w:t>
      </w:r>
      <w:r w:rsidRPr="00E24E29">
        <w:rPr>
          <w:sz w:val="22"/>
        </w:rPr>
        <w:t xml:space="preserve"> Model inputs are shown in </w:t>
      </w:r>
      <w:r w:rsidR="003605EA" w:rsidRPr="00E24E29">
        <w:rPr>
          <w:sz w:val="22"/>
        </w:rPr>
        <w:t xml:space="preserve">Table </w:t>
      </w:r>
      <w:r w:rsidR="003605EA" w:rsidRPr="00E24E29">
        <w:rPr>
          <w:noProof/>
          <w:sz w:val="22"/>
        </w:rPr>
        <w:t>1</w:t>
      </w:r>
      <w:r w:rsidRPr="00E24E29">
        <w:rPr>
          <w:sz w:val="22"/>
        </w:rPr>
        <w:t>.</w:t>
      </w:r>
    </w:p>
    <w:p w14:paraId="5A522A5A" w14:textId="77777777" w:rsidR="00F37291" w:rsidRPr="00E24E29" w:rsidRDefault="00F37291" w:rsidP="00563015">
      <w:pPr>
        <w:pStyle w:val="Heading3"/>
        <w:numPr>
          <w:ilvl w:val="2"/>
          <w:numId w:val="15"/>
        </w:numPr>
        <w:rPr>
          <w:rFonts w:asciiTheme="minorHAnsi" w:hAnsiTheme="minorHAnsi"/>
          <w:color w:val="auto"/>
          <w:sz w:val="22"/>
          <w:szCs w:val="22"/>
        </w:rPr>
      </w:pPr>
      <w:r w:rsidRPr="00E24E29">
        <w:rPr>
          <w:rFonts w:asciiTheme="minorHAnsi" w:hAnsiTheme="minorHAnsi"/>
          <w:color w:val="auto"/>
          <w:sz w:val="22"/>
          <w:szCs w:val="22"/>
        </w:rPr>
        <w:t>ATI development</w:t>
      </w:r>
    </w:p>
    <w:p w14:paraId="1D2F923E" w14:textId="21292A89" w:rsidR="00F37291" w:rsidRPr="00E24E29" w:rsidRDefault="00F37291" w:rsidP="00DF3645">
      <w:pPr>
        <w:pStyle w:val="Dbl"/>
        <w:rPr>
          <w:sz w:val="22"/>
        </w:rPr>
      </w:pPr>
      <w:r w:rsidRPr="00E24E29">
        <w:rPr>
          <w:sz w:val="22"/>
        </w:rPr>
        <w:t>The rate of ATI development for Remicade (ATI_R) during maintenance use was taken from a meta-analysis</w:t>
      </w:r>
      <w:r w:rsidR="00BB0BF5" w:rsidRPr="00E24E29">
        <w:rPr>
          <w:sz w:val="22"/>
        </w:rPr>
        <w:t xml:space="preserve"> [</w:t>
      </w:r>
      <w:r w:rsidR="00FB22BD" w:rsidRPr="00E24E29">
        <w:rPr>
          <w:noProof/>
          <w:sz w:val="22"/>
        </w:rPr>
        <w:t>25</w:t>
      </w:r>
      <w:r w:rsidR="00BB0BF5" w:rsidRPr="00E24E29">
        <w:rPr>
          <w:sz w:val="22"/>
        </w:rPr>
        <w:t>]</w:t>
      </w:r>
      <w:r w:rsidRPr="00E24E29">
        <w:rPr>
          <w:sz w:val="22"/>
        </w:rPr>
        <w:t xml:space="preserve"> as ACCENT I had 46% inconclusive samples and was considered potentially biased</w:t>
      </w:r>
      <w:r w:rsidR="00BB0BF5" w:rsidRPr="00E24E29">
        <w:rPr>
          <w:sz w:val="22"/>
        </w:rPr>
        <w:t xml:space="preserve"> [</w:t>
      </w:r>
      <w:r w:rsidR="00FB22BD" w:rsidRPr="00E24E29">
        <w:rPr>
          <w:noProof/>
          <w:sz w:val="22"/>
        </w:rPr>
        <w:t>23</w:t>
      </w:r>
      <w:r w:rsidR="00BB0BF5" w:rsidRPr="00E24E29">
        <w:rPr>
          <w:sz w:val="22"/>
        </w:rPr>
        <w:t>].</w:t>
      </w:r>
      <w:r w:rsidRPr="00E24E29">
        <w:rPr>
          <w:sz w:val="22"/>
        </w:rPr>
        <w:t xml:space="preserve"> </w:t>
      </w:r>
      <w:r w:rsidR="008F2336" w:rsidRPr="00E24E29">
        <w:rPr>
          <w:sz w:val="22"/>
        </w:rPr>
        <w:t>In the base case, this is also the ATI development rate for Inflectra (ATI_I).</w:t>
      </w:r>
    </w:p>
    <w:p w14:paraId="450A1C4E" w14:textId="77777777" w:rsidR="00F37291" w:rsidRPr="00E24E29" w:rsidRDefault="00F37291" w:rsidP="00563015">
      <w:pPr>
        <w:pStyle w:val="Heading3"/>
        <w:numPr>
          <w:ilvl w:val="2"/>
          <w:numId w:val="15"/>
        </w:numPr>
        <w:rPr>
          <w:rFonts w:asciiTheme="minorHAnsi" w:hAnsiTheme="minorHAnsi"/>
          <w:color w:val="auto"/>
          <w:sz w:val="22"/>
          <w:szCs w:val="22"/>
        </w:rPr>
      </w:pPr>
      <w:r w:rsidRPr="00E24E29">
        <w:rPr>
          <w:rFonts w:asciiTheme="minorHAnsi" w:hAnsiTheme="minorHAnsi"/>
          <w:color w:val="auto"/>
          <w:sz w:val="22"/>
          <w:szCs w:val="22"/>
        </w:rPr>
        <w:t>Efficacy</w:t>
      </w:r>
    </w:p>
    <w:p w14:paraId="2FECB6A0" w14:textId="345D23FC" w:rsidR="00F37291" w:rsidRPr="00E24E29" w:rsidRDefault="00F37291" w:rsidP="00DF3645">
      <w:pPr>
        <w:pStyle w:val="Dbl"/>
        <w:rPr>
          <w:sz w:val="22"/>
        </w:rPr>
      </w:pPr>
      <w:r w:rsidRPr="00E24E29">
        <w:rPr>
          <w:sz w:val="22"/>
        </w:rPr>
        <w:t xml:space="preserve">Early </w:t>
      </w:r>
      <w:r w:rsidR="008E4972" w:rsidRPr="00E24E29">
        <w:rPr>
          <w:sz w:val="22"/>
        </w:rPr>
        <w:t xml:space="preserve">IFX </w:t>
      </w:r>
      <w:r w:rsidRPr="00E24E29">
        <w:rPr>
          <w:sz w:val="22"/>
        </w:rPr>
        <w:t>clinical trials focused on single infusions</w:t>
      </w:r>
      <w:r w:rsidR="004661DF" w:rsidRPr="00E24E29">
        <w:rPr>
          <w:sz w:val="22"/>
        </w:rPr>
        <w:t>,</w:t>
      </w:r>
      <w:r w:rsidRPr="00E24E29">
        <w:rPr>
          <w:sz w:val="22"/>
        </w:rPr>
        <w:t xml:space="preserve"> and </w:t>
      </w:r>
      <w:r w:rsidR="008F2336" w:rsidRPr="00E24E29">
        <w:rPr>
          <w:sz w:val="22"/>
        </w:rPr>
        <w:t xml:space="preserve">the pivotal maintenance trial, </w:t>
      </w:r>
      <w:r w:rsidRPr="00E24E29">
        <w:rPr>
          <w:sz w:val="22"/>
        </w:rPr>
        <w:t>ACCENT I</w:t>
      </w:r>
      <w:r w:rsidR="008F2336" w:rsidRPr="00E24E29">
        <w:rPr>
          <w:sz w:val="22"/>
        </w:rPr>
        <w:t>,</w:t>
      </w:r>
      <w:r w:rsidRPr="00E24E29">
        <w:rPr>
          <w:sz w:val="22"/>
        </w:rPr>
        <w:t xml:space="preserve"> included only those who had responded to an initial infusion.  To provide an estimate of the induction phase response, the probability of response at 12 weeks was taken from an observational study</w:t>
      </w:r>
      <w:r w:rsidR="00BB0BF5" w:rsidRPr="00E24E29">
        <w:rPr>
          <w:sz w:val="22"/>
        </w:rPr>
        <w:t xml:space="preserve"> [</w:t>
      </w:r>
      <w:r w:rsidR="00FB22BD" w:rsidRPr="00E24E29">
        <w:rPr>
          <w:noProof/>
          <w:sz w:val="22"/>
        </w:rPr>
        <w:t>26</w:t>
      </w:r>
      <w:r w:rsidR="00BB0BF5" w:rsidRPr="00E24E29">
        <w:rPr>
          <w:sz w:val="22"/>
        </w:rPr>
        <w:t>].</w:t>
      </w:r>
      <w:r w:rsidRPr="00E24E29">
        <w:rPr>
          <w:sz w:val="22"/>
        </w:rPr>
        <w:t xml:space="preserve">  </w:t>
      </w:r>
    </w:p>
    <w:p w14:paraId="1BE523A5" w14:textId="5DB418C1" w:rsidR="004661DF" w:rsidRPr="00E24E29" w:rsidRDefault="004661DF" w:rsidP="00DF3645">
      <w:pPr>
        <w:pStyle w:val="Dbl"/>
        <w:rPr>
          <w:sz w:val="22"/>
        </w:rPr>
      </w:pPr>
      <w:r w:rsidRPr="00E24E29">
        <w:rPr>
          <w:sz w:val="22"/>
        </w:rPr>
        <w:t>The rates of loss of response (LOR) by ATI status were derived from a meta-analysis of the impact of antibodies on clinical outcomes</w:t>
      </w:r>
      <w:r w:rsidR="00BB0BF5" w:rsidRPr="00E24E29">
        <w:rPr>
          <w:sz w:val="22"/>
        </w:rPr>
        <w:t xml:space="preserve"> [</w:t>
      </w:r>
      <w:r w:rsidR="00FB22BD" w:rsidRPr="00E24E29">
        <w:rPr>
          <w:noProof/>
          <w:sz w:val="22"/>
        </w:rPr>
        <w:t>27</w:t>
      </w:r>
      <w:r w:rsidR="00BB0BF5" w:rsidRPr="00E24E29">
        <w:rPr>
          <w:sz w:val="22"/>
        </w:rPr>
        <w:t>].</w:t>
      </w:r>
      <w:r w:rsidRPr="00E24E29">
        <w:rPr>
          <w:sz w:val="22"/>
        </w:rPr>
        <w:t xml:space="preserve">  Rates of remission and response by ATI status at 1 year were calculated by adjusting the rates calculated by Saito et al</w:t>
      </w:r>
      <w:r w:rsidR="00BB0BF5" w:rsidRPr="00E24E29">
        <w:rPr>
          <w:sz w:val="22"/>
        </w:rPr>
        <w:t xml:space="preserve"> [</w:t>
      </w:r>
      <w:r w:rsidR="00FB22BD" w:rsidRPr="00E24E29">
        <w:rPr>
          <w:noProof/>
          <w:sz w:val="22"/>
        </w:rPr>
        <w:t>28</w:t>
      </w:r>
      <w:r w:rsidR="00BB0BF5" w:rsidRPr="00E24E29">
        <w:rPr>
          <w:sz w:val="22"/>
        </w:rPr>
        <w:t>]</w:t>
      </w:r>
      <w:r w:rsidRPr="00E24E29">
        <w:rPr>
          <w:sz w:val="22"/>
        </w:rPr>
        <w:t xml:space="preserve"> proportionately by the LOR probabilities. </w:t>
      </w:r>
    </w:p>
    <w:p w14:paraId="40953D72" w14:textId="422625FF" w:rsidR="004661DF" w:rsidRPr="00E24E29" w:rsidRDefault="004661DF" w:rsidP="00DF3645">
      <w:pPr>
        <w:pStyle w:val="Dbl"/>
        <w:rPr>
          <w:sz w:val="22"/>
        </w:rPr>
      </w:pPr>
      <w:r w:rsidRPr="00E24E29">
        <w:rPr>
          <w:sz w:val="22"/>
        </w:rPr>
        <w:t>The probabilities of outcomes for standard care were derived from a cohort study by Silverstein et al</w:t>
      </w:r>
      <w:r w:rsidR="00BB0BF5" w:rsidRPr="00E24E29">
        <w:rPr>
          <w:sz w:val="22"/>
        </w:rPr>
        <w:t xml:space="preserve"> [</w:t>
      </w:r>
      <w:r w:rsidR="00FB22BD" w:rsidRPr="00E24E29">
        <w:rPr>
          <w:noProof/>
          <w:sz w:val="22"/>
        </w:rPr>
        <w:t>17,29</w:t>
      </w:r>
      <w:r w:rsidR="00BB0BF5" w:rsidRPr="00E24E29">
        <w:rPr>
          <w:sz w:val="22"/>
        </w:rPr>
        <w:t>].</w:t>
      </w:r>
      <w:r w:rsidRPr="00E24E29">
        <w:rPr>
          <w:sz w:val="22"/>
        </w:rPr>
        <w:t xml:space="preserve">  Patients were divided between the surgery and moderate-to-severe disease</w:t>
      </w:r>
      <w:r w:rsidR="007A6CB7" w:rsidRPr="00E24E29">
        <w:rPr>
          <w:sz w:val="22"/>
        </w:rPr>
        <w:t xml:space="preserve"> outcomes</w:t>
      </w:r>
      <w:r w:rsidRPr="00E24E29">
        <w:rPr>
          <w:sz w:val="22"/>
        </w:rPr>
        <w:t xml:space="preserve"> in proportion to the ratio between the </w:t>
      </w:r>
      <w:r w:rsidR="00102698" w:rsidRPr="00E24E29">
        <w:rPr>
          <w:sz w:val="22"/>
        </w:rPr>
        <w:t>probabilities in Kaplan et</w:t>
      </w:r>
      <w:r w:rsidRPr="00E24E29">
        <w:rPr>
          <w:sz w:val="22"/>
        </w:rPr>
        <w:t xml:space="preserve"> al</w:t>
      </w:r>
      <w:r w:rsidR="00BB0BF5" w:rsidRPr="00E24E29">
        <w:rPr>
          <w:sz w:val="22"/>
        </w:rPr>
        <w:t xml:space="preserve"> [</w:t>
      </w:r>
      <w:r w:rsidR="000E5FFC" w:rsidRPr="00E24E29">
        <w:rPr>
          <w:noProof/>
          <w:sz w:val="22"/>
        </w:rPr>
        <w:t>17</w:t>
      </w:r>
      <w:r w:rsidR="00BB0BF5" w:rsidRPr="00E24E29">
        <w:rPr>
          <w:sz w:val="22"/>
        </w:rPr>
        <w:t>]</w:t>
      </w:r>
      <w:r w:rsidRPr="00E24E29">
        <w:rPr>
          <w:sz w:val="22"/>
        </w:rPr>
        <w:t xml:space="preserve"> (</w:t>
      </w:r>
      <w:r w:rsidR="003605EA" w:rsidRPr="00E24E29">
        <w:rPr>
          <w:sz w:val="22"/>
        </w:rPr>
        <w:t xml:space="preserve">Table </w:t>
      </w:r>
      <w:r w:rsidR="003605EA" w:rsidRPr="00E24E29">
        <w:rPr>
          <w:noProof/>
          <w:sz w:val="22"/>
        </w:rPr>
        <w:t>1</w:t>
      </w:r>
      <w:r w:rsidRPr="00E24E29">
        <w:rPr>
          <w:sz w:val="22"/>
        </w:rPr>
        <w:t xml:space="preserve">).  </w:t>
      </w:r>
    </w:p>
    <w:p w14:paraId="1B684A8D" w14:textId="77777777" w:rsidR="00F37291" w:rsidRPr="00E24E29" w:rsidRDefault="00F37291" w:rsidP="00563015">
      <w:pPr>
        <w:pStyle w:val="Heading3"/>
        <w:numPr>
          <w:ilvl w:val="2"/>
          <w:numId w:val="15"/>
        </w:numPr>
        <w:rPr>
          <w:rFonts w:asciiTheme="minorHAnsi" w:hAnsiTheme="minorHAnsi"/>
          <w:color w:val="auto"/>
          <w:sz w:val="22"/>
          <w:szCs w:val="22"/>
        </w:rPr>
      </w:pPr>
      <w:r w:rsidRPr="00E24E29">
        <w:rPr>
          <w:rFonts w:asciiTheme="minorHAnsi" w:hAnsiTheme="minorHAnsi"/>
          <w:color w:val="auto"/>
          <w:sz w:val="22"/>
          <w:szCs w:val="22"/>
        </w:rPr>
        <w:t>Adverse events</w:t>
      </w:r>
    </w:p>
    <w:p w14:paraId="0B00D3B3" w14:textId="616D4237" w:rsidR="00F37291" w:rsidRPr="00E24E29" w:rsidRDefault="004661DF" w:rsidP="00DF3645">
      <w:pPr>
        <w:pStyle w:val="Dbl"/>
        <w:rPr>
          <w:sz w:val="22"/>
        </w:rPr>
      </w:pPr>
      <w:r w:rsidRPr="00E24E29">
        <w:rPr>
          <w:sz w:val="22"/>
        </w:rPr>
        <w:t>T</w:t>
      </w:r>
      <w:r w:rsidR="00F37291" w:rsidRPr="00E24E29">
        <w:rPr>
          <w:sz w:val="22"/>
        </w:rPr>
        <w:t xml:space="preserve">he probabilities of infusion reactions by ATI status </w:t>
      </w:r>
      <w:r w:rsidRPr="00E24E29">
        <w:rPr>
          <w:sz w:val="22"/>
        </w:rPr>
        <w:t xml:space="preserve">were calculated </w:t>
      </w:r>
      <w:r w:rsidR="00F37291" w:rsidRPr="00E24E29">
        <w:rPr>
          <w:sz w:val="22"/>
        </w:rPr>
        <w:t>from a meta-analysis</w:t>
      </w:r>
      <w:r w:rsidR="00705978" w:rsidRPr="00E24E29">
        <w:rPr>
          <w:sz w:val="22"/>
        </w:rPr>
        <w:t xml:space="preserve"> of the impact of antibodies on the risk of infusion reactions</w:t>
      </w:r>
      <w:r w:rsidR="00832661" w:rsidRPr="00E24E29">
        <w:rPr>
          <w:sz w:val="22"/>
        </w:rPr>
        <w:t>, with supplementary data from its lead author</w:t>
      </w:r>
      <w:r w:rsidR="00BB0BF5" w:rsidRPr="00E24E29">
        <w:rPr>
          <w:sz w:val="22"/>
        </w:rPr>
        <w:t xml:space="preserve"> [</w:t>
      </w:r>
      <w:r w:rsidR="00FB22BD" w:rsidRPr="00E24E29">
        <w:rPr>
          <w:noProof/>
          <w:sz w:val="22"/>
        </w:rPr>
        <w:t>30</w:t>
      </w:r>
      <w:r w:rsidR="00BB0BF5" w:rsidRPr="00E24E29">
        <w:rPr>
          <w:sz w:val="22"/>
        </w:rPr>
        <w:t>].</w:t>
      </w:r>
      <w:r w:rsidR="00F37291" w:rsidRPr="00E24E29">
        <w:rPr>
          <w:sz w:val="22"/>
        </w:rPr>
        <w:t xml:space="preserve">  Data on mortality from serious adverse events were used for the calculation of associated risk</w:t>
      </w:r>
      <w:r w:rsidR="00BB0BF5" w:rsidRPr="00E24E29">
        <w:rPr>
          <w:sz w:val="22"/>
        </w:rPr>
        <w:t xml:space="preserve"> [</w:t>
      </w:r>
      <w:r w:rsidR="00FB22BD" w:rsidRPr="00E24E29">
        <w:rPr>
          <w:noProof/>
          <w:sz w:val="22"/>
        </w:rPr>
        <w:t>28</w:t>
      </w:r>
      <w:r w:rsidR="00BB0BF5" w:rsidRPr="00E24E29">
        <w:rPr>
          <w:noProof/>
          <w:sz w:val="22"/>
        </w:rPr>
        <w:t>].</w:t>
      </w:r>
    </w:p>
    <w:p w14:paraId="39C630A7" w14:textId="77777777" w:rsidR="00F37291" w:rsidRPr="00E24E29" w:rsidRDefault="00F37291" w:rsidP="00563015">
      <w:pPr>
        <w:pStyle w:val="Heading3"/>
        <w:numPr>
          <w:ilvl w:val="2"/>
          <w:numId w:val="15"/>
        </w:numPr>
        <w:rPr>
          <w:rFonts w:asciiTheme="minorHAnsi" w:hAnsiTheme="minorHAnsi"/>
          <w:color w:val="auto"/>
          <w:sz w:val="22"/>
          <w:szCs w:val="22"/>
        </w:rPr>
      </w:pPr>
      <w:r w:rsidRPr="00E24E29">
        <w:rPr>
          <w:rFonts w:asciiTheme="minorHAnsi" w:hAnsiTheme="minorHAnsi"/>
          <w:color w:val="auto"/>
          <w:sz w:val="22"/>
          <w:szCs w:val="22"/>
        </w:rPr>
        <w:t>Utilities</w:t>
      </w:r>
    </w:p>
    <w:p w14:paraId="03453A1C" w14:textId="7495259A" w:rsidR="00F37291" w:rsidRPr="00E24E29" w:rsidRDefault="00503CC2" w:rsidP="00DF3645">
      <w:pPr>
        <w:pStyle w:val="Dbl"/>
        <w:rPr>
          <w:sz w:val="22"/>
          <w:highlight w:val="yellow"/>
        </w:rPr>
      </w:pPr>
      <w:r w:rsidRPr="00E24E29">
        <w:rPr>
          <w:sz w:val="22"/>
        </w:rPr>
        <w:t>Utility values</w:t>
      </w:r>
      <w:r w:rsidR="00F37291" w:rsidRPr="00E24E29">
        <w:rPr>
          <w:sz w:val="22"/>
        </w:rPr>
        <w:t xml:space="preserve"> for disease states and surgery were taken from published cost-effectiveness models</w:t>
      </w:r>
      <w:r w:rsidR="00BB0BF5" w:rsidRPr="00E24E29">
        <w:rPr>
          <w:sz w:val="22"/>
        </w:rPr>
        <w:t xml:space="preserve"> [</w:t>
      </w:r>
      <w:r w:rsidR="00FB22BD" w:rsidRPr="00E24E29">
        <w:rPr>
          <w:noProof/>
          <w:sz w:val="22"/>
        </w:rPr>
        <w:t>31,32</w:t>
      </w:r>
      <w:r w:rsidR="00BB0BF5" w:rsidRPr="00E24E29">
        <w:rPr>
          <w:sz w:val="22"/>
        </w:rPr>
        <w:t>]</w:t>
      </w:r>
      <w:r w:rsidR="00B543C2">
        <w:rPr>
          <w:sz w:val="22"/>
        </w:rPr>
        <w:t xml:space="preserve">, based upon utility scores defined by Gregor et al </w:t>
      </w:r>
      <w:r w:rsidR="002E218E">
        <w:rPr>
          <w:sz w:val="22"/>
        </w:rPr>
        <w:t>[33]</w:t>
      </w:r>
      <w:r w:rsidR="00B543C2">
        <w:rPr>
          <w:sz w:val="22"/>
        </w:rPr>
        <w:t xml:space="preserve"> using a standard gamble approach</w:t>
      </w:r>
      <w:r w:rsidR="00BB0BF5" w:rsidRPr="00E24E29">
        <w:rPr>
          <w:sz w:val="22"/>
        </w:rPr>
        <w:t>.</w:t>
      </w:r>
      <w:r w:rsidR="00F37291" w:rsidRPr="00E24E29">
        <w:rPr>
          <w:sz w:val="22"/>
        </w:rPr>
        <w:t xml:space="preserve"> Acute and delayed infusion reactions do not affect disease activity but a 0.01 utility decrement was applied per event</w:t>
      </w:r>
      <w:r w:rsidR="00BB0BF5" w:rsidRPr="00E24E29">
        <w:rPr>
          <w:sz w:val="22"/>
        </w:rPr>
        <w:t xml:space="preserve"> [</w:t>
      </w:r>
      <w:r w:rsidR="002E218E" w:rsidRPr="00E24E29">
        <w:rPr>
          <w:noProof/>
          <w:sz w:val="22"/>
        </w:rPr>
        <w:t>3</w:t>
      </w:r>
      <w:r w:rsidR="002E218E">
        <w:rPr>
          <w:noProof/>
          <w:sz w:val="22"/>
        </w:rPr>
        <w:t>4</w:t>
      </w:r>
      <w:r w:rsidR="00BB0BF5" w:rsidRPr="00E24E29">
        <w:rPr>
          <w:sz w:val="22"/>
        </w:rPr>
        <w:t>].</w:t>
      </w:r>
      <w:r w:rsidR="00F37291" w:rsidRPr="00E24E29">
        <w:rPr>
          <w:sz w:val="22"/>
        </w:rPr>
        <w:t xml:space="preserve"> In the absence of other utility estimates, we made the following assumptions: utility for a severe infusion reaction equalled that for surgery; and post-surgical utility equalled moderate-to-severe disease for one period, then surgical remission for the remainder of the year.</w:t>
      </w:r>
    </w:p>
    <w:p w14:paraId="11D2E392" w14:textId="77777777" w:rsidR="00F37291" w:rsidRPr="00E24E29" w:rsidRDefault="00F37291" w:rsidP="00563015">
      <w:pPr>
        <w:pStyle w:val="Heading3"/>
        <w:numPr>
          <w:ilvl w:val="2"/>
          <w:numId w:val="15"/>
        </w:numPr>
        <w:rPr>
          <w:rFonts w:asciiTheme="minorHAnsi" w:hAnsiTheme="minorHAnsi"/>
          <w:color w:val="auto"/>
          <w:sz w:val="22"/>
          <w:szCs w:val="22"/>
        </w:rPr>
      </w:pPr>
      <w:r w:rsidRPr="00E24E29">
        <w:rPr>
          <w:rFonts w:asciiTheme="minorHAnsi" w:hAnsiTheme="minorHAnsi"/>
          <w:color w:val="auto"/>
          <w:sz w:val="22"/>
          <w:szCs w:val="22"/>
        </w:rPr>
        <w:t>Resource use</w:t>
      </w:r>
    </w:p>
    <w:p w14:paraId="62710FA3" w14:textId="46BF9139" w:rsidR="00F37291" w:rsidRPr="00E24E29" w:rsidRDefault="004661DF" w:rsidP="00DF3645">
      <w:pPr>
        <w:pStyle w:val="Dbl"/>
        <w:rPr>
          <w:sz w:val="22"/>
        </w:rPr>
      </w:pPr>
      <w:r w:rsidRPr="00E24E29">
        <w:rPr>
          <w:sz w:val="22"/>
        </w:rPr>
        <w:t xml:space="preserve">Patients receiving </w:t>
      </w:r>
      <w:r w:rsidR="00832661" w:rsidRPr="00E24E29">
        <w:rPr>
          <w:sz w:val="22"/>
        </w:rPr>
        <w:t xml:space="preserve">IFX </w:t>
      </w:r>
      <w:r w:rsidR="00782EA4" w:rsidRPr="00E24E29">
        <w:rPr>
          <w:sz w:val="22"/>
        </w:rPr>
        <w:t xml:space="preserve">(and other biologics) </w:t>
      </w:r>
      <w:r w:rsidR="00832661" w:rsidRPr="00E24E29">
        <w:rPr>
          <w:sz w:val="22"/>
        </w:rPr>
        <w:t xml:space="preserve">also receive </w:t>
      </w:r>
      <w:r w:rsidR="00F37291" w:rsidRPr="00E24E29">
        <w:rPr>
          <w:sz w:val="22"/>
        </w:rPr>
        <w:t>standard care. We assumed no vial sharing so each infusion required 4 vials and an NHS day case hospital attendance</w:t>
      </w:r>
      <w:r w:rsidR="00BB0BF5" w:rsidRPr="00E24E29">
        <w:rPr>
          <w:sz w:val="22"/>
        </w:rPr>
        <w:t xml:space="preserve"> [</w:t>
      </w:r>
      <w:r w:rsidR="002E218E" w:rsidRPr="00E24E29">
        <w:rPr>
          <w:noProof/>
          <w:sz w:val="22"/>
        </w:rPr>
        <w:t>3</w:t>
      </w:r>
      <w:r w:rsidR="002E218E">
        <w:rPr>
          <w:noProof/>
          <w:sz w:val="22"/>
        </w:rPr>
        <w:t>5</w:t>
      </w:r>
      <w:r w:rsidR="00BB0BF5" w:rsidRPr="00E24E29">
        <w:rPr>
          <w:sz w:val="22"/>
        </w:rPr>
        <w:t>].</w:t>
      </w:r>
      <w:r w:rsidR="00F37291" w:rsidRPr="00E24E29">
        <w:rPr>
          <w:sz w:val="22"/>
        </w:rPr>
        <w:t xml:space="preserve">  Acute infusion reactions were managed at the time of infusion </w:t>
      </w:r>
      <w:r w:rsidR="00832661" w:rsidRPr="00E24E29">
        <w:rPr>
          <w:sz w:val="22"/>
        </w:rPr>
        <w:t>within</w:t>
      </w:r>
      <w:r w:rsidR="00F37291" w:rsidRPr="00E24E29">
        <w:rPr>
          <w:sz w:val="22"/>
        </w:rPr>
        <w:t xml:space="preserve"> the day case hospital attendance.  Delayed infusion reactions required an additional outpatient clinic visit.  Severe infusion reactions were assumed to require a 4 night hospital stay, based on a study of another biologic agent</w:t>
      </w:r>
      <w:r w:rsidR="00BB0BF5" w:rsidRPr="00E24E29">
        <w:rPr>
          <w:sz w:val="22"/>
        </w:rPr>
        <w:t xml:space="preserve"> [</w:t>
      </w:r>
      <w:r w:rsidR="002E218E" w:rsidRPr="00E24E29">
        <w:rPr>
          <w:noProof/>
          <w:sz w:val="22"/>
        </w:rPr>
        <w:t>3</w:t>
      </w:r>
      <w:r w:rsidR="002E218E">
        <w:rPr>
          <w:noProof/>
          <w:sz w:val="22"/>
        </w:rPr>
        <w:t>6</w:t>
      </w:r>
      <w:r w:rsidR="00BB0BF5" w:rsidRPr="00E24E29">
        <w:rPr>
          <w:sz w:val="22"/>
        </w:rPr>
        <w:t>],</w:t>
      </w:r>
      <w:r w:rsidR="00F37291" w:rsidRPr="00E24E29">
        <w:rPr>
          <w:sz w:val="22"/>
        </w:rPr>
        <w:t xml:space="preserve"> which aligns with a long stay non-elective hospital admission.  </w:t>
      </w:r>
      <w:r w:rsidR="00ED4AFF">
        <w:rPr>
          <w:sz w:val="22"/>
        </w:rPr>
        <w:t>We assumed that p</w:t>
      </w:r>
      <w:r w:rsidR="00F37291" w:rsidRPr="00E24E29">
        <w:rPr>
          <w:sz w:val="22"/>
        </w:rPr>
        <w:t>ost-surgical therapy was in line with standard care resource use for moderate-to-severe disease.</w:t>
      </w:r>
    </w:p>
    <w:p w14:paraId="2671C884" w14:textId="77777777" w:rsidR="00F37291" w:rsidRPr="00E24E29" w:rsidRDefault="00F37291" w:rsidP="00563015">
      <w:pPr>
        <w:pStyle w:val="Heading3"/>
        <w:numPr>
          <w:ilvl w:val="2"/>
          <w:numId w:val="15"/>
        </w:numPr>
        <w:rPr>
          <w:rFonts w:asciiTheme="minorHAnsi" w:hAnsiTheme="minorHAnsi"/>
          <w:color w:val="auto"/>
          <w:sz w:val="22"/>
          <w:szCs w:val="22"/>
        </w:rPr>
      </w:pPr>
      <w:r w:rsidRPr="00E24E29">
        <w:rPr>
          <w:rFonts w:asciiTheme="minorHAnsi" w:hAnsiTheme="minorHAnsi"/>
          <w:color w:val="auto"/>
          <w:sz w:val="22"/>
          <w:szCs w:val="22"/>
        </w:rPr>
        <w:t>Costs</w:t>
      </w:r>
    </w:p>
    <w:p w14:paraId="762643CB" w14:textId="1317642C" w:rsidR="00F37291" w:rsidRPr="00E24E29" w:rsidRDefault="00F37291" w:rsidP="00DF3645">
      <w:pPr>
        <w:pStyle w:val="Dbl"/>
        <w:rPr>
          <w:sz w:val="22"/>
        </w:rPr>
      </w:pPr>
      <w:r w:rsidRPr="00E24E29">
        <w:rPr>
          <w:sz w:val="22"/>
        </w:rPr>
        <w:t>Standard care costs were taken from a previous Markov model, inflated using the retail price index</w:t>
      </w:r>
      <w:r w:rsidR="00BB0BF5" w:rsidRPr="00E24E29">
        <w:rPr>
          <w:sz w:val="22"/>
        </w:rPr>
        <w:t xml:space="preserve"> [</w:t>
      </w:r>
      <w:r w:rsidR="002E218E" w:rsidRPr="00E24E29">
        <w:rPr>
          <w:noProof/>
          <w:sz w:val="22"/>
        </w:rPr>
        <w:t>3</w:t>
      </w:r>
      <w:r w:rsidR="002E218E">
        <w:rPr>
          <w:noProof/>
          <w:sz w:val="22"/>
        </w:rPr>
        <w:t>5</w:t>
      </w:r>
      <w:r w:rsidR="00FB22BD" w:rsidRPr="00E24E29">
        <w:rPr>
          <w:noProof/>
          <w:sz w:val="22"/>
        </w:rPr>
        <w:t>,</w:t>
      </w:r>
      <w:r w:rsidR="002E218E" w:rsidRPr="00E24E29">
        <w:rPr>
          <w:noProof/>
          <w:sz w:val="22"/>
        </w:rPr>
        <w:t>3</w:t>
      </w:r>
      <w:r w:rsidR="002E218E">
        <w:rPr>
          <w:noProof/>
          <w:sz w:val="22"/>
        </w:rPr>
        <w:t>7</w:t>
      </w:r>
      <w:r w:rsidR="00BB0BF5" w:rsidRPr="00E24E29">
        <w:rPr>
          <w:sz w:val="22"/>
        </w:rPr>
        <w:t>].</w:t>
      </w:r>
      <w:r w:rsidR="00082429" w:rsidRPr="00E24E29">
        <w:rPr>
          <w:sz w:val="22"/>
        </w:rPr>
        <w:t xml:space="preserve"> </w:t>
      </w:r>
      <w:r w:rsidR="004661DF" w:rsidRPr="00E24E29">
        <w:rPr>
          <w:sz w:val="22"/>
        </w:rPr>
        <w:t>The</w:t>
      </w:r>
      <w:r w:rsidRPr="00E24E29">
        <w:rPr>
          <w:sz w:val="22"/>
        </w:rPr>
        <w:t xml:space="preserve"> pr</w:t>
      </w:r>
      <w:r w:rsidR="00782EA4" w:rsidRPr="00E24E29">
        <w:rPr>
          <w:sz w:val="22"/>
        </w:rPr>
        <w:t xml:space="preserve">ices </w:t>
      </w:r>
      <w:r w:rsidR="004661DF" w:rsidRPr="00E24E29">
        <w:rPr>
          <w:sz w:val="22"/>
        </w:rPr>
        <w:t xml:space="preserve">of all biologics </w:t>
      </w:r>
      <w:r w:rsidR="00782EA4" w:rsidRPr="00E24E29">
        <w:rPr>
          <w:sz w:val="22"/>
        </w:rPr>
        <w:t>were from the British National Formulary (BNF)</w:t>
      </w:r>
      <w:r w:rsidR="00BB0BF5" w:rsidRPr="00E24E29">
        <w:rPr>
          <w:sz w:val="22"/>
        </w:rPr>
        <w:t xml:space="preserve"> [</w:t>
      </w:r>
      <w:r w:rsidR="002E218E" w:rsidRPr="00E24E29">
        <w:rPr>
          <w:noProof/>
          <w:sz w:val="22"/>
        </w:rPr>
        <w:t>3</w:t>
      </w:r>
      <w:r w:rsidR="002E218E">
        <w:rPr>
          <w:noProof/>
          <w:sz w:val="22"/>
        </w:rPr>
        <w:t>8</w:t>
      </w:r>
      <w:r w:rsidR="00FB22BD" w:rsidRPr="00E24E29">
        <w:rPr>
          <w:noProof/>
          <w:sz w:val="22"/>
        </w:rPr>
        <w:t>–</w:t>
      </w:r>
      <w:r w:rsidR="002E218E">
        <w:rPr>
          <w:noProof/>
          <w:sz w:val="22"/>
        </w:rPr>
        <w:t>40</w:t>
      </w:r>
      <w:r w:rsidR="00BB0BF5" w:rsidRPr="00E24E29">
        <w:rPr>
          <w:sz w:val="22"/>
        </w:rPr>
        <w:t>].</w:t>
      </w:r>
      <w:r w:rsidR="00082429" w:rsidRPr="00E24E29">
        <w:rPr>
          <w:sz w:val="22"/>
        </w:rPr>
        <w:t xml:space="preserve"> </w:t>
      </w:r>
      <w:r w:rsidR="004661DF" w:rsidRPr="00E24E29">
        <w:rPr>
          <w:sz w:val="22"/>
        </w:rPr>
        <w:t>The c</w:t>
      </w:r>
      <w:r w:rsidRPr="00E24E29">
        <w:rPr>
          <w:sz w:val="22"/>
        </w:rPr>
        <w:t>osts of day</w:t>
      </w:r>
      <w:r w:rsidR="004661DF" w:rsidRPr="00E24E29">
        <w:rPr>
          <w:sz w:val="22"/>
        </w:rPr>
        <w:t>-</w:t>
      </w:r>
      <w:r w:rsidRPr="00E24E29">
        <w:rPr>
          <w:sz w:val="22"/>
        </w:rPr>
        <w:t>case hospital attendances, outpatient clinic visits and long stay non-elective admissions were from contemporary NHS reference costs</w:t>
      </w:r>
      <w:r w:rsidR="00BB0BF5" w:rsidRPr="00E24E29">
        <w:rPr>
          <w:sz w:val="22"/>
        </w:rPr>
        <w:t xml:space="preserve"> [</w:t>
      </w:r>
      <w:r w:rsidR="002E218E" w:rsidRPr="00E24E29">
        <w:rPr>
          <w:noProof/>
          <w:sz w:val="22"/>
        </w:rPr>
        <w:t>3</w:t>
      </w:r>
      <w:r w:rsidR="002E218E">
        <w:rPr>
          <w:noProof/>
          <w:sz w:val="22"/>
        </w:rPr>
        <w:t>5</w:t>
      </w:r>
      <w:r w:rsidR="00BB0BF5" w:rsidRPr="00E24E29">
        <w:rPr>
          <w:sz w:val="22"/>
        </w:rPr>
        <w:t>].</w:t>
      </w:r>
      <w:r w:rsidRPr="00E24E29">
        <w:rPr>
          <w:sz w:val="22"/>
        </w:rPr>
        <w:t xml:space="preserve"> </w:t>
      </w:r>
      <w:r w:rsidR="00E10E87">
        <w:rPr>
          <w:sz w:val="22"/>
        </w:rPr>
        <w:t>All costs are in pounds Sterling (£).</w:t>
      </w:r>
    </w:p>
    <w:p w14:paraId="3503CCC4" w14:textId="77777777" w:rsidR="00F37291" w:rsidRPr="00E24E29" w:rsidDel="00F1676F" w:rsidRDefault="00F37291" w:rsidP="00563015">
      <w:pPr>
        <w:pStyle w:val="Heading3"/>
        <w:numPr>
          <w:ilvl w:val="1"/>
          <w:numId w:val="15"/>
        </w:numPr>
        <w:rPr>
          <w:rFonts w:asciiTheme="minorHAnsi" w:hAnsiTheme="minorHAnsi"/>
          <w:color w:val="auto"/>
          <w:sz w:val="22"/>
          <w:szCs w:val="22"/>
        </w:rPr>
      </w:pPr>
      <w:r w:rsidRPr="00E24E29">
        <w:rPr>
          <w:rFonts w:asciiTheme="minorHAnsi" w:hAnsiTheme="minorHAnsi"/>
          <w:color w:val="auto"/>
          <w:sz w:val="22"/>
          <w:szCs w:val="22"/>
        </w:rPr>
        <w:t>Outcomes</w:t>
      </w:r>
    </w:p>
    <w:p w14:paraId="6DD34528" w14:textId="77777777" w:rsidR="00F37291" w:rsidRPr="00E24E29" w:rsidRDefault="00F37291" w:rsidP="00DF3645">
      <w:pPr>
        <w:pStyle w:val="Dbl"/>
        <w:rPr>
          <w:sz w:val="22"/>
        </w:rPr>
      </w:pPr>
      <w:r w:rsidRPr="00E24E29">
        <w:rPr>
          <w:sz w:val="22"/>
        </w:rPr>
        <w:t xml:space="preserve">Estimates of efficacy, development of ATI and adverse events for Inflectra were assumed equivalent to Remicade in the base case analysis, in line with the assumption of biosimilarity.  The outcomes of the analyses were 1-year costs and QALYs for treatment, and the proportion of patients who: experienced sustained remission for 12 months, remission, no adverse events following IFX treatment for 12 months, moved to standard care, developed ATIs, non-response (primary and secondary), infusion reactions (acute, delayed and serious) and surgeries.  </w:t>
      </w:r>
    </w:p>
    <w:p w14:paraId="5D10F415" w14:textId="45669B62" w:rsidR="00F37291" w:rsidRPr="00E24E29" w:rsidRDefault="00F37291" w:rsidP="00DF3645">
      <w:pPr>
        <w:pStyle w:val="Dbl"/>
        <w:rPr>
          <w:sz w:val="22"/>
        </w:rPr>
      </w:pPr>
      <w:r w:rsidRPr="00E24E29">
        <w:rPr>
          <w:sz w:val="22"/>
        </w:rPr>
        <w:t>Comparative value was determined from the Incremental Net Health Benefit (INHB), which is the difference in Net Health Benefit (NHB) between each intervention</w:t>
      </w:r>
      <w:r w:rsidR="00BB0BF5" w:rsidRPr="00E24E29">
        <w:rPr>
          <w:sz w:val="22"/>
        </w:rPr>
        <w:t xml:space="preserve"> [</w:t>
      </w:r>
      <w:r w:rsidR="00FB22BD" w:rsidRPr="00E24E29">
        <w:rPr>
          <w:noProof/>
          <w:sz w:val="22"/>
        </w:rPr>
        <w:t>16</w:t>
      </w:r>
      <w:r w:rsidR="00BB0BF5" w:rsidRPr="00E24E29">
        <w:rPr>
          <w:sz w:val="22"/>
        </w:rPr>
        <w:t>].</w:t>
      </w:r>
      <w:r w:rsidRPr="00E24E29">
        <w:rPr>
          <w:sz w:val="22"/>
        </w:rPr>
        <w:t xml:space="preserve"> </w:t>
      </w:r>
      <w:r w:rsidR="00AF330F" w:rsidRPr="00E24E29">
        <w:rPr>
          <w:sz w:val="22"/>
        </w:rPr>
        <w:t>I</w:t>
      </w:r>
      <w:r w:rsidRPr="00E24E29">
        <w:rPr>
          <w:sz w:val="22"/>
        </w:rPr>
        <w:t xml:space="preserve">NHB was calculated as the </w:t>
      </w:r>
      <w:r w:rsidR="004661DF" w:rsidRPr="00E24E29">
        <w:rPr>
          <w:sz w:val="22"/>
        </w:rPr>
        <w:t xml:space="preserve">incremental </w:t>
      </w:r>
      <w:r w:rsidRPr="00E24E29">
        <w:rPr>
          <w:sz w:val="22"/>
        </w:rPr>
        <w:t xml:space="preserve">benefit (in QALYs) of </w:t>
      </w:r>
      <w:r w:rsidR="004661DF" w:rsidRPr="00E24E29">
        <w:rPr>
          <w:sz w:val="22"/>
        </w:rPr>
        <w:t>the biosimilar compared with the originator,</w:t>
      </w:r>
      <w:r w:rsidRPr="00E24E29">
        <w:rPr>
          <w:sz w:val="22"/>
        </w:rPr>
        <w:t xml:space="preserve"> minus the </w:t>
      </w:r>
      <w:r w:rsidR="004661DF" w:rsidRPr="00E24E29">
        <w:rPr>
          <w:sz w:val="22"/>
        </w:rPr>
        <w:t xml:space="preserve">incremental </w:t>
      </w:r>
      <w:r w:rsidRPr="00E24E29">
        <w:rPr>
          <w:sz w:val="22"/>
        </w:rPr>
        <w:t xml:space="preserve">cost divided by the threshold for cost-effectiveness: </w:t>
      </w:r>
    </w:p>
    <w:p w14:paraId="40652C56" w14:textId="12B388D5" w:rsidR="00DF3645" w:rsidRPr="00E24E29" w:rsidRDefault="00DF3645" w:rsidP="00DF3645">
      <w:pPr>
        <w:pStyle w:val="Caption"/>
        <w:rPr>
          <w:color w:val="auto"/>
          <w:sz w:val="22"/>
          <w:szCs w:val="22"/>
        </w:rPr>
      </w:pPr>
      <w:bookmarkStart w:id="0" w:name="_Ref523911124"/>
      <w:r w:rsidRPr="00E24E29">
        <w:rPr>
          <w:color w:val="auto"/>
          <w:sz w:val="22"/>
          <w:szCs w:val="22"/>
        </w:rPr>
        <w:t xml:space="preserve">Equation </w:t>
      </w:r>
      <w:r w:rsidRPr="00E24E29">
        <w:rPr>
          <w:noProof/>
          <w:color w:val="auto"/>
          <w:sz w:val="22"/>
          <w:szCs w:val="22"/>
        </w:rPr>
        <w:t>1</w:t>
      </w:r>
      <w:bookmarkEnd w:id="0"/>
      <w:r w:rsidRPr="00E24E29">
        <w:rPr>
          <w:color w:val="auto"/>
          <w:sz w:val="22"/>
          <w:szCs w:val="22"/>
        </w:rPr>
        <w:t>: Incremental net health benefit (INHB)</w:t>
      </w:r>
    </w:p>
    <w:p w14:paraId="0462C154" w14:textId="77777777" w:rsidR="00DF3645" w:rsidRPr="00E24E29" w:rsidRDefault="00DF3645" w:rsidP="00DF3645">
      <w:pPr>
        <w:pStyle w:val="Dbltext"/>
      </w:pPr>
      <m:oMathPara>
        <m:oMath>
          <m:r>
            <w:rPr>
              <w:rFonts w:ascii="Cambria Math" w:hAnsi="Cambria Math"/>
            </w:rPr>
            <m:t>INHB</m:t>
          </m:r>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R</m:t>
                  </m:r>
                </m:sub>
              </m:sSub>
            </m:e>
          </m:d>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R</m:t>
              </m:r>
            </m:sub>
          </m:sSub>
          <m:r>
            <m:rPr>
              <m:sty m:val="p"/>
            </m:rPr>
            <w:rPr>
              <w:rFonts w:ascii="Cambria Math" w:hAnsi="Cambria Math"/>
            </w:rPr>
            <m:t>)/λ</m:t>
          </m:r>
        </m:oMath>
      </m:oMathPara>
    </w:p>
    <w:p w14:paraId="76A2D191" w14:textId="036A97AC" w:rsidR="00F37291" w:rsidRPr="00E24E29" w:rsidRDefault="00F37291" w:rsidP="00DF3645">
      <w:pPr>
        <w:pStyle w:val="Dbl"/>
        <w:rPr>
          <w:sz w:val="22"/>
        </w:rPr>
      </w:pPr>
      <w:r w:rsidRPr="00E24E29">
        <w:rPr>
          <w:sz w:val="22"/>
        </w:rPr>
        <w:t xml:space="preserve">Where </w:t>
      </w:r>
      <w:r w:rsidR="00DF3645" w:rsidRPr="00E24E29">
        <w:rPr>
          <w:sz w:val="22"/>
        </w:rPr>
        <w:t>E</w:t>
      </w:r>
      <w:r w:rsidRPr="00E24E29">
        <w:rPr>
          <w:sz w:val="22"/>
        </w:rPr>
        <w:t xml:space="preserve"> and C are the expected benefit (QALY) and costs for Inflectra (I) and Remicade (R), respectively, and λ is the cost-effectiveness threshold for a QALY (assumed £30,000)</w:t>
      </w:r>
      <w:r w:rsidR="00BB0BF5" w:rsidRPr="00E24E29">
        <w:rPr>
          <w:sz w:val="22"/>
        </w:rPr>
        <w:t xml:space="preserve"> [</w:t>
      </w:r>
      <w:r w:rsidR="002E218E" w:rsidRPr="00E24E29">
        <w:rPr>
          <w:noProof/>
          <w:sz w:val="22"/>
        </w:rPr>
        <w:t>4</w:t>
      </w:r>
      <w:r w:rsidR="002E218E">
        <w:rPr>
          <w:noProof/>
          <w:sz w:val="22"/>
        </w:rPr>
        <w:t>1</w:t>
      </w:r>
      <w:r w:rsidR="00BB0BF5" w:rsidRPr="00E24E29">
        <w:rPr>
          <w:sz w:val="22"/>
        </w:rPr>
        <w:t>].</w:t>
      </w:r>
      <w:r w:rsidRPr="00E24E29">
        <w:rPr>
          <w:sz w:val="22"/>
        </w:rPr>
        <w:t xml:space="preserve">  </w:t>
      </w:r>
    </w:p>
    <w:p w14:paraId="5F4EA361" w14:textId="77777777" w:rsidR="00F37291" w:rsidRPr="00E24E29" w:rsidRDefault="00F37291" w:rsidP="00563015">
      <w:pPr>
        <w:pStyle w:val="Heading3"/>
        <w:numPr>
          <w:ilvl w:val="1"/>
          <w:numId w:val="15"/>
        </w:numPr>
        <w:rPr>
          <w:rFonts w:asciiTheme="minorHAnsi" w:hAnsiTheme="minorHAnsi"/>
          <w:color w:val="auto"/>
          <w:sz w:val="22"/>
          <w:szCs w:val="22"/>
        </w:rPr>
      </w:pPr>
      <w:r w:rsidRPr="00E24E29">
        <w:rPr>
          <w:rFonts w:asciiTheme="minorHAnsi" w:hAnsiTheme="minorHAnsi"/>
          <w:color w:val="auto"/>
          <w:sz w:val="22"/>
          <w:szCs w:val="22"/>
        </w:rPr>
        <w:t>Sensitivity analyses</w:t>
      </w:r>
    </w:p>
    <w:p w14:paraId="66DEBC3E" w14:textId="77777777" w:rsidR="00F37291" w:rsidRPr="00E24E29" w:rsidRDefault="00F37291" w:rsidP="00DF3645">
      <w:pPr>
        <w:pStyle w:val="Dbl"/>
        <w:rPr>
          <w:sz w:val="22"/>
        </w:rPr>
      </w:pPr>
      <w:r w:rsidRPr="00E24E29">
        <w:rPr>
          <w:sz w:val="22"/>
        </w:rPr>
        <w:t>One-way deterministic analyses were performed for all variables to determine the thresholds over which the risks associated with biosimilar therapy outweigh the benefits, indicated by a negative INHB.  Where available, ranges were based on confidence intervals, otherwise we assumed plausible ranges.  The results were presented in a tornado plot to examine the impact on INHB.</w:t>
      </w:r>
    </w:p>
    <w:p w14:paraId="09E887F8" w14:textId="77777777" w:rsidR="00F37291" w:rsidRPr="00E24E29" w:rsidRDefault="00F37291" w:rsidP="00DF3645">
      <w:pPr>
        <w:pStyle w:val="Dbl"/>
        <w:rPr>
          <w:sz w:val="22"/>
        </w:rPr>
      </w:pPr>
      <w:r w:rsidRPr="00E24E29">
        <w:rPr>
          <w:sz w:val="22"/>
        </w:rPr>
        <w:t xml:space="preserve">A two-way sensitivity analysis was conducted to assess the interaction between the development of ATI_I and the price differential between the two drugs.  This identifies the discount in vial price required to compensate for a higher rate of antibodies to Inflectra. </w:t>
      </w:r>
    </w:p>
    <w:p w14:paraId="38B4E8B8" w14:textId="32803E21" w:rsidR="00F37291" w:rsidRPr="00E24E29" w:rsidRDefault="00F37291" w:rsidP="00DF3645">
      <w:pPr>
        <w:pStyle w:val="Dbl"/>
        <w:rPr>
          <w:sz w:val="22"/>
        </w:rPr>
      </w:pPr>
      <w:r w:rsidRPr="00E24E29">
        <w:rPr>
          <w:sz w:val="22"/>
        </w:rPr>
        <w:t xml:space="preserve">A probabilistic sensitivity analysis </w:t>
      </w:r>
      <w:r w:rsidR="004661DF" w:rsidRPr="00E24E29">
        <w:rPr>
          <w:sz w:val="22"/>
        </w:rPr>
        <w:t xml:space="preserve">(PSA) </w:t>
      </w:r>
      <w:r w:rsidRPr="00E24E29">
        <w:rPr>
          <w:sz w:val="22"/>
        </w:rPr>
        <w:t>with 10,000 Monte Carlo draws from distributions was conducted.</w:t>
      </w:r>
      <w:r w:rsidR="00A33802" w:rsidRPr="00E24E29">
        <w:rPr>
          <w:sz w:val="22"/>
        </w:rPr>
        <w:t xml:space="preserve"> All parameters were included in the PSA except </w:t>
      </w:r>
      <w:r w:rsidR="004661DF" w:rsidRPr="00E24E29">
        <w:rPr>
          <w:sz w:val="22"/>
        </w:rPr>
        <w:t xml:space="preserve">the following </w:t>
      </w:r>
      <w:r w:rsidR="00A33802" w:rsidRPr="00E24E29">
        <w:rPr>
          <w:sz w:val="22"/>
        </w:rPr>
        <w:t xml:space="preserve">fixed costs: Inflectra and Remicade vial costs and NHS costs for short-stays, long-stays and day </w:t>
      </w:r>
      <w:r w:rsidR="002431A9" w:rsidRPr="00E24E29">
        <w:rPr>
          <w:sz w:val="22"/>
        </w:rPr>
        <w:t>cases</w:t>
      </w:r>
      <w:r w:rsidR="00A33802" w:rsidRPr="00E24E29">
        <w:rPr>
          <w:sz w:val="22"/>
        </w:rPr>
        <w:t>.</w:t>
      </w:r>
      <w:r w:rsidRPr="00E24E29">
        <w:rPr>
          <w:sz w:val="22"/>
        </w:rPr>
        <w:t xml:space="preserve"> Efficacy, adverse event and utility parameters were drawn from beta distributions; Dirichlet distributions were used for related parameters (i.e. disease state and outcomes of standard care); and costs </w:t>
      </w:r>
      <w:r w:rsidR="002431A9" w:rsidRPr="00E24E29">
        <w:rPr>
          <w:sz w:val="22"/>
        </w:rPr>
        <w:t xml:space="preserve">for surgery and disease state-related standard and supportive care </w:t>
      </w:r>
      <w:r w:rsidRPr="00E24E29">
        <w:rPr>
          <w:sz w:val="22"/>
        </w:rPr>
        <w:t>were drawn from gamma or lognormal distributions (</w:t>
      </w:r>
      <w:r w:rsidR="003605EA" w:rsidRPr="00E24E29">
        <w:rPr>
          <w:sz w:val="22"/>
        </w:rPr>
        <w:t xml:space="preserve">Table </w:t>
      </w:r>
      <w:r w:rsidR="003605EA" w:rsidRPr="00E24E29">
        <w:rPr>
          <w:noProof/>
          <w:sz w:val="22"/>
        </w:rPr>
        <w:t>1</w:t>
      </w:r>
      <w:r w:rsidRPr="00E24E29">
        <w:rPr>
          <w:sz w:val="22"/>
        </w:rPr>
        <w:t>).  We assumed that the unknown biosimilar standard deviations for the rate of initial response and development of ATI were 50% higher than the originator drug to reflect the uncertainty in efficacy and immunogenicity.</w:t>
      </w:r>
    </w:p>
    <w:p w14:paraId="0E7B0885" w14:textId="1191450D" w:rsidR="00102698" w:rsidRPr="00E24E29" w:rsidRDefault="00102698" w:rsidP="00563015">
      <w:pPr>
        <w:pStyle w:val="Heading3"/>
        <w:numPr>
          <w:ilvl w:val="1"/>
          <w:numId w:val="15"/>
        </w:numPr>
        <w:rPr>
          <w:rFonts w:asciiTheme="minorHAnsi" w:hAnsiTheme="minorHAnsi"/>
          <w:color w:val="auto"/>
          <w:sz w:val="22"/>
          <w:szCs w:val="22"/>
        </w:rPr>
      </w:pPr>
      <w:r w:rsidRPr="00E24E29">
        <w:rPr>
          <w:rFonts w:asciiTheme="minorHAnsi" w:hAnsiTheme="minorHAnsi"/>
          <w:color w:val="auto"/>
          <w:sz w:val="22"/>
          <w:szCs w:val="22"/>
        </w:rPr>
        <w:t>Scenario analyses</w:t>
      </w:r>
    </w:p>
    <w:p w14:paraId="5D4CD110" w14:textId="3DAD9281" w:rsidR="00102698" w:rsidRPr="00E24E29" w:rsidRDefault="00102698" w:rsidP="00DF3645">
      <w:pPr>
        <w:pStyle w:val="Dbl"/>
        <w:rPr>
          <w:sz w:val="22"/>
        </w:rPr>
      </w:pPr>
      <w:r w:rsidRPr="00E24E29">
        <w:rPr>
          <w:sz w:val="22"/>
        </w:rPr>
        <w:t xml:space="preserve">To </w:t>
      </w:r>
      <w:r w:rsidR="007C2227" w:rsidRPr="00E24E29">
        <w:rPr>
          <w:sz w:val="22"/>
        </w:rPr>
        <w:t>test</w:t>
      </w:r>
      <w:r w:rsidRPr="00E24E29">
        <w:rPr>
          <w:sz w:val="22"/>
        </w:rPr>
        <w:t xml:space="preserve"> the robustness of the assumptions in the base case, we </w:t>
      </w:r>
      <w:r w:rsidR="007C2227" w:rsidRPr="00E24E29">
        <w:rPr>
          <w:sz w:val="22"/>
        </w:rPr>
        <w:t>considered</w:t>
      </w:r>
      <w:r w:rsidRPr="00E24E29">
        <w:rPr>
          <w:sz w:val="22"/>
        </w:rPr>
        <w:t xml:space="preserve"> seven scenarios with alternative assumptions</w:t>
      </w:r>
      <w:r w:rsidR="00B70203" w:rsidRPr="00E24E29">
        <w:rPr>
          <w:sz w:val="22"/>
        </w:rPr>
        <w:t xml:space="preserve"> (Table 2).  </w:t>
      </w:r>
      <w:r w:rsidRPr="00E24E29">
        <w:rPr>
          <w:sz w:val="22"/>
        </w:rPr>
        <w:t>Patients in scenarios (v) to (vii) all have a washout period of six weeks prior to starting a second biologic whereupon they receive standard care.  Standard care is continued when starting the new therapy, under the same assumptions of the base case.  Patients who switch following a severe infusion reaction continue their response to IFX until it is lost at week 33.   However, an improvement in disease course prompted by the second biologic will override the IFX response.  Patients who change biologic following primary or secondary non-response experience moderate-to-severe disease during the washout period and until the new therapy takes effect.  LOR for UST and VED was assumed to occur in line with IFX.  Adverse events were not modelled for the second-line biologics.</w:t>
      </w:r>
    </w:p>
    <w:p w14:paraId="102A1B28" w14:textId="02AC6AB6" w:rsidR="00102698" w:rsidRPr="00E24E29" w:rsidRDefault="00102698" w:rsidP="00DF3645">
      <w:pPr>
        <w:pStyle w:val="Dbl"/>
        <w:rPr>
          <w:sz w:val="22"/>
        </w:rPr>
      </w:pPr>
      <w:r w:rsidRPr="00E24E29">
        <w:rPr>
          <w:sz w:val="22"/>
        </w:rPr>
        <w:t>Initial response rates to ADA at week 12 in the IFX failure population w</w:t>
      </w:r>
      <w:r w:rsidR="007C2227" w:rsidRPr="00E24E29">
        <w:rPr>
          <w:sz w:val="22"/>
        </w:rPr>
        <w:t>ere</w:t>
      </w:r>
      <w:r w:rsidRPr="00E24E29">
        <w:rPr>
          <w:sz w:val="22"/>
        </w:rPr>
        <w:t xml:space="preserve"> taken from an open label trial as the best match for the dose and timing of outcomes</w:t>
      </w:r>
      <w:r w:rsidR="00BB0BF5" w:rsidRPr="00E24E29">
        <w:rPr>
          <w:sz w:val="22"/>
        </w:rPr>
        <w:t xml:space="preserve"> [</w:t>
      </w:r>
      <w:r w:rsidR="002E218E" w:rsidRPr="00E24E29">
        <w:rPr>
          <w:noProof/>
          <w:sz w:val="22"/>
        </w:rPr>
        <w:t>4</w:t>
      </w:r>
      <w:r w:rsidR="002E218E">
        <w:rPr>
          <w:noProof/>
          <w:sz w:val="22"/>
        </w:rPr>
        <w:t>5</w:t>
      </w:r>
      <w:r w:rsidR="00BB0BF5" w:rsidRPr="00E24E29">
        <w:rPr>
          <w:sz w:val="22"/>
        </w:rPr>
        <w:t>],</w:t>
      </w:r>
      <w:r w:rsidRPr="00E24E29">
        <w:rPr>
          <w:sz w:val="22"/>
        </w:rPr>
        <w:t xml:space="preserve"> and no LOR was assumed over the year</w:t>
      </w:r>
      <w:r w:rsidR="00BB0BF5" w:rsidRPr="00E24E29">
        <w:rPr>
          <w:sz w:val="22"/>
        </w:rPr>
        <w:t xml:space="preserve"> [</w:t>
      </w:r>
      <w:r w:rsidR="002E218E" w:rsidRPr="00E24E29">
        <w:rPr>
          <w:noProof/>
          <w:sz w:val="22"/>
        </w:rPr>
        <w:t>4</w:t>
      </w:r>
      <w:r w:rsidR="002E218E">
        <w:rPr>
          <w:noProof/>
          <w:sz w:val="22"/>
        </w:rPr>
        <w:t>6</w:t>
      </w:r>
      <w:r w:rsidR="00BB0BF5" w:rsidRPr="00E24E29">
        <w:rPr>
          <w:sz w:val="22"/>
        </w:rPr>
        <w:t>].</w:t>
      </w:r>
      <w:r w:rsidRPr="00E24E29">
        <w:rPr>
          <w:sz w:val="22"/>
        </w:rPr>
        <w:t xml:space="preserve">  Initial response to UST at 16 wee</w:t>
      </w:r>
      <w:r w:rsidR="00BB0BF5" w:rsidRPr="00E24E29">
        <w:rPr>
          <w:sz w:val="22"/>
        </w:rPr>
        <w:t xml:space="preserve">ks, and sustained remission at </w:t>
      </w:r>
      <w:r w:rsidRPr="00E24E29">
        <w:rPr>
          <w:sz w:val="22"/>
        </w:rPr>
        <w:t>44 weeks, were based on a clinical trial for UST in the IFX failure population</w:t>
      </w:r>
      <w:r w:rsidR="00BB0BF5" w:rsidRPr="00E24E29">
        <w:rPr>
          <w:sz w:val="22"/>
        </w:rPr>
        <w:t xml:space="preserve"> [</w:t>
      </w:r>
      <w:r w:rsidR="002E218E" w:rsidRPr="00E24E29">
        <w:rPr>
          <w:noProof/>
          <w:sz w:val="22"/>
        </w:rPr>
        <w:t>4</w:t>
      </w:r>
      <w:r w:rsidR="002E218E">
        <w:rPr>
          <w:noProof/>
          <w:sz w:val="22"/>
        </w:rPr>
        <w:t>7</w:t>
      </w:r>
      <w:r w:rsidR="00FB22BD" w:rsidRPr="00E24E29">
        <w:rPr>
          <w:noProof/>
          <w:sz w:val="22"/>
        </w:rPr>
        <w:t>,</w:t>
      </w:r>
      <w:r w:rsidR="002E218E" w:rsidRPr="00E24E29">
        <w:rPr>
          <w:noProof/>
          <w:sz w:val="22"/>
        </w:rPr>
        <w:t>4</w:t>
      </w:r>
      <w:r w:rsidR="002E218E">
        <w:rPr>
          <w:noProof/>
          <w:sz w:val="22"/>
        </w:rPr>
        <w:t>8</w:t>
      </w:r>
      <w:r w:rsidR="00BB0BF5" w:rsidRPr="00E24E29">
        <w:rPr>
          <w:sz w:val="22"/>
        </w:rPr>
        <w:t>].</w:t>
      </w:r>
      <w:r w:rsidRPr="00E24E29">
        <w:rPr>
          <w:sz w:val="22"/>
        </w:rPr>
        <w:t xml:space="preserve">  The initial response for VED was taken from GEMINI-3, a pivotal study of induction therapy in anti-TNFα failure patients</w:t>
      </w:r>
      <w:r w:rsidR="00BB0BF5" w:rsidRPr="00E24E29">
        <w:rPr>
          <w:sz w:val="22"/>
        </w:rPr>
        <w:t xml:space="preserve"> [</w:t>
      </w:r>
      <w:r w:rsidR="002E218E" w:rsidRPr="00E24E29">
        <w:rPr>
          <w:noProof/>
          <w:sz w:val="22"/>
        </w:rPr>
        <w:t>4</w:t>
      </w:r>
      <w:r w:rsidR="002E218E">
        <w:rPr>
          <w:noProof/>
          <w:sz w:val="22"/>
        </w:rPr>
        <w:t>9</w:t>
      </w:r>
      <w:r w:rsidR="00BB0BF5" w:rsidRPr="00E24E29">
        <w:rPr>
          <w:sz w:val="22"/>
        </w:rPr>
        <w:t>].</w:t>
      </w:r>
      <w:r w:rsidRPr="00E24E29">
        <w:rPr>
          <w:sz w:val="22"/>
        </w:rPr>
        <w:t xml:space="preserve">  The week 10 response rate was used as a week 14 rate was unavailable.  Sustained remission in anti-TNFα failure patients at week 52 was from a study that used licensed doses of VED</w:t>
      </w:r>
      <w:r w:rsidR="00BB0BF5" w:rsidRPr="00E24E29">
        <w:rPr>
          <w:sz w:val="22"/>
        </w:rPr>
        <w:t xml:space="preserve"> [</w:t>
      </w:r>
      <w:r w:rsidR="002E218E">
        <w:rPr>
          <w:noProof/>
          <w:sz w:val="22"/>
        </w:rPr>
        <w:t>50</w:t>
      </w:r>
      <w:r w:rsidR="00BB0BF5" w:rsidRPr="00E24E29">
        <w:rPr>
          <w:sz w:val="22"/>
        </w:rPr>
        <w:t>].</w:t>
      </w:r>
      <w:r w:rsidRPr="00E24E29">
        <w:rPr>
          <w:sz w:val="22"/>
        </w:rPr>
        <w:t xml:space="preserve">  The GEMINI-3 ratio of week 10 response to remission was applied to the long-term remission to calculate long-term response.</w:t>
      </w:r>
    </w:p>
    <w:p w14:paraId="3DE511A3" w14:textId="51E7C37A" w:rsidR="00102698" w:rsidRPr="00E24E29" w:rsidRDefault="00102698" w:rsidP="00DF3645">
      <w:pPr>
        <w:pStyle w:val="Dbl"/>
        <w:rPr>
          <w:sz w:val="22"/>
        </w:rPr>
      </w:pPr>
      <w:r w:rsidRPr="00E24E29">
        <w:rPr>
          <w:sz w:val="22"/>
        </w:rPr>
        <w:t>UST and VED infusions use single vials and require a day case hospital attendance.  ADA and UST subcutaneous injections are patient-administered and are assumed to require no additional resource.</w:t>
      </w:r>
    </w:p>
    <w:p w14:paraId="1DFC4703" w14:textId="77777777" w:rsidR="00F37291" w:rsidRPr="00E24E29" w:rsidRDefault="00F37291" w:rsidP="00563015">
      <w:pPr>
        <w:pStyle w:val="Heading3"/>
        <w:numPr>
          <w:ilvl w:val="1"/>
          <w:numId w:val="15"/>
        </w:numPr>
        <w:rPr>
          <w:rFonts w:asciiTheme="minorHAnsi" w:hAnsiTheme="minorHAnsi"/>
          <w:color w:val="auto"/>
          <w:sz w:val="22"/>
          <w:szCs w:val="22"/>
        </w:rPr>
      </w:pPr>
      <w:r w:rsidRPr="00E24E29">
        <w:rPr>
          <w:rFonts w:asciiTheme="minorHAnsi" w:hAnsiTheme="minorHAnsi"/>
          <w:color w:val="auto"/>
          <w:sz w:val="22"/>
          <w:szCs w:val="22"/>
        </w:rPr>
        <w:t>Value of information analysis</w:t>
      </w:r>
    </w:p>
    <w:p w14:paraId="723D0066" w14:textId="5EED42A9" w:rsidR="00F37291" w:rsidRPr="00E24E29" w:rsidRDefault="00F37291" w:rsidP="00DF3645">
      <w:pPr>
        <w:pStyle w:val="Dbl"/>
        <w:rPr>
          <w:sz w:val="22"/>
        </w:rPr>
      </w:pPr>
      <w:r w:rsidRPr="00E24E29">
        <w:rPr>
          <w:sz w:val="22"/>
        </w:rPr>
        <w:t>A value of information analysis was conducted using the Sheffield Accelerated Value of Information (SAVI)</w:t>
      </w:r>
      <w:r w:rsidR="00BB0BF5" w:rsidRPr="00E24E29">
        <w:rPr>
          <w:sz w:val="22"/>
        </w:rPr>
        <w:t xml:space="preserve"> [</w:t>
      </w:r>
      <w:r w:rsidR="002E218E" w:rsidRPr="00E24E29">
        <w:rPr>
          <w:noProof/>
          <w:sz w:val="22"/>
        </w:rPr>
        <w:t>5</w:t>
      </w:r>
      <w:r w:rsidR="002E218E">
        <w:rPr>
          <w:noProof/>
          <w:sz w:val="22"/>
        </w:rPr>
        <w:t>1</w:t>
      </w:r>
      <w:r w:rsidR="00BB0BF5" w:rsidRPr="00E24E29">
        <w:rPr>
          <w:sz w:val="22"/>
        </w:rPr>
        <w:t>]</w:t>
      </w:r>
      <w:r w:rsidRPr="00E24E29">
        <w:rPr>
          <w:sz w:val="22"/>
        </w:rPr>
        <w:t xml:space="preserve"> to identify the value of reducing uncertainty in the model. This was used to assess the value of conducting further clinical research. We calculated the annual expected value of perfect information (EVPI) per patient, and the annual and 10-year population EVPI estimated based on the number of patients affected by Crohn’s disease each year in England</w:t>
      </w:r>
      <w:r w:rsidR="00BB0BF5" w:rsidRPr="00E24E29">
        <w:rPr>
          <w:sz w:val="22"/>
        </w:rPr>
        <w:t xml:space="preserve"> [</w:t>
      </w:r>
      <w:r w:rsidR="002E218E" w:rsidRPr="00E24E29">
        <w:rPr>
          <w:noProof/>
          <w:sz w:val="22"/>
        </w:rPr>
        <w:t>5</w:t>
      </w:r>
      <w:r w:rsidR="002E218E">
        <w:rPr>
          <w:noProof/>
          <w:sz w:val="22"/>
        </w:rPr>
        <w:t>2</w:t>
      </w:r>
      <w:r w:rsidR="00BB0BF5" w:rsidRPr="00E24E29">
        <w:rPr>
          <w:sz w:val="22"/>
        </w:rPr>
        <w:t>].</w:t>
      </w:r>
      <w:r w:rsidRPr="00E24E29">
        <w:rPr>
          <w:sz w:val="22"/>
        </w:rPr>
        <w:t xml:space="preserve">  A partial EVPI analysis (EVPPI) was conducted to examine the value in reducing the uncertainty in individual model parameters.</w:t>
      </w:r>
    </w:p>
    <w:p w14:paraId="29453FBE" w14:textId="77777777" w:rsidR="00F37291" w:rsidRPr="00E24E29" w:rsidRDefault="00F37291" w:rsidP="00563015">
      <w:pPr>
        <w:pStyle w:val="Heading3"/>
        <w:numPr>
          <w:ilvl w:val="1"/>
          <w:numId w:val="15"/>
        </w:numPr>
        <w:rPr>
          <w:rFonts w:asciiTheme="minorHAnsi" w:hAnsiTheme="minorHAnsi"/>
          <w:color w:val="auto"/>
          <w:sz w:val="22"/>
          <w:szCs w:val="22"/>
        </w:rPr>
      </w:pPr>
      <w:r w:rsidRPr="00E24E29">
        <w:rPr>
          <w:rFonts w:asciiTheme="minorHAnsi" w:hAnsiTheme="minorHAnsi"/>
          <w:color w:val="auto"/>
          <w:sz w:val="22"/>
          <w:szCs w:val="22"/>
        </w:rPr>
        <w:t>Discounting</w:t>
      </w:r>
    </w:p>
    <w:p w14:paraId="60AB2B12" w14:textId="77777777" w:rsidR="00F37291" w:rsidRDefault="00F37291" w:rsidP="00DF3645">
      <w:pPr>
        <w:pStyle w:val="Dbl"/>
        <w:rPr>
          <w:sz w:val="22"/>
        </w:rPr>
      </w:pPr>
      <w:r w:rsidRPr="00E24E29">
        <w:rPr>
          <w:sz w:val="22"/>
        </w:rPr>
        <w:t>We did not apply a discount rate to the model results, as they did not extend beyond a year. A discount rate of 3.5% per annum was applied to the population EVPI.</w:t>
      </w:r>
    </w:p>
    <w:p w14:paraId="7F46BF2F" w14:textId="25043D7E" w:rsidR="008575FC" w:rsidRPr="00E24E29" w:rsidRDefault="008575FC" w:rsidP="008575FC">
      <w:pPr>
        <w:pStyle w:val="Heading3"/>
        <w:numPr>
          <w:ilvl w:val="1"/>
          <w:numId w:val="15"/>
        </w:numPr>
        <w:rPr>
          <w:rFonts w:asciiTheme="minorHAnsi" w:hAnsiTheme="minorHAnsi"/>
          <w:color w:val="auto"/>
          <w:sz w:val="22"/>
          <w:szCs w:val="22"/>
        </w:rPr>
      </w:pPr>
      <w:r>
        <w:rPr>
          <w:rFonts w:asciiTheme="minorHAnsi" w:hAnsiTheme="minorHAnsi"/>
          <w:color w:val="auto"/>
          <w:sz w:val="22"/>
          <w:szCs w:val="22"/>
        </w:rPr>
        <w:t>Model validation</w:t>
      </w:r>
    </w:p>
    <w:p w14:paraId="6D83F880" w14:textId="77777777" w:rsidR="003E50F3" w:rsidRDefault="008575FC" w:rsidP="003E50F3">
      <w:pPr>
        <w:pStyle w:val="Dbl"/>
        <w:rPr>
          <w:sz w:val="22"/>
        </w:rPr>
      </w:pPr>
      <w:r w:rsidRPr="008575FC">
        <w:rPr>
          <w:sz w:val="22"/>
        </w:rPr>
        <w:t>We p</w:t>
      </w:r>
      <w:r>
        <w:rPr>
          <w:sz w:val="22"/>
        </w:rPr>
        <w:t>erformed model validation by: (i) systematically checking the model formulae and inputs; (ii) conducting a number of sensitivity analyses using null and extreme values to ensure results were in the expected direction and within plausible limits; and (iii) comparing the clinical end points f</w:t>
      </w:r>
      <w:r w:rsidR="003E50F3">
        <w:rPr>
          <w:sz w:val="22"/>
        </w:rPr>
        <w:t>rom the model with source data.</w:t>
      </w:r>
    </w:p>
    <w:p w14:paraId="702EEFCA" w14:textId="7AE127C1" w:rsidR="001D7AB1" w:rsidRPr="00E24E29" w:rsidRDefault="001D7AB1" w:rsidP="003E50F3">
      <w:pPr>
        <w:pStyle w:val="Heading3"/>
        <w:numPr>
          <w:ilvl w:val="1"/>
          <w:numId w:val="15"/>
        </w:numPr>
        <w:rPr>
          <w:rFonts w:asciiTheme="minorHAnsi" w:hAnsiTheme="minorHAnsi"/>
          <w:color w:val="auto"/>
          <w:sz w:val="22"/>
          <w:szCs w:val="22"/>
        </w:rPr>
      </w:pPr>
      <w:r w:rsidRPr="00E24E29">
        <w:rPr>
          <w:rFonts w:asciiTheme="minorHAnsi" w:hAnsiTheme="minorHAnsi"/>
          <w:color w:val="auto"/>
          <w:sz w:val="22"/>
          <w:szCs w:val="22"/>
        </w:rPr>
        <w:t>Reporting</w:t>
      </w:r>
    </w:p>
    <w:p w14:paraId="53B1FB70" w14:textId="4F2346DA" w:rsidR="001D7AB1" w:rsidRPr="00E24E29" w:rsidRDefault="001D7AB1" w:rsidP="00DF3645">
      <w:pPr>
        <w:pStyle w:val="Dbl"/>
        <w:rPr>
          <w:sz w:val="22"/>
          <w:highlight w:val="yellow"/>
        </w:rPr>
      </w:pPr>
      <w:r w:rsidRPr="00E24E29">
        <w:rPr>
          <w:sz w:val="22"/>
        </w:rPr>
        <w:t>The analysis is reported in line with the Consolidated Health Economic Evaluation Reporting Standards (CHEERS) statement</w:t>
      </w:r>
      <w:r w:rsidR="00BB0BF5" w:rsidRPr="00E24E29">
        <w:rPr>
          <w:sz w:val="22"/>
        </w:rPr>
        <w:t xml:space="preserve"> [</w:t>
      </w:r>
      <w:r w:rsidR="002E218E" w:rsidRPr="00E24E29">
        <w:rPr>
          <w:noProof/>
          <w:sz w:val="22"/>
        </w:rPr>
        <w:t>5</w:t>
      </w:r>
      <w:r w:rsidR="002E218E">
        <w:rPr>
          <w:noProof/>
          <w:sz w:val="22"/>
        </w:rPr>
        <w:t>3</w:t>
      </w:r>
      <w:r w:rsidR="00BB0BF5" w:rsidRPr="00E24E29">
        <w:rPr>
          <w:noProof/>
          <w:sz w:val="22"/>
        </w:rPr>
        <w:t>].</w:t>
      </w:r>
    </w:p>
    <w:p w14:paraId="7816998D" w14:textId="77777777" w:rsidR="00547DA6" w:rsidRPr="00E24E29" w:rsidRDefault="00547DA6" w:rsidP="008575FC">
      <w:pPr>
        <w:pStyle w:val="Heading2"/>
        <w:numPr>
          <w:ilvl w:val="0"/>
          <w:numId w:val="18"/>
        </w:numPr>
        <w:rPr>
          <w:rFonts w:asciiTheme="minorHAnsi" w:hAnsiTheme="minorHAnsi"/>
          <w:b/>
          <w:color w:val="auto"/>
          <w:sz w:val="22"/>
          <w:szCs w:val="22"/>
        </w:rPr>
      </w:pPr>
      <w:r w:rsidRPr="00E24E29">
        <w:rPr>
          <w:rFonts w:asciiTheme="minorHAnsi" w:hAnsiTheme="minorHAnsi"/>
          <w:b/>
          <w:color w:val="auto"/>
          <w:sz w:val="22"/>
          <w:szCs w:val="22"/>
        </w:rPr>
        <w:t>Results</w:t>
      </w:r>
    </w:p>
    <w:p w14:paraId="160DB77A" w14:textId="77777777" w:rsidR="00434160" w:rsidRPr="00E24E29" w:rsidRDefault="00434160" w:rsidP="008575FC">
      <w:pPr>
        <w:pStyle w:val="Heading3"/>
        <w:numPr>
          <w:ilvl w:val="1"/>
          <w:numId w:val="18"/>
        </w:numPr>
        <w:rPr>
          <w:rFonts w:asciiTheme="minorHAnsi" w:hAnsiTheme="minorHAnsi"/>
          <w:color w:val="auto"/>
          <w:sz w:val="22"/>
          <w:szCs w:val="22"/>
        </w:rPr>
      </w:pPr>
      <w:r w:rsidRPr="00E24E29">
        <w:rPr>
          <w:rFonts w:asciiTheme="minorHAnsi" w:hAnsiTheme="minorHAnsi"/>
          <w:color w:val="auto"/>
          <w:sz w:val="22"/>
          <w:szCs w:val="22"/>
        </w:rPr>
        <w:t>Base case</w:t>
      </w:r>
    </w:p>
    <w:p w14:paraId="43986E72" w14:textId="7658806F" w:rsidR="00EA3171" w:rsidRPr="00E24E29" w:rsidRDefault="00EA3171" w:rsidP="00DF3645">
      <w:pPr>
        <w:pStyle w:val="Dbl"/>
        <w:rPr>
          <w:sz w:val="22"/>
          <w:highlight w:val="yellow"/>
        </w:rPr>
      </w:pPr>
      <w:r w:rsidRPr="00E24E29">
        <w:rPr>
          <w:sz w:val="22"/>
        </w:rPr>
        <w:t xml:space="preserve">The base case </w:t>
      </w:r>
      <w:r w:rsidR="00591458" w:rsidRPr="00E24E29">
        <w:rPr>
          <w:sz w:val="22"/>
        </w:rPr>
        <w:t xml:space="preserve">analysis </w:t>
      </w:r>
      <w:r w:rsidRPr="00E24E29">
        <w:rPr>
          <w:sz w:val="22"/>
        </w:rPr>
        <w:t xml:space="preserve">results in expected </w:t>
      </w:r>
      <w:r w:rsidR="000E5FFC" w:rsidRPr="00E24E29">
        <w:rPr>
          <w:sz w:val="22"/>
        </w:rPr>
        <w:t>one-year</w:t>
      </w:r>
      <w:r w:rsidR="00331FE4" w:rsidRPr="00E24E29">
        <w:rPr>
          <w:sz w:val="22"/>
        </w:rPr>
        <w:t xml:space="preserve"> </w:t>
      </w:r>
      <w:r w:rsidRPr="00E24E29">
        <w:rPr>
          <w:sz w:val="22"/>
        </w:rPr>
        <w:t>QALY</w:t>
      </w:r>
      <w:r w:rsidR="005C17D3" w:rsidRPr="00E24E29">
        <w:rPr>
          <w:sz w:val="22"/>
        </w:rPr>
        <w:t>s</w:t>
      </w:r>
      <w:r w:rsidRPr="00E24E29">
        <w:rPr>
          <w:sz w:val="22"/>
        </w:rPr>
        <w:t xml:space="preserve"> of 0.8</w:t>
      </w:r>
      <w:r w:rsidR="009F63DF" w:rsidRPr="00E24E29">
        <w:rPr>
          <w:sz w:val="22"/>
        </w:rPr>
        <w:t>03</w:t>
      </w:r>
      <w:r w:rsidRPr="00E24E29">
        <w:rPr>
          <w:sz w:val="22"/>
        </w:rPr>
        <w:t xml:space="preserve"> for both </w:t>
      </w:r>
      <w:r w:rsidR="006D2C65" w:rsidRPr="00E24E29">
        <w:rPr>
          <w:sz w:val="22"/>
        </w:rPr>
        <w:t>Inflectra and Remicade,</w:t>
      </w:r>
      <w:r w:rsidRPr="00E24E29">
        <w:rPr>
          <w:sz w:val="22"/>
        </w:rPr>
        <w:t xml:space="preserve"> with expected </w:t>
      </w:r>
      <w:r w:rsidR="00A33BBE" w:rsidRPr="00E24E29">
        <w:rPr>
          <w:sz w:val="22"/>
        </w:rPr>
        <w:t>one-year</w:t>
      </w:r>
      <w:r w:rsidR="00331FE4" w:rsidRPr="00E24E29">
        <w:rPr>
          <w:sz w:val="22"/>
        </w:rPr>
        <w:t xml:space="preserve"> </w:t>
      </w:r>
      <w:r w:rsidRPr="00E24E29">
        <w:rPr>
          <w:sz w:val="22"/>
        </w:rPr>
        <w:t>costs of £1</w:t>
      </w:r>
      <w:r w:rsidR="009F63DF" w:rsidRPr="00E24E29">
        <w:rPr>
          <w:sz w:val="22"/>
        </w:rPr>
        <w:t>8</w:t>
      </w:r>
      <w:r w:rsidRPr="00E24E29">
        <w:rPr>
          <w:sz w:val="22"/>
        </w:rPr>
        <w:t>,</w:t>
      </w:r>
      <w:r w:rsidR="009F63DF" w:rsidRPr="00E24E29">
        <w:rPr>
          <w:sz w:val="22"/>
        </w:rPr>
        <w:t>087</w:t>
      </w:r>
      <w:r w:rsidRPr="00E24E29">
        <w:rPr>
          <w:sz w:val="22"/>
        </w:rPr>
        <w:t xml:space="preserve"> </w:t>
      </w:r>
      <w:r w:rsidR="00591458" w:rsidRPr="00E24E29">
        <w:rPr>
          <w:sz w:val="22"/>
        </w:rPr>
        <w:t xml:space="preserve">(USD 25,109) </w:t>
      </w:r>
      <w:r w:rsidRPr="00E24E29">
        <w:rPr>
          <w:sz w:val="22"/>
        </w:rPr>
        <w:t>and £1</w:t>
      </w:r>
      <w:r w:rsidR="009F63DF" w:rsidRPr="00E24E29">
        <w:rPr>
          <w:sz w:val="22"/>
        </w:rPr>
        <w:t>9</w:t>
      </w:r>
      <w:r w:rsidRPr="00E24E29">
        <w:rPr>
          <w:sz w:val="22"/>
        </w:rPr>
        <w:t>,</w:t>
      </w:r>
      <w:r w:rsidR="009F63DF" w:rsidRPr="00E24E29">
        <w:rPr>
          <w:sz w:val="22"/>
        </w:rPr>
        <w:t>176</w:t>
      </w:r>
      <w:r w:rsidR="00591458" w:rsidRPr="00E24E29">
        <w:rPr>
          <w:sz w:val="22"/>
        </w:rPr>
        <w:t xml:space="preserve"> (USD 26,620)</w:t>
      </w:r>
      <w:r w:rsidR="006D2C65" w:rsidRPr="00E24E29">
        <w:rPr>
          <w:sz w:val="22"/>
        </w:rPr>
        <w:t>, respectively</w:t>
      </w:r>
      <w:r w:rsidRPr="00E24E29">
        <w:rPr>
          <w:sz w:val="22"/>
        </w:rPr>
        <w:t xml:space="preserve"> </w:t>
      </w:r>
      <w:r w:rsidR="0063349A" w:rsidRPr="00E24E29">
        <w:rPr>
          <w:sz w:val="22"/>
        </w:rPr>
        <w:t>(</w:t>
      </w:r>
      <w:r w:rsidR="003605EA" w:rsidRPr="00E24E29">
        <w:rPr>
          <w:sz w:val="22"/>
        </w:rPr>
        <w:t xml:space="preserve">Table </w:t>
      </w:r>
      <w:r w:rsidR="00B70203" w:rsidRPr="00E24E29">
        <w:rPr>
          <w:sz w:val="22"/>
        </w:rPr>
        <w:t>3</w:t>
      </w:r>
      <w:r w:rsidR="0063349A" w:rsidRPr="00E24E29">
        <w:rPr>
          <w:sz w:val="22"/>
        </w:rPr>
        <w:t>)</w:t>
      </w:r>
      <w:r w:rsidRPr="00E24E29">
        <w:rPr>
          <w:sz w:val="22"/>
        </w:rPr>
        <w:t xml:space="preserve">.  </w:t>
      </w:r>
      <w:r w:rsidR="00591458" w:rsidRPr="00E24E29">
        <w:rPr>
          <w:sz w:val="22"/>
        </w:rPr>
        <w:t xml:space="preserve">The additional benefit of Inflectra </w:t>
      </w:r>
      <w:r w:rsidR="004661DF" w:rsidRPr="00E24E29">
        <w:rPr>
          <w:sz w:val="22"/>
        </w:rPr>
        <w:t xml:space="preserve">to society, based solely on the reduced cost of Inflectra as the health outcomes are equivalent, </w:t>
      </w:r>
      <w:r w:rsidR="00591458" w:rsidRPr="00E24E29">
        <w:rPr>
          <w:sz w:val="22"/>
        </w:rPr>
        <w:t>is represented in t</w:t>
      </w:r>
      <w:r w:rsidR="00DA2AA6" w:rsidRPr="00E24E29">
        <w:rPr>
          <w:sz w:val="22"/>
        </w:rPr>
        <w:t>he</w:t>
      </w:r>
      <w:r w:rsidR="007C42F5" w:rsidRPr="00E24E29">
        <w:rPr>
          <w:sz w:val="22"/>
        </w:rPr>
        <w:t xml:space="preserve"> 0.04 (95% </w:t>
      </w:r>
      <w:r w:rsidR="00503CBF" w:rsidRPr="00E24E29">
        <w:rPr>
          <w:sz w:val="22"/>
        </w:rPr>
        <w:t>C</w:t>
      </w:r>
      <w:r w:rsidR="00681E89" w:rsidRPr="00E24E29">
        <w:rPr>
          <w:sz w:val="22"/>
        </w:rPr>
        <w:t>entral Range</w:t>
      </w:r>
      <w:r w:rsidR="007C42F5" w:rsidRPr="00E24E29">
        <w:rPr>
          <w:sz w:val="22"/>
        </w:rPr>
        <w:t xml:space="preserve"> 0.00-0.09) </w:t>
      </w:r>
      <w:r w:rsidR="00591458" w:rsidRPr="00E24E29">
        <w:rPr>
          <w:sz w:val="22"/>
        </w:rPr>
        <w:t xml:space="preserve">incremental net </w:t>
      </w:r>
      <w:r w:rsidR="00BB109F" w:rsidRPr="00E24E29">
        <w:rPr>
          <w:sz w:val="22"/>
        </w:rPr>
        <w:t xml:space="preserve">health </w:t>
      </w:r>
      <w:r w:rsidR="00591458" w:rsidRPr="00E24E29">
        <w:rPr>
          <w:sz w:val="22"/>
        </w:rPr>
        <w:t>benefit (</w:t>
      </w:r>
      <w:r w:rsidR="007C42F5" w:rsidRPr="00E24E29">
        <w:rPr>
          <w:sz w:val="22"/>
        </w:rPr>
        <w:t>INHB</w:t>
      </w:r>
      <w:r w:rsidR="00591458" w:rsidRPr="00E24E29">
        <w:rPr>
          <w:sz w:val="22"/>
        </w:rPr>
        <w:t>)</w:t>
      </w:r>
      <w:r w:rsidR="00DA2AA6" w:rsidRPr="00E24E29">
        <w:rPr>
          <w:sz w:val="22"/>
        </w:rPr>
        <w:t xml:space="preserve"> versus Remicade.  </w:t>
      </w:r>
      <w:r w:rsidR="007A6CB7" w:rsidRPr="00E24E29">
        <w:rPr>
          <w:sz w:val="22"/>
        </w:rPr>
        <w:t>Clinical outcomes for both treatments are shown in</w:t>
      </w:r>
      <w:r w:rsidR="003605EA" w:rsidRPr="00E24E29">
        <w:rPr>
          <w:sz w:val="22"/>
        </w:rPr>
        <w:t xml:space="preserve"> Table </w:t>
      </w:r>
      <w:r w:rsidR="00B70203" w:rsidRPr="00E24E29">
        <w:rPr>
          <w:sz w:val="22"/>
        </w:rPr>
        <w:t>3</w:t>
      </w:r>
      <w:r w:rsidR="00DA2AA6" w:rsidRPr="00E24E29">
        <w:rPr>
          <w:sz w:val="22"/>
        </w:rPr>
        <w:t>.</w:t>
      </w:r>
      <w:r w:rsidR="00DA2AA6" w:rsidRPr="00E24E29">
        <w:rPr>
          <w:sz w:val="22"/>
          <w:highlight w:val="yellow"/>
        </w:rPr>
        <w:t xml:space="preserve"> </w:t>
      </w:r>
    </w:p>
    <w:p w14:paraId="0F40C076" w14:textId="535E65D4" w:rsidR="00434160" w:rsidRPr="00E24E29" w:rsidRDefault="00434160" w:rsidP="00AF26E7">
      <w:pPr>
        <w:pStyle w:val="Heading3"/>
        <w:numPr>
          <w:ilvl w:val="1"/>
          <w:numId w:val="18"/>
        </w:numPr>
        <w:rPr>
          <w:rFonts w:asciiTheme="minorHAnsi" w:hAnsiTheme="minorHAnsi"/>
          <w:color w:val="auto"/>
          <w:sz w:val="22"/>
          <w:szCs w:val="22"/>
        </w:rPr>
      </w:pPr>
      <w:r w:rsidRPr="00E24E29">
        <w:rPr>
          <w:rFonts w:asciiTheme="minorHAnsi" w:hAnsiTheme="minorHAnsi"/>
          <w:color w:val="auto"/>
          <w:sz w:val="22"/>
          <w:szCs w:val="22"/>
        </w:rPr>
        <w:t>Sensitivity analyses</w:t>
      </w:r>
    </w:p>
    <w:p w14:paraId="67755E3D" w14:textId="510EE22B" w:rsidR="00DA2AA6" w:rsidRPr="00E24E29" w:rsidRDefault="00331FE4" w:rsidP="00DF3645">
      <w:pPr>
        <w:pStyle w:val="Dbl"/>
        <w:rPr>
          <w:sz w:val="22"/>
        </w:rPr>
      </w:pPr>
      <w:r w:rsidRPr="00E24E29">
        <w:rPr>
          <w:sz w:val="22"/>
        </w:rPr>
        <w:t>O</w:t>
      </w:r>
      <w:r w:rsidR="00DA2AA6" w:rsidRPr="00E24E29">
        <w:rPr>
          <w:sz w:val="22"/>
        </w:rPr>
        <w:t xml:space="preserve">ne-way </w:t>
      </w:r>
      <w:r w:rsidR="006D2C65" w:rsidRPr="00E24E29">
        <w:rPr>
          <w:sz w:val="22"/>
        </w:rPr>
        <w:t xml:space="preserve">sensitivity </w:t>
      </w:r>
      <w:r w:rsidR="00DA2AA6" w:rsidRPr="00E24E29">
        <w:rPr>
          <w:sz w:val="22"/>
        </w:rPr>
        <w:t>analys</w:t>
      </w:r>
      <w:r w:rsidR="006D2C65" w:rsidRPr="00E24E29">
        <w:rPr>
          <w:sz w:val="22"/>
        </w:rPr>
        <w:t>e</w:t>
      </w:r>
      <w:r w:rsidR="00DA2AA6" w:rsidRPr="00E24E29">
        <w:rPr>
          <w:sz w:val="22"/>
        </w:rPr>
        <w:t>s demonstrate</w:t>
      </w:r>
      <w:r w:rsidR="006723F0" w:rsidRPr="00E24E29">
        <w:rPr>
          <w:sz w:val="22"/>
        </w:rPr>
        <w:t>d</w:t>
      </w:r>
      <w:r w:rsidR="00DA2AA6" w:rsidRPr="00E24E29">
        <w:rPr>
          <w:sz w:val="22"/>
        </w:rPr>
        <w:t xml:space="preserve"> that the model was most sensitive to the </w:t>
      </w:r>
      <w:r w:rsidR="007021C0" w:rsidRPr="00E24E29">
        <w:rPr>
          <w:sz w:val="22"/>
        </w:rPr>
        <w:t xml:space="preserve">Inflectra </w:t>
      </w:r>
      <w:r w:rsidR="00DA2AA6" w:rsidRPr="00E24E29">
        <w:rPr>
          <w:sz w:val="22"/>
        </w:rPr>
        <w:t xml:space="preserve">vial </w:t>
      </w:r>
      <w:r w:rsidR="006539A3" w:rsidRPr="00E24E29">
        <w:rPr>
          <w:sz w:val="22"/>
        </w:rPr>
        <w:t>price and</w:t>
      </w:r>
      <w:r w:rsidR="00DA2AA6" w:rsidRPr="00E24E29">
        <w:rPr>
          <w:sz w:val="22"/>
        </w:rPr>
        <w:t xml:space="preserve"> initial response rate</w:t>
      </w:r>
      <w:r w:rsidR="0019221E" w:rsidRPr="00E24E29">
        <w:rPr>
          <w:sz w:val="22"/>
        </w:rPr>
        <w:t>s</w:t>
      </w:r>
      <w:r w:rsidR="00DA2AA6" w:rsidRPr="00E24E29">
        <w:rPr>
          <w:sz w:val="22"/>
        </w:rPr>
        <w:t xml:space="preserve"> of Inflectra</w:t>
      </w:r>
      <w:r w:rsidR="0019221E" w:rsidRPr="00E24E29">
        <w:rPr>
          <w:sz w:val="22"/>
        </w:rPr>
        <w:t xml:space="preserve"> and Remicade (</w:t>
      </w:r>
      <w:r w:rsidR="00FE272D" w:rsidRPr="00E24E29">
        <w:rPr>
          <w:sz w:val="22"/>
        </w:rPr>
        <w:t>F</w:t>
      </w:r>
      <w:r w:rsidR="0019221E" w:rsidRPr="00E24E29">
        <w:rPr>
          <w:sz w:val="22"/>
        </w:rPr>
        <w:t xml:space="preserve">igure </w:t>
      </w:r>
      <w:r w:rsidR="00AF330F" w:rsidRPr="00E24E29">
        <w:rPr>
          <w:sz w:val="22"/>
        </w:rPr>
        <w:t>2</w:t>
      </w:r>
      <w:r w:rsidR="0019221E" w:rsidRPr="00E24E29">
        <w:rPr>
          <w:sz w:val="22"/>
        </w:rPr>
        <w:t>)</w:t>
      </w:r>
      <w:r w:rsidR="00BD35F5" w:rsidRPr="00E24E29">
        <w:rPr>
          <w:sz w:val="22"/>
        </w:rPr>
        <w:t xml:space="preserve">.  </w:t>
      </w:r>
      <w:r w:rsidR="0019221E" w:rsidRPr="00E24E29">
        <w:rPr>
          <w:sz w:val="22"/>
        </w:rPr>
        <w:t xml:space="preserve">The </w:t>
      </w:r>
      <w:r w:rsidR="00503CBF" w:rsidRPr="00E24E29">
        <w:rPr>
          <w:sz w:val="22"/>
        </w:rPr>
        <w:t xml:space="preserve">INHB </w:t>
      </w:r>
      <w:r w:rsidR="0019221E" w:rsidRPr="00E24E29">
        <w:rPr>
          <w:sz w:val="22"/>
        </w:rPr>
        <w:t>was stable for most model parameters</w:t>
      </w:r>
      <w:r w:rsidR="006723F0" w:rsidRPr="00E24E29">
        <w:rPr>
          <w:sz w:val="22"/>
        </w:rPr>
        <w:t>,</w:t>
      </w:r>
      <w:r w:rsidR="0019221E" w:rsidRPr="00E24E29">
        <w:rPr>
          <w:sz w:val="22"/>
        </w:rPr>
        <w:t xml:space="preserve"> </w:t>
      </w:r>
      <w:r w:rsidR="006723F0" w:rsidRPr="00E24E29">
        <w:rPr>
          <w:sz w:val="22"/>
        </w:rPr>
        <w:t xml:space="preserve">which </w:t>
      </w:r>
      <w:r w:rsidR="0019221E" w:rsidRPr="00E24E29">
        <w:rPr>
          <w:sz w:val="22"/>
        </w:rPr>
        <w:t xml:space="preserve">were able to take extreme values without altering the result that Inflectra </w:t>
      </w:r>
      <w:r w:rsidR="00591458" w:rsidRPr="00E24E29">
        <w:rPr>
          <w:sz w:val="22"/>
        </w:rPr>
        <w:t>has a positive benefit-risk profile</w:t>
      </w:r>
      <w:r w:rsidR="009639AD" w:rsidRPr="00E24E29">
        <w:rPr>
          <w:sz w:val="22"/>
        </w:rPr>
        <w:t xml:space="preserve">.  The </w:t>
      </w:r>
      <w:r w:rsidR="00503CBF" w:rsidRPr="00E24E29">
        <w:rPr>
          <w:sz w:val="22"/>
        </w:rPr>
        <w:t xml:space="preserve">INHB </w:t>
      </w:r>
      <w:r w:rsidR="009639AD" w:rsidRPr="00E24E29">
        <w:rPr>
          <w:sz w:val="22"/>
        </w:rPr>
        <w:t xml:space="preserve">advantage of Inflectra </w:t>
      </w:r>
      <w:r w:rsidR="00ED70AB" w:rsidRPr="00E24E29">
        <w:rPr>
          <w:sz w:val="22"/>
        </w:rPr>
        <w:t>was</w:t>
      </w:r>
      <w:r w:rsidR="009639AD" w:rsidRPr="00E24E29">
        <w:rPr>
          <w:sz w:val="22"/>
        </w:rPr>
        <w:t xml:space="preserve"> outweighed</w:t>
      </w:r>
      <w:r w:rsidR="00ED70AB" w:rsidRPr="00E24E29">
        <w:rPr>
          <w:sz w:val="22"/>
        </w:rPr>
        <w:t xml:space="preserve"> in the model only</w:t>
      </w:r>
      <w:r w:rsidR="009639AD" w:rsidRPr="00E24E29">
        <w:rPr>
          <w:sz w:val="22"/>
        </w:rPr>
        <w:t xml:space="preserve"> </w:t>
      </w:r>
      <w:r w:rsidR="007141C2" w:rsidRPr="00E24E29">
        <w:rPr>
          <w:sz w:val="22"/>
        </w:rPr>
        <w:t xml:space="preserve">when </w:t>
      </w:r>
      <w:r w:rsidR="00ED70AB" w:rsidRPr="00E24E29">
        <w:rPr>
          <w:sz w:val="22"/>
        </w:rPr>
        <w:t xml:space="preserve">the vial price </w:t>
      </w:r>
      <w:r w:rsidR="007141C2" w:rsidRPr="00E24E29">
        <w:rPr>
          <w:sz w:val="22"/>
        </w:rPr>
        <w:t>exceeded that of</w:t>
      </w:r>
      <w:r w:rsidR="006723F0" w:rsidRPr="00E24E29">
        <w:rPr>
          <w:sz w:val="22"/>
        </w:rPr>
        <w:t xml:space="preserve"> Remicade.</w:t>
      </w:r>
    </w:p>
    <w:p w14:paraId="5777801D" w14:textId="1AB6B133" w:rsidR="00800ABD" w:rsidRPr="00E24E29" w:rsidRDefault="001C411E" w:rsidP="00DF3645">
      <w:pPr>
        <w:pStyle w:val="Dbl"/>
        <w:rPr>
          <w:sz w:val="22"/>
        </w:rPr>
      </w:pPr>
      <w:r w:rsidRPr="00E24E29">
        <w:rPr>
          <w:sz w:val="22"/>
        </w:rPr>
        <w:t>A</w:t>
      </w:r>
      <w:r w:rsidR="0003330A" w:rsidRPr="00E24E29">
        <w:rPr>
          <w:sz w:val="22"/>
        </w:rPr>
        <w:t xml:space="preserve"> two-way sensitivity analysis </w:t>
      </w:r>
      <w:r w:rsidR="000E5FCB">
        <w:rPr>
          <w:sz w:val="22"/>
        </w:rPr>
        <w:t xml:space="preserve">of the base case (Figure 3) </w:t>
      </w:r>
      <w:r w:rsidR="00FE272D" w:rsidRPr="00E24E29">
        <w:rPr>
          <w:sz w:val="22"/>
        </w:rPr>
        <w:t>shows</w:t>
      </w:r>
      <w:r w:rsidRPr="00E24E29">
        <w:rPr>
          <w:sz w:val="22"/>
        </w:rPr>
        <w:t xml:space="preserve"> how the </w:t>
      </w:r>
      <w:r w:rsidR="0003330A" w:rsidRPr="00E24E29">
        <w:rPr>
          <w:sz w:val="22"/>
        </w:rPr>
        <w:t>Inflectra vial price</w:t>
      </w:r>
      <w:r w:rsidRPr="00E24E29">
        <w:rPr>
          <w:sz w:val="22"/>
        </w:rPr>
        <w:t xml:space="preserve"> would need to adjust in response to increasing rate</w:t>
      </w:r>
      <w:r w:rsidR="00800ABD" w:rsidRPr="00E24E29">
        <w:rPr>
          <w:sz w:val="22"/>
        </w:rPr>
        <w:t>s</w:t>
      </w:r>
      <w:r w:rsidRPr="00E24E29">
        <w:rPr>
          <w:sz w:val="22"/>
        </w:rPr>
        <w:t xml:space="preserve"> of </w:t>
      </w:r>
      <w:r w:rsidR="007141C2" w:rsidRPr="00E24E29">
        <w:rPr>
          <w:sz w:val="22"/>
        </w:rPr>
        <w:t xml:space="preserve">developing </w:t>
      </w:r>
      <w:r w:rsidRPr="00E24E29">
        <w:rPr>
          <w:sz w:val="22"/>
        </w:rPr>
        <w:t xml:space="preserve">ATI </w:t>
      </w:r>
      <w:r w:rsidR="00800ABD" w:rsidRPr="00E24E29">
        <w:rPr>
          <w:sz w:val="22"/>
        </w:rPr>
        <w:t xml:space="preserve">in order </w:t>
      </w:r>
      <w:r w:rsidR="00681E89" w:rsidRPr="00E24E29">
        <w:rPr>
          <w:sz w:val="22"/>
        </w:rPr>
        <w:t xml:space="preserve">for it </w:t>
      </w:r>
      <w:r w:rsidR="00800ABD" w:rsidRPr="00E24E29">
        <w:rPr>
          <w:sz w:val="22"/>
        </w:rPr>
        <w:t xml:space="preserve">to remain the </w:t>
      </w:r>
      <w:r w:rsidR="007141C2" w:rsidRPr="00E24E29">
        <w:rPr>
          <w:sz w:val="22"/>
        </w:rPr>
        <w:t xml:space="preserve">preferred </w:t>
      </w:r>
      <w:r w:rsidR="00800ABD" w:rsidRPr="00E24E29">
        <w:rPr>
          <w:sz w:val="22"/>
        </w:rPr>
        <w:t>choice</w:t>
      </w:r>
      <w:r w:rsidR="00FE272D" w:rsidRPr="00E24E29">
        <w:rPr>
          <w:sz w:val="22"/>
        </w:rPr>
        <w:t xml:space="preserve">.  </w:t>
      </w:r>
      <w:r w:rsidR="007A39C3" w:rsidRPr="00E24E29">
        <w:rPr>
          <w:sz w:val="22"/>
        </w:rPr>
        <w:t xml:space="preserve">Based on a </w:t>
      </w:r>
      <w:r w:rsidR="00591458" w:rsidRPr="00E24E29">
        <w:rPr>
          <w:sz w:val="22"/>
        </w:rPr>
        <w:t xml:space="preserve">cost-effectiveness </w:t>
      </w:r>
      <w:r w:rsidR="007A39C3" w:rsidRPr="00E24E29">
        <w:rPr>
          <w:sz w:val="22"/>
        </w:rPr>
        <w:t>threshold of £30</w:t>
      </w:r>
      <w:r w:rsidR="00591458" w:rsidRPr="00E24E29">
        <w:rPr>
          <w:sz w:val="22"/>
        </w:rPr>
        <w:t>,000</w:t>
      </w:r>
      <w:r w:rsidR="007A39C3" w:rsidRPr="00E24E29">
        <w:rPr>
          <w:sz w:val="22"/>
        </w:rPr>
        <w:t xml:space="preserve"> per QALY</w:t>
      </w:r>
      <w:r w:rsidR="00BB0BF5" w:rsidRPr="00E24E29">
        <w:rPr>
          <w:sz w:val="22"/>
        </w:rPr>
        <w:t xml:space="preserve"> [</w:t>
      </w:r>
      <w:r w:rsidR="00FB22BD" w:rsidRPr="00E24E29">
        <w:rPr>
          <w:noProof/>
          <w:sz w:val="22"/>
        </w:rPr>
        <w:t>40</w:t>
      </w:r>
      <w:r w:rsidR="00BB0BF5" w:rsidRPr="00E24E29">
        <w:rPr>
          <w:sz w:val="22"/>
        </w:rPr>
        <w:t>],</w:t>
      </w:r>
      <w:r w:rsidR="007A39C3" w:rsidRPr="00E24E29">
        <w:rPr>
          <w:sz w:val="22"/>
        </w:rPr>
        <w:t xml:space="preserve"> and assuming 50% of patients develop ATI for Inflectra (ATI_I), compared with 12.4% who develop ATI from Remicade (ATI_R), then</w:t>
      </w:r>
      <w:r w:rsidR="00FE272D" w:rsidRPr="00E24E29">
        <w:rPr>
          <w:sz w:val="22"/>
        </w:rPr>
        <w:t xml:space="preserve"> 57.7% of patients </w:t>
      </w:r>
      <w:r w:rsidR="00984F3D" w:rsidRPr="00E24E29">
        <w:rPr>
          <w:sz w:val="22"/>
        </w:rPr>
        <w:t xml:space="preserve">would </w:t>
      </w:r>
      <w:r w:rsidR="00FE272D" w:rsidRPr="00E24E29">
        <w:rPr>
          <w:sz w:val="22"/>
        </w:rPr>
        <w:t xml:space="preserve">switch to standard care </w:t>
      </w:r>
      <w:r w:rsidR="00984F3D" w:rsidRPr="00E24E29">
        <w:rPr>
          <w:sz w:val="22"/>
        </w:rPr>
        <w:t xml:space="preserve">after experiencing a serious infusion reaction or secondary non-response </w:t>
      </w:r>
      <w:r w:rsidR="00FE272D" w:rsidRPr="00E24E29">
        <w:rPr>
          <w:sz w:val="22"/>
        </w:rPr>
        <w:t xml:space="preserve">and, within that, 18% </w:t>
      </w:r>
      <w:r w:rsidR="00984F3D" w:rsidRPr="00E24E29">
        <w:rPr>
          <w:sz w:val="22"/>
        </w:rPr>
        <w:t>of patients would have a</w:t>
      </w:r>
      <w:r w:rsidR="00FE272D" w:rsidRPr="00E24E29">
        <w:rPr>
          <w:sz w:val="22"/>
        </w:rPr>
        <w:t xml:space="preserve"> surger</w:t>
      </w:r>
      <w:r w:rsidR="00984F3D" w:rsidRPr="00E24E29">
        <w:rPr>
          <w:sz w:val="22"/>
        </w:rPr>
        <w:t>y</w:t>
      </w:r>
      <w:r w:rsidR="00FE272D" w:rsidRPr="00E24E29">
        <w:rPr>
          <w:sz w:val="22"/>
        </w:rPr>
        <w:t xml:space="preserve">.  Inflectra </w:t>
      </w:r>
      <w:r w:rsidR="007141C2" w:rsidRPr="00E24E29">
        <w:rPr>
          <w:sz w:val="22"/>
        </w:rPr>
        <w:t>remained the preferred option provided it is priced</w:t>
      </w:r>
      <w:r w:rsidR="0063349A" w:rsidRPr="00E24E29">
        <w:rPr>
          <w:sz w:val="22"/>
        </w:rPr>
        <w:t xml:space="preserve"> below </w:t>
      </w:r>
      <w:r w:rsidR="00FE272D" w:rsidRPr="00E24E29">
        <w:rPr>
          <w:sz w:val="22"/>
        </w:rPr>
        <w:t>£</w:t>
      </w:r>
      <w:r w:rsidR="007021C0" w:rsidRPr="00E24E29">
        <w:rPr>
          <w:sz w:val="22"/>
        </w:rPr>
        <w:t>410</w:t>
      </w:r>
      <w:r w:rsidR="007141C2" w:rsidRPr="00E24E29">
        <w:rPr>
          <w:sz w:val="22"/>
        </w:rPr>
        <w:t xml:space="preserve"> per vial (compared with £</w:t>
      </w:r>
      <w:r w:rsidR="007021C0" w:rsidRPr="00E24E29">
        <w:rPr>
          <w:sz w:val="22"/>
        </w:rPr>
        <w:t>420</w:t>
      </w:r>
      <w:r w:rsidR="007A39C3" w:rsidRPr="00E24E29">
        <w:rPr>
          <w:sz w:val="22"/>
        </w:rPr>
        <w:t xml:space="preserve"> </w:t>
      </w:r>
      <w:r w:rsidR="007141C2" w:rsidRPr="00E24E29">
        <w:rPr>
          <w:sz w:val="22"/>
        </w:rPr>
        <w:t>for Remicade)</w:t>
      </w:r>
      <w:r w:rsidR="00FE272D" w:rsidRPr="00E24E29">
        <w:rPr>
          <w:sz w:val="22"/>
        </w:rPr>
        <w:t xml:space="preserve">.  Even </w:t>
      </w:r>
      <w:r w:rsidR="00591458" w:rsidRPr="00E24E29">
        <w:rPr>
          <w:sz w:val="22"/>
        </w:rPr>
        <w:t>in a wors</w:t>
      </w:r>
      <w:r w:rsidR="00ED674A" w:rsidRPr="00E24E29">
        <w:rPr>
          <w:sz w:val="22"/>
        </w:rPr>
        <w:t>t</w:t>
      </w:r>
      <w:r w:rsidR="00591458" w:rsidRPr="00E24E29">
        <w:rPr>
          <w:sz w:val="22"/>
        </w:rPr>
        <w:t xml:space="preserve">-case scenario of </w:t>
      </w:r>
      <w:r w:rsidR="00FE272D" w:rsidRPr="00E24E29">
        <w:rPr>
          <w:sz w:val="22"/>
        </w:rPr>
        <w:t>all patients develop</w:t>
      </w:r>
      <w:r w:rsidR="00591458" w:rsidRPr="00E24E29">
        <w:rPr>
          <w:sz w:val="22"/>
        </w:rPr>
        <w:t>ing</w:t>
      </w:r>
      <w:r w:rsidR="00FE272D" w:rsidRPr="00E24E29">
        <w:rPr>
          <w:sz w:val="22"/>
        </w:rPr>
        <w:t xml:space="preserve"> ATI, resulting in 75% of patients moving to standard care and 23% having surgeries, a vial of Inflectra could be </w:t>
      </w:r>
      <w:r w:rsidR="0063349A" w:rsidRPr="00E24E29">
        <w:rPr>
          <w:sz w:val="22"/>
        </w:rPr>
        <w:t xml:space="preserve">priced up to </w:t>
      </w:r>
      <w:r w:rsidR="00FE272D" w:rsidRPr="00E24E29">
        <w:rPr>
          <w:sz w:val="22"/>
        </w:rPr>
        <w:t>£39</w:t>
      </w:r>
      <w:r w:rsidR="007021C0" w:rsidRPr="00E24E29">
        <w:rPr>
          <w:sz w:val="22"/>
        </w:rPr>
        <w:t>5</w:t>
      </w:r>
      <w:r w:rsidR="00FE272D" w:rsidRPr="00E24E29">
        <w:rPr>
          <w:sz w:val="22"/>
        </w:rPr>
        <w:t xml:space="preserve"> and it would remain the </w:t>
      </w:r>
      <w:r w:rsidR="00591458" w:rsidRPr="00E24E29">
        <w:rPr>
          <w:sz w:val="22"/>
        </w:rPr>
        <w:t>treatment of</w:t>
      </w:r>
      <w:r w:rsidR="00FE272D" w:rsidRPr="00E24E29">
        <w:rPr>
          <w:sz w:val="22"/>
        </w:rPr>
        <w:t xml:space="preserve"> choice</w:t>
      </w:r>
      <w:r w:rsidR="00591458" w:rsidRPr="00E24E29">
        <w:rPr>
          <w:sz w:val="22"/>
        </w:rPr>
        <w:t xml:space="preserve"> with a positive </w:t>
      </w:r>
      <w:r w:rsidR="00503CBF" w:rsidRPr="00E24E29">
        <w:rPr>
          <w:sz w:val="22"/>
        </w:rPr>
        <w:t xml:space="preserve">INHB </w:t>
      </w:r>
      <w:r w:rsidR="00FE272D" w:rsidRPr="00E24E29">
        <w:rPr>
          <w:sz w:val="22"/>
        </w:rPr>
        <w:t xml:space="preserve">(Figure </w:t>
      </w:r>
      <w:r w:rsidR="00AF330F" w:rsidRPr="00E24E29">
        <w:rPr>
          <w:sz w:val="22"/>
        </w:rPr>
        <w:t>3</w:t>
      </w:r>
      <w:r w:rsidR="000E5FCB">
        <w:rPr>
          <w:sz w:val="22"/>
        </w:rPr>
        <w:t>, base case</w:t>
      </w:r>
      <w:r w:rsidR="00FE272D" w:rsidRPr="00E24E29">
        <w:rPr>
          <w:sz w:val="22"/>
        </w:rPr>
        <w:t>).</w:t>
      </w:r>
    </w:p>
    <w:p w14:paraId="47F3CA1A" w14:textId="5CAEDE25" w:rsidR="002B0DB1" w:rsidRPr="00E24E29" w:rsidRDefault="002B0DB1" w:rsidP="00AF26E7">
      <w:pPr>
        <w:pStyle w:val="Heading3"/>
        <w:numPr>
          <w:ilvl w:val="1"/>
          <w:numId w:val="20"/>
        </w:numPr>
        <w:rPr>
          <w:rFonts w:asciiTheme="minorHAnsi" w:hAnsiTheme="minorHAnsi"/>
          <w:color w:val="auto"/>
          <w:sz w:val="22"/>
          <w:szCs w:val="22"/>
        </w:rPr>
      </w:pPr>
      <w:r>
        <w:rPr>
          <w:rFonts w:asciiTheme="minorHAnsi" w:hAnsiTheme="minorHAnsi"/>
          <w:color w:val="auto"/>
          <w:sz w:val="22"/>
          <w:szCs w:val="22"/>
        </w:rPr>
        <w:t>Probabilistic s</w:t>
      </w:r>
      <w:r w:rsidRPr="00E24E29">
        <w:rPr>
          <w:rFonts w:asciiTheme="minorHAnsi" w:hAnsiTheme="minorHAnsi"/>
          <w:color w:val="auto"/>
          <w:sz w:val="22"/>
          <w:szCs w:val="22"/>
        </w:rPr>
        <w:t>ensitivity analyses</w:t>
      </w:r>
    </w:p>
    <w:p w14:paraId="26BCECBD" w14:textId="73738065" w:rsidR="002B0DB1" w:rsidRPr="00E24E29" w:rsidRDefault="002B0DB1" w:rsidP="00AF26E7">
      <w:pPr>
        <w:pStyle w:val="Dbl"/>
        <w:rPr>
          <w:sz w:val="22"/>
        </w:rPr>
      </w:pPr>
      <w:r>
        <w:rPr>
          <w:sz w:val="22"/>
        </w:rPr>
        <w:t>The p</w:t>
      </w:r>
      <w:r w:rsidRPr="002B0DB1">
        <w:rPr>
          <w:sz w:val="22"/>
        </w:rPr>
        <w:t>robabilistic sensitivity analyses</w:t>
      </w:r>
      <w:r>
        <w:rPr>
          <w:sz w:val="22"/>
        </w:rPr>
        <w:t xml:space="preserve"> indicated that</w:t>
      </w:r>
      <w:r w:rsidR="00DD5C6A">
        <w:rPr>
          <w:sz w:val="22"/>
        </w:rPr>
        <w:t xml:space="preserve"> </w:t>
      </w:r>
      <w:r w:rsidR="00AF26E7" w:rsidRPr="00E24E29">
        <w:rPr>
          <w:sz w:val="22"/>
        </w:rPr>
        <w:t>Inflectra had a positive INHB in 97.6% of simulations, and this result was robust over a range of threshold values.  Inflectra dominated Remicade in 50.</w:t>
      </w:r>
      <w:r w:rsidR="000E5FCB">
        <w:rPr>
          <w:sz w:val="22"/>
        </w:rPr>
        <w:t>4</w:t>
      </w:r>
      <w:r w:rsidR="00AF26E7" w:rsidRPr="00E24E29">
        <w:rPr>
          <w:sz w:val="22"/>
        </w:rPr>
        <w:t>% of simulations and was less effective but less costly in 45.</w:t>
      </w:r>
      <w:r w:rsidR="000E5FCB">
        <w:rPr>
          <w:sz w:val="22"/>
        </w:rPr>
        <w:t>4</w:t>
      </w:r>
      <w:r w:rsidR="00AF26E7" w:rsidRPr="00E24E29">
        <w:rPr>
          <w:sz w:val="22"/>
        </w:rPr>
        <w:t>% of simulations.  Inflectra was more effective but more costly in 3.</w:t>
      </w:r>
      <w:r w:rsidR="000E5FCB">
        <w:rPr>
          <w:sz w:val="22"/>
        </w:rPr>
        <w:t>4</w:t>
      </w:r>
      <w:r w:rsidR="00AF26E7" w:rsidRPr="00E24E29">
        <w:rPr>
          <w:sz w:val="22"/>
        </w:rPr>
        <w:t>% and was dominated by Remicade in 0.</w:t>
      </w:r>
      <w:r w:rsidR="000E5FCB">
        <w:rPr>
          <w:sz w:val="22"/>
        </w:rPr>
        <w:t>9</w:t>
      </w:r>
      <w:r w:rsidR="00AF26E7" w:rsidRPr="00E24E29">
        <w:rPr>
          <w:sz w:val="22"/>
        </w:rPr>
        <w:t xml:space="preserve">% of simulations. </w:t>
      </w:r>
      <w:r w:rsidR="00AF26E7">
        <w:rPr>
          <w:sz w:val="22"/>
        </w:rPr>
        <w:t xml:space="preserve"> </w:t>
      </w:r>
      <w:r w:rsidR="00AF26E7" w:rsidRPr="00E24E29">
        <w:rPr>
          <w:sz w:val="22"/>
        </w:rPr>
        <w:t>The net-benefit plane [</w:t>
      </w:r>
      <w:r w:rsidR="00AF26E7" w:rsidRPr="00E24E29">
        <w:rPr>
          <w:noProof/>
          <w:sz w:val="22"/>
        </w:rPr>
        <w:t>53</w:t>
      </w:r>
      <w:r w:rsidR="00AF26E7" w:rsidRPr="00E24E29">
        <w:rPr>
          <w:sz w:val="22"/>
        </w:rPr>
        <w:t>] illustrating the joint distribution of incremental costs and QALYs (Figure 4) shows the clustering of simulations on the vertical axis due to the minimal differences in QALYs between the two interventions.</w:t>
      </w:r>
    </w:p>
    <w:p w14:paraId="4224300E" w14:textId="0380B8A9" w:rsidR="00434160" w:rsidRPr="00E24E29" w:rsidRDefault="00434160" w:rsidP="00813527">
      <w:pPr>
        <w:pStyle w:val="Heading3"/>
        <w:numPr>
          <w:ilvl w:val="1"/>
          <w:numId w:val="20"/>
        </w:numPr>
        <w:rPr>
          <w:rFonts w:asciiTheme="minorHAnsi" w:hAnsiTheme="minorHAnsi"/>
          <w:color w:val="auto"/>
          <w:sz w:val="22"/>
          <w:szCs w:val="22"/>
        </w:rPr>
      </w:pPr>
      <w:r w:rsidRPr="00E24E29">
        <w:rPr>
          <w:rFonts w:asciiTheme="minorHAnsi" w:hAnsiTheme="minorHAnsi"/>
          <w:color w:val="auto"/>
          <w:sz w:val="22"/>
          <w:szCs w:val="22"/>
        </w:rPr>
        <w:t>Scenario analyses</w:t>
      </w:r>
    </w:p>
    <w:p w14:paraId="28173CDE" w14:textId="25A33BAA" w:rsidR="00AD126F" w:rsidRPr="00E24E29" w:rsidRDefault="00C96C47" w:rsidP="00DF3645">
      <w:pPr>
        <w:pStyle w:val="Dbl"/>
        <w:rPr>
          <w:sz w:val="22"/>
        </w:rPr>
      </w:pPr>
      <w:r w:rsidRPr="00E24E29">
        <w:rPr>
          <w:sz w:val="22"/>
        </w:rPr>
        <w:t xml:space="preserve">Inflectra is </w:t>
      </w:r>
      <w:r w:rsidR="00591458" w:rsidRPr="00E24E29">
        <w:rPr>
          <w:sz w:val="22"/>
        </w:rPr>
        <w:t xml:space="preserve">associated with a positive </w:t>
      </w:r>
      <w:r w:rsidR="00503CBF" w:rsidRPr="00E24E29">
        <w:rPr>
          <w:sz w:val="22"/>
        </w:rPr>
        <w:t xml:space="preserve">INHB </w:t>
      </w:r>
      <w:r w:rsidRPr="00E24E29">
        <w:rPr>
          <w:sz w:val="22"/>
        </w:rPr>
        <w:t>across the scenarios</w:t>
      </w:r>
      <w:r w:rsidR="00591458" w:rsidRPr="00E24E29">
        <w:rPr>
          <w:sz w:val="22"/>
        </w:rPr>
        <w:t xml:space="preserve"> tested</w:t>
      </w:r>
      <w:r w:rsidRPr="00E24E29">
        <w:rPr>
          <w:sz w:val="22"/>
        </w:rPr>
        <w:t xml:space="preserve">, with the exception of </w:t>
      </w:r>
      <w:r w:rsidR="00681E89" w:rsidRPr="00E24E29">
        <w:rPr>
          <w:sz w:val="22"/>
        </w:rPr>
        <w:t xml:space="preserve">scenario </w:t>
      </w:r>
      <w:r w:rsidRPr="00E24E29">
        <w:rPr>
          <w:sz w:val="22"/>
        </w:rPr>
        <w:t xml:space="preserve">(i) </w:t>
      </w:r>
      <w:r w:rsidR="00AD126F" w:rsidRPr="00E24E29">
        <w:rPr>
          <w:sz w:val="22"/>
        </w:rPr>
        <w:t xml:space="preserve">where the price of Remicade </w:t>
      </w:r>
      <w:r w:rsidR="004661DF" w:rsidRPr="00E24E29">
        <w:rPr>
          <w:sz w:val="22"/>
        </w:rPr>
        <w:t xml:space="preserve">is reduced </w:t>
      </w:r>
      <w:r w:rsidR="00AD126F" w:rsidRPr="00E24E29">
        <w:rPr>
          <w:sz w:val="22"/>
        </w:rPr>
        <w:t>by 25%</w:t>
      </w:r>
      <w:r w:rsidR="00DF53EC" w:rsidRPr="00E24E29">
        <w:rPr>
          <w:sz w:val="22"/>
        </w:rPr>
        <w:t xml:space="preserve"> </w:t>
      </w:r>
      <w:r w:rsidR="00EA7947" w:rsidRPr="00E24E29">
        <w:rPr>
          <w:sz w:val="22"/>
        </w:rPr>
        <w:t>(</w:t>
      </w:r>
      <w:r w:rsidR="003605EA" w:rsidRPr="00E24E29">
        <w:rPr>
          <w:sz w:val="22"/>
        </w:rPr>
        <w:t xml:space="preserve">Table </w:t>
      </w:r>
      <w:r w:rsidR="00B70203" w:rsidRPr="00E24E29">
        <w:rPr>
          <w:sz w:val="22"/>
        </w:rPr>
        <w:t>3</w:t>
      </w:r>
      <w:r w:rsidR="00EA7947" w:rsidRPr="00E24E29">
        <w:rPr>
          <w:sz w:val="22"/>
        </w:rPr>
        <w:t xml:space="preserve">).  </w:t>
      </w:r>
      <w:r w:rsidRPr="00E24E29">
        <w:rPr>
          <w:sz w:val="22"/>
        </w:rPr>
        <w:t xml:space="preserve">Changes in </w:t>
      </w:r>
      <w:r w:rsidR="00503CBF" w:rsidRPr="00E24E29">
        <w:rPr>
          <w:sz w:val="22"/>
        </w:rPr>
        <w:t xml:space="preserve">INHB </w:t>
      </w:r>
      <w:r w:rsidR="00016B3E" w:rsidRPr="00E24E29">
        <w:rPr>
          <w:sz w:val="22"/>
        </w:rPr>
        <w:t xml:space="preserve">overall </w:t>
      </w:r>
      <w:r w:rsidRPr="00E24E29">
        <w:rPr>
          <w:sz w:val="22"/>
        </w:rPr>
        <w:t xml:space="preserve">were minimal and, in fact, there was no change in </w:t>
      </w:r>
      <w:r w:rsidR="00503CBF" w:rsidRPr="00E24E29">
        <w:rPr>
          <w:sz w:val="22"/>
        </w:rPr>
        <w:t xml:space="preserve">INHB </w:t>
      </w:r>
      <w:r w:rsidRPr="00E24E29">
        <w:rPr>
          <w:sz w:val="22"/>
        </w:rPr>
        <w:t>in</w:t>
      </w:r>
      <w:r w:rsidR="00681E89" w:rsidRPr="00E24E29">
        <w:rPr>
          <w:sz w:val="22"/>
        </w:rPr>
        <w:t xml:space="preserve"> scenarios</w:t>
      </w:r>
      <w:r w:rsidRPr="00E24E29">
        <w:rPr>
          <w:sz w:val="22"/>
        </w:rPr>
        <w:t xml:space="preserve"> </w:t>
      </w:r>
      <w:r w:rsidR="00AD126F" w:rsidRPr="00E24E29">
        <w:rPr>
          <w:sz w:val="22"/>
        </w:rPr>
        <w:t xml:space="preserve">involving a shorter wash-out of IFX following a SIR </w:t>
      </w:r>
      <w:r w:rsidR="00016B3E" w:rsidRPr="00E24E29">
        <w:rPr>
          <w:sz w:val="22"/>
        </w:rPr>
        <w:t>(iii),</w:t>
      </w:r>
      <w:r w:rsidR="00AD126F" w:rsidRPr="00E24E29">
        <w:rPr>
          <w:sz w:val="22"/>
        </w:rPr>
        <w:t xml:space="preserve"> a shorter time to loss of response in patients with ATI (iv) and a switch to another biologic before standard care</w:t>
      </w:r>
      <w:r w:rsidR="00704259" w:rsidRPr="00E24E29">
        <w:rPr>
          <w:sz w:val="22"/>
        </w:rPr>
        <w:t>,</w:t>
      </w:r>
      <w:r w:rsidR="00016B3E" w:rsidRPr="00E24E29">
        <w:rPr>
          <w:sz w:val="22"/>
        </w:rPr>
        <w:t xml:space="preserve"> (v), (vi) and (vii)</w:t>
      </w:r>
      <w:r w:rsidR="00704259" w:rsidRPr="00E24E29">
        <w:rPr>
          <w:sz w:val="22"/>
        </w:rPr>
        <w:t>,</w:t>
      </w:r>
      <w:r w:rsidR="00016B3E" w:rsidRPr="00E24E29">
        <w:rPr>
          <w:sz w:val="22"/>
        </w:rPr>
        <w:t xml:space="preserve"> </w:t>
      </w:r>
      <w:r w:rsidR="00681E89" w:rsidRPr="00E24E29">
        <w:rPr>
          <w:sz w:val="22"/>
        </w:rPr>
        <w:t>as</w:t>
      </w:r>
      <w:r w:rsidR="00016B3E" w:rsidRPr="00E24E29">
        <w:rPr>
          <w:sz w:val="22"/>
        </w:rPr>
        <w:t xml:space="preserve"> changes </w:t>
      </w:r>
      <w:r w:rsidR="00374D45" w:rsidRPr="00E24E29">
        <w:rPr>
          <w:sz w:val="22"/>
        </w:rPr>
        <w:t>affected</w:t>
      </w:r>
      <w:r w:rsidR="00016B3E" w:rsidRPr="00E24E29">
        <w:rPr>
          <w:sz w:val="22"/>
        </w:rPr>
        <w:t xml:space="preserve"> both </w:t>
      </w:r>
      <w:r w:rsidR="00681E89" w:rsidRPr="00E24E29">
        <w:rPr>
          <w:sz w:val="22"/>
        </w:rPr>
        <w:t xml:space="preserve">biologics </w:t>
      </w:r>
      <w:r w:rsidR="00016B3E" w:rsidRPr="00E24E29">
        <w:rPr>
          <w:sz w:val="22"/>
        </w:rPr>
        <w:t xml:space="preserve">equivalently.  </w:t>
      </w:r>
    </w:p>
    <w:p w14:paraId="1414AFB7" w14:textId="3111A225" w:rsidR="00F819A8" w:rsidRPr="00E24E29" w:rsidRDefault="00EA7947" w:rsidP="00DF3645">
      <w:pPr>
        <w:pStyle w:val="Dbl"/>
        <w:rPr>
          <w:sz w:val="22"/>
        </w:rPr>
      </w:pPr>
      <w:r w:rsidRPr="00E24E29">
        <w:rPr>
          <w:sz w:val="22"/>
        </w:rPr>
        <w:t>The results of the two</w:t>
      </w:r>
      <w:r w:rsidR="00C96C47" w:rsidRPr="00E24E29">
        <w:rPr>
          <w:sz w:val="22"/>
        </w:rPr>
        <w:t xml:space="preserve">-way </w:t>
      </w:r>
      <w:r w:rsidRPr="00E24E29">
        <w:rPr>
          <w:sz w:val="22"/>
        </w:rPr>
        <w:t xml:space="preserve">sensitivity analysis </w:t>
      </w:r>
      <w:r w:rsidR="00591458" w:rsidRPr="00E24E29">
        <w:rPr>
          <w:sz w:val="22"/>
        </w:rPr>
        <w:t>reveal</w:t>
      </w:r>
      <w:r w:rsidR="00C96C47" w:rsidRPr="00E24E29">
        <w:rPr>
          <w:sz w:val="22"/>
        </w:rPr>
        <w:t xml:space="preserve"> the value-based price for Inflectra as </w:t>
      </w:r>
      <w:r w:rsidR="004661DF" w:rsidRPr="00E24E29">
        <w:rPr>
          <w:sz w:val="22"/>
        </w:rPr>
        <w:t xml:space="preserve">they </w:t>
      </w:r>
      <w:r w:rsidR="00C96C47" w:rsidRPr="00E24E29">
        <w:rPr>
          <w:sz w:val="22"/>
        </w:rPr>
        <w:t>identif</w:t>
      </w:r>
      <w:r w:rsidR="004661DF" w:rsidRPr="00E24E29">
        <w:rPr>
          <w:sz w:val="22"/>
        </w:rPr>
        <w:t>y</w:t>
      </w:r>
      <w:r w:rsidR="00C96C47" w:rsidRPr="00E24E29">
        <w:rPr>
          <w:sz w:val="22"/>
        </w:rPr>
        <w:t xml:space="preserve"> the price at which the </w:t>
      </w:r>
      <w:r w:rsidR="00591458" w:rsidRPr="00E24E29">
        <w:rPr>
          <w:sz w:val="22"/>
        </w:rPr>
        <w:t xml:space="preserve">biosimilar </w:t>
      </w:r>
      <w:r w:rsidR="00681E89" w:rsidRPr="00E24E29">
        <w:rPr>
          <w:sz w:val="22"/>
        </w:rPr>
        <w:t xml:space="preserve">could </w:t>
      </w:r>
      <w:r w:rsidR="00C96C47" w:rsidRPr="00E24E29">
        <w:rPr>
          <w:sz w:val="22"/>
        </w:rPr>
        <w:t xml:space="preserve">be marketed based upon the development of ATI and </w:t>
      </w:r>
      <w:r w:rsidR="00591458" w:rsidRPr="00E24E29">
        <w:rPr>
          <w:sz w:val="22"/>
        </w:rPr>
        <w:t xml:space="preserve">downstream </w:t>
      </w:r>
      <w:r w:rsidR="00C96C47" w:rsidRPr="00E24E29">
        <w:rPr>
          <w:sz w:val="22"/>
        </w:rPr>
        <w:t>consequ</w:t>
      </w:r>
      <w:r w:rsidR="00591458" w:rsidRPr="00E24E29">
        <w:rPr>
          <w:sz w:val="22"/>
        </w:rPr>
        <w:t>ences</w:t>
      </w:r>
      <w:r w:rsidR="00BB0BF5" w:rsidRPr="00E24E29">
        <w:rPr>
          <w:sz w:val="22"/>
        </w:rPr>
        <w:t xml:space="preserve"> [</w:t>
      </w:r>
      <w:r w:rsidR="002E218E" w:rsidRPr="00E24E29">
        <w:rPr>
          <w:noProof/>
          <w:sz w:val="22"/>
        </w:rPr>
        <w:t>5</w:t>
      </w:r>
      <w:r w:rsidR="002E218E">
        <w:rPr>
          <w:noProof/>
          <w:sz w:val="22"/>
        </w:rPr>
        <w:t>5</w:t>
      </w:r>
      <w:r w:rsidR="00BB0BF5" w:rsidRPr="00E24E29">
        <w:rPr>
          <w:sz w:val="22"/>
        </w:rPr>
        <w:t>].</w:t>
      </w:r>
      <w:r w:rsidR="00C96C47" w:rsidRPr="00E24E29">
        <w:rPr>
          <w:sz w:val="22"/>
        </w:rPr>
        <w:t xml:space="preserve">  Most scenarios </w:t>
      </w:r>
      <w:r w:rsidRPr="00E24E29">
        <w:rPr>
          <w:sz w:val="22"/>
        </w:rPr>
        <w:t xml:space="preserve">follow a similar pattern to the base case analysis (Figure </w:t>
      </w:r>
      <w:r w:rsidR="00AF330F" w:rsidRPr="00E24E29">
        <w:rPr>
          <w:sz w:val="22"/>
        </w:rPr>
        <w:t>3</w:t>
      </w:r>
      <w:r w:rsidRPr="00E24E29">
        <w:rPr>
          <w:sz w:val="22"/>
        </w:rPr>
        <w:t>)</w:t>
      </w:r>
      <w:r w:rsidR="00DF53EC" w:rsidRPr="00E24E29">
        <w:rPr>
          <w:sz w:val="22"/>
        </w:rPr>
        <w:t>. T</w:t>
      </w:r>
      <w:r w:rsidRPr="00E24E29">
        <w:rPr>
          <w:sz w:val="22"/>
        </w:rPr>
        <w:t xml:space="preserve">he price of Inflectra </w:t>
      </w:r>
      <w:r w:rsidR="00DF53EC" w:rsidRPr="00E24E29">
        <w:rPr>
          <w:sz w:val="22"/>
        </w:rPr>
        <w:t xml:space="preserve">must </w:t>
      </w:r>
      <w:r w:rsidRPr="00E24E29">
        <w:rPr>
          <w:sz w:val="22"/>
        </w:rPr>
        <w:t xml:space="preserve">reduce as ATI_I increases, to remain the </w:t>
      </w:r>
      <w:r w:rsidR="005F65E1" w:rsidRPr="00E24E29">
        <w:rPr>
          <w:sz w:val="22"/>
        </w:rPr>
        <w:t>optimal choice</w:t>
      </w:r>
      <w:r w:rsidRPr="00E24E29">
        <w:rPr>
          <w:sz w:val="22"/>
        </w:rPr>
        <w:t xml:space="preserve">, but </w:t>
      </w:r>
      <w:r w:rsidR="005F65E1" w:rsidRPr="00E24E29">
        <w:rPr>
          <w:sz w:val="22"/>
        </w:rPr>
        <w:t>remains</w:t>
      </w:r>
      <w:r w:rsidRPr="00E24E29">
        <w:rPr>
          <w:sz w:val="22"/>
        </w:rPr>
        <w:t xml:space="preserve"> below the current market price at all risks of ATI development.</w:t>
      </w:r>
      <w:r w:rsidR="00016B3E" w:rsidRPr="00E24E29">
        <w:rPr>
          <w:sz w:val="22"/>
        </w:rPr>
        <w:t xml:space="preserve">  </w:t>
      </w:r>
      <w:r w:rsidR="00C37FC8" w:rsidRPr="00E24E29">
        <w:rPr>
          <w:sz w:val="22"/>
        </w:rPr>
        <w:t xml:space="preserve">Only in scenario (vii), where patients switch to vedolizumab after IFX failure, </w:t>
      </w:r>
      <w:r w:rsidR="001D7AB1" w:rsidRPr="00E24E29">
        <w:rPr>
          <w:sz w:val="22"/>
        </w:rPr>
        <w:t xml:space="preserve">is a reduction to </w:t>
      </w:r>
      <w:r w:rsidR="00C37FC8" w:rsidRPr="00E24E29">
        <w:rPr>
          <w:sz w:val="22"/>
        </w:rPr>
        <w:t xml:space="preserve">below the current market price </w:t>
      </w:r>
      <w:r w:rsidR="001D7AB1" w:rsidRPr="00E24E29">
        <w:rPr>
          <w:sz w:val="22"/>
        </w:rPr>
        <w:t xml:space="preserve">necessary </w:t>
      </w:r>
      <w:r w:rsidR="00C37FC8" w:rsidRPr="00E24E29">
        <w:rPr>
          <w:sz w:val="22"/>
        </w:rPr>
        <w:t>to remain the optimal choice, and it does so when 60% of Inflectra patients develop ATI.</w:t>
      </w:r>
    </w:p>
    <w:p w14:paraId="1289988F" w14:textId="511B5234" w:rsidR="00EA7947" w:rsidRPr="00E24E29" w:rsidRDefault="00016B3E" w:rsidP="00DF3645">
      <w:pPr>
        <w:pStyle w:val="Dbl"/>
        <w:rPr>
          <w:sz w:val="22"/>
        </w:rPr>
      </w:pPr>
      <w:r w:rsidRPr="00E24E29">
        <w:rPr>
          <w:sz w:val="22"/>
        </w:rPr>
        <w:t xml:space="preserve">The relationship is reversed in </w:t>
      </w:r>
      <w:r w:rsidR="005F65E1" w:rsidRPr="00E24E29">
        <w:rPr>
          <w:sz w:val="22"/>
        </w:rPr>
        <w:t xml:space="preserve">scenario </w:t>
      </w:r>
      <w:r w:rsidRPr="00E24E29">
        <w:rPr>
          <w:sz w:val="22"/>
        </w:rPr>
        <w:t>(iv) and the price of Inflectra can increase as ATI_I risk increases, due to the expected cost savings from the earlier movement to standard care. The cost reduction</w:t>
      </w:r>
      <w:r w:rsidR="005D4D7A" w:rsidRPr="00E24E29">
        <w:rPr>
          <w:sz w:val="22"/>
        </w:rPr>
        <w:t xml:space="preserve"> outweighs the QALY reduction, </w:t>
      </w:r>
      <w:r w:rsidR="00D009B7" w:rsidRPr="00E24E29">
        <w:rPr>
          <w:sz w:val="22"/>
        </w:rPr>
        <w:t xml:space="preserve">giving </w:t>
      </w:r>
      <w:r w:rsidR="005D4D7A" w:rsidRPr="00E24E29">
        <w:rPr>
          <w:sz w:val="22"/>
        </w:rPr>
        <w:t xml:space="preserve">Inflectra </w:t>
      </w:r>
      <w:r w:rsidR="00D009B7" w:rsidRPr="00E24E29">
        <w:rPr>
          <w:sz w:val="22"/>
        </w:rPr>
        <w:t>an even greater net benefit</w:t>
      </w:r>
      <w:r w:rsidR="005D4D7A" w:rsidRPr="00E24E29">
        <w:rPr>
          <w:sz w:val="22"/>
        </w:rPr>
        <w:t xml:space="preserve"> than </w:t>
      </w:r>
      <w:r w:rsidR="005F65E1" w:rsidRPr="00E24E29">
        <w:rPr>
          <w:sz w:val="22"/>
        </w:rPr>
        <w:t xml:space="preserve">in the </w:t>
      </w:r>
      <w:r w:rsidR="005D4D7A" w:rsidRPr="00E24E29">
        <w:rPr>
          <w:sz w:val="22"/>
        </w:rPr>
        <w:t>base case.  For illustration, when all Inflectra patients develop ATI, the expected QALY gain is 0.03 less than for Remicade whilst resulting in a cost saving of £1,029.</w:t>
      </w:r>
      <w:r w:rsidRPr="00E24E29">
        <w:rPr>
          <w:sz w:val="22"/>
        </w:rPr>
        <w:t xml:space="preserve">  A similar pattern is seen for </w:t>
      </w:r>
      <w:r w:rsidR="005F65E1" w:rsidRPr="00E24E29">
        <w:rPr>
          <w:sz w:val="22"/>
        </w:rPr>
        <w:t xml:space="preserve">scenario </w:t>
      </w:r>
      <w:r w:rsidRPr="00E24E29">
        <w:rPr>
          <w:sz w:val="22"/>
        </w:rPr>
        <w:t>(v)</w:t>
      </w:r>
      <w:r w:rsidR="00C37FC8" w:rsidRPr="00E24E29">
        <w:rPr>
          <w:sz w:val="22"/>
        </w:rPr>
        <w:t xml:space="preserve"> when patients switch to ADA after IFX failure</w:t>
      </w:r>
      <w:r w:rsidR="00D009B7" w:rsidRPr="00E24E29">
        <w:rPr>
          <w:sz w:val="22"/>
        </w:rPr>
        <w:t>.</w:t>
      </w:r>
      <w:r w:rsidR="00C37FC8" w:rsidRPr="00E24E29">
        <w:rPr>
          <w:sz w:val="22"/>
        </w:rPr>
        <w:t xml:space="preserve">  In this case, the introduction of a second biologic reduces costs as it is cheaper than IFX, but also reduces the number of patients moving to standard care in the model and therefore limits the number of expensive surgeries</w:t>
      </w:r>
      <w:r w:rsidR="00FB22BD" w:rsidRPr="00E24E29">
        <w:rPr>
          <w:sz w:val="22"/>
        </w:rPr>
        <w:t xml:space="preserve"> as ATI_I increases</w:t>
      </w:r>
      <w:r w:rsidR="00C37FC8" w:rsidRPr="00E24E29">
        <w:rPr>
          <w:sz w:val="22"/>
        </w:rPr>
        <w:t xml:space="preserve">.  </w:t>
      </w:r>
    </w:p>
    <w:p w14:paraId="015463FA" w14:textId="77777777" w:rsidR="00434160" w:rsidRPr="00E24E29" w:rsidRDefault="00434160" w:rsidP="00813527">
      <w:pPr>
        <w:pStyle w:val="Heading3"/>
        <w:numPr>
          <w:ilvl w:val="1"/>
          <w:numId w:val="20"/>
        </w:numPr>
        <w:rPr>
          <w:rFonts w:asciiTheme="minorHAnsi" w:hAnsiTheme="minorHAnsi"/>
          <w:color w:val="auto"/>
          <w:sz w:val="22"/>
          <w:szCs w:val="22"/>
        </w:rPr>
      </w:pPr>
      <w:r w:rsidRPr="00E24E29">
        <w:rPr>
          <w:rFonts w:asciiTheme="minorHAnsi" w:hAnsiTheme="minorHAnsi"/>
          <w:color w:val="auto"/>
          <w:sz w:val="22"/>
          <w:szCs w:val="22"/>
        </w:rPr>
        <w:t>Value of information analysis</w:t>
      </w:r>
    </w:p>
    <w:p w14:paraId="4BF8A4EC" w14:textId="0C863E3C" w:rsidR="008E4DE5" w:rsidRPr="00E24E29" w:rsidRDefault="00316B72" w:rsidP="00DF3645">
      <w:pPr>
        <w:pStyle w:val="Dbl"/>
        <w:rPr>
          <w:sz w:val="22"/>
        </w:rPr>
      </w:pPr>
      <w:r w:rsidRPr="00E24E29">
        <w:rPr>
          <w:sz w:val="22"/>
        </w:rPr>
        <w:t xml:space="preserve">Using the results of the </w:t>
      </w:r>
      <w:r w:rsidR="005F65E1" w:rsidRPr="00E24E29">
        <w:rPr>
          <w:sz w:val="22"/>
        </w:rPr>
        <w:t>probabilistic sensitivity analysis (</w:t>
      </w:r>
      <w:r w:rsidRPr="00E24E29">
        <w:rPr>
          <w:sz w:val="22"/>
        </w:rPr>
        <w:t>PSA</w:t>
      </w:r>
      <w:r w:rsidR="005F65E1" w:rsidRPr="00E24E29">
        <w:rPr>
          <w:sz w:val="22"/>
        </w:rPr>
        <w:t>)</w:t>
      </w:r>
      <w:r w:rsidR="008E4DE5" w:rsidRPr="00E24E29">
        <w:rPr>
          <w:sz w:val="22"/>
        </w:rPr>
        <w:t>, the expected value of perfect information (EVPI)</w:t>
      </w:r>
      <w:r w:rsidR="000553A7" w:rsidRPr="00E24E29">
        <w:rPr>
          <w:sz w:val="22"/>
        </w:rPr>
        <w:t xml:space="preserve"> in the base </w:t>
      </w:r>
      <w:r w:rsidR="005F65E1" w:rsidRPr="00E24E29">
        <w:rPr>
          <w:sz w:val="22"/>
        </w:rPr>
        <w:t xml:space="preserve">case analysis </w:t>
      </w:r>
      <w:r w:rsidR="008E4DE5" w:rsidRPr="00E24E29">
        <w:rPr>
          <w:sz w:val="22"/>
        </w:rPr>
        <w:t>is £</w:t>
      </w:r>
      <w:r w:rsidR="007B5EEE" w:rsidRPr="00E24E29">
        <w:rPr>
          <w:sz w:val="22"/>
        </w:rPr>
        <w:t>7.56</w:t>
      </w:r>
      <w:r w:rsidR="008E4DE5" w:rsidRPr="00E24E29">
        <w:rPr>
          <w:sz w:val="22"/>
        </w:rPr>
        <w:t xml:space="preserve"> per patient.  </w:t>
      </w:r>
      <w:r w:rsidR="00EE4BA5" w:rsidRPr="00E24E29">
        <w:rPr>
          <w:sz w:val="22"/>
        </w:rPr>
        <w:t>Based on the number of patients expected to be eligible for Inflectra in England (</w:t>
      </w:r>
      <w:r w:rsidR="0097122E" w:rsidRPr="00E24E29">
        <w:rPr>
          <w:sz w:val="22"/>
        </w:rPr>
        <w:t>7,912</w:t>
      </w:r>
      <w:r w:rsidR="00EE4BA5" w:rsidRPr="00E24E29">
        <w:rPr>
          <w:sz w:val="22"/>
        </w:rPr>
        <w:t>)</w:t>
      </w:r>
      <w:r w:rsidR="00BB0BF5" w:rsidRPr="00E24E29">
        <w:rPr>
          <w:sz w:val="22"/>
        </w:rPr>
        <w:t xml:space="preserve"> [</w:t>
      </w:r>
      <w:r w:rsidR="002E218E" w:rsidRPr="00E24E29">
        <w:rPr>
          <w:noProof/>
          <w:sz w:val="22"/>
        </w:rPr>
        <w:t>5</w:t>
      </w:r>
      <w:r w:rsidR="002E218E">
        <w:rPr>
          <w:noProof/>
          <w:sz w:val="22"/>
        </w:rPr>
        <w:t>2</w:t>
      </w:r>
      <w:r w:rsidR="00BB0BF5" w:rsidRPr="00E24E29">
        <w:rPr>
          <w:sz w:val="22"/>
        </w:rPr>
        <w:t>]</w:t>
      </w:r>
      <w:r w:rsidR="00EE4BA5" w:rsidRPr="00E24E29">
        <w:rPr>
          <w:sz w:val="22"/>
        </w:rPr>
        <w:t xml:space="preserve">, the value of removing the decision uncertainty is </w:t>
      </w:r>
      <w:r w:rsidR="008E4DE5" w:rsidRPr="00E24E29">
        <w:rPr>
          <w:sz w:val="22"/>
        </w:rPr>
        <w:t>£</w:t>
      </w:r>
      <w:r w:rsidR="007B5EEE" w:rsidRPr="00E24E29">
        <w:rPr>
          <w:sz w:val="22"/>
        </w:rPr>
        <w:t>59,775</w:t>
      </w:r>
      <w:r w:rsidR="008E4DE5" w:rsidRPr="00E24E29">
        <w:rPr>
          <w:sz w:val="22"/>
        </w:rPr>
        <w:t xml:space="preserve"> for one year and £</w:t>
      </w:r>
      <w:r w:rsidR="00682094" w:rsidRPr="00E24E29">
        <w:rPr>
          <w:sz w:val="22"/>
        </w:rPr>
        <w:t>807,332</w:t>
      </w:r>
      <w:r w:rsidR="008E4DE5" w:rsidRPr="00E24E29">
        <w:rPr>
          <w:sz w:val="22"/>
        </w:rPr>
        <w:t xml:space="preserve"> for the </w:t>
      </w:r>
      <w:r w:rsidR="005F65E1" w:rsidRPr="00E24E29">
        <w:rPr>
          <w:sz w:val="22"/>
        </w:rPr>
        <w:t>assumed 20</w:t>
      </w:r>
      <w:r w:rsidR="00EE4BA5" w:rsidRPr="00E24E29">
        <w:rPr>
          <w:sz w:val="22"/>
        </w:rPr>
        <w:t>-</w:t>
      </w:r>
      <w:r w:rsidR="008E4DE5" w:rsidRPr="00E24E29">
        <w:rPr>
          <w:sz w:val="22"/>
        </w:rPr>
        <w:t xml:space="preserve">year </w:t>
      </w:r>
      <w:r w:rsidR="005F65E1" w:rsidRPr="00E24E29">
        <w:rPr>
          <w:sz w:val="22"/>
        </w:rPr>
        <w:t xml:space="preserve">therapeutic </w:t>
      </w:r>
      <w:r w:rsidR="008E4DE5" w:rsidRPr="00E24E29">
        <w:rPr>
          <w:sz w:val="22"/>
        </w:rPr>
        <w:t xml:space="preserve">lifetime of the </w:t>
      </w:r>
      <w:r w:rsidR="00EE4BA5" w:rsidRPr="00E24E29">
        <w:rPr>
          <w:sz w:val="22"/>
        </w:rPr>
        <w:t xml:space="preserve">drug.  </w:t>
      </w:r>
      <w:r w:rsidR="005F65E1" w:rsidRPr="00E24E29">
        <w:rPr>
          <w:sz w:val="22"/>
        </w:rPr>
        <w:t xml:space="preserve">This represents the upper limit on the investment of conducting further </w:t>
      </w:r>
      <w:r w:rsidR="00EE4BA5" w:rsidRPr="00E24E29">
        <w:rPr>
          <w:sz w:val="22"/>
        </w:rPr>
        <w:t xml:space="preserve">research to </w:t>
      </w:r>
      <w:r w:rsidR="005F65E1" w:rsidRPr="00E24E29">
        <w:rPr>
          <w:sz w:val="22"/>
        </w:rPr>
        <w:t xml:space="preserve">eliminate </w:t>
      </w:r>
      <w:r w:rsidR="00EE4BA5" w:rsidRPr="00E24E29">
        <w:rPr>
          <w:sz w:val="22"/>
        </w:rPr>
        <w:t>uncertainty in model parameters.</w:t>
      </w:r>
      <w:r w:rsidR="002248D8" w:rsidRPr="00E24E29">
        <w:rPr>
          <w:sz w:val="22"/>
        </w:rPr>
        <w:t xml:space="preserve"> A </w:t>
      </w:r>
      <w:r w:rsidR="005F65E1" w:rsidRPr="00E24E29">
        <w:rPr>
          <w:sz w:val="22"/>
        </w:rPr>
        <w:t>more informative expected value of partial perfect information (</w:t>
      </w:r>
      <w:r w:rsidR="002248D8" w:rsidRPr="00E24E29">
        <w:rPr>
          <w:sz w:val="22"/>
        </w:rPr>
        <w:t>EVP</w:t>
      </w:r>
      <w:r w:rsidR="005F65E1" w:rsidRPr="00E24E29">
        <w:rPr>
          <w:sz w:val="22"/>
        </w:rPr>
        <w:t>P</w:t>
      </w:r>
      <w:r w:rsidR="002248D8" w:rsidRPr="00E24E29">
        <w:rPr>
          <w:sz w:val="22"/>
        </w:rPr>
        <w:t>I</w:t>
      </w:r>
      <w:r w:rsidR="005F65E1" w:rsidRPr="00E24E29">
        <w:rPr>
          <w:sz w:val="22"/>
        </w:rPr>
        <w:t>)</w:t>
      </w:r>
      <w:r w:rsidR="002839CE" w:rsidRPr="00E24E29">
        <w:rPr>
          <w:sz w:val="22"/>
        </w:rPr>
        <w:t xml:space="preserve"> </w:t>
      </w:r>
      <w:r w:rsidR="005F65E1" w:rsidRPr="00E24E29">
        <w:rPr>
          <w:sz w:val="22"/>
        </w:rPr>
        <w:t xml:space="preserve">indicates </w:t>
      </w:r>
      <w:r w:rsidR="002839CE" w:rsidRPr="00E24E29">
        <w:rPr>
          <w:sz w:val="22"/>
        </w:rPr>
        <w:t xml:space="preserve">that </w:t>
      </w:r>
      <w:r w:rsidR="00191F41" w:rsidRPr="00E24E29">
        <w:rPr>
          <w:sz w:val="22"/>
        </w:rPr>
        <w:t>there would be no gain from any research to reduce uncertainty in any individual parameters, including</w:t>
      </w:r>
      <w:r w:rsidR="002248D8" w:rsidRPr="00E24E29">
        <w:rPr>
          <w:sz w:val="22"/>
        </w:rPr>
        <w:t xml:space="preserve"> the ATI rate of Inflectra.</w:t>
      </w:r>
    </w:p>
    <w:p w14:paraId="60131F1E" w14:textId="69DCFFCF" w:rsidR="000553A7" w:rsidRDefault="000553A7" w:rsidP="00DF3645">
      <w:pPr>
        <w:pStyle w:val="Dbl"/>
        <w:rPr>
          <w:sz w:val="22"/>
        </w:rPr>
      </w:pPr>
      <w:r w:rsidRPr="00E24E29">
        <w:rPr>
          <w:sz w:val="22"/>
        </w:rPr>
        <w:t xml:space="preserve">The result of the second VOI analysis, where the price of Remicade is reduced to match that of Inflectra, provides a different result.  In this case, the EVPI </w:t>
      </w:r>
      <w:r w:rsidR="005F65E1" w:rsidRPr="00E24E29">
        <w:rPr>
          <w:sz w:val="22"/>
        </w:rPr>
        <w:t>increases to</w:t>
      </w:r>
      <w:r w:rsidRPr="00E24E29">
        <w:rPr>
          <w:sz w:val="22"/>
        </w:rPr>
        <w:t xml:space="preserve"> </w:t>
      </w:r>
      <w:r w:rsidR="009F14EC" w:rsidRPr="00E24E29">
        <w:rPr>
          <w:sz w:val="22"/>
        </w:rPr>
        <w:t>£220.51 per person</w:t>
      </w:r>
      <w:r w:rsidR="00ED674A" w:rsidRPr="00E24E29">
        <w:rPr>
          <w:sz w:val="22"/>
        </w:rPr>
        <w:t xml:space="preserve">, </w:t>
      </w:r>
      <w:r w:rsidR="005F65E1" w:rsidRPr="00E24E29">
        <w:rPr>
          <w:sz w:val="22"/>
        </w:rPr>
        <w:t>equivalent</w:t>
      </w:r>
      <w:r w:rsidR="00ED674A" w:rsidRPr="00E24E29">
        <w:rPr>
          <w:sz w:val="22"/>
        </w:rPr>
        <w:t xml:space="preserve"> to</w:t>
      </w:r>
      <w:r w:rsidR="005F65E1" w:rsidRPr="00E24E29">
        <w:rPr>
          <w:sz w:val="22"/>
        </w:rPr>
        <w:t xml:space="preserve"> </w:t>
      </w:r>
      <w:r w:rsidR="009F14EC" w:rsidRPr="00E24E29">
        <w:rPr>
          <w:sz w:val="22"/>
        </w:rPr>
        <w:t>£</w:t>
      </w:r>
      <w:r w:rsidR="00682094" w:rsidRPr="00E24E29">
        <w:rPr>
          <w:sz w:val="22"/>
        </w:rPr>
        <w:t>25.4</w:t>
      </w:r>
      <w:r w:rsidR="009F14EC" w:rsidRPr="00E24E29">
        <w:rPr>
          <w:sz w:val="22"/>
        </w:rPr>
        <w:t xml:space="preserve"> million (discounted) for the 20-year</w:t>
      </w:r>
      <w:r w:rsidR="005F65E1" w:rsidRPr="00E24E29">
        <w:rPr>
          <w:sz w:val="22"/>
        </w:rPr>
        <w:t xml:space="preserve"> assumed therapeutic lifespan</w:t>
      </w:r>
      <w:r w:rsidR="009F14EC" w:rsidRPr="00E24E29">
        <w:rPr>
          <w:sz w:val="22"/>
        </w:rPr>
        <w:t>.  The EVPPI is now relevant and the highest value is for the initial response rate of Inflectra, where the expected value of reducing uncertainty is £196.42 per patient, which is £1.6 million per year, or £</w:t>
      </w:r>
      <w:r w:rsidR="00682094" w:rsidRPr="00E24E29">
        <w:rPr>
          <w:sz w:val="22"/>
        </w:rPr>
        <w:t>22.6</w:t>
      </w:r>
      <w:r w:rsidR="009F14EC" w:rsidRPr="00E24E29">
        <w:rPr>
          <w:sz w:val="22"/>
        </w:rPr>
        <w:t xml:space="preserve"> million over 20 years.</w:t>
      </w:r>
      <w:r w:rsidR="00682094" w:rsidRPr="00E24E29">
        <w:rPr>
          <w:sz w:val="22"/>
        </w:rPr>
        <w:t xml:space="preserve">  There is greater value in reducing uncertainty from a range of parameters</w:t>
      </w:r>
      <w:r w:rsidR="005F65E1" w:rsidRPr="00E24E29">
        <w:rPr>
          <w:sz w:val="22"/>
        </w:rPr>
        <w:t>,</w:t>
      </w:r>
      <w:r w:rsidR="00682094" w:rsidRPr="00E24E29">
        <w:rPr>
          <w:sz w:val="22"/>
        </w:rPr>
        <w:t xml:space="preserve"> including the initial response rate of Remicade, and the rates of sustained remission, sustained </w:t>
      </w:r>
      <w:r w:rsidR="00F819A8" w:rsidRPr="00E24E29">
        <w:rPr>
          <w:sz w:val="22"/>
        </w:rPr>
        <w:t>response</w:t>
      </w:r>
      <w:r w:rsidR="00682094" w:rsidRPr="00E24E29">
        <w:rPr>
          <w:sz w:val="22"/>
        </w:rPr>
        <w:t xml:space="preserve"> and loss of response in </w:t>
      </w:r>
      <w:r w:rsidR="00F819A8" w:rsidRPr="00E24E29">
        <w:rPr>
          <w:sz w:val="22"/>
        </w:rPr>
        <w:t>patients</w:t>
      </w:r>
      <w:r w:rsidR="00682094" w:rsidRPr="00E24E29">
        <w:rPr>
          <w:sz w:val="22"/>
        </w:rPr>
        <w:t xml:space="preserve"> who do not develop ATI</w:t>
      </w:r>
      <w:r w:rsidR="005F65E1" w:rsidRPr="00E24E29">
        <w:rPr>
          <w:sz w:val="22"/>
        </w:rPr>
        <w:t>, than in reducing uncertainty in ATI_I, which has an EVPPI of £7.00 per patient.</w:t>
      </w:r>
    </w:p>
    <w:p w14:paraId="43238A43" w14:textId="77777777" w:rsidR="00260495" w:rsidRPr="00260495" w:rsidRDefault="00260495" w:rsidP="00830A88">
      <w:pPr>
        <w:pStyle w:val="ListParagraph"/>
        <w:keepNext/>
        <w:keepLines/>
        <w:numPr>
          <w:ilvl w:val="0"/>
          <w:numId w:val="15"/>
        </w:numPr>
        <w:spacing w:before="40" w:after="240" w:line="259" w:lineRule="auto"/>
        <w:contextualSpacing w:val="0"/>
        <w:outlineLvl w:val="2"/>
        <w:rPr>
          <w:rFonts w:eastAsiaTheme="majorEastAsia" w:cstheme="majorBidi"/>
          <w:vanish/>
          <w:sz w:val="22"/>
        </w:rPr>
      </w:pPr>
    </w:p>
    <w:p w14:paraId="3F1A8602" w14:textId="77777777" w:rsidR="00260495" w:rsidRPr="00260495" w:rsidRDefault="00260495" w:rsidP="00830A88">
      <w:pPr>
        <w:pStyle w:val="ListParagraph"/>
        <w:keepNext/>
        <w:keepLines/>
        <w:numPr>
          <w:ilvl w:val="1"/>
          <w:numId w:val="15"/>
        </w:numPr>
        <w:spacing w:before="40" w:after="240" w:line="259" w:lineRule="auto"/>
        <w:contextualSpacing w:val="0"/>
        <w:outlineLvl w:val="2"/>
        <w:rPr>
          <w:rFonts w:eastAsiaTheme="majorEastAsia" w:cstheme="majorBidi"/>
          <w:vanish/>
          <w:sz w:val="22"/>
        </w:rPr>
      </w:pPr>
    </w:p>
    <w:p w14:paraId="7CD5D5C7" w14:textId="77777777" w:rsidR="00260495" w:rsidRPr="00260495" w:rsidRDefault="00260495" w:rsidP="00830A88">
      <w:pPr>
        <w:pStyle w:val="ListParagraph"/>
        <w:keepNext/>
        <w:keepLines/>
        <w:numPr>
          <w:ilvl w:val="1"/>
          <w:numId w:val="15"/>
        </w:numPr>
        <w:spacing w:before="40" w:after="240" w:line="259" w:lineRule="auto"/>
        <w:contextualSpacing w:val="0"/>
        <w:outlineLvl w:val="2"/>
        <w:rPr>
          <w:rFonts w:eastAsiaTheme="majorEastAsia" w:cstheme="majorBidi"/>
          <w:vanish/>
          <w:sz w:val="22"/>
        </w:rPr>
      </w:pPr>
    </w:p>
    <w:p w14:paraId="1F1F81FE" w14:textId="77777777" w:rsidR="00260495" w:rsidRPr="00260495" w:rsidRDefault="00260495" w:rsidP="00830A88">
      <w:pPr>
        <w:pStyle w:val="ListParagraph"/>
        <w:keepNext/>
        <w:keepLines/>
        <w:numPr>
          <w:ilvl w:val="1"/>
          <w:numId w:val="15"/>
        </w:numPr>
        <w:spacing w:before="40" w:after="240" w:line="259" w:lineRule="auto"/>
        <w:contextualSpacing w:val="0"/>
        <w:outlineLvl w:val="2"/>
        <w:rPr>
          <w:rFonts w:eastAsiaTheme="majorEastAsia" w:cstheme="majorBidi"/>
          <w:vanish/>
          <w:sz w:val="22"/>
        </w:rPr>
      </w:pPr>
    </w:p>
    <w:p w14:paraId="7A5FAB0F" w14:textId="77777777" w:rsidR="00260495" w:rsidRPr="00260495" w:rsidRDefault="00260495" w:rsidP="00830A88">
      <w:pPr>
        <w:pStyle w:val="ListParagraph"/>
        <w:keepNext/>
        <w:keepLines/>
        <w:numPr>
          <w:ilvl w:val="1"/>
          <w:numId w:val="15"/>
        </w:numPr>
        <w:spacing w:before="40" w:after="240" w:line="259" w:lineRule="auto"/>
        <w:contextualSpacing w:val="0"/>
        <w:outlineLvl w:val="2"/>
        <w:rPr>
          <w:rFonts w:eastAsiaTheme="majorEastAsia" w:cstheme="majorBidi"/>
          <w:vanish/>
          <w:sz w:val="22"/>
        </w:rPr>
      </w:pPr>
    </w:p>
    <w:p w14:paraId="140B51F9" w14:textId="16CABA74" w:rsidR="00260495" w:rsidRPr="00E24E29" w:rsidRDefault="00260495" w:rsidP="00260495">
      <w:pPr>
        <w:pStyle w:val="Heading3"/>
        <w:numPr>
          <w:ilvl w:val="1"/>
          <w:numId w:val="15"/>
        </w:numPr>
        <w:rPr>
          <w:rFonts w:asciiTheme="minorHAnsi" w:hAnsiTheme="minorHAnsi"/>
          <w:color w:val="auto"/>
          <w:sz w:val="22"/>
          <w:szCs w:val="22"/>
        </w:rPr>
      </w:pPr>
      <w:r>
        <w:rPr>
          <w:rFonts w:asciiTheme="minorHAnsi" w:hAnsiTheme="minorHAnsi"/>
          <w:color w:val="auto"/>
          <w:sz w:val="22"/>
          <w:szCs w:val="22"/>
        </w:rPr>
        <w:t>Model validation</w:t>
      </w:r>
    </w:p>
    <w:p w14:paraId="29DC3ACA" w14:textId="2010AB96" w:rsidR="00260495" w:rsidRDefault="00260495" w:rsidP="00260495">
      <w:pPr>
        <w:pStyle w:val="Dbl"/>
        <w:rPr>
          <w:sz w:val="22"/>
        </w:rPr>
      </w:pPr>
      <w:r>
        <w:rPr>
          <w:sz w:val="22"/>
        </w:rPr>
        <w:t xml:space="preserve">Systematic checks </w:t>
      </w:r>
      <w:r w:rsidR="00F72182">
        <w:rPr>
          <w:sz w:val="22"/>
        </w:rPr>
        <w:t>did not reveal any</w:t>
      </w:r>
      <w:r>
        <w:rPr>
          <w:sz w:val="22"/>
        </w:rPr>
        <w:t xml:space="preserve"> errors in formulae and inputs.  The sensitivity analyses demonstrated the model behaved as expected.    The clinical endpoints from the model aligned with source data.</w:t>
      </w:r>
    </w:p>
    <w:p w14:paraId="654F8B0E" w14:textId="062EBB1F" w:rsidR="00A92FA5" w:rsidRPr="00E24E29" w:rsidRDefault="00547DA6" w:rsidP="00813527">
      <w:pPr>
        <w:pStyle w:val="Heading2"/>
        <w:numPr>
          <w:ilvl w:val="0"/>
          <w:numId w:val="20"/>
        </w:numPr>
        <w:rPr>
          <w:rFonts w:asciiTheme="minorHAnsi" w:hAnsiTheme="minorHAnsi"/>
          <w:b/>
          <w:color w:val="auto"/>
          <w:sz w:val="22"/>
          <w:szCs w:val="22"/>
        </w:rPr>
      </w:pPr>
      <w:r w:rsidRPr="00E24E29">
        <w:rPr>
          <w:rFonts w:asciiTheme="minorHAnsi" w:hAnsiTheme="minorHAnsi"/>
          <w:b/>
          <w:color w:val="auto"/>
          <w:sz w:val="22"/>
          <w:szCs w:val="22"/>
        </w:rPr>
        <w:t>Discussion</w:t>
      </w:r>
    </w:p>
    <w:p w14:paraId="401C181C" w14:textId="6175C1F8" w:rsidR="003C46D3" w:rsidRPr="00E24E29" w:rsidRDefault="006833D0" w:rsidP="00813527">
      <w:pPr>
        <w:pStyle w:val="Dbl"/>
        <w:rPr>
          <w:sz w:val="22"/>
        </w:rPr>
      </w:pPr>
      <w:r w:rsidRPr="00E24E29">
        <w:rPr>
          <w:sz w:val="22"/>
        </w:rPr>
        <w:t xml:space="preserve">This is the first study to </w:t>
      </w:r>
      <w:r w:rsidR="00C46E3D" w:rsidRPr="00E24E29">
        <w:rPr>
          <w:sz w:val="22"/>
        </w:rPr>
        <w:t xml:space="preserve">explicitly consider the trade-off between the risk of development of ATI </w:t>
      </w:r>
      <w:r w:rsidR="001D7AB1" w:rsidRPr="00E24E29">
        <w:rPr>
          <w:sz w:val="22"/>
        </w:rPr>
        <w:t xml:space="preserve">(which is largely unknown at the time of marketing authorisation) </w:t>
      </w:r>
      <w:r w:rsidR="00C46E3D" w:rsidRPr="00E24E29">
        <w:rPr>
          <w:sz w:val="22"/>
        </w:rPr>
        <w:t xml:space="preserve">and cost advantages </w:t>
      </w:r>
      <w:r w:rsidR="001D7AB1" w:rsidRPr="00E24E29">
        <w:rPr>
          <w:sz w:val="22"/>
        </w:rPr>
        <w:t xml:space="preserve">of biosimilars, </w:t>
      </w:r>
      <w:r w:rsidR="00C46E3D" w:rsidRPr="00E24E29">
        <w:rPr>
          <w:sz w:val="22"/>
        </w:rPr>
        <w:t>and the value of obtaining further evidence</w:t>
      </w:r>
      <w:r w:rsidR="001D7AB1" w:rsidRPr="00E24E29">
        <w:rPr>
          <w:sz w:val="22"/>
        </w:rPr>
        <w:t>.</w:t>
      </w:r>
      <w:r w:rsidR="00C46E3D" w:rsidRPr="00E24E29">
        <w:rPr>
          <w:sz w:val="22"/>
        </w:rPr>
        <w:t xml:space="preserve"> </w:t>
      </w:r>
      <w:r w:rsidR="001D7AB1" w:rsidRPr="00E24E29">
        <w:rPr>
          <w:sz w:val="22"/>
        </w:rPr>
        <w:t>It</w:t>
      </w:r>
      <w:r w:rsidR="00C46E3D" w:rsidRPr="00E24E29">
        <w:rPr>
          <w:sz w:val="22"/>
        </w:rPr>
        <w:t xml:space="preserve"> </w:t>
      </w:r>
      <w:r w:rsidR="00D60525" w:rsidRPr="00E24E29">
        <w:rPr>
          <w:sz w:val="22"/>
        </w:rPr>
        <w:t>position</w:t>
      </w:r>
      <w:r w:rsidR="001D7AB1" w:rsidRPr="00E24E29">
        <w:rPr>
          <w:sz w:val="22"/>
        </w:rPr>
        <w:t>s</w:t>
      </w:r>
      <w:r w:rsidR="00D60525" w:rsidRPr="00E24E29">
        <w:rPr>
          <w:sz w:val="22"/>
        </w:rPr>
        <w:t xml:space="preserve"> the problem of assessing the benefit-risk of biosimilars in the context of </w:t>
      </w:r>
      <w:r w:rsidRPr="00E24E29">
        <w:rPr>
          <w:sz w:val="22"/>
        </w:rPr>
        <w:t xml:space="preserve">an economic </w:t>
      </w:r>
      <w:r w:rsidR="00D60525" w:rsidRPr="00E24E29">
        <w:rPr>
          <w:sz w:val="22"/>
        </w:rPr>
        <w:t>evaluation framework.  For Inflectra, t</w:t>
      </w:r>
      <w:r w:rsidR="007B18BC" w:rsidRPr="00E24E29">
        <w:rPr>
          <w:sz w:val="22"/>
        </w:rPr>
        <w:t xml:space="preserve">he results </w:t>
      </w:r>
      <w:r w:rsidR="001D7AB1" w:rsidRPr="00E24E29">
        <w:rPr>
          <w:sz w:val="22"/>
        </w:rPr>
        <w:t>support</w:t>
      </w:r>
      <w:r w:rsidR="0097122E" w:rsidRPr="00E24E29">
        <w:rPr>
          <w:sz w:val="22"/>
        </w:rPr>
        <w:t xml:space="preserve"> the</w:t>
      </w:r>
      <w:r w:rsidR="007B18BC" w:rsidRPr="00E24E29">
        <w:rPr>
          <w:sz w:val="22"/>
        </w:rPr>
        <w:t xml:space="preserve"> extrapolation process </w:t>
      </w:r>
      <w:r w:rsidR="00E60764" w:rsidRPr="00E24E29">
        <w:rPr>
          <w:sz w:val="22"/>
        </w:rPr>
        <w:t>of regulators which deemed the new drug biosimilar to the originator</w:t>
      </w:r>
      <w:r w:rsidR="00BB0BF5" w:rsidRPr="00E24E29">
        <w:rPr>
          <w:sz w:val="22"/>
        </w:rPr>
        <w:t xml:space="preserve"> [</w:t>
      </w:r>
      <w:r w:rsidR="00FB22BD" w:rsidRPr="00E24E29">
        <w:rPr>
          <w:noProof/>
          <w:sz w:val="22"/>
        </w:rPr>
        <w:t>9,10</w:t>
      </w:r>
      <w:r w:rsidR="00BB0BF5" w:rsidRPr="00E24E29">
        <w:rPr>
          <w:sz w:val="22"/>
        </w:rPr>
        <w:t>].</w:t>
      </w:r>
      <w:r w:rsidR="00E60764" w:rsidRPr="00E24E29">
        <w:rPr>
          <w:sz w:val="22"/>
        </w:rPr>
        <w:t xml:space="preserve">  </w:t>
      </w:r>
      <w:r w:rsidR="00682176" w:rsidRPr="00E24E29">
        <w:rPr>
          <w:sz w:val="22"/>
        </w:rPr>
        <w:t>N</w:t>
      </w:r>
      <w:r w:rsidR="00682176" w:rsidRPr="00E24E29" w:rsidDel="00CC7CC8">
        <w:rPr>
          <w:sz w:val="22"/>
        </w:rPr>
        <w:t>on-inferiority of the biosimilar to the originator infliximab was demonstrated in a phase III trial for rheumatoid arthritis</w:t>
      </w:r>
      <w:r w:rsidR="00BB0BF5" w:rsidRPr="00E24E29">
        <w:rPr>
          <w:sz w:val="22"/>
        </w:rPr>
        <w:t xml:space="preserve"> [</w:t>
      </w:r>
      <w:r w:rsidR="00FB22BD" w:rsidRPr="00E24E29">
        <w:rPr>
          <w:noProof/>
          <w:sz w:val="22"/>
        </w:rPr>
        <w:t>8</w:t>
      </w:r>
      <w:r w:rsidR="00BB0BF5" w:rsidRPr="00E24E29">
        <w:rPr>
          <w:sz w:val="22"/>
        </w:rPr>
        <w:t>]</w:t>
      </w:r>
      <w:r w:rsidR="00682176" w:rsidRPr="00E24E29">
        <w:rPr>
          <w:sz w:val="22"/>
        </w:rPr>
        <w:t xml:space="preserve"> and</w:t>
      </w:r>
      <w:r w:rsidR="00682176" w:rsidRPr="00E24E29" w:rsidDel="00CC7CC8">
        <w:rPr>
          <w:sz w:val="22"/>
        </w:rPr>
        <w:t xml:space="preserve"> extrapolation assumes equivalence in efficacy for Crohn’s disease. </w:t>
      </w:r>
      <w:r w:rsidR="00813527">
        <w:rPr>
          <w:sz w:val="22"/>
        </w:rPr>
        <w:t>R</w:t>
      </w:r>
      <w:r w:rsidR="003C46D3" w:rsidRPr="00E24E29">
        <w:rPr>
          <w:sz w:val="22"/>
        </w:rPr>
        <w:t xml:space="preserve">esults from a post-marketing trial of Inflectra and Remicade </w:t>
      </w:r>
      <w:r w:rsidR="006D0209" w:rsidRPr="00E24E29">
        <w:rPr>
          <w:sz w:val="22"/>
        </w:rPr>
        <w:t>indicate</w:t>
      </w:r>
      <w:r w:rsidR="003C46D3" w:rsidRPr="00E24E29">
        <w:rPr>
          <w:sz w:val="22"/>
        </w:rPr>
        <w:t xml:space="preserve"> there is no significant difference between the efficacy and safety of the two drugs at 6 weeks</w:t>
      </w:r>
      <w:r w:rsidR="00BB0BF5" w:rsidRPr="00E24E29">
        <w:rPr>
          <w:sz w:val="22"/>
        </w:rPr>
        <w:t xml:space="preserve"> [</w:t>
      </w:r>
      <w:r w:rsidR="002E218E" w:rsidRPr="00E24E29">
        <w:rPr>
          <w:noProof/>
          <w:sz w:val="22"/>
        </w:rPr>
        <w:t>5</w:t>
      </w:r>
      <w:r w:rsidR="002E218E">
        <w:rPr>
          <w:noProof/>
          <w:sz w:val="22"/>
        </w:rPr>
        <w:t>6</w:t>
      </w:r>
      <w:r w:rsidR="00BB0BF5" w:rsidRPr="00E24E29">
        <w:rPr>
          <w:sz w:val="22"/>
        </w:rPr>
        <w:t>].</w:t>
      </w:r>
      <w:r w:rsidR="00404B48" w:rsidRPr="00E24E29">
        <w:rPr>
          <w:sz w:val="22"/>
        </w:rPr>
        <w:t xml:space="preserve">  </w:t>
      </w:r>
      <w:r w:rsidR="00320EA1" w:rsidRPr="00E24E29">
        <w:rPr>
          <w:sz w:val="22"/>
        </w:rPr>
        <w:t>O</w:t>
      </w:r>
      <w:r w:rsidR="00705408" w:rsidRPr="00E24E29">
        <w:rPr>
          <w:sz w:val="22"/>
        </w:rPr>
        <w:t>bservational studies and clinical case series have confirmed that Inflectra appears to be safe and efficacious, especially in infliximab-naïve patients</w:t>
      </w:r>
      <w:r w:rsidR="00BB0BF5" w:rsidRPr="00E24E29">
        <w:rPr>
          <w:sz w:val="22"/>
        </w:rPr>
        <w:t xml:space="preserve"> [</w:t>
      </w:r>
      <w:r w:rsidR="002E218E" w:rsidRPr="00E24E29">
        <w:rPr>
          <w:noProof/>
          <w:sz w:val="22"/>
        </w:rPr>
        <w:t>5</w:t>
      </w:r>
      <w:r w:rsidR="002E218E">
        <w:rPr>
          <w:noProof/>
          <w:sz w:val="22"/>
        </w:rPr>
        <w:t>7</w:t>
      </w:r>
      <w:r w:rsidR="00BB0BF5" w:rsidRPr="00E24E29">
        <w:rPr>
          <w:sz w:val="22"/>
        </w:rPr>
        <w:t>].</w:t>
      </w:r>
      <w:r w:rsidR="00705408" w:rsidRPr="00E24E29">
        <w:rPr>
          <w:sz w:val="22"/>
        </w:rPr>
        <w:t xml:space="preserve"> </w:t>
      </w:r>
      <w:r w:rsidR="00404B48" w:rsidRPr="00E24E29">
        <w:rPr>
          <w:sz w:val="22"/>
        </w:rPr>
        <w:t>A study of cross immunogenicity identified that ATI developed in patients treated with Remicade react to the biosimilar, further supporting the case that the two drugs are biosimilar</w:t>
      </w:r>
      <w:r w:rsidR="00BB0BF5" w:rsidRPr="00E24E29">
        <w:rPr>
          <w:sz w:val="22"/>
        </w:rPr>
        <w:t xml:space="preserve"> [</w:t>
      </w:r>
      <w:r w:rsidR="002E218E" w:rsidRPr="00E24E29">
        <w:rPr>
          <w:noProof/>
          <w:sz w:val="22"/>
        </w:rPr>
        <w:t>5</w:t>
      </w:r>
      <w:r w:rsidR="002E218E">
        <w:rPr>
          <w:noProof/>
          <w:sz w:val="22"/>
        </w:rPr>
        <w:t>8</w:t>
      </w:r>
      <w:r w:rsidR="00BB0BF5" w:rsidRPr="00E24E29">
        <w:rPr>
          <w:noProof/>
          <w:sz w:val="22"/>
        </w:rPr>
        <w:t>].</w:t>
      </w:r>
      <w:r w:rsidR="00813527">
        <w:rPr>
          <w:noProof/>
          <w:sz w:val="22"/>
        </w:rPr>
        <w:t xml:space="preserve"> More recently, a phase 3, non-inferiority randomised controlled trial </w:t>
      </w:r>
      <w:r w:rsidR="00813527" w:rsidRPr="00813527">
        <w:rPr>
          <w:noProof/>
          <w:sz w:val="22"/>
        </w:rPr>
        <w:t>demonstrated no notable differences in the</w:t>
      </w:r>
      <w:r w:rsidR="00813527">
        <w:rPr>
          <w:noProof/>
          <w:sz w:val="22"/>
        </w:rPr>
        <w:t xml:space="preserve"> </w:t>
      </w:r>
      <w:r w:rsidR="00813527" w:rsidRPr="00813527">
        <w:rPr>
          <w:noProof/>
          <w:sz w:val="22"/>
        </w:rPr>
        <w:t>efficacy, pharmacokinetics, pharmacodynamics, safety,</w:t>
      </w:r>
      <w:r w:rsidR="00813527">
        <w:rPr>
          <w:noProof/>
          <w:sz w:val="22"/>
        </w:rPr>
        <w:t xml:space="preserve"> </w:t>
      </w:r>
      <w:r w:rsidR="00813527" w:rsidRPr="00813527">
        <w:rPr>
          <w:noProof/>
          <w:sz w:val="22"/>
        </w:rPr>
        <w:t xml:space="preserve">or immunogenicity of </w:t>
      </w:r>
      <w:r w:rsidR="00813527">
        <w:rPr>
          <w:noProof/>
          <w:sz w:val="22"/>
        </w:rPr>
        <w:t>Inflectra</w:t>
      </w:r>
      <w:r w:rsidR="00813527" w:rsidRPr="00813527">
        <w:rPr>
          <w:noProof/>
          <w:sz w:val="22"/>
        </w:rPr>
        <w:t xml:space="preserve"> and </w:t>
      </w:r>
      <w:r w:rsidR="00813527">
        <w:rPr>
          <w:noProof/>
          <w:sz w:val="22"/>
        </w:rPr>
        <w:t>Remicade</w:t>
      </w:r>
      <w:r w:rsidR="00813527" w:rsidRPr="00813527">
        <w:rPr>
          <w:noProof/>
          <w:sz w:val="22"/>
        </w:rPr>
        <w:t xml:space="preserve"> in the recruited</w:t>
      </w:r>
      <w:r w:rsidR="00813527">
        <w:rPr>
          <w:noProof/>
          <w:sz w:val="22"/>
        </w:rPr>
        <w:t xml:space="preserve"> </w:t>
      </w:r>
      <w:r w:rsidR="00813527" w:rsidRPr="00813527">
        <w:rPr>
          <w:noProof/>
          <w:sz w:val="22"/>
        </w:rPr>
        <w:t>population</w:t>
      </w:r>
      <w:r w:rsidR="00966AD5">
        <w:rPr>
          <w:noProof/>
          <w:sz w:val="22"/>
        </w:rPr>
        <w:t xml:space="preserve"> [</w:t>
      </w:r>
      <w:r w:rsidR="002E218E">
        <w:rPr>
          <w:noProof/>
          <w:sz w:val="22"/>
        </w:rPr>
        <w:t>59</w:t>
      </w:r>
      <w:r w:rsidR="00966AD5">
        <w:rPr>
          <w:noProof/>
          <w:sz w:val="22"/>
        </w:rPr>
        <w:t>]</w:t>
      </w:r>
      <w:r w:rsidR="00813527" w:rsidRPr="00813527">
        <w:rPr>
          <w:noProof/>
          <w:sz w:val="22"/>
        </w:rPr>
        <w:t>.</w:t>
      </w:r>
    </w:p>
    <w:p w14:paraId="3769C8E2" w14:textId="76D0BFAF" w:rsidR="00573062" w:rsidRPr="00E24E29" w:rsidRDefault="00A25E90" w:rsidP="00DF3645">
      <w:pPr>
        <w:pStyle w:val="Dbl"/>
        <w:rPr>
          <w:sz w:val="22"/>
        </w:rPr>
      </w:pPr>
      <w:r w:rsidRPr="00E24E29">
        <w:rPr>
          <w:sz w:val="22"/>
        </w:rPr>
        <w:t xml:space="preserve">A </w:t>
      </w:r>
      <w:r w:rsidR="00203C0B" w:rsidRPr="00E24E29">
        <w:rPr>
          <w:sz w:val="22"/>
        </w:rPr>
        <w:t xml:space="preserve">major </w:t>
      </w:r>
      <w:r w:rsidRPr="00E24E29">
        <w:rPr>
          <w:sz w:val="22"/>
        </w:rPr>
        <w:t xml:space="preserve">strength of </w:t>
      </w:r>
      <w:r w:rsidR="00D544D4" w:rsidRPr="00E24E29">
        <w:rPr>
          <w:sz w:val="22"/>
        </w:rPr>
        <w:t xml:space="preserve">our </w:t>
      </w:r>
      <w:r w:rsidRPr="00E24E29">
        <w:rPr>
          <w:sz w:val="22"/>
        </w:rPr>
        <w:t xml:space="preserve">study is </w:t>
      </w:r>
      <w:r w:rsidR="00C46E3D" w:rsidRPr="00E24E29">
        <w:rPr>
          <w:sz w:val="22"/>
        </w:rPr>
        <w:t>the transparency the</w:t>
      </w:r>
      <w:r w:rsidR="002409CB" w:rsidRPr="00E24E29">
        <w:rPr>
          <w:sz w:val="22"/>
        </w:rPr>
        <w:t xml:space="preserve"> approach provides for assessing the value of biosimilars</w:t>
      </w:r>
      <w:r w:rsidR="00704259" w:rsidRPr="00E24E29">
        <w:rPr>
          <w:sz w:val="22"/>
        </w:rPr>
        <w:t xml:space="preserve">, taking into account both benefits </w:t>
      </w:r>
      <w:r w:rsidR="00C46E3D" w:rsidRPr="00E24E29">
        <w:rPr>
          <w:sz w:val="22"/>
        </w:rPr>
        <w:t xml:space="preserve">(in terms of cost savings) </w:t>
      </w:r>
      <w:r w:rsidR="00704259" w:rsidRPr="00E24E29">
        <w:rPr>
          <w:sz w:val="22"/>
        </w:rPr>
        <w:t xml:space="preserve">and </w:t>
      </w:r>
      <w:r w:rsidR="001D7AB1" w:rsidRPr="00E24E29">
        <w:rPr>
          <w:sz w:val="22"/>
        </w:rPr>
        <w:t xml:space="preserve">the uncertainty of potential </w:t>
      </w:r>
      <w:r w:rsidR="00704259" w:rsidRPr="00E24E29">
        <w:rPr>
          <w:sz w:val="22"/>
        </w:rPr>
        <w:t>harms</w:t>
      </w:r>
      <w:r w:rsidR="007A7926" w:rsidRPr="00E24E29">
        <w:rPr>
          <w:sz w:val="22"/>
        </w:rPr>
        <w:t xml:space="preserve">.  </w:t>
      </w:r>
      <w:r w:rsidR="00C46E3D" w:rsidRPr="00E24E29">
        <w:rPr>
          <w:sz w:val="22"/>
        </w:rPr>
        <w:t xml:space="preserve">Biosimilars are promoted as suitable alternatives to originator products </w:t>
      </w:r>
      <w:r w:rsidRPr="00E24E29">
        <w:rPr>
          <w:sz w:val="22"/>
        </w:rPr>
        <w:t>to restrain</w:t>
      </w:r>
      <w:r w:rsidR="00C46E3D" w:rsidRPr="00E24E29">
        <w:rPr>
          <w:sz w:val="22"/>
        </w:rPr>
        <w:t xml:space="preserve"> healthcare</w:t>
      </w:r>
      <w:r w:rsidRPr="00E24E29">
        <w:rPr>
          <w:sz w:val="22"/>
        </w:rPr>
        <w:t xml:space="preserve"> costs</w:t>
      </w:r>
      <w:r w:rsidR="00C46E3D" w:rsidRPr="00E24E29">
        <w:rPr>
          <w:sz w:val="22"/>
        </w:rPr>
        <w:t>;</w:t>
      </w:r>
      <w:r w:rsidRPr="00E24E29">
        <w:rPr>
          <w:sz w:val="22"/>
        </w:rPr>
        <w:t xml:space="preserve"> </w:t>
      </w:r>
      <w:r w:rsidR="00C46E3D" w:rsidRPr="00E24E29">
        <w:rPr>
          <w:sz w:val="22"/>
        </w:rPr>
        <w:t xml:space="preserve">however, the </w:t>
      </w:r>
      <w:r w:rsidR="00320DCB" w:rsidRPr="00E24E29">
        <w:rPr>
          <w:sz w:val="22"/>
        </w:rPr>
        <w:t>HTA of biosimilars presents significant challenge</w:t>
      </w:r>
      <w:r w:rsidR="00C46E3D" w:rsidRPr="00E24E29">
        <w:rPr>
          <w:sz w:val="22"/>
        </w:rPr>
        <w:t>s</w:t>
      </w:r>
      <w:r w:rsidR="00320DCB" w:rsidRPr="00E24E29">
        <w:rPr>
          <w:sz w:val="22"/>
        </w:rPr>
        <w:t xml:space="preserve"> due to the assumption of equivalence in outcomes </w:t>
      </w:r>
      <w:r w:rsidR="00C46E3D" w:rsidRPr="00E24E29">
        <w:rPr>
          <w:sz w:val="22"/>
        </w:rPr>
        <w:t>and</w:t>
      </w:r>
      <w:r w:rsidR="00320DCB" w:rsidRPr="00E24E29">
        <w:rPr>
          <w:sz w:val="22"/>
        </w:rPr>
        <w:t xml:space="preserve"> the </w:t>
      </w:r>
      <w:r w:rsidR="00C46E3D" w:rsidRPr="00E24E29">
        <w:rPr>
          <w:sz w:val="22"/>
        </w:rPr>
        <w:t xml:space="preserve">lack of </w:t>
      </w:r>
      <w:r w:rsidR="00320DCB" w:rsidRPr="00E24E29">
        <w:rPr>
          <w:sz w:val="22"/>
        </w:rPr>
        <w:t xml:space="preserve">availability of comprehensive data </w:t>
      </w:r>
      <w:r w:rsidR="00C46E3D" w:rsidRPr="00E24E29">
        <w:rPr>
          <w:sz w:val="22"/>
        </w:rPr>
        <w:t>at the time of marketing authorisation. Our approach overcomes some of these difficulties by making explicit reference to, and characterising the uncertainty of ATI development as the driver for differences in treatment outcomes. This addresses potential areas of concern relating to the extrapolation exercise while allowing for the uncertainty to be quantified – both in terms of identifying whether the cost savings are sufficient for a health-care payer to accept a potentially inferior product, and the value of conducting further research</w:t>
      </w:r>
      <w:r w:rsidR="00BB0BF5" w:rsidRPr="00E24E29">
        <w:rPr>
          <w:sz w:val="22"/>
        </w:rPr>
        <w:t xml:space="preserve"> [</w:t>
      </w:r>
      <w:r w:rsidR="002E218E">
        <w:rPr>
          <w:noProof/>
          <w:sz w:val="22"/>
        </w:rPr>
        <w:t>60</w:t>
      </w:r>
      <w:r w:rsidR="00BB0BF5" w:rsidRPr="00E24E29">
        <w:rPr>
          <w:sz w:val="22"/>
        </w:rPr>
        <w:t>].</w:t>
      </w:r>
      <w:r w:rsidR="00573062" w:rsidRPr="00E24E29">
        <w:rPr>
          <w:sz w:val="22"/>
        </w:rPr>
        <w:t xml:space="preserve">  This </w:t>
      </w:r>
      <w:r w:rsidR="00C46E3D" w:rsidRPr="00E24E29">
        <w:rPr>
          <w:sz w:val="22"/>
        </w:rPr>
        <w:t xml:space="preserve">is </w:t>
      </w:r>
      <w:r w:rsidR="00320DCB" w:rsidRPr="00E24E29">
        <w:rPr>
          <w:sz w:val="22"/>
        </w:rPr>
        <w:t>especially</w:t>
      </w:r>
      <w:r w:rsidR="00573062" w:rsidRPr="00E24E29">
        <w:rPr>
          <w:sz w:val="22"/>
        </w:rPr>
        <w:t xml:space="preserve"> relevant in the UK system where biosimilars </w:t>
      </w:r>
      <w:r w:rsidR="001D7AB1" w:rsidRPr="00E24E29">
        <w:rPr>
          <w:sz w:val="22"/>
        </w:rPr>
        <w:t>are not subjected to health technology appraisal</w:t>
      </w:r>
      <w:r w:rsidR="00573062" w:rsidRPr="00E24E29">
        <w:rPr>
          <w:sz w:val="22"/>
        </w:rPr>
        <w:t>, but instead existing guidance for originator drugs is applied to the biosimilar once they have gained marketing approval</w:t>
      </w:r>
      <w:r w:rsidR="00BB0BF5" w:rsidRPr="00E24E29">
        <w:rPr>
          <w:sz w:val="22"/>
        </w:rPr>
        <w:t xml:space="preserve"> [</w:t>
      </w:r>
      <w:r w:rsidR="002E218E">
        <w:rPr>
          <w:noProof/>
          <w:sz w:val="22"/>
        </w:rPr>
        <w:t>61</w:t>
      </w:r>
      <w:r w:rsidR="00BB0BF5" w:rsidRPr="00E24E29">
        <w:rPr>
          <w:noProof/>
          <w:sz w:val="22"/>
        </w:rPr>
        <w:t>].</w:t>
      </w:r>
    </w:p>
    <w:p w14:paraId="0500A2D8" w14:textId="04303E77" w:rsidR="00682176" w:rsidRDefault="00CC7CC8" w:rsidP="00DF3645">
      <w:pPr>
        <w:pStyle w:val="Dbl"/>
        <w:rPr>
          <w:sz w:val="22"/>
        </w:rPr>
      </w:pPr>
      <w:r w:rsidRPr="00E24E29">
        <w:rPr>
          <w:sz w:val="22"/>
        </w:rPr>
        <w:t xml:space="preserve">By their nature, models that draw from multiple sources of evidence require many assumptions.  </w:t>
      </w:r>
      <w:r w:rsidR="003860E5" w:rsidRPr="00E24E29">
        <w:rPr>
          <w:sz w:val="22"/>
        </w:rPr>
        <w:t xml:space="preserve">We </w:t>
      </w:r>
      <w:r w:rsidR="00E931A2" w:rsidRPr="00E24E29">
        <w:rPr>
          <w:sz w:val="22"/>
        </w:rPr>
        <w:t xml:space="preserve">were unable to locate </w:t>
      </w:r>
      <w:r w:rsidR="003860E5" w:rsidRPr="00E24E29">
        <w:rPr>
          <w:sz w:val="22"/>
        </w:rPr>
        <w:t xml:space="preserve">evidence </w:t>
      </w:r>
      <w:r w:rsidR="004A76C0" w:rsidRPr="00E24E29">
        <w:rPr>
          <w:sz w:val="22"/>
        </w:rPr>
        <w:t>linking the</w:t>
      </w:r>
      <w:r w:rsidR="003860E5" w:rsidRPr="00E24E29">
        <w:rPr>
          <w:sz w:val="22"/>
        </w:rPr>
        <w:t xml:space="preserve"> risk </w:t>
      </w:r>
      <w:r w:rsidR="00E931A2" w:rsidRPr="00E24E29">
        <w:rPr>
          <w:sz w:val="22"/>
        </w:rPr>
        <w:t xml:space="preserve">of cancer or serious infection </w:t>
      </w:r>
      <w:r w:rsidR="004A76C0" w:rsidRPr="00E24E29">
        <w:rPr>
          <w:sz w:val="22"/>
        </w:rPr>
        <w:t xml:space="preserve">to </w:t>
      </w:r>
      <w:r w:rsidR="003860E5" w:rsidRPr="00E24E29">
        <w:rPr>
          <w:sz w:val="22"/>
        </w:rPr>
        <w:t xml:space="preserve">ATI development so they were </w:t>
      </w:r>
      <w:r w:rsidR="004A76C0" w:rsidRPr="00E24E29">
        <w:rPr>
          <w:sz w:val="22"/>
        </w:rPr>
        <w:t>not considered</w:t>
      </w:r>
      <w:r w:rsidR="00E931A2" w:rsidRPr="00E24E29">
        <w:rPr>
          <w:sz w:val="22"/>
        </w:rPr>
        <w:t>, despite the</w:t>
      </w:r>
      <w:r w:rsidR="00320DCB" w:rsidRPr="00E24E29">
        <w:rPr>
          <w:sz w:val="22"/>
        </w:rPr>
        <w:t>ir importance in infliximab use and the</w:t>
      </w:r>
      <w:r w:rsidR="00E931A2" w:rsidRPr="00E24E29">
        <w:rPr>
          <w:sz w:val="22"/>
        </w:rPr>
        <w:t xml:space="preserve"> likelihood of large cost and utility impacts</w:t>
      </w:r>
      <w:r w:rsidR="003860E5" w:rsidRPr="00E24E29">
        <w:rPr>
          <w:sz w:val="22"/>
        </w:rPr>
        <w:t>.</w:t>
      </w:r>
      <w:r w:rsidR="005259A8" w:rsidRPr="00E24E29">
        <w:rPr>
          <w:sz w:val="22"/>
        </w:rPr>
        <w:t xml:space="preserve"> </w:t>
      </w:r>
      <w:r w:rsidR="00682176" w:rsidRPr="00E24E29">
        <w:rPr>
          <w:sz w:val="22"/>
        </w:rPr>
        <w:t>Estimates for ATIs were based on the episodic use of infliximab or were complicated by the absence of a standard definition of ATI, the many factors that can affect ATI test result</w:t>
      </w:r>
      <w:r w:rsidR="00BB0BF5" w:rsidRPr="00E24E29">
        <w:rPr>
          <w:sz w:val="22"/>
        </w:rPr>
        <w:t xml:space="preserve"> [</w:t>
      </w:r>
      <w:r w:rsidR="00FB22BD" w:rsidRPr="00E24E29">
        <w:rPr>
          <w:noProof/>
          <w:sz w:val="22"/>
        </w:rPr>
        <w:t>12</w:t>
      </w:r>
      <w:r w:rsidR="00BB0BF5" w:rsidRPr="00E24E29">
        <w:rPr>
          <w:sz w:val="22"/>
        </w:rPr>
        <w:t>]</w:t>
      </w:r>
      <w:r w:rsidR="00682176" w:rsidRPr="00E24E29">
        <w:rPr>
          <w:sz w:val="22"/>
        </w:rPr>
        <w:t xml:space="preserve"> and the increasing recognition of transient ATI, which are idiosyncratic and have little impact on outcomes</w:t>
      </w:r>
      <w:r w:rsidR="00BB0BF5" w:rsidRPr="00E24E29">
        <w:rPr>
          <w:sz w:val="22"/>
        </w:rPr>
        <w:t xml:space="preserve"> [</w:t>
      </w:r>
      <w:r w:rsidR="002E218E" w:rsidRPr="00E24E29">
        <w:rPr>
          <w:noProof/>
          <w:sz w:val="22"/>
        </w:rPr>
        <w:t>6</w:t>
      </w:r>
      <w:r w:rsidR="002E218E">
        <w:rPr>
          <w:noProof/>
          <w:sz w:val="22"/>
        </w:rPr>
        <w:t>2</w:t>
      </w:r>
      <w:r w:rsidR="00BB0BF5" w:rsidRPr="00E24E29">
        <w:rPr>
          <w:sz w:val="22"/>
        </w:rPr>
        <w:t>].</w:t>
      </w:r>
      <w:r w:rsidR="00682176" w:rsidRPr="00E24E29">
        <w:rPr>
          <w:sz w:val="22"/>
        </w:rPr>
        <w:t xml:space="preserve">  </w:t>
      </w:r>
      <w:r w:rsidR="004E59B8">
        <w:rPr>
          <w:sz w:val="22"/>
        </w:rPr>
        <w:t>No recognition of the relation between ATI concentration and response was made</w:t>
      </w:r>
      <w:r w:rsidR="009156FF">
        <w:rPr>
          <w:sz w:val="22"/>
        </w:rPr>
        <w:t>;</w:t>
      </w:r>
      <w:r w:rsidR="004E59B8">
        <w:rPr>
          <w:sz w:val="22"/>
        </w:rPr>
        <w:t xml:space="preserve"> and</w:t>
      </w:r>
      <w:r w:rsidR="00A74369">
        <w:rPr>
          <w:sz w:val="22"/>
        </w:rPr>
        <w:t xml:space="preserve"> factors other than ATI</w:t>
      </w:r>
      <w:r w:rsidR="004E59B8">
        <w:rPr>
          <w:sz w:val="22"/>
        </w:rPr>
        <w:t>, which</w:t>
      </w:r>
      <w:r w:rsidR="00A74369">
        <w:rPr>
          <w:sz w:val="22"/>
        </w:rPr>
        <w:t xml:space="preserve"> are recognised as predictors of response to infliximab in Crohn’s disease</w:t>
      </w:r>
      <w:r w:rsidR="00966AD5">
        <w:rPr>
          <w:sz w:val="22"/>
        </w:rPr>
        <w:t xml:space="preserve"> [</w:t>
      </w:r>
      <w:r w:rsidR="002E218E">
        <w:rPr>
          <w:sz w:val="22"/>
        </w:rPr>
        <w:t>63</w:t>
      </w:r>
      <w:r w:rsidR="00966AD5">
        <w:rPr>
          <w:sz w:val="22"/>
        </w:rPr>
        <w:t>]</w:t>
      </w:r>
      <w:r w:rsidR="00A74369">
        <w:rPr>
          <w:sz w:val="22"/>
        </w:rPr>
        <w:t xml:space="preserve">, </w:t>
      </w:r>
      <w:r w:rsidR="009156FF">
        <w:rPr>
          <w:sz w:val="22"/>
        </w:rPr>
        <w:t xml:space="preserve">including drug clearance, were not considered.  However, </w:t>
      </w:r>
      <w:r w:rsidR="009156FF" w:rsidRPr="00A74369">
        <w:rPr>
          <w:sz w:val="22"/>
        </w:rPr>
        <w:t xml:space="preserve">immunogenicity </w:t>
      </w:r>
      <w:r w:rsidR="009156FF">
        <w:rPr>
          <w:sz w:val="22"/>
        </w:rPr>
        <w:t>appears to be</w:t>
      </w:r>
      <w:r w:rsidR="009156FF" w:rsidRPr="00A74369">
        <w:rPr>
          <w:sz w:val="22"/>
        </w:rPr>
        <w:t xml:space="preserve"> the main factor associated with low drug</w:t>
      </w:r>
      <w:r w:rsidR="009156FF">
        <w:rPr>
          <w:sz w:val="22"/>
        </w:rPr>
        <w:t xml:space="preserve"> </w:t>
      </w:r>
      <w:r w:rsidR="009156FF" w:rsidRPr="00A74369">
        <w:rPr>
          <w:sz w:val="22"/>
        </w:rPr>
        <w:t>concentrations</w:t>
      </w:r>
      <w:r w:rsidR="009156FF">
        <w:rPr>
          <w:sz w:val="22"/>
        </w:rPr>
        <w:t xml:space="preserve"> long term, and may therefore be captured sufficiently in our sensitivity analyses</w:t>
      </w:r>
      <w:r w:rsidR="004E59B8">
        <w:rPr>
          <w:sz w:val="22"/>
        </w:rPr>
        <w:t xml:space="preserve">.  </w:t>
      </w:r>
      <w:r w:rsidR="00682176" w:rsidRPr="00E24E29">
        <w:rPr>
          <w:sz w:val="22"/>
        </w:rPr>
        <w:t>Further limitations stemmed from the data available on “standard care” for Crohn’s disease, which do not accurately reflect cur</w:t>
      </w:r>
      <w:r w:rsidR="005259A8" w:rsidRPr="00E24E29">
        <w:rPr>
          <w:sz w:val="22"/>
        </w:rPr>
        <w:t>rent clinical management of CD</w:t>
      </w:r>
      <w:r w:rsidR="002F1AAE" w:rsidRPr="00E24E29">
        <w:rPr>
          <w:sz w:val="22"/>
        </w:rPr>
        <w:t xml:space="preserve"> and</w:t>
      </w:r>
      <w:r w:rsidR="005259A8" w:rsidRPr="00E24E29">
        <w:rPr>
          <w:sz w:val="22"/>
        </w:rPr>
        <w:t xml:space="preserve"> </w:t>
      </w:r>
      <w:r w:rsidR="00682176" w:rsidRPr="00E24E29">
        <w:rPr>
          <w:sz w:val="22"/>
        </w:rPr>
        <w:t>which</w:t>
      </w:r>
      <w:r w:rsidR="005259A8" w:rsidRPr="00E24E29">
        <w:rPr>
          <w:sz w:val="22"/>
        </w:rPr>
        <w:t xml:space="preserve"> we attempted to overcome by including scenarios with other </w:t>
      </w:r>
      <w:r w:rsidR="00682176" w:rsidRPr="00E24E29">
        <w:rPr>
          <w:sz w:val="22"/>
        </w:rPr>
        <w:t>biologics (adalimumab, vedolizumab and ustekinumab)</w:t>
      </w:r>
      <w:r w:rsidR="005259A8" w:rsidRPr="00E24E29">
        <w:rPr>
          <w:sz w:val="22"/>
        </w:rPr>
        <w:t>.  However</w:t>
      </w:r>
      <w:r w:rsidR="00682176" w:rsidRPr="00E24E29">
        <w:rPr>
          <w:sz w:val="22"/>
        </w:rPr>
        <w:t>,</w:t>
      </w:r>
      <w:r w:rsidR="005259A8" w:rsidRPr="00E24E29">
        <w:rPr>
          <w:sz w:val="22"/>
        </w:rPr>
        <w:t xml:space="preserve"> other scenarios might include</w:t>
      </w:r>
      <w:r w:rsidR="00682176" w:rsidRPr="00E24E29">
        <w:rPr>
          <w:sz w:val="22"/>
        </w:rPr>
        <w:t xml:space="preserve"> dose escalation or shortening the interval between infusions prior to switching to another drug</w:t>
      </w:r>
      <w:r w:rsidR="005259A8" w:rsidRPr="00E24E29">
        <w:rPr>
          <w:sz w:val="22"/>
        </w:rPr>
        <w:t xml:space="preserve"> or a switch to the originator drug</w:t>
      </w:r>
      <w:r w:rsidR="00BB0BF5" w:rsidRPr="00E24E29">
        <w:rPr>
          <w:sz w:val="22"/>
        </w:rPr>
        <w:t xml:space="preserve"> [</w:t>
      </w:r>
      <w:r w:rsidR="00FB22BD" w:rsidRPr="00E24E29">
        <w:rPr>
          <w:noProof/>
          <w:sz w:val="22"/>
        </w:rPr>
        <w:t>20</w:t>
      </w:r>
      <w:r w:rsidR="00BB0BF5" w:rsidRPr="00E24E29">
        <w:rPr>
          <w:sz w:val="22"/>
        </w:rPr>
        <w:t>].</w:t>
      </w:r>
      <w:r w:rsidR="00682176" w:rsidRPr="00E24E29">
        <w:rPr>
          <w:sz w:val="22"/>
        </w:rPr>
        <w:t xml:space="preserve">  </w:t>
      </w:r>
      <w:r w:rsidR="005259A8" w:rsidRPr="00E24E29">
        <w:rPr>
          <w:sz w:val="22"/>
        </w:rPr>
        <w:t xml:space="preserve">Further, modelling of second line biologics should consider their harms so as not to overstate their benefits. </w:t>
      </w:r>
      <w:r w:rsidR="002F1AAE" w:rsidRPr="00E24E29">
        <w:rPr>
          <w:sz w:val="22"/>
        </w:rPr>
        <w:t xml:space="preserve"> Addressing some of these points might </w:t>
      </w:r>
      <w:r w:rsidR="001D7AB1" w:rsidRPr="00E24E29">
        <w:rPr>
          <w:sz w:val="22"/>
        </w:rPr>
        <w:t xml:space="preserve">explain </w:t>
      </w:r>
      <w:r w:rsidR="002F1AAE" w:rsidRPr="00E24E29">
        <w:rPr>
          <w:sz w:val="22"/>
        </w:rPr>
        <w:t xml:space="preserve">some of the counterintuitive results in the scenarios where increasing risk of immunogenicity </w:t>
      </w:r>
      <w:r w:rsidR="004A76C0" w:rsidRPr="00E24E29">
        <w:rPr>
          <w:sz w:val="22"/>
        </w:rPr>
        <w:t xml:space="preserve">with </w:t>
      </w:r>
      <w:r w:rsidR="002F1AAE" w:rsidRPr="00E24E29">
        <w:rPr>
          <w:sz w:val="22"/>
        </w:rPr>
        <w:t xml:space="preserve">Inflectra </w:t>
      </w:r>
      <w:r w:rsidR="004A76C0" w:rsidRPr="00E24E29">
        <w:rPr>
          <w:sz w:val="22"/>
        </w:rPr>
        <w:t>can be accompanied with a</w:t>
      </w:r>
      <w:r w:rsidR="001D7AB1" w:rsidRPr="00E24E29">
        <w:rPr>
          <w:sz w:val="22"/>
        </w:rPr>
        <w:t xml:space="preserve"> justified</w:t>
      </w:r>
      <w:r w:rsidR="002F1AAE" w:rsidRPr="00E24E29">
        <w:rPr>
          <w:sz w:val="22"/>
        </w:rPr>
        <w:t xml:space="preserve"> increas</w:t>
      </w:r>
      <w:r w:rsidR="004A76C0" w:rsidRPr="00E24E29">
        <w:rPr>
          <w:sz w:val="22"/>
        </w:rPr>
        <w:t xml:space="preserve">e </w:t>
      </w:r>
      <w:r w:rsidR="002F1AAE" w:rsidRPr="00E24E29">
        <w:rPr>
          <w:sz w:val="22"/>
        </w:rPr>
        <w:t xml:space="preserve">in price because </w:t>
      </w:r>
      <w:r w:rsidR="004A76C0" w:rsidRPr="00E24E29">
        <w:rPr>
          <w:sz w:val="22"/>
        </w:rPr>
        <w:t xml:space="preserve">switching </w:t>
      </w:r>
      <w:r w:rsidR="002F1AAE" w:rsidRPr="00E24E29">
        <w:rPr>
          <w:sz w:val="22"/>
        </w:rPr>
        <w:t xml:space="preserve">to alternative therapies is seen as more cost-effective.  </w:t>
      </w:r>
      <w:r w:rsidR="00682176" w:rsidRPr="00E24E29">
        <w:rPr>
          <w:sz w:val="22"/>
        </w:rPr>
        <w:t xml:space="preserve">However, accepting these limitations may be </w:t>
      </w:r>
      <w:r w:rsidR="00D009B7" w:rsidRPr="00E24E29">
        <w:rPr>
          <w:sz w:val="22"/>
        </w:rPr>
        <w:t>appropriate</w:t>
      </w:r>
      <w:r w:rsidR="00682176" w:rsidRPr="00E24E29">
        <w:rPr>
          <w:sz w:val="22"/>
        </w:rPr>
        <w:t xml:space="preserve"> for a model focused</w:t>
      </w:r>
      <w:r w:rsidR="002F1AAE" w:rsidRPr="00E24E29">
        <w:rPr>
          <w:sz w:val="22"/>
        </w:rPr>
        <w:t xml:space="preserve"> </w:t>
      </w:r>
      <w:r w:rsidR="00682176" w:rsidRPr="00E24E29">
        <w:rPr>
          <w:sz w:val="22"/>
        </w:rPr>
        <w:t>not on predicting outcomes, but rather to offer a transparent and structured way to examine a complex decision</w:t>
      </w:r>
      <w:r w:rsidR="004A76C0" w:rsidRPr="00E24E29">
        <w:rPr>
          <w:sz w:val="22"/>
        </w:rPr>
        <w:t xml:space="preserve"> problem</w:t>
      </w:r>
      <w:r w:rsidR="00682176" w:rsidRPr="00E24E29">
        <w:rPr>
          <w:sz w:val="22"/>
        </w:rPr>
        <w:t xml:space="preserve">. </w:t>
      </w:r>
    </w:p>
    <w:p w14:paraId="1AF3B598" w14:textId="7388515C" w:rsidR="000E5FCB" w:rsidRPr="00E24E29" w:rsidRDefault="000E5FCB" w:rsidP="000E5FCB">
      <w:pPr>
        <w:pStyle w:val="Heading2"/>
        <w:numPr>
          <w:ilvl w:val="0"/>
          <w:numId w:val="20"/>
        </w:numPr>
        <w:rPr>
          <w:rFonts w:asciiTheme="minorHAnsi" w:hAnsiTheme="minorHAnsi"/>
          <w:b/>
          <w:color w:val="auto"/>
          <w:sz w:val="22"/>
          <w:szCs w:val="22"/>
        </w:rPr>
      </w:pPr>
      <w:r>
        <w:rPr>
          <w:rFonts w:asciiTheme="minorHAnsi" w:hAnsiTheme="minorHAnsi"/>
          <w:b/>
          <w:color w:val="auto"/>
          <w:sz w:val="22"/>
          <w:szCs w:val="22"/>
        </w:rPr>
        <w:t>Conclu</w:t>
      </w:r>
      <w:r w:rsidRPr="00E24E29">
        <w:rPr>
          <w:rFonts w:asciiTheme="minorHAnsi" w:hAnsiTheme="minorHAnsi"/>
          <w:b/>
          <w:color w:val="auto"/>
          <w:sz w:val="22"/>
          <w:szCs w:val="22"/>
        </w:rPr>
        <w:t>sion</w:t>
      </w:r>
    </w:p>
    <w:p w14:paraId="3E41B1B1" w14:textId="1149F4AC" w:rsidR="00741136" w:rsidRDefault="00F2412E" w:rsidP="00DF3645">
      <w:pPr>
        <w:pStyle w:val="Dbl"/>
        <w:rPr>
          <w:sz w:val="22"/>
        </w:rPr>
      </w:pPr>
      <w:r w:rsidRPr="00E24E29">
        <w:rPr>
          <w:sz w:val="22"/>
        </w:rPr>
        <w:t xml:space="preserve">In summary, </w:t>
      </w:r>
      <w:r w:rsidR="00E931A2" w:rsidRPr="00E24E29">
        <w:rPr>
          <w:sz w:val="22"/>
        </w:rPr>
        <w:t>i</w:t>
      </w:r>
      <w:r w:rsidR="00741136" w:rsidRPr="00E24E29">
        <w:rPr>
          <w:sz w:val="22"/>
        </w:rPr>
        <w:t>n the absence of trial evidence, the model provides a basis for the quantitative evaluation of biosimilars to support health technology a</w:t>
      </w:r>
      <w:r w:rsidR="00AF330F" w:rsidRPr="00E24E29">
        <w:rPr>
          <w:sz w:val="22"/>
        </w:rPr>
        <w:t>ssessment</w:t>
      </w:r>
      <w:r w:rsidR="00741136" w:rsidRPr="00E24E29">
        <w:rPr>
          <w:sz w:val="22"/>
        </w:rPr>
        <w:t>.  Value-based pricing using this methodology would be possible to protect health systems such as the NHS in the UK from the potential risks of biosimilars where they are untested in the populations for which they have been approved.</w:t>
      </w:r>
    </w:p>
    <w:p w14:paraId="5D3C3111" w14:textId="3393A75C" w:rsidR="000E5FCB" w:rsidRPr="000E5FCB" w:rsidRDefault="000E5FCB" w:rsidP="000E5FCB">
      <w:pPr>
        <w:pStyle w:val="Heading2"/>
        <w:numPr>
          <w:ilvl w:val="0"/>
          <w:numId w:val="20"/>
        </w:numPr>
        <w:rPr>
          <w:rFonts w:asciiTheme="minorHAnsi" w:hAnsiTheme="minorHAnsi"/>
          <w:b/>
          <w:color w:val="auto"/>
          <w:sz w:val="22"/>
          <w:szCs w:val="22"/>
        </w:rPr>
      </w:pPr>
      <w:r w:rsidRPr="000E5FCB">
        <w:rPr>
          <w:rFonts w:asciiTheme="minorHAnsi" w:hAnsiTheme="minorHAnsi"/>
          <w:b/>
          <w:color w:val="auto"/>
          <w:sz w:val="22"/>
          <w:szCs w:val="22"/>
        </w:rPr>
        <w:t>Data availability statement</w:t>
      </w:r>
    </w:p>
    <w:p w14:paraId="5D8D054F" w14:textId="3A741E6D" w:rsidR="00EC26D4" w:rsidRPr="00E24E29" w:rsidRDefault="000E5FCB" w:rsidP="00DF3645">
      <w:pPr>
        <w:pStyle w:val="Dbl"/>
        <w:rPr>
          <w:sz w:val="22"/>
        </w:rPr>
      </w:pPr>
      <w:r w:rsidRPr="000E5FCB">
        <w:rPr>
          <w:sz w:val="22"/>
        </w:rPr>
        <w:t xml:space="preserve">The datasets generated during the current study </w:t>
      </w:r>
      <w:r>
        <w:rPr>
          <w:sz w:val="22"/>
        </w:rPr>
        <w:t xml:space="preserve">and the model underpinning the study </w:t>
      </w:r>
      <w:r w:rsidRPr="000E5FCB">
        <w:rPr>
          <w:sz w:val="22"/>
        </w:rPr>
        <w:t>are available from the corresponding author on reasonable request.</w:t>
      </w:r>
    </w:p>
    <w:p w14:paraId="6D1A78AC" w14:textId="752CA140" w:rsidR="009A49C1" w:rsidRDefault="009A49C1" w:rsidP="00813527">
      <w:pPr>
        <w:pStyle w:val="Heading2"/>
        <w:numPr>
          <w:ilvl w:val="0"/>
          <w:numId w:val="20"/>
        </w:numPr>
        <w:rPr>
          <w:rFonts w:asciiTheme="minorHAnsi" w:hAnsiTheme="minorHAnsi"/>
          <w:b/>
          <w:color w:val="auto"/>
          <w:sz w:val="22"/>
          <w:szCs w:val="22"/>
        </w:rPr>
      </w:pPr>
      <w:r>
        <w:rPr>
          <w:rFonts w:asciiTheme="minorHAnsi" w:hAnsiTheme="minorHAnsi"/>
          <w:b/>
          <w:color w:val="auto"/>
          <w:sz w:val="22"/>
          <w:szCs w:val="22"/>
        </w:rPr>
        <w:t>Acknowledgements</w:t>
      </w:r>
    </w:p>
    <w:p w14:paraId="1B6506BE" w14:textId="4753AE9C" w:rsidR="009A49C1" w:rsidRPr="009A49C1" w:rsidRDefault="009A49C1" w:rsidP="009A49C1">
      <w:pPr>
        <w:spacing w:line="480" w:lineRule="auto"/>
        <w:rPr>
          <w:sz w:val="22"/>
        </w:rPr>
      </w:pPr>
      <w:r w:rsidRPr="009A49C1">
        <w:rPr>
          <w:sz w:val="22"/>
        </w:rPr>
        <w:t>The research was funded by the Medical Research Council North West Hub for Trial Methodological Research (MR/L004933/2- Q28). The funding sponsors had no role in the design and conduct of the study; in the collection, management, analysis, and interpretation of the data; or in the preparation, review, or approval of the manuscript.</w:t>
      </w:r>
      <w:r w:rsidR="00143C51">
        <w:rPr>
          <w:sz w:val="22"/>
        </w:rPr>
        <w:t xml:space="preserve"> D.H. acknowledges the support of Health and Care Research Wales as a Senior Research Leader</w:t>
      </w:r>
      <w:r w:rsidR="0048067E">
        <w:rPr>
          <w:sz w:val="22"/>
        </w:rPr>
        <w:t xml:space="preserve"> (SRL/15/029)</w:t>
      </w:r>
      <w:r w:rsidR="00143C51">
        <w:rPr>
          <w:sz w:val="22"/>
        </w:rPr>
        <w:t>.</w:t>
      </w:r>
    </w:p>
    <w:p w14:paraId="2B945925" w14:textId="77777777" w:rsidR="009A49C1" w:rsidRPr="009A49C1" w:rsidRDefault="009A49C1" w:rsidP="009A49C1"/>
    <w:p w14:paraId="7843EF69" w14:textId="77777777" w:rsidR="00E24E29" w:rsidRPr="00E24E29" w:rsidRDefault="00E24E29" w:rsidP="00813527">
      <w:pPr>
        <w:pStyle w:val="Heading2"/>
        <w:numPr>
          <w:ilvl w:val="0"/>
          <w:numId w:val="20"/>
        </w:numPr>
        <w:rPr>
          <w:rFonts w:asciiTheme="minorHAnsi" w:hAnsiTheme="minorHAnsi"/>
          <w:b/>
          <w:color w:val="auto"/>
          <w:sz w:val="22"/>
          <w:szCs w:val="22"/>
        </w:rPr>
      </w:pPr>
      <w:r w:rsidRPr="00E24E29">
        <w:rPr>
          <w:rFonts w:asciiTheme="minorHAnsi" w:hAnsiTheme="minorHAnsi"/>
          <w:b/>
          <w:color w:val="auto"/>
          <w:sz w:val="22"/>
          <w:szCs w:val="22"/>
        </w:rPr>
        <w:t>Compliance with Ethical Standards</w:t>
      </w:r>
    </w:p>
    <w:p w14:paraId="3737208B" w14:textId="1EB9B559" w:rsidR="00E24E29" w:rsidRPr="00E24E29" w:rsidRDefault="00E24E29" w:rsidP="00E24E29">
      <w:pPr>
        <w:spacing w:line="480" w:lineRule="auto"/>
        <w:rPr>
          <w:b/>
          <w:sz w:val="22"/>
        </w:rPr>
      </w:pPr>
      <w:r w:rsidRPr="00E24E29">
        <w:rPr>
          <w:b/>
          <w:sz w:val="22"/>
        </w:rPr>
        <w:t>Conflicts of interest</w:t>
      </w:r>
    </w:p>
    <w:p w14:paraId="58E83F6C" w14:textId="1E53BD1D" w:rsidR="00E24E29" w:rsidRDefault="00E24E29" w:rsidP="00E24E29">
      <w:pPr>
        <w:spacing w:line="480" w:lineRule="auto"/>
        <w:rPr>
          <w:sz w:val="22"/>
        </w:rPr>
      </w:pPr>
      <w:r w:rsidRPr="00E24E29">
        <w:rPr>
          <w:sz w:val="22"/>
        </w:rPr>
        <w:t>H.C., J.K. and D.H. declare that they have no conflict</w:t>
      </w:r>
      <w:r w:rsidR="00375CFC">
        <w:rPr>
          <w:sz w:val="22"/>
        </w:rPr>
        <w:t>s</w:t>
      </w:r>
      <w:r w:rsidRPr="00E24E29">
        <w:rPr>
          <w:sz w:val="22"/>
        </w:rPr>
        <w:t xml:space="preserve"> of interest.</w:t>
      </w:r>
      <w:r w:rsidR="00375CFC">
        <w:rPr>
          <w:sz w:val="22"/>
        </w:rPr>
        <w:t xml:space="preserve"> K.B. declares a travel grant from </w:t>
      </w:r>
      <w:r w:rsidR="00375CFC" w:rsidRPr="00375CFC">
        <w:rPr>
          <w:sz w:val="22"/>
        </w:rPr>
        <w:t>Janssen-Cilag Ltd</w:t>
      </w:r>
      <w:r w:rsidR="00375CFC">
        <w:rPr>
          <w:sz w:val="22"/>
        </w:rPr>
        <w:t>.</w:t>
      </w:r>
    </w:p>
    <w:p w14:paraId="5DC2DCF6" w14:textId="37F720FF" w:rsidR="009A49C1" w:rsidRPr="009A49C1" w:rsidRDefault="00143C51" w:rsidP="009A49C1">
      <w:pPr>
        <w:spacing w:line="480" w:lineRule="auto"/>
        <w:rPr>
          <w:b/>
          <w:sz w:val="22"/>
        </w:rPr>
      </w:pPr>
      <w:r>
        <w:rPr>
          <w:b/>
          <w:sz w:val="22"/>
        </w:rPr>
        <w:t>Contributions</w:t>
      </w:r>
    </w:p>
    <w:p w14:paraId="5EAEA1F5" w14:textId="01769869" w:rsidR="005B6CFF" w:rsidRPr="00E24E29" w:rsidRDefault="009A49C1" w:rsidP="00B244D6">
      <w:pPr>
        <w:spacing w:line="480" w:lineRule="auto"/>
        <w:rPr>
          <w:sz w:val="22"/>
        </w:rPr>
      </w:pPr>
      <w:r w:rsidRPr="009A49C1">
        <w:rPr>
          <w:sz w:val="22"/>
        </w:rPr>
        <w:t>H.C., D.H., K.B, and J.K. contributed substantially to the study conception or design, or the acquisition, analysis or interpretation of the data. H.C. drafted the manuscript and D.A.H. revised it critically for important intellectual content. H.C., D.H., K.B, and J.K. gave final approval of the version to be published. D.A.H. agrees to be accountable for all aspects of the work in ensuring that questions related to the accuracy or integrity of any part of the work are appropriately investigated and resolved.</w:t>
      </w:r>
      <w:r w:rsidR="005B6CFF" w:rsidRPr="00E24E29">
        <w:rPr>
          <w:sz w:val="22"/>
        </w:rPr>
        <w:br w:type="page"/>
      </w:r>
    </w:p>
    <w:p w14:paraId="6530EE0B" w14:textId="77777777" w:rsidR="0041190D" w:rsidRPr="00E24E29" w:rsidRDefault="0041190D" w:rsidP="00813527">
      <w:pPr>
        <w:pStyle w:val="Heading2"/>
        <w:numPr>
          <w:ilvl w:val="0"/>
          <w:numId w:val="20"/>
        </w:numPr>
        <w:rPr>
          <w:rFonts w:asciiTheme="minorHAnsi" w:hAnsiTheme="minorHAnsi"/>
          <w:b/>
          <w:color w:val="auto"/>
          <w:sz w:val="22"/>
          <w:szCs w:val="22"/>
        </w:rPr>
      </w:pPr>
      <w:r w:rsidRPr="00E24E29">
        <w:rPr>
          <w:rFonts w:asciiTheme="minorHAnsi" w:hAnsiTheme="minorHAnsi"/>
          <w:b/>
          <w:color w:val="auto"/>
          <w:sz w:val="22"/>
          <w:szCs w:val="22"/>
        </w:rPr>
        <w:t>References</w:t>
      </w:r>
    </w:p>
    <w:p w14:paraId="29D6E579" w14:textId="7B6933F2"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1.</w:t>
      </w:r>
      <w:r w:rsidRPr="00E24E29">
        <w:rPr>
          <w:rFonts w:cs="Times New Roman"/>
          <w:noProof/>
          <w:sz w:val="22"/>
        </w:rPr>
        <w:tab/>
        <w:t xml:space="preserve">Committee for Medicinal Products for Human Use (CHMP). </w:t>
      </w:r>
      <w:r w:rsidRPr="00E24E29">
        <w:rPr>
          <w:rFonts w:cs="Times New Roman"/>
          <w:iCs/>
          <w:noProof/>
          <w:sz w:val="22"/>
        </w:rPr>
        <w:t>Guideline on similar biological medicinal products CHMP/437/04 Rev 1</w:t>
      </w:r>
      <w:r w:rsidRPr="00E24E29">
        <w:rPr>
          <w:rFonts w:cs="Times New Roman"/>
          <w:noProof/>
          <w:sz w:val="22"/>
        </w:rPr>
        <w:t>. (2015).</w:t>
      </w:r>
    </w:p>
    <w:p w14:paraId="342E14AC" w14:textId="77777777"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2.</w:t>
      </w:r>
      <w:r w:rsidRPr="00E24E29">
        <w:rPr>
          <w:rFonts w:cs="Times New Roman"/>
          <w:noProof/>
          <w:sz w:val="22"/>
        </w:rPr>
        <w:tab/>
        <w:t xml:space="preserve">Food and Drug Administration. </w:t>
      </w:r>
      <w:r w:rsidRPr="00E24E29">
        <w:rPr>
          <w:rFonts w:cs="Times New Roman"/>
          <w:iCs/>
          <w:noProof/>
          <w:sz w:val="22"/>
        </w:rPr>
        <w:t>Scientific Considerations in Demonstrating Biosimilarity to a Reference Product. Guidance for Industry</w:t>
      </w:r>
      <w:r w:rsidRPr="00E24E29">
        <w:rPr>
          <w:rFonts w:cs="Times New Roman"/>
          <w:noProof/>
          <w:sz w:val="22"/>
        </w:rPr>
        <w:t>. (2015).</w:t>
      </w:r>
    </w:p>
    <w:p w14:paraId="66DBC96C" w14:textId="77777777"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3.</w:t>
      </w:r>
      <w:r w:rsidRPr="00E24E29">
        <w:rPr>
          <w:rFonts w:cs="Times New Roman"/>
          <w:noProof/>
          <w:sz w:val="22"/>
        </w:rPr>
        <w:tab/>
        <w:t xml:space="preserve">Committee for Medicinal Products for Human Use (CHMP). </w:t>
      </w:r>
      <w:r w:rsidRPr="00E24E29">
        <w:rPr>
          <w:rFonts w:cs="Times New Roman"/>
          <w:iCs/>
          <w:noProof/>
          <w:sz w:val="22"/>
        </w:rPr>
        <w:t>Guideline on Similar Biological Medicinal Products Containing Monoclonal Antibodies - non-clinical and clinical issues. EMA/CHMP/BMWP/403543/2010</w:t>
      </w:r>
      <w:r w:rsidRPr="00E24E29">
        <w:rPr>
          <w:rFonts w:cs="Times New Roman"/>
          <w:noProof/>
          <w:sz w:val="22"/>
        </w:rPr>
        <w:t>. (2012). doi:10.1089/blr.2011.9970</w:t>
      </w:r>
    </w:p>
    <w:p w14:paraId="18CB2441" w14:textId="01C17AC4"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4.</w:t>
      </w:r>
      <w:r w:rsidRPr="00E24E29">
        <w:rPr>
          <w:rFonts w:cs="Times New Roman"/>
          <w:noProof/>
          <w:sz w:val="22"/>
        </w:rPr>
        <w:tab/>
        <w:t xml:space="preserve">De Mora F. Biosimilar: What it is not. </w:t>
      </w:r>
      <w:r w:rsidRPr="00E24E29">
        <w:rPr>
          <w:rFonts w:cs="Times New Roman"/>
          <w:iCs/>
          <w:noProof/>
          <w:sz w:val="22"/>
        </w:rPr>
        <w:t>Br J Clin Pharmacol</w:t>
      </w:r>
      <w:r w:rsidRPr="00E24E29">
        <w:rPr>
          <w:rFonts w:cs="Times New Roman"/>
          <w:noProof/>
          <w:sz w:val="22"/>
        </w:rPr>
        <w:t xml:space="preserve"> </w:t>
      </w:r>
      <w:r w:rsidR="00A06659" w:rsidRPr="00E24E29">
        <w:rPr>
          <w:rFonts w:cs="Times New Roman"/>
          <w:noProof/>
          <w:sz w:val="22"/>
        </w:rPr>
        <w:t xml:space="preserve">2015; </w:t>
      </w:r>
      <w:r w:rsidR="00A06659" w:rsidRPr="00E24E29">
        <w:rPr>
          <w:rFonts w:cs="Times New Roman"/>
          <w:bCs/>
          <w:noProof/>
          <w:sz w:val="22"/>
        </w:rPr>
        <w:t>80;</w:t>
      </w:r>
      <w:r w:rsidR="00A06659" w:rsidRPr="00E24E29">
        <w:rPr>
          <w:rFonts w:cs="Times New Roman"/>
          <w:noProof/>
          <w:sz w:val="22"/>
        </w:rPr>
        <w:t>949–956</w:t>
      </w:r>
      <w:r w:rsidRPr="00E24E29">
        <w:rPr>
          <w:rFonts w:cs="Times New Roman"/>
          <w:noProof/>
          <w:sz w:val="22"/>
        </w:rPr>
        <w:t>.</w:t>
      </w:r>
    </w:p>
    <w:p w14:paraId="443A9A4B" w14:textId="768F6593"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5.</w:t>
      </w:r>
      <w:r w:rsidRPr="00E24E29">
        <w:rPr>
          <w:rFonts w:cs="Times New Roman"/>
          <w:noProof/>
          <w:sz w:val="22"/>
        </w:rPr>
        <w:tab/>
        <w:t xml:space="preserve">Prasad V. Non-Inferiority Trials in Medicine: Practice Changing or a Self-Fulfilling Prophecy? </w:t>
      </w:r>
      <w:r w:rsidRPr="00E24E29">
        <w:rPr>
          <w:rFonts w:cs="Times New Roman"/>
          <w:iCs/>
          <w:noProof/>
          <w:sz w:val="22"/>
        </w:rPr>
        <w:t>J Gen Intern Med</w:t>
      </w:r>
      <w:r w:rsidRPr="00E24E29">
        <w:rPr>
          <w:rFonts w:cs="Times New Roman"/>
          <w:noProof/>
          <w:sz w:val="22"/>
        </w:rPr>
        <w:t xml:space="preserve"> </w:t>
      </w:r>
      <w:r w:rsidR="00A06659" w:rsidRPr="00E24E29">
        <w:rPr>
          <w:rFonts w:cs="Times New Roman"/>
          <w:noProof/>
          <w:sz w:val="22"/>
        </w:rPr>
        <w:t>2018;</w:t>
      </w:r>
      <w:r w:rsidR="00A06659" w:rsidRPr="00E24E29">
        <w:rPr>
          <w:rFonts w:cs="Times New Roman"/>
          <w:bCs/>
          <w:noProof/>
          <w:sz w:val="22"/>
        </w:rPr>
        <w:t>33:</w:t>
      </w:r>
      <w:r w:rsidR="00A06659" w:rsidRPr="00E24E29">
        <w:rPr>
          <w:rFonts w:cs="Times New Roman"/>
          <w:noProof/>
          <w:sz w:val="22"/>
        </w:rPr>
        <w:t>3–5</w:t>
      </w:r>
      <w:r w:rsidRPr="00E24E29">
        <w:rPr>
          <w:rFonts w:cs="Times New Roman"/>
          <w:noProof/>
          <w:sz w:val="22"/>
        </w:rPr>
        <w:t>.</w:t>
      </w:r>
    </w:p>
    <w:p w14:paraId="173E106E" w14:textId="116C2F10"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6.</w:t>
      </w:r>
      <w:r w:rsidRPr="00E24E29">
        <w:rPr>
          <w:rFonts w:cs="Times New Roman"/>
          <w:noProof/>
          <w:sz w:val="22"/>
        </w:rPr>
        <w:tab/>
        <w:t>Stewart A, Aubrey P</w:t>
      </w:r>
      <w:r w:rsidR="00484C08" w:rsidRPr="00E24E29">
        <w:rPr>
          <w:rFonts w:cs="Times New Roman"/>
          <w:noProof/>
          <w:sz w:val="22"/>
        </w:rPr>
        <w:t>,</w:t>
      </w:r>
      <w:r w:rsidRPr="00E24E29">
        <w:rPr>
          <w:rFonts w:cs="Times New Roman"/>
          <w:noProof/>
          <w:sz w:val="22"/>
        </w:rPr>
        <w:t xml:space="preserve"> Belsey J. Addressing the health technology assessment of biosimilar pharmaceuticals. </w:t>
      </w:r>
      <w:r w:rsidRPr="00E24E29">
        <w:rPr>
          <w:rFonts w:cs="Times New Roman"/>
          <w:iCs/>
          <w:noProof/>
          <w:sz w:val="22"/>
        </w:rPr>
        <w:t>Curr Med Res Opin</w:t>
      </w:r>
      <w:r w:rsidRPr="00E24E29">
        <w:rPr>
          <w:rFonts w:cs="Times New Roman"/>
          <w:noProof/>
          <w:sz w:val="22"/>
        </w:rPr>
        <w:t xml:space="preserve"> </w:t>
      </w:r>
      <w:r w:rsidR="00A06659" w:rsidRPr="00E24E29">
        <w:rPr>
          <w:rFonts w:cs="Times New Roman"/>
          <w:noProof/>
          <w:sz w:val="22"/>
        </w:rPr>
        <w:t>2010;</w:t>
      </w:r>
      <w:r w:rsidRPr="00E24E29">
        <w:rPr>
          <w:rFonts w:cs="Times New Roman"/>
          <w:bCs/>
          <w:noProof/>
          <w:sz w:val="22"/>
        </w:rPr>
        <w:t>26</w:t>
      </w:r>
      <w:r w:rsidR="00A06659" w:rsidRPr="00E24E29">
        <w:rPr>
          <w:rFonts w:cs="Times New Roman"/>
          <w:bCs/>
          <w:noProof/>
          <w:sz w:val="22"/>
        </w:rPr>
        <w:t>:</w:t>
      </w:r>
      <w:r w:rsidRPr="00E24E29">
        <w:rPr>
          <w:rFonts w:cs="Times New Roman"/>
          <w:noProof/>
          <w:sz w:val="22"/>
        </w:rPr>
        <w:t>2119–2126.</w:t>
      </w:r>
    </w:p>
    <w:p w14:paraId="430915FD" w14:textId="0C48BA6A"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7.</w:t>
      </w:r>
      <w:r w:rsidRPr="00E24E29">
        <w:rPr>
          <w:rFonts w:cs="Times New Roman"/>
          <w:noProof/>
          <w:sz w:val="22"/>
        </w:rPr>
        <w:tab/>
        <w:t>Mulcahy AW, Hlavka JP</w:t>
      </w:r>
      <w:r w:rsidR="00484C08" w:rsidRPr="00E24E29">
        <w:rPr>
          <w:rFonts w:cs="Times New Roman"/>
          <w:noProof/>
          <w:sz w:val="22"/>
        </w:rPr>
        <w:t>,</w:t>
      </w:r>
      <w:r w:rsidRPr="00E24E29">
        <w:rPr>
          <w:rFonts w:cs="Times New Roman"/>
          <w:noProof/>
          <w:sz w:val="22"/>
        </w:rPr>
        <w:t xml:space="preserve"> Case SR. </w:t>
      </w:r>
      <w:r w:rsidRPr="00E24E29">
        <w:rPr>
          <w:rFonts w:cs="Times New Roman"/>
          <w:iCs/>
          <w:noProof/>
          <w:sz w:val="22"/>
        </w:rPr>
        <w:t>Biosimilar Cost Savings in the United States: Initial Experience and Future Potential [online]</w:t>
      </w:r>
      <w:r w:rsidRPr="00E24E29">
        <w:rPr>
          <w:rFonts w:cs="Times New Roman"/>
          <w:noProof/>
          <w:sz w:val="22"/>
        </w:rPr>
        <w:t xml:space="preserve">. </w:t>
      </w:r>
      <w:r w:rsidRPr="00E24E29">
        <w:rPr>
          <w:rFonts w:cs="Times New Roman"/>
          <w:iCs/>
          <w:noProof/>
          <w:sz w:val="22"/>
        </w:rPr>
        <w:t>RAND corporation: Perspective</w:t>
      </w:r>
      <w:r w:rsidRPr="00E24E29">
        <w:rPr>
          <w:rFonts w:cs="Times New Roman"/>
          <w:noProof/>
          <w:sz w:val="22"/>
        </w:rPr>
        <w:t xml:space="preserve"> (2017). doi:10.7249/PE264</w:t>
      </w:r>
    </w:p>
    <w:p w14:paraId="4E9D766F" w14:textId="50F26AD5" w:rsidR="00185E64" w:rsidRPr="00E24E29" w:rsidRDefault="00D11C4F"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8.</w:t>
      </w:r>
      <w:r w:rsidRPr="00E24E29">
        <w:rPr>
          <w:rFonts w:cs="Times New Roman"/>
          <w:noProof/>
          <w:sz w:val="22"/>
        </w:rPr>
        <w:tab/>
        <w:t xml:space="preserve">Yoo DH, Hrycaj P, Miranda P, </w:t>
      </w:r>
      <w:r w:rsidR="00185E64" w:rsidRPr="00E24E29">
        <w:rPr>
          <w:rFonts w:cs="Times New Roman"/>
          <w:iCs/>
          <w:noProof/>
          <w:sz w:val="22"/>
        </w:rPr>
        <w:t>et al.</w:t>
      </w:r>
      <w:r w:rsidR="00185E64" w:rsidRPr="00E24E29">
        <w:rPr>
          <w:rFonts w:cs="Times New Roman"/>
          <w:noProof/>
          <w:sz w:val="22"/>
        </w:rPr>
        <w:t xml:space="preserve"> A randomised, double-blind, parallel-group study to demonstrate equivalence in efficacy and safety of CT-P13 compared with innovator infliximab when coadministered with methotrexate in patients with active rheumatoid arthritis: The PLANETRA study. </w:t>
      </w:r>
      <w:r w:rsidR="00185E64" w:rsidRPr="00E24E29">
        <w:rPr>
          <w:rFonts w:cs="Times New Roman"/>
          <w:iCs/>
          <w:noProof/>
          <w:sz w:val="22"/>
        </w:rPr>
        <w:t>Ann Rheum Dis</w:t>
      </w:r>
      <w:r w:rsidR="00185E64" w:rsidRPr="00E24E29">
        <w:rPr>
          <w:rFonts w:cs="Times New Roman"/>
          <w:noProof/>
          <w:sz w:val="22"/>
        </w:rPr>
        <w:t xml:space="preserve"> </w:t>
      </w:r>
      <w:r w:rsidR="00A06659" w:rsidRPr="00E24E29">
        <w:rPr>
          <w:rFonts w:cs="Times New Roman"/>
          <w:noProof/>
          <w:sz w:val="22"/>
        </w:rPr>
        <w:t>2013;</w:t>
      </w:r>
      <w:r w:rsidR="00185E64" w:rsidRPr="00E24E29">
        <w:rPr>
          <w:rFonts w:cs="Times New Roman"/>
          <w:bCs/>
          <w:noProof/>
          <w:sz w:val="22"/>
        </w:rPr>
        <w:t>72</w:t>
      </w:r>
      <w:r w:rsidR="00A06659" w:rsidRPr="00E24E29">
        <w:rPr>
          <w:rFonts w:cs="Times New Roman"/>
          <w:bCs/>
          <w:noProof/>
          <w:sz w:val="22"/>
        </w:rPr>
        <w:t>:</w:t>
      </w:r>
      <w:r w:rsidR="00185E64" w:rsidRPr="00E24E29">
        <w:rPr>
          <w:rFonts w:cs="Times New Roman"/>
          <w:noProof/>
          <w:sz w:val="22"/>
        </w:rPr>
        <w:t>1613–1620.</w:t>
      </w:r>
    </w:p>
    <w:p w14:paraId="09D54CE8" w14:textId="77777777"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9.</w:t>
      </w:r>
      <w:r w:rsidRPr="00E24E29">
        <w:rPr>
          <w:rFonts w:cs="Times New Roman"/>
          <w:noProof/>
          <w:sz w:val="22"/>
        </w:rPr>
        <w:tab/>
        <w:t xml:space="preserve">Food and Drug Administration. </w:t>
      </w:r>
      <w:r w:rsidRPr="00E24E29">
        <w:rPr>
          <w:rFonts w:cs="Times New Roman"/>
          <w:iCs/>
          <w:noProof/>
          <w:sz w:val="22"/>
        </w:rPr>
        <w:t>Addendum to Primary Clinical Review. Recommendation on Regulatory Action. Inflectra</w:t>
      </w:r>
      <w:r w:rsidRPr="00E24E29">
        <w:rPr>
          <w:rFonts w:cs="Times New Roman"/>
          <w:noProof/>
          <w:sz w:val="22"/>
        </w:rPr>
        <w:t>. (2016).</w:t>
      </w:r>
    </w:p>
    <w:p w14:paraId="56F405D2" w14:textId="77777777"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10.</w:t>
      </w:r>
      <w:r w:rsidRPr="00E24E29">
        <w:rPr>
          <w:rFonts w:cs="Times New Roman"/>
          <w:noProof/>
          <w:sz w:val="22"/>
        </w:rPr>
        <w:tab/>
        <w:t xml:space="preserve">Committee for Medicinal Products for Human Use (CHMP). </w:t>
      </w:r>
      <w:r w:rsidRPr="00E24E29">
        <w:rPr>
          <w:rFonts w:cs="Times New Roman"/>
          <w:iCs/>
          <w:noProof/>
          <w:sz w:val="22"/>
        </w:rPr>
        <w:t>Assessment report. Inflectra</w:t>
      </w:r>
      <w:r w:rsidRPr="00E24E29">
        <w:rPr>
          <w:rFonts w:cs="Times New Roman"/>
          <w:noProof/>
          <w:sz w:val="22"/>
        </w:rPr>
        <w:t xml:space="preserve">. </w:t>
      </w:r>
      <w:r w:rsidRPr="00E24E29">
        <w:rPr>
          <w:rFonts w:cs="Times New Roman"/>
          <w:bCs/>
          <w:noProof/>
          <w:sz w:val="22"/>
        </w:rPr>
        <w:t>44,</w:t>
      </w:r>
      <w:r w:rsidRPr="00E24E29">
        <w:rPr>
          <w:rFonts w:cs="Times New Roman"/>
          <w:noProof/>
          <w:sz w:val="22"/>
        </w:rPr>
        <w:t xml:space="preserve"> (2013).</w:t>
      </w:r>
    </w:p>
    <w:p w14:paraId="6A902333" w14:textId="77777777"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11.</w:t>
      </w:r>
      <w:r w:rsidRPr="00E24E29">
        <w:rPr>
          <w:rFonts w:cs="Times New Roman"/>
          <w:noProof/>
          <w:sz w:val="22"/>
        </w:rPr>
        <w:tab/>
        <w:t xml:space="preserve">Committee for Medicinal Products for Human Use (CHMP). </w:t>
      </w:r>
      <w:r w:rsidRPr="00E24E29">
        <w:rPr>
          <w:rFonts w:cs="Times New Roman"/>
          <w:iCs/>
          <w:noProof/>
          <w:sz w:val="22"/>
        </w:rPr>
        <w:t>GUIDELINE ON THE DEVELOPMENT OF NEW MEDICINAL PRODUCTS FOR THE TREATMENT OF CROHN’S DISEASE Rev. 2</w:t>
      </w:r>
      <w:r w:rsidRPr="00E24E29">
        <w:rPr>
          <w:rFonts w:cs="Times New Roman"/>
          <w:noProof/>
          <w:sz w:val="22"/>
        </w:rPr>
        <w:t>. (2016).</w:t>
      </w:r>
    </w:p>
    <w:p w14:paraId="36A35A88" w14:textId="754FE277"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12.</w:t>
      </w:r>
      <w:r w:rsidRPr="00E24E29">
        <w:rPr>
          <w:rFonts w:cs="Times New Roman"/>
          <w:noProof/>
          <w:sz w:val="22"/>
        </w:rPr>
        <w:tab/>
      </w:r>
      <w:r w:rsidR="00D11C4F" w:rsidRPr="00E24E29">
        <w:rPr>
          <w:rFonts w:cs="Times New Roman"/>
          <w:noProof/>
          <w:sz w:val="22"/>
        </w:rPr>
        <w:t xml:space="preserve">Ben-Horin S, Heap GA, Ahmad T, </w:t>
      </w:r>
      <w:r w:rsidR="00682621" w:rsidRPr="00E24E29">
        <w:rPr>
          <w:rFonts w:cs="Times New Roman"/>
          <w:noProof/>
          <w:sz w:val="22"/>
        </w:rPr>
        <w:t>et al</w:t>
      </w:r>
      <w:r w:rsidRPr="00E24E29">
        <w:rPr>
          <w:rFonts w:cs="Times New Roman"/>
          <w:iCs/>
          <w:noProof/>
          <w:sz w:val="22"/>
        </w:rPr>
        <w:t>.</w:t>
      </w:r>
      <w:r w:rsidRPr="00E24E29">
        <w:rPr>
          <w:rFonts w:cs="Times New Roman"/>
          <w:noProof/>
          <w:sz w:val="22"/>
        </w:rPr>
        <w:t xml:space="preserve"> The immunogenicity of biosimilar infliximab: can we extrapolate the data across indications? </w:t>
      </w:r>
      <w:r w:rsidRPr="00E24E29">
        <w:rPr>
          <w:rFonts w:cs="Times New Roman"/>
          <w:iCs/>
          <w:noProof/>
          <w:sz w:val="22"/>
        </w:rPr>
        <w:t>Expert Rev. Gastroenterol Hepatol</w:t>
      </w:r>
      <w:r w:rsidR="00A06659" w:rsidRPr="00E24E29">
        <w:rPr>
          <w:rFonts w:cs="Times New Roman"/>
          <w:iCs/>
          <w:noProof/>
          <w:sz w:val="22"/>
        </w:rPr>
        <w:t xml:space="preserve"> 2015;</w:t>
      </w:r>
      <w:r w:rsidRPr="00E24E29">
        <w:rPr>
          <w:rFonts w:cs="Times New Roman"/>
          <w:bCs/>
          <w:noProof/>
          <w:sz w:val="22"/>
        </w:rPr>
        <w:t>9</w:t>
      </w:r>
      <w:r w:rsidR="00A06659" w:rsidRPr="00E24E29">
        <w:rPr>
          <w:rFonts w:cs="Times New Roman"/>
          <w:bCs/>
          <w:noProof/>
          <w:sz w:val="22"/>
        </w:rPr>
        <w:t>:</w:t>
      </w:r>
      <w:r w:rsidRPr="00E24E29">
        <w:rPr>
          <w:rFonts w:cs="Times New Roman"/>
          <w:noProof/>
          <w:sz w:val="22"/>
        </w:rPr>
        <w:t>27–34.</w:t>
      </w:r>
    </w:p>
    <w:p w14:paraId="33D4E8AD" w14:textId="4DFAB421"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13.</w:t>
      </w:r>
      <w:r w:rsidRPr="00E24E29">
        <w:rPr>
          <w:rFonts w:cs="Times New Roman"/>
          <w:noProof/>
          <w:sz w:val="22"/>
        </w:rPr>
        <w:tab/>
      </w:r>
      <w:r w:rsidR="00484C08" w:rsidRPr="00E24E29">
        <w:rPr>
          <w:rFonts w:cs="Times New Roman"/>
          <w:noProof/>
          <w:sz w:val="22"/>
        </w:rPr>
        <w:t>Ben-Horin S, Vande Casteele N, Schreiber S, Lakatos PL</w:t>
      </w:r>
      <w:r w:rsidRPr="00E24E29">
        <w:rPr>
          <w:rFonts w:cs="Times New Roman"/>
          <w:noProof/>
          <w:sz w:val="22"/>
        </w:rPr>
        <w:t xml:space="preserve">. Biosimilars in Inflammatory Bowel Disease : Facts and Fears of Extrapolation. </w:t>
      </w:r>
      <w:r w:rsidRPr="00E24E29">
        <w:rPr>
          <w:rFonts w:cs="Times New Roman"/>
          <w:iCs/>
          <w:noProof/>
          <w:sz w:val="22"/>
        </w:rPr>
        <w:t>Clin</w:t>
      </w:r>
      <w:r w:rsidR="00A46EB3" w:rsidRPr="00E24E29">
        <w:rPr>
          <w:rFonts w:cs="Times New Roman"/>
          <w:iCs/>
          <w:noProof/>
          <w:sz w:val="22"/>
        </w:rPr>
        <w:t xml:space="preserve"> Gastroenterol Hepatol</w:t>
      </w:r>
      <w:r w:rsidRPr="00E24E29">
        <w:rPr>
          <w:rFonts w:cs="Times New Roman"/>
          <w:noProof/>
          <w:sz w:val="22"/>
        </w:rPr>
        <w:t xml:space="preserve"> </w:t>
      </w:r>
      <w:r w:rsidR="00A46EB3" w:rsidRPr="00E24E29">
        <w:rPr>
          <w:rFonts w:cs="Times New Roman"/>
          <w:noProof/>
          <w:sz w:val="22"/>
        </w:rPr>
        <w:t>2016;</w:t>
      </w:r>
      <w:r w:rsidRPr="00E24E29">
        <w:rPr>
          <w:rFonts w:cs="Times New Roman"/>
          <w:bCs/>
          <w:noProof/>
          <w:sz w:val="22"/>
        </w:rPr>
        <w:t>14</w:t>
      </w:r>
      <w:r w:rsidR="00A46EB3" w:rsidRPr="00E24E29">
        <w:rPr>
          <w:rFonts w:cs="Times New Roman"/>
          <w:bCs/>
          <w:noProof/>
          <w:sz w:val="22"/>
        </w:rPr>
        <w:t>:</w:t>
      </w:r>
      <w:r w:rsidRPr="00E24E29">
        <w:rPr>
          <w:rFonts w:cs="Times New Roman"/>
          <w:noProof/>
          <w:sz w:val="22"/>
        </w:rPr>
        <w:t>1685–1696.</w:t>
      </w:r>
    </w:p>
    <w:p w14:paraId="09EF0373" w14:textId="14AFDAD5" w:rsidR="00185E64" w:rsidRPr="00E24E29" w:rsidRDefault="00484C08"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14.</w:t>
      </w:r>
      <w:r w:rsidRPr="00E24E29">
        <w:rPr>
          <w:rFonts w:cs="Times New Roman"/>
          <w:noProof/>
          <w:sz w:val="22"/>
        </w:rPr>
        <w:tab/>
      </w:r>
      <w:r w:rsidR="00D11C4F" w:rsidRPr="00E24E29">
        <w:rPr>
          <w:rFonts w:cs="Times New Roman"/>
          <w:noProof/>
          <w:sz w:val="22"/>
        </w:rPr>
        <w:t xml:space="preserve">Feagan BG, Choquette D, Ghosh S, </w:t>
      </w:r>
      <w:r w:rsidR="00185E64" w:rsidRPr="00E24E29">
        <w:rPr>
          <w:rFonts w:cs="Times New Roman"/>
          <w:iCs/>
          <w:noProof/>
          <w:sz w:val="22"/>
        </w:rPr>
        <w:t>et al.</w:t>
      </w:r>
      <w:r w:rsidR="00185E64" w:rsidRPr="00E24E29">
        <w:rPr>
          <w:rFonts w:cs="Times New Roman"/>
          <w:noProof/>
          <w:sz w:val="22"/>
        </w:rPr>
        <w:t xml:space="preserve"> The challenge of indication extrapolation for infliximab biosimilars. </w:t>
      </w:r>
      <w:r w:rsidR="00185E64" w:rsidRPr="00E24E29">
        <w:rPr>
          <w:rFonts w:cs="Times New Roman"/>
          <w:iCs/>
          <w:noProof/>
          <w:sz w:val="22"/>
        </w:rPr>
        <w:t>Biologicals</w:t>
      </w:r>
      <w:r w:rsidR="00185E64" w:rsidRPr="00E24E29">
        <w:rPr>
          <w:rFonts w:cs="Times New Roman"/>
          <w:noProof/>
          <w:sz w:val="22"/>
        </w:rPr>
        <w:t xml:space="preserve"> </w:t>
      </w:r>
      <w:r w:rsidR="00A46EB3" w:rsidRPr="00E24E29">
        <w:rPr>
          <w:rFonts w:cs="Times New Roman"/>
          <w:noProof/>
          <w:sz w:val="22"/>
        </w:rPr>
        <w:t>2014;</w:t>
      </w:r>
      <w:r w:rsidR="00185E64" w:rsidRPr="00E24E29">
        <w:rPr>
          <w:rFonts w:cs="Times New Roman"/>
          <w:bCs/>
          <w:noProof/>
          <w:sz w:val="22"/>
        </w:rPr>
        <w:t>42</w:t>
      </w:r>
      <w:r w:rsidR="00A46EB3" w:rsidRPr="00E24E29">
        <w:rPr>
          <w:rFonts w:cs="Times New Roman"/>
          <w:bCs/>
          <w:noProof/>
          <w:sz w:val="22"/>
        </w:rPr>
        <w:t>:</w:t>
      </w:r>
      <w:r w:rsidR="00185E64" w:rsidRPr="00E24E29">
        <w:rPr>
          <w:rFonts w:cs="Times New Roman"/>
          <w:noProof/>
          <w:sz w:val="22"/>
        </w:rPr>
        <w:t>177–183.</w:t>
      </w:r>
    </w:p>
    <w:p w14:paraId="31641B02" w14:textId="396ACA90" w:rsidR="00185E64" w:rsidRPr="00E24E29" w:rsidRDefault="00484C08"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15.</w:t>
      </w:r>
      <w:r w:rsidRPr="00E24E29">
        <w:rPr>
          <w:rFonts w:cs="Times New Roman"/>
          <w:noProof/>
          <w:sz w:val="22"/>
        </w:rPr>
        <w:tab/>
      </w:r>
      <w:r w:rsidR="00D11C4F" w:rsidRPr="00E24E29">
        <w:rPr>
          <w:rFonts w:cs="Times New Roman"/>
          <w:noProof/>
          <w:sz w:val="22"/>
        </w:rPr>
        <w:t xml:space="preserve">Weinstein MC, O'Brien B, Hornberger J, </w:t>
      </w:r>
      <w:r w:rsidR="00185E64" w:rsidRPr="00E24E29">
        <w:rPr>
          <w:rFonts w:cs="Times New Roman"/>
          <w:iCs/>
          <w:noProof/>
          <w:sz w:val="22"/>
        </w:rPr>
        <w:t>et al.</w:t>
      </w:r>
      <w:r w:rsidR="00185E64" w:rsidRPr="00E24E29">
        <w:rPr>
          <w:rFonts w:cs="Times New Roman"/>
          <w:noProof/>
          <w:sz w:val="22"/>
        </w:rPr>
        <w:t xml:space="preserve"> Principles of good practice for decision analytic modeling in health-care evaluation: report of the ISPOR Task Force on Good Research Practices--Modeling Studies. </w:t>
      </w:r>
      <w:r w:rsidR="00185E64" w:rsidRPr="00E24E29">
        <w:rPr>
          <w:rFonts w:cs="Times New Roman"/>
          <w:iCs/>
          <w:noProof/>
          <w:sz w:val="22"/>
        </w:rPr>
        <w:t>Value Heal.</w:t>
      </w:r>
      <w:r w:rsidR="00185E64" w:rsidRPr="00E24E29">
        <w:rPr>
          <w:rFonts w:cs="Times New Roman"/>
          <w:noProof/>
          <w:sz w:val="22"/>
        </w:rPr>
        <w:t xml:space="preserve"> </w:t>
      </w:r>
      <w:r w:rsidR="00A46EB3" w:rsidRPr="00E24E29">
        <w:rPr>
          <w:rFonts w:cs="Times New Roman"/>
          <w:noProof/>
          <w:sz w:val="22"/>
        </w:rPr>
        <w:t>2003;</w:t>
      </w:r>
      <w:r w:rsidR="00185E64" w:rsidRPr="00E24E29">
        <w:rPr>
          <w:rFonts w:cs="Times New Roman"/>
          <w:bCs/>
          <w:noProof/>
          <w:sz w:val="22"/>
        </w:rPr>
        <w:t>6</w:t>
      </w:r>
      <w:r w:rsidR="00A46EB3" w:rsidRPr="00E24E29">
        <w:rPr>
          <w:rFonts w:cs="Times New Roman"/>
          <w:bCs/>
          <w:noProof/>
          <w:sz w:val="22"/>
        </w:rPr>
        <w:t>:</w:t>
      </w:r>
      <w:r w:rsidR="00185E64" w:rsidRPr="00E24E29">
        <w:rPr>
          <w:rFonts w:cs="Times New Roman"/>
          <w:noProof/>
          <w:sz w:val="22"/>
        </w:rPr>
        <w:t>9–17.</w:t>
      </w:r>
    </w:p>
    <w:p w14:paraId="686CF976" w14:textId="23D63594"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16.</w:t>
      </w:r>
      <w:r w:rsidRPr="00E24E29">
        <w:rPr>
          <w:rFonts w:cs="Times New Roman"/>
          <w:noProof/>
          <w:sz w:val="22"/>
        </w:rPr>
        <w:tab/>
        <w:t>Stinnett AA</w:t>
      </w:r>
      <w:r w:rsidR="00484C08" w:rsidRPr="00E24E29">
        <w:rPr>
          <w:rFonts w:cs="Times New Roman"/>
          <w:noProof/>
          <w:sz w:val="22"/>
        </w:rPr>
        <w:t>,</w:t>
      </w:r>
      <w:r w:rsidRPr="00E24E29">
        <w:rPr>
          <w:rFonts w:cs="Times New Roman"/>
          <w:noProof/>
          <w:sz w:val="22"/>
        </w:rPr>
        <w:t xml:space="preserve"> Mullahy J. Net Health Benefits : A New Framework for the Analysis of Uncertainty in Cost-Effectiveness Analysis. </w:t>
      </w:r>
      <w:r w:rsidRPr="00E24E29">
        <w:rPr>
          <w:rFonts w:cs="Times New Roman"/>
          <w:iCs/>
          <w:noProof/>
          <w:sz w:val="22"/>
        </w:rPr>
        <w:t>Med Decis Mak.</w:t>
      </w:r>
      <w:r w:rsidRPr="00E24E29">
        <w:rPr>
          <w:rFonts w:cs="Times New Roman"/>
          <w:noProof/>
          <w:sz w:val="22"/>
        </w:rPr>
        <w:t xml:space="preserve"> </w:t>
      </w:r>
      <w:r w:rsidR="00A46EB3" w:rsidRPr="00E24E29">
        <w:rPr>
          <w:rFonts w:cs="Times New Roman"/>
          <w:noProof/>
          <w:sz w:val="22"/>
        </w:rPr>
        <w:t>1998;</w:t>
      </w:r>
      <w:r w:rsidRPr="00E24E29">
        <w:rPr>
          <w:rFonts w:cs="Times New Roman"/>
          <w:bCs/>
          <w:noProof/>
          <w:sz w:val="22"/>
        </w:rPr>
        <w:t>18</w:t>
      </w:r>
      <w:r w:rsidR="00A46EB3" w:rsidRPr="00E24E29">
        <w:rPr>
          <w:rFonts w:cs="Times New Roman"/>
          <w:bCs/>
          <w:noProof/>
          <w:sz w:val="22"/>
        </w:rPr>
        <w:t>:</w:t>
      </w:r>
      <w:r w:rsidRPr="00E24E29">
        <w:rPr>
          <w:rFonts w:cs="Times New Roman"/>
          <w:noProof/>
          <w:sz w:val="22"/>
        </w:rPr>
        <w:t>S68-80.</w:t>
      </w:r>
    </w:p>
    <w:p w14:paraId="37AB06A0" w14:textId="75631A4A"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17.</w:t>
      </w:r>
      <w:r w:rsidRPr="00E24E29">
        <w:rPr>
          <w:rFonts w:cs="Times New Roman"/>
          <w:noProof/>
          <w:sz w:val="22"/>
        </w:rPr>
        <w:tab/>
        <w:t>Kaplan GG, Hur C, Korzenik J</w:t>
      </w:r>
      <w:r w:rsidR="00484C08" w:rsidRPr="00E24E29">
        <w:rPr>
          <w:rFonts w:cs="Times New Roman"/>
          <w:noProof/>
          <w:sz w:val="22"/>
        </w:rPr>
        <w:t>,</w:t>
      </w:r>
      <w:r w:rsidRPr="00E24E29">
        <w:rPr>
          <w:rFonts w:cs="Times New Roman"/>
          <w:noProof/>
          <w:sz w:val="22"/>
        </w:rPr>
        <w:t xml:space="preserve"> Sands BE. Infliximab dose escalation vs. initiation of adalimumab for loss of response in Crohn’s disease: A cost-effectiveness analysis. </w:t>
      </w:r>
      <w:r w:rsidRPr="00E24E29">
        <w:rPr>
          <w:rFonts w:cs="Times New Roman"/>
          <w:iCs/>
          <w:noProof/>
          <w:sz w:val="22"/>
        </w:rPr>
        <w:t>Aliment Pharmacol Ther.</w:t>
      </w:r>
      <w:r w:rsidRPr="00E24E29">
        <w:rPr>
          <w:rFonts w:cs="Times New Roman"/>
          <w:noProof/>
          <w:sz w:val="22"/>
        </w:rPr>
        <w:t xml:space="preserve"> </w:t>
      </w:r>
      <w:r w:rsidR="00A46EB3" w:rsidRPr="00E24E29">
        <w:rPr>
          <w:rFonts w:cs="Times New Roman"/>
          <w:noProof/>
          <w:sz w:val="22"/>
        </w:rPr>
        <w:t>2007;</w:t>
      </w:r>
      <w:r w:rsidRPr="00E24E29">
        <w:rPr>
          <w:rFonts w:cs="Times New Roman"/>
          <w:bCs/>
          <w:noProof/>
          <w:sz w:val="22"/>
        </w:rPr>
        <w:t>26</w:t>
      </w:r>
      <w:r w:rsidR="00A46EB3" w:rsidRPr="00E24E29">
        <w:rPr>
          <w:rFonts w:cs="Times New Roman"/>
          <w:bCs/>
          <w:noProof/>
          <w:sz w:val="22"/>
        </w:rPr>
        <w:t>:</w:t>
      </w:r>
      <w:r w:rsidRPr="00E24E29">
        <w:rPr>
          <w:rFonts w:cs="Times New Roman"/>
          <w:noProof/>
          <w:sz w:val="22"/>
        </w:rPr>
        <w:t>1509–1520.</w:t>
      </w:r>
    </w:p>
    <w:p w14:paraId="3729EB09" w14:textId="26124572"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18.</w:t>
      </w:r>
      <w:r w:rsidRPr="00E24E29">
        <w:rPr>
          <w:rFonts w:cs="Times New Roman"/>
          <w:noProof/>
          <w:sz w:val="22"/>
        </w:rPr>
        <w:tab/>
        <w:t>Roda G, Jharap B, Neeraj N</w:t>
      </w:r>
      <w:r w:rsidR="00484C08" w:rsidRPr="00E24E29">
        <w:rPr>
          <w:rFonts w:cs="Times New Roman"/>
          <w:noProof/>
          <w:sz w:val="22"/>
        </w:rPr>
        <w:t>,</w:t>
      </w:r>
      <w:r w:rsidRPr="00E24E29">
        <w:rPr>
          <w:rFonts w:cs="Times New Roman"/>
          <w:noProof/>
          <w:sz w:val="22"/>
        </w:rPr>
        <w:t xml:space="preserve"> Colombel J-F. Loss of Response to Anti-TNFs: Definition, Epidemiology, and Management. </w:t>
      </w:r>
      <w:r w:rsidRPr="00E24E29">
        <w:rPr>
          <w:rFonts w:cs="Times New Roman"/>
          <w:iCs/>
          <w:noProof/>
          <w:sz w:val="22"/>
        </w:rPr>
        <w:t>Clin Transl Gastroenterol</w:t>
      </w:r>
      <w:r w:rsidR="00A46EB3" w:rsidRPr="00E24E29">
        <w:rPr>
          <w:rFonts w:cs="Times New Roman"/>
          <w:iCs/>
          <w:noProof/>
          <w:sz w:val="22"/>
        </w:rPr>
        <w:t>.</w:t>
      </w:r>
      <w:r w:rsidRPr="00E24E29">
        <w:rPr>
          <w:rFonts w:cs="Times New Roman"/>
          <w:noProof/>
          <w:sz w:val="22"/>
        </w:rPr>
        <w:t xml:space="preserve"> </w:t>
      </w:r>
      <w:r w:rsidR="00A46EB3" w:rsidRPr="00E24E29">
        <w:rPr>
          <w:rFonts w:cs="Times New Roman"/>
          <w:noProof/>
          <w:sz w:val="22"/>
        </w:rPr>
        <w:t>2016;</w:t>
      </w:r>
      <w:r w:rsidRPr="00E24E29">
        <w:rPr>
          <w:rFonts w:cs="Times New Roman"/>
          <w:bCs/>
          <w:noProof/>
          <w:sz w:val="22"/>
        </w:rPr>
        <w:t>7</w:t>
      </w:r>
      <w:r w:rsidR="00A46EB3" w:rsidRPr="00E24E29">
        <w:rPr>
          <w:rFonts w:cs="Times New Roman"/>
          <w:bCs/>
          <w:noProof/>
          <w:sz w:val="22"/>
        </w:rPr>
        <w:t>:</w:t>
      </w:r>
      <w:r w:rsidRPr="00E24E29">
        <w:rPr>
          <w:rFonts w:cs="Times New Roman"/>
          <w:noProof/>
          <w:sz w:val="22"/>
        </w:rPr>
        <w:t>e135.</w:t>
      </w:r>
    </w:p>
    <w:p w14:paraId="5E2A99F9" w14:textId="50E9BE18"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19.</w:t>
      </w:r>
      <w:r w:rsidRPr="00E24E29">
        <w:rPr>
          <w:rFonts w:cs="Times New Roman"/>
          <w:noProof/>
          <w:sz w:val="22"/>
        </w:rPr>
        <w:tab/>
      </w:r>
      <w:r w:rsidR="00D11C4F" w:rsidRPr="00E24E29">
        <w:rPr>
          <w:rFonts w:cs="Times New Roman"/>
          <w:noProof/>
          <w:sz w:val="22"/>
        </w:rPr>
        <w:t xml:space="preserve">Cheifetz A, Smedley M, Martin S, </w:t>
      </w:r>
      <w:r w:rsidRPr="00E24E29">
        <w:rPr>
          <w:rFonts w:cs="Times New Roman"/>
          <w:iCs/>
          <w:noProof/>
          <w:sz w:val="22"/>
        </w:rPr>
        <w:t>et al.</w:t>
      </w:r>
      <w:r w:rsidRPr="00E24E29">
        <w:rPr>
          <w:rFonts w:cs="Times New Roman"/>
          <w:noProof/>
          <w:sz w:val="22"/>
        </w:rPr>
        <w:t xml:space="preserve"> The incidence and management of infusion reactions to infliximab: A large center experience. </w:t>
      </w:r>
      <w:r w:rsidRPr="00E24E29">
        <w:rPr>
          <w:rFonts w:cs="Times New Roman"/>
          <w:iCs/>
          <w:noProof/>
          <w:sz w:val="22"/>
        </w:rPr>
        <w:t>Am J Gastroenterol.</w:t>
      </w:r>
      <w:r w:rsidRPr="00E24E29">
        <w:rPr>
          <w:rFonts w:cs="Times New Roman"/>
          <w:noProof/>
          <w:sz w:val="22"/>
        </w:rPr>
        <w:t xml:space="preserve"> </w:t>
      </w:r>
      <w:r w:rsidR="00A46EB3" w:rsidRPr="00E24E29">
        <w:rPr>
          <w:rFonts w:cs="Times New Roman"/>
          <w:noProof/>
          <w:sz w:val="22"/>
        </w:rPr>
        <w:t>2003;</w:t>
      </w:r>
      <w:r w:rsidRPr="00E24E29">
        <w:rPr>
          <w:rFonts w:cs="Times New Roman"/>
          <w:bCs/>
          <w:noProof/>
          <w:sz w:val="22"/>
        </w:rPr>
        <w:t>98</w:t>
      </w:r>
      <w:r w:rsidR="00A46EB3" w:rsidRPr="00E24E29">
        <w:rPr>
          <w:rFonts w:cs="Times New Roman"/>
          <w:bCs/>
          <w:noProof/>
          <w:sz w:val="22"/>
        </w:rPr>
        <w:t>:</w:t>
      </w:r>
      <w:r w:rsidRPr="00E24E29">
        <w:rPr>
          <w:rFonts w:cs="Times New Roman"/>
          <w:noProof/>
          <w:sz w:val="22"/>
        </w:rPr>
        <w:t>1315–1324.</w:t>
      </w:r>
    </w:p>
    <w:p w14:paraId="2361E044" w14:textId="322E7902"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20.</w:t>
      </w:r>
      <w:r w:rsidRPr="00E24E29">
        <w:rPr>
          <w:rFonts w:cs="Times New Roman"/>
          <w:noProof/>
          <w:sz w:val="22"/>
        </w:rPr>
        <w:tab/>
      </w:r>
      <w:r w:rsidR="00D11C4F" w:rsidRPr="00E24E29">
        <w:rPr>
          <w:rFonts w:cs="Times New Roman"/>
          <w:noProof/>
          <w:sz w:val="22"/>
        </w:rPr>
        <w:t xml:space="preserve">Gomollón F, Dignass A, Annese V, </w:t>
      </w:r>
      <w:r w:rsidRPr="00E24E29">
        <w:rPr>
          <w:rFonts w:cs="Times New Roman"/>
          <w:iCs/>
          <w:noProof/>
          <w:sz w:val="22"/>
        </w:rPr>
        <w:t>et al.</w:t>
      </w:r>
      <w:r w:rsidRPr="00E24E29">
        <w:rPr>
          <w:rFonts w:cs="Times New Roman"/>
          <w:noProof/>
          <w:sz w:val="22"/>
        </w:rPr>
        <w:t xml:space="preserve"> 3rd European evidence-based consensus on the diagnosis and management of Crohn’s disease 2016: Part 1: Diagnosis and medical management. </w:t>
      </w:r>
      <w:r w:rsidR="00A46EB3" w:rsidRPr="00E24E29">
        <w:rPr>
          <w:rFonts w:cs="Times New Roman"/>
          <w:iCs/>
          <w:noProof/>
          <w:sz w:val="22"/>
        </w:rPr>
        <w:t>J</w:t>
      </w:r>
      <w:r w:rsidRPr="00E24E29">
        <w:rPr>
          <w:rFonts w:cs="Times New Roman"/>
          <w:iCs/>
          <w:noProof/>
          <w:sz w:val="22"/>
        </w:rPr>
        <w:t xml:space="preserve"> Crohn’s Colitis</w:t>
      </w:r>
      <w:r w:rsidRPr="00E24E29">
        <w:rPr>
          <w:rFonts w:cs="Times New Roman"/>
          <w:noProof/>
          <w:sz w:val="22"/>
        </w:rPr>
        <w:t xml:space="preserve"> </w:t>
      </w:r>
      <w:r w:rsidR="00A46EB3" w:rsidRPr="00E24E29">
        <w:rPr>
          <w:rFonts w:cs="Times New Roman"/>
          <w:noProof/>
          <w:sz w:val="22"/>
        </w:rPr>
        <w:t>2017;</w:t>
      </w:r>
      <w:r w:rsidRPr="00E24E29">
        <w:rPr>
          <w:rFonts w:cs="Times New Roman"/>
          <w:bCs/>
          <w:noProof/>
          <w:sz w:val="22"/>
        </w:rPr>
        <w:t>11</w:t>
      </w:r>
      <w:r w:rsidR="00A46EB3" w:rsidRPr="00E24E29">
        <w:rPr>
          <w:rFonts w:cs="Times New Roman"/>
          <w:bCs/>
          <w:noProof/>
          <w:sz w:val="22"/>
        </w:rPr>
        <w:t>:</w:t>
      </w:r>
      <w:r w:rsidRPr="00E24E29">
        <w:rPr>
          <w:rFonts w:cs="Times New Roman"/>
          <w:noProof/>
          <w:sz w:val="22"/>
        </w:rPr>
        <w:t>3–25.</w:t>
      </w:r>
    </w:p>
    <w:p w14:paraId="7CE55F60" w14:textId="77777777"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21.</w:t>
      </w:r>
      <w:r w:rsidRPr="00E24E29">
        <w:rPr>
          <w:rFonts w:cs="Times New Roman"/>
          <w:noProof/>
          <w:sz w:val="22"/>
        </w:rPr>
        <w:tab/>
        <w:t xml:space="preserve">Medicines.org.uk. Remicade 100mg powder for concentrate for solution for infusion - SUMMARY OF PRODUCT CHARACTERISTICS (SPC). </w:t>
      </w:r>
      <w:r w:rsidRPr="00E24E29">
        <w:rPr>
          <w:rFonts w:cs="Times New Roman"/>
          <w:iCs/>
          <w:noProof/>
          <w:sz w:val="22"/>
        </w:rPr>
        <w:t>eMC</w:t>
      </w:r>
      <w:r w:rsidRPr="00E24E29">
        <w:rPr>
          <w:rFonts w:cs="Times New Roman"/>
          <w:noProof/>
          <w:sz w:val="22"/>
        </w:rPr>
        <w:t xml:space="preserve"> 1–16 (2009). Available at: http://www.ema.europa.eu/docs/en_GB/document_library/EPAR_-_Product_Information/human/000240/WC500050888.pdf. (Accessed: 25th June 2018)</w:t>
      </w:r>
    </w:p>
    <w:p w14:paraId="0688DB71" w14:textId="507B4BAD"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22.</w:t>
      </w:r>
      <w:r w:rsidRPr="00E24E29">
        <w:rPr>
          <w:rFonts w:cs="Times New Roman"/>
          <w:noProof/>
          <w:sz w:val="22"/>
        </w:rPr>
        <w:tab/>
        <w:t>Terdiman JP, Gruss CB, Heidelbaugh JJ, Sultan S</w:t>
      </w:r>
      <w:r w:rsidR="00484C08" w:rsidRPr="00E24E29">
        <w:rPr>
          <w:rFonts w:cs="Times New Roman"/>
          <w:noProof/>
          <w:sz w:val="22"/>
        </w:rPr>
        <w:t>,</w:t>
      </w:r>
      <w:r w:rsidRPr="00E24E29">
        <w:rPr>
          <w:rFonts w:cs="Times New Roman"/>
          <w:noProof/>
          <w:sz w:val="22"/>
        </w:rPr>
        <w:t xml:space="preserve"> Falck-Ytter YT. American gastroenterological association institute guideline on the use of thiopurines, methotrexate, and anti-TNF-α biologic drugs for the induction and maintenance of remission in inflammatory Crohn’s disease. </w:t>
      </w:r>
      <w:r w:rsidRPr="00E24E29">
        <w:rPr>
          <w:rFonts w:cs="Times New Roman"/>
          <w:iCs/>
          <w:noProof/>
          <w:sz w:val="22"/>
        </w:rPr>
        <w:t>Gastroenterology</w:t>
      </w:r>
      <w:r w:rsidRPr="00E24E29">
        <w:rPr>
          <w:rFonts w:cs="Times New Roman"/>
          <w:noProof/>
          <w:sz w:val="22"/>
        </w:rPr>
        <w:t xml:space="preserve"> </w:t>
      </w:r>
      <w:r w:rsidR="00A46EB3" w:rsidRPr="00E24E29">
        <w:rPr>
          <w:rFonts w:cs="Times New Roman"/>
          <w:noProof/>
          <w:sz w:val="22"/>
        </w:rPr>
        <w:t>2013;</w:t>
      </w:r>
      <w:r w:rsidRPr="00E24E29">
        <w:rPr>
          <w:rFonts w:cs="Times New Roman"/>
          <w:bCs/>
          <w:noProof/>
          <w:sz w:val="22"/>
        </w:rPr>
        <w:t>145</w:t>
      </w:r>
      <w:r w:rsidR="00A46EB3" w:rsidRPr="00E24E29">
        <w:rPr>
          <w:rFonts w:cs="Times New Roman"/>
          <w:bCs/>
          <w:noProof/>
          <w:sz w:val="22"/>
        </w:rPr>
        <w:t>:</w:t>
      </w:r>
      <w:r w:rsidRPr="00E24E29">
        <w:rPr>
          <w:rFonts w:cs="Times New Roman"/>
          <w:noProof/>
          <w:sz w:val="22"/>
        </w:rPr>
        <w:t>1459–1463.</w:t>
      </w:r>
    </w:p>
    <w:p w14:paraId="4B573160" w14:textId="3BE516D8"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23.</w:t>
      </w:r>
      <w:r w:rsidRPr="00E24E29">
        <w:rPr>
          <w:rFonts w:cs="Times New Roman"/>
          <w:noProof/>
          <w:sz w:val="22"/>
        </w:rPr>
        <w:tab/>
        <w:t>Hanauer SB</w:t>
      </w:r>
      <w:r w:rsidR="00484C08" w:rsidRPr="00E24E29">
        <w:rPr>
          <w:rFonts w:cs="Times New Roman"/>
          <w:noProof/>
          <w:sz w:val="22"/>
        </w:rPr>
        <w:t>,</w:t>
      </w:r>
      <w:r w:rsidRPr="00E24E29">
        <w:rPr>
          <w:rFonts w:cs="Times New Roman"/>
          <w:noProof/>
          <w:sz w:val="22"/>
        </w:rPr>
        <w:t xml:space="preserve"> </w:t>
      </w:r>
      <w:r w:rsidR="00462421" w:rsidRPr="00E24E29">
        <w:rPr>
          <w:rFonts w:cs="Times New Roman"/>
          <w:noProof/>
          <w:sz w:val="22"/>
        </w:rPr>
        <w:t xml:space="preserve">Feagan BG, Lichtenstein GR, </w:t>
      </w:r>
      <w:r w:rsidRPr="00E24E29">
        <w:rPr>
          <w:rFonts w:cs="Times New Roman"/>
          <w:iCs/>
          <w:noProof/>
          <w:sz w:val="22"/>
        </w:rPr>
        <w:t>et al.</w:t>
      </w:r>
      <w:r w:rsidRPr="00E24E29">
        <w:rPr>
          <w:rFonts w:cs="Times New Roman"/>
          <w:noProof/>
          <w:sz w:val="22"/>
        </w:rPr>
        <w:t xml:space="preserve"> Maintenance infliximab for Crohn’s disease: The ACCENT I randomised trial. </w:t>
      </w:r>
      <w:r w:rsidRPr="00E24E29">
        <w:rPr>
          <w:rFonts w:cs="Times New Roman"/>
          <w:iCs/>
          <w:noProof/>
          <w:sz w:val="22"/>
        </w:rPr>
        <w:t>Lancet</w:t>
      </w:r>
      <w:r w:rsidRPr="00E24E29">
        <w:rPr>
          <w:rFonts w:cs="Times New Roman"/>
          <w:noProof/>
          <w:sz w:val="22"/>
        </w:rPr>
        <w:t xml:space="preserve"> </w:t>
      </w:r>
      <w:r w:rsidR="00A46EB3" w:rsidRPr="00E24E29">
        <w:rPr>
          <w:rFonts w:cs="Times New Roman"/>
          <w:noProof/>
          <w:sz w:val="22"/>
        </w:rPr>
        <w:t>2002;</w:t>
      </w:r>
      <w:r w:rsidRPr="00E24E29">
        <w:rPr>
          <w:rFonts w:cs="Times New Roman"/>
          <w:bCs/>
          <w:noProof/>
          <w:sz w:val="22"/>
        </w:rPr>
        <w:t>359</w:t>
      </w:r>
      <w:r w:rsidR="00A46EB3" w:rsidRPr="00E24E29">
        <w:rPr>
          <w:rFonts w:cs="Times New Roman"/>
          <w:bCs/>
          <w:noProof/>
          <w:sz w:val="22"/>
        </w:rPr>
        <w:t>:</w:t>
      </w:r>
      <w:r w:rsidRPr="00E24E29">
        <w:rPr>
          <w:rFonts w:cs="Times New Roman"/>
          <w:noProof/>
          <w:sz w:val="22"/>
        </w:rPr>
        <w:t>1541–1549.</w:t>
      </w:r>
    </w:p>
    <w:p w14:paraId="6B0E19F9" w14:textId="77777777"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24.</w:t>
      </w:r>
      <w:r w:rsidRPr="00E24E29">
        <w:rPr>
          <w:rFonts w:cs="Times New Roman"/>
          <w:noProof/>
          <w:sz w:val="22"/>
        </w:rPr>
        <w:tab/>
        <w:t>Office for National Statistics. UK Life Tables 2012-2014. (2016).</w:t>
      </w:r>
    </w:p>
    <w:p w14:paraId="17074717" w14:textId="56DB16CC"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25.</w:t>
      </w:r>
      <w:r w:rsidRPr="00E24E29">
        <w:rPr>
          <w:rFonts w:cs="Times New Roman"/>
          <w:noProof/>
          <w:sz w:val="22"/>
        </w:rPr>
        <w:tab/>
        <w:t>Lee LYW, Sanderson JD</w:t>
      </w:r>
      <w:r w:rsidR="00484C08" w:rsidRPr="00E24E29">
        <w:rPr>
          <w:rFonts w:cs="Times New Roman"/>
          <w:noProof/>
          <w:sz w:val="22"/>
        </w:rPr>
        <w:t>,</w:t>
      </w:r>
      <w:r w:rsidRPr="00E24E29">
        <w:rPr>
          <w:rFonts w:cs="Times New Roman"/>
          <w:noProof/>
          <w:sz w:val="22"/>
        </w:rPr>
        <w:t xml:space="preserve"> Irving PM. Anti-infliximab antibodies in inflammatory bowel disease. </w:t>
      </w:r>
      <w:r w:rsidRPr="00E24E29">
        <w:rPr>
          <w:rFonts w:cs="Times New Roman"/>
          <w:iCs/>
          <w:noProof/>
          <w:sz w:val="22"/>
        </w:rPr>
        <w:t>Eur J Gastroenterol Hepatol.</w:t>
      </w:r>
      <w:r w:rsidRPr="00E24E29">
        <w:rPr>
          <w:rFonts w:cs="Times New Roman"/>
          <w:noProof/>
          <w:sz w:val="22"/>
        </w:rPr>
        <w:t xml:space="preserve"> </w:t>
      </w:r>
      <w:r w:rsidR="00A46EB3" w:rsidRPr="00E24E29">
        <w:rPr>
          <w:rFonts w:cs="Times New Roman"/>
          <w:noProof/>
          <w:sz w:val="22"/>
        </w:rPr>
        <w:t>2012;</w:t>
      </w:r>
      <w:r w:rsidRPr="00E24E29">
        <w:rPr>
          <w:rFonts w:cs="Times New Roman"/>
          <w:bCs/>
          <w:noProof/>
          <w:sz w:val="22"/>
        </w:rPr>
        <w:t>24</w:t>
      </w:r>
      <w:r w:rsidR="00A46EB3" w:rsidRPr="00E24E29">
        <w:rPr>
          <w:rFonts w:cs="Times New Roman"/>
          <w:bCs/>
          <w:noProof/>
          <w:sz w:val="22"/>
        </w:rPr>
        <w:t>:</w:t>
      </w:r>
      <w:r w:rsidRPr="00E24E29">
        <w:rPr>
          <w:rFonts w:cs="Times New Roman"/>
          <w:noProof/>
          <w:sz w:val="22"/>
        </w:rPr>
        <w:t>1078–1085.</w:t>
      </w:r>
    </w:p>
    <w:p w14:paraId="0D3F0AE9" w14:textId="61CAB39E"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26.</w:t>
      </w:r>
      <w:r w:rsidRPr="00E24E29">
        <w:rPr>
          <w:rFonts w:cs="Times New Roman"/>
          <w:noProof/>
          <w:sz w:val="22"/>
        </w:rPr>
        <w:tab/>
        <w:t>Miheller P</w:t>
      </w:r>
      <w:r w:rsidR="00484C08" w:rsidRPr="00E24E29">
        <w:rPr>
          <w:rFonts w:cs="Times New Roman"/>
          <w:noProof/>
          <w:sz w:val="22"/>
        </w:rPr>
        <w:t>,</w:t>
      </w:r>
      <w:r w:rsidRPr="00E24E29">
        <w:rPr>
          <w:rFonts w:cs="Times New Roman"/>
          <w:noProof/>
          <w:sz w:val="22"/>
        </w:rPr>
        <w:t xml:space="preserve"> </w:t>
      </w:r>
      <w:r w:rsidR="00462421" w:rsidRPr="00E24E29">
        <w:rPr>
          <w:rFonts w:cs="Times New Roman"/>
          <w:noProof/>
          <w:sz w:val="22"/>
        </w:rPr>
        <w:t xml:space="preserve">Lakatos PL, Horváth G, </w:t>
      </w:r>
      <w:r w:rsidRPr="00E24E29">
        <w:rPr>
          <w:rFonts w:cs="Times New Roman"/>
          <w:iCs/>
          <w:noProof/>
          <w:sz w:val="22"/>
        </w:rPr>
        <w:t>et al.</w:t>
      </w:r>
      <w:r w:rsidRPr="00E24E29">
        <w:rPr>
          <w:rFonts w:cs="Times New Roman"/>
          <w:noProof/>
          <w:sz w:val="22"/>
        </w:rPr>
        <w:t xml:space="preserve"> Efficacy and safety of infliximab induction therapy in Crohn’s Disease in Central Europe - a Hungarian nationwide observational study. </w:t>
      </w:r>
      <w:r w:rsidRPr="00E24E29">
        <w:rPr>
          <w:rFonts w:cs="Times New Roman"/>
          <w:iCs/>
          <w:noProof/>
          <w:sz w:val="22"/>
        </w:rPr>
        <w:t>BMC Gastroenterol.</w:t>
      </w:r>
      <w:r w:rsidRPr="00E24E29">
        <w:rPr>
          <w:rFonts w:cs="Times New Roman"/>
          <w:noProof/>
          <w:sz w:val="22"/>
        </w:rPr>
        <w:t xml:space="preserve"> </w:t>
      </w:r>
      <w:r w:rsidR="00A46EB3" w:rsidRPr="00E24E29">
        <w:rPr>
          <w:rFonts w:cs="Times New Roman"/>
          <w:bCs/>
          <w:noProof/>
          <w:sz w:val="22"/>
        </w:rPr>
        <w:t>2009;9:66</w:t>
      </w:r>
      <w:r w:rsidRPr="00E24E29">
        <w:rPr>
          <w:rFonts w:cs="Times New Roman"/>
          <w:noProof/>
          <w:sz w:val="22"/>
        </w:rPr>
        <w:t>.</w:t>
      </w:r>
    </w:p>
    <w:p w14:paraId="4692400C" w14:textId="299B0D84"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27.</w:t>
      </w:r>
      <w:r w:rsidRPr="00E24E29">
        <w:rPr>
          <w:rFonts w:cs="Times New Roman"/>
          <w:noProof/>
          <w:sz w:val="22"/>
        </w:rPr>
        <w:tab/>
        <w:t>Nanda KS, Cheifetz AS</w:t>
      </w:r>
      <w:r w:rsidR="00484C08" w:rsidRPr="00E24E29">
        <w:rPr>
          <w:rFonts w:cs="Times New Roman"/>
          <w:noProof/>
          <w:sz w:val="22"/>
        </w:rPr>
        <w:t>,</w:t>
      </w:r>
      <w:r w:rsidRPr="00E24E29">
        <w:rPr>
          <w:rFonts w:cs="Times New Roman"/>
          <w:noProof/>
          <w:sz w:val="22"/>
        </w:rPr>
        <w:t xml:space="preserve"> Moss AC. Impact of antibodies to infliximab on clinical outcomes and serum infliximab levels in patients with inflammatory bowel disease (IBD): a meta-analysis. </w:t>
      </w:r>
      <w:r w:rsidRPr="00E24E29">
        <w:rPr>
          <w:rFonts w:cs="Times New Roman"/>
          <w:iCs/>
          <w:noProof/>
          <w:sz w:val="22"/>
        </w:rPr>
        <w:t>Am J Gastroenterol</w:t>
      </w:r>
      <w:r w:rsidRPr="00E24E29">
        <w:rPr>
          <w:rFonts w:cs="Times New Roman"/>
          <w:noProof/>
          <w:sz w:val="22"/>
        </w:rPr>
        <w:t xml:space="preserve"> </w:t>
      </w:r>
      <w:r w:rsidR="00A46EB3" w:rsidRPr="00E24E29">
        <w:rPr>
          <w:rFonts w:cs="Times New Roman"/>
          <w:noProof/>
          <w:sz w:val="22"/>
        </w:rPr>
        <w:t>2013;</w:t>
      </w:r>
      <w:r w:rsidRPr="00E24E29">
        <w:rPr>
          <w:rFonts w:cs="Times New Roman"/>
          <w:bCs/>
          <w:noProof/>
          <w:sz w:val="22"/>
        </w:rPr>
        <w:t>108</w:t>
      </w:r>
      <w:r w:rsidR="00A46EB3" w:rsidRPr="00E24E29">
        <w:rPr>
          <w:rFonts w:cs="Times New Roman"/>
          <w:bCs/>
          <w:noProof/>
          <w:sz w:val="22"/>
        </w:rPr>
        <w:t>:</w:t>
      </w:r>
      <w:r w:rsidRPr="00E24E29">
        <w:rPr>
          <w:rFonts w:cs="Times New Roman"/>
          <w:noProof/>
          <w:sz w:val="22"/>
        </w:rPr>
        <w:t>40–47.</w:t>
      </w:r>
    </w:p>
    <w:p w14:paraId="73AFD70F" w14:textId="3859A5C4"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28.</w:t>
      </w:r>
      <w:r w:rsidRPr="00E24E29">
        <w:rPr>
          <w:rFonts w:cs="Times New Roman"/>
          <w:noProof/>
          <w:sz w:val="22"/>
        </w:rPr>
        <w:tab/>
        <w:t>Saito S</w:t>
      </w:r>
      <w:r w:rsidR="00484C08" w:rsidRPr="00E24E29">
        <w:rPr>
          <w:rFonts w:cs="Times New Roman"/>
          <w:noProof/>
          <w:sz w:val="22"/>
        </w:rPr>
        <w:t>,</w:t>
      </w:r>
      <w:r w:rsidRPr="00E24E29">
        <w:rPr>
          <w:rFonts w:cs="Times New Roman"/>
          <w:noProof/>
          <w:sz w:val="22"/>
        </w:rPr>
        <w:t xml:space="preserve"> </w:t>
      </w:r>
      <w:r w:rsidR="00462421" w:rsidRPr="00E24E29">
        <w:rPr>
          <w:rFonts w:cs="Times New Roman"/>
          <w:noProof/>
          <w:sz w:val="22"/>
        </w:rPr>
        <w:t xml:space="preserve">Shimizu U, Nan Z, </w:t>
      </w:r>
      <w:r w:rsidRPr="00E24E29">
        <w:rPr>
          <w:rFonts w:cs="Times New Roman"/>
          <w:iCs/>
          <w:noProof/>
          <w:sz w:val="22"/>
        </w:rPr>
        <w:t>et al.</w:t>
      </w:r>
      <w:r w:rsidRPr="00E24E29">
        <w:rPr>
          <w:rFonts w:cs="Times New Roman"/>
          <w:noProof/>
          <w:sz w:val="22"/>
        </w:rPr>
        <w:t xml:space="preserve"> Economic impact of combination therapy with infliximab plus azathioprine for drug-refractory Crohn’s disease: A cost-effectiveness analysis. </w:t>
      </w:r>
      <w:r w:rsidRPr="00E24E29">
        <w:rPr>
          <w:rFonts w:cs="Times New Roman"/>
          <w:iCs/>
          <w:noProof/>
          <w:sz w:val="22"/>
        </w:rPr>
        <w:t>J. Crohn’s Colitis</w:t>
      </w:r>
      <w:r w:rsidRPr="00E24E29">
        <w:rPr>
          <w:rFonts w:cs="Times New Roman"/>
          <w:noProof/>
          <w:sz w:val="22"/>
        </w:rPr>
        <w:t xml:space="preserve"> </w:t>
      </w:r>
      <w:r w:rsidR="00A46EB3" w:rsidRPr="00E24E29">
        <w:rPr>
          <w:rFonts w:cs="Times New Roman"/>
          <w:noProof/>
          <w:sz w:val="22"/>
        </w:rPr>
        <w:t>2013;</w:t>
      </w:r>
      <w:r w:rsidRPr="00E24E29">
        <w:rPr>
          <w:rFonts w:cs="Times New Roman"/>
          <w:bCs/>
          <w:noProof/>
          <w:sz w:val="22"/>
        </w:rPr>
        <w:t>7</w:t>
      </w:r>
      <w:r w:rsidR="00A46EB3" w:rsidRPr="00E24E29">
        <w:rPr>
          <w:rFonts w:cs="Times New Roman"/>
          <w:bCs/>
          <w:noProof/>
          <w:sz w:val="22"/>
        </w:rPr>
        <w:t>:</w:t>
      </w:r>
      <w:r w:rsidRPr="00E24E29">
        <w:rPr>
          <w:rFonts w:cs="Times New Roman"/>
          <w:noProof/>
          <w:sz w:val="22"/>
        </w:rPr>
        <w:t>167–174.</w:t>
      </w:r>
    </w:p>
    <w:p w14:paraId="3BDA5E53" w14:textId="62392339"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29.</w:t>
      </w:r>
      <w:r w:rsidRPr="00E24E29">
        <w:rPr>
          <w:rFonts w:cs="Times New Roman"/>
          <w:noProof/>
          <w:sz w:val="22"/>
        </w:rPr>
        <w:tab/>
        <w:t>Silverstein MD</w:t>
      </w:r>
      <w:r w:rsidR="00484C08" w:rsidRPr="00E24E29">
        <w:rPr>
          <w:rFonts w:cs="Times New Roman"/>
          <w:noProof/>
          <w:sz w:val="22"/>
        </w:rPr>
        <w:t>,</w:t>
      </w:r>
      <w:r w:rsidRPr="00E24E29">
        <w:rPr>
          <w:rFonts w:cs="Times New Roman"/>
          <w:noProof/>
          <w:sz w:val="22"/>
        </w:rPr>
        <w:t xml:space="preserve"> </w:t>
      </w:r>
      <w:r w:rsidR="00462421" w:rsidRPr="00E24E29">
        <w:rPr>
          <w:rFonts w:cs="Times New Roman"/>
          <w:noProof/>
          <w:sz w:val="22"/>
        </w:rPr>
        <w:t xml:space="preserve">Loftus EV, Sandborn WJ, </w:t>
      </w:r>
      <w:r w:rsidRPr="00E24E29">
        <w:rPr>
          <w:rFonts w:cs="Times New Roman"/>
          <w:iCs/>
          <w:noProof/>
          <w:sz w:val="22"/>
        </w:rPr>
        <w:t>et al.</w:t>
      </w:r>
      <w:r w:rsidRPr="00E24E29">
        <w:rPr>
          <w:rFonts w:cs="Times New Roman"/>
          <w:noProof/>
          <w:sz w:val="22"/>
        </w:rPr>
        <w:t xml:space="preserve"> Clinical course and costs of care for Crohn’s disease: Markov model analysis of a population-based cohort. </w:t>
      </w:r>
      <w:r w:rsidRPr="00E24E29">
        <w:rPr>
          <w:rFonts w:cs="Times New Roman"/>
          <w:iCs/>
          <w:noProof/>
          <w:sz w:val="22"/>
        </w:rPr>
        <w:t>Gastroenterology</w:t>
      </w:r>
      <w:r w:rsidRPr="00E24E29">
        <w:rPr>
          <w:rFonts w:cs="Times New Roman"/>
          <w:noProof/>
          <w:sz w:val="22"/>
        </w:rPr>
        <w:t xml:space="preserve"> </w:t>
      </w:r>
      <w:r w:rsidR="00A46EB3" w:rsidRPr="00E24E29">
        <w:rPr>
          <w:rFonts w:cs="Times New Roman"/>
          <w:noProof/>
          <w:sz w:val="22"/>
        </w:rPr>
        <w:t>1999;</w:t>
      </w:r>
      <w:r w:rsidRPr="00E24E29">
        <w:rPr>
          <w:rFonts w:cs="Times New Roman"/>
          <w:bCs/>
          <w:noProof/>
          <w:sz w:val="22"/>
        </w:rPr>
        <w:t>117</w:t>
      </w:r>
      <w:r w:rsidR="00A46EB3" w:rsidRPr="00E24E29">
        <w:rPr>
          <w:rFonts w:cs="Times New Roman"/>
          <w:bCs/>
          <w:noProof/>
          <w:sz w:val="22"/>
        </w:rPr>
        <w:t>:</w:t>
      </w:r>
      <w:r w:rsidRPr="00E24E29">
        <w:rPr>
          <w:rFonts w:cs="Times New Roman"/>
          <w:noProof/>
          <w:sz w:val="22"/>
        </w:rPr>
        <w:t>49–57.</w:t>
      </w:r>
    </w:p>
    <w:p w14:paraId="43616401" w14:textId="5BFBCB13"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30.</w:t>
      </w:r>
      <w:r w:rsidRPr="00E24E29">
        <w:rPr>
          <w:rFonts w:cs="Times New Roman"/>
          <w:noProof/>
          <w:sz w:val="22"/>
        </w:rPr>
        <w:tab/>
        <w:t>O’Meara S, Nanda KS</w:t>
      </w:r>
      <w:r w:rsidR="00484C08" w:rsidRPr="00E24E29">
        <w:rPr>
          <w:rFonts w:cs="Times New Roman"/>
          <w:noProof/>
          <w:sz w:val="22"/>
        </w:rPr>
        <w:t>,</w:t>
      </w:r>
      <w:r w:rsidRPr="00E24E29">
        <w:rPr>
          <w:rFonts w:cs="Times New Roman"/>
          <w:noProof/>
          <w:sz w:val="22"/>
        </w:rPr>
        <w:t xml:space="preserve"> Moss AC. Antibodies to infliximab and risk of infusion reactions in patients with inflammatory bowel disease: a systematic review and meta-analysis. </w:t>
      </w:r>
      <w:r w:rsidRPr="00E24E29">
        <w:rPr>
          <w:rFonts w:cs="Times New Roman"/>
          <w:iCs/>
          <w:noProof/>
          <w:sz w:val="22"/>
        </w:rPr>
        <w:t>Inflamm Bowel Dis</w:t>
      </w:r>
      <w:r w:rsidRPr="00E24E29">
        <w:rPr>
          <w:rFonts w:cs="Times New Roman"/>
          <w:noProof/>
          <w:sz w:val="22"/>
        </w:rPr>
        <w:t xml:space="preserve"> </w:t>
      </w:r>
      <w:r w:rsidR="00A46EB3" w:rsidRPr="00E24E29">
        <w:rPr>
          <w:rFonts w:cs="Times New Roman"/>
          <w:noProof/>
          <w:sz w:val="22"/>
        </w:rPr>
        <w:t>2014;</w:t>
      </w:r>
      <w:r w:rsidRPr="00E24E29">
        <w:rPr>
          <w:rFonts w:cs="Times New Roman"/>
          <w:bCs/>
          <w:noProof/>
          <w:sz w:val="22"/>
        </w:rPr>
        <w:t>20</w:t>
      </w:r>
      <w:r w:rsidR="00A46EB3" w:rsidRPr="00E24E29">
        <w:rPr>
          <w:rFonts w:cs="Times New Roman"/>
          <w:bCs/>
          <w:noProof/>
          <w:sz w:val="22"/>
        </w:rPr>
        <w:t>:</w:t>
      </w:r>
      <w:r w:rsidRPr="00E24E29">
        <w:rPr>
          <w:rFonts w:cs="Times New Roman"/>
          <w:noProof/>
          <w:sz w:val="22"/>
        </w:rPr>
        <w:t>1–6.</w:t>
      </w:r>
    </w:p>
    <w:p w14:paraId="0A4649A4" w14:textId="4C24A6D3"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31.</w:t>
      </w:r>
      <w:r w:rsidRPr="00E24E29">
        <w:rPr>
          <w:rFonts w:cs="Times New Roman"/>
          <w:noProof/>
          <w:sz w:val="22"/>
        </w:rPr>
        <w:tab/>
        <w:t>Siegel CA, Finlayson SRG, Sands BE</w:t>
      </w:r>
      <w:r w:rsidR="00484C08" w:rsidRPr="00E24E29">
        <w:rPr>
          <w:rFonts w:cs="Times New Roman"/>
          <w:noProof/>
          <w:sz w:val="22"/>
        </w:rPr>
        <w:t>,</w:t>
      </w:r>
      <w:r w:rsidRPr="00E24E29">
        <w:rPr>
          <w:rFonts w:cs="Times New Roman"/>
          <w:noProof/>
          <w:sz w:val="22"/>
        </w:rPr>
        <w:t xml:space="preserve"> Tosteson ANA. Adverse events do not outweigh benefits of combination therapy for crohn’s disease in a decision analytic model. </w:t>
      </w:r>
      <w:r w:rsidRPr="00E24E29">
        <w:rPr>
          <w:rFonts w:cs="Times New Roman"/>
          <w:iCs/>
          <w:noProof/>
          <w:sz w:val="22"/>
        </w:rPr>
        <w:t>Clin Gastroenterol Hepatol.</w:t>
      </w:r>
      <w:r w:rsidRPr="00E24E29">
        <w:rPr>
          <w:rFonts w:cs="Times New Roman"/>
          <w:noProof/>
          <w:sz w:val="22"/>
        </w:rPr>
        <w:t xml:space="preserve"> </w:t>
      </w:r>
      <w:r w:rsidR="00A46EB3" w:rsidRPr="00E24E29">
        <w:rPr>
          <w:rFonts w:cs="Times New Roman"/>
          <w:noProof/>
          <w:sz w:val="22"/>
        </w:rPr>
        <w:t>2012;</w:t>
      </w:r>
      <w:r w:rsidRPr="00E24E29">
        <w:rPr>
          <w:rFonts w:cs="Times New Roman"/>
          <w:bCs/>
          <w:noProof/>
          <w:sz w:val="22"/>
        </w:rPr>
        <w:t>10</w:t>
      </w:r>
      <w:r w:rsidR="00A46EB3" w:rsidRPr="00E24E29">
        <w:rPr>
          <w:rFonts w:cs="Times New Roman"/>
          <w:bCs/>
          <w:noProof/>
          <w:sz w:val="22"/>
        </w:rPr>
        <w:t>:</w:t>
      </w:r>
      <w:r w:rsidRPr="00E24E29">
        <w:rPr>
          <w:rFonts w:cs="Times New Roman"/>
          <w:noProof/>
          <w:sz w:val="22"/>
        </w:rPr>
        <w:t>46–51.</w:t>
      </w:r>
    </w:p>
    <w:p w14:paraId="4583D2CC" w14:textId="6079C6BF" w:rsidR="00185E64"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32.</w:t>
      </w:r>
      <w:r w:rsidRPr="00E24E29">
        <w:rPr>
          <w:rFonts w:cs="Times New Roman"/>
          <w:noProof/>
          <w:sz w:val="22"/>
        </w:rPr>
        <w:tab/>
        <w:t>Ananthakrishnan AN, Hur C, Juillerat P</w:t>
      </w:r>
      <w:r w:rsidR="00484C08" w:rsidRPr="00E24E29">
        <w:rPr>
          <w:rFonts w:cs="Times New Roman"/>
          <w:noProof/>
          <w:sz w:val="22"/>
        </w:rPr>
        <w:t>,</w:t>
      </w:r>
      <w:r w:rsidRPr="00E24E29">
        <w:rPr>
          <w:rFonts w:cs="Times New Roman"/>
          <w:noProof/>
          <w:sz w:val="22"/>
        </w:rPr>
        <w:t xml:space="preserve"> Korzenik JR. Strategies for the prevention of postoperative recurrence in Crohn’s disease: results of a decision analysis. </w:t>
      </w:r>
      <w:r w:rsidRPr="00E24E29">
        <w:rPr>
          <w:rFonts w:cs="Times New Roman"/>
          <w:iCs/>
          <w:noProof/>
          <w:sz w:val="22"/>
        </w:rPr>
        <w:t>Am J Gastroenterol</w:t>
      </w:r>
      <w:r w:rsidRPr="00E24E29">
        <w:rPr>
          <w:rFonts w:cs="Times New Roman"/>
          <w:noProof/>
          <w:sz w:val="22"/>
        </w:rPr>
        <w:t xml:space="preserve"> </w:t>
      </w:r>
      <w:r w:rsidR="00A46EB3" w:rsidRPr="00E24E29">
        <w:rPr>
          <w:rFonts w:cs="Times New Roman"/>
          <w:noProof/>
          <w:sz w:val="22"/>
        </w:rPr>
        <w:t>2011;</w:t>
      </w:r>
      <w:r w:rsidRPr="00E24E29">
        <w:rPr>
          <w:rFonts w:cs="Times New Roman"/>
          <w:bCs/>
          <w:noProof/>
          <w:sz w:val="22"/>
        </w:rPr>
        <w:t>106</w:t>
      </w:r>
      <w:r w:rsidR="00A46EB3" w:rsidRPr="00E24E29">
        <w:rPr>
          <w:rFonts w:cs="Times New Roman"/>
          <w:bCs/>
          <w:noProof/>
          <w:sz w:val="22"/>
        </w:rPr>
        <w:t>:</w:t>
      </w:r>
      <w:r w:rsidRPr="00E24E29">
        <w:rPr>
          <w:rFonts w:cs="Times New Roman"/>
          <w:noProof/>
          <w:sz w:val="22"/>
        </w:rPr>
        <w:t>2009–17.</w:t>
      </w:r>
    </w:p>
    <w:p w14:paraId="3ACA8918" w14:textId="1B48A458" w:rsidR="002E218E" w:rsidRPr="00E24E29" w:rsidRDefault="002E218E" w:rsidP="00185E64">
      <w:pPr>
        <w:widowControl w:val="0"/>
        <w:autoSpaceDE w:val="0"/>
        <w:autoSpaceDN w:val="0"/>
        <w:adjustRightInd w:val="0"/>
        <w:spacing w:line="240" w:lineRule="auto"/>
        <w:ind w:left="640" w:hanging="640"/>
        <w:rPr>
          <w:rFonts w:cs="Times New Roman"/>
          <w:noProof/>
          <w:sz w:val="22"/>
        </w:rPr>
      </w:pPr>
      <w:r>
        <w:rPr>
          <w:rFonts w:cs="Times New Roman"/>
          <w:noProof/>
          <w:sz w:val="22"/>
        </w:rPr>
        <w:t>33.</w:t>
      </w:r>
      <w:r>
        <w:rPr>
          <w:rFonts w:cs="Times New Roman"/>
          <w:noProof/>
          <w:sz w:val="22"/>
        </w:rPr>
        <w:tab/>
        <w:t>Gregor JC, McDonald JWD, Klar N, Wall R, Atkinson K, Lamba B, Feagan BG. An evaluation of utility measurement in Crohn’s disease. Inflamm Bowel Dis 1997; 3:265-276.</w:t>
      </w:r>
    </w:p>
    <w:p w14:paraId="6D3ABB1E" w14:textId="49D919A5"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3</w:t>
      </w:r>
      <w:r>
        <w:rPr>
          <w:rFonts w:cs="Times New Roman"/>
          <w:noProof/>
          <w:sz w:val="22"/>
        </w:rPr>
        <w:t>4</w:t>
      </w:r>
      <w:r w:rsidR="00185E64" w:rsidRPr="00E24E29">
        <w:rPr>
          <w:rFonts w:cs="Times New Roman"/>
          <w:noProof/>
          <w:sz w:val="22"/>
        </w:rPr>
        <w:t>.</w:t>
      </w:r>
      <w:r w:rsidR="00185E64" w:rsidRPr="00E24E29">
        <w:rPr>
          <w:rFonts w:cs="Times New Roman"/>
          <w:noProof/>
          <w:sz w:val="22"/>
        </w:rPr>
        <w:tab/>
        <w:t>Doherty GA, Miksad RA, Cheifetz AS</w:t>
      </w:r>
      <w:r w:rsidR="00484C08" w:rsidRPr="00E24E29">
        <w:rPr>
          <w:rFonts w:cs="Times New Roman"/>
          <w:noProof/>
          <w:sz w:val="22"/>
        </w:rPr>
        <w:t>,</w:t>
      </w:r>
      <w:r w:rsidR="00185E64" w:rsidRPr="00E24E29">
        <w:rPr>
          <w:rFonts w:cs="Times New Roman"/>
          <w:noProof/>
          <w:sz w:val="22"/>
        </w:rPr>
        <w:t xml:space="preserve"> Moss AC. Comparative cost-effectiveness of strategies to prevent postoperative clinical recurrence of Crohn’s disease. </w:t>
      </w:r>
      <w:r w:rsidR="00185E64" w:rsidRPr="00E24E29">
        <w:rPr>
          <w:rFonts w:cs="Times New Roman"/>
          <w:iCs/>
          <w:noProof/>
          <w:sz w:val="22"/>
        </w:rPr>
        <w:t>Inflamm Bowel Dis</w:t>
      </w:r>
      <w:r w:rsidR="00185E64" w:rsidRPr="00E24E29">
        <w:rPr>
          <w:rFonts w:cs="Times New Roman"/>
          <w:noProof/>
          <w:sz w:val="22"/>
        </w:rPr>
        <w:t xml:space="preserve"> </w:t>
      </w:r>
      <w:r w:rsidR="00A46EB3" w:rsidRPr="00E24E29">
        <w:rPr>
          <w:rFonts w:cs="Times New Roman"/>
          <w:noProof/>
          <w:sz w:val="22"/>
        </w:rPr>
        <w:t>2012;</w:t>
      </w:r>
      <w:r w:rsidR="00185E64" w:rsidRPr="00E24E29">
        <w:rPr>
          <w:rFonts w:cs="Times New Roman"/>
          <w:bCs/>
          <w:noProof/>
          <w:sz w:val="22"/>
        </w:rPr>
        <w:t>18</w:t>
      </w:r>
      <w:r w:rsidR="00A46EB3" w:rsidRPr="00E24E29">
        <w:rPr>
          <w:rFonts w:cs="Times New Roman"/>
          <w:bCs/>
          <w:noProof/>
          <w:sz w:val="22"/>
        </w:rPr>
        <w:t>:</w:t>
      </w:r>
      <w:r w:rsidR="00185E64" w:rsidRPr="00E24E29">
        <w:rPr>
          <w:rFonts w:cs="Times New Roman"/>
          <w:noProof/>
          <w:sz w:val="22"/>
        </w:rPr>
        <w:t>1608–1616.</w:t>
      </w:r>
    </w:p>
    <w:p w14:paraId="01295408" w14:textId="28B9B48C"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3</w:t>
      </w:r>
      <w:r w:rsidR="002E218E">
        <w:rPr>
          <w:rFonts w:cs="Times New Roman"/>
          <w:noProof/>
          <w:sz w:val="22"/>
        </w:rPr>
        <w:t>5</w:t>
      </w:r>
      <w:r w:rsidRPr="00E24E29">
        <w:rPr>
          <w:rFonts w:cs="Times New Roman"/>
          <w:noProof/>
          <w:sz w:val="22"/>
        </w:rPr>
        <w:t>.</w:t>
      </w:r>
      <w:r w:rsidRPr="00E24E29">
        <w:rPr>
          <w:rFonts w:cs="Times New Roman"/>
          <w:noProof/>
          <w:sz w:val="22"/>
        </w:rPr>
        <w:tab/>
        <w:t>Curtis L</w:t>
      </w:r>
      <w:r w:rsidR="00484C08" w:rsidRPr="00E24E29">
        <w:rPr>
          <w:rFonts w:cs="Times New Roman"/>
          <w:noProof/>
          <w:sz w:val="22"/>
        </w:rPr>
        <w:t>.</w:t>
      </w:r>
      <w:r w:rsidRPr="00E24E29">
        <w:rPr>
          <w:rFonts w:cs="Times New Roman"/>
          <w:noProof/>
          <w:sz w:val="22"/>
        </w:rPr>
        <w:t xml:space="preserve"> </w:t>
      </w:r>
      <w:r w:rsidR="00484C08" w:rsidRPr="00E24E29">
        <w:rPr>
          <w:rFonts w:cs="Times New Roman"/>
          <w:noProof/>
          <w:sz w:val="22"/>
        </w:rPr>
        <w:t>PSSR</w:t>
      </w:r>
      <w:r w:rsidRPr="00E24E29">
        <w:rPr>
          <w:rFonts w:cs="Times New Roman"/>
          <w:noProof/>
          <w:sz w:val="22"/>
        </w:rPr>
        <w:t xml:space="preserve"> </w:t>
      </w:r>
      <w:r w:rsidRPr="00E24E29">
        <w:rPr>
          <w:rFonts w:cs="Times New Roman"/>
          <w:iCs/>
          <w:noProof/>
          <w:sz w:val="22"/>
        </w:rPr>
        <w:t>Unit Costs of Health and Social Care 2013</w:t>
      </w:r>
      <w:r w:rsidRPr="00E24E29">
        <w:rPr>
          <w:rFonts w:cs="Times New Roman"/>
          <w:noProof/>
          <w:sz w:val="22"/>
        </w:rPr>
        <w:t>. (2013).</w:t>
      </w:r>
    </w:p>
    <w:p w14:paraId="29895A33" w14:textId="77501E05"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3</w:t>
      </w:r>
      <w:r>
        <w:rPr>
          <w:rFonts w:cs="Times New Roman"/>
          <w:noProof/>
          <w:sz w:val="22"/>
        </w:rPr>
        <w:t>6</w:t>
      </w:r>
      <w:r w:rsidR="00185E64" w:rsidRPr="00E24E29">
        <w:rPr>
          <w:rFonts w:cs="Times New Roman"/>
          <w:noProof/>
          <w:sz w:val="22"/>
        </w:rPr>
        <w:t>.</w:t>
      </w:r>
      <w:r w:rsidR="00185E64" w:rsidRPr="00E24E29">
        <w:rPr>
          <w:rFonts w:cs="Times New Roman"/>
          <w:noProof/>
          <w:sz w:val="22"/>
        </w:rPr>
        <w:tab/>
        <w:t>Kasi PM, Tawbi HA, Oddis CV</w:t>
      </w:r>
      <w:r w:rsidR="00484C08" w:rsidRPr="00E24E29">
        <w:rPr>
          <w:rFonts w:cs="Times New Roman"/>
          <w:noProof/>
          <w:sz w:val="22"/>
        </w:rPr>
        <w:t>,</w:t>
      </w:r>
      <w:r w:rsidR="00185E64" w:rsidRPr="00E24E29">
        <w:rPr>
          <w:rFonts w:cs="Times New Roman"/>
          <w:noProof/>
          <w:sz w:val="22"/>
        </w:rPr>
        <w:t xml:space="preserve"> Kulkarni HS. Clinical review: Serious adverse events associated with the use of rituximab - a critical care perspective. </w:t>
      </w:r>
      <w:r w:rsidR="00A46EB3" w:rsidRPr="00E24E29">
        <w:rPr>
          <w:rFonts w:cs="Times New Roman"/>
          <w:iCs/>
          <w:noProof/>
          <w:sz w:val="22"/>
        </w:rPr>
        <w:t>Crit</w:t>
      </w:r>
      <w:r w:rsidR="00185E64" w:rsidRPr="00E24E29">
        <w:rPr>
          <w:rFonts w:cs="Times New Roman"/>
          <w:iCs/>
          <w:noProof/>
          <w:sz w:val="22"/>
        </w:rPr>
        <w:t xml:space="preserve"> Care</w:t>
      </w:r>
      <w:r w:rsidR="00185E64" w:rsidRPr="00E24E29">
        <w:rPr>
          <w:rFonts w:cs="Times New Roman"/>
          <w:noProof/>
          <w:sz w:val="22"/>
        </w:rPr>
        <w:t xml:space="preserve"> </w:t>
      </w:r>
      <w:r w:rsidR="00A46EB3" w:rsidRPr="00E24E29">
        <w:rPr>
          <w:rFonts w:cs="Times New Roman"/>
          <w:noProof/>
          <w:sz w:val="22"/>
        </w:rPr>
        <w:t>2012;</w:t>
      </w:r>
      <w:r w:rsidR="00185E64" w:rsidRPr="00E24E29">
        <w:rPr>
          <w:rFonts w:cs="Times New Roman"/>
          <w:bCs/>
          <w:noProof/>
          <w:sz w:val="22"/>
        </w:rPr>
        <w:t>16</w:t>
      </w:r>
      <w:r w:rsidR="00A46EB3" w:rsidRPr="00E24E29">
        <w:rPr>
          <w:rFonts w:cs="Times New Roman"/>
          <w:bCs/>
          <w:noProof/>
          <w:sz w:val="22"/>
        </w:rPr>
        <w:t>:</w:t>
      </w:r>
      <w:r w:rsidR="00185E64" w:rsidRPr="00E24E29">
        <w:rPr>
          <w:rFonts w:cs="Times New Roman"/>
          <w:noProof/>
          <w:sz w:val="22"/>
        </w:rPr>
        <w:t>231.</w:t>
      </w:r>
    </w:p>
    <w:p w14:paraId="15561F36" w14:textId="579CAABD"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3</w:t>
      </w:r>
      <w:r>
        <w:rPr>
          <w:rFonts w:cs="Times New Roman"/>
          <w:noProof/>
          <w:sz w:val="22"/>
        </w:rPr>
        <w:t>7</w:t>
      </w:r>
      <w:r w:rsidR="00185E64" w:rsidRPr="00E24E29">
        <w:rPr>
          <w:rFonts w:cs="Times New Roman"/>
          <w:noProof/>
          <w:sz w:val="22"/>
        </w:rPr>
        <w:t>.</w:t>
      </w:r>
      <w:r w:rsidR="00185E64" w:rsidRPr="00E24E29">
        <w:rPr>
          <w:rFonts w:cs="Times New Roman"/>
          <w:noProof/>
          <w:sz w:val="22"/>
        </w:rPr>
        <w:tab/>
        <w:t>Bodger K, Kikuchi T</w:t>
      </w:r>
      <w:r w:rsidR="00484C08" w:rsidRPr="00E24E29">
        <w:rPr>
          <w:rFonts w:cs="Times New Roman"/>
          <w:noProof/>
          <w:sz w:val="22"/>
        </w:rPr>
        <w:t>,</w:t>
      </w:r>
      <w:r w:rsidR="00185E64" w:rsidRPr="00E24E29">
        <w:rPr>
          <w:rFonts w:cs="Times New Roman"/>
          <w:noProof/>
          <w:sz w:val="22"/>
        </w:rPr>
        <w:t xml:space="preserve"> Hughes, D. Cost-effectiveness of biological therapy for Crohn’s disease: Markov cohort analyses incorporating United Kingdom patient-level cost data. </w:t>
      </w:r>
      <w:r w:rsidR="00185E64" w:rsidRPr="00E24E29">
        <w:rPr>
          <w:rFonts w:cs="Times New Roman"/>
          <w:iCs/>
          <w:noProof/>
          <w:sz w:val="22"/>
        </w:rPr>
        <w:t>Aliment Pharmacol Ther.</w:t>
      </w:r>
      <w:r w:rsidR="00A46EB3" w:rsidRPr="00E24E29">
        <w:rPr>
          <w:rFonts w:cs="Times New Roman"/>
          <w:iCs/>
          <w:noProof/>
          <w:sz w:val="22"/>
        </w:rPr>
        <w:t xml:space="preserve"> 2009;</w:t>
      </w:r>
      <w:r w:rsidR="00185E64" w:rsidRPr="00E24E29">
        <w:rPr>
          <w:rFonts w:cs="Times New Roman"/>
          <w:bCs/>
          <w:noProof/>
          <w:sz w:val="22"/>
        </w:rPr>
        <w:t>30</w:t>
      </w:r>
      <w:r w:rsidR="00A46EB3" w:rsidRPr="00E24E29">
        <w:rPr>
          <w:rFonts w:cs="Times New Roman"/>
          <w:bCs/>
          <w:noProof/>
          <w:sz w:val="22"/>
        </w:rPr>
        <w:t>:</w:t>
      </w:r>
      <w:r w:rsidR="00185E64" w:rsidRPr="00E24E29">
        <w:rPr>
          <w:rFonts w:cs="Times New Roman"/>
          <w:noProof/>
          <w:sz w:val="22"/>
        </w:rPr>
        <w:t>265–274.</w:t>
      </w:r>
    </w:p>
    <w:p w14:paraId="23F820F0" w14:textId="304EF77E"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3</w:t>
      </w:r>
      <w:r>
        <w:rPr>
          <w:rFonts w:cs="Times New Roman"/>
          <w:noProof/>
          <w:sz w:val="22"/>
        </w:rPr>
        <w:t>8</w:t>
      </w:r>
      <w:r w:rsidR="00185E64" w:rsidRPr="00E24E29">
        <w:rPr>
          <w:rFonts w:cs="Times New Roman"/>
          <w:noProof/>
          <w:sz w:val="22"/>
        </w:rPr>
        <w:t>.</w:t>
      </w:r>
      <w:r w:rsidR="00185E64" w:rsidRPr="00E24E29">
        <w:rPr>
          <w:rFonts w:cs="Times New Roman"/>
          <w:noProof/>
          <w:sz w:val="22"/>
        </w:rPr>
        <w:tab/>
        <w:t>National Institute for Health and Care Excellence. Infliximab and adalimumab for the treatment of Crohn’s disease - TA187. 1–44 (2010).</w:t>
      </w:r>
    </w:p>
    <w:p w14:paraId="01146FDF" w14:textId="607966A7"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3</w:t>
      </w:r>
      <w:r>
        <w:rPr>
          <w:rFonts w:cs="Times New Roman"/>
          <w:noProof/>
          <w:sz w:val="22"/>
        </w:rPr>
        <w:t>9</w:t>
      </w:r>
      <w:r w:rsidR="00185E64" w:rsidRPr="00E24E29">
        <w:rPr>
          <w:rFonts w:cs="Times New Roman"/>
          <w:noProof/>
          <w:sz w:val="22"/>
        </w:rPr>
        <w:t>.</w:t>
      </w:r>
      <w:r w:rsidR="00185E64" w:rsidRPr="00E24E29">
        <w:rPr>
          <w:rFonts w:cs="Times New Roman"/>
          <w:noProof/>
          <w:sz w:val="22"/>
        </w:rPr>
        <w:tab/>
        <w:t xml:space="preserve">National Institute for Health and Care Excellence. </w:t>
      </w:r>
      <w:r w:rsidR="00185E64" w:rsidRPr="00E24E29">
        <w:rPr>
          <w:rFonts w:cs="Times New Roman"/>
          <w:iCs/>
          <w:noProof/>
          <w:sz w:val="22"/>
        </w:rPr>
        <w:t>Ustekinumab for treating moderately to severely active Crohn’s disease after previous treatment - Technology appraisal guidance TA456</w:t>
      </w:r>
      <w:r w:rsidR="00185E64" w:rsidRPr="00E24E29">
        <w:rPr>
          <w:rFonts w:cs="Times New Roman"/>
          <w:noProof/>
          <w:sz w:val="22"/>
        </w:rPr>
        <w:t>. (2017).</w:t>
      </w:r>
    </w:p>
    <w:p w14:paraId="08145D39" w14:textId="2C63F241"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Pr>
          <w:rFonts w:cs="Times New Roman"/>
          <w:noProof/>
          <w:sz w:val="22"/>
        </w:rPr>
        <w:t>40</w:t>
      </w:r>
      <w:r w:rsidR="00185E64" w:rsidRPr="00E24E29">
        <w:rPr>
          <w:rFonts w:cs="Times New Roman"/>
          <w:noProof/>
          <w:sz w:val="22"/>
        </w:rPr>
        <w:t>.</w:t>
      </w:r>
      <w:r w:rsidR="00185E64" w:rsidRPr="00E24E29">
        <w:rPr>
          <w:rFonts w:cs="Times New Roman"/>
          <w:noProof/>
          <w:sz w:val="22"/>
        </w:rPr>
        <w:tab/>
        <w:t>National Institute for Health and Care Excellence. Vedolizumab for treating moderately to severely active Crohn’s disease after prior therapy - Technology appraisal guidance TA352. (2015). Available at: nice.org.uk/guidance/ta352. (Accessed: 1st July 2018)</w:t>
      </w:r>
    </w:p>
    <w:p w14:paraId="10490D12" w14:textId="11517C6F"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4</w:t>
      </w:r>
      <w:r>
        <w:rPr>
          <w:rFonts w:cs="Times New Roman"/>
          <w:noProof/>
          <w:sz w:val="22"/>
        </w:rPr>
        <w:t>1</w:t>
      </w:r>
      <w:r w:rsidR="00185E64" w:rsidRPr="00E24E29">
        <w:rPr>
          <w:rFonts w:cs="Times New Roman"/>
          <w:noProof/>
          <w:sz w:val="22"/>
        </w:rPr>
        <w:t>.</w:t>
      </w:r>
      <w:r w:rsidR="00185E64" w:rsidRPr="00E24E29">
        <w:rPr>
          <w:rFonts w:cs="Times New Roman"/>
          <w:noProof/>
          <w:sz w:val="22"/>
        </w:rPr>
        <w:tab/>
        <w:t xml:space="preserve">National Institute for Health and Care Excellence. </w:t>
      </w:r>
      <w:r w:rsidR="00185E64" w:rsidRPr="00E24E29">
        <w:rPr>
          <w:rFonts w:cs="Times New Roman"/>
          <w:iCs/>
          <w:noProof/>
          <w:sz w:val="22"/>
        </w:rPr>
        <w:t>Guide to the methods of technology appraisal 2013</w:t>
      </w:r>
      <w:r w:rsidR="00185E64" w:rsidRPr="00E24E29">
        <w:rPr>
          <w:rFonts w:cs="Times New Roman"/>
          <w:noProof/>
          <w:sz w:val="22"/>
        </w:rPr>
        <w:t>. (2013). doi:10.2165/00019053-200826090-00002</w:t>
      </w:r>
    </w:p>
    <w:p w14:paraId="5D871918" w14:textId="7E1F7979"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4</w:t>
      </w:r>
      <w:r>
        <w:rPr>
          <w:rFonts w:cs="Times New Roman"/>
          <w:noProof/>
          <w:sz w:val="22"/>
        </w:rPr>
        <w:t>2</w:t>
      </w:r>
      <w:r w:rsidR="00185E64" w:rsidRPr="00E24E29">
        <w:rPr>
          <w:rFonts w:cs="Times New Roman"/>
          <w:noProof/>
          <w:sz w:val="22"/>
        </w:rPr>
        <w:t>.</w:t>
      </w:r>
      <w:r w:rsidR="00185E64" w:rsidRPr="00E24E29">
        <w:rPr>
          <w:rFonts w:cs="Times New Roman"/>
          <w:noProof/>
          <w:sz w:val="22"/>
        </w:rPr>
        <w:tab/>
        <w:t xml:space="preserve">medicines.org.uk. Humira 40mg solution for injection in pre-filled syringe - SUMMARY OF PRODUCT CHARACTERISTICS (SPC). </w:t>
      </w:r>
      <w:r w:rsidR="00185E64" w:rsidRPr="00E24E29">
        <w:rPr>
          <w:rFonts w:cs="Times New Roman"/>
          <w:iCs/>
          <w:noProof/>
          <w:sz w:val="22"/>
        </w:rPr>
        <w:t>eMC</w:t>
      </w:r>
      <w:r w:rsidR="00185E64" w:rsidRPr="00E24E29">
        <w:rPr>
          <w:rFonts w:cs="Times New Roman"/>
          <w:noProof/>
          <w:sz w:val="22"/>
        </w:rPr>
        <w:t xml:space="preserve"> (2003). Available at: https://www.medicines.org.uk/emc/product/2150/smpc#CLINICAL_PARTS. (Accessed: 10th July 2018)</w:t>
      </w:r>
    </w:p>
    <w:p w14:paraId="22DA9858" w14:textId="18841E48"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4</w:t>
      </w:r>
      <w:r>
        <w:rPr>
          <w:rFonts w:cs="Times New Roman"/>
          <w:noProof/>
          <w:sz w:val="22"/>
        </w:rPr>
        <w:t>3</w:t>
      </w:r>
      <w:r w:rsidR="00185E64" w:rsidRPr="00E24E29">
        <w:rPr>
          <w:rFonts w:cs="Times New Roman"/>
          <w:noProof/>
          <w:sz w:val="22"/>
        </w:rPr>
        <w:t>.</w:t>
      </w:r>
      <w:r w:rsidR="00185E64" w:rsidRPr="00E24E29">
        <w:rPr>
          <w:rFonts w:cs="Times New Roman"/>
          <w:noProof/>
          <w:sz w:val="22"/>
        </w:rPr>
        <w:tab/>
        <w:t xml:space="preserve">medicines.org.uk. STELLARA 90mg solution for injections - Summary of Product Characteristics (SPC). </w:t>
      </w:r>
      <w:r w:rsidR="00185E64" w:rsidRPr="00E24E29">
        <w:rPr>
          <w:rFonts w:cs="Times New Roman"/>
          <w:iCs/>
          <w:noProof/>
          <w:sz w:val="22"/>
        </w:rPr>
        <w:t>eMC</w:t>
      </w:r>
      <w:r w:rsidR="00185E64" w:rsidRPr="00E24E29">
        <w:rPr>
          <w:rFonts w:cs="Times New Roman"/>
          <w:noProof/>
          <w:sz w:val="22"/>
        </w:rPr>
        <w:t xml:space="preserve"> (2009). Available at: https://www.medicines.org.uk/emc/product/4413/smpc. (Accessed: 10th July 2018)</w:t>
      </w:r>
    </w:p>
    <w:p w14:paraId="37132DA7" w14:textId="1F8A656F"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4</w:t>
      </w:r>
      <w:r>
        <w:rPr>
          <w:rFonts w:cs="Times New Roman"/>
          <w:noProof/>
          <w:sz w:val="22"/>
        </w:rPr>
        <w:t>4</w:t>
      </w:r>
      <w:r w:rsidR="00185E64" w:rsidRPr="00E24E29">
        <w:rPr>
          <w:rFonts w:cs="Times New Roman"/>
          <w:noProof/>
          <w:sz w:val="22"/>
        </w:rPr>
        <w:t>.</w:t>
      </w:r>
      <w:r w:rsidR="00185E64" w:rsidRPr="00E24E29">
        <w:rPr>
          <w:rFonts w:cs="Times New Roman"/>
          <w:noProof/>
          <w:sz w:val="22"/>
        </w:rPr>
        <w:tab/>
        <w:t xml:space="preserve">medicines.org.uk. Entyvio 300mg powder for concentrate for solution for infusion - Summary of Product Characteristics (SPC). </w:t>
      </w:r>
      <w:r w:rsidR="00185E64" w:rsidRPr="00E24E29">
        <w:rPr>
          <w:rFonts w:cs="Times New Roman"/>
          <w:iCs/>
          <w:noProof/>
          <w:sz w:val="22"/>
        </w:rPr>
        <w:t>eMC</w:t>
      </w:r>
      <w:r w:rsidR="00185E64" w:rsidRPr="00E24E29">
        <w:rPr>
          <w:rFonts w:cs="Times New Roman"/>
          <w:noProof/>
          <w:sz w:val="22"/>
        </w:rPr>
        <w:t xml:space="preserve"> (2014). Available at: https://www.medicines.org.uk/emc/product/5442/smpc. (Accessed: 10th July 2018)</w:t>
      </w:r>
    </w:p>
    <w:p w14:paraId="75CB36A8" w14:textId="1B620C6C"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4</w:t>
      </w:r>
      <w:r>
        <w:rPr>
          <w:rFonts w:cs="Times New Roman"/>
          <w:noProof/>
          <w:sz w:val="22"/>
        </w:rPr>
        <w:t>5</w:t>
      </w:r>
      <w:r w:rsidR="00185E64" w:rsidRPr="00E24E29">
        <w:rPr>
          <w:rFonts w:cs="Times New Roman"/>
          <w:noProof/>
          <w:sz w:val="22"/>
        </w:rPr>
        <w:t>.</w:t>
      </w:r>
      <w:r w:rsidR="00185E64" w:rsidRPr="00E24E29">
        <w:rPr>
          <w:rFonts w:cs="Times New Roman"/>
          <w:noProof/>
          <w:sz w:val="22"/>
        </w:rPr>
        <w:tab/>
        <w:t>Sandborn WJ</w:t>
      </w:r>
      <w:r w:rsidR="00484C08" w:rsidRPr="00E24E29">
        <w:rPr>
          <w:rFonts w:cs="Times New Roman"/>
          <w:noProof/>
          <w:sz w:val="22"/>
        </w:rPr>
        <w:t>,</w:t>
      </w:r>
      <w:r w:rsidR="00185E64" w:rsidRPr="00E24E29">
        <w:rPr>
          <w:rFonts w:cs="Times New Roman"/>
          <w:noProof/>
          <w:sz w:val="22"/>
        </w:rPr>
        <w:t xml:space="preserve"> </w:t>
      </w:r>
      <w:r w:rsidR="00462421" w:rsidRPr="00E24E29">
        <w:rPr>
          <w:rFonts w:cs="Times New Roman"/>
          <w:noProof/>
          <w:sz w:val="22"/>
        </w:rPr>
        <w:t xml:space="preserve">Hanauer S, Loftus EV Jr, </w:t>
      </w:r>
      <w:r w:rsidR="00185E64" w:rsidRPr="00E24E29">
        <w:rPr>
          <w:rFonts w:cs="Times New Roman"/>
          <w:iCs/>
          <w:noProof/>
          <w:sz w:val="22"/>
        </w:rPr>
        <w:t>et al.</w:t>
      </w:r>
      <w:r w:rsidR="00185E64" w:rsidRPr="00E24E29">
        <w:rPr>
          <w:rFonts w:cs="Times New Roman"/>
          <w:noProof/>
          <w:sz w:val="22"/>
        </w:rPr>
        <w:t xml:space="preserve"> An open-label study of the human anti-TNF monoclonal antibody adalimumab in subjects with prior loss of response or intolerance to infliximab for Crohn’s disease. </w:t>
      </w:r>
      <w:r w:rsidR="00185E64" w:rsidRPr="00E24E29">
        <w:rPr>
          <w:rFonts w:cs="Times New Roman"/>
          <w:iCs/>
          <w:noProof/>
          <w:sz w:val="22"/>
        </w:rPr>
        <w:t>Am J Gastroenterol.</w:t>
      </w:r>
      <w:r w:rsidR="00185E64" w:rsidRPr="00E24E29">
        <w:rPr>
          <w:rFonts w:cs="Times New Roman"/>
          <w:noProof/>
          <w:sz w:val="22"/>
        </w:rPr>
        <w:t xml:space="preserve"> </w:t>
      </w:r>
      <w:r w:rsidR="00A46EB3" w:rsidRPr="00E24E29">
        <w:rPr>
          <w:rFonts w:cs="Times New Roman"/>
          <w:noProof/>
          <w:sz w:val="22"/>
        </w:rPr>
        <w:t>2004;</w:t>
      </w:r>
      <w:r w:rsidR="00185E64" w:rsidRPr="00E24E29">
        <w:rPr>
          <w:rFonts w:cs="Times New Roman"/>
          <w:bCs/>
          <w:noProof/>
          <w:sz w:val="22"/>
        </w:rPr>
        <w:t>99</w:t>
      </w:r>
      <w:r w:rsidR="00A46EB3" w:rsidRPr="00E24E29">
        <w:rPr>
          <w:rFonts w:cs="Times New Roman"/>
          <w:bCs/>
          <w:noProof/>
          <w:sz w:val="22"/>
        </w:rPr>
        <w:t>:</w:t>
      </w:r>
      <w:r w:rsidR="00185E64" w:rsidRPr="00E24E29">
        <w:rPr>
          <w:rFonts w:cs="Times New Roman"/>
          <w:noProof/>
          <w:sz w:val="22"/>
        </w:rPr>
        <w:t>1984–1989.</w:t>
      </w:r>
    </w:p>
    <w:p w14:paraId="0FFCC6D1" w14:textId="1B834E73"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4</w:t>
      </w:r>
      <w:r>
        <w:rPr>
          <w:rFonts w:cs="Times New Roman"/>
          <w:noProof/>
          <w:sz w:val="22"/>
        </w:rPr>
        <w:t>6</w:t>
      </w:r>
      <w:r w:rsidR="00185E64" w:rsidRPr="00E24E29">
        <w:rPr>
          <w:rFonts w:cs="Times New Roman"/>
          <w:noProof/>
          <w:sz w:val="22"/>
        </w:rPr>
        <w:t>.</w:t>
      </w:r>
      <w:r w:rsidR="00185E64" w:rsidRPr="00E24E29">
        <w:rPr>
          <w:rFonts w:cs="Times New Roman"/>
          <w:noProof/>
          <w:sz w:val="22"/>
        </w:rPr>
        <w:tab/>
        <w:t>Da W, Zhu J, Wang L</w:t>
      </w:r>
      <w:r w:rsidR="00484C08" w:rsidRPr="00E24E29">
        <w:rPr>
          <w:rFonts w:cs="Times New Roman"/>
          <w:noProof/>
          <w:sz w:val="22"/>
        </w:rPr>
        <w:t>,</w:t>
      </w:r>
      <w:r w:rsidR="00185E64" w:rsidRPr="00E24E29">
        <w:rPr>
          <w:rFonts w:cs="Times New Roman"/>
          <w:noProof/>
          <w:sz w:val="22"/>
        </w:rPr>
        <w:t xml:space="preserve"> Lu Y. Adalimumab for Crohn’s disease after infliximab treatment failure. </w:t>
      </w:r>
      <w:r w:rsidR="00A46EB3" w:rsidRPr="00E24E29">
        <w:rPr>
          <w:rFonts w:cs="Times New Roman"/>
          <w:iCs/>
          <w:noProof/>
          <w:sz w:val="22"/>
        </w:rPr>
        <w:t>Eur</w:t>
      </w:r>
      <w:r w:rsidR="00185E64" w:rsidRPr="00E24E29">
        <w:rPr>
          <w:rFonts w:cs="Times New Roman"/>
          <w:iCs/>
          <w:noProof/>
          <w:sz w:val="22"/>
        </w:rPr>
        <w:t xml:space="preserve"> J Gastroenterol Hepatol.</w:t>
      </w:r>
      <w:r w:rsidR="00185E64" w:rsidRPr="00E24E29">
        <w:rPr>
          <w:rFonts w:cs="Times New Roman"/>
          <w:noProof/>
          <w:sz w:val="22"/>
        </w:rPr>
        <w:t xml:space="preserve"> </w:t>
      </w:r>
      <w:r w:rsidR="00A46EB3" w:rsidRPr="00E24E29">
        <w:rPr>
          <w:rFonts w:cs="Times New Roman"/>
          <w:noProof/>
          <w:sz w:val="22"/>
        </w:rPr>
        <w:t>2013;</w:t>
      </w:r>
      <w:r w:rsidR="00185E64" w:rsidRPr="00E24E29">
        <w:rPr>
          <w:rFonts w:cs="Times New Roman"/>
          <w:bCs/>
          <w:noProof/>
          <w:sz w:val="22"/>
        </w:rPr>
        <w:t>25</w:t>
      </w:r>
      <w:r w:rsidR="00A46EB3" w:rsidRPr="00E24E29">
        <w:rPr>
          <w:rFonts w:cs="Times New Roman"/>
          <w:bCs/>
          <w:noProof/>
          <w:sz w:val="22"/>
        </w:rPr>
        <w:t>:</w:t>
      </w:r>
      <w:r w:rsidR="00185E64" w:rsidRPr="00E24E29">
        <w:rPr>
          <w:rFonts w:cs="Times New Roman"/>
          <w:noProof/>
          <w:sz w:val="22"/>
        </w:rPr>
        <w:t>885–891.</w:t>
      </w:r>
    </w:p>
    <w:p w14:paraId="6F63F619" w14:textId="176542A2"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4</w:t>
      </w:r>
      <w:r>
        <w:rPr>
          <w:rFonts w:cs="Times New Roman"/>
          <w:noProof/>
          <w:sz w:val="22"/>
        </w:rPr>
        <w:t>7</w:t>
      </w:r>
      <w:r w:rsidR="00185E64" w:rsidRPr="00E24E29">
        <w:rPr>
          <w:rFonts w:cs="Times New Roman"/>
          <w:noProof/>
          <w:sz w:val="22"/>
        </w:rPr>
        <w:t>.</w:t>
      </w:r>
      <w:r w:rsidR="00185E64" w:rsidRPr="00E24E29">
        <w:rPr>
          <w:rFonts w:cs="Times New Roman"/>
          <w:noProof/>
          <w:sz w:val="22"/>
        </w:rPr>
        <w:tab/>
        <w:t>Colombel J-F</w:t>
      </w:r>
      <w:r w:rsidR="00484C08" w:rsidRPr="00E24E29">
        <w:rPr>
          <w:rFonts w:cs="Times New Roman"/>
          <w:noProof/>
          <w:sz w:val="22"/>
        </w:rPr>
        <w:t>,</w:t>
      </w:r>
      <w:r w:rsidR="00185E64" w:rsidRPr="00E24E29">
        <w:rPr>
          <w:rFonts w:cs="Times New Roman"/>
          <w:noProof/>
          <w:sz w:val="22"/>
        </w:rPr>
        <w:t xml:space="preserve"> </w:t>
      </w:r>
      <w:r w:rsidR="00462421" w:rsidRPr="00E24E29">
        <w:rPr>
          <w:rFonts w:cs="Times New Roman"/>
          <w:noProof/>
          <w:sz w:val="22"/>
        </w:rPr>
        <w:t xml:space="preserve">Sloan S, Gasink C, </w:t>
      </w:r>
      <w:r w:rsidR="00185E64" w:rsidRPr="00E24E29">
        <w:rPr>
          <w:rFonts w:cs="Times New Roman"/>
          <w:iCs/>
          <w:noProof/>
          <w:sz w:val="22"/>
        </w:rPr>
        <w:t>et al.</w:t>
      </w:r>
      <w:r w:rsidR="00185E64" w:rsidRPr="00E24E29">
        <w:rPr>
          <w:rFonts w:cs="Times New Roman"/>
          <w:noProof/>
          <w:sz w:val="22"/>
        </w:rPr>
        <w:t xml:space="preserve"> A147 Response and remission after 16 weeks of ustekinumab - an all patients analysis from the UNITI Crohn’s studies. </w:t>
      </w:r>
      <w:r w:rsidR="00A46EB3" w:rsidRPr="00E24E29">
        <w:rPr>
          <w:rFonts w:cs="Times New Roman"/>
          <w:iCs/>
          <w:noProof/>
          <w:sz w:val="22"/>
        </w:rPr>
        <w:t>J</w:t>
      </w:r>
      <w:r w:rsidR="00185E64" w:rsidRPr="00E24E29">
        <w:rPr>
          <w:rFonts w:cs="Times New Roman"/>
          <w:iCs/>
          <w:noProof/>
          <w:sz w:val="22"/>
        </w:rPr>
        <w:t xml:space="preserve"> Can Assoc Gastroenterol.</w:t>
      </w:r>
      <w:r w:rsidR="00185E64" w:rsidRPr="00E24E29">
        <w:rPr>
          <w:rFonts w:cs="Times New Roman"/>
          <w:noProof/>
          <w:sz w:val="22"/>
        </w:rPr>
        <w:t xml:space="preserve"> </w:t>
      </w:r>
      <w:r w:rsidR="00A46EB3" w:rsidRPr="00E24E29">
        <w:rPr>
          <w:rFonts w:cs="Times New Roman"/>
          <w:noProof/>
          <w:sz w:val="22"/>
        </w:rPr>
        <w:t>2018;</w:t>
      </w:r>
      <w:r w:rsidR="00185E64" w:rsidRPr="00E24E29">
        <w:rPr>
          <w:rFonts w:cs="Times New Roman"/>
          <w:bCs/>
          <w:noProof/>
          <w:sz w:val="22"/>
        </w:rPr>
        <w:t>1</w:t>
      </w:r>
      <w:r w:rsidR="00A46EB3" w:rsidRPr="00E24E29">
        <w:rPr>
          <w:rFonts w:cs="Times New Roman"/>
          <w:bCs/>
          <w:noProof/>
          <w:sz w:val="22"/>
        </w:rPr>
        <w:t xml:space="preserve">(suppl </w:t>
      </w:r>
      <w:r w:rsidR="00185E64" w:rsidRPr="00E24E29">
        <w:rPr>
          <w:rFonts w:cs="Times New Roman"/>
          <w:bCs/>
          <w:noProof/>
          <w:sz w:val="22"/>
        </w:rPr>
        <w:t>2</w:t>
      </w:r>
      <w:r w:rsidR="00A46EB3" w:rsidRPr="00E24E29">
        <w:rPr>
          <w:rFonts w:cs="Times New Roman"/>
          <w:bCs/>
          <w:noProof/>
          <w:sz w:val="22"/>
        </w:rPr>
        <w:t>):</w:t>
      </w:r>
      <w:r w:rsidR="00185E64" w:rsidRPr="00E24E29">
        <w:rPr>
          <w:rFonts w:cs="Times New Roman"/>
          <w:noProof/>
          <w:sz w:val="22"/>
        </w:rPr>
        <w:t>219–220.</w:t>
      </w:r>
    </w:p>
    <w:p w14:paraId="68E5036F" w14:textId="22BA04D0" w:rsidR="00185E64" w:rsidRPr="00E24E29" w:rsidRDefault="00185E64"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4</w:t>
      </w:r>
      <w:r w:rsidR="002E218E">
        <w:rPr>
          <w:rFonts w:cs="Times New Roman"/>
          <w:noProof/>
          <w:sz w:val="22"/>
        </w:rPr>
        <w:t>8</w:t>
      </w:r>
      <w:r w:rsidRPr="00E24E29">
        <w:rPr>
          <w:rFonts w:cs="Times New Roman"/>
          <w:noProof/>
          <w:sz w:val="22"/>
        </w:rPr>
        <w:t>.</w:t>
      </w:r>
      <w:r w:rsidRPr="00E24E29">
        <w:rPr>
          <w:rFonts w:cs="Times New Roman"/>
          <w:noProof/>
          <w:sz w:val="22"/>
        </w:rPr>
        <w:tab/>
        <w:t>Feagan BG</w:t>
      </w:r>
      <w:r w:rsidR="00484C08" w:rsidRPr="00E24E29">
        <w:rPr>
          <w:rFonts w:cs="Times New Roman"/>
          <w:noProof/>
          <w:sz w:val="22"/>
        </w:rPr>
        <w:t>,</w:t>
      </w:r>
      <w:r w:rsidRPr="00E24E29">
        <w:rPr>
          <w:rFonts w:cs="Times New Roman"/>
          <w:noProof/>
          <w:sz w:val="22"/>
        </w:rPr>
        <w:t xml:space="preserve"> </w:t>
      </w:r>
      <w:r w:rsidR="00462421" w:rsidRPr="00E24E29">
        <w:rPr>
          <w:rFonts w:cs="Times New Roman"/>
          <w:noProof/>
          <w:sz w:val="22"/>
        </w:rPr>
        <w:t xml:space="preserve">Sandborn WJ, Gasink C, </w:t>
      </w:r>
      <w:r w:rsidRPr="00E24E29">
        <w:rPr>
          <w:rFonts w:cs="Times New Roman"/>
          <w:iCs/>
          <w:noProof/>
          <w:sz w:val="22"/>
        </w:rPr>
        <w:t>et al.</w:t>
      </w:r>
      <w:r w:rsidRPr="00E24E29">
        <w:rPr>
          <w:rFonts w:cs="Times New Roman"/>
          <w:noProof/>
          <w:sz w:val="22"/>
        </w:rPr>
        <w:t xml:space="preserve"> Ustekinumab as Induction and Maintenance Therapy for Crohn’s Disease. </w:t>
      </w:r>
      <w:r w:rsidR="00A46EB3" w:rsidRPr="00E24E29">
        <w:rPr>
          <w:rFonts w:cs="Times New Roman"/>
          <w:iCs/>
          <w:noProof/>
          <w:sz w:val="22"/>
        </w:rPr>
        <w:t>N</w:t>
      </w:r>
      <w:r w:rsidRPr="00E24E29">
        <w:rPr>
          <w:rFonts w:cs="Times New Roman"/>
          <w:iCs/>
          <w:noProof/>
          <w:sz w:val="22"/>
        </w:rPr>
        <w:t xml:space="preserve"> Engl J Med.</w:t>
      </w:r>
      <w:r w:rsidRPr="00E24E29">
        <w:rPr>
          <w:rFonts w:cs="Times New Roman"/>
          <w:noProof/>
          <w:sz w:val="22"/>
        </w:rPr>
        <w:t xml:space="preserve"> </w:t>
      </w:r>
      <w:r w:rsidR="00A46EB3" w:rsidRPr="00E24E29">
        <w:rPr>
          <w:rFonts w:cs="Times New Roman"/>
          <w:noProof/>
          <w:sz w:val="22"/>
        </w:rPr>
        <w:t>2016;</w:t>
      </w:r>
      <w:r w:rsidR="00A46EB3" w:rsidRPr="00E24E29">
        <w:rPr>
          <w:rFonts w:cs="Times New Roman"/>
          <w:bCs/>
          <w:noProof/>
          <w:sz w:val="22"/>
        </w:rPr>
        <w:t>375:1946-1960</w:t>
      </w:r>
      <w:r w:rsidRPr="00E24E29">
        <w:rPr>
          <w:rFonts w:cs="Times New Roman"/>
          <w:noProof/>
          <w:sz w:val="22"/>
        </w:rPr>
        <w:t>.</w:t>
      </w:r>
    </w:p>
    <w:p w14:paraId="34C197F6" w14:textId="55576FBC"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4</w:t>
      </w:r>
      <w:r>
        <w:rPr>
          <w:rFonts w:cs="Times New Roman"/>
          <w:noProof/>
          <w:sz w:val="22"/>
        </w:rPr>
        <w:t>9</w:t>
      </w:r>
      <w:r w:rsidR="00185E64" w:rsidRPr="00E24E29">
        <w:rPr>
          <w:rFonts w:cs="Times New Roman"/>
          <w:noProof/>
          <w:sz w:val="22"/>
        </w:rPr>
        <w:t>.</w:t>
      </w:r>
      <w:r w:rsidR="00185E64" w:rsidRPr="00E24E29">
        <w:rPr>
          <w:rFonts w:cs="Times New Roman"/>
          <w:noProof/>
          <w:sz w:val="22"/>
        </w:rPr>
        <w:tab/>
        <w:t>Sands BE</w:t>
      </w:r>
      <w:r w:rsidR="00484C08" w:rsidRPr="00E24E29">
        <w:rPr>
          <w:rFonts w:cs="Times New Roman"/>
          <w:noProof/>
          <w:sz w:val="22"/>
        </w:rPr>
        <w:t>,</w:t>
      </w:r>
      <w:r w:rsidR="00185E64" w:rsidRPr="00E24E29">
        <w:rPr>
          <w:rFonts w:cs="Times New Roman"/>
          <w:noProof/>
          <w:sz w:val="22"/>
        </w:rPr>
        <w:t xml:space="preserve"> </w:t>
      </w:r>
      <w:r w:rsidR="00E50644" w:rsidRPr="00E24E29">
        <w:rPr>
          <w:rFonts w:cs="Times New Roman"/>
          <w:noProof/>
          <w:sz w:val="22"/>
        </w:rPr>
        <w:t xml:space="preserve">Feagan BG, Rutgeerts P, </w:t>
      </w:r>
      <w:r w:rsidR="00185E64" w:rsidRPr="00E24E29">
        <w:rPr>
          <w:rFonts w:cs="Times New Roman"/>
          <w:iCs/>
          <w:noProof/>
          <w:sz w:val="22"/>
        </w:rPr>
        <w:t>et al.</w:t>
      </w:r>
      <w:r w:rsidR="00185E64" w:rsidRPr="00E24E29">
        <w:rPr>
          <w:rFonts w:cs="Times New Roman"/>
          <w:noProof/>
          <w:sz w:val="22"/>
        </w:rPr>
        <w:t xml:space="preserve"> Effects of vedolizumab induction therapy for patients with Crohn’s disease in whom tumor necrosis factor antagonist treatment failed. </w:t>
      </w:r>
      <w:r w:rsidR="00185E64" w:rsidRPr="00E24E29">
        <w:rPr>
          <w:rFonts w:cs="Times New Roman"/>
          <w:iCs/>
          <w:noProof/>
          <w:sz w:val="22"/>
        </w:rPr>
        <w:t>Gastroenterology</w:t>
      </w:r>
      <w:r w:rsidR="00185E64" w:rsidRPr="00E24E29">
        <w:rPr>
          <w:rFonts w:cs="Times New Roman"/>
          <w:noProof/>
          <w:sz w:val="22"/>
        </w:rPr>
        <w:t xml:space="preserve"> </w:t>
      </w:r>
      <w:r w:rsidR="00A46EB3" w:rsidRPr="00E24E29">
        <w:rPr>
          <w:rFonts w:cs="Times New Roman"/>
          <w:noProof/>
          <w:sz w:val="22"/>
        </w:rPr>
        <w:t>2014;</w:t>
      </w:r>
      <w:r w:rsidR="00185E64" w:rsidRPr="00E24E29">
        <w:rPr>
          <w:rFonts w:cs="Times New Roman"/>
          <w:bCs/>
          <w:noProof/>
          <w:sz w:val="22"/>
        </w:rPr>
        <w:t>147</w:t>
      </w:r>
      <w:r w:rsidR="00A46EB3" w:rsidRPr="00E24E29">
        <w:rPr>
          <w:rFonts w:cs="Times New Roman"/>
          <w:bCs/>
          <w:noProof/>
          <w:sz w:val="22"/>
        </w:rPr>
        <w:t>:</w:t>
      </w:r>
      <w:r w:rsidR="00185E64" w:rsidRPr="00E24E29">
        <w:rPr>
          <w:rFonts w:cs="Times New Roman"/>
          <w:noProof/>
          <w:sz w:val="22"/>
        </w:rPr>
        <w:t>618–627.e3.</w:t>
      </w:r>
    </w:p>
    <w:p w14:paraId="01EF7BA8" w14:textId="166666C7"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Pr>
          <w:rFonts w:cs="Times New Roman"/>
          <w:noProof/>
          <w:sz w:val="22"/>
        </w:rPr>
        <w:t>50</w:t>
      </w:r>
      <w:r w:rsidR="00185E64" w:rsidRPr="00E24E29">
        <w:rPr>
          <w:rFonts w:cs="Times New Roman"/>
          <w:noProof/>
          <w:sz w:val="22"/>
        </w:rPr>
        <w:t>.</w:t>
      </w:r>
      <w:r w:rsidR="00185E64" w:rsidRPr="00E24E29">
        <w:rPr>
          <w:rFonts w:cs="Times New Roman"/>
          <w:noProof/>
          <w:sz w:val="22"/>
        </w:rPr>
        <w:tab/>
        <w:t>Sandborn WJ</w:t>
      </w:r>
      <w:r w:rsidR="00484C08" w:rsidRPr="00E24E29">
        <w:rPr>
          <w:rFonts w:cs="Times New Roman"/>
          <w:noProof/>
          <w:sz w:val="22"/>
        </w:rPr>
        <w:t>,</w:t>
      </w:r>
      <w:r w:rsidR="00185E64" w:rsidRPr="00E24E29">
        <w:rPr>
          <w:rFonts w:cs="Times New Roman"/>
          <w:noProof/>
          <w:sz w:val="22"/>
        </w:rPr>
        <w:t xml:space="preserve"> </w:t>
      </w:r>
      <w:r w:rsidR="00E50644" w:rsidRPr="00E24E29">
        <w:rPr>
          <w:rFonts w:cs="Times New Roman"/>
          <w:noProof/>
          <w:sz w:val="22"/>
        </w:rPr>
        <w:t xml:space="preserve">Feagan BG, Rutgeerts P, </w:t>
      </w:r>
      <w:r w:rsidR="00185E64" w:rsidRPr="00E24E29">
        <w:rPr>
          <w:rFonts w:cs="Times New Roman"/>
          <w:iCs/>
          <w:noProof/>
          <w:sz w:val="22"/>
        </w:rPr>
        <w:t>et al.</w:t>
      </w:r>
      <w:r w:rsidR="00185E64" w:rsidRPr="00E24E29">
        <w:rPr>
          <w:rFonts w:cs="Times New Roman"/>
          <w:noProof/>
          <w:sz w:val="22"/>
        </w:rPr>
        <w:t xml:space="preserve"> Vedolizumab as Induction and Maintenance Therapy for Crohn’s Disease. </w:t>
      </w:r>
      <w:r w:rsidR="00A46EB3" w:rsidRPr="00E24E29">
        <w:rPr>
          <w:rFonts w:cs="Times New Roman"/>
          <w:iCs/>
          <w:noProof/>
          <w:sz w:val="22"/>
        </w:rPr>
        <w:t>N</w:t>
      </w:r>
      <w:r w:rsidR="00185E64" w:rsidRPr="00E24E29">
        <w:rPr>
          <w:rFonts w:cs="Times New Roman"/>
          <w:iCs/>
          <w:noProof/>
          <w:sz w:val="22"/>
        </w:rPr>
        <w:t xml:space="preserve"> Engl J Med.</w:t>
      </w:r>
      <w:r w:rsidR="00185E64" w:rsidRPr="00E24E29">
        <w:rPr>
          <w:rFonts w:cs="Times New Roman"/>
          <w:noProof/>
          <w:sz w:val="22"/>
        </w:rPr>
        <w:t xml:space="preserve"> </w:t>
      </w:r>
      <w:r w:rsidR="00A46EB3" w:rsidRPr="00E24E29">
        <w:rPr>
          <w:rFonts w:cs="Times New Roman"/>
          <w:noProof/>
          <w:sz w:val="22"/>
        </w:rPr>
        <w:t>2013;</w:t>
      </w:r>
      <w:r w:rsidR="00185E64" w:rsidRPr="00E24E29">
        <w:rPr>
          <w:rFonts w:cs="Times New Roman"/>
          <w:bCs/>
          <w:noProof/>
          <w:sz w:val="22"/>
        </w:rPr>
        <w:t>369</w:t>
      </w:r>
      <w:r w:rsidR="00A46EB3" w:rsidRPr="00E24E29">
        <w:rPr>
          <w:rFonts w:cs="Times New Roman"/>
          <w:bCs/>
          <w:noProof/>
          <w:sz w:val="22"/>
        </w:rPr>
        <w:t>:</w:t>
      </w:r>
      <w:r w:rsidR="00185E64" w:rsidRPr="00E24E29">
        <w:rPr>
          <w:rFonts w:cs="Times New Roman"/>
          <w:noProof/>
          <w:sz w:val="22"/>
        </w:rPr>
        <w:t>711–721.</w:t>
      </w:r>
    </w:p>
    <w:p w14:paraId="5B6793DA" w14:textId="71818DD9"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5</w:t>
      </w:r>
      <w:r>
        <w:rPr>
          <w:rFonts w:cs="Times New Roman"/>
          <w:noProof/>
          <w:sz w:val="22"/>
        </w:rPr>
        <w:t>1</w:t>
      </w:r>
      <w:r w:rsidR="00185E64" w:rsidRPr="00E24E29">
        <w:rPr>
          <w:rFonts w:cs="Times New Roman"/>
          <w:noProof/>
          <w:sz w:val="22"/>
        </w:rPr>
        <w:t>.</w:t>
      </w:r>
      <w:r w:rsidR="00185E64" w:rsidRPr="00E24E29">
        <w:rPr>
          <w:rFonts w:cs="Times New Roman"/>
          <w:noProof/>
          <w:sz w:val="22"/>
        </w:rPr>
        <w:tab/>
        <w:t>Strong M, Oakley JE</w:t>
      </w:r>
      <w:r w:rsidR="00484C08" w:rsidRPr="00E24E29">
        <w:rPr>
          <w:rFonts w:cs="Times New Roman"/>
          <w:noProof/>
          <w:sz w:val="22"/>
        </w:rPr>
        <w:t>,</w:t>
      </w:r>
      <w:r w:rsidR="00185E64" w:rsidRPr="00E24E29">
        <w:rPr>
          <w:rFonts w:cs="Times New Roman"/>
          <w:noProof/>
          <w:sz w:val="22"/>
        </w:rPr>
        <w:t xml:space="preserve"> Brennan A. Estimating Multiparameter Partial Expected Value of Perfect Information from a Probabilistic Sensitivity Analysis Sample. </w:t>
      </w:r>
      <w:r w:rsidR="00185E64" w:rsidRPr="00E24E29">
        <w:rPr>
          <w:rFonts w:cs="Times New Roman"/>
          <w:iCs/>
          <w:noProof/>
          <w:sz w:val="22"/>
        </w:rPr>
        <w:t>Med Decis Mak.</w:t>
      </w:r>
      <w:r w:rsidR="00185E64" w:rsidRPr="00E24E29">
        <w:rPr>
          <w:rFonts w:cs="Times New Roman"/>
          <w:noProof/>
          <w:sz w:val="22"/>
        </w:rPr>
        <w:t xml:space="preserve"> </w:t>
      </w:r>
      <w:r w:rsidR="00A46EB3" w:rsidRPr="00E24E29">
        <w:rPr>
          <w:rFonts w:cs="Times New Roman"/>
          <w:noProof/>
          <w:sz w:val="22"/>
        </w:rPr>
        <w:t>2014;</w:t>
      </w:r>
      <w:r w:rsidR="00185E64" w:rsidRPr="00E24E29">
        <w:rPr>
          <w:rFonts w:cs="Times New Roman"/>
          <w:bCs/>
          <w:noProof/>
          <w:sz w:val="22"/>
        </w:rPr>
        <w:t>34</w:t>
      </w:r>
      <w:r w:rsidR="00A46EB3" w:rsidRPr="00E24E29">
        <w:rPr>
          <w:rFonts w:cs="Times New Roman"/>
          <w:bCs/>
          <w:noProof/>
          <w:sz w:val="22"/>
        </w:rPr>
        <w:t>:</w:t>
      </w:r>
      <w:r w:rsidR="00185E64" w:rsidRPr="00E24E29">
        <w:rPr>
          <w:rFonts w:cs="Times New Roman"/>
          <w:noProof/>
          <w:sz w:val="22"/>
        </w:rPr>
        <w:t>311–326.</w:t>
      </w:r>
    </w:p>
    <w:p w14:paraId="2F9FF867" w14:textId="122BA875"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5</w:t>
      </w:r>
      <w:r>
        <w:rPr>
          <w:rFonts w:cs="Times New Roman"/>
          <w:noProof/>
          <w:sz w:val="22"/>
        </w:rPr>
        <w:t>2</w:t>
      </w:r>
      <w:r w:rsidR="00185E64" w:rsidRPr="00E24E29">
        <w:rPr>
          <w:rFonts w:cs="Times New Roman"/>
          <w:noProof/>
          <w:sz w:val="22"/>
        </w:rPr>
        <w:t>.</w:t>
      </w:r>
      <w:r w:rsidR="00185E64" w:rsidRPr="00E24E29">
        <w:rPr>
          <w:rFonts w:cs="Times New Roman"/>
          <w:noProof/>
          <w:sz w:val="22"/>
        </w:rPr>
        <w:tab/>
        <w:t>National Institute for Health and Care Excellence. Infliximab and Adalimumab for the Treatment of Crohn’s Disease Costing Template and Report - Technology Appraisal Guidance 187. (2010).</w:t>
      </w:r>
    </w:p>
    <w:p w14:paraId="2709489C" w14:textId="2FEA5643"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5</w:t>
      </w:r>
      <w:r>
        <w:rPr>
          <w:rFonts w:cs="Times New Roman"/>
          <w:noProof/>
          <w:sz w:val="22"/>
        </w:rPr>
        <w:t>3</w:t>
      </w:r>
      <w:r w:rsidR="00185E64" w:rsidRPr="00E24E29">
        <w:rPr>
          <w:rFonts w:cs="Times New Roman"/>
          <w:noProof/>
          <w:sz w:val="22"/>
        </w:rPr>
        <w:t>.</w:t>
      </w:r>
      <w:r w:rsidR="00185E64" w:rsidRPr="00E24E29">
        <w:rPr>
          <w:rFonts w:cs="Times New Roman"/>
          <w:noProof/>
          <w:sz w:val="22"/>
        </w:rPr>
        <w:tab/>
        <w:t>Husereau D</w:t>
      </w:r>
      <w:r w:rsidR="00484C08" w:rsidRPr="00E24E29">
        <w:rPr>
          <w:rFonts w:cs="Times New Roman"/>
          <w:noProof/>
          <w:sz w:val="22"/>
        </w:rPr>
        <w:t>,</w:t>
      </w:r>
      <w:r w:rsidR="00185E64" w:rsidRPr="00E24E29">
        <w:rPr>
          <w:rFonts w:cs="Times New Roman"/>
          <w:noProof/>
          <w:sz w:val="22"/>
        </w:rPr>
        <w:t xml:space="preserve"> </w:t>
      </w:r>
      <w:r w:rsidR="00E50644" w:rsidRPr="00E24E29">
        <w:rPr>
          <w:rFonts w:cs="Times New Roman"/>
          <w:noProof/>
          <w:sz w:val="22"/>
        </w:rPr>
        <w:t xml:space="preserve">Drummond M, Petrou S, </w:t>
      </w:r>
      <w:r w:rsidR="00185E64" w:rsidRPr="00E24E29">
        <w:rPr>
          <w:rFonts w:cs="Times New Roman"/>
          <w:iCs/>
          <w:noProof/>
          <w:sz w:val="22"/>
        </w:rPr>
        <w:t>et al.</w:t>
      </w:r>
      <w:r w:rsidR="00185E64" w:rsidRPr="00E24E29">
        <w:rPr>
          <w:rFonts w:cs="Times New Roman"/>
          <w:noProof/>
          <w:sz w:val="22"/>
        </w:rPr>
        <w:t xml:space="preserve"> Consolidated Health Economic Evaluation Reporting Standards (CHEERS)--Explanation and elaboration: A report of the ISPOR Health Economic Evaluations Publication Guidelines Task Force. </w:t>
      </w:r>
      <w:r w:rsidR="00185E64" w:rsidRPr="00E24E29">
        <w:rPr>
          <w:rFonts w:cs="Times New Roman"/>
          <w:iCs/>
          <w:noProof/>
          <w:sz w:val="22"/>
        </w:rPr>
        <w:t>Value Heal.</w:t>
      </w:r>
      <w:r w:rsidR="00185E64" w:rsidRPr="00E24E29">
        <w:rPr>
          <w:rFonts w:cs="Times New Roman"/>
          <w:noProof/>
          <w:sz w:val="22"/>
        </w:rPr>
        <w:t xml:space="preserve"> </w:t>
      </w:r>
      <w:r w:rsidR="00A46EB3" w:rsidRPr="00E24E29">
        <w:rPr>
          <w:rFonts w:cs="Times New Roman"/>
          <w:noProof/>
          <w:sz w:val="22"/>
        </w:rPr>
        <w:t>2013;</w:t>
      </w:r>
      <w:r w:rsidR="00185E64" w:rsidRPr="00E24E29">
        <w:rPr>
          <w:rFonts w:cs="Times New Roman"/>
          <w:bCs/>
          <w:noProof/>
          <w:sz w:val="22"/>
        </w:rPr>
        <w:t>16</w:t>
      </w:r>
      <w:r w:rsidR="00A46EB3" w:rsidRPr="00E24E29">
        <w:rPr>
          <w:rFonts w:cs="Times New Roman"/>
          <w:bCs/>
          <w:noProof/>
          <w:sz w:val="22"/>
        </w:rPr>
        <w:t>:</w:t>
      </w:r>
      <w:r w:rsidR="00185E64" w:rsidRPr="00E24E29">
        <w:rPr>
          <w:rFonts w:cs="Times New Roman"/>
          <w:noProof/>
          <w:sz w:val="22"/>
        </w:rPr>
        <w:t>231–250.</w:t>
      </w:r>
    </w:p>
    <w:p w14:paraId="2A333D33" w14:textId="4BFC264D"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5</w:t>
      </w:r>
      <w:r>
        <w:rPr>
          <w:rFonts w:cs="Times New Roman"/>
          <w:noProof/>
          <w:sz w:val="22"/>
        </w:rPr>
        <w:t>4</w:t>
      </w:r>
      <w:r w:rsidR="00185E64" w:rsidRPr="00E24E29">
        <w:rPr>
          <w:rFonts w:cs="Times New Roman"/>
          <w:noProof/>
          <w:sz w:val="22"/>
        </w:rPr>
        <w:t>.</w:t>
      </w:r>
      <w:r w:rsidR="00185E64" w:rsidRPr="00E24E29">
        <w:rPr>
          <w:rFonts w:cs="Times New Roman"/>
          <w:noProof/>
          <w:sz w:val="22"/>
        </w:rPr>
        <w:tab/>
        <w:t>Lynd LD</w:t>
      </w:r>
      <w:r w:rsidR="00484C08" w:rsidRPr="00E24E29">
        <w:rPr>
          <w:rFonts w:cs="Times New Roman"/>
          <w:noProof/>
          <w:sz w:val="22"/>
        </w:rPr>
        <w:t xml:space="preserve">, </w:t>
      </w:r>
      <w:r w:rsidR="00185E64" w:rsidRPr="00E24E29">
        <w:rPr>
          <w:rFonts w:cs="Times New Roman"/>
          <w:noProof/>
          <w:sz w:val="22"/>
        </w:rPr>
        <w:t>O’Brien BJ</w:t>
      </w:r>
      <w:r w:rsidR="00484C08" w:rsidRPr="00E24E29">
        <w:rPr>
          <w:rFonts w:cs="Times New Roman"/>
          <w:noProof/>
          <w:sz w:val="22"/>
        </w:rPr>
        <w:t>.</w:t>
      </w:r>
      <w:r w:rsidR="00185E64" w:rsidRPr="00E24E29">
        <w:rPr>
          <w:rFonts w:cs="Times New Roman"/>
          <w:noProof/>
          <w:sz w:val="22"/>
        </w:rPr>
        <w:t xml:space="preserve"> Advances in risk-benefit evaluation using probabilistic simulation methods: An application to the prophylaxis of deep vein thrombosis. </w:t>
      </w:r>
      <w:r w:rsidR="00A46EB3" w:rsidRPr="00E24E29">
        <w:rPr>
          <w:rFonts w:cs="Times New Roman"/>
          <w:iCs/>
          <w:noProof/>
          <w:sz w:val="22"/>
        </w:rPr>
        <w:t>J</w:t>
      </w:r>
      <w:r w:rsidR="00185E64" w:rsidRPr="00E24E29">
        <w:rPr>
          <w:rFonts w:cs="Times New Roman"/>
          <w:iCs/>
          <w:noProof/>
          <w:sz w:val="22"/>
        </w:rPr>
        <w:t xml:space="preserve"> Clin Epidemiol.</w:t>
      </w:r>
      <w:r w:rsidR="00185E64" w:rsidRPr="00E24E29">
        <w:rPr>
          <w:rFonts w:cs="Times New Roman"/>
          <w:noProof/>
          <w:sz w:val="22"/>
        </w:rPr>
        <w:t xml:space="preserve"> </w:t>
      </w:r>
      <w:r w:rsidR="00A46EB3" w:rsidRPr="00E24E29">
        <w:rPr>
          <w:rFonts w:cs="Times New Roman"/>
          <w:noProof/>
          <w:sz w:val="22"/>
        </w:rPr>
        <w:t>2004;</w:t>
      </w:r>
      <w:r w:rsidR="00185E64" w:rsidRPr="00E24E29">
        <w:rPr>
          <w:rFonts w:cs="Times New Roman"/>
          <w:bCs/>
          <w:noProof/>
          <w:sz w:val="22"/>
        </w:rPr>
        <w:t>57</w:t>
      </w:r>
      <w:r w:rsidR="00A46EB3" w:rsidRPr="00E24E29">
        <w:rPr>
          <w:rFonts w:cs="Times New Roman"/>
          <w:bCs/>
          <w:noProof/>
          <w:sz w:val="22"/>
        </w:rPr>
        <w:t>:</w:t>
      </w:r>
      <w:r w:rsidR="00185E64" w:rsidRPr="00E24E29">
        <w:rPr>
          <w:rFonts w:cs="Times New Roman"/>
          <w:noProof/>
          <w:sz w:val="22"/>
        </w:rPr>
        <w:t>795–803.</w:t>
      </w:r>
    </w:p>
    <w:p w14:paraId="0ABF8DAB" w14:textId="23562946"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5</w:t>
      </w:r>
      <w:r>
        <w:rPr>
          <w:rFonts w:cs="Times New Roman"/>
          <w:noProof/>
          <w:sz w:val="22"/>
        </w:rPr>
        <w:t>5</w:t>
      </w:r>
      <w:r w:rsidR="00185E64" w:rsidRPr="00E24E29">
        <w:rPr>
          <w:rFonts w:cs="Times New Roman"/>
          <w:noProof/>
          <w:sz w:val="22"/>
        </w:rPr>
        <w:t>.</w:t>
      </w:r>
      <w:r w:rsidR="00185E64" w:rsidRPr="00E24E29">
        <w:rPr>
          <w:rFonts w:cs="Times New Roman"/>
          <w:noProof/>
          <w:sz w:val="22"/>
        </w:rPr>
        <w:tab/>
        <w:t>Breeze P</w:t>
      </w:r>
      <w:r w:rsidR="00484C08" w:rsidRPr="00E24E29">
        <w:rPr>
          <w:rFonts w:cs="Times New Roman"/>
          <w:noProof/>
          <w:sz w:val="22"/>
        </w:rPr>
        <w:t>,</w:t>
      </w:r>
      <w:r w:rsidR="00185E64" w:rsidRPr="00E24E29">
        <w:rPr>
          <w:rFonts w:cs="Times New Roman"/>
          <w:noProof/>
          <w:sz w:val="22"/>
        </w:rPr>
        <w:t xml:space="preserve"> Brennan A. Valuing trial designs from a pharmaceutical perspective using value-based pricing. </w:t>
      </w:r>
      <w:r w:rsidR="00185E64" w:rsidRPr="00E24E29">
        <w:rPr>
          <w:rFonts w:cs="Times New Roman"/>
          <w:iCs/>
          <w:noProof/>
          <w:sz w:val="22"/>
        </w:rPr>
        <w:t>Heal Econ.</w:t>
      </w:r>
      <w:r w:rsidR="00185E64" w:rsidRPr="00E24E29">
        <w:rPr>
          <w:rFonts w:cs="Times New Roman"/>
          <w:noProof/>
          <w:sz w:val="22"/>
        </w:rPr>
        <w:t xml:space="preserve"> </w:t>
      </w:r>
      <w:r w:rsidR="00DE6D26" w:rsidRPr="00E24E29">
        <w:rPr>
          <w:rFonts w:cs="Times New Roman"/>
          <w:noProof/>
          <w:sz w:val="22"/>
        </w:rPr>
        <w:t>2014;</w:t>
      </w:r>
      <w:r w:rsidR="00185E64" w:rsidRPr="00E24E29">
        <w:rPr>
          <w:rFonts w:cs="Times New Roman"/>
          <w:bCs/>
          <w:noProof/>
          <w:sz w:val="22"/>
        </w:rPr>
        <w:t>18</w:t>
      </w:r>
      <w:r w:rsidR="00DE6D26" w:rsidRPr="00E24E29">
        <w:rPr>
          <w:rFonts w:cs="Times New Roman"/>
          <w:bCs/>
          <w:noProof/>
          <w:sz w:val="22"/>
        </w:rPr>
        <w:t>:</w:t>
      </w:r>
      <w:r w:rsidR="00185E64" w:rsidRPr="00E24E29">
        <w:rPr>
          <w:rFonts w:cs="Times New Roman"/>
          <w:noProof/>
          <w:sz w:val="22"/>
        </w:rPr>
        <w:t>S37–S54.</w:t>
      </w:r>
    </w:p>
    <w:p w14:paraId="71AA9F2D" w14:textId="3B7A18FA"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5</w:t>
      </w:r>
      <w:r>
        <w:rPr>
          <w:rFonts w:cs="Times New Roman"/>
          <w:noProof/>
          <w:sz w:val="22"/>
        </w:rPr>
        <w:t>6</w:t>
      </w:r>
      <w:r w:rsidR="00185E64" w:rsidRPr="00E24E29">
        <w:rPr>
          <w:rFonts w:cs="Times New Roman"/>
          <w:noProof/>
          <w:sz w:val="22"/>
        </w:rPr>
        <w:t>.</w:t>
      </w:r>
      <w:r w:rsidR="00185E64" w:rsidRPr="00E24E29">
        <w:rPr>
          <w:rFonts w:cs="Times New Roman"/>
          <w:noProof/>
          <w:sz w:val="22"/>
        </w:rPr>
        <w:tab/>
        <w:t>Kim YH</w:t>
      </w:r>
      <w:r w:rsidR="00484C08" w:rsidRPr="00E24E29">
        <w:rPr>
          <w:rFonts w:cs="Times New Roman"/>
          <w:noProof/>
          <w:sz w:val="22"/>
        </w:rPr>
        <w:t>,</w:t>
      </w:r>
      <w:r w:rsidR="00185E64" w:rsidRPr="00E24E29">
        <w:rPr>
          <w:rFonts w:cs="Times New Roman"/>
          <w:noProof/>
          <w:sz w:val="22"/>
        </w:rPr>
        <w:t xml:space="preserve"> </w:t>
      </w:r>
      <w:r w:rsidR="00E50644" w:rsidRPr="00E24E29">
        <w:rPr>
          <w:rFonts w:cs="Times New Roman"/>
          <w:noProof/>
          <w:sz w:val="22"/>
        </w:rPr>
        <w:t xml:space="preserve">Ye BD, Pesegova M, </w:t>
      </w:r>
      <w:r w:rsidR="00185E64" w:rsidRPr="00E24E29">
        <w:rPr>
          <w:rFonts w:cs="Times New Roman"/>
          <w:iCs/>
          <w:noProof/>
          <w:sz w:val="22"/>
        </w:rPr>
        <w:t>et al.</w:t>
      </w:r>
      <w:r w:rsidR="00185E64" w:rsidRPr="00E24E29">
        <w:rPr>
          <w:rFonts w:cs="Times New Roman"/>
          <w:noProof/>
          <w:sz w:val="22"/>
        </w:rPr>
        <w:t xml:space="preserve"> DOP061 Phase III randomised, double-blind, controlled trial to compare biosimilar infliximab (CT-P13) with innovator infliximab in patients with active Crohn’s disease: early efficacy and safety results. </w:t>
      </w:r>
      <w:r w:rsidR="00185E64" w:rsidRPr="00E24E29">
        <w:rPr>
          <w:rFonts w:cs="Times New Roman"/>
          <w:iCs/>
          <w:noProof/>
          <w:sz w:val="22"/>
        </w:rPr>
        <w:t>J Crohn’s Colitis</w:t>
      </w:r>
      <w:r w:rsidR="00185E64" w:rsidRPr="00E24E29">
        <w:rPr>
          <w:rFonts w:cs="Times New Roman"/>
          <w:noProof/>
          <w:sz w:val="22"/>
        </w:rPr>
        <w:t xml:space="preserve"> </w:t>
      </w:r>
      <w:r w:rsidR="00DE6D26" w:rsidRPr="00E24E29">
        <w:rPr>
          <w:rFonts w:cs="Times New Roman"/>
          <w:noProof/>
          <w:sz w:val="22"/>
        </w:rPr>
        <w:t>2017;</w:t>
      </w:r>
      <w:r w:rsidR="00185E64" w:rsidRPr="00E24E29">
        <w:rPr>
          <w:rFonts w:cs="Times New Roman"/>
          <w:bCs/>
          <w:noProof/>
          <w:sz w:val="22"/>
        </w:rPr>
        <w:t>11</w:t>
      </w:r>
      <w:r w:rsidR="00DE6D26" w:rsidRPr="00E24E29">
        <w:rPr>
          <w:rFonts w:cs="Times New Roman"/>
          <w:bCs/>
          <w:noProof/>
          <w:sz w:val="22"/>
        </w:rPr>
        <w:t>:</w:t>
      </w:r>
      <w:r w:rsidR="00185E64" w:rsidRPr="00E24E29">
        <w:rPr>
          <w:rFonts w:cs="Times New Roman"/>
          <w:noProof/>
          <w:sz w:val="22"/>
        </w:rPr>
        <w:t>S62.</w:t>
      </w:r>
    </w:p>
    <w:p w14:paraId="39A97B2F" w14:textId="561D11A6"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5</w:t>
      </w:r>
      <w:r>
        <w:rPr>
          <w:rFonts w:cs="Times New Roman"/>
          <w:noProof/>
          <w:sz w:val="22"/>
        </w:rPr>
        <w:t>7</w:t>
      </w:r>
      <w:r w:rsidR="00185E64" w:rsidRPr="00E24E29">
        <w:rPr>
          <w:rFonts w:cs="Times New Roman"/>
          <w:noProof/>
          <w:sz w:val="22"/>
        </w:rPr>
        <w:t>.</w:t>
      </w:r>
      <w:r w:rsidR="00185E64" w:rsidRPr="00E24E29">
        <w:rPr>
          <w:rFonts w:cs="Times New Roman"/>
          <w:noProof/>
          <w:sz w:val="22"/>
        </w:rPr>
        <w:tab/>
        <w:t>Fiorino G</w:t>
      </w:r>
      <w:r w:rsidR="00484C08" w:rsidRPr="00E24E29">
        <w:rPr>
          <w:rFonts w:cs="Times New Roman"/>
          <w:noProof/>
          <w:sz w:val="22"/>
        </w:rPr>
        <w:t>,</w:t>
      </w:r>
      <w:r w:rsidR="00185E64" w:rsidRPr="00E24E29">
        <w:rPr>
          <w:rFonts w:cs="Times New Roman"/>
          <w:noProof/>
          <w:sz w:val="22"/>
        </w:rPr>
        <w:t xml:space="preserve"> </w:t>
      </w:r>
      <w:r w:rsidR="00E50644" w:rsidRPr="00E24E29">
        <w:rPr>
          <w:rFonts w:cs="Times New Roman"/>
          <w:noProof/>
          <w:sz w:val="22"/>
        </w:rPr>
        <w:t xml:space="preserve">Manetti N, Armuzzi A, </w:t>
      </w:r>
      <w:r w:rsidR="00185E64" w:rsidRPr="00E24E29">
        <w:rPr>
          <w:rFonts w:cs="Times New Roman"/>
          <w:iCs/>
          <w:noProof/>
          <w:sz w:val="22"/>
        </w:rPr>
        <w:t>et al.</w:t>
      </w:r>
      <w:r w:rsidR="00185E64" w:rsidRPr="00E24E29">
        <w:rPr>
          <w:rFonts w:cs="Times New Roman"/>
          <w:noProof/>
          <w:sz w:val="22"/>
        </w:rPr>
        <w:t xml:space="preserve"> The PROSIT-BIO Cohort: A Prospective Observational Study of Patients with Inflammatory Bowel Disease Treated with Infliximab Biosimilar. </w:t>
      </w:r>
      <w:r w:rsidR="00185E64" w:rsidRPr="00E24E29">
        <w:rPr>
          <w:rFonts w:cs="Times New Roman"/>
          <w:iCs/>
          <w:noProof/>
          <w:sz w:val="22"/>
        </w:rPr>
        <w:t>Inflamm Bowel Dis</w:t>
      </w:r>
      <w:r w:rsidR="00185E64" w:rsidRPr="00E24E29">
        <w:rPr>
          <w:rFonts w:cs="Times New Roman"/>
          <w:noProof/>
          <w:sz w:val="22"/>
        </w:rPr>
        <w:t xml:space="preserve"> </w:t>
      </w:r>
      <w:r w:rsidR="00DE6D26" w:rsidRPr="00E24E29">
        <w:rPr>
          <w:rFonts w:cs="Times New Roman"/>
          <w:noProof/>
          <w:sz w:val="22"/>
        </w:rPr>
        <w:t>2017;</w:t>
      </w:r>
      <w:r w:rsidR="00185E64" w:rsidRPr="00E24E29">
        <w:rPr>
          <w:rFonts w:cs="Times New Roman"/>
          <w:bCs/>
          <w:noProof/>
          <w:sz w:val="22"/>
        </w:rPr>
        <w:t>23</w:t>
      </w:r>
      <w:r w:rsidR="00DE6D26" w:rsidRPr="00E24E29">
        <w:rPr>
          <w:rFonts w:cs="Times New Roman"/>
          <w:bCs/>
          <w:noProof/>
          <w:sz w:val="22"/>
        </w:rPr>
        <w:t>:</w:t>
      </w:r>
      <w:r w:rsidR="00185E64" w:rsidRPr="00E24E29">
        <w:rPr>
          <w:rFonts w:cs="Times New Roman"/>
          <w:noProof/>
          <w:sz w:val="22"/>
        </w:rPr>
        <w:t>233–243.</w:t>
      </w:r>
    </w:p>
    <w:p w14:paraId="35E77B0A" w14:textId="343AFD8C" w:rsidR="00185E64"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5</w:t>
      </w:r>
      <w:r>
        <w:rPr>
          <w:rFonts w:cs="Times New Roman"/>
          <w:noProof/>
          <w:sz w:val="22"/>
        </w:rPr>
        <w:t>8</w:t>
      </w:r>
      <w:r w:rsidR="00185E64" w:rsidRPr="00E24E29">
        <w:rPr>
          <w:rFonts w:cs="Times New Roman"/>
          <w:noProof/>
          <w:sz w:val="22"/>
        </w:rPr>
        <w:t>.</w:t>
      </w:r>
      <w:r w:rsidR="00185E64" w:rsidRPr="00E24E29">
        <w:rPr>
          <w:rFonts w:cs="Times New Roman"/>
          <w:noProof/>
          <w:sz w:val="22"/>
        </w:rPr>
        <w:tab/>
        <w:t>Ben-Horin S</w:t>
      </w:r>
      <w:r w:rsidR="00484C08" w:rsidRPr="00E24E29">
        <w:rPr>
          <w:rFonts w:cs="Times New Roman"/>
          <w:noProof/>
          <w:sz w:val="22"/>
        </w:rPr>
        <w:t>,</w:t>
      </w:r>
      <w:r w:rsidR="00185E64" w:rsidRPr="00E24E29">
        <w:rPr>
          <w:rFonts w:cs="Times New Roman"/>
          <w:noProof/>
          <w:sz w:val="22"/>
        </w:rPr>
        <w:t xml:space="preserve"> </w:t>
      </w:r>
      <w:r w:rsidR="00E50644" w:rsidRPr="00E24E29">
        <w:rPr>
          <w:rFonts w:cs="Times New Roman"/>
          <w:noProof/>
          <w:sz w:val="22"/>
        </w:rPr>
        <w:t xml:space="preserve">Yavzori M, Benhar I, </w:t>
      </w:r>
      <w:r w:rsidR="00185E64" w:rsidRPr="00E24E29">
        <w:rPr>
          <w:rFonts w:cs="Times New Roman"/>
          <w:iCs/>
          <w:noProof/>
          <w:sz w:val="22"/>
        </w:rPr>
        <w:t>et al.</w:t>
      </w:r>
      <w:r w:rsidR="00185E64" w:rsidRPr="00E24E29">
        <w:rPr>
          <w:rFonts w:cs="Times New Roman"/>
          <w:noProof/>
          <w:sz w:val="22"/>
        </w:rPr>
        <w:t xml:space="preserve"> Cross-immunogenicity: antibodies to infliximab in Remicade-treated patients with IBD similarly recognise the biosimilar Remsima. </w:t>
      </w:r>
      <w:r w:rsidR="00185E64" w:rsidRPr="00E24E29">
        <w:rPr>
          <w:rFonts w:cs="Times New Roman"/>
          <w:iCs/>
          <w:noProof/>
          <w:sz w:val="22"/>
        </w:rPr>
        <w:t>Gut</w:t>
      </w:r>
      <w:r w:rsidR="00185E64" w:rsidRPr="00E24E29">
        <w:rPr>
          <w:rFonts w:cs="Times New Roman"/>
          <w:noProof/>
          <w:sz w:val="22"/>
        </w:rPr>
        <w:t xml:space="preserve"> </w:t>
      </w:r>
      <w:r w:rsidR="00DE6D26" w:rsidRPr="00E24E29">
        <w:rPr>
          <w:rFonts w:cs="Times New Roman"/>
          <w:noProof/>
          <w:sz w:val="22"/>
        </w:rPr>
        <w:t>2016;</w:t>
      </w:r>
      <w:r w:rsidR="00185E64" w:rsidRPr="00E24E29">
        <w:rPr>
          <w:rFonts w:cs="Times New Roman"/>
          <w:bCs/>
          <w:noProof/>
          <w:sz w:val="22"/>
        </w:rPr>
        <w:t>65</w:t>
      </w:r>
      <w:r w:rsidR="00DE6D26" w:rsidRPr="00E24E29">
        <w:rPr>
          <w:rFonts w:cs="Times New Roman"/>
          <w:bCs/>
          <w:noProof/>
          <w:sz w:val="22"/>
        </w:rPr>
        <w:t>:</w:t>
      </w:r>
      <w:r w:rsidR="00185E64" w:rsidRPr="00E24E29">
        <w:rPr>
          <w:rFonts w:cs="Times New Roman"/>
          <w:noProof/>
          <w:sz w:val="22"/>
        </w:rPr>
        <w:t>1132–8.</w:t>
      </w:r>
    </w:p>
    <w:p w14:paraId="69F13B0F" w14:textId="4E93073B" w:rsidR="00966AD5" w:rsidRPr="00E24E29" w:rsidRDefault="002E218E" w:rsidP="00185E64">
      <w:pPr>
        <w:widowControl w:val="0"/>
        <w:autoSpaceDE w:val="0"/>
        <w:autoSpaceDN w:val="0"/>
        <w:adjustRightInd w:val="0"/>
        <w:spacing w:line="240" w:lineRule="auto"/>
        <w:ind w:left="640" w:hanging="640"/>
        <w:rPr>
          <w:rFonts w:cs="Times New Roman"/>
          <w:noProof/>
          <w:sz w:val="22"/>
        </w:rPr>
      </w:pPr>
      <w:r>
        <w:rPr>
          <w:rFonts w:cs="Times New Roman"/>
          <w:noProof/>
          <w:sz w:val="22"/>
        </w:rPr>
        <w:t>59</w:t>
      </w:r>
      <w:r w:rsidR="00966AD5">
        <w:rPr>
          <w:rFonts w:cs="Times New Roman"/>
          <w:noProof/>
          <w:sz w:val="22"/>
        </w:rPr>
        <w:t>.</w:t>
      </w:r>
      <w:r w:rsidR="00966AD5">
        <w:rPr>
          <w:rFonts w:cs="Times New Roman"/>
          <w:noProof/>
          <w:sz w:val="22"/>
        </w:rPr>
        <w:tab/>
      </w:r>
      <w:r w:rsidR="00966AD5" w:rsidRPr="00966AD5">
        <w:rPr>
          <w:rFonts w:cs="Times New Roman"/>
          <w:noProof/>
          <w:sz w:val="22"/>
        </w:rPr>
        <w:t xml:space="preserve">Ye BD, Pesegova M, Alexeeva O, </w:t>
      </w:r>
      <w:r w:rsidR="004A1C83">
        <w:rPr>
          <w:rFonts w:cs="Times New Roman"/>
          <w:noProof/>
          <w:sz w:val="22"/>
        </w:rPr>
        <w:t>et al</w:t>
      </w:r>
      <w:r w:rsidR="00966AD5" w:rsidRPr="00966AD5">
        <w:rPr>
          <w:rFonts w:cs="Times New Roman"/>
          <w:noProof/>
          <w:sz w:val="22"/>
        </w:rPr>
        <w:t>. Efficacy and safety of biosimilar CT-P13 compared with originator infliximab in patients with active Crohn's disease: an international, randomised, double-blind, phase 3 non-inferiority study. Lancet. 2019;393(10182):1699-1707</w:t>
      </w:r>
    </w:p>
    <w:p w14:paraId="0C67F49F" w14:textId="2466723D"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Pr>
          <w:rFonts w:cs="Times New Roman"/>
          <w:noProof/>
          <w:sz w:val="22"/>
        </w:rPr>
        <w:t>60</w:t>
      </w:r>
      <w:r w:rsidR="00185E64" w:rsidRPr="00E24E29">
        <w:rPr>
          <w:rFonts w:cs="Times New Roman"/>
          <w:noProof/>
          <w:sz w:val="22"/>
        </w:rPr>
        <w:t>.</w:t>
      </w:r>
      <w:r w:rsidR="00185E64" w:rsidRPr="00E24E29">
        <w:rPr>
          <w:rFonts w:cs="Times New Roman"/>
          <w:noProof/>
          <w:sz w:val="22"/>
        </w:rPr>
        <w:tab/>
        <w:t>Acha V</w:t>
      </w:r>
      <w:r w:rsidR="00484C08" w:rsidRPr="00E24E29">
        <w:rPr>
          <w:rFonts w:cs="Times New Roman"/>
          <w:noProof/>
          <w:sz w:val="22"/>
        </w:rPr>
        <w:t>,</w:t>
      </w:r>
      <w:r w:rsidR="00185E64" w:rsidRPr="00E24E29">
        <w:rPr>
          <w:rFonts w:cs="Times New Roman"/>
          <w:noProof/>
          <w:sz w:val="22"/>
        </w:rPr>
        <w:t xml:space="preserve"> Mestre-Ferrandiz J. Translating European regulatory approval into healthcare uptake for biosimilars: the second translational gap. </w:t>
      </w:r>
      <w:r w:rsidR="00185E64" w:rsidRPr="00E24E29">
        <w:rPr>
          <w:rFonts w:cs="Times New Roman"/>
          <w:iCs/>
          <w:noProof/>
          <w:sz w:val="22"/>
        </w:rPr>
        <w:t>Technol Anal</w:t>
      </w:r>
      <w:r w:rsidR="00DE6D26" w:rsidRPr="00E24E29">
        <w:rPr>
          <w:rFonts w:cs="Times New Roman"/>
          <w:iCs/>
          <w:noProof/>
          <w:sz w:val="22"/>
        </w:rPr>
        <w:t xml:space="preserve"> Strateg</w:t>
      </w:r>
      <w:r w:rsidR="00185E64" w:rsidRPr="00E24E29">
        <w:rPr>
          <w:rFonts w:cs="Times New Roman"/>
          <w:iCs/>
          <w:noProof/>
          <w:sz w:val="22"/>
        </w:rPr>
        <w:t xml:space="preserve"> Manag.</w:t>
      </w:r>
      <w:r w:rsidR="00185E64" w:rsidRPr="00E24E29">
        <w:rPr>
          <w:rFonts w:cs="Times New Roman"/>
          <w:noProof/>
          <w:sz w:val="22"/>
        </w:rPr>
        <w:t xml:space="preserve"> </w:t>
      </w:r>
      <w:r w:rsidR="00DE6D26" w:rsidRPr="00E24E29">
        <w:rPr>
          <w:rFonts w:cs="Times New Roman"/>
          <w:noProof/>
          <w:sz w:val="22"/>
        </w:rPr>
        <w:t>2017;</w:t>
      </w:r>
      <w:r w:rsidR="00185E64" w:rsidRPr="00E24E29">
        <w:rPr>
          <w:rFonts w:cs="Times New Roman"/>
          <w:bCs/>
          <w:noProof/>
          <w:sz w:val="22"/>
        </w:rPr>
        <w:t>29</w:t>
      </w:r>
      <w:r w:rsidR="00DE6D26" w:rsidRPr="00E24E29">
        <w:rPr>
          <w:rFonts w:cs="Times New Roman"/>
          <w:bCs/>
          <w:noProof/>
          <w:sz w:val="22"/>
        </w:rPr>
        <w:t>:</w:t>
      </w:r>
      <w:r w:rsidR="00185E64" w:rsidRPr="00E24E29">
        <w:rPr>
          <w:rFonts w:cs="Times New Roman"/>
          <w:noProof/>
          <w:sz w:val="22"/>
        </w:rPr>
        <w:t>263–275.</w:t>
      </w:r>
    </w:p>
    <w:p w14:paraId="0B201DE7" w14:textId="09394370" w:rsidR="00185E64" w:rsidRPr="00E24E29" w:rsidRDefault="002E218E" w:rsidP="00185E64">
      <w:pPr>
        <w:widowControl w:val="0"/>
        <w:autoSpaceDE w:val="0"/>
        <w:autoSpaceDN w:val="0"/>
        <w:adjustRightInd w:val="0"/>
        <w:spacing w:line="240" w:lineRule="auto"/>
        <w:ind w:left="640" w:hanging="640"/>
        <w:rPr>
          <w:rFonts w:cs="Times New Roman"/>
          <w:noProof/>
          <w:sz w:val="22"/>
        </w:rPr>
      </w:pPr>
      <w:r>
        <w:rPr>
          <w:rFonts w:cs="Times New Roman"/>
          <w:noProof/>
          <w:sz w:val="22"/>
        </w:rPr>
        <w:t>61</w:t>
      </w:r>
      <w:r w:rsidR="00185E64" w:rsidRPr="00E24E29">
        <w:rPr>
          <w:rFonts w:cs="Times New Roman"/>
          <w:noProof/>
          <w:sz w:val="22"/>
        </w:rPr>
        <w:t>.</w:t>
      </w:r>
      <w:r w:rsidR="00185E64" w:rsidRPr="00E24E29">
        <w:rPr>
          <w:rFonts w:cs="Times New Roman"/>
          <w:noProof/>
          <w:sz w:val="22"/>
        </w:rPr>
        <w:tab/>
        <w:t>National Institute for Health and Care Excellence. NICE’s Biosimilar Position Statement. 7–8 (2014).</w:t>
      </w:r>
    </w:p>
    <w:p w14:paraId="6A27EBDA" w14:textId="57755A3B" w:rsidR="00185E64" w:rsidRDefault="002E218E" w:rsidP="00185E64">
      <w:pPr>
        <w:widowControl w:val="0"/>
        <w:autoSpaceDE w:val="0"/>
        <w:autoSpaceDN w:val="0"/>
        <w:adjustRightInd w:val="0"/>
        <w:spacing w:line="240" w:lineRule="auto"/>
        <w:ind w:left="640" w:hanging="640"/>
        <w:rPr>
          <w:rFonts w:cs="Times New Roman"/>
          <w:noProof/>
          <w:sz w:val="22"/>
        </w:rPr>
      </w:pPr>
      <w:r w:rsidRPr="00E24E29">
        <w:rPr>
          <w:rFonts w:cs="Times New Roman"/>
          <w:noProof/>
          <w:sz w:val="22"/>
        </w:rPr>
        <w:t>6</w:t>
      </w:r>
      <w:r>
        <w:rPr>
          <w:rFonts w:cs="Times New Roman"/>
          <w:noProof/>
          <w:sz w:val="22"/>
        </w:rPr>
        <w:t>2</w:t>
      </w:r>
      <w:r w:rsidR="00185E64" w:rsidRPr="00E24E29">
        <w:rPr>
          <w:rFonts w:cs="Times New Roman"/>
          <w:noProof/>
          <w:sz w:val="22"/>
        </w:rPr>
        <w:t>.</w:t>
      </w:r>
      <w:r w:rsidR="00185E64" w:rsidRPr="00E24E29">
        <w:rPr>
          <w:rFonts w:cs="Times New Roman"/>
          <w:noProof/>
          <w:sz w:val="22"/>
        </w:rPr>
        <w:tab/>
        <w:t>Ungar B</w:t>
      </w:r>
      <w:r w:rsidR="00484C08" w:rsidRPr="00E24E29">
        <w:rPr>
          <w:rFonts w:cs="Times New Roman"/>
          <w:noProof/>
          <w:sz w:val="22"/>
        </w:rPr>
        <w:t>,</w:t>
      </w:r>
      <w:r w:rsidR="00185E64" w:rsidRPr="00E24E29">
        <w:rPr>
          <w:rFonts w:cs="Times New Roman"/>
          <w:noProof/>
          <w:sz w:val="22"/>
        </w:rPr>
        <w:t xml:space="preserve"> </w:t>
      </w:r>
      <w:r w:rsidR="00E50644" w:rsidRPr="00E24E29">
        <w:rPr>
          <w:rFonts w:cs="Times New Roman"/>
          <w:noProof/>
          <w:sz w:val="22"/>
        </w:rPr>
        <w:t xml:space="preserve">Chowers Y, Yavzori M, </w:t>
      </w:r>
      <w:r w:rsidR="00185E64" w:rsidRPr="00E24E29">
        <w:rPr>
          <w:rFonts w:cs="Times New Roman"/>
          <w:iCs/>
          <w:noProof/>
          <w:sz w:val="22"/>
        </w:rPr>
        <w:t>et al.</w:t>
      </w:r>
      <w:r w:rsidR="00185E64" w:rsidRPr="00E24E29">
        <w:rPr>
          <w:rFonts w:cs="Times New Roman"/>
          <w:noProof/>
          <w:sz w:val="22"/>
        </w:rPr>
        <w:t xml:space="preserve"> The temporal evolution of antidrug antibodies in patients with inflammatory bowel disease treated with infliximab. </w:t>
      </w:r>
      <w:r w:rsidR="00185E64" w:rsidRPr="00E24E29">
        <w:rPr>
          <w:rFonts w:cs="Times New Roman"/>
          <w:iCs/>
          <w:noProof/>
          <w:sz w:val="22"/>
        </w:rPr>
        <w:t>Gut</w:t>
      </w:r>
      <w:r w:rsidR="00185E64" w:rsidRPr="00E24E29">
        <w:rPr>
          <w:rFonts w:cs="Times New Roman"/>
          <w:noProof/>
          <w:sz w:val="22"/>
        </w:rPr>
        <w:t xml:space="preserve"> </w:t>
      </w:r>
      <w:r w:rsidR="00DE6D26" w:rsidRPr="00E24E29">
        <w:rPr>
          <w:rFonts w:cs="Times New Roman"/>
          <w:noProof/>
          <w:sz w:val="22"/>
        </w:rPr>
        <w:t>2014;</w:t>
      </w:r>
      <w:r w:rsidR="00185E64" w:rsidRPr="00E24E29">
        <w:rPr>
          <w:rFonts w:cs="Times New Roman"/>
          <w:bCs/>
          <w:noProof/>
          <w:sz w:val="22"/>
        </w:rPr>
        <w:t>63</w:t>
      </w:r>
      <w:r w:rsidR="00DE6D26" w:rsidRPr="00E24E29">
        <w:rPr>
          <w:rFonts w:cs="Times New Roman"/>
          <w:bCs/>
          <w:noProof/>
          <w:sz w:val="22"/>
        </w:rPr>
        <w:t>:</w:t>
      </w:r>
      <w:r w:rsidR="00185E64" w:rsidRPr="00E24E29">
        <w:rPr>
          <w:rFonts w:cs="Times New Roman"/>
          <w:noProof/>
          <w:sz w:val="22"/>
        </w:rPr>
        <w:t>1258–64.</w:t>
      </w:r>
    </w:p>
    <w:p w14:paraId="0AF1EA33" w14:textId="4C1360BA" w:rsidR="00966AD5" w:rsidRPr="00E24E29" w:rsidRDefault="002E218E" w:rsidP="00185E64">
      <w:pPr>
        <w:widowControl w:val="0"/>
        <w:autoSpaceDE w:val="0"/>
        <w:autoSpaceDN w:val="0"/>
        <w:adjustRightInd w:val="0"/>
        <w:spacing w:line="240" w:lineRule="auto"/>
        <w:ind w:left="640" w:hanging="640"/>
        <w:rPr>
          <w:noProof/>
          <w:sz w:val="22"/>
        </w:rPr>
      </w:pPr>
      <w:r>
        <w:rPr>
          <w:rFonts w:cs="Times New Roman"/>
          <w:noProof/>
          <w:sz w:val="22"/>
        </w:rPr>
        <w:t>63</w:t>
      </w:r>
      <w:r w:rsidR="00966AD5">
        <w:rPr>
          <w:rFonts w:cs="Times New Roman"/>
          <w:noProof/>
          <w:sz w:val="22"/>
        </w:rPr>
        <w:t xml:space="preserve">. </w:t>
      </w:r>
      <w:r w:rsidR="00966AD5">
        <w:rPr>
          <w:rFonts w:cs="Times New Roman"/>
          <w:noProof/>
          <w:sz w:val="22"/>
        </w:rPr>
        <w:tab/>
      </w:r>
      <w:r w:rsidR="00966AD5" w:rsidRPr="00966AD5">
        <w:rPr>
          <w:rFonts w:cs="Times New Roman"/>
          <w:noProof/>
          <w:sz w:val="22"/>
        </w:rPr>
        <w:t xml:space="preserve">Kennedy NA, Heap GA, Green HD, </w:t>
      </w:r>
      <w:r w:rsidR="004A1C83">
        <w:rPr>
          <w:rFonts w:cs="Times New Roman"/>
          <w:noProof/>
          <w:sz w:val="22"/>
        </w:rPr>
        <w:t>et al</w:t>
      </w:r>
      <w:r w:rsidR="00966AD5" w:rsidRPr="00966AD5">
        <w:rPr>
          <w:rFonts w:cs="Times New Roman"/>
          <w:noProof/>
          <w:sz w:val="22"/>
        </w:rPr>
        <w:t>; UK Inflammatory Bowel Disease Pharmacogenetics Study Group. Predictors of anti-TNF treatment failure in anti-TNF-naive patients with active luminal Crohn's disease: a prospective, multicentre, cohort study. Lancet Gastroenterol Hepatol. 2019 May;4(5):341-353.</w:t>
      </w:r>
    </w:p>
    <w:p w14:paraId="59111CCC" w14:textId="62D0B2D3" w:rsidR="00DF3645" w:rsidRPr="00E24E29" w:rsidRDefault="00305893" w:rsidP="006F5189">
      <w:pPr>
        <w:pStyle w:val="Heading2"/>
        <w:rPr>
          <w:rFonts w:asciiTheme="minorHAnsi" w:hAnsiTheme="minorHAnsi"/>
          <w:sz w:val="22"/>
          <w:szCs w:val="22"/>
        </w:rPr>
      </w:pPr>
      <w:r w:rsidRPr="00E24E29">
        <w:rPr>
          <w:rFonts w:asciiTheme="minorHAnsi" w:hAnsiTheme="minorHAnsi"/>
          <w:color w:val="auto"/>
          <w:sz w:val="22"/>
          <w:szCs w:val="22"/>
          <w:highlight w:val="yellow"/>
        </w:rPr>
        <w:t xml:space="preserve"> </w:t>
      </w:r>
      <w:r w:rsidR="00DF3645" w:rsidRPr="00E24E29">
        <w:rPr>
          <w:rFonts w:asciiTheme="minorHAnsi" w:hAnsiTheme="minorHAnsi"/>
          <w:sz w:val="22"/>
          <w:szCs w:val="22"/>
        </w:rPr>
        <w:br w:type="page"/>
      </w:r>
    </w:p>
    <w:p w14:paraId="6D10DE38" w14:textId="64FF258A" w:rsidR="00305893" w:rsidRPr="00E24E29" w:rsidRDefault="00305893" w:rsidP="00185E64">
      <w:pPr>
        <w:pStyle w:val="Heading2"/>
        <w:rPr>
          <w:rFonts w:asciiTheme="minorHAnsi" w:hAnsiTheme="minorHAnsi"/>
          <w:b/>
          <w:color w:val="auto"/>
          <w:sz w:val="22"/>
          <w:szCs w:val="22"/>
        </w:rPr>
      </w:pPr>
      <w:r w:rsidRPr="00E24E29">
        <w:rPr>
          <w:rFonts w:asciiTheme="minorHAnsi" w:hAnsiTheme="minorHAnsi"/>
          <w:b/>
          <w:color w:val="auto"/>
          <w:sz w:val="22"/>
          <w:szCs w:val="22"/>
        </w:rPr>
        <w:t>Figure legends</w:t>
      </w:r>
    </w:p>
    <w:p w14:paraId="1CA02406" w14:textId="2C985E1C" w:rsidR="00AF330F" w:rsidRPr="00E24E29" w:rsidRDefault="00DF3645" w:rsidP="00263545">
      <w:pPr>
        <w:pStyle w:val="Caption"/>
        <w:spacing w:line="480" w:lineRule="auto"/>
        <w:rPr>
          <w:b w:val="0"/>
          <w:color w:val="auto"/>
          <w:sz w:val="22"/>
          <w:szCs w:val="22"/>
        </w:rPr>
      </w:pPr>
      <w:r w:rsidRPr="00E24E29">
        <w:rPr>
          <w:color w:val="auto"/>
          <w:sz w:val="22"/>
          <w:szCs w:val="22"/>
        </w:rPr>
        <w:t xml:space="preserve">Figure </w:t>
      </w:r>
      <w:r w:rsidR="003605EA" w:rsidRPr="00E24E29">
        <w:rPr>
          <w:noProof/>
          <w:color w:val="auto"/>
          <w:sz w:val="22"/>
          <w:szCs w:val="22"/>
        </w:rPr>
        <w:t>1</w:t>
      </w:r>
      <w:r w:rsidRPr="00E24E29">
        <w:rPr>
          <w:color w:val="auto"/>
          <w:sz w:val="22"/>
          <w:szCs w:val="22"/>
        </w:rPr>
        <w:t>:</w:t>
      </w:r>
      <w:r w:rsidRPr="00E24E29">
        <w:rPr>
          <w:b w:val="0"/>
          <w:color w:val="auto"/>
          <w:sz w:val="22"/>
          <w:szCs w:val="22"/>
        </w:rPr>
        <w:t xml:space="preserve"> </w:t>
      </w:r>
      <w:r w:rsidR="00AF330F" w:rsidRPr="00E24E29">
        <w:rPr>
          <w:b w:val="0"/>
          <w:color w:val="auto"/>
          <w:sz w:val="22"/>
          <w:szCs w:val="22"/>
        </w:rPr>
        <w:t>Partial schematic representation of the decision-analysis model comparing Inflectra and Remicade.</w:t>
      </w:r>
      <w:r w:rsidR="00B54090">
        <w:rPr>
          <w:b w:val="0"/>
          <w:color w:val="auto"/>
          <w:sz w:val="22"/>
          <w:szCs w:val="22"/>
        </w:rPr>
        <w:t xml:space="preserve"> </w:t>
      </w:r>
      <w:r w:rsidR="00B54090" w:rsidRPr="00B54090">
        <w:rPr>
          <w:b w:val="0"/>
          <w:color w:val="auto"/>
          <w:sz w:val="22"/>
          <w:szCs w:val="22"/>
        </w:rPr>
        <w:t>Standard care arm shown in offset box.</w:t>
      </w:r>
      <w:r w:rsidR="00AF330F" w:rsidRPr="00E24E29">
        <w:rPr>
          <w:b w:val="0"/>
          <w:color w:val="auto"/>
          <w:sz w:val="22"/>
          <w:szCs w:val="22"/>
        </w:rPr>
        <w:t xml:space="preserve"> Abbreviations: ATI – Antibodies to infliximab, LOR – loss of response</w:t>
      </w:r>
    </w:p>
    <w:p w14:paraId="6F582960" w14:textId="204330F8" w:rsidR="003F0151" w:rsidRPr="00E24E29" w:rsidRDefault="003605EA" w:rsidP="00263545">
      <w:pPr>
        <w:pStyle w:val="Caption"/>
        <w:spacing w:line="480" w:lineRule="auto"/>
        <w:rPr>
          <w:b w:val="0"/>
          <w:color w:val="auto"/>
          <w:sz w:val="22"/>
          <w:szCs w:val="22"/>
        </w:rPr>
      </w:pPr>
      <w:r w:rsidRPr="00E24E29">
        <w:rPr>
          <w:color w:val="auto"/>
          <w:sz w:val="22"/>
          <w:szCs w:val="22"/>
        </w:rPr>
        <w:t xml:space="preserve">Figure </w:t>
      </w:r>
      <w:r w:rsidRPr="00E24E29">
        <w:rPr>
          <w:noProof/>
          <w:color w:val="auto"/>
          <w:sz w:val="22"/>
          <w:szCs w:val="22"/>
        </w:rPr>
        <w:t>2</w:t>
      </w:r>
      <w:r w:rsidRPr="00E24E29">
        <w:rPr>
          <w:color w:val="auto"/>
          <w:sz w:val="22"/>
          <w:szCs w:val="22"/>
        </w:rPr>
        <w:t>:</w:t>
      </w:r>
      <w:r w:rsidRPr="00E24E29">
        <w:rPr>
          <w:b w:val="0"/>
          <w:color w:val="auto"/>
          <w:sz w:val="22"/>
          <w:szCs w:val="22"/>
        </w:rPr>
        <w:t xml:space="preserve"> </w:t>
      </w:r>
      <w:r w:rsidR="00305893" w:rsidRPr="00E24E29">
        <w:rPr>
          <w:b w:val="0"/>
          <w:color w:val="auto"/>
          <w:sz w:val="22"/>
          <w:szCs w:val="22"/>
        </w:rPr>
        <w:t xml:space="preserve">Tornado plot of univariate analysis. Panel presents the ten parameters that led to the greatest change in overall incremental net health benefits (INMB).  Inflectra parameters (suffixed _I), Remicade parameters (suffixed _R).  L/H refer to lower and higher limits of parameter estimates.  </w:t>
      </w:r>
      <w:r w:rsidR="003F0151" w:rsidRPr="00E24E29">
        <w:rPr>
          <w:b w:val="0"/>
          <w:color w:val="auto"/>
          <w:sz w:val="22"/>
          <w:szCs w:val="22"/>
        </w:rPr>
        <w:t>Abbreviations: ATI – Antibodies to infliximab, LOR – loss of response, IR – infusion reaction</w:t>
      </w:r>
    </w:p>
    <w:p w14:paraId="37B10A6B" w14:textId="232CE098" w:rsidR="00232F13" w:rsidRPr="00E24E29" w:rsidRDefault="003605EA" w:rsidP="00263545">
      <w:pPr>
        <w:pStyle w:val="Caption"/>
        <w:spacing w:line="480" w:lineRule="auto"/>
        <w:rPr>
          <w:b w:val="0"/>
          <w:color w:val="auto"/>
          <w:sz w:val="22"/>
          <w:szCs w:val="22"/>
        </w:rPr>
      </w:pPr>
      <w:r w:rsidRPr="00E24E29">
        <w:rPr>
          <w:color w:val="auto"/>
          <w:sz w:val="22"/>
          <w:szCs w:val="22"/>
        </w:rPr>
        <w:t xml:space="preserve">Figure </w:t>
      </w:r>
      <w:r w:rsidRPr="00E24E29">
        <w:rPr>
          <w:noProof/>
          <w:color w:val="auto"/>
          <w:sz w:val="22"/>
          <w:szCs w:val="22"/>
        </w:rPr>
        <w:t>3</w:t>
      </w:r>
      <w:r w:rsidRPr="00E24E29">
        <w:rPr>
          <w:color w:val="auto"/>
          <w:sz w:val="22"/>
          <w:szCs w:val="22"/>
        </w:rPr>
        <w:t>:</w:t>
      </w:r>
      <w:r w:rsidRPr="00E24E29">
        <w:rPr>
          <w:b w:val="0"/>
          <w:color w:val="auto"/>
          <w:sz w:val="22"/>
          <w:szCs w:val="22"/>
        </w:rPr>
        <w:t xml:space="preserve"> </w:t>
      </w:r>
      <w:r w:rsidR="00232F13" w:rsidRPr="00E24E29">
        <w:rPr>
          <w:b w:val="0"/>
          <w:color w:val="auto"/>
          <w:sz w:val="22"/>
          <w:szCs w:val="22"/>
        </w:rPr>
        <w:t>Results of the two-way analysis of risk of Inflectra antibodies (ATI) against incremental vial price.  Each figure represents a scenario</w:t>
      </w:r>
      <w:r w:rsidR="00AF330F" w:rsidRPr="00E24E29">
        <w:rPr>
          <w:b w:val="0"/>
          <w:color w:val="auto"/>
          <w:sz w:val="22"/>
          <w:szCs w:val="22"/>
        </w:rPr>
        <w:t>. Scenario (i), 25% reduction in vial cost of Remicade; Scenario (ii), patients with secondary non-response but no adverse events continue treatment; Scenario (iii), 8 week infliximab wash out period; Scenario (iv), secondary non-response at 15 weeks for those developing ATI; Scenario (v), switch to adalimumab after IFX failure; Scenario (vi), switch to ustekinumab after IFX failure; and Scenario (vii), switch to vedolizumab after IFX failure.</w:t>
      </w:r>
    </w:p>
    <w:p w14:paraId="04526114" w14:textId="3055B066" w:rsidR="00305893" w:rsidRPr="00E24E29" w:rsidRDefault="003605EA" w:rsidP="00263545">
      <w:pPr>
        <w:pStyle w:val="Caption"/>
        <w:spacing w:line="480" w:lineRule="auto"/>
        <w:rPr>
          <w:rStyle w:val="SubtleReference"/>
          <w:b w:val="0"/>
          <w:color w:val="auto"/>
          <w:sz w:val="22"/>
          <w:szCs w:val="22"/>
        </w:rPr>
      </w:pPr>
      <w:r w:rsidRPr="00E24E29">
        <w:rPr>
          <w:color w:val="auto"/>
          <w:sz w:val="22"/>
          <w:szCs w:val="22"/>
        </w:rPr>
        <w:t xml:space="preserve">Figure </w:t>
      </w:r>
      <w:r w:rsidRPr="00E24E29">
        <w:rPr>
          <w:noProof/>
          <w:color w:val="auto"/>
          <w:sz w:val="22"/>
          <w:szCs w:val="22"/>
        </w:rPr>
        <w:t>4</w:t>
      </w:r>
      <w:r w:rsidRPr="00E24E29">
        <w:rPr>
          <w:color w:val="auto"/>
          <w:sz w:val="22"/>
          <w:szCs w:val="22"/>
        </w:rPr>
        <w:t>:</w:t>
      </w:r>
      <w:r w:rsidRPr="00E24E29">
        <w:rPr>
          <w:b w:val="0"/>
          <w:color w:val="auto"/>
          <w:sz w:val="22"/>
          <w:szCs w:val="22"/>
        </w:rPr>
        <w:t xml:space="preserve"> </w:t>
      </w:r>
      <w:r w:rsidR="00305893" w:rsidRPr="00E24E29">
        <w:rPr>
          <w:b w:val="0"/>
          <w:color w:val="auto"/>
          <w:sz w:val="22"/>
          <w:szCs w:val="22"/>
        </w:rPr>
        <w:t>Net-benefit plane resulting from probabilistic sensitivity analysis.  The line represents the cost-effectiveness threshold of £30,000 per quality-adjusted life year (QALY).</w:t>
      </w:r>
      <w:r w:rsidR="00305893" w:rsidRPr="00E24E29">
        <w:rPr>
          <w:rStyle w:val="SubtleReference"/>
          <w:b w:val="0"/>
          <w:color w:val="auto"/>
          <w:sz w:val="22"/>
          <w:szCs w:val="22"/>
        </w:rPr>
        <w:t xml:space="preserve">  </w:t>
      </w:r>
    </w:p>
    <w:p w14:paraId="08BC6C24" w14:textId="22A3EABC" w:rsidR="002E3D9A" w:rsidRDefault="002E3D9A">
      <w:pPr>
        <w:rPr>
          <w:rFonts w:eastAsiaTheme="majorEastAsia" w:cstheme="majorBidi"/>
          <w:sz w:val="22"/>
        </w:rPr>
      </w:pPr>
      <w:r>
        <w:rPr>
          <w:rFonts w:eastAsiaTheme="majorEastAsia" w:cstheme="majorBidi"/>
          <w:sz w:val="22"/>
        </w:rPr>
        <w:br w:type="page"/>
      </w:r>
    </w:p>
    <w:p w14:paraId="2D98E761" w14:textId="77777777" w:rsidR="002E3D9A" w:rsidRPr="00A06659" w:rsidRDefault="002E3D9A" w:rsidP="002E3D9A">
      <w:pPr>
        <w:pStyle w:val="Caption"/>
        <w:rPr>
          <w:b w:val="0"/>
          <w:color w:val="auto"/>
          <w:sz w:val="24"/>
        </w:rPr>
      </w:pPr>
      <w:bookmarkStart w:id="1" w:name="_Ref524952142"/>
      <w:r w:rsidRPr="00A06659">
        <w:rPr>
          <w:color w:val="auto"/>
          <w:sz w:val="24"/>
        </w:rPr>
        <w:t xml:space="preserve">Table </w:t>
      </w:r>
      <w:r w:rsidRPr="00A06659">
        <w:rPr>
          <w:noProof/>
          <w:color w:val="auto"/>
          <w:sz w:val="24"/>
        </w:rPr>
        <w:t>1</w:t>
      </w:r>
      <w:bookmarkEnd w:id="1"/>
      <w:r w:rsidRPr="00A06659">
        <w:rPr>
          <w:color w:val="auto"/>
          <w:sz w:val="24"/>
        </w:rPr>
        <w:t>:</w:t>
      </w:r>
      <w:r w:rsidRPr="00A06659">
        <w:rPr>
          <w:b w:val="0"/>
          <w:color w:val="auto"/>
          <w:sz w:val="24"/>
        </w:rPr>
        <w:t xml:space="preserve"> Clinical event rates, health state utilities assigned to clinical events, and costs</w:t>
      </w:r>
    </w:p>
    <w:tbl>
      <w:tblPr>
        <w:tblW w:w="9509" w:type="dxa"/>
        <w:tblLook w:val="04A0" w:firstRow="1" w:lastRow="0" w:firstColumn="1" w:lastColumn="0" w:noHBand="0" w:noVBand="1"/>
      </w:tblPr>
      <w:tblGrid>
        <w:gridCol w:w="4395"/>
        <w:gridCol w:w="773"/>
        <w:gridCol w:w="913"/>
        <w:gridCol w:w="975"/>
        <w:gridCol w:w="1674"/>
        <w:gridCol w:w="773"/>
        <w:gridCol w:w="22"/>
      </w:tblGrid>
      <w:tr w:rsidR="002E3D9A" w:rsidRPr="00D4244F" w14:paraId="197F3935" w14:textId="77777777" w:rsidTr="00EA2356">
        <w:trPr>
          <w:trHeight w:val="300"/>
          <w:tblHeader/>
        </w:trPr>
        <w:tc>
          <w:tcPr>
            <w:tcW w:w="4395" w:type="dxa"/>
            <w:vMerge w:val="restart"/>
            <w:tcBorders>
              <w:top w:val="single" w:sz="4" w:space="0" w:color="auto"/>
            </w:tcBorders>
            <w:shd w:val="clear" w:color="auto" w:fill="auto"/>
            <w:noWrap/>
            <w:vAlign w:val="bottom"/>
            <w:hideMark/>
          </w:tcPr>
          <w:p w14:paraId="5DF14CBA"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Parameter estimate</w:t>
            </w:r>
          </w:p>
        </w:tc>
        <w:tc>
          <w:tcPr>
            <w:tcW w:w="773" w:type="dxa"/>
            <w:vMerge w:val="restart"/>
            <w:tcBorders>
              <w:top w:val="single" w:sz="4" w:space="0" w:color="auto"/>
            </w:tcBorders>
            <w:shd w:val="clear" w:color="auto" w:fill="auto"/>
            <w:noWrap/>
            <w:vAlign w:val="bottom"/>
            <w:hideMark/>
          </w:tcPr>
          <w:p w14:paraId="0D196945"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Base</w:t>
            </w:r>
          </w:p>
        </w:tc>
        <w:tc>
          <w:tcPr>
            <w:tcW w:w="1888" w:type="dxa"/>
            <w:gridSpan w:val="2"/>
            <w:tcBorders>
              <w:top w:val="single" w:sz="4" w:space="0" w:color="auto"/>
            </w:tcBorders>
            <w:shd w:val="clear" w:color="auto" w:fill="auto"/>
            <w:noWrap/>
            <w:vAlign w:val="bottom"/>
            <w:hideMark/>
          </w:tcPr>
          <w:p w14:paraId="22E82C8C"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Range for univariate sensitivity analysis</w:t>
            </w:r>
          </w:p>
        </w:tc>
        <w:tc>
          <w:tcPr>
            <w:tcW w:w="1674" w:type="dxa"/>
            <w:vMerge w:val="restart"/>
            <w:tcBorders>
              <w:top w:val="single" w:sz="4" w:space="0" w:color="auto"/>
            </w:tcBorders>
            <w:vAlign w:val="bottom"/>
          </w:tcPr>
          <w:p w14:paraId="4001BE57"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Distribution for probabilistic sensitivity analysis</w:t>
            </w:r>
          </w:p>
        </w:tc>
        <w:tc>
          <w:tcPr>
            <w:tcW w:w="779" w:type="dxa"/>
            <w:gridSpan w:val="2"/>
            <w:vMerge w:val="restart"/>
            <w:tcBorders>
              <w:top w:val="single" w:sz="4" w:space="0" w:color="auto"/>
            </w:tcBorders>
            <w:shd w:val="clear" w:color="auto" w:fill="auto"/>
            <w:noWrap/>
            <w:vAlign w:val="bottom"/>
            <w:hideMark/>
          </w:tcPr>
          <w:p w14:paraId="1DEFF463"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Ref.</w:t>
            </w:r>
          </w:p>
        </w:tc>
      </w:tr>
      <w:tr w:rsidR="002E3D9A" w:rsidRPr="00D4244F" w14:paraId="7C148DB1" w14:textId="77777777" w:rsidTr="00EA2356">
        <w:trPr>
          <w:trHeight w:val="315"/>
        </w:trPr>
        <w:tc>
          <w:tcPr>
            <w:tcW w:w="4395" w:type="dxa"/>
            <w:vMerge/>
            <w:tcBorders>
              <w:bottom w:val="single" w:sz="4" w:space="0" w:color="auto"/>
            </w:tcBorders>
            <w:vAlign w:val="center"/>
            <w:hideMark/>
          </w:tcPr>
          <w:p w14:paraId="40C2656B"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773" w:type="dxa"/>
            <w:vMerge/>
            <w:tcBorders>
              <w:bottom w:val="single" w:sz="4" w:space="0" w:color="auto"/>
            </w:tcBorders>
            <w:vAlign w:val="center"/>
            <w:hideMark/>
          </w:tcPr>
          <w:p w14:paraId="7CB9986D"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913" w:type="dxa"/>
            <w:tcBorders>
              <w:bottom w:val="single" w:sz="4" w:space="0" w:color="auto"/>
            </w:tcBorders>
            <w:shd w:val="clear" w:color="auto" w:fill="auto"/>
            <w:noWrap/>
            <w:vAlign w:val="bottom"/>
            <w:hideMark/>
          </w:tcPr>
          <w:p w14:paraId="771996A3"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low</w:t>
            </w:r>
          </w:p>
        </w:tc>
        <w:tc>
          <w:tcPr>
            <w:tcW w:w="975" w:type="dxa"/>
            <w:tcBorders>
              <w:bottom w:val="single" w:sz="4" w:space="0" w:color="auto"/>
            </w:tcBorders>
            <w:shd w:val="clear" w:color="auto" w:fill="auto"/>
            <w:noWrap/>
            <w:vAlign w:val="bottom"/>
            <w:hideMark/>
          </w:tcPr>
          <w:p w14:paraId="2BB4F3F6"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high</w:t>
            </w:r>
          </w:p>
        </w:tc>
        <w:tc>
          <w:tcPr>
            <w:tcW w:w="1674" w:type="dxa"/>
            <w:vMerge/>
            <w:tcBorders>
              <w:bottom w:val="single" w:sz="4" w:space="0" w:color="auto"/>
            </w:tcBorders>
          </w:tcPr>
          <w:p w14:paraId="57FFEAE0"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779" w:type="dxa"/>
            <w:gridSpan w:val="2"/>
            <w:vMerge/>
            <w:tcBorders>
              <w:bottom w:val="single" w:sz="4" w:space="0" w:color="auto"/>
            </w:tcBorders>
            <w:vAlign w:val="center"/>
            <w:hideMark/>
          </w:tcPr>
          <w:p w14:paraId="0FE26A4C"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r>
      <w:tr w:rsidR="002E3D9A" w:rsidRPr="00D4244F" w14:paraId="735C5FB5" w14:textId="77777777" w:rsidTr="00EA2356">
        <w:trPr>
          <w:trHeight w:val="300"/>
        </w:trPr>
        <w:tc>
          <w:tcPr>
            <w:tcW w:w="4395" w:type="dxa"/>
            <w:tcBorders>
              <w:top w:val="single" w:sz="4" w:space="0" w:color="auto"/>
            </w:tcBorders>
            <w:shd w:val="clear" w:color="auto" w:fill="auto"/>
            <w:noWrap/>
            <w:vAlign w:val="bottom"/>
          </w:tcPr>
          <w:p w14:paraId="3B8CC652"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Antibodies to infliximab (ATI) probability</w:t>
            </w:r>
          </w:p>
        </w:tc>
        <w:tc>
          <w:tcPr>
            <w:tcW w:w="773" w:type="dxa"/>
            <w:tcBorders>
              <w:top w:val="single" w:sz="4" w:space="0" w:color="auto"/>
            </w:tcBorders>
            <w:shd w:val="clear" w:color="auto" w:fill="auto"/>
            <w:noWrap/>
            <w:vAlign w:val="bottom"/>
          </w:tcPr>
          <w:p w14:paraId="22A11DEB"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913" w:type="dxa"/>
            <w:tcBorders>
              <w:top w:val="single" w:sz="4" w:space="0" w:color="auto"/>
            </w:tcBorders>
            <w:shd w:val="clear" w:color="auto" w:fill="auto"/>
            <w:noWrap/>
            <w:vAlign w:val="bottom"/>
          </w:tcPr>
          <w:p w14:paraId="1A0589F4"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975" w:type="dxa"/>
            <w:tcBorders>
              <w:top w:val="single" w:sz="4" w:space="0" w:color="auto"/>
            </w:tcBorders>
            <w:shd w:val="clear" w:color="auto" w:fill="auto"/>
            <w:noWrap/>
            <w:vAlign w:val="bottom"/>
          </w:tcPr>
          <w:p w14:paraId="618A175A"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1674" w:type="dxa"/>
            <w:tcBorders>
              <w:top w:val="single" w:sz="4" w:space="0" w:color="auto"/>
            </w:tcBorders>
          </w:tcPr>
          <w:p w14:paraId="09AEBD01"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779" w:type="dxa"/>
            <w:gridSpan w:val="2"/>
            <w:tcBorders>
              <w:top w:val="single" w:sz="4" w:space="0" w:color="auto"/>
            </w:tcBorders>
            <w:shd w:val="clear" w:color="auto" w:fill="auto"/>
            <w:noWrap/>
            <w:vAlign w:val="bottom"/>
          </w:tcPr>
          <w:p w14:paraId="0F9572A8"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r>
      <w:tr w:rsidR="002E3D9A" w:rsidRPr="00F702BD" w14:paraId="4578ECE7" w14:textId="77777777" w:rsidTr="00EA2356">
        <w:trPr>
          <w:trHeight w:val="300"/>
        </w:trPr>
        <w:tc>
          <w:tcPr>
            <w:tcW w:w="4395" w:type="dxa"/>
            <w:shd w:val="clear" w:color="auto" w:fill="auto"/>
            <w:noWrap/>
            <w:vAlign w:val="bottom"/>
          </w:tcPr>
          <w:p w14:paraId="39D0AA4D"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sz w:val="20"/>
                <w:szCs w:val="20"/>
                <w:lang w:eastAsia="en-GB"/>
              </w:rPr>
              <w:t>ATI development during maintenance use</w:t>
            </w:r>
            <w:r>
              <w:rPr>
                <w:sz w:val="20"/>
                <w:szCs w:val="20"/>
                <w:vertAlign w:val="superscript"/>
              </w:rPr>
              <w:t>a</w:t>
            </w:r>
          </w:p>
        </w:tc>
        <w:tc>
          <w:tcPr>
            <w:tcW w:w="773" w:type="dxa"/>
            <w:shd w:val="clear" w:color="auto" w:fill="auto"/>
            <w:noWrap/>
            <w:vAlign w:val="bottom"/>
          </w:tcPr>
          <w:p w14:paraId="15221614"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sz w:val="20"/>
                <w:szCs w:val="20"/>
                <w:lang w:eastAsia="en-GB"/>
              </w:rPr>
              <w:t>0.124</w:t>
            </w:r>
          </w:p>
        </w:tc>
        <w:tc>
          <w:tcPr>
            <w:tcW w:w="913" w:type="dxa"/>
            <w:shd w:val="clear" w:color="auto" w:fill="auto"/>
            <w:noWrap/>
            <w:vAlign w:val="bottom"/>
          </w:tcPr>
          <w:p w14:paraId="57B5C964"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sz w:val="20"/>
                <w:szCs w:val="20"/>
                <w:lang w:eastAsia="en-GB"/>
              </w:rPr>
              <w:t>0.108</w:t>
            </w:r>
          </w:p>
        </w:tc>
        <w:tc>
          <w:tcPr>
            <w:tcW w:w="975" w:type="dxa"/>
            <w:shd w:val="clear" w:color="auto" w:fill="auto"/>
            <w:noWrap/>
            <w:vAlign w:val="bottom"/>
          </w:tcPr>
          <w:p w14:paraId="73FBF025"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sz w:val="20"/>
                <w:szCs w:val="20"/>
                <w:lang w:eastAsia="en-GB"/>
              </w:rPr>
              <w:t>0.141</w:t>
            </w:r>
          </w:p>
        </w:tc>
        <w:tc>
          <w:tcPr>
            <w:tcW w:w="1674" w:type="dxa"/>
          </w:tcPr>
          <w:p w14:paraId="2338AE15" w14:textId="77777777" w:rsidR="002E3D9A" w:rsidRPr="00D4244F" w:rsidRDefault="002E3D9A" w:rsidP="00EA2356">
            <w:pPr>
              <w:spacing w:after="0" w:line="240" w:lineRule="auto"/>
              <w:rPr>
                <w:sz w:val="18"/>
                <w:szCs w:val="18"/>
              </w:rPr>
            </w:pPr>
            <w:r w:rsidRPr="00D4244F">
              <w:rPr>
                <w:sz w:val="18"/>
                <w:szCs w:val="18"/>
              </w:rPr>
              <w:t>Beta_R(95,19)</w:t>
            </w:r>
          </w:p>
          <w:p w14:paraId="507B322C" w14:textId="77777777" w:rsidR="002E3D9A" w:rsidRPr="00D4244F" w:rsidRDefault="002E3D9A" w:rsidP="00EA2356">
            <w:pPr>
              <w:spacing w:after="0" w:line="240" w:lineRule="auto"/>
              <w:rPr>
                <w:sz w:val="18"/>
                <w:szCs w:val="18"/>
              </w:rPr>
            </w:pPr>
            <w:r w:rsidRPr="00D4244F">
              <w:rPr>
                <w:sz w:val="18"/>
                <w:szCs w:val="18"/>
              </w:rPr>
              <w:t>Beta_I(6,1)</w:t>
            </w:r>
          </w:p>
        </w:tc>
        <w:tc>
          <w:tcPr>
            <w:tcW w:w="779" w:type="dxa"/>
            <w:gridSpan w:val="2"/>
            <w:shd w:val="clear" w:color="auto" w:fill="auto"/>
            <w:noWrap/>
            <w:vAlign w:val="bottom"/>
          </w:tcPr>
          <w:p w14:paraId="214093F5" w14:textId="77777777" w:rsidR="002E3D9A" w:rsidRPr="00F702BD" w:rsidRDefault="002E3D9A" w:rsidP="00EA2356">
            <w:pPr>
              <w:spacing w:after="0" w:line="240" w:lineRule="auto"/>
              <w:rPr>
                <w:rFonts w:ascii="Calibri" w:eastAsia="Times New Roman" w:hAnsi="Calibri" w:cs="Times New Roman"/>
                <w:b/>
                <w:bCs/>
                <w:sz w:val="20"/>
                <w:szCs w:val="20"/>
                <w:lang w:eastAsia="en-GB"/>
              </w:rPr>
            </w:pPr>
            <w:r>
              <w:rPr>
                <w:noProof/>
                <w:sz w:val="20"/>
                <w:szCs w:val="20"/>
              </w:rPr>
              <w:t>[</w:t>
            </w:r>
            <w:r w:rsidRPr="00F702BD">
              <w:rPr>
                <w:noProof/>
                <w:sz w:val="20"/>
                <w:szCs w:val="20"/>
              </w:rPr>
              <w:t>25</w:t>
            </w:r>
            <w:r>
              <w:rPr>
                <w:noProof/>
                <w:sz w:val="20"/>
                <w:szCs w:val="20"/>
              </w:rPr>
              <w:t>]</w:t>
            </w:r>
          </w:p>
        </w:tc>
      </w:tr>
      <w:tr w:rsidR="002E3D9A" w:rsidRPr="00F702BD" w14:paraId="1D002BC2" w14:textId="77777777" w:rsidTr="00EA2356">
        <w:trPr>
          <w:trHeight w:val="300"/>
        </w:trPr>
        <w:tc>
          <w:tcPr>
            <w:tcW w:w="4395" w:type="dxa"/>
            <w:shd w:val="clear" w:color="auto" w:fill="auto"/>
            <w:noWrap/>
            <w:vAlign w:val="bottom"/>
            <w:hideMark/>
          </w:tcPr>
          <w:p w14:paraId="4B253E06"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Efficacy transition probabilities</w:t>
            </w:r>
          </w:p>
        </w:tc>
        <w:tc>
          <w:tcPr>
            <w:tcW w:w="773" w:type="dxa"/>
            <w:shd w:val="clear" w:color="auto" w:fill="auto"/>
            <w:noWrap/>
            <w:vAlign w:val="bottom"/>
            <w:hideMark/>
          </w:tcPr>
          <w:p w14:paraId="6EC9396E"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 </w:t>
            </w:r>
          </w:p>
        </w:tc>
        <w:tc>
          <w:tcPr>
            <w:tcW w:w="913" w:type="dxa"/>
            <w:shd w:val="clear" w:color="auto" w:fill="auto"/>
            <w:noWrap/>
            <w:vAlign w:val="bottom"/>
            <w:hideMark/>
          </w:tcPr>
          <w:p w14:paraId="38AD1537"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 </w:t>
            </w:r>
          </w:p>
        </w:tc>
        <w:tc>
          <w:tcPr>
            <w:tcW w:w="975" w:type="dxa"/>
            <w:shd w:val="clear" w:color="auto" w:fill="auto"/>
            <w:noWrap/>
            <w:vAlign w:val="bottom"/>
            <w:hideMark/>
          </w:tcPr>
          <w:p w14:paraId="6313BA51"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 </w:t>
            </w:r>
          </w:p>
        </w:tc>
        <w:tc>
          <w:tcPr>
            <w:tcW w:w="1674" w:type="dxa"/>
          </w:tcPr>
          <w:p w14:paraId="06DF9F61" w14:textId="77777777" w:rsidR="002E3D9A" w:rsidRPr="00D4244F" w:rsidRDefault="002E3D9A" w:rsidP="00EA2356">
            <w:pPr>
              <w:spacing w:after="0" w:line="240" w:lineRule="auto"/>
              <w:rPr>
                <w:rFonts w:ascii="Calibri" w:eastAsia="Times New Roman" w:hAnsi="Calibri" w:cs="Times New Roman"/>
                <w:b/>
                <w:bCs/>
                <w:sz w:val="18"/>
                <w:szCs w:val="18"/>
                <w:lang w:eastAsia="en-GB"/>
              </w:rPr>
            </w:pPr>
          </w:p>
        </w:tc>
        <w:tc>
          <w:tcPr>
            <w:tcW w:w="779" w:type="dxa"/>
            <w:gridSpan w:val="2"/>
            <w:shd w:val="clear" w:color="auto" w:fill="auto"/>
            <w:noWrap/>
            <w:vAlign w:val="bottom"/>
            <w:hideMark/>
          </w:tcPr>
          <w:p w14:paraId="4BF1F992" w14:textId="77777777" w:rsidR="002E3D9A" w:rsidRPr="00F702BD" w:rsidRDefault="002E3D9A" w:rsidP="00EA2356">
            <w:pPr>
              <w:spacing w:after="0" w:line="240" w:lineRule="auto"/>
              <w:rPr>
                <w:rFonts w:ascii="Calibri" w:eastAsia="Times New Roman" w:hAnsi="Calibri" w:cs="Times New Roman"/>
                <w:b/>
                <w:bCs/>
                <w:sz w:val="20"/>
                <w:szCs w:val="20"/>
                <w:lang w:eastAsia="en-GB"/>
              </w:rPr>
            </w:pPr>
            <w:r w:rsidRPr="00F702BD">
              <w:rPr>
                <w:rFonts w:ascii="Calibri" w:eastAsia="Times New Roman" w:hAnsi="Calibri" w:cs="Times New Roman"/>
                <w:b/>
                <w:bCs/>
                <w:sz w:val="20"/>
                <w:szCs w:val="20"/>
                <w:lang w:eastAsia="en-GB"/>
              </w:rPr>
              <w:t> </w:t>
            </w:r>
          </w:p>
        </w:tc>
      </w:tr>
      <w:tr w:rsidR="002E3D9A" w:rsidRPr="00F702BD" w14:paraId="6A1BA3CF" w14:textId="77777777" w:rsidTr="00EA2356">
        <w:trPr>
          <w:trHeight w:val="300"/>
        </w:trPr>
        <w:tc>
          <w:tcPr>
            <w:tcW w:w="4395" w:type="dxa"/>
            <w:shd w:val="clear" w:color="auto" w:fill="auto"/>
            <w:noWrap/>
            <w:vAlign w:val="bottom"/>
            <w:hideMark/>
          </w:tcPr>
          <w:p w14:paraId="2A9B8386"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Initial response to infliximab at 12 weeks</w:t>
            </w:r>
            <w:r w:rsidRPr="00905CCC">
              <w:rPr>
                <w:sz w:val="20"/>
                <w:szCs w:val="20"/>
                <w:vertAlign w:val="superscript"/>
              </w:rPr>
              <w:t>b</w:t>
            </w:r>
          </w:p>
        </w:tc>
        <w:tc>
          <w:tcPr>
            <w:tcW w:w="773" w:type="dxa"/>
            <w:shd w:val="clear" w:color="auto" w:fill="auto"/>
            <w:noWrap/>
            <w:vAlign w:val="bottom"/>
            <w:hideMark/>
          </w:tcPr>
          <w:p w14:paraId="2B11818D"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0.833</w:t>
            </w:r>
          </w:p>
        </w:tc>
        <w:tc>
          <w:tcPr>
            <w:tcW w:w="913" w:type="dxa"/>
            <w:shd w:val="clear" w:color="auto" w:fill="auto"/>
            <w:noWrap/>
            <w:vAlign w:val="bottom"/>
            <w:hideMark/>
          </w:tcPr>
          <w:p w14:paraId="59A3B7D7"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0.667</w:t>
            </w:r>
          </w:p>
        </w:tc>
        <w:tc>
          <w:tcPr>
            <w:tcW w:w="975" w:type="dxa"/>
            <w:shd w:val="clear" w:color="auto" w:fill="auto"/>
            <w:noWrap/>
            <w:vAlign w:val="bottom"/>
            <w:hideMark/>
          </w:tcPr>
          <w:p w14:paraId="78D0A717"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w:t>
            </w:r>
          </w:p>
        </w:tc>
        <w:tc>
          <w:tcPr>
            <w:tcW w:w="1674" w:type="dxa"/>
          </w:tcPr>
          <w:p w14:paraId="77A72473" w14:textId="77777777" w:rsidR="002E3D9A" w:rsidRPr="00D4244F" w:rsidRDefault="002E3D9A" w:rsidP="00EA2356">
            <w:pPr>
              <w:spacing w:after="0" w:line="240" w:lineRule="auto"/>
              <w:rPr>
                <w:sz w:val="18"/>
                <w:szCs w:val="18"/>
              </w:rPr>
            </w:pPr>
            <w:r w:rsidRPr="00D4244F">
              <w:rPr>
                <w:sz w:val="18"/>
                <w:szCs w:val="18"/>
              </w:rPr>
              <w:t>Beta_R(195,1383)</w:t>
            </w:r>
          </w:p>
          <w:p w14:paraId="622E3CCC" w14:textId="77777777" w:rsidR="002E3D9A" w:rsidRPr="00D4244F" w:rsidRDefault="002E3D9A" w:rsidP="00EA2356">
            <w:pPr>
              <w:spacing w:after="0" w:line="240" w:lineRule="auto"/>
              <w:rPr>
                <w:sz w:val="18"/>
                <w:szCs w:val="18"/>
              </w:rPr>
            </w:pPr>
            <w:r w:rsidRPr="00D4244F">
              <w:rPr>
                <w:sz w:val="18"/>
                <w:szCs w:val="18"/>
              </w:rPr>
              <w:t>Beta_I(84,594)</w:t>
            </w:r>
          </w:p>
        </w:tc>
        <w:tc>
          <w:tcPr>
            <w:tcW w:w="779" w:type="dxa"/>
            <w:gridSpan w:val="2"/>
            <w:shd w:val="clear" w:color="auto" w:fill="auto"/>
            <w:noWrap/>
            <w:vAlign w:val="bottom"/>
            <w:hideMark/>
          </w:tcPr>
          <w:p w14:paraId="22DF430A"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rFonts w:ascii="Calibri" w:eastAsia="Times New Roman" w:hAnsi="Calibri" w:cs="Times New Roman"/>
                <w:noProof/>
                <w:sz w:val="20"/>
                <w:szCs w:val="20"/>
                <w:lang w:eastAsia="en-GB"/>
              </w:rPr>
              <w:t>[</w:t>
            </w:r>
            <w:r w:rsidRPr="00F702BD">
              <w:rPr>
                <w:rFonts w:ascii="Calibri" w:eastAsia="Times New Roman" w:hAnsi="Calibri" w:cs="Times New Roman"/>
                <w:noProof/>
                <w:sz w:val="20"/>
                <w:szCs w:val="20"/>
                <w:lang w:eastAsia="en-GB"/>
              </w:rPr>
              <w:t>26</w:t>
            </w:r>
            <w:r>
              <w:rPr>
                <w:rFonts w:ascii="Calibri" w:eastAsia="Times New Roman" w:hAnsi="Calibri" w:cs="Times New Roman"/>
                <w:noProof/>
                <w:sz w:val="20"/>
                <w:szCs w:val="20"/>
                <w:lang w:eastAsia="en-GB"/>
              </w:rPr>
              <w:t>]</w:t>
            </w:r>
          </w:p>
        </w:tc>
      </w:tr>
      <w:tr w:rsidR="002E3D9A" w:rsidRPr="00F702BD" w14:paraId="065EAA1D" w14:textId="77777777" w:rsidTr="00EA2356">
        <w:trPr>
          <w:trHeight w:val="300"/>
        </w:trPr>
        <w:tc>
          <w:tcPr>
            <w:tcW w:w="4395" w:type="dxa"/>
            <w:shd w:val="clear" w:color="auto" w:fill="auto"/>
            <w:noWrap/>
            <w:vAlign w:val="bottom"/>
            <w:hideMark/>
          </w:tcPr>
          <w:p w14:paraId="4168197C"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ATI+ responders in remission at 12 months</w:t>
            </w:r>
          </w:p>
        </w:tc>
        <w:tc>
          <w:tcPr>
            <w:tcW w:w="773" w:type="dxa"/>
            <w:shd w:val="clear" w:color="auto" w:fill="auto"/>
            <w:noWrap/>
            <w:vAlign w:val="bottom"/>
            <w:hideMark/>
          </w:tcPr>
          <w:p w14:paraId="51A6895B"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0.21</w:t>
            </w:r>
          </w:p>
        </w:tc>
        <w:tc>
          <w:tcPr>
            <w:tcW w:w="913" w:type="dxa"/>
            <w:shd w:val="clear" w:color="auto" w:fill="auto"/>
            <w:noWrap/>
            <w:hideMark/>
          </w:tcPr>
          <w:p w14:paraId="7CF043B1"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975" w:type="dxa"/>
            <w:shd w:val="clear" w:color="auto" w:fill="auto"/>
            <w:noWrap/>
            <w:hideMark/>
          </w:tcPr>
          <w:p w14:paraId="2861E320"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1674" w:type="dxa"/>
          </w:tcPr>
          <w:p w14:paraId="4E5305FC" w14:textId="77777777" w:rsidR="002E3D9A" w:rsidRPr="00D4244F" w:rsidRDefault="002E3D9A" w:rsidP="00EA2356">
            <w:pPr>
              <w:spacing w:after="0" w:line="240" w:lineRule="auto"/>
              <w:rPr>
                <w:sz w:val="18"/>
                <w:szCs w:val="18"/>
              </w:rPr>
            </w:pPr>
            <w:r w:rsidRPr="00D4244F">
              <w:rPr>
                <w:sz w:val="18"/>
                <w:szCs w:val="18"/>
              </w:rPr>
              <w:t>Dir(30)</w:t>
            </w:r>
          </w:p>
        </w:tc>
        <w:tc>
          <w:tcPr>
            <w:tcW w:w="779" w:type="dxa"/>
            <w:gridSpan w:val="2"/>
            <w:shd w:val="clear" w:color="auto" w:fill="auto"/>
            <w:noWrap/>
            <w:vAlign w:val="bottom"/>
            <w:hideMark/>
          </w:tcPr>
          <w:p w14:paraId="621979B3"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rFonts w:ascii="Calibri" w:eastAsia="Times New Roman" w:hAnsi="Calibri" w:cs="Times New Roman"/>
                <w:noProof/>
                <w:sz w:val="20"/>
                <w:szCs w:val="20"/>
                <w:lang w:eastAsia="en-GB"/>
              </w:rPr>
              <w:t>[</w:t>
            </w:r>
            <w:r w:rsidRPr="00F702BD">
              <w:rPr>
                <w:rFonts w:ascii="Calibri" w:eastAsia="Times New Roman" w:hAnsi="Calibri" w:cs="Times New Roman"/>
                <w:noProof/>
                <w:sz w:val="20"/>
                <w:szCs w:val="20"/>
                <w:lang w:eastAsia="en-GB"/>
              </w:rPr>
              <w:t>27,28</w:t>
            </w:r>
            <w:r>
              <w:rPr>
                <w:rFonts w:ascii="Calibri" w:eastAsia="Times New Roman" w:hAnsi="Calibri" w:cs="Times New Roman"/>
                <w:noProof/>
                <w:sz w:val="20"/>
                <w:szCs w:val="20"/>
                <w:lang w:eastAsia="en-GB"/>
              </w:rPr>
              <w:t>]</w:t>
            </w:r>
          </w:p>
        </w:tc>
      </w:tr>
      <w:tr w:rsidR="002E3D9A" w:rsidRPr="00F702BD" w14:paraId="58041B87" w14:textId="77777777" w:rsidTr="00EA2356">
        <w:trPr>
          <w:trHeight w:val="300"/>
        </w:trPr>
        <w:tc>
          <w:tcPr>
            <w:tcW w:w="4395" w:type="dxa"/>
            <w:shd w:val="clear" w:color="auto" w:fill="auto"/>
            <w:noWrap/>
            <w:vAlign w:val="bottom"/>
            <w:hideMark/>
          </w:tcPr>
          <w:p w14:paraId="78B0C517"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ATI+ responders in response at 12 months</w:t>
            </w:r>
          </w:p>
        </w:tc>
        <w:tc>
          <w:tcPr>
            <w:tcW w:w="773" w:type="dxa"/>
            <w:shd w:val="clear" w:color="auto" w:fill="auto"/>
            <w:noWrap/>
            <w:vAlign w:val="bottom"/>
            <w:hideMark/>
          </w:tcPr>
          <w:p w14:paraId="30860A27"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0.121</w:t>
            </w:r>
          </w:p>
        </w:tc>
        <w:tc>
          <w:tcPr>
            <w:tcW w:w="913" w:type="dxa"/>
            <w:shd w:val="clear" w:color="auto" w:fill="auto"/>
            <w:noWrap/>
            <w:hideMark/>
          </w:tcPr>
          <w:p w14:paraId="21404B51"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975" w:type="dxa"/>
            <w:shd w:val="clear" w:color="auto" w:fill="auto"/>
            <w:noWrap/>
            <w:hideMark/>
          </w:tcPr>
          <w:p w14:paraId="3A963167"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1674" w:type="dxa"/>
          </w:tcPr>
          <w:p w14:paraId="2EF20121" w14:textId="77777777" w:rsidR="002E3D9A" w:rsidRPr="00D4244F" w:rsidRDefault="002E3D9A" w:rsidP="00EA2356">
            <w:pPr>
              <w:spacing w:after="0" w:line="240" w:lineRule="auto"/>
              <w:rPr>
                <w:sz w:val="18"/>
                <w:szCs w:val="18"/>
              </w:rPr>
            </w:pPr>
            <w:r w:rsidRPr="00D4244F">
              <w:rPr>
                <w:sz w:val="18"/>
                <w:szCs w:val="18"/>
              </w:rPr>
              <w:t>Dir(18)</w:t>
            </w:r>
          </w:p>
        </w:tc>
        <w:tc>
          <w:tcPr>
            <w:tcW w:w="779" w:type="dxa"/>
            <w:gridSpan w:val="2"/>
            <w:shd w:val="clear" w:color="auto" w:fill="auto"/>
            <w:noWrap/>
            <w:vAlign w:val="bottom"/>
            <w:hideMark/>
          </w:tcPr>
          <w:p w14:paraId="1522181F"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rFonts w:ascii="Calibri" w:eastAsia="Times New Roman" w:hAnsi="Calibri" w:cs="Times New Roman"/>
                <w:noProof/>
                <w:sz w:val="20"/>
                <w:szCs w:val="20"/>
                <w:lang w:eastAsia="en-GB"/>
              </w:rPr>
              <w:t>[</w:t>
            </w:r>
            <w:r w:rsidRPr="00F702BD">
              <w:rPr>
                <w:rFonts w:ascii="Calibri" w:eastAsia="Times New Roman" w:hAnsi="Calibri" w:cs="Times New Roman"/>
                <w:noProof/>
                <w:sz w:val="20"/>
                <w:szCs w:val="20"/>
                <w:lang w:eastAsia="en-GB"/>
              </w:rPr>
              <w:t>27,28</w:t>
            </w:r>
            <w:r>
              <w:rPr>
                <w:rFonts w:ascii="Calibri" w:eastAsia="Times New Roman" w:hAnsi="Calibri" w:cs="Times New Roman"/>
                <w:noProof/>
                <w:sz w:val="20"/>
                <w:szCs w:val="20"/>
                <w:lang w:eastAsia="en-GB"/>
              </w:rPr>
              <w:t>]</w:t>
            </w:r>
          </w:p>
        </w:tc>
      </w:tr>
      <w:tr w:rsidR="002E3D9A" w:rsidRPr="00F702BD" w14:paraId="2FC124EA" w14:textId="77777777" w:rsidTr="00EA2356">
        <w:trPr>
          <w:trHeight w:val="300"/>
        </w:trPr>
        <w:tc>
          <w:tcPr>
            <w:tcW w:w="4395" w:type="dxa"/>
            <w:shd w:val="clear" w:color="auto" w:fill="auto"/>
            <w:noWrap/>
            <w:vAlign w:val="bottom"/>
            <w:hideMark/>
          </w:tcPr>
          <w:p w14:paraId="30A0E1B6"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ATI+ responders lost response at 12 months</w:t>
            </w:r>
            <w:r w:rsidRPr="00905CCC">
              <w:rPr>
                <w:sz w:val="20"/>
                <w:szCs w:val="20"/>
                <w:vertAlign w:val="superscript"/>
              </w:rPr>
              <w:t>b</w:t>
            </w:r>
          </w:p>
        </w:tc>
        <w:tc>
          <w:tcPr>
            <w:tcW w:w="773" w:type="dxa"/>
            <w:shd w:val="clear" w:color="auto" w:fill="auto"/>
            <w:noWrap/>
            <w:vAlign w:val="bottom"/>
            <w:hideMark/>
          </w:tcPr>
          <w:p w14:paraId="26FFCA87"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0.669</w:t>
            </w:r>
          </w:p>
        </w:tc>
        <w:tc>
          <w:tcPr>
            <w:tcW w:w="913" w:type="dxa"/>
            <w:shd w:val="clear" w:color="auto" w:fill="auto"/>
            <w:noWrap/>
            <w:vAlign w:val="bottom"/>
            <w:hideMark/>
          </w:tcPr>
          <w:p w14:paraId="3E09547E"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0.535</w:t>
            </w:r>
          </w:p>
        </w:tc>
        <w:tc>
          <w:tcPr>
            <w:tcW w:w="975" w:type="dxa"/>
            <w:shd w:val="clear" w:color="auto" w:fill="auto"/>
            <w:noWrap/>
            <w:vAlign w:val="bottom"/>
            <w:hideMark/>
          </w:tcPr>
          <w:p w14:paraId="06FB2923"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0.803</w:t>
            </w:r>
          </w:p>
        </w:tc>
        <w:tc>
          <w:tcPr>
            <w:tcW w:w="1674" w:type="dxa"/>
          </w:tcPr>
          <w:p w14:paraId="6C65E281" w14:textId="77777777" w:rsidR="002E3D9A" w:rsidRPr="00D4244F" w:rsidRDefault="002E3D9A" w:rsidP="00EA2356">
            <w:pPr>
              <w:spacing w:after="0" w:line="240" w:lineRule="auto"/>
              <w:rPr>
                <w:sz w:val="18"/>
                <w:szCs w:val="18"/>
              </w:rPr>
            </w:pPr>
            <w:r w:rsidRPr="00D4244F">
              <w:rPr>
                <w:sz w:val="18"/>
                <w:szCs w:val="18"/>
              </w:rPr>
              <w:t>Dir(97)</w:t>
            </w:r>
          </w:p>
        </w:tc>
        <w:tc>
          <w:tcPr>
            <w:tcW w:w="779" w:type="dxa"/>
            <w:gridSpan w:val="2"/>
            <w:shd w:val="clear" w:color="auto" w:fill="auto"/>
            <w:noWrap/>
            <w:vAlign w:val="bottom"/>
            <w:hideMark/>
          </w:tcPr>
          <w:p w14:paraId="1BAF50F2"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rFonts w:ascii="Calibri" w:eastAsia="Times New Roman" w:hAnsi="Calibri" w:cs="Times New Roman"/>
                <w:noProof/>
                <w:sz w:val="20"/>
                <w:szCs w:val="20"/>
                <w:lang w:eastAsia="en-GB"/>
              </w:rPr>
              <w:t>[</w:t>
            </w:r>
            <w:r w:rsidRPr="00F702BD">
              <w:rPr>
                <w:rFonts w:ascii="Calibri" w:eastAsia="Times New Roman" w:hAnsi="Calibri" w:cs="Times New Roman"/>
                <w:noProof/>
                <w:sz w:val="20"/>
                <w:szCs w:val="20"/>
                <w:lang w:eastAsia="en-GB"/>
              </w:rPr>
              <w:t>27</w:t>
            </w:r>
            <w:r>
              <w:rPr>
                <w:rFonts w:ascii="Calibri" w:eastAsia="Times New Roman" w:hAnsi="Calibri" w:cs="Times New Roman"/>
                <w:noProof/>
                <w:sz w:val="20"/>
                <w:szCs w:val="20"/>
                <w:lang w:eastAsia="en-GB"/>
              </w:rPr>
              <w:t>]</w:t>
            </w:r>
          </w:p>
        </w:tc>
      </w:tr>
      <w:tr w:rsidR="002E3D9A" w:rsidRPr="00F702BD" w14:paraId="00771214" w14:textId="77777777" w:rsidTr="00EA2356">
        <w:trPr>
          <w:trHeight w:val="300"/>
        </w:trPr>
        <w:tc>
          <w:tcPr>
            <w:tcW w:w="4395" w:type="dxa"/>
            <w:shd w:val="clear" w:color="auto" w:fill="auto"/>
            <w:noWrap/>
            <w:vAlign w:val="bottom"/>
            <w:hideMark/>
          </w:tcPr>
          <w:p w14:paraId="1FB1E60C"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ATI- responders in remission at 12 months</w:t>
            </w:r>
          </w:p>
        </w:tc>
        <w:tc>
          <w:tcPr>
            <w:tcW w:w="773" w:type="dxa"/>
            <w:shd w:val="clear" w:color="auto" w:fill="auto"/>
            <w:noWrap/>
            <w:vAlign w:val="bottom"/>
            <w:hideMark/>
          </w:tcPr>
          <w:p w14:paraId="06D32751"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0.482</w:t>
            </w:r>
          </w:p>
        </w:tc>
        <w:tc>
          <w:tcPr>
            <w:tcW w:w="913" w:type="dxa"/>
            <w:shd w:val="clear" w:color="auto" w:fill="auto"/>
            <w:noWrap/>
            <w:hideMark/>
          </w:tcPr>
          <w:p w14:paraId="6D97F071"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975" w:type="dxa"/>
            <w:shd w:val="clear" w:color="auto" w:fill="auto"/>
            <w:noWrap/>
            <w:hideMark/>
          </w:tcPr>
          <w:p w14:paraId="78F00AB8"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1674" w:type="dxa"/>
          </w:tcPr>
          <w:p w14:paraId="2BD835CC" w14:textId="77777777" w:rsidR="002E3D9A" w:rsidRPr="00D4244F" w:rsidRDefault="002E3D9A" w:rsidP="00EA2356">
            <w:pPr>
              <w:spacing w:after="0" w:line="240" w:lineRule="auto"/>
              <w:rPr>
                <w:sz w:val="18"/>
                <w:szCs w:val="18"/>
              </w:rPr>
            </w:pPr>
            <w:r w:rsidRPr="00D4244F">
              <w:rPr>
                <w:sz w:val="18"/>
                <w:szCs w:val="18"/>
              </w:rPr>
              <w:t>Dir(187)</w:t>
            </w:r>
          </w:p>
        </w:tc>
        <w:tc>
          <w:tcPr>
            <w:tcW w:w="779" w:type="dxa"/>
            <w:gridSpan w:val="2"/>
            <w:shd w:val="clear" w:color="auto" w:fill="auto"/>
            <w:noWrap/>
            <w:vAlign w:val="bottom"/>
            <w:hideMark/>
          </w:tcPr>
          <w:p w14:paraId="20949DD1"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rFonts w:ascii="Calibri" w:eastAsia="Times New Roman" w:hAnsi="Calibri" w:cs="Times New Roman"/>
                <w:noProof/>
                <w:sz w:val="20"/>
                <w:szCs w:val="20"/>
                <w:lang w:eastAsia="en-GB"/>
              </w:rPr>
              <w:t>[</w:t>
            </w:r>
            <w:r w:rsidRPr="00F702BD">
              <w:rPr>
                <w:rFonts w:ascii="Calibri" w:eastAsia="Times New Roman" w:hAnsi="Calibri" w:cs="Times New Roman"/>
                <w:noProof/>
                <w:sz w:val="20"/>
                <w:szCs w:val="20"/>
                <w:lang w:eastAsia="en-GB"/>
              </w:rPr>
              <w:t>27,28</w:t>
            </w:r>
            <w:r>
              <w:rPr>
                <w:rFonts w:ascii="Calibri" w:eastAsia="Times New Roman" w:hAnsi="Calibri" w:cs="Times New Roman"/>
                <w:noProof/>
                <w:sz w:val="20"/>
                <w:szCs w:val="20"/>
                <w:lang w:eastAsia="en-GB"/>
              </w:rPr>
              <w:t>]</w:t>
            </w:r>
          </w:p>
        </w:tc>
      </w:tr>
      <w:tr w:rsidR="002E3D9A" w:rsidRPr="00F702BD" w14:paraId="31B41D1E" w14:textId="77777777" w:rsidTr="00EA2356">
        <w:trPr>
          <w:trHeight w:val="300"/>
        </w:trPr>
        <w:tc>
          <w:tcPr>
            <w:tcW w:w="4395" w:type="dxa"/>
            <w:shd w:val="clear" w:color="auto" w:fill="auto"/>
            <w:noWrap/>
            <w:vAlign w:val="bottom"/>
            <w:hideMark/>
          </w:tcPr>
          <w:p w14:paraId="72FD30C0"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ATI- responders in response at 12 months</w:t>
            </w:r>
          </w:p>
        </w:tc>
        <w:tc>
          <w:tcPr>
            <w:tcW w:w="773" w:type="dxa"/>
            <w:shd w:val="clear" w:color="auto" w:fill="auto"/>
            <w:noWrap/>
            <w:vAlign w:val="bottom"/>
            <w:hideMark/>
          </w:tcPr>
          <w:p w14:paraId="76442B63"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0.278</w:t>
            </w:r>
          </w:p>
        </w:tc>
        <w:tc>
          <w:tcPr>
            <w:tcW w:w="913" w:type="dxa"/>
            <w:shd w:val="clear" w:color="auto" w:fill="auto"/>
            <w:noWrap/>
            <w:hideMark/>
          </w:tcPr>
          <w:p w14:paraId="30416116"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975" w:type="dxa"/>
            <w:shd w:val="clear" w:color="auto" w:fill="auto"/>
            <w:noWrap/>
            <w:hideMark/>
          </w:tcPr>
          <w:p w14:paraId="57366707"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1674" w:type="dxa"/>
          </w:tcPr>
          <w:p w14:paraId="5D1B4FCF" w14:textId="77777777" w:rsidR="002E3D9A" w:rsidRPr="00D4244F" w:rsidRDefault="002E3D9A" w:rsidP="00EA2356">
            <w:pPr>
              <w:spacing w:after="0" w:line="240" w:lineRule="auto"/>
              <w:rPr>
                <w:sz w:val="18"/>
                <w:szCs w:val="18"/>
              </w:rPr>
            </w:pPr>
            <w:r w:rsidRPr="00D4244F">
              <w:rPr>
                <w:sz w:val="18"/>
                <w:szCs w:val="18"/>
              </w:rPr>
              <w:t>Dir(108)</w:t>
            </w:r>
          </w:p>
        </w:tc>
        <w:tc>
          <w:tcPr>
            <w:tcW w:w="779" w:type="dxa"/>
            <w:gridSpan w:val="2"/>
            <w:shd w:val="clear" w:color="auto" w:fill="auto"/>
            <w:noWrap/>
            <w:vAlign w:val="bottom"/>
            <w:hideMark/>
          </w:tcPr>
          <w:p w14:paraId="7BD190FC"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rFonts w:ascii="Calibri" w:eastAsia="Times New Roman" w:hAnsi="Calibri" w:cs="Times New Roman"/>
                <w:noProof/>
                <w:sz w:val="20"/>
                <w:szCs w:val="20"/>
                <w:lang w:eastAsia="en-GB"/>
              </w:rPr>
              <w:t>[</w:t>
            </w:r>
            <w:r w:rsidRPr="00F702BD">
              <w:rPr>
                <w:rFonts w:ascii="Calibri" w:eastAsia="Times New Roman" w:hAnsi="Calibri" w:cs="Times New Roman"/>
                <w:noProof/>
                <w:sz w:val="20"/>
                <w:szCs w:val="20"/>
                <w:lang w:eastAsia="en-GB"/>
              </w:rPr>
              <w:t>27,28</w:t>
            </w:r>
            <w:r>
              <w:rPr>
                <w:rFonts w:ascii="Calibri" w:eastAsia="Times New Roman" w:hAnsi="Calibri" w:cs="Times New Roman"/>
                <w:noProof/>
                <w:sz w:val="20"/>
                <w:szCs w:val="20"/>
                <w:lang w:eastAsia="en-GB"/>
              </w:rPr>
              <w:t>]</w:t>
            </w:r>
          </w:p>
        </w:tc>
      </w:tr>
      <w:tr w:rsidR="002E3D9A" w:rsidRPr="00F702BD" w14:paraId="46757B8B" w14:textId="77777777" w:rsidTr="00EA2356">
        <w:trPr>
          <w:trHeight w:val="300"/>
        </w:trPr>
        <w:tc>
          <w:tcPr>
            <w:tcW w:w="4395" w:type="dxa"/>
            <w:shd w:val="clear" w:color="auto" w:fill="auto"/>
            <w:noWrap/>
            <w:vAlign w:val="bottom"/>
            <w:hideMark/>
          </w:tcPr>
          <w:p w14:paraId="65CDCE41"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ATI- responders lost response at 12 months</w:t>
            </w:r>
            <w:r w:rsidRPr="00905CCC">
              <w:rPr>
                <w:sz w:val="20"/>
                <w:szCs w:val="20"/>
                <w:vertAlign w:val="superscript"/>
              </w:rPr>
              <w:t>b</w:t>
            </w:r>
          </w:p>
        </w:tc>
        <w:tc>
          <w:tcPr>
            <w:tcW w:w="773" w:type="dxa"/>
            <w:shd w:val="clear" w:color="auto" w:fill="auto"/>
            <w:noWrap/>
            <w:vAlign w:val="bottom"/>
            <w:hideMark/>
          </w:tcPr>
          <w:p w14:paraId="236E82F5"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0.24</w:t>
            </w:r>
          </w:p>
        </w:tc>
        <w:tc>
          <w:tcPr>
            <w:tcW w:w="913" w:type="dxa"/>
            <w:shd w:val="clear" w:color="auto" w:fill="auto"/>
            <w:noWrap/>
            <w:vAlign w:val="bottom"/>
            <w:hideMark/>
          </w:tcPr>
          <w:p w14:paraId="61A2C7B2"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0.192</w:t>
            </w:r>
          </w:p>
        </w:tc>
        <w:tc>
          <w:tcPr>
            <w:tcW w:w="975" w:type="dxa"/>
            <w:shd w:val="clear" w:color="auto" w:fill="auto"/>
            <w:noWrap/>
            <w:vAlign w:val="bottom"/>
            <w:hideMark/>
          </w:tcPr>
          <w:p w14:paraId="3CD3D793"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0.288</w:t>
            </w:r>
          </w:p>
        </w:tc>
        <w:tc>
          <w:tcPr>
            <w:tcW w:w="1674" w:type="dxa"/>
          </w:tcPr>
          <w:p w14:paraId="2601E910" w14:textId="77777777" w:rsidR="002E3D9A" w:rsidRPr="00D4244F" w:rsidRDefault="002E3D9A" w:rsidP="00EA2356">
            <w:pPr>
              <w:spacing w:after="0" w:line="240" w:lineRule="auto"/>
              <w:rPr>
                <w:sz w:val="18"/>
                <w:szCs w:val="18"/>
              </w:rPr>
            </w:pPr>
            <w:r w:rsidRPr="00D4244F">
              <w:rPr>
                <w:sz w:val="18"/>
                <w:szCs w:val="18"/>
              </w:rPr>
              <w:t>Dir(93)</w:t>
            </w:r>
          </w:p>
        </w:tc>
        <w:tc>
          <w:tcPr>
            <w:tcW w:w="779" w:type="dxa"/>
            <w:gridSpan w:val="2"/>
            <w:shd w:val="clear" w:color="auto" w:fill="auto"/>
            <w:noWrap/>
            <w:vAlign w:val="bottom"/>
            <w:hideMark/>
          </w:tcPr>
          <w:p w14:paraId="3256C94E"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rFonts w:ascii="Calibri" w:eastAsia="Times New Roman" w:hAnsi="Calibri" w:cs="Times New Roman"/>
                <w:noProof/>
                <w:sz w:val="20"/>
                <w:szCs w:val="20"/>
                <w:lang w:eastAsia="en-GB"/>
              </w:rPr>
              <w:t>[</w:t>
            </w:r>
            <w:r w:rsidRPr="00F702BD">
              <w:rPr>
                <w:rFonts w:ascii="Calibri" w:eastAsia="Times New Roman" w:hAnsi="Calibri" w:cs="Times New Roman"/>
                <w:noProof/>
                <w:sz w:val="20"/>
                <w:szCs w:val="20"/>
                <w:lang w:eastAsia="en-GB"/>
              </w:rPr>
              <w:t>27</w:t>
            </w:r>
            <w:r>
              <w:rPr>
                <w:rFonts w:ascii="Calibri" w:eastAsia="Times New Roman" w:hAnsi="Calibri" w:cs="Times New Roman"/>
                <w:noProof/>
                <w:sz w:val="20"/>
                <w:szCs w:val="20"/>
                <w:lang w:eastAsia="en-GB"/>
              </w:rPr>
              <w:t>]</w:t>
            </w:r>
          </w:p>
        </w:tc>
      </w:tr>
      <w:tr w:rsidR="002E3D9A" w:rsidRPr="00F702BD" w14:paraId="6238D53E" w14:textId="77777777" w:rsidTr="00EA2356">
        <w:trPr>
          <w:trHeight w:val="300"/>
        </w:trPr>
        <w:tc>
          <w:tcPr>
            <w:tcW w:w="4395" w:type="dxa"/>
            <w:shd w:val="clear" w:color="auto" w:fill="auto"/>
            <w:noWrap/>
            <w:vAlign w:val="bottom"/>
            <w:hideMark/>
          </w:tcPr>
          <w:p w14:paraId="241164E8"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Adverse event transition probabilities</w:t>
            </w:r>
          </w:p>
        </w:tc>
        <w:tc>
          <w:tcPr>
            <w:tcW w:w="773" w:type="dxa"/>
            <w:shd w:val="clear" w:color="auto" w:fill="auto"/>
            <w:noWrap/>
            <w:vAlign w:val="bottom"/>
            <w:hideMark/>
          </w:tcPr>
          <w:p w14:paraId="4A58D0D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w:t>
            </w:r>
          </w:p>
        </w:tc>
        <w:tc>
          <w:tcPr>
            <w:tcW w:w="913" w:type="dxa"/>
            <w:shd w:val="clear" w:color="auto" w:fill="auto"/>
            <w:noWrap/>
            <w:vAlign w:val="bottom"/>
            <w:hideMark/>
          </w:tcPr>
          <w:p w14:paraId="4C511A5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w:t>
            </w:r>
          </w:p>
        </w:tc>
        <w:tc>
          <w:tcPr>
            <w:tcW w:w="975" w:type="dxa"/>
            <w:shd w:val="clear" w:color="auto" w:fill="auto"/>
            <w:noWrap/>
            <w:vAlign w:val="bottom"/>
            <w:hideMark/>
          </w:tcPr>
          <w:p w14:paraId="5E6CE2C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w:t>
            </w:r>
          </w:p>
        </w:tc>
        <w:tc>
          <w:tcPr>
            <w:tcW w:w="1674" w:type="dxa"/>
          </w:tcPr>
          <w:p w14:paraId="1244142E" w14:textId="77777777" w:rsidR="002E3D9A" w:rsidRPr="00D4244F" w:rsidRDefault="002E3D9A" w:rsidP="00EA2356">
            <w:pPr>
              <w:spacing w:after="0" w:line="240" w:lineRule="auto"/>
              <w:rPr>
                <w:rFonts w:ascii="Calibri" w:eastAsia="Times New Roman" w:hAnsi="Calibri" w:cs="Times New Roman"/>
                <w:sz w:val="18"/>
                <w:szCs w:val="18"/>
                <w:lang w:eastAsia="en-GB"/>
              </w:rPr>
            </w:pPr>
          </w:p>
        </w:tc>
        <w:tc>
          <w:tcPr>
            <w:tcW w:w="779" w:type="dxa"/>
            <w:gridSpan w:val="2"/>
            <w:shd w:val="clear" w:color="auto" w:fill="auto"/>
            <w:noWrap/>
            <w:vAlign w:val="bottom"/>
            <w:hideMark/>
          </w:tcPr>
          <w:p w14:paraId="58C6EB2C" w14:textId="77777777" w:rsidR="002E3D9A" w:rsidRPr="00F702BD" w:rsidRDefault="002E3D9A" w:rsidP="00EA2356">
            <w:pPr>
              <w:spacing w:after="0" w:line="240" w:lineRule="auto"/>
              <w:rPr>
                <w:rFonts w:ascii="Calibri" w:eastAsia="Times New Roman" w:hAnsi="Calibri" w:cs="Times New Roman"/>
                <w:sz w:val="20"/>
                <w:szCs w:val="20"/>
                <w:lang w:eastAsia="en-GB"/>
              </w:rPr>
            </w:pPr>
            <w:r w:rsidRPr="00F702BD">
              <w:rPr>
                <w:rFonts w:ascii="Calibri" w:eastAsia="Times New Roman" w:hAnsi="Calibri" w:cs="Times New Roman"/>
                <w:sz w:val="20"/>
                <w:szCs w:val="20"/>
                <w:lang w:eastAsia="en-GB"/>
              </w:rPr>
              <w:t> </w:t>
            </w:r>
          </w:p>
        </w:tc>
      </w:tr>
      <w:tr w:rsidR="002E3D9A" w:rsidRPr="00F702BD" w14:paraId="722A260C" w14:textId="77777777" w:rsidTr="00EA2356">
        <w:trPr>
          <w:trHeight w:val="300"/>
        </w:trPr>
        <w:tc>
          <w:tcPr>
            <w:tcW w:w="4395" w:type="dxa"/>
            <w:shd w:val="clear" w:color="auto" w:fill="auto"/>
            <w:noWrap/>
            <w:vAlign w:val="bottom"/>
            <w:hideMark/>
          </w:tcPr>
          <w:p w14:paraId="395998B2"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ATI+ responders experience acute IR</w:t>
            </w:r>
            <w:r w:rsidRPr="00905CCC">
              <w:rPr>
                <w:sz w:val="20"/>
                <w:szCs w:val="20"/>
                <w:vertAlign w:val="superscript"/>
              </w:rPr>
              <w:t>b</w:t>
            </w:r>
          </w:p>
        </w:tc>
        <w:tc>
          <w:tcPr>
            <w:tcW w:w="773" w:type="dxa"/>
            <w:shd w:val="clear" w:color="auto" w:fill="auto"/>
            <w:noWrap/>
            <w:vAlign w:val="bottom"/>
            <w:hideMark/>
          </w:tcPr>
          <w:p w14:paraId="3D43B117"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0.315</w:t>
            </w:r>
          </w:p>
        </w:tc>
        <w:tc>
          <w:tcPr>
            <w:tcW w:w="913" w:type="dxa"/>
            <w:shd w:val="clear" w:color="auto" w:fill="auto"/>
            <w:noWrap/>
            <w:vAlign w:val="bottom"/>
            <w:hideMark/>
          </w:tcPr>
          <w:p w14:paraId="68EDA3AF"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0.252</w:t>
            </w:r>
          </w:p>
        </w:tc>
        <w:tc>
          <w:tcPr>
            <w:tcW w:w="975" w:type="dxa"/>
            <w:shd w:val="clear" w:color="auto" w:fill="auto"/>
            <w:noWrap/>
            <w:vAlign w:val="bottom"/>
            <w:hideMark/>
          </w:tcPr>
          <w:p w14:paraId="7FAD52BA"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0.378</w:t>
            </w:r>
          </w:p>
        </w:tc>
        <w:tc>
          <w:tcPr>
            <w:tcW w:w="1674" w:type="dxa"/>
          </w:tcPr>
          <w:p w14:paraId="374BA7D3" w14:textId="77777777" w:rsidR="002E3D9A" w:rsidRPr="00D4244F" w:rsidRDefault="002E3D9A" w:rsidP="00EA2356">
            <w:pPr>
              <w:spacing w:after="0" w:line="240" w:lineRule="auto"/>
              <w:rPr>
                <w:sz w:val="18"/>
                <w:szCs w:val="18"/>
              </w:rPr>
            </w:pPr>
            <w:r w:rsidRPr="00D4244F">
              <w:rPr>
                <w:sz w:val="18"/>
                <w:szCs w:val="18"/>
              </w:rPr>
              <w:t>Beta(78.170)</w:t>
            </w:r>
          </w:p>
        </w:tc>
        <w:tc>
          <w:tcPr>
            <w:tcW w:w="779" w:type="dxa"/>
            <w:gridSpan w:val="2"/>
            <w:shd w:val="clear" w:color="auto" w:fill="auto"/>
            <w:noWrap/>
            <w:vAlign w:val="bottom"/>
            <w:hideMark/>
          </w:tcPr>
          <w:p w14:paraId="6C722609"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noProof/>
                <w:sz w:val="20"/>
                <w:szCs w:val="20"/>
              </w:rPr>
              <w:t>[</w:t>
            </w:r>
            <w:r w:rsidRPr="00F702BD">
              <w:rPr>
                <w:noProof/>
                <w:sz w:val="20"/>
                <w:szCs w:val="20"/>
              </w:rPr>
              <w:t>30</w:t>
            </w:r>
            <w:r>
              <w:rPr>
                <w:noProof/>
                <w:sz w:val="20"/>
                <w:szCs w:val="20"/>
              </w:rPr>
              <w:t>]</w:t>
            </w:r>
          </w:p>
        </w:tc>
      </w:tr>
      <w:tr w:rsidR="002E3D9A" w:rsidRPr="00F702BD" w14:paraId="7B969896" w14:textId="77777777" w:rsidTr="00EA2356">
        <w:trPr>
          <w:trHeight w:val="300"/>
        </w:trPr>
        <w:tc>
          <w:tcPr>
            <w:tcW w:w="4395" w:type="dxa"/>
            <w:shd w:val="clear" w:color="auto" w:fill="auto"/>
            <w:noWrap/>
            <w:vAlign w:val="bottom"/>
            <w:hideMark/>
          </w:tcPr>
          <w:p w14:paraId="56028116"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ATI+ responders experience delayed IR</w:t>
            </w:r>
            <w:r w:rsidRPr="00905CCC">
              <w:rPr>
                <w:sz w:val="20"/>
                <w:szCs w:val="20"/>
                <w:vertAlign w:val="superscript"/>
              </w:rPr>
              <w:t>b</w:t>
            </w:r>
          </w:p>
        </w:tc>
        <w:tc>
          <w:tcPr>
            <w:tcW w:w="773" w:type="dxa"/>
            <w:shd w:val="clear" w:color="auto" w:fill="auto"/>
            <w:noWrap/>
            <w:vAlign w:val="bottom"/>
            <w:hideMark/>
          </w:tcPr>
          <w:p w14:paraId="391F0408"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0.054</w:t>
            </w:r>
          </w:p>
        </w:tc>
        <w:tc>
          <w:tcPr>
            <w:tcW w:w="913" w:type="dxa"/>
            <w:shd w:val="clear" w:color="auto" w:fill="auto"/>
            <w:noWrap/>
            <w:vAlign w:val="bottom"/>
            <w:hideMark/>
          </w:tcPr>
          <w:p w14:paraId="75EA74FB"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0.043</w:t>
            </w:r>
          </w:p>
        </w:tc>
        <w:tc>
          <w:tcPr>
            <w:tcW w:w="975" w:type="dxa"/>
            <w:shd w:val="clear" w:color="auto" w:fill="auto"/>
            <w:noWrap/>
            <w:vAlign w:val="bottom"/>
            <w:hideMark/>
          </w:tcPr>
          <w:p w14:paraId="3E96A55D"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0.065</w:t>
            </w:r>
          </w:p>
        </w:tc>
        <w:tc>
          <w:tcPr>
            <w:tcW w:w="1674" w:type="dxa"/>
          </w:tcPr>
          <w:p w14:paraId="3452B515" w14:textId="77777777" w:rsidR="002E3D9A" w:rsidRPr="00D4244F" w:rsidRDefault="002E3D9A" w:rsidP="00EA2356">
            <w:pPr>
              <w:spacing w:after="0" w:line="240" w:lineRule="auto"/>
              <w:rPr>
                <w:sz w:val="18"/>
                <w:szCs w:val="18"/>
              </w:rPr>
            </w:pPr>
            <w:r w:rsidRPr="00D4244F">
              <w:rPr>
                <w:sz w:val="18"/>
                <w:szCs w:val="18"/>
              </w:rPr>
              <w:t>Beta(7,122)</w:t>
            </w:r>
          </w:p>
        </w:tc>
        <w:tc>
          <w:tcPr>
            <w:tcW w:w="779" w:type="dxa"/>
            <w:gridSpan w:val="2"/>
            <w:shd w:val="clear" w:color="auto" w:fill="auto"/>
            <w:noWrap/>
            <w:vAlign w:val="bottom"/>
            <w:hideMark/>
          </w:tcPr>
          <w:p w14:paraId="63F9A75D"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noProof/>
                <w:sz w:val="20"/>
                <w:szCs w:val="20"/>
              </w:rPr>
              <w:t>[</w:t>
            </w:r>
            <w:r w:rsidRPr="00F702BD">
              <w:rPr>
                <w:noProof/>
                <w:sz w:val="20"/>
                <w:szCs w:val="20"/>
              </w:rPr>
              <w:t>30</w:t>
            </w:r>
            <w:r>
              <w:rPr>
                <w:noProof/>
                <w:sz w:val="20"/>
                <w:szCs w:val="20"/>
              </w:rPr>
              <w:t>]</w:t>
            </w:r>
          </w:p>
        </w:tc>
      </w:tr>
      <w:tr w:rsidR="002E3D9A" w:rsidRPr="00F702BD" w14:paraId="2975DF83" w14:textId="77777777" w:rsidTr="00EA2356">
        <w:trPr>
          <w:trHeight w:val="300"/>
        </w:trPr>
        <w:tc>
          <w:tcPr>
            <w:tcW w:w="4395" w:type="dxa"/>
            <w:shd w:val="clear" w:color="auto" w:fill="auto"/>
            <w:noWrap/>
            <w:vAlign w:val="bottom"/>
            <w:hideMark/>
          </w:tcPr>
          <w:p w14:paraId="5B68B1B8"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ATI+ responders experience severe IR</w:t>
            </w:r>
            <w:r w:rsidRPr="00905CCC">
              <w:rPr>
                <w:sz w:val="20"/>
                <w:szCs w:val="20"/>
                <w:vertAlign w:val="superscript"/>
              </w:rPr>
              <w:t>b</w:t>
            </w:r>
          </w:p>
        </w:tc>
        <w:tc>
          <w:tcPr>
            <w:tcW w:w="773" w:type="dxa"/>
            <w:shd w:val="clear" w:color="auto" w:fill="auto"/>
            <w:noWrap/>
            <w:vAlign w:val="bottom"/>
            <w:hideMark/>
          </w:tcPr>
          <w:p w14:paraId="5A76CA2A"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0.094</w:t>
            </w:r>
          </w:p>
        </w:tc>
        <w:tc>
          <w:tcPr>
            <w:tcW w:w="913" w:type="dxa"/>
            <w:shd w:val="clear" w:color="auto" w:fill="auto"/>
            <w:noWrap/>
            <w:vAlign w:val="bottom"/>
            <w:hideMark/>
          </w:tcPr>
          <w:p w14:paraId="1A36A3CC"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0.075</w:t>
            </w:r>
          </w:p>
        </w:tc>
        <w:tc>
          <w:tcPr>
            <w:tcW w:w="975" w:type="dxa"/>
            <w:shd w:val="clear" w:color="auto" w:fill="auto"/>
            <w:noWrap/>
            <w:vAlign w:val="bottom"/>
            <w:hideMark/>
          </w:tcPr>
          <w:p w14:paraId="3D368A39"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0.113</w:t>
            </w:r>
          </w:p>
        </w:tc>
        <w:tc>
          <w:tcPr>
            <w:tcW w:w="1674" w:type="dxa"/>
          </w:tcPr>
          <w:p w14:paraId="706180A0" w14:textId="77777777" w:rsidR="002E3D9A" w:rsidRPr="00D4244F" w:rsidRDefault="002E3D9A" w:rsidP="00EA2356">
            <w:pPr>
              <w:spacing w:after="0" w:line="240" w:lineRule="auto"/>
              <w:rPr>
                <w:sz w:val="18"/>
                <w:szCs w:val="18"/>
              </w:rPr>
            </w:pPr>
            <w:r w:rsidRPr="00D4244F">
              <w:rPr>
                <w:sz w:val="18"/>
                <w:szCs w:val="18"/>
              </w:rPr>
              <w:t>Beta(10,96)</w:t>
            </w:r>
          </w:p>
        </w:tc>
        <w:tc>
          <w:tcPr>
            <w:tcW w:w="779" w:type="dxa"/>
            <w:gridSpan w:val="2"/>
            <w:shd w:val="clear" w:color="auto" w:fill="auto"/>
            <w:noWrap/>
            <w:vAlign w:val="bottom"/>
            <w:hideMark/>
          </w:tcPr>
          <w:p w14:paraId="679064BF"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noProof/>
                <w:sz w:val="20"/>
                <w:szCs w:val="20"/>
              </w:rPr>
              <w:t>[</w:t>
            </w:r>
            <w:r w:rsidRPr="00F702BD">
              <w:rPr>
                <w:noProof/>
                <w:sz w:val="20"/>
                <w:szCs w:val="20"/>
              </w:rPr>
              <w:t>30</w:t>
            </w:r>
            <w:r>
              <w:rPr>
                <w:noProof/>
                <w:sz w:val="20"/>
                <w:szCs w:val="20"/>
              </w:rPr>
              <w:t>]</w:t>
            </w:r>
          </w:p>
        </w:tc>
      </w:tr>
      <w:tr w:rsidR="002E3D9A" w:rsidRPr="00F702BD" w14:paraId="0CDFBA7B" w14:textId="77777777" w:rsidTr="00EA2356">
        <w:trPr>
          <w:trHeight w:val="300"/>
        </w:trPr>
        <w:tc>
          <w:tcPr>
            <w:tcW w:w="4395" w:type="dxa"/>
            <w:shd w:val="clear" w:color="auto" w:fill="auto"/>
            <w:noWrap/>
            <w:vAlign w:val="bottom"/>
            <w:hideMark/>
          </w:tcPr>
          <w:p w14:paraId="2A0C5C30"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ATI- responders experience acute IR</w:t>
            </w:r>
            <w:r w:rsidRPr="00905CCC">
              <w:rPr>
                <w:sz w:val="20"/>
                <w:szCs w:val="20"/>
                <w:vertAlign w:val="superscript"/>
              </w:rPr>
              <w:t>b</w:t>
            </w:r>
          </w:p>
        </w:tc>
        <w:tc>
          <w:tcPr>
            <w:tcW w:w="773" w:type="dxa"/>
            <w:shd w:val="clear" w:color="auto" w:fill="auto"/>
            <w:noWrap/>
            <w:vAlign w:val="bottom"/>
            <w:hideMark/>
          </w:tcPr>
          <w:p w14:paraId="37396EBC"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0.142</w:t>
            </w:r>
          </w:p>
        </w:tc>
        <w:tc>
          <w:tcPr>
            <w:tcW w:w="913" w:type="dxa"/>
            <w:shd w:val="clear" w:color="auto" w:fill="auto"/>
            <w:noWrap/>
            <w:vAlign w:val="bottom"/>
            <w:hideMark/>
          </w:tcPr>
          <w:p w14:paraId="3159FF36"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0.114</w:t>
            </w:r>
          </w:p>
        </w:tc>
        <w:tc>
          <w:tcPr>
            <w:tcW w:w="975" w:type="dxa"/>
            <w:shd w:val="clear" w:color="auto" w:fill="auto"/>
            <w:noWrap/>
            <w:vAlign w:val="bottom"/>
            <w:hideMark/>
          </w:tcPr>
          <w:p w14:paraId="64A07715"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0.17</w:t>
            </w:r>
          </w:p>
        </w:tc>
        <w:tc>
          <w:tcPr>
            <w:tcW w:w="1674" w:type="dxa"/>
          </w:tcPr>
          <w:p w14:paraId="7B0550DE" w14:textId="77777777" w:rsidR="002E3D9A" w:rsidRPr="00D4244F" w:rsidRDefault="002E3D9A" w:rsidP="00EA2356">
            <w:pPr>
              <w:spacing w:after="0" w:line="240" w:lineRule="auto"/>
              <w:rPr>
                <w:sz w:val="18"/>
                <w:szCs w:val="18"/>
              </w:rPr>
            </w:pPr>
            <w:r w:rsidRPr="00D4244F">
              <w:rPr>
                <w:sz w:val="18"/>
                <w:szCs w:val="18"/>
              </w:rPr>
              <w:t>Beta(133,804)</w:t>
            </w:r>
          </w:p>
        </w:tc>
        <w:tc>
          <w:tcPr>
            <w:tcW w:w="779" w:type="dxa"/>
            <w:gridSpan w:val="2"/>
            <w:shd w:val="clear" w:color="auto" w:fill="auto"/>
            <w:noWrap/>
            <w:vAlign w:val="bottom"/>
            <w:hideMark/>
          </w:tcPr>
          <w:p w14:paraId="15FC589A"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noProof/>
                <w:sz w:val="20"/>
                <w:szCs w:val="20"/>
              </w:rPr>
              <w:t>[</w:t>
            </w:r>
            <w:r w:rsidRPr="00F702BD">
              <w:rPr>
                <w:noProof/>
                <w:sz w:val="20"/>
                <w:szCs w:val="20"/>
              </w:rPr>
              <w:t>30</w:t>
            </w:r>
            <w:r>
              <w:rPr>
                <w:noProof/>
                <w:sz w:val="20"/>
                <w:szCs w:val="20"/>
              </w:rPr>
              <w:t>]</w:t>
            </w:r>
          </w:p>
        </w:tc>
      </w:tr>
      <w:tr w:rsidR="002E3D9A" w:rsidRPr="00F702BD" w14:paraId="22F377B6" w14:textId="77777777" w:rsidTr="00EA2356">
        <w:trPr>
          <w:trHeight w:val="300"/>
        </w:trPr>
        <w:tc>
          <w:tcPr>
            <w:tcW w:w="4395" w:type="dxa"/>
            <w:shd w:val="clear" w:color="auto" w:fill="auto"/>
            <w:noWrap/>
            <w:vAlign w:val="bottom"/>
            <w:hideMark/>
          </w:tcPr>
          <w:p w14:paraId="7E01AC70"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ATI- responders experience delayed IR</w:t>
            </w:r>
            <w:r w:rsidRPr="00905CCC">
              <w:rPr>
                <w:sz w:val="20"/>
                <w:szCs w:val="20"/>
                <w:vertAlign w:val="superscript"/>
              </w:rPr>
              <w:t>b</w:t>
            </w:r>
          </w:p>
        </w:tc>
        <w:tc>
          <w:tcPr>
            <w:tcW w:w="773" w:type="dxa"/>
            <w:shd w:val="clear" w:color="auto" w:fill="auto"/>
            <w:noWrap/>
            <w:vAlign w:val="bottom"/>
            <w:hideMark/>
          </w:tcPr>
          <w:p w14:paraId="214147E4"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0.021</w:t>
            </w:r>
          </w:p>
        </w:tc>
        <w:tc>
          <w:tcPr>
            <w:tcW w:w="913" w:type="dxa"/>
            <w:shd w:val="clear" w:color="auto" w:fill="auto"/>
            <w:noWrap/>
            <w:vAlign w:val="bottom"/>
            <w:hideMark/>
          </w:tcPr>
          <w:p w14:paraId="606FAB66"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0.017</w:t>
            </w:r>
          </w:p>
        </w:tc>
        <w:tc>
          <w:tcPr>
            <w:tcW w:w="975" w:type="dxa"/>
            <w:shd w:val="clear" w:color="auto" w:fill="auto"/>
            <w:noWrap/>
            <w:vAlign w:val="bottom"/>
            <w:hideMark/>
          </w:tcPr>
          <w:p w14:paraId="370F6363"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0.025</w:t>
            </w:r>
          </w:p>
        </w:tc>
        <w:tc>
          <w:tcPr>
            <w:tcW w:w="1674" w:type="dxa"/>
          </w:tcPr>
          <w:p w14:paraId="6464A60D" w14:textId="77777777" w:rsidR="002E3D9A" w:rsidRPr="00D4244F" w:rsidRDefault="002E3D9A" w:rsidP="00EA2356">
            <w:pPr>
              <w:spacing w:after="0" w:line="240" w:lineRule="auto"/>
              <w:rPr>
                <w:sz w:val="18"/>
                <w:szCs w:val="18"/>
              </w:rPr>
            </w:pPr>
            <w:r w:rsidRPr="00D4244F">
              <w:rPr>
                <w:sz w:val="18"/>
                <w:szCs w:val="18"/>
              </w:rPr>
              <w:t>Beta(12,569)</w:t>
            </w:r>
          </w:p>
        </w:tc>
        <w:tc>
          <w:tcPr>
            <w:tcW w:w="779" w:type="dxa"/>
            <w:gridSpan w:val="2"/>
            <w:shd w:val="clear" w:color="auto" w:fill="auto"/>
            <w:noWrap/>
            <w:vAlign w:val="bottom"/>
            <w:hideMark/>
          </w:tcPr>
          <w:p w14:paraId="04433FCE"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noProof/>
                <w:sz w:val="20"/>
                <w:szCs w:val="20"/>
              </w:rPr>
              <w:t>[</w:t>
            </w:r>
            <w:r w:rsidRPr="00F702BD">
              <w:rPr>
                <w:noProof/>
                <w:sz w:val="20"/>
                <w:szCs w:val="20"/>
              </w:rPr>
              <w:t>30</w:t>
            </w:r>
            <w:r>
              <w:rPr>
                <w:noProof/>
                <w:sz w:val="20"/>
                <w:szCs w:val="20"/>
              </w:rPr>
              <w:t>]</w:t>
            </w:r>
          </w:p>
        </w:tc>
      </w:tr>
      <w:tr w:rsidR="002E3D9A" w:rsidRPr="00F702BD" w14:paraId="39B2F1E1" w14:textId="77777777" w:rsidTr="00EA2356">
        <w:trPr>
          <w:trHeight w:val="300"/>
        </w:trPr>
        <w:tc>
          <w:tcPr>
            <w:tcW w:w="4395" w:type="dxa"/>
            <w:shd w:val="clear" w:color="auto" w:fill="auto"/>
            <w:noWrap/>
            <w:vAlign w:val="bottom"/>
            <w:hideMark/>
          </w:tcPr>
          <w:p w14:paraId="71444B98"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ATI- responders experience severe IR</w:t>
            </w:r>
            <w:r w:rsidRPr="00905CCC">
              <w:rPr>
                <w:sz w:val="20"/>
                <w:szCs w:val="20"/>
                <w:vertAlign w:val="superscript"/>
              </w:rPr>
              <w:t>b</w:t>
            </w:r>
          </w:p>
        </w:tc>
        <w:tc>
          <w:tcPr>
            <w:tcW w:w="773" w:type="dxa"/>
            <w:shd w:val="clear" w:color="auto" w:fill="auto"/>
            <w:noWrap/>
            <w:vAlign w:val="bottom"/>
            <w:hideMark/>
          </w:tcPr>
          <w:p w14:paraId="6414F530"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0.061</w:t>
            </w:r>
          </w:p>
        </w:tc>
        <w:tc>
          <w:tcPr>
            <w:tcW w:w="913" w:type="dxa"/>
            <w:shd w:val="clear" w:color="auto" w:fill="auto"/>
            <w:noWrap/>
            <w:vAlign w:val="bottom"/>
            <w:hideMark/>
          </w:tcPr>
          <w:p w14:paraId="130F0CBB"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0.049</w:t>
            </w:r>
          </w:p>
        </w:tc>
        <w:tc>
          <w:tcPr>
            <w:tcW w:w="975" w:type="dxa"/>
            <w:shd w:val="clear" w:color="auto" w:fill="auto"/>
            <w:noWrap/>
            <w:vAlign w:val="bottom"/>
            <w:hideMark/>
          </w:tcPr>
          <w:p w14:paraId="436810B0"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0.073</w:t>
            </w:r>
          </w:p>
        </w:tc>
        <w:tc>
          <w:tcPr>
            <w:tcW w:w="1674" w:type="dxa"/>
          </w:tcPr>
          <w:p w14:paraId="0A5516F8" w14:textId="77777777" w:rsidR="002E3D9A" w:rsidRPr="00D4244F" w:rsidRDefault="002E3D9A" w:rsidP="00EA2356">
            <w:pPr>
              <w:spacing w:after="0" w:line="240" w:lineRule="auto"/>
              <w:rPr>
                <w:sz w:val="18"/>
                <w:szCs w:val="18"/>
              </w:rPr>
            </w:pPr>
            <w:r w:rsidRPr="00D4244F">
              <w:rPr>
                <w:sz w:val="18"/>
                <w:szCs w:val="18"/>
              </w:rPr>
              <w:t>Beta(3,46)</w:t>
            </w:r>
          </w:p>
        </w:tc>
        <w:tc>
          <w:tcPr>
            <w:tcW w:w="779" w:type="dxa"/>
            <w:gridSpan w:val="2"/>
            <w:shd w:val="clear" w:color="auto" w:fill="auto"/>
            <w:noWrap/>
            <w:vAlign w:val="bottom"/>
            <w:hideMark/>
          </w:tcPr>
          <w:p w14:paraId="7D5ED233"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noProof/>
                <w:sz w:val="20"/>
                <w:szCs w:val="20"/>
              </w:rPr>
              <w:t>[</w:t>
            </w:r>
            <w:r w:rsidRPr="00F702BD">
              <w:rPr>
                <w:noProof/>
                <w:sz w:val="20"/>
                <w:szCs w:val="20"/>
              </w:rPr>
              <w:t>30</w:t>
            </w:r>
            <w:r>
              <w:rPr>
                <w:noProof/>
                <w:sz w:val="20"/>
                <w:szCs w:val="20"/>
              </w:rPr>
              <w:t>]</w:t>
            </w:r>
          </w:p>
        </w:tc>
      </w:tr>
      <w:tr w:rsidR="002E3D9A" w:rsidRPr="00F702BD" w14:paraId="697096AB" w14:textId="77777777" w:rsidTr="00EA2356">
        <w:trPr>
          <w:trHeight w:val="300"/>
        </w:trPr>
        <w:tc>
          <w:tcPr>
            <w:tcW w:w="4395" w:type="dxa"/>
            <w:shd w:val="clear" w:color="auto" w:fill="auto"/>
            <w:noWrap/>
            <w:vAlign w:val="bottom"/>
            <w:hideMark/>
          </w:tcPr>
          <w:p w14:paraId="20F60840"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Death from severe IR</w:t>
            </w:r>
            <w:r w:rsidRPr="00905CCC">
              <w:rPr>
                <w:sz w:val="20"/>
                <w:szCs w:val="20"/>
                <w:vertAlign w:val="superscript"/>
              </w:rPr>
              <w:t>c</w:t>
            </w:r>
          </w:p>
        </w:tc>
        <w:tc>
          <w:tcPr>
            <w:tcW w:w="773" w:type="dxa"/>
            <w:shd w:val="clear" w:color="auto" w:fill="auto"/>
            <w:noWrap/>
            <w:vAlign w:val="bottom"/>
            <w:hideMark/>
          </w:tcPr>
          <w:p w14:paraId="19A74BFB"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0.004</w:t>
            </w:r>
          </w:p>
        </w:tc>
        <w:tc>
          <w:tcPr>
            <w:tcW w:w="913" w:type="dxa"/>
            <w:shd w:val="clear" w:color="auto" w:fill="auto"/>
            <w:noWrap/>
            <w:vAlign w:val="bottom"/>
            <w:hideMark/>
          </w:tcPr>
          <w:p w14:paraId="421A8FA9"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w:t>
            </w:r>
          </w:p>
        </w:tc>
        <w:tc>
          <w:tcPr>
            <w:tcW w:w="975" w:type="dxa"/>
            <w:shd w:val="clear" w:color="auto" w:fill="auto"/>
            <w:noWrap/>
            <w:vAlign w:val="bottom"/>
            <w:hideMark/>
          </w:tcPr>
          <w:p w14:paraId="10061812"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0.01</w:t>
            </w:r>
          </w:p>
        </w:tc>
        <w:tc>
          <w:tcPr>
            <w:tcW w:w="1674" w:type="dxa"/>
          </w:tcPr>
          <w:p w14:paraId="54D61D90" w14:textId="77777777" w:rsidR="002E3D9A" w:rsidRPr="00D4244F" w:rsidRDefault="002E3D9A" w:rsidP="00EA2356">
            <w:pPr>
              <w:spacing w:after="0" w:line="240" w:lineRule="auto"/>
              <w:rPr>
                <w:sz w:val="18"/>
                <w:szCs w:val="18"/>
              </w:rPr>
            </w:pPr>
            <w:r w:rsidRPr="00D4244F">
              <w:rPr>
                <w:sz w:val="18"/>
                <w:szCs w:val="18"/>
              </w:rPr>
              <w:t>Beta(2,609)</w:t>
            </w:r>
          </w:p>
        </w:tc>
        <w:tc>
          <w:tcPr>
            <w:tcW w:w="779" w:type="dxa"/>
            <w:gridSpan w:val="2"/>
            <w:shd w:val="clear" w:color="auto" w:fill="auto"/>
            <w:noWrap/>
            <w:vAlign w:val="bottom"/>
            <w:hideMark/>
          </w:tcPr>
          <w:p w14:paraId="353911E7"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noProof/>
                <w:sz w:val="20"/>
                <w:szCs w:val="20"/>
              </w:rPr>
              <w:t>[</w:t>
            </w:r>
            <w:r w:rsidRPr="00F702BD">
              <w:rPr>
                <w:noProof/>
                <w:sz w:val="20"/>
                <w:szCs w:val="20"/>
              </w:rPr>
              <w:t>28</w:t>
            </w:r>
            <w:r>
              <w:rPr>
                <w:noProof/>
                <w:sz w:val="20"/>
                <w:szCs w:val="20"/>
              </w:rPr>
              <w:t>]</w:t>
            </w:r>
          </w:p>
        </w:tc>
      </w:tr>
      <w:tr w:rsidR="002E3D9A" w:rsidRPr="00F702BD" w14:paraId="168291C8" w14:textId="77777777" w:rsidTr="00EA2356">
        <w:trPr>
          <w:trHeight w:val="300"/>
        </w:trPr>
        <w:tc>
          <w:tcPr>
            <w:tcW w:w="4395" w:type="dxa"/>
            <w:shd w:val="clear" w:color="auto" w:fill="auto"/>
            <w:noWrap/>
            <w:vAlign w:val="bottom"/>
            <w:hideMark/>
          </w:tcPr>
          <w:p w14:paraId="1F511077"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Age-specific all-cause mortality</w:t>
            </w:r>
            <w:r w:rsidRPr="00905CCC">
              <w:rPr>
                <w:sz w:val="20"/>
                <w:szCs w:val="20"/>
                <w:vertAlign w:val="superscript"/>
              </w:rPr>
              <w:t>c</w:t>
            </w:r>
          </w:p>
        </w:tc>
        <w:tc>
          <w:tcPr>
            <w:tcW w:w="773" w:type="dxa"/>
            <w:shd w:val="clear" w:color="auto" w:fill="auto"/>
            <w:noWrap/>
            <w:vAlign w:val="bottom"/>
            <w:hideMark/>
          </w:tcPr>
          <w:p w14:paraId="03F15FC1"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0.001</w:t>
            </w:r>
          </w:p>
        </w:tc>
        <w:tc>
          <w:tcPr>
            <w:tcW w:w="913" w:type="dxa"/>
            <w:shd w:val="clear" w:color="auto" w:fill="auto"/>
            <w:noWrap/>
            <w:vAlign w:val="bottom"/>
            <w:hideMark/>
          </w:tcPr>
          <w:p w14:paraId="5DF31D45"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w:t>
            </w:r>
          </w:p>
        </w:tc>
        <w:tc>
          <w:tcPr>
            <w:tcW w:w="975" w:type="dxa"/>
            <w:shd w:val="clear" w:color="auto" w:fill="auto"/>
            <w:noWrap/>
            <w:vAlign w:val="bottom"/>
            <w:hideMark/>
          </w:tcPr>
          <w:p w14:paraId="52B6B5B5"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0.005</w:t>
            </w:r>
          </w:p>
        </w:tc>
        <w:tc>
          <w:tcPr>
            <w:tcW w:w="1674" w:type="dxa"/>
          </w:tcPr>
          <w:p w14:paraId="4665D232" w14:textId="77777777" w:rsidR="002E3D9A" w:rsidRPr="00D4244F" w:rsidRDefault="002E3D9A" w:rsidP="00EA2356">
            <w:pPr>
              <w:spacing w:after="0" w:line="240" w:lineRule="auto"/>
              <w:rPr>
                <w:sz w:val="18"/>
                <w:szCs w:val="18"/>
              </w:rPr>
            </w:pPr>
            <w:r w:rsidRPr="00D4244F">
              <w:rPr>
                <w:sz w:val="18"/>
                <w:szCs w:val="18"/>
              </w:rPr>
              <w:t>Beta(1,630)</w:t>
            </w:r>
          </w:p>
        </w:tc>
        <w:tc>
          <w:tcPr>
            <w:tcW w:w="779" w:type="dxa"/>
            <w:gridSpan w:val="2"/>
            <w:shd w:val="clear" w:color="auto" w:fill="auto"/>
            <w:noWrap/>
            <w:vAlign w:val="bottom"/>
            <w:hideMark/>
          </w:tcPr>
          <w:p w14:paraId="4B3DA227"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rFonts w:ascii="Calibri" w:eastAsia="Times New Roman" w:hAnsi="Calibri" w:cs="Times New Roman"/>
                <w:noProof/>
                <w:sz w:val="20"/>
                <w:szCs w:val="20"/>
                <w:lang w:eastAsia="en-GB"/>
              </w:rPr>
              <w:t>[</w:t>
            </w:r>
            <w:r w:rsidRPr="00F702BD">
              <w:rPr>
                <w:rFonts w:ascii="Calibri" w:eastAsia="Times New Roman" w:hAnsi="Calibri" w:cs="Times New Roman"/>
                <w:noProof/>
                <w:sz w:val="20"/>
                <w:szCs w:val="20"/>
                <w:lang w:eastAsia="en-GB"/>
              </w:rPr>
              <w:t>24</w:t>
            </w:r>
            <w:r>
              <w:rPr>
                <w:rFonts w:ascii="Calibri" w:eastAsia="Times New Roman" w:hAnsi="Calibri" w:cs="Times New Roman"/>
                <w:noProof/>
                <w:sz w:val="20"/>
                <w:szCs w:val="20"/>
                <w:lang w:eastAsia="en-GB"/>
              </w:rPr>
              <w:t>]</w:t>
            </w:r>
          </w:p>
        </w:tc>
      </w:tr>
      <w:tr w:rsidR="002E3D9A" w:rsidRPr="00F702BD" w14:paraId="62914AA6" w14:textId="77777777" w:rsidTr="00EA2356">
        <w:trPr>
          <w:trHeight w:val="300"/>
        </w:trPr>
        <w:tc>
          <w:tcPr>
            <w:tcW w:w="4395" w:type="dxa"/>
            <w:shd w:val="clear" w:color="auto" w:fill="auto"/>
            <w:noWrap/>
            <w:vAlign w:val="bottom"/>
          </w:tcPr>
          <w:p w14:paraId="2A1F5071"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Adalimumab therapy</w:t>
            </w:r>
          </w:p>
        </w:tc>
        <w:tc>
          <w:tcPr>
            <w:tcW w:w="773" w:type="dxa"/>
            <w:shd w:val="clear" w:color="auto" w:fill="auto"/>
            <w:noWrap/>
            <w:vAlign w:val="bottom"/>
          </w:tcPr>
          <w:p w14:paraId="0E5DCE07"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13" w:type="dxa"/>
            <w:shd w:val="clear" w:color="auto" w:fill="auto"/>
            <w:noWrap/>
            <w:vAlign w:val="bottom"/>
          </w:tcPr>
          <w:p w14:paraId="3FB5A741"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75" w:type="dxa"/>
            <w:shd w:val="clear" w:color="auto" w:fill="auto"/>
            <w:noWrap/>
            <w:vAlign w:val="bottom"/>
          </w:tcPr>
          <w:p w14:paraId="36DE31BF"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1674" w:type="dxa"/>
          </w:tcPr>
          <w:p w14:paraId="05272AA8" w14:textId="77777777" w:rsidR="002E3D9A" w:rsidRPr="00D4244F" w:rsidRDefault="002E3D9A" w:rsidP="00EA2356">
            <w:pPr>
              <w:spacing w:after="0" w:line="240" w:lineRule="auto"/>
              <w:rPr>
                <w:sz w:val="18"/>
                <w:szCs w:val="18"/>
              </w:rPr>
            </w:pPr>
          </w:p>
        </w:tc>
        <w:tc>
          <w:tcPr>
            <w:tcW w:w="779" w:type="dxa"/>
            <w:gridSpan w:val="2"/>
            <w:shd w:val="clear" w:color="auto" w:fill="auto"/>
            <w:noWrap/>
            <w:vAlign w:val="bottom"/>
          </w:tcPr>
          <w:p w14:paraId="4A9C2055" w14:textId="77777777" w:rsidR="002E3D9A" w:rsidRPr="00F702BD" w:rsidRDefault="002E3D9A" w:rsidP="00EA2356">
            <w:pPr>
              <w:spacing w:after="0" w:line="240" w:lineRule="auto"/>
              <w:rPr>
                <w:sz w:val="20"/>
                <w:szCs w:val="20"/>
              </w:rPr>
            </w:pPr>
          </w:p>
        </w:tc>
      </w:tr>
      <w:tr w:rsidR="002E3D9A" w:rsidRPr="00F702BD" w14:paraId="1BF3479F" w14:textId="77777777" w:rsidTr="00EA2356">
        <w:trPr>
          <w:trHeight w:val="300"/>
        </w:trPr>
        <w:tc>
          <w:tcPr>
            <w:tcW w:w="4395" w:type="dxa"/>
            <w:shd w:val="clear" w:color="auto" w:fill="auto"/>
            <w:noWrap/>
            <w:vAlign w:val="bottom"/>
          </w:tcPr>
          <w:p w14:paraId="7AE9A01D"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12 week remission rate</w:t>
            </w:r>
          </w:p>
        </w:tc>
        <w:tc>
          <w:tcPr>
            <w:tcW w:w="773" w:type="dxa"/>
            <w:shd w:val="clear" w:color="auto" w:fill="auto"/>
            <w:noWrap/>
            <w:vAlign w:val="bottom"/>
          </w:tcPr>
          <w:p w14:paraId="6FB06242"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0.29</w:t>
            </w:r>
          </w:p>
        </w:tc>
        <w:tc>
          <w:tcPr>
            <w:tcW w:w="913" w:type="dxa"/>
            <w:shd w:val="clear" w:color="auto" w:fill="auto"/>
            <w:noWrap/>
            <w:vAlign w:val="bottom"/>
          </w:tcPr>
          <w:p w14:paraId="5CB66334"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75" w:type="dxa"/>
            <w:shd w:val="clear" w:color="auto" w:fill="auto"/>
            <w:noWrap/>
            <w:vAlign w:val="bottom"/>
          </w:tcPr>
          <w:p w14:paraId="5C08AB03"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1674" w:type="dxa"/>
          </w:tcPr>
          <w:p w14:paraId="53958C39" w14:textId="77777777" w:rsidR="002E3D9A" w:rsidRPr="00D4244F" w:rsidRDefault="002E3D9A" w:rsidP="00EA2356">
            <w:pPr>
              <w:spacing w:after="0" w:line="240" w:lineRule="auto"/>
              <w:rPr>
                <w:sz w:val="18"/>
                <w:szCs w:val="18"/>
              </w:rPr>
            </w:pPr>
            <w:r w:rsidRPr="00D4244F">
              <w:rPr>
                <w:sz w:val="18"/>
                <w:szCs w:val="18"/>
              </w:rPr>
              <w:t>N/A</w:t>
            </w:r>
          </w:p>
        </w:tc>
        <w:tc>
          <w:tcPr>
            <w:tcW w:w="779" w:type="dxa"/>
            <w:gridSpan w:val="2"/>
            <w:shd w:val="clear" w:color="auto" w:fill="auto"/>
            <w:noWrap/>
            <w:vAlign w:val="bottom"/>
          </w:tcPr>
          <w:p w14:paraId="2B314365" w14:textId="77777777" w:rsidR="002E3D9A" w:rsidRPr="00F702BD" w:rsidRDefault="002E3D9A" w:rsidP="00EA2356">
            <w:pPr>
              <w:spacing w:after="0" w:line="240" w:lineRule="auto"/>
              <w:rPr>
                <w:noProof/>
                <w:sz w:val="20"/>
                <w:szCs w:val="20"/>
              </w:rPr>
            </w:pPr>
            <w:r>
              <w:rPr>
                <w:noProof/>
                <w:sz w:val="20"/>
                <w:szCs w:val="20"/>
              </w:rPr>
              <w:t>[</w:t>
            </w:r>
            <w:r w:rsidRPr="00F702BD">
              <w:rPr>
                <w:noProof/>
                <w:sz w:val="20"/>
                <w:szCs w:val="20"/>
              </w:rPr>
              <w:t>44</w:t>
            </w:r>
            <w:r>
              <w:rPr>
                <w:noProof/>
                <w:sz w:val="20"/>
                <w:szCs w:val="20"/>
              </w:rPr>
              <w:t>]</w:t>
            </w:r>
          </w:p>
        </w:tc>
      </w:tr>
      <w:tr w:rsidR="002E3D9A" w:rsidRPr="00F702BD" w14:paraId="28F098CA" w14:textId="77777777" w:rsidTr="00EA2356">
        <w:trPr>
          <w:trHeight w:val="300"/>
        </w:trPr>
        <w:tc>
          <w:tcPr>
            <w:tcW w:w="4395" w:type="dxa"/>
            <w:shd w:val="clear" w:color="auto" w:fill="auto"/>
            <w:noWrap/>
            <w:vAlign w:val="bottom"/>
          </w:tcPr>
          <w:p w14:paraId="5F0F4EA4"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12 week response rate</w:t>
            </w:r>
          </w:p>
        </w:tc>
        <w:tc>
          <w:tcPr>
            <w:tcW w:w="773" w:type="dxa"/>
            <w:shd w:val="clear" w:color="auto" w:fill="auto"/>
            <w:noWrap/>
            <w:vAlign w:val="bottom"/>
          </w:tcPr>
          <w:p w14:paraId="6948C60A"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0.39</w:t>
            </w:r>
          </w:p>
        </w:tc>
        <w:tc>
          <w:tcPr>
            <w:tcW w:w="913" w:type="dxa"/>
            <w:shd w:val="clear" w:color="auto" w:fill="auto"/>
            <w:noWrap/>
            <w:vAlign w:val="bottom"/>
          </w:tcPr>
          <w:p w14:paraId="27E24D05"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75" w:type="dxa"/>
            <w:shd w:val="clear" w:color="auto" w:fill="auto"/>
            <w:noWrap/>
            <w:vAlign w:val="bottom"/>
          </w:tcPr>
          <w:p w14:paraId="2FB1750F"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1674" w:type="dxa"/>
          </w:tcPr>
          <w:p w14:paraId="45E49BC9" w14:textId="77777777" w:rsidR="002E3D9A" w:rsidRPr="00D4244F" w:rsidRDefault="002E3D9A" w:rsidP="00EA2356">
            <w:pPr>
              <w:spacing w:after="0" w:line="240" w:lineRule="auto"/>
              <w:rPr>
                <w:sz w:val="18"/>
                <w:szCs w:val="18"/>
              </w:rPr>
            </w:pPr>
            <w:r w:rsidRPr="00D4244F">
              <w:rPr>
                <w:sz w:val="18"/>
                <w:szCs w:val="18"/>
              </w:rPr>
              <w:t>N/A</w:t>
            </w:r>
          </w:p>
        </w:tc>
        <w:tc>
          <w:tcPr>
            <w:tcW w:w="779" w:type="dxa"/>
            <w:gridSpan w:val="2"/>
            <w:shd w:val="clear" w:color="auto" w:fill="auto"/>
            <w:noWrap/>
            <w:vAlign w:val="bottom"/>
          </w:tcPr>
          <w:p w14:paraId="6E3957F7" w14:textId="77777777" w:rsidR="002E3D9A" w:rsidRPr="00F702BD" w:rsidRDefault="002E3D9A" w:rsidP="00EA2356">
            <w:pPr>
              <w:spacing w:after="0" w:line="240" w:lineRule="auto"/>
              <w:rPr>
                <w:noProof/>
                <w:sz w:val="20"/>
                <w:szCs w:val="20"/>
              </w:rPr>
            </w:pPr>
            <w:r>
              <w:rPr>
                <w:noProof/>
                <w:sz w:val="20"/>
                <w:szCs w:val="20"/>
              </w:rPr>
              <w:t>[</w:t>
            </w:r>
            <w:r w:rsidRPr="00F702BD">
              <w:rPr>
                <w:noProof/>
                <w:sz w:val="20"/>
                <w:szCs w:val="20"/>
              </w:rPr>
              <w:t>44</w:t>
            </w:r>
            <w:r>
              <w:rPr>
                <w:noProof/>
                <w:sz w:val="20"/>
                <w:szCs w:val="20"/>
              </w:rPr>
              <w:t>]</w:t>
            </w:r>
          </w:p>
        </w:tc>
      </w:tr>
      <w:tr w:rsidR="002E3D9A" w:rsidRPr="00F702BD" w14:paraId="254B3458" w14:textId="77777777" w:rsidTr="00EA2356">
        <w:trPr>
          <w:trHeight w:val="300"/>
        </w:trPr>
        <w:tc>
          <w:tcPr>
            <w:tcW w:w="4395" w:type="dxa"/>
            <w:shd w:val="clear" w:color="auto" w:fill="auto"/>
            <w:noWrap/>
            <w:vAlign w:val="bottom"/>
          </w:tcPr>
          <w:p w14:paraId="3122532D"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12 week no response rate</w:t>
            </w:r>
          </w:p>
        </w:tc>
        <w:tc>
          <w:tcPr>
            <w:tcW w:w="773" w:type="dxa"/>
            <w:shd w:val="clear" w:color="auto" w:fill="auto"/>
            <w:noWrap/>
            <w:vAlign w:val="bottom"/>
          </w:tcPr>
          <w:p w14:paraId="0CDDBE5E"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0.41</w:t>
            </w:r>
          </w:p>
        </w:tc>
        <w:tc>
          <w:tcPr>
            <w:tcW w:w="913" w:type="dxa"/>
            <w:shd w:val="clear" w:color="auto" w:fill="auto"/>
            <w:noWrap/>
            <w:vAlign w:val="bottom"/>
          </w:tcPr>
          <w:p w14:paraId="31DCC788"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75" w:type="dxa"/>
            <w:shd w:val="clear" w:color="auto" w:fill="auto"/>
            <w:noWrap/>
            <w:vAlign w:val="bottom"/>
          </w:tcPr>
          <w:p w14:paraId="7DDF8CC3"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1674" w:type="dxa"/>
          </w:tcPr>
          <w:p w14:paraId="04280550" w14:textId="77777777" w:rsidR="002E3D9A" w:rsidRPr="00D4244F" w:rsidRDefault="002E3D9A" w:rsidP="00EA2356">
            <w:pPr>
              <w:spacing w:after="0" w:line="240" w:lineRule="auto"/>
              <w:rPr>
                <w:sz w:val="18"/>
                <w:szCs w:val="18"/>
              </w:rPr>
            </w:pPr>
            <w:r w:rsidRPr="00D4244F">
              <w:rPr>
                <w:sz w:val="18"/>
                <w:szCs w:val="18"/>
              </w:rPr>
              <w:t>N/A</w:t>
            </w:r>
          </w:p>
        </w:tc>
        <w:tc>
          <w:tcPr>
            <w:tcW w:w="779" w:type="dxa"/>
            <w:gridSpan w:val="2"/>
            <w:shd w:val="clear" w:color="auto" w:fill="auto"/>
            <w:noWrap/>
            <w:vAlign w:val="bottom"/>
          </w:tcPr>
          <w:p w14:paraId="0E6073E8" w14:textId="77777777" w:rsidR="002E3D9A" w:rsidRPr="00F702BD" w:rsidRDefault="002E3D9A" w:rsidP="00EA2356">
            <w:pPr>
              <w:spacing w:after="0" w:line="240" w:lineRule="auto"/>
              <w:rPr>
                <w:noProof/>
                <w:sz w:val="20"/>
                <w:szCs w:val="20"/>
              </w:rPr>
            </w:pPr>
            <w:r>
              <w:rPr>
                <w:noProof/>
                <w:sz w:val="20"/>
                <w:szCs w:val="20"/>
              </w:rPr>
              <w:t>[</w:t>
            </w:r>
            <w:r w:rsidRPr="00F702BD">
              <w:rPr>
                <w:noProof/>
                <w:sz w:val="20"/>
                <w:szCs w:val="20"/>
              </w:rPr>
              <w:t>44</w:t>
            </w:r>
            <w:r>
              <w:rPr>
                <w:noProof/>
                <w:sz w:val="20"/>
                <w:szCs w:val="20"/>
              </w:rPr>
              <w:t>]</w:t>
            </w:r>
          </w:p>
        </w:tc>
      </w:tr>
      <w:tr w:rsidR="002E3D9A" w:rsidRPr="00F702BD" w14:paraId="52F74D02" w14:textId="77777777" w:rsidTr="00EA2356">
        <w:trPr>
          <w:trHeight w:val="300"/>
        </w:trPr>
        <w:tc>
          <w:tcPr>
            <w:tcW w:w="4395" w:type="dxa"/>
            <w:shd w:val="clear" w:color="auto" w:fill="auto"/>
            <w:noWrap/>
            <w:vAlign w:val="bottom"/>
          </w:tcPr>
          <w:p w14:paraId="5123DC20"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Ustekinumab therapy</w:t>
            </w:r>
          </w:p>
        </w:tc>
        <w:tc>
          <w:tcPr>
            <w:tcW w:w="773" w:type="dxa"/>
            <w:shd w:val="clear" w:color="auto" w:fill="auto"/>
            <w:noWrap/>
            <w:vAlign w:val="bottom"/>
          </w:tcPr>
          <w:p w14:paraId="67C08E64"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913" w:type="dxa"/>
            <w:shd w:val="clear" w:color="auto" w:fill="auto"/>
            <w:noWrap/>
            <w:vAlign w:val="bottom"/>
          </w:tcPr>
          <w:p w14:paraId="61237934"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975" w:type="dxa"/>
            <w:shd w:val="clear" w:color="auto" w:fill="auto"/>
            <w:noWrap/>
            <w:vAlign w:val="bottom"/>
          </w:tcPr>
          <w:p w14:paraId="28EDA8CB"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1674" w:type="dxa"/>
          </w:tcPr>
          <w:p w14:paraId="4071329C"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779" w:type="dxa"/>
            <w:gridSpan w:val="2"/>
            <w:shd w:val="clear" w:color="auto" w:fill="auto"/>
            <w:noWrap/>
            <w:vAlign w:val="bottom"/>
          </w:tcPr>
          <w:p w14:paraId="51AF73B8" w14:textId="77777777" w:rsidR="002E3D9A" w:rsidRPr="00F702BD" w:rsidRDefault="002E3D9A" w:rsidP="00EA2356">
            <w:pPr>
              <w:spacing w:after="0" w:line="240" w:lineRule="auto"/>
              <w:rPr>
                <w:rFonts w:ascii="Calibri" w:eastAsia="Times New Roman" w:hAnsi="Calibri" w:cs="Times New Roman"/>
                <w:b/>
                <w:bCs/>
                <w:sz w:val="20"/>
                <w:szCs w:val="20"/>
                <w:lang w:eastAsia="en-GB"/>
              </w:rPr>
            </w:pPr>
          </w:p>
        </w:tc>
      </w:tr>
      <w:tr w:rsidR="002E3D9A" w:rsidRPr="00F702BD" w14:paraId="70FD9323" w14:textId="77777777" w:rsidTr="00EA2356">
        <w:trPr>
          <w:trHeight w:val="300"/>
        </w:trPr>
        <w:tc>
          <w:tcPr>
            <w:tcW w:w="4395" w:type="dxa"/>
            <w:shd w:val="clear" w:color="auto" w:fill="auto"/>
            <w:noWrap/>
            <w:vAlign w:val="bottom"/>
          </w:tcPr>
          <w:p w14:paraId="74522688"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Initial response at week 16</w:t>
            </w:r>
          </w:p>
        </w:tc>
        <w:tc>
          <w:tcPr>
            <w:tcW w:w="773" w:type="dxa"/>
            <w:shd w:val="clear" w:color="auto" w:fill="auto"/>
            <w:noWrap/>
            <w:vAlign w:val="bottom"/>
          </w:tcPr>
          <w:p w14:paraId="0E9D2353"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0.474</w:t>
            </w:r>
          </w:p>
        </w:tc>
        <w:tc>
          <w:tcPr>
            <w:tcW w:w="913" w:type="dxa"/>
            <w:shd w:val="clear" w:color="auto" w:fill="auto"/>
            <w:noWrap/>
            <w:vAlign w:val="bottom"/>
          </w:tcPr>
          <w:p w14:paraId="3D60DAA1"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75" w:type="dxa"/>
            <w:shd w:val="clear" w:color="auto" w:fill="auto"/>
            <w:noWrap/>
            <w:vAlign w:val="bottom"/>
          </w:tcPr>
          <w:p w14:paraId="47B02429"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1674" w:type="dxa"/>
          </w:tcPr>
          <w:p w14:paraId="4B681249" w14:textId="77777777" w:rsidR="002E3D9A" w:rsidRPr="00D4244F" w:rsidRDefault="002E3D9A" w:rsidP="00EA2356">
            <w:pPr>
              <w:spacing w:after="0" w:line="240" w:lineRule="auto"/>
              <w:rPr>
                <w:sz w:val="18"/>
                <w:szCs w:val="18"/>
              </w:rPr>
            </w:pPr>
          </w:p>
        </w:tc>
        <w:tc>
          <w:tcPr>
            <w:tcW w:w="779" w:type="dxa"/>
            <w:gridSpan w:val="2"/>
            <w:shd w:val="clear" w:color="auto" w:fill="auto"/>
            <w:noWrap/>
            <w:vAlign w:val="bottom"/>
          </w:tcPr>
          <w:p w14:paraId="729248BE" w14:textId="77777777" w:rsidR="002E3D9A" w:rsidRPr="00F702BD" w:rsidRDefault="002E3D9A" w:rsidP="00EA2356">
            <w:pPr>
              <w:spacing w:after="0" w:line="240" w:lineRule="auto"/>
              <w:rPr>
                <w:sz w:val="20"/>
                <w:szCs w:val="20"/>
              </w:rPr>
            </w:pPr>
            <w:r>
              <w:rPr>
                <w:noProof/>
                <w:sz w:val="20"/>
                <w:szCs w:val="20"/>
              </w:rPr>
              <w:t>[</w:t>
            </w:r>
            <w:r w:rsidRPr="00F702BD">
              <w:rPr>
                <w:noProof/>
                <w:sz w:val="20"/>
                <w:szCs w:val="20"/>
              </w:rPr>
              <w:t>46</w:t>
            </w:r>
            <w:r>
              <w:rPr>
                <w:noProof/>
                <w:sz w:val="20"/>
                <w:szCs w:val="20"/>
              </w:rPr>
              <w:t>]</w:t>
            </w:r>
          </w:p>
        </w:tc>
      </w:tr>
      <w:tr w:rsidR="002E3D9A" w:rsidRPr="00F702BD" w14:paraId="6E7752AE" w14:textId="77777777" w:rsidTr="00EA2356">
        <w:trPr>
          <w:trHeight w:val="300"/>
        </w:trPr>
        <w:tc>
          <w:tcPr>
            <w:tcW w:w="4395" w:type="dxa"/>
            <w:shd w:val="clear" w:color="auto" w:fill="auto"/>
            <w:noWrap/>
            <w:vAlign w:val="bottom"/>
          </w:tcPr>
          <w:p w14:paraId="4B029821"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Responders in remission at week 44</w:t>
            </w:r>
          </w:p>
        </w:tc>
        <w:tc>
          <w:tcPr>
            <w:tcW w:w="773" w:type="dxa"/>
            <w:shd w:val="clear" w:color="auto" w:fill="auto"/>
            <w:noWrap/>
            <w:vAlign w:val="bottom"/>
          </w:tcPr>
          <w:p w14:paraId="3D9311EA"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0.386</w:t>
            </w:r>
          </w:p>
        </w:tc>
        <w:tc>
          <w:tcPr>
            <w:tcW w:w="913" w:type="dxa"/>
            <w:shd w:val="clear" w:color="auto" w:fill="auto"/>
            <w:noWrap/>
            <w:vAlign w:val="bottom"/>
          </w:tcPr>
          <w:p w14:paraId="4E231560"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75" w:type="dxa"/>
            <w:shd w:val="clear" w:color="auto" w:fill="auto"/>
            <w:noWrap/>
            <w:vAlign w:val="bottom"/>
          </w:tcPr>
          <w:p w14:paraId="32F7D5C6"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1674" w:type="dxa"/>
          </w:tcPr>
          <w:p w14:paraId="68D0D4DC" w14:textId="77777777" w:rsidR="002E3D9A" w:rsidRPr="00D4244F" w:rsidRDefault="002E3D9A" w:rsidP="00EA2356">
            <w:pPr>
              <w:spacing w:after="0" w:line="240" w:lineRule="auto"/>
              <w:rPr>
                <w:sz w:val="18"/>
                <w:szCs w:val="18"/>
              </w:rPr>
            </w:pPr>
          </w:p>
        </w:tc>
        <w:tc>
          <w:tcPr>
            <w:tcW w:w="779" w:type="dxa"/>
            <w:gridSpan w:val="2"/>
            <w:shd w:val="clear" w:color="auto" w:fill="auto"/>
            <w:noWrap/>
            <w:vAlign w:val="bottom"/>
          </w:tcPr>
          <w:p w14:paraId="2E82E426" w14:textId="77777777" w:rsidR="002E3D9A" w:rsidRPr="00F702BD" w:rsidRDefault="002E3D9A" w:rsidP="00EA2356">
            <w:pPr>
              <w:spacing w:after="0" w:line="240" w:lineRule="auto"/>
              <w:rPr>
                <w:sz w:val="20"/>
                <w:szCs w:val="20"/>
              </w:rPr>
            </w:pPr>
            <w:r>
              <w:rPr>
                <w:noProof/>
                <w:sz w:val="20"/>
                <w:szCs w:val="20"/>
              </w:rPr>
              <w:t>[</w:t>
            </w:r>
            <w:r w:rsidRPr="00F702BD">
              <w:rPr>
                <w:noProof/>
                <w:sz w:val="20"/>
                <w:szCs w:val="20"/>
              </w:rPr>
              <w:t>47</w:t>
            </w:r>
            <w:r>
              <w:rPr>
                <w:noProof/>
                <w:sz w:val="20"/>
                <w:szCs w:val="20"/>
              </w:rPr>
              <w:t>]</w:t>
            </w:r>
          </w:p>
        </w:tc>
      </w:tr>
      <w:tr w:rsidR="002E3D9A" w:rsidRPr="00F702BD" w14:paraId="152E2F86" w14:textId="77777777" w:rsidTr="00EA2356">
        <w:trPr>
          <w:trHeight w:val="300"/>
        </w:trPr>
        <w:tc>
          <w:tcPr>
            <w:tcW w:w="4395" w:type="dxa"/>
            <w:shd w:val="clear" w:color="auto" w:fill="auto"/>
            <w:noWrap/>
            <w:vAlign w:val="bottom"/>
          </w:tcPr>
          <w:p w14:paraId="72ABC4FC"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Responders in response at week 44</w:t>
            </w:r>
          </w:p>
        </w:tc>
        <w:tc>
          <w:tcPr>
            <w:tcW w:w="773" w:type="dxa"/>
            <w:shd w:val="clear" w:color="auto" w:fill="auto"/>
            <w:noWrap/>
            <w:vAlign w:val="bottom"/>
          </w:tcPr>
          <w:p w14:paraId="42B0E76A"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0.312</w:t>
            </w:r>
          </w:p>
        </w:tc>
        <w:tc>
          <w:tcPr>
            <w:tcW w:w="913" w:type="dxa"/>
            <w:shd w:val="clear" w:color="auto" w:fill="auto"/>
            <w:noWrap/>
            <w:vAlign w:val="bottom"/>
          </w:tcPr>
          <w:p w14:paraId="17AAAEB1"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75" w:type="dxa"/>
            <w:shd w:val="clear" w:color="auto" w:fill="auto"/>
            <w:noWrap/>
            <w:vAlign w:val="bottom"/>
          </w:tcPr>
          <w:p w14:paraId="09FC8655"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1674" w:type="dxa"/>
          </w:tcPr>
          <w:p w14:paraId="37BA300A" w14:textId="77777777" w:rsidR="002E3D9A" w:rsidRPr="00D4244F" w:rsidRDefault="002E3D9A" w:rsidP="00EA2356">
            <w:pPr>
              <w:spacing w:after="0" w:line="240" w:lineRule="auto"/>
              <w:rPr>
                <w:sz w:val="18"/>
                <w:szCs w:val="18"/>
              </w:rPr>
            </w:pPr>
          </w:p>
        </w:tc>
        <w:tc>
          <w:tcPr>
            <w:tcW w:w="779" w:type="dxa"/>
            <w:gridSpan w:val="2"/>
            <w:shd w:val="clear" w:color="auto" w:fill="auto"/>
            <w:noWrap/>
            <w:vAlign w:val="bottom"/>
          </w:tcPr>
          <w:p w14:paraId="7CD1BC35" w14:textId="77777777" w:rsidR="002E3D9A" w:rsidRPr="00F702BD" w:rsidRDefault="002E3D9A" w:rsidP="00EA2356">
            <w:pPr>
              <w:spacing w:after="0" w:line="240" w:lineRule="auto"/>
              <w:rPr>
                <w:sz w:val="20"/>
                <w:szCs w:val="20"/>
              </w:rPr>
            </w:pPr>
            <w:r>
              <w:rPr>
                <w:noProof/>
                <w:sz w:val="20"/>
                <w:szCs w:val="20"/>
              </w:rPr>
              <w:t>[</w:t>
            </w:r>
            <w:r w:rsidRPr="00F702BD">
              <w:rPr>
                <w:noProof/>
                <w:sz w:val="20"/>
                <w:szCs w:val="20"/>
              </w:rPr>
              <w:t>47</w:t>
            </w:r>
            <w:r>
              <w:rPr>
                <w:noProof/>
                <w:sz w:val="20"/>
                <w:szCs w:val="20"/>
              </w:rPr>
              <w:t>]</w:t>
            </w:r>
          </w:p>
        </w:tc>
      </w:tr>
      <w:tr w:rsidR="002E3D9A" w:rsidRPr="00F702BD" w14:paraId="44E36F76" w14:textId="77777777" w:rsidTr="00EA2356">
        <w:trPr>
          <w:trHeight w:val="300"/>
        </w:trPr>
        <w:tc>
          <w:tcPr>
            <w:tcW w:w="4395" w:type="dxa"/>
            <w:shd w:val="clear" w:color="auto" w:fill="auto"/>
            <w:noWrap/>
            <w:vAlign w:val="bottom"/>
          </w:tcPr>
          <w:p w14:paraId="27E1DB4F"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Responders lost response at week 44</w:t>
            </w:r>
          </w:p>
        </w:tc>
        <w:tc>
          <w:tcPr>
            <w:tcW w:w="773" w:type="dxa"/>
            <w:shd w:val="clear" w:color="auto" w:fill="auto"/>
            <w:noWrap/>
            <w:vAlign w:val="bottom"/>
          </w:tcPr>
          <w:p w14:paraId="1EA71EF2"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0.302</w:t>
            </w:r>
          </w:p>
        </w:tc>
        <w:tc>
          <w:tcPr>
            <w:tcW w:w="913" w:type="dxa"/>
            <w:shd w:val="clear" w:color="auto" w:fill="auto"/>
            <w:noWrap/>
            <w:vAlign w:val="bottom"/>
          </w:tcPr>
          <w:p w14:paraId="0C5AFB11"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75" w:type="dxa"/>
            <w:shd w:val="clear" w:color="auto" w:fill="auto"/>
            <w:noWrap/>
            <w:vAlign w:val="bottom"/>
          </w:tcPr>
          <w:p w14:paraId="195E63CA"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1674" w:type="dxa"/>
          </w:tcPr>
          <w:p w14:paraId="55270117" w14:textId="77777777" w:rsidR="002E3D9A" w:rsidRPr="00D4244F" w:rsidRDefault="002E3D9A" w:rsidP="00EA2356">
            <w:pPr>
              <w:spacing w:after="0" w:line="240" w:lineRule="auto"/>
              <w:rPr>
                <w:sz w:val="18"/>
                <w:szCs w:val="18"/>
              </w:rPr>
            </w:pPr>
          </w:p>
        </w:tc>
        <w:tc>
          <w:tcPr>
            <w:tcW w:w="779" w:type="dxa"/>
            <w:gridSpan w:val="2"/>
            <w:shd w:val="clear" w:color="auto" w:fill="auto"/>
            <w:noWrap/>
            <w:vAlign w:val="bottom"/>
          </w:tcPr>
          <w:p w14:paraId="5461BED9" w14:textId="77777777" w:rsidR="002E3D9A" w:rsidRPr="00F702BD" w:rsidRDefault="002E3D9A" w:rsidP="00EA2356">
            <w:pPr>
              <w:spacing w:after="0" w:line="240" w:lineRule="auto"/>
              <w:rPr>
                <w:sz w:val="20"/>
                <w:szCs w:val="20"/>
              </w:rPr>
            </w:pPr>
            <w:r>
              <w:rPr>
                <w:noProof/>
                <w:sz w:val="20"/>
                <w:szCs w:val="20"/>
              </w:rPr>
              <w:t>[</w:t>
            </w:r>
            <w:r w:rsidRPr="00F702BD">
              <w:rPr>
                <w:noProof/>
                <w:sz w:val="20"/>
                <w:szCs w:val="20"/>
              </w:rPr>
              <w:t>47</w:t>
            </w:r>
            <w:r>
              <w:rPr>
                <w:noProof/>
                <w:sz w:val="20"/>
                <w:szCs w:val="20"/>
              </w:rPr>
              <w:t>]</w:t>
            </w:r>
          </w:p>
        </w:tc>
      </w:tr>
      <w:tr w:rsidR="002E3D9A" w:rsidRPr="00F702BD" w14:paraId="4779C884" w14:textId="77777777" w:rsidTr="00EA2356">
        <w:trPr>
          <w:trHeight w:val="300"/>
        </w:trPr>
        <w:tc>
          <w:tcPr>
            <w:tcW w:w="4395" w:type="dxa"/>
            <w:shd w:val="clear" w:color="auto" w:fill="auto"/>
            <w:noWrap/>
            <w:vAlign w:val="bottom"/>
          </w:tcPr>
          <w:p w14:paraId="6437D988"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Vedolizumab therapy</w:t>
            </w:r>
          </w:p>
        </w:tc>
        <w:tc>
          <w:tcPr>
            <w:tcW w:w="773" w:type="dxa"/>
            <w:shd w:val="clear" w:color="auto" w:fill="auto"/>
            <w:noWrap/>
            <w:vAlign w:val="bottom"/>
          </w:tcPr>
          <w:p w14:paraId="4DA1242D"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13" w:type="dxa"/>
            <w:shd w:val="clear" w:color="auto" w:fill="auto"/>
            <w:noWrap/>
            <w:vAlign w:val="bottom"/>
          </w:tcPr>
          <w:p w14:paraId="39F5B029"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75" w:type="dxa"/>
            <w:shd w:val="clear" w:color="auto" w:fill="auto"/>
            <w:noWrap/>
            <w:vAlign w:val="bottom"/>
          </w:tcPr>
          <w:p w14:paraId="2173D842"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1674" w:type="dxa"/>
          </w:tcPr>
          <w:p w14:paraId="743C1AC3" w14:textId="77777777" w:rsidR="002E3D9A" w:rsidRPr="00D4244F" w:rsidRDefault="002E3D9A" w:rsidP="00EA2356">
            <w:pPr>
              <w:spacing w:after="0" w:line="240" w:lineRule="auto"/>
              <w:rPr>
                <w:sz w:val="18"/>
                <w:szCs w:val="18"/>
              </w:rPr>
            </w:pPr>
          </w:p>
        </w:tc>
        <w:tc>
          <w:tcPr>
            <w:tcW w:w="779" w:type="dxa"/>
            <w:gridSpan w:val="2"/>
            <w:shd w:val="clear" w:color="auto" w:fill="auto"/>
            <w:noWrap/>
            <w:vAlign w:val="bottom"/>
          </w:tcPr>
          <w:p w14:paraId="40DBB349" w14:textId="77777777" w:rsidR="002E3D9A" w:rsidRPr="00F702BD" w:rsidRDefault="002E3D9A" w:rsidP="00EA2356">
            <w:pPr>
              <w:spacing w:after="0" w:line="240" w:lineRule="auto"/>
              <w:rPr>
                <w:sz w:val="20"/>
                <w:szCs w:val="20"/>
              </w:rPr>
            </w:pPr>
          </w:p>
        </w:tc>
      </w:tr>
      <w:tr w:rsidR="002E3D9A" w:rsidRPr="00F702BD" w14:paraId="1F500907" w14:textId="77777777" w:rsidTr="00EA2356">
        <w:trPr>
          <w:trHeight w:val="300"/>
        </w:trPr>
        <w:tc>
          <w:tcPr>
            <w:tcW w:w="4395" w:type="dxa"/>
            <w:shd w:val="clear" w:color="auto" w:fill="auto"/>
            <w:noWrap/>
            <w:vAlign w:val="bottom"/>
          </w:tcPr>
          <w:p w14:paraId="260E575B"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Initial response at week 10</w:t>
            </w:r>
          </w:p>
        </w:tc>
        <w:tc>
          <w:tcPr>
            <w:tcW w:w="773" w:type="dxa"/>
            <w:shd w:val="clear" w:color="auto" w:fill="auto"/>
            <w:noWrap/>
            <w:vAlign w:val="bottom"/>
          </w:tcPr>
          <w:p w14:paraId="0F3A0B03"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13" w:type="dxa"/>
            <w:shd w:val="clear" w:color="auto" w:fill="auto"/>
            <w:noWrap/>
            <w:vAlign w:val="bottom"/>
          </w:tcPr>
          <w:p w14:paraId="40C53A79"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75" w:type="dxa"/>
            <w:shd w:val="clear" w:color="auto" w:fill="auto"/>
            <w:noWrap/>
            <w:vAlign w:val="bottom"/>
          </w:tcPr>
          <w:p w14:paraId="6960F943"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1674" w:type="dxa"/>
          </w:tcPr>
          <w:p w14:paraId="48478037" w14:textId="77777777" w:rsidR="002E3D9A" w:rsidRPr="00D4244F" w:rsidRDefault="002E3D9A" w:rsidP="00EA2356">
            <w:pPr>
              <w:spacing w:after="0" w:line="240" w:lineRule="auto"/>
              <w:rPr>
                <w:sz w:val="18"/>
                <w:szCs w:val="18"/>
              </w:rPr>
            </w:pPr>
          </w:p>
        </w:tc>
        <w:tc>
          <w:tcPr>
            <w:tcW w:w="779" w:type="dxa"/>
            <w:gridSpan w:val="2"/>
            <w:shd w:val="clear" w:color="auto" w:fill="auto"/>
            <w:noWrap/>
            <w:vAlign w:val="bottom"/>
          </w:tcPr>
          <w:p w14:paraId="7A0EA800" w14:textId="77777777" w:rsidR="002E3D9A" w:rsidRPr="00F702BD" w:rsidRDefault="002E3D9A" w:rsidP="00EA2356">
            <w:pPr>
              <w:spacing w:after="0" w:line="240" w:lineRule="auto"/>
              <w:rPr>
                <w:noProof/>
                <w:sz w:val="20"/>
                <w:szCs w:val="20"/>
              </w:rPr>
            </w:pPr>
            <w:r>
              <w:rPr>
                <w:noProof/>
                <w:sz w:val="20"/>
                <w:szCs w:val="20"/>
              </w:rPr>
              <w:t>[</w:t>
            </w:r>
            <w:r w:rsidRPr="00F702BD">
              <w:rPr>
                <w:noProof/>
                <w:sz w:val="20"/>
                <w:szCs w:val="20"/>
              </w:rPr>
              <w:t>48</w:t>
            </w:r>
            <w:r>
              <w:rPr>
                <w:noProof/>
                <w:sz w:val="20"/>
                <w:szCs w:val="20"/>
              </w:rPr>
              <w:t>]</w:t>
            </w:r>
          </w:p>
        </w:tc>
      </w:tr>
      <w:tr w:rsidR="002E3D9A" w:rsidRPr="00F702BD" w14:paraId="3BDED423" w14:textId="77777777" w:rsidTr="00EA2356">
        <w:trPr>
          <w:trHeight w:val="300"/>
        </w:trPr>
        <w:tc>
          <w:tcPr>
            <w:tcW w:w="4395" w:type="dxa"/>
            <w:shd w:val="clear" w:color="auto" w:fill="auto"/>
            <w:noWrap/>
            <w:vAlign w:val="bottom"/>
          </w:tcPr>
          <w:p w14:paraId="5C77234A"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Responders in remission at week 52</w:t>
            </w:r>
          </w:p>
        </w:tc>
        <w:tc>
          <w:tcPr>
            <w:tcW w:w="773" w:type="dxa"/>
            <w:shd w:val="clear" w:color="auto" w:fill="auto"/>
            <w:noWrap/>
            <w:vAlign w:val="bottom"/>
          </w:tcPr>
          <w:p w14:paraId="6191AE3D"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0.280</w:t>
            </w:r>
          </w:p>
        </w:tc>
        <w:tc>
          <w:tcPr>
            <w:tcW w:w="913" w:type="dxa"/>
            <w:shd w:val="clear" w:color="auto" w:fill="auto"/>
            <w:noWrap/>
            <w:vAlign w:val="bottom"/>
          </w:tcPr>
          <w:p w14:paraId="2CD64AA1"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75" w:type="dxa"/>
            <w:shd w:val="clear" w:color="auto" w:fill="auto"/>
            <w:noWrap/>
            <w:vAlign w:val="bottom"/>
          </w:tcPr>
          <w:p w14:paraId="33F9CE9E"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1674" w:type="dxa"/>
          </w:tcPr>
          <w:p w14:paraId="11784BDB" w14:textId="77777777" w:rsidR="002E3D9A" w:rsidRPr="00D4244F" w:rsidRDefault="002E3D9A" w:rsidP="00EA2356">
            <w:pPr>
              <w:spacing w:after="0" w:line="240" w:lineRule="auto"/>
              <w:rPr>
                <w:sz w:val="18"/>
                <w:szCs w:val="18"/>
              </w:rPr>
            </w:pPr>
          </w:p>
        </w:tc>
        <w:tc>
          <w:tcPr>
            <w:tcW w:w="779" w:type="dxa"/>
            <w:gridSpan w:val="2"/>
            <w:shd w:val="clear" w:color="auto" w:fill="auto"/>
            <w:noWrap/>
            <w:vAlign w:val="bottom"/>
          </w:tcPr>
          <w:p w14:paraId="4F02DCD6" w14:textId="77777777" w:rsidR="002E3D9A" w:rsidRPr="00F702BD" w:rsidRDefault="002E3D9A" w:rsidP="00EA2356">
            <w:pPr>
              <w:spacing w:after="0" w:line="240" w:lineRule="auto"/>
              <w:rPr>
                <w:noProof/>
                <w:sz w:val="20"/>
                <w:szCs w:val="20"/>
              </w:rPr>
            </w:pPr>
            <w:r>
              <w:rPr>
                <w:noProof/>
                <w:sz w:val="20"/>
                <w:szCs w:val="20"/>
              </w:rPr>
              <w:t>[</w:t>
            </w:r>
            <w:r w:rsidRPr="00F702BD">
              <w:rPr>
                <w:noProof/>
                <w:sz w:val="20"/>
                <w:szCs w:val="20"/>
              </w:rPr>
              <w:t>48,49</w:t>
            </w:r>
            <w:r>
              <w:rPr>
                <w:noProof/>
                <w:sz w:val="20"/>
                <w:szCs w:val="20"/>
              </w:rPr>
              <w:t>]</w:t>
            </w:r>
          </w:p>
        </w:tc>
      </w:tr>
      <w:tr w:rsidR="002E3D9A" w:rsidRPr="00F702BD" w14:paraId="390E9C89" w14:textId="77777777" w:rsidTr="00EA2356">
        <w:trPr>
          <w:trHeight w:val="300"/>
        </w:trPr>
        <w:tc>
          <w:tcPr>
            <w:tcW w:w="4395" w:type="dxa"/>
            <w:shd w:val="clear" w:color="auto" w:fill="auto"/>
            <w:noWrap/>
            <w:vAlign w:val="bottom"/>
          </w:tcPr>
          <w:p w14:paraId="6E7D06BF"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Responders in response at week 52</w:t>
            </w:r>
          </w:p>
        </w:tc>
        <w:tc>
          <w:tcPr>
            <w:tcW w:w="773" w:type="dxa"/>
            <w:shd w:val="clear" w:color="auto" w:fill="auto"/>
            <w:noWrap/>
            <w:vAlign w:val="bottom"/>
          </w:tcPr>
          <w:p w14:paraId="4D78CAE4"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0.213</w:t>
            </w:r>
          </w:p>
        </w:tc>
        <w:tc>
          <w:tcPr>
            <w:tcW w:w="913" w:type="dxa"/>
            <w:shd w:val="clear" w:color="auto" w:fill="auto"/>
            <w:noWrap/>
            <w:vAlign w:val="bottom"/>
          </w:tcPr>
          <w:p w14:paraId="2E0C7042"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75" w:type="dxa"/>
            <w:shd w:val="clear" w:color="auto" w:fill="auto"/>
            <w:noWrap/>
            <w:vAlign w:val="bottom"/>
          </w:tcPr>
          <w:p w14:paraId="2E3B6F3E"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1674" w:type="dxa"/>
          </w:tcPr>
          <w:p w14:paraId="39275A24" w14:textId="77777777" w:rsidR="002E3D9A" w:rsidRPr="00D4244F" w:rsidRDefault="002E3D9A" w:rsidP="00EA2356">
            <w:pPr>
              <w:spacing w:after="0" w:line="240" w:lineRule="auto"/>
              <w:rPr>
                <w:sz w:val="18"/>
                <w:szCs w:val="18"/>
              </w:rPr>
            </w:pPr>
          </w:p>
        </w:tc>
        <w:tc>
          <w:tcPr>
            <w:tcW w:w="779" w:type="dxa"/>
            <w:gridSpan w:val="2"/>
            <w:shd w:val="clear" w:color="auto" w:fill="auto"/>
            <w:noWrap/>
            <w:vAlign w:val="bottom"/>
          </w:tcPr>
          <w:p w14:paraId="35B9EEE5" w14:textId="77777777" w:rsidR="002E3D9A" w:rsidRPr="00F702BD" w:rsidRDefault="002E3D9A" w:rsidP="00EA2356">
            <w:pPr>
              <w:spacing w:after="0" w:line="240" w:lineRule="auto"/>
              <w:rPr>
                <w:noProof/>
                <w:sz w:val="20"/>
                <w:szCs w:val="20"/>
              </w:rPr>
            </w:pPr>
            <w:r>
              <w:rPr>
                <w:noProof/>
                <w:sz w:val="20"/>
                <w:szCs w:val="20"/>
              </w:rPr>
              <w:t>[</w:t>
            </w:r>
            <w:r w:rsidRPr="00F702BD">
              <w:rPr>
                <w:noProof/>
                <w:sz w:val="20"/>
                <w:szCs w:val="20"/>
              </w:rPr>
              <w:t>48,49</w:t>
            </w:r>
            <w:r>
              <w:rPr>
                <w:noProof/>
                <w:sz w:val="20"/>
                <w:szCs w:val="20"/>
              </w:rPr>
              <w:t>]</w:t>
            </w:r>
          </w:p>
        </w:tc>
      </w:tr>
      <w:tr w:rsidR="002E3D9A" w:rsidRPr="00F702BD" w14:paraId="38C722A5" w14:textId="77777777" w:rsidTr="00EA2356">
        <w:trPr>
          <w:trHeight w:val="300"/>
        </w:trPr>
        <w:tc>
          <w:tcPr>
            <w:tcW w:w="4395" w:type="dxa"/>
            <w:shd w:val="clear" w:color="auto" w:fill="auto"/>
            <w:noWrap/>
            <w:vAlign w:val="bottom"/>
          </w:tcPr>
          <w:p w14:paraId="00980958"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Responders lost response at week 52</w:t>
            </w:r>
          </w:p>
        </w:tc>
        <w:tc>
          <w:tcPr>
            <w:tcW w:w="773" w:type="dxa"/>
            <w:shd w:val="clear" w:color="auto" w:fill="auto"/>
            <w:noWrap/>
            <w:vAlign w:val="bottom"/>
          </w:tcPr>
          <w:p w14:paraId="63AB12B7"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0.507</w:t>
            </w:r>
          </w:p>
        </w:tc>
        <w:tc>
          <w:tcPr>
            <w:tcW w:w="913" w:type="dxa"/>
            <w:shd w:val="clear" w:color="auto" w:fill="auto"/>
            <w:noWrap/>
            <w:vAlign w:val="bottom"/>
          </w:tcPr>
          <w:p w14:paraId="34F9D498"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975" w:type="dxa"/>
            <w:shd w:val="clear" w:color="auto" w:fill="auto"/>
            <w:noWrap/>
            <w:vAlign w:val="bottom"/>
          </w:tcPr>
          <w:p w14:paraId="6F5D8F8D"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p>
        </w:tc>
        <w:tc>
          <w:tcPr>
            <w:tcW w:w="1674" w:type="dxa"/>
          </w:tcPr>
          <w:p w14:paraId="7359073C" w14:textId="77777777" w:rsidR="002E3D9A" w:rsidRPr="00D4244F" w:rsidRDefault="002E3D9A" w:rsidP="00EA2356">
            <w:pPr>
              <w:spacing w:after="0" w:line="240" w:lineRule="auto"/>
              <w:rPr>
                <w:sz w:val="18"/>
                <w:szCs w:val="18"/>
              </w:rPr>
            </w:pPr>
          </w:p>
        </w:tc>
        <w:tc>
          <w:tcPr>
            <w:tcW w:w="779" w:type="dxa"/>
            <w:gridSpan w:val="2"/>
            <w:shd w:val="clear" w:color="auto" w:fill="auto"/>
            <w:noWrap/>
            <w:vAlign w:val="bottom"/>
          </w:tcPr>
          <w:p w14:paraId="3977821B" w14:textId="77777777" w:rsidR="002E3D9A" w:rsidRPr="00F702BD" w:rsidRDefault="002E3D9A" w:rsidP="00EA2356">
            <w:pPr>
              <w:spacing w:after="0" w:line="240" w:lineRule="auto"/>
              <w:rPr>
                <w:noProof/>
                <w:sz w:val="20"/>
                <w:szCs w:val="20"/>
              </w:rPr>
            </w:pPr>
            <w:r>
              <w:rPr>
                <w:noProof/>
                <w:sz w:val="20"/>
                <w:szCs w:val="20"/>
              </w:rPr>
              <w:t>[</w:t>
            </w:r>
            <w:r w:rsidRPr="00F702BD">
              <w:rPr>
                <w:noProof/>
                <w:sz w:val="20"/>
                <w:szCs w:val="20"/>
              </w:rPr>
              <w:t>48,49</w:t>
            </w:r>
            <w:r>
              <w:rPr>
                <w:noProof/>
                <w:sz w:val="20"/>
                <w:szCs w:val="20"/>
              </w:rPr>
              <w:t>]</w:t>
            </w:r>
          </w:p>
        </w:tc>
      </w:tr>
      <w:tr w:rsidR="002E3D9A" w:rsidRPr="00F702BD" w14:paraId="56F0E140" w14:textId="77777777" w:rsidTr="00EA2356">
        <w:trPr>
          <w:trHeight w:val="300"/>
        </w:trPr>
        <w:tc>
          <w:tcPr>
            <w:tcW w:w="4395" w:type="dxa"/>
            <w:shd w:val="clear" w:color="auto" w:fill="auto"/>
            <w:noWrap/>
            <w:vAlign w:val="bottom"/>
            <w:hideMark/>
          </w:tcPr>
          <w:p w14:paraId="4A88EFCE"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 xml:space="preserve">Standard care therapy </w:t>
            </w:r>
            <w:r>
              <w:rPr>
                <w:rFonts w:ascii="Calibri" w:eastAsia="Times New Roman" w:hAnsi="Calibri" w:cs="Times New Roman"/>
                <w:b/>
                <w:bCs/>
                <w:sz w:val="20"/>
                <w:szCs w:val="20"/>
                <w:vertAlign w:val="superscript"/>
                <w:lang w:eastAsia="en-GB"/>
              </w:rPr>
              <w:t>d</w:t>
            </w:r>
          </w:p>
        </w:tc>
        <w:tc>
          <w:tcPr>
            <w:tcW w:w="773" w:type="dxa"/>
            <w:shd w:val="clear" w:color="auto" w:fill="auto"/>
            <w:noWrap/>
            <w:vAlign w:val="bottom"/>
            <w:hideMark/>
          </w:tcPr>
          <w:p w14:paraId="02647FD7" w14:textId="77777777" w:rsidR="002E3D9A" w:rsidRPr="00D4244F" w:rsidRDefault="002E3D9A" w:rsidP="00EA2356">
            <w:pPr>
              <w:spacing w:after="0" w:line="240" w:lineRule="auto"/>
              <w:rPr>
                <w:rFonts w:ascii="Calibri" w:eastAsia="Times New Roman" w:hAnsi="Calibri" w:cs="Times New Roman"/>
                <w:sz w:val="20"/>
                <w:szCs w:val="20"/>
                <w:lang w:eastAsia="en-GB"/>
              </w:rPr>
            </w:pPr>
          </w:p>
        </w:tc>
        <w:tc>
          <w:tcPr>
            <w:tcW w:w="913" w:type="dxa"/>
            <w:shd w:val="clear" w:color="auto" w:fill="auto"/>
            <w:noWrap/>
            <w:vAlign w:val="bottom"/>
            <w:hideMark/>
          </w:tcPr>
          <w:p w14:paraId="648911F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w:t>
            </w:r>
          </w:p>
        </w:tc>
        <w:tc>
          <w:tcPr>
            <w:tcW w:w="975" w:type="dxa"/>
            <w:shd w:val="clear" w:color="auto" w:fill="auto"/>
            <w:noWrap/>
            <w:vAlign w:val="bottom"/>
            <w:hideMark/>
          </w:tcPr>
          <w:p w14:paraId="798295F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w:t>
            </w:r>
          </w:p>
        </w:tc>
        <w:tc>
          <w:tcPr>
            <w:tcW w:w="1674" w:type="dxa"/>
          </w:tcPr>
          <w:p w14:paraId="21C0B4F2" w14:textId="77777777" w:rsidR="002E3D9A" w:rsidRPr="00D4244F" w:rsidRDefault="002E3D9A" w:rsidP="00EA2356">
            <w:pPr>
              <w:spacing w:after="0" w:line="240" w:lineRule="auto"/>
              <w:rPr>
                <w:rFonts w:ascii="Calibri" w:eastAsia="Times New Roman" w:hAnsi="Calibri" w:cs="Times New Roman"/>
                <w:sz w:val="18"/>
                <w:szCs w:val="18"/>
                <w:lang w:eastAsia="en-GB"/>
              </w:rPr>
            </w:pPr>
          </w:p>
        </w:tc>
        <w:tc>
          <w:tcPr>
            <w:tcW w:w="779" w:type="dxa"/>
            <w:gridSpan w:val="2"/>
            <w:shd w:val="clear" w:color="auto" w:fill="auto"/>
            <w:noWrap/>
            <w:vAlign w:val="bottom"/>
            <w:hideMark/>
          </w:tcPr>
          <w:p w14:paraId="78EA7E01" w14:textId="77777777" w:rsidR="002E3D9A" w:rsidRPr="00F702BD" w:rsidRDefault="002E3D9A" w:rsidP="00EA2356">
            <w:pPr>
              <w:spacing w:after="0" w:line="240" w:lineRule="auto"/>
              <w:rPr>
                <w:rFonts w:ascii="Calibri" w:eastAsia="Times New Roman" w:hAnsi="Calibri" w:cs="Times New Roman"/>
                <w:sz w:val="20"/>
                <w:szCs w:val="20"/>
                <w:lang w:eastAsia="en-GB"/>
              </w:rPr>
            </w:pPr>
            <w:r w:rsidRPr="00F702BD">
              <w:rPr>
                <w:rFonts w:ascii="Calibri" w:eastAsia="Times New Roman" w:hAnsi="Calibri" w:cs="Times New Roman"/>
                <w:sz w:val="20"/>
                <w:szCs w:val="20"/>
                <w:lang w:eastAsia="en-GB"/>
              </w:rPr>
              <w:t> </w:t>
            </w:r>
          </w:p>
        </w:tc>
      </w:tr>
      <w:tr w:rsidR="002E3D9A" w:rsidRPr="00F702BD" w14:paraId="1D3703A7" w14:textId="77777777" w:rsidTr="00EA2356">
        <w:trPr>
          <w:trHeight w:val="300"/>
        </w:trPr>
        <w:tc>
          <w:tcPr>
            <w:tcW w:w="4395" w:type="dxa"/>
            <w:shd w:val="clear" w:color="auto" w:fill="auto"/>
            <w:noWrap/>
            <w:vAlign w:val="bottom"/>
            <w:hideMark/>
          </w:tcPr>
          <w:p w14:paraId="71FE3BE0"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Remain moderate-to-severe disease</w:t>
            </w:r>
          </w:p>
        </w:tc>
        <w:tc>
          <w:tcPr>
            <w:tcW w:w="773" w:type="dxa"/>
            <w:shd w:val="clear" w:color="auto" w:fill="auto"/>
            <w:noWrap/>
            <w:vAlign w:val="bottom"/>
            <w:hideMark/>
          </w:tcPr>
          <w:p w14:paraId="414BE23B"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0.680</w:t>
            </w:r>
          </w:p>
        </w:tc>
        <w:tc>
          <w:tcPr>
            <w:tcW w:w="913" w:type="dxa"/>
            <w:shd w:val="clear" w:color="auto" w:fill="auto"/>
            <w:noWrap/>
            <w:vAlign w:val="bottom"/>
            <w:hideMark/>
          </w:tcPr>
          <w:p w14:paraId="1732D3F8"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0.544</w:t>
            </w:r>
          </w:p>
        </w:tc>
        <w:tc>
          <w:tcPr>
            <w:tcW w:w="975" w:type="dxa"/>
            <w:shd w:val="clear" w:color="auto" w:fill="auto"/>
            <w:noWrap/>
            <w:vAlign w:val="bottom"/>
            <w:hideMark/>
          </w:tcPr>
          <w:p w14:paraId="13FA7F1A"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0.816</w:t>
            </w:r>
          </w:p>
        </w:tc>
        <w:tc>
          <w:tcPr>
            <w:tcW w:w="1674" w:type="dxa"/>
          </w:tcPr>
          <w:p w14:paraId="0BEAD028" w14:textId="77777777" w:rsidR="002E3D9A" w:rsidRPr="00D4244F" w:rsidRDefault="002E3D9A" w:rsidP="00EA2356">
            <w:pPr>
              <w:spacing w:after="0" w:line="240" w:lineRule="auto"/>
              <w:rPr>
                <w:sz w:val="18"/>
                <w:szCs w:val="18"/>
              </w:rPr>
            </w:pPr>
            <w:r w:rsidRPr="00D4244F">
              <w:rPr>
                <w:sz w:val="18"/>
                <w:szCs w:val="18"/>
              </w:rPr>
              <w:t>Dir(30)</w:t>
            </w:r>
          </w:p>
        </w:tc>
        <w:tc>
          <w:tcPr>
            <w:tcW w:w="779" w:type="dxa"/>
            <w:gridSpan w:val="2"/>
            <w:shd w:val="clear" w:color="auto" w:fill="auto"/>
            <w:noWrap/>
            <w:vAlign w:val="bottom"/>
            <w:hideMark/>
          </w:tcPr>
          <w:p w14:paraId="4A403B7D"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noProof/>
                <w:sz w:val="20"/>
                <w:szCs w:val="20"/>
              </w:rPr>
              <w:t>[</w:t>
            </w:r>
            <w:r w:rsidRPr="00F702BD">
              <w:rPr>
                <w:noProof/>
                <w:sz w:val="20"/>
                <w:szCs w:val="20"/>
              </w:rPr>
              <w:t>17,29</w:t>
            </w:r>
            <w:r>
              <w:rPr>
                <w:noProof/>
                <w:sz w:val="20"/>
                <w:szCs w:val="20"/>
              </w:rPr>
              <w:t>]</w:t>
            </w:r>
          </w:p>
        </w:tc>
      </w:tr>
      <w:tr w:rsidR="002E3D9A" w:rsidRPr="00F702BD" w14:paraId="4145DF45" w14:textId="77777777" w:rsidTr="00EA2356">
        <w:trPr>
          <w:trHeight w:val="300"/>
        </w:trPr>
        <w:tc>
          <w:tcPr>
            <w:tcW w:w="4395" w:type="dxa"/>
            <w:shd w:val="clear" w:color="auto" w:fill="auto"/>
            <w:noWrap/>
            <w:vAlign w:val="bottom"/>
            <w:hideMark/>
          </w:tcPr>
          <w:p w14:paraId="6293DDF4"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Require surgery</w:t>
            </w:r>
            <w:r w:rsidRPr="00905CCC">
              <w:rPr>
                <w:sz w:val="20"/>
                <w:szCs w:val="20"/>
                <w:vertAlign w:val="superscript"/>
              </w:rPr>
              <w:t>b</w:t>
            </w:r>
          </w:p>
        </w:tc>
        <w:tc>
          <w:tcPr>
            <w:tcW w:w="773" w:type="dxa"/>
            <w:shd w:val="clear" w:color="auto" w:fill="auto"/>
            <w:noWrap/>
            <w:vAlign w:val="bottom"/>
            <w:hideMark/>
          </w:tcPr>
          <w:p w14:paraId="5DB6D3FF"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0.312</w:t>
            </w:r>
          </w:p>
        </w:tc>
        <w:tc>
          <w:tcPr>
            <w:tcW w:w="913" w:type="dxa"/>
            <w:shd w:val="clear" w:color="auto" w:fill="auto"/>
            <w:noWrap/>
            <w:vAlign w:val="bottom"/>
            <w:hideMark/>
          </w:tcPr>
          <w:p w14:paraId="49EFCF3A"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0.250</w:t>
            </w:r>
          </w:p>
        </w:tc>
        <w:tc>
          <w:tcPr>
            <w:tcW w:w="975" w:type="dxa"/>
            <w:shd w:val="clear" w:color="auto" w:fill="auto"/>
            <w:noWrap/>
            <w:vAlign w:val="bottom"/>
            <w:hideMark/>
          </w:tcPr>
          <w:p w14:paraId="0FEDCC00"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0.375</w:t>
            </w:r>
          </w:p>
        </w:tc>
        <w:tc>
          <w:tcPr>
            <w:tcW w:w="1674" w:type="dxa"/>
          </w:tcPr>
          <w:p w14:paraId="30B7CD01" w14:textId="77777777" w:rsidR="002E3D9A" w:rsidRPr="00D4244F" w:rsidRDefault="002E3D9A" w:rsidP="00EA2356">
            <w:pPr>
              <w:spacing w:after="0" w:line="240" w:lineRule="auto"/>
              <w:rPr>
                <w:sz w:val="18"/>
                <w:szCs w:val="18"/>
              </w:rPr>
            </w:pPr>
            <w:r w:rsidRPr="00D4244F">
              <w:rPr>
                <w:sz w:val="18"/>
                <w:szCs w:val="18"/>
              </w:rPr>
              <w:t>Dir(14)</w:t>
            </w:r>
          </w:p>
        </w:tc>
        <w:tc>
          <w:tcPr>
            <w:tcW w:w="779" w:type="dxa"/>
            <w:gridSpan w:val="2"/>
            <w:shd w:val="clear" w:color="auto" w:fill="auto"/>
            <w:noWrap/>
            <w:vAlign w:val="bottom"/>
            <w:hideMark/>
          </w:tcPr>
          <w:p w14:paraId="16407143"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noProof/>
                <w:sz w:val="20"/>
                <w:szCs w:val="20"/>
              </w:rPr>
              <w:t>[</w:t>
            </w:r>
            <w:r w:rsidRPr="00F702BD">
              <w:rPr>
                <w:noProof/>
                <w:sz w:val="20"/>
                <w:szCs w:val="20"/>
              </w:rPr>
              <w:t>17,29</w:t>
            </w:r>
            <w:r>
              <w:rPr>
                <w:noProof/>
                <w:sz w:val="20"/>
                <w:szCs w:val="20"/>
              </w:rPr>
              <w:t>]</w:t>
            </w:r>
          </w:p>
        </w:tc>
      </w:tr>
      <w:tr w:rsidR="002E3D9A" w:rsidRPr="00F702BD" w14:paraId="2B7A976E" w14:textId="77777777" w:rsidTr="00EA2356">
        <w:trPr>
          <w:trHeight w:val="300"/>
        </w:trPr>
        <w:tc>
          <w:tcPr>
            <w:tcW w:w="4395" w:type="dxa"/>
            <w:shd w:val="clear" w:color="auto" w:fill="auto"/>
            <w:noWrap/>
            <w:vAlign w:val="bottom"/>
            <w:hideMark/>
          </w:tcPr>
          <w:p w14:paraId="3093424B"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Death from surgery</w:t>
            </w:r>
          </w:p>
        </w:tc>
        <w:tc>
          <w:tcPr>
            <w:tcW w:w="773" w:type="dxa"/>
            <w:shd w:val="clear" w:color="auto" w:fill="auto"/>
            <w:noWrap/>
            <w:vAlign w:val="bottom"/>
            <w:hideMark/>
          </w:tcPr>
          <w:p w14:paraId="1C630420"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0.002</w:t>
            </w:r>
          </w:p>
        </w:tc>
        <w:tc>
          <w:tcPr>
            <w:tcW w:w="913" w:type="dxa"/>
            <w:shd w:val="clear" w:color="auto" w:fill="auto"/>
            <w:noWrap/>
            <w:hideMark/>
          </w:tcPr>
          <w:p w14:paraId="1DA2010A"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975" w:type="dxa"/>
            <w:shd w:val="clear" w:color="auto" w:fill="auto"/>
            <w:noWrap/>
            <w:hideMark/>
          </w:tcPr>
          <w:p w14:paraId="6B0EA60F"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1674" w:type="dxa"/>
          </w:tcPr>
          <w:p w14:paraId="2C058DF4" w14:textId="77777777" w:rsidR="002E3D9A" w:rsidRPr="00D4244F" w:rsidRDefault="002E3D9A" w:rsidP="00EA2356">
            <w:pPr>
              <w:spacing w:after="0" w:line="240" w:lineRule="auto"/>
              <w:rPr>
                <w:sz w:val="18"/>
                <w:szCs w:val="18"/>
              </w:rPr>
            </w:pPr>
            <w:r w:rsidRPr="00D4244F">
              <w:rPr>
                <w:sz w:val="18"/>
                <w:szCs w:val="18"/>
              </w:rPr>
              <w:t>Beta(96,63831)</w:t>
            </w:r>
          </w:p>
        </w:tc>
        <w:tc>
          <w:tcPr>
            <w:tcW w:w="779" w:type="dxa"/>
            <w:gridSpan w:val="2"/>
            <w:shd w:val="clear" w:color="auto" w:fill="auto"/>
            <w:noWrap/>
            <w:vAlign w:val="bottom"/>
            <w:hideMark/>
          </w:tcPr>
          <w:p w14:paraId="6C2390E5"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noProof/>
                <w:sz w:val="20"/>
                <w:szCs w:val="20"/>
              </w:rPr>
              <w:t>[</w:t>
            </w:r>
            <w:r w:rsidRPr="00F702BD">
              <w:rPr>
                <w:noProof/>
                <w:sz w:val="20"/>
                <w:szCs w:val="20"/>
              </w:rPr>
              <w:t>17,29</w:t>
            </w:r>
            <w:r>
              <w:rPr>
                <w:noProof/>
                <w:sz w:val="20"/>
                <w:szCs w:val="20"/>
              </w:rPr>
              <w:t>]</w:t>
            </w:r>
          </w:p>
        </w:tc>
      </w:tr>
      <w:tr w:rsidR="002E3D9A" w:rsidRPr="00F702BD" w14:paraId="19523F61" w14:textId="77777777" w:rsidTr="00EA2356">
        <w:trPr>
          <w:trHeight w:val="300"/>
        </w:trPr>
        <w:tc>
          <w:tcPr>
            <w:tcW w:w="4395" w:type="dxa"/>
            <w:shd w:val="clear" w:color="auto" w:fill="auto"/>
            <w:noWrap/>
            <w:vAlign w:val="bottom"/>
            <w:hideMark/>
          </w:tcPr>
          <w:p w14:paraId="191022B7"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Death from Crohn's disease flare</w:t>
            </w:r>
          </w:p>
        </w:tc>
        <w:tc>
          <w:tcPr>
            <w:tcW w:w="773" w:type="dxa"/>
            <w:shd w:val="clear" w:color="auto" w:fill="auto"/>
            <w:noWrap/>
            <w:vAlign w:val="bottom"/>
            <w:hideMark/>
          </w:tcPr>
          <w:p w14:paraId="1B109276"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0.008</w:t>
            </w:r>
          </w:p>
        </w:tc>
        <w:tc>
          <w:tcPr>
            <w:tcW w:w="913" w:type="dxa"/>
            <w:shd w:val="clear" w:color="auto" w:fill="auto"/>
            <w:noWrap/>
            <w:hideMark/>
          </w:tcPr>
          <w:p w14:paraId="65CF7362"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975" w:type="dxa"/>
            <w:shd w:val="clear" w:color="auto" w:fill="auto"/>
            <w:noWrap/>
            <w:hideMark/>
          </w:tcPr>
          <w:p w14:paraId="628A717B"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1674" w:type="dxa"/>
          </w:tcPr>
          <w:p w14:paraId="743077B0" w14:textId="77777777" w:rsidR="002E3D9A" w:rsidRPr="00D4244F" w:rsidRDefault="002E3D9A" w:rsidP="00EA2356">
            <w:pPr>
              <w:spacing w:after="0" w:line="240" w:lineRule="auto"/>
              <w:rPr>
                <w:sz w:val="18"/>
                <w:szCs w:val="18"/>
              </w:rPr>
            </w:pPr>
            <w:r w:rsidRPr="00D4244F">
              <w:rPr>
                <w:sz w:val="18"/>
                <w:szCs w:val="18"/>
              </w:rPr>
              <w:t>Dir(0.3)</w:t>
            </w:r>
          </w:p>
        </w:tc>
        <w:tc>
          <w:tcPr>
            <w:tcW w:w="779" w:type="dxa"/>
            <w:gridSpan w:val="2"/>
            <w:shd w:val="clear" w:color="auto" w:fill="auto"/>
            <w:noWrap/>
            <w:vAlign w:val="bottom"/>
            <w:hideMark/>
          </w:tcPr>
          <w:p w14:paraId="026C8C62"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noProof/>
                <w:sz w:val="20"/>
                <w:szCs w:val="20"/>
              </w:rPr>
              <w:t>[</w:t>
            </w:r>
            <w:r w:rsidRPr="00F702BD">
              <w:rPr>
                <w:noProof/>
                <w:sz w:val="20"/>
                <w:szCs w:val="20"/>
              </w:rPr>
              <w:t>17,29</w:t>
            </w:r>
            <w:r>
              <w:rPr>
                <w:noProof/>
                <w:sz w:val="20"/>
                <w:szCs w:val="20"/>
              </w:rPr>
              <w:t>]</w:t>
            </w:r>
          </w:p>
        </w:tc>
      </w:tr>
      <w:tr w:rsidR="002E3D9A" w:rsidRPr="00F702BD" w14:paraId="0C077605" w14:textId="77777777" w:rsidTr="00EA2356">
        <w:trPr>
          <w:trHeight w:val="300"/>
        </w:trPr>
        <w:tc>
          <w:tcPr>
            <w:tcW w:w="4395" w:type="dxa"/>
            <w:shd w:val="clear" w:color="auto" w:fill="auto"/>
            <w:noWrap/>
            <w:vAlign w:val="bottom"/>
          </w:tcPr>
          <w:p w14:paraId="0356336D"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b/>
                <w:bCs/>
                <w:sz w:val="20"/>
                <w:szCs w:val="20"/>
                <w:lang w:eastAsia="en-GB"/>
              </w:rPr>
              <w:t>Quality of life utilities</w:t>
            </w:r>
          </w:p>
        </w:tc>
        <w:tc>
          <w:tcPr>
            <w:tcW w:w="773" w:type="dxa"/>
            <w:shd w:val="clear" w:color="auto" w:fill="auto"/>
            <w:noWrap/>
            <w:vAlign w:val="bottom"/>
          </w:tcPr>
          <w:p w14:paraId="1CFF9625"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w:t>
            </w:r>
          </w:p>
        </w:tc>
        <w:tc>
          <w:tcPr>
            <w:tcW w:w="913" w:type="dxa"/>
            <w:shd w:val="clear" w:color="auto" w:fill="auto"/>
            <w:noWrap/>
            <w:vAlign w:val="bottom"/>
          </w:tcPr>
          <w:p w14:paraId="142FD01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w:t>
            </w:r>
          </w:p>
        </w:tc>
        <w:tc>
          <w:tcPr>
            <w:tcW w:w="975" w:type="dxa"/>
            <w:shd w:val="clear" w:color="auto" w:fill="auto"/>
            <w:noWrap/>
            <w:vAlign w:val="bottom"/>
          </w:tcPr>
          <w:p w14:paraId="094F33F0"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w:t>
            </w:r>
          </w:p>
        </w:tc>
        <w:tc>
          <w:tcPr>
            <w:tcW w:w="1674" w:type="dxa"/>
          </w:tcPr>
          <w:p w14:paraId="3E884465" w14:textId="77777777" w:rsidR="002E3D9A" w:rsidRPr="00D4244F" w:rsidRDefault="002E3D9A" w:rsidP="00EA2356">
            <w:pPr>
              <w:spacing w:after="0" w:line="240" w:lineRule="auto"/>
              <w:rPr>
                <w:sz w:val="18"/>
                <w:szCs w:val="18"/>
              </w:rPr>
            </w:pPr>
          </w:p>
        </w:tc>
        <w:tc>
          <w:tcPr>
            <w:tcW w:w="779" w:type="dxa"/>
            <w:gridSpan w:val="2"/>
            <w:shd w:val="clear" w:color="auto" w:fill="auto"/>
            <w:noWrap/>
            <w:vAlign w:val="bottom"/>
          </w:tcPr>
          <w:p w14:paraId="0CB4B81A" w14:textId="77777777" w:rsidR="002E3D9A" w:rsidRPr="00F702BD" w:rsidRDefault="002E3D9A" w:rsidP="00EA2356">
            <w:pPr>
              <w:spacing w:after="0" w:line="240" w:lineRule="auto"/>
              <w:rPr>
                <w:sz w:val="20"/>
                <w:szCs w:val="20"/>
              </w:rPr>
            </w:pPr>
            <w:r w:rsidRPr="00F702BD">
              <w:rPr>
                <w:rFonts w:ascii="Calibri" w:eastAsia="Times New Roman" w:hAnsi="Calibri" w:cs="Times New Roman"/>
                <w:sz w:val="20"/>
                <w:szCs w:val="20"/>
                <w:lang w:eastAsia="en-GB"/>
              </w:rPr>
              <w:t> </w:t>
            </w:r>
          </w:p>
        </w:tc>
      </w:tr>
      <w:tr w:rsidR="002E3D9A" w:rsidRPr="00F702BD" w14:paraId="548F3389" w14:textId="77777777" w:rsidTr="00EA2356">
        <w:trPr>
          <w:trHeight w:val="300"/>
        </w:trPr>
        <w:tc>
          <w:tcPr>
            <w:tcW w:w="4395" w:type="dxa"/>
            <w:shd w:val="clear" w:color="auto" w:fill="auto"/>
            <w:noWrap/>
            <w:vAlign w:val="bottom"/>
          </w:tcPr>
          <w:p w14:paraId="1547569D"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Medical remission</w:t>
            </w:r>
            <w:r w:rsidRPr="00905CCC">
              <w:rPr>
                <w:sz w:val="20"/>
                <w:szCs w:val="20"/>
                <w:vertAlign w:val="superscript"/>
              </w:rPr>
              <w:t>e</w:t>
            </w:r>
          </w:p>
        </w:tc>
        <w:tc>
          <w:tcPr>
            <w:tcW w:w="773" w:type="dxa"/>
            <w:shd w:val="clear" w:color="auto" w:fill="auto"/>
            <w:noWrap/>
            <w:vAlign w:val="bottom"/>
          </w:tcPr>
          <w:p w14:paraId="6CD292BC"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0.89</w:t>
            </w:r>
          </w:p>
        </w:tc>
        <w:tc>
          <w:tcPr>
            <w:tcW w:w="913" w:type="dxa"/>
            <w:shd w:val="clear" w:color="auto" w:fill="auto"/>
            <w:noWrap/>
            <w:vAlign w:val="bottom"/>
          </w:tcPr>
          <w:p w14:paraId="65541DF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0.67</w:t>
            </w:r>
          </w:p>
        </w:tc>
        <w:tc>
          <w:tcPr>
            <w:tcW w:w="975" w:type="dxa"/>
            <w:shd w:val="clear" w:color="auto" w:fill="auto"/>
            <w:noWrap/>
            <w:vAlign w:val="bottom"/>
          </w:tcPr>
          <w:p w14:paraId="670FA87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w:t>
            </w:r>
          </w:p>
        </w:tc>
        <w:tc>
          <w:tcPr>
            <w:tcW w:w="1674" w:type="dxa"/>
          </w:tcPr>
          <w:p w14:paraId="5EBE9520" w14:textId="77777777" w:rsidR="002E3D9A" w:rsidRPr="00D4244F" w:rsidRDefault="002E3D9A" w:rsidP="00EA2356">
            <w:pPr>
              <w:spacing w:after="0" w:line="240" w:lineRule="auto"/>
              <w:rPr>
                <w:sz w:val="18"/>
                <w:szCs w:val="18"/>
              </w:rPr>
            </w:pPr>
            <w:r w:rsidRPr="00D4244F">
              <w:rPr>
                <w:sz w:val="18"/>
                <w:szCs w:val="18"/>
              </w:rPr>
              <w:t>Beta(11,1)</w:t>
            </w:r>
          </w:p>
        </w:tc>
        <w:tc>
          <w:tcPr>
            <w:tcW w:w="779" w:type="dxa"/>
            <w:gridSpan w:val="2"/>
            <w:shd w:val="clear" w:color="auto" w:fill="auto"/>
            <w:noWrap/>
            <w:vAlign w:val="bottom"/>
          </w:tcPr>
          <w:p w14:paraId="506BD9CB" w14:textId="77777777" w:rsidR="002E3D9A" w:rsidRPr="00F702BD" w:rsidRDefault="002E3D9A" w:rsidP="00EA2356">
            <w:pPr>
              <w:spacing w:after="0" w:line="240" w:lineRule="auto"/>
              <w:rPr>
                <w:sz w:val="20"/>
                <w:szCs w:val="20"/>
              </w:rPr>
            </w:pPr>
            <w:r>
              <w:rPr>
                <w:noProof/>
                <w:sz w:val="20"/>
                <w:szCs w:val="20"/>
              </w:rPr>
              <w:t>[</w:t>
            </w:r>
            <w:r w:rsidRPr="00F702BD">
              <w:rPr>
                <w:noProof/>
                <w:sz w:val="20"/>
                <w:szCs w:val="20"/>
              </w:rPr>
              <w:t>31,32</w:t>
            </w:r>
            <w:r>
              <w:rPr>
                <w:noProof/>
                <w:sz w:val="20"/>
                <w:szCs w:val="20"/>
              </w:rPr>
              <w:t>]</w:t>
            </w:r>
          </w:p>
        </w:tc>
      </w:tr>
      <w:tr w:rsidR="002E3D9A" w:rsidRPr="00F702BD" w14:paraId="6745951A" w14:textId="77777777" w:rsidTr="00EA2356">
        <w:trPr>
          <w:trHeight w:val="300"/>
        </w:trPr>
        <w:tc>
          <w:tcPr>
            <w:tcW w:w="4395" w:type="dxa"/>
            <w:shd w:val="clear" w:color="auto" w:fill="auto"/>
            <w:noWrap/>
            <w:vAlign w:val="bottom"/>
          </w:tcPr>
          <w:p w14:paraId="14B8F31A"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Mild disease</w:t>
            </w:r>
            <w:r w:rsidRPr="00905CCC">
              <w:rPr>
                <w:sz w:val="20"/>
                <w:szCs w:val="20"/>
                <w:vertAlign w:val="superscript"/>
              </w:rPr>
              <w:t>e</w:t>
            </w:r>
          </w:p>
        </w:tc>
        <w:tc>
          <w:tcPr>
            <w:tcW w:w="773" w:type="dxa"/>
            <w:shd w:val="clear" w:color="auto" w:fill="auto"/>
            <w:noWrap/>
            <w:vAlign w:val="bottom"/>
          </w:tcPr>
          <w:p w14:paraId="1652E83E"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0.81</w:t>
            </w:r>
          </w:p>
        </w:tc>
        <w:tc>
          <w:tcPr>
            <w:tcW w:w="913" w:type="dxa"/>
            <w:shd w:val="clear" w:color="auto" w:fill="auto"/>
            <w:noWrap/>
            <w:vAlign w:val="bottom"/>
          </w:tcPr>
          <w:p w14:paraId="05A4440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0.61</w:t>
            </w:r>
          </w:p>
        </w:tc>
        <w:tc>
          <w:tcPr>
            <w:tcW w:w="975" w:type="dxa"/>
            <w:shd w:val="clear" w:color="auto" w:fill="auto"/>
            <w:noWrap/>
            <w:vAlign w:val="bottom"/>
          </w:tcPr>
          <w:p w14:paraId="09D3830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w:t>
            </w:r>
          </w:p>
        </w:tc>
        <w:tc>
          <w:tcPr>
            <w:tcW w:w="1674" w:type="dxa"/>
          </w:tcPr>
          <w:p w14:paraId="1256C1B8" w14:textId="77777777" w:rsidR="002E3D9A" w:rsidRPr="00D4244F" w:rsidRDefault="002E3D9A" w:rsidP="00EA2356">
            <w:pPr>
              <w:spacing w:after="0" w:line="240" w:lineRule="auto"/>
              <w:rPr>
                <w:sz w:val="18"/>
                <w:szCs w:val="18"/>
              </w:rPr>
            </w:pPr>
            <w:r w:rsidRPr="00D4244F">
              <w:rPr>
                <w:sz w:val="18"/>
                <w:szCs w:val="18"/>
              </w:rPr>
              <w:t>Beta(12,3)</w:t>
            </w:r>
          </w:p>
        </w:tc>
        <w:tc>
          <w:tcPr>
            <w:tcW w:w="779" w:type="dxa"/>
            <w:gridSpan w:val="2"/>
            <w:shd w:val="clear" w:color="auto" w:fill="auto"/>
            <w:noWrap/>
            <w:vAlign w:val="bottom"/>
          </w:tcPr>
          <w:p w14:paraId="25527455" w14:textId="77777777" w:rsidR="002E3D9A" w:rsidRPr="00F702BD" w:rsidRDefault="002E3D9A" w:rsidP="00EA2356">
            <w:pPr>
              <w:spacing w:after="0" w:line="240" w:lineRule="auto"/>
              <w:rPr>
                <w:sz w:val="20"/>
                <w:szCs w:val="20"/>
              </w:rPr>
            </w:pPr>
            <w:r>
              <w:rPr>
                <w:noProof/>
                <w:sz w:val="20"/>
                <w:szCs w:val="20"/>
              </w:rPr>
              <w:t>[</w:t>
            </w:r>
            <w:r w:rsidRPr="00F702BD">
              <w:rPr>
                <w:noProof/>
                <w:sz w:val="20"/>
                <w:szCs w:val="20"/>
              </w:rPr>
              <w:t>31,32</w:t>
            </w:r>
            <w:r>
              <w:rPr>
                <w:noProof/>
                <w:sz w:val="20"/>
                <w:szCs w:val="20"/>
              </w:rPr>
              <w:t>]</w:t>
            </w:r>
          </w:p>
        </w:tc>
      </w:tr>
      <w:tr w:rsidR="002E3D9A" w:rsidRPr="00F702BD" w14:paraId="012DE658" w14:textId="77777777" w:rsidTr="00EA2356">
        <w:trPr>
          <w:trHeight w:val="300"/>
        </w:trPr>
        <w:tc>
          <w:tcPr>
            <w:tcW w:w="4395" w:type="dxa"/>
            <w:shd w:val="clear" w:color="auto" w:fill="auto"/>
            <w:noWrap/>
            <w:vAlign w:val="bottom"/>
          </w:tcPr>
          <w:p w14:paraId="7375F76F"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Moderate-to-severe disease</w:t>
            </w:r>
            <w:r w:rsidRPr="00905CCC">
              <w:rPr>
                <w:sz w:val="20"/>
                <w:szCs w:val="20"/>
                <w:vertAlign w:val="superscript"/>
              </w:rPr>
              <w:t>e</w:t>
            </w:r>
          </w:p>
        </w:tc>
        <w:tc>
          <w:tcPr>
            <w:tcW w:w="773" w:type="dxa"/>
            <w:shd w:val="clear" w:color="auto" w:fill="auto"/>
            <w:noWrap/>
            <w:vAlign w:val="bottom"/>
          </w:tcPr>
          <w:p w14:paraId="0FA25A3C"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0.74</w:t>
            </w:r>
          </w:p>
        </w:tc>
        <w:tc>
          <w:tcPr>
            <w:tcW w:w="913" w:type="dxa"/>
            <w:shd w:val="clear" w:color="auto" w:fill="auto"/>
            <w:noWrap/>
            <w:vAlign w:val="bottom"/>
          </w:tcPr>
          <w:p w14:paraId="626C5B7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0.56</w:t>
            </w:r>
          </w:p>
        </w:tc>
        <w:tc>
          <w:tcPr>
            <w:tcW w:w="975" w:type="dxa"/>
            <w:shd w:val="clear" w:color="auto" w:fill="auto"/>
            <w:noWrap/>
            <w:vAlign w:val="bottom"/>
          </w:tcPr>
          <w:p w14:paraId="71FE538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0.93</w:t>
            </w:r>
          </w:p>
        </w:tc>
        <w:tc>
          <w:tcPr>
            <w:tcW w:w="1674" w:type="dxa"/>
          </w:tcPr>
          <w:p w14:paraId="44D82835" w14:textId="77777777" w:rsidR="002E3D9A" w:rsidRPr="00D4244F" w:rsidRDefault="002E3D9A" w:rsidP="00EA2356">
            <w:pPr>
              <w:spacing w:after="0" w:line="240" w:lineRule="auto"/>
              <w:rPr>
                <w:sz w:val="18"/>
                <w:szCs w:val="18"/>
              </w:rPr>
            </w:pPr>
            <w:r w:rsidRPr="00D4244F">
              <w:rPr>
                <w:sz w:val="18"/>
                <w:szCs w:val="18"/>
              </w:rPr>
              <w:t>Beta(15,5)</w:t>
            </w:r>
          </w:p>
        </w:tc>
        <w:tc>
          <w:tcPr>
            <w:tcW w:w="779" w:type="dxa"/>
            <w:gridSpan w:val="2"/>
            <w:shd w:val="clear" w:color="auto" w:fill="auto"/>
            <w:noWrap/>
            <w:vAlign w:val="bottom"/>
          </w:tcPr>
          <w:p w14:paraId="338B46F5" w14:textId="77777777" w:rsidR="002E3D9A" w:rsidRPr="00F702BD" w:rsidRDefault="002E3D9A" w:rsidP="00EA2356">
            <w:pPr>
              <w:spacing w:after="0" w:line="240" w:lineRule="auto"/>
              <w:rPr>
                <w:sz w:val="20"/>
                <w:szCs w:val="20"/>
              </w:rPr>
            </w:pPr>
            <w:r>
              <w:rPr>
                <w:noProof/>
                <w:sz w:val="20"/>
                <w:szCs w:val="20"/>
              </w:rPr>
              <w:t>[</w:t>
            </w:r>
            <w:r w:rsidRPr="00F702BD">
              <w:rPr>
                <w:noProof/>
                <w:sz w:val="20"/>
                <w:szCs w:val="20"/>
              </w:rPr>
              <w:t>31,32</w:t>
            </w:r>
            <w:r>
              <w:rPr>
                <w:noProof/>
                <w:sz w:val="20"/>
                <w:szCs w:val="20"/>
              </w:rPr>
              <w:t>]</w:t>
            </w:r>
          </w:p>
        </w:tc>
      </w:tr>
      <w:tr w:rsidR="002E3D9A" w:rsidRPr="00F702BD" w14:paraId="3D7592BA" w14:textId="77777777" w:rsidTr="00EA2356">
        <w:trPr>
          <w:trHeight w:val="300"/>
        </w:trPr>
        <w:tc>
          <w:tcPr>
            <w:tcW w:w="4395" w:type="dxa"/>
            <w:shd w:val="clear" w:color="auto" w:fill="auto"/>
            <w:noWrap/>
            <w:vAlign w:val="bottom"/>
          </w:tcPr>
          <w:p w14:paraId="58EA806E"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Surgery</w:t>
            </w:r>
            <w:r w:rsidRPr="00905CCC">
              <w:rPr>
                <w:sz w:val="20"/>
                <w:szCs w:val="20"/>
                <w:vertAlign w:val="superscript"/>
              </w:rPr>
              <w:t>e</w:t>
            </w:r>
          </w:p>
        </w:tc>
        <w:tc>
          <w:tcPr>
            <w:tcW w:w="773" w:type="dxa"/>
            <w:shd w:val="clear" w:color="auto" w:fill="auto"/>
            <w:noWrap/>
            <w:vAlign w:val="bottom"/>
          </w:tcPr>
          <w:p w14:paraId="374DDA39"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0.4</w:t>
            </w:r>
          </w:p>
        </w:tc>
        <w:tc>
          <w:tcPr>
            <w:tcW w:w="913" w:type="dxa"/>
            <w:shd w:val="clear" w:color="auto" w:fill="auto"/>
            <w:noWrap/>
            <w:vAlign w:val="bottom"/>
          </w:tcPr>
          <w:p w14:paraId="40B98EF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0.3</w:t>
            </w:r>
          </w:p>
        </w:tc>
        <w:tc>
          <w:tcPr>
            <w:tcW w:w="975" w:type="dxa"/>
            <w:shd w:val="clear" w:color="auto" w:fill="auto"/>
            <w:noWrap/>
            <w:vAlign w:val="bottom"/>
          </w:tcPr>
          <w:p w14:paraId="29AEF798"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0.5</w:t>
            </w:r>
          </w:p>
        </w:tc>
        <w:tc>
          <w:tcPr>
            <w:tcW w:w="1674" w:type="dxa"/>
          </w:tcPr>
          <w:p w14:paraId="385D55D7" w14:textId="77777777" w:rsidR="002E3D9A" w:rsidRPr="00D4244F" w:rsidRDefault="002E3D9A" w:rsidP="00EA2356">
            <w:pPr>
              <w:spacing w:after="0" w:line="240" w:lineRule="auto"/>
              <w:rPr>
                <w:sz w:val="18"/>
                <w:szCs w:val="18"/>
              </w:rPr>
            </w:pPr>
            <w:r w:rsidRPr="00D4244F">
              <w:rPr>
                <w:sz w:val="18"/>
                <w:szCs w:val="18"/>
              </w:rPr>
              <w:t>Beta(36,55)</w:t>
            </w:r>
          </w:p>
        </w:tc>
        <w:tc>
          <w:tcPr>
            <w:tcW w:w="779" w:type="dxa"/>
            <w:gridSpan w:val="2"/>
            <w:shd w:val="clear" w:color="auto" w:fill="auto"/>
            <w:noWrap/>
            <w:vAlign w:val="bottom"/>
          </w:tcPr>
          <w:p w14:paraId="6FB2E7DA" w14:textId="77777777" w:rsidR="002E3D9A" w:rsidRPr="00F702BD" w:rsidRDefault="002E3D9A" w:rsidP="00EA2356">
            <w:pPr>
              <w:spacing w:after="0" w:line="240" w:lineRule="auto"/>
              <w:rPr>
                <w:sz w:val="20"/>
                <w:szCs w:val="20"/>
              </w:rPr>
            </w:pPr>
            <w:r>
              <w:rPr>
                <w:noProof/>
                <w:sz w:val="20"/>
                <w:szCs w:val="20"/>
              </w:rPr>
              <w:t>[</w:t>
            </w:r>
            <w:r w:rsidRPr="00F702BD">
              <w:rPr>
                <w:noProof/>
                <w:sz w:val="20"/>
                <w:szCs w:val="20"/>
              </w:rPr>
              <w:t>31,32</w:t>
            </w:r>
            <w:r>
              <w:rPr>
                <w:noProof/>
                <w:sz w:val="20"/>
                <w:szCs w:val="20"/>
              </w:rPr>
              <w:t>]</w:t>
            </w:r>
          </w:p>
        </w:tc>
      </w:tr>
      <w:tr w:rsidR="002E3D9A" w:rsidRPr="00F702BD" w14:paraId="5274B520" w14:textId="77777777" w:rsidTr="00EA2356">
        <w:trPr>
          <w:trHeight w:val="300"/>
        </w:trPr>
        <w:tc>
          <w:tcPr>
            <w:tcW w:w="4395" w:type="dxa"/>
            <w:shd w:val="clear" w:color="auto" w:fill="auto"/>
            <w:noWrap/>
            <w:vAlign w:val="bottom"/>
          </w:tcPr>
          <w:p w14:paraId="628ABF36"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Surgical remission</w:t>
            </w:r>
            <w:r w:rsidRPr="00905CCC">
              <w:rPr>
                <w:sz w:val="20"/>
                <w:szCs w:val="20"/>
                <w:vertAlign w:val="superscript"/>
              </w:rPr>
              <w:t>e</w:t>
            </w:r>
          </w:p>
        </w:tc>
        <w:tc>
          <w:tcPr>
            <w:tcW w:w="773" w:type="dxa"/>
            <w:shd w:val="clear" w:color="auto" w:fill="auto"/>
            <w:noWrap/>
            <w:vAlign w:val="bottom"/>
          </w:tcPr>
          <w:p w14:paraId="7FD66C0E"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w:t>
            </w:r>
          </w:p>
        </w:tc>
        <w:tc>
          <w:tcPr>
            <w:tcW w:w="913" w:type="dxa"/>
            <w:shd w:val="clear" w:color="auto" w:fill="auto"/>
            <w:noWrap/>
            <w:vAlign w:val="bottom"/>
          </w:tcPr>
          <w:p w14:paraId="5FFC5570"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0.6</w:t>
            </w:r>
          </w:p>
        </w:tc>
        <w:tc>
          <w:tcPr>
            <w:tcW w:w="975" w:type="dxa"/>
            <w:shd w:val="clear" w:color="auto" w:fill="auto"/>
            <w:noWrap/>
            <w:vAlign w:val="bottom"/>
          </w:tcPr>
          <w:p w14:paraId="6E66895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w:t>
            </w:r>
          </w:p>
        </w:tc>
        <w:tc>
          <w:tcPr>
            <w:tcW w:w="1674" w:type="dxa"/>
          </w:tcPr>
          <w:p w14:paraId="6EB0D9A0" w14:textId="77777777" w:rsidR="002E3D9A" w:rsidRPr="00D4244F" w:rsidRDefault="002E3D9A" w:rsidP="00EA2356">
            <w:pPr>
              <w:spacing w:after="0" w:line="240" w:lineRule="auto"/>
              <w:rPr>
                <w:sz w:val="18"/>
                <w:szCs w:val="18"/>
              </w:rPr>
            </w:pPr>
            <w:r w:rsidRPr="00D4244F">
              <w:rPr>
                <w:sz w:val="18"/>
                <w:szCs w:val="18"/>
              </w:rPr>
              <w:t>Beta(11,3)</w:t>
            </w:r>
          </w:p>
        </w:tc>
        <w:tc>
          <w:tcPr>
            <w:tcW w:w="779" w:type="dxa"/>
            <w:gridSpan w:val="2"/>
            <w:shd w:val="clear" w:color="auto" w:fill="auto"/>
            <w:noWrap/>
            <w:vAlign w:val="bottom"/>
          </w:tcPr>
          <w:p w14:paraId="1199C058" w14:textId="77777777" w:rsidR="002E3D9A" w:rsidRPr="00F702BD" w:rsidRDefault="002E3D9A" w:rsidP="00EA2356">
            <w:pPr>
              <w:spacing w:after="0" w:line="240" w:lineRule="auto"/>
              <w:rPr>
                <w:sz w:val="20"/>
                <w:szCs w:val="20"/>
              </w:rPr>
            </w:pPr>
            <w:r>
              <w:rPr>
                <w:noProof/>
                <w:sz w:val="20"/>
                <w:szCs w:val="20"/>
              </w:rPr>
              <w:t>[</w:t>
            </w:r>
            <w:r w:rsidRPr="00F702BD">
              <w:rPr>
                <w:noProof/>
                <w:sz w:val="20"/>
                <w:szCs w:val="20"/>
              </w:rPr>
              <w:t>31,32</w:t>
            </w:r>
            <w:r>
              <w:rPr>
                <w:noProof/>
                <w:sz w:val="20"/>
                <w:szCs w:val="20"/>
              </w:rPr>
              <w:t>]</w:t>
            </w:r>
          </w:p>
        </w:tc>
      </w:tr>
      <w:tr w:rsidR="002E3D9A" w:rsidRPr="00F702BD" w14:paraId="49652D9C" w14:textId="77777777" w:rsidTr="00EA2356">
        <w:trPr>
          <w:trHeight w:val="300"/>
        </w:trPr>
        <w:tc>
          <w:tcPr>
            <w:tcW w:w="4395" w:type="dxa"/>
            <w:shd w:val="clear" w:color="auto" w:fill="auto"/>
            <w:noWrap/>
            <w:vAlign w:val="bottom"/>
          </w:tcPr>
          <w:p w14:paraId="62557F90"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Severe infusion reaction</w:t>
            </w:r>
            <w:r w:rsidRPr="00905CCC">
              <w:rPr>
                <w:sz w:val="20"/>
                <w:szCs w:val="20"/>
                <w:vertAlign w:val="superscript"/>
              </w:rPr>
              <w:t>e</w:t>
            </w:r>
          </w:p>
        </w:tc>
        <w:tc>
          <w:tcPr>
            <w:tcW w:w="773" w:type="dxa"/>
            <w:shd w:val="clear" w:color="auto" w:fill="auto"/>
            <w:noWrap/>
            <w:vAlign w:val="bottom"/>
          </w:tcPr>
          <w:p w14:paraId="050BA995"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0.4</w:t>
            </w:r>
          </w:p>
        </w:tc>
        <w:tc>
          <w:tcPr>
            <w:tcW w:w="913" w:type="dxa"/>
            <w:shd w:val="clear" w:color="auto" w:fill="auto"/>
            <w:noWrap/>
            <w:vAlign w:val="bottom"/>
          </w:tcPr>
          <w:p w14:paraId="2B756CA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0.3</w:t>
            </w:r>
          </w:p>
        </w:tc>
        <w:tc>
          <w:tcPr>
            <w:tcW w:w="975" w:type="dxa"/>
            <w:shd w:val="clear" w:color="auto" w:fill="auto"/>
            <w:noWrap/>
            <w:vAlign w:val="bottom"/>
          </w:tcPr>
          <w:p w14:paraId="52D727D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0.5</w:t>
            </w:r>
          </w:p>
        </w:tc>
        <w:tc>
          <w:tcPr>
            <w:tcW w:w="1674" w:type="dxa"/>
          </w:tcPr>
          <w:p w14:paraId="2320AB77" w14:textId="77777777" w:rsidR="002E3D9A" w:rsidRPr="00D4244F" w:rsidRDefault="002E3D9A" w:rsidP="00EA2356">
            <w:pPr>
              <w:spacing w:after="0" w:line="240" w:lineRule="auto"/>
              <w:rPr>
                <w:sz w:val="18"/>
                <w:szCs w:val="18"/>
              </w:rPr>
            </w:pPr>
            <w:r w:rsidRPr="00D4244F">
              <w:rPr>
                <w:sz w:val="18"/>
                <w:szCs w:val="18"/>
              </w:rPr>
              <w:t>Beta(36,55)</w:t>
            </w:r>
          </w:p>
        </w:tc>
        <w:tc>
          <w:tcPr>
            <w:tcW w:w="779" w:type="dxa"/>
            <w:gridSpan w:val="2"/>
            <w:shd w:val="clear" w:color="auto" w:fill="auto"/>
            <w:noWrap/>
            <w:vAlign w:val="bottom"/>
          </w:tcPr>
          <w:p w14:paraId="375EC2D5" w14:textId="77777777" w:rsidR="002E3D9A" w:rsidRPr="00F702BD" w:rsidRDefault="002E3D9A" w:rsidP="00EA2356">
            <w:pPr>
              <w:spacing w:after="0" w:line="240" w:lineRule="auto"/>
              <w:rPr>
                <w:sz w:val="20"/>
                <w:szCs w:val="20"/>
              </w:rPr>
            </w:pPr>
            <w:r>
              <w:rPr>
                <w:noProof/>
                <w:sz w:val="20"/>
                <w:szCs w:val="20"/>
              </w:rPr>
              <w:t>[</w:t>
            </w:r>
            <w:r w:rsidRPr="00F702BD">
              <w:rPr>
                <w:noProof/>
                <w:sz w:val="20"/>
                <w:szCs w:val="20"/>
              </w:rPr>
              <w:t>31,32</w:t>
            </w:r>
            <w:r>
              <w:rPr>
                <w:noProof/>
                <w:sz w:val="20"/>
                <w:szCs w:val="20"/>
              </w:rPr>
              <w:t>]</w:t>
            </w:r>
          </w:p>
        </w:tc>
      </w:tr>
      <w:tr w:rsidR="002E3D9A" w:rsidRPr="00F702BD" w14:paraId="4A5FC7F1" w14:textId="77777777" w:rsidTr="00EA2356">
        <w:trPr>
          <w:trHeight w:val="300"/>
        </w:trPr>
        <w:tc>
          <w:tcPr>
            <w:tcW w:w="4395" w:type="dxa"/>
            <w:shd w:val="clear" w:color="auto" w:fill="auto"/>
            <w:noWrap/>
            <w:vAlign w:val="bottom"/>
          </w:tcPr>
          <w:p w14:paraId="49939768"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Utility decrement per acute or delayed IR</w:t>
            </w:r>
            <w:r w:rsidRPr="00905CCC">
              <w:rPr>
                <w:sz w:val="20"/>
                <w:szCs w:val="20"/>
                <w:vertAlign w:val="superscript"/>
              </w:rPr>
              <w:t>c</w:t>
            </w:r>
          </w:p>
        </w:tc>
        <w:tc>
          <w:tcPr>
            <w:tcW w:w="773" w:type="dxa"/>
            <w:shd w:val="clear" w:color="auto" w:fill="auto"/>
            <w:noWrap/>
            <w:vAlign w:val="bottom"/>
          </w:tcPr>
          <w:p w14:paraId="3E24538A"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0.01</w:t>
            </w:r>
          </w:p>
        </w:tc>
        <w:tc>
          <w:tcPr>
            <w:tcW w:w="913" w:type="dxa"/>
            <w:shd w:val="clear" w:color="auto" w:fill="auto"/>
            <w:noWrap/>
            <w:vAlign w:val="bottom"/>
          </w:tcPr>
          <w:p w14:paraId="12A5980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w:t>
            </w:r>
          </w:p>
        </w:tc>
        <w:tc>
          <w:tcPr>
            <w:tcW w:w="975" w:type="dxa"/>
            <w:shd w:val="clear" w:color="auto" w:fill="auto"/>
            <w:noWrap/>
            <w:vAlign w:val="bottom"/>
          </w:tcPr>
          <w:p w14:paraId="75C6BFB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0.1</w:t>
            </w:r>
          </w:p>
        </w:tc>
        <w:tc>
          <w:tcPr>
            <w:tcW w:w="1674" w:type="dxa"/>
          </w:tcPr>
          <w:p w14:paraId="64B530D5" w14:textId="77777777" w:rsidR="002E3D9A" w:rsidRPr="00D4244F" w:rsidRDefault="002E3D9A" w:rsidP="00EA2356">
            <w:pPr>
              <w:spacing w:after="0" w:line="240" w:lineRule="auto"/>
              <w:rPr>
                <w:sz w:val="18"/>
                <w:szCs w:val="18"/>
              </w:rPr>
            </w:pPr>
            <w:r w:rsidRPr="00D4244F">
              <w:rPr>
                <w:sz w:val="18"/>
                <w:szCs w:val="18"/>
              </w:rPr>
              <w:t>Beta(0.1,14)</w:t>
            </w:r>
          </w:p>
        </w:tc>
        <w:tc>
          <w:tcPr>
            <w:tcW w:w="779" w:type="dxa"/>
            <w:gridSpan w:val="2"/>
            <w:shd w:val="clear" w:color="auto" w:fill="auto"/>
            <w:noWrap/>
            <w:vAlign w:val="bottom"/>
          </w:tcPr>
          <w:p w14:paraId="161F507F" w14:textId="77777777" w:rsidR="002E3D9A" w:rsidRPr="00F702BD" w:rsidRDefault="002E3D9A" w:rsidP="00EA2356">
            <w:pPr>
              <w:spacing w:after="0" w:line="240" w:lineRule="auto"/>
              <w:rPr>
                <w:sz w:val="20"/>
                <w:szCs w:val="20"/>
              </w:rPr>
            </w:pPr>
            <w:r>
              <w:rPr>
                <w:noProof/>
                <w:sz w:val="20"/>
                <w:szCs w:val="20"/>
              </w:rPr>
              <w:t>[</w:t>
            </w:r>
            <w:r w:rsidRPr="00F702BD">
              <w:rPr>
                <w:noProof/>
                <w:sz w:val="20"/>
                <w:szCs w:val="20"/>
              </w:rPr>
              <w:t>33</w:t>
            </w:r>
            <w:r>
              <w:rPr>
                <w:noProof/>
                <w:sz w:val="20"/>
                <w:szCs w:val="20"/>
              </w:rPr>
              <w:t>]</w:t>
            </w:r>
          </w:p>
        </w:tc>
      </w:tr>
      <w:tr w:rsidR="002E3D9A" w:rsidRPr="00F702BD" w14:paraId="19213B0E" w14:textId="77777777" w:rsidTr="00EA2356">
        <w:trPr>
          <w:trHeight w:val="300"/>
        </w:trPr>
        <w:tc>
          <w:tcPr>
            <w:tcW w:w="4395" w:type="dxa"/>
            <w:shd w:val="clear" w:color="auto" w:fill="auto"/>
            <w:noWrap/>
            <w:vAlign w:val="bottom"/>
          </w:tcPr>
          <w:p w14:paraId="57863E0B"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Death</w:t>
            </w:r>
          </w:p>
        </w:tc>
        <w:tc>
          <w:tcPr>
            <w:tcW w:w="773" w:type="dxa"/>
            <w:shd w:val="clear" w:color="auto" w:fill="auto"/>
            <w:noWrap/>
            <w:vAlign w:val="bottom"/>
          </w:tcPr>
          <w:p w14:paraId="54070F80"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w:t>
            </w:r>
          </w:p>
        </w:tc>
        <w:tc>
          <w:tcPr>
            <w:tcW w:w="913" w:type="dxa"/>
            <w:shd w:val="clear" w:color="auto" w:fill="auto"/>
            <w:noWrap/>
          </w:tcPr>
          <w:p w14:paraId="2DEA83B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975" w:type="dxa"/>
            <w:shd w:val="clear" w:color="auto" w:fill="auto"/>
            <w:noWrap/>
          </w:tcPr>
          <w:p w14:paraId="18CC7BC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1674" w:type="dxa"/>
          </w:tcPr>
          <w:p w14:paraId="77B5F2EF" w14:textId="77777777" w:rsidR="002E3D9A" w:rsidRPr="00D4244F" w:rsidRDefault="002E3D9A" w:rsidP="00EA2356">
            <w:pPr>
              <w:spacing w:after="0" w:line="240" w:lineRule="auto"/>
              <w:rPr>
                <w:sz w:val="18"/>
                <w:szCs w:val="18"/>
              </w:rPr>
            </w:pPr>
          </w:p>
        </w:tc>
        <w:tc>
          <w:tcPr>
            <w:tcW w:w="779" w:type="dxa"/>
            <w:gridSpan w:val="2"/>
            <w:shd w:val="clear" w:color="auto" w:fill="auto"/>
            <w:noWrap/>
            <w:vAlign w:val="bottom"/>
          </w:tcPr>
          <w:p w14:paraId="1A35B303" w14:textId="77777777" w:rsidR="002E3D9A" w:rsidRPr="00F702BD" w:rsidRDefault="002E3D9A" w:rsidP="00EA2356">
            <w:pPr>
              <w:spacing w:after="0" w:line="240" w:lineRule="auto"/>
              <w:rPr>
                <w:sz w:val="20"/>
                <w:szCs w:val="20"/>
              </w:rPr>
            </w:pPr>
          </w:p>
        </w:tc>
      </w:tr>
      <w:tr w:rsidR="002E3D9A" w:rsidRPr="00F702BD" w14:paraId="5D84A959" w14:textId="77777777" w:rsidTr="00EA2356">
        <w:trPr>
          <w:trHeight w:val="300"/>
        </w:trPr>
        <w:tc>
          <w:tcPr>
            <w:tcW w:w="4395" w:type="dxa"/>
            <w:shd w:val="clear" w:color="auto" w:fill="auto"/>
            <w:noWrap/>
            <w:vAlign w:val="bottom"/>
          </w:tcPr>
          <w:p w14:paraId="2AE34E1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b/>
                <w:bCs/>
                <w:sz w:val="20"/>
                <w:szCs w:val="20"/>
                <w:lang w:eastAsia="en-GB"/>
              </w:rPr>
              <w:t>Costs (GBP)</w:t>
            </w:r>
          </w:p>
        </w:tc>
        <w:tc>
          <w:tcPr>
            <w:tcW w:w="773" w:type="dxa"/>
            <w:shd w:val="clear" w:color="auto" w:fill="auto"/>
            <w:noWrap/>
            <w:vAlign w:val="bottom"/>
          </w:tcPr>
          <w:p w14:paraId="6D36D50A"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w:t>
            </w:r>
          </w:p>
        </w:tc>
        <w:tc>
          <w:tcPr>
            <w:tcW w:w="913" w:type="dxa"/>
            <w:shd w:val="clear" w:color="auto" w:fill="auto"/>
            <w:noWrap/>
            <w:vAlign w:val="bottom"/>
          </w:tcPr>
          <w:p w14:paraId="6B97CBE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w:t>
            </w:r>
          </w:p>
        </w:tc>
        <w:tc>
          <w:tcPr>
            <w:tcW w:w="975" w:type="dxa"/>
            <w:shd w:val="clear" w:color="auto" w:fill="auto"/>
            <w:noWrap/>
            <w:vAlign w:val="bottom"/>
          </w:tcPr>
          <w:p w14:paraId="3977477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w:t>
            </w:r>
          </w:p>
        </w:tc>
        <w:tc>
          <w:tcPr>
            <w:tcW w:w="1674" w:type="dxa"/>
          </w:tcPr>
          <w:p w14:paraId="2FFEAB7A" w14:textId="77777777" w:rsidR="002E3D9A" w:rsidRPr="00D4244F" w:rsidRDefault="002E3D9A" w:rsidP="00EA2356">
            <w:pPr>
              <w:spacing w:after="0" w:line="240" w:lineRule="auto"/>
              <w:rPr>
                <w:sz w:val="18"/>
                <w:szCs w:val="18"/>
              </w:rPr>
            </w:pPr>
          </w:p>
        </w:tc>
        <w:tc>
          <w:tcPr>
            <w:tcW w:w="779" w:type="dxa"/>
            <w:gridSpan w:val="2"/>
            <w:shd w:val="clear" w:color="auto" w:fill="auto"/>
            <w:noWrap/>
            <w:vAlign w:val="bottom"/>
          </w:tcPr>
          <w:p w14:paraId="58054714" w14:textId="77777777" w:rsidR="002E3D9A" w:rsidRPr="00F702BD" w:rsidRDefault="002E3D9A" w:rsidP="00EA2356">
            <w:pPr>
              <w:spacing w:after="0" w:line="240" w:lineRule="auto"/>
              <w:rPr>
                <w:sz w:val="20"/>
                <w:szCs w:val="20"/>
              </w:rPr>
            </w:pPr>
            <w:r w:rsidRPr="00F702BD">
              <w:rPr>
                <w:rFonts w:ascii="Calibri" w:eastAsia="Times New Roman" w:hAnsi="Calibri" w:cs="Times New Roman"/>
                <w:sz w:val="20"/>
                <w:szCs w:val="20"/>
                <w:lang w:eastAsia="en-GB"/>
              </w:rPr>
              <w:t> </w:t>
            </w:r>
          </w:p>
        </w:tc>
      </w:tr>
      <w:tr w:rsidR="002E3D9A" w:rsidRPr="00F702BD" w14:paraId="5B3F413D" w14:textId="77777777" w:rsidTr="00EA2356">
        <w:trPr>
          <w:trHeight w:val="300"/>
        </w:trPr>
        <w:tc>
          <w:tcPr>
            <w:tcW w:w="4395" w:type="dxa"/>
            <w:shd w:val="clear" w:color="auto" w:fill="auto"/>
            <w:noWrap/>
            <w:vAlign w:val="bottom"/>
          </w:tcPr>
          <w:p w14:paraId="4561A86D"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Inflectra vial cost</w:t>
            </w:r>
            <w:r w:rsidRPr="00905CCC">
              <w:rPr>
                <w:rFonts w:ascii="Calibri" w:eastAsia="Times New Roman" w:hAnsi="Calibri" w:cs="Times New Roman"/>
                <w:sz w:val="20"/>
                <w:szCs w:val="20"/>
                <w:vertAlign w:val="superscript"/>
                <w:lang w:eastAsia="en-GB"/>
              </w:rPr>
              <w:t>f</w:t>
            </w:r>
          </w:p>
        </w:tc>
        <w:tc>
          <w:tcPr>
            <w:tcW w:w="773" w:type="dxa"/>
            <w:shd w:val="clear" w:color="auto" w:fill="auto"/>
            <w:noWrap/>
            <w:vAlign w:val="bottom"/>
          </w:tcPr>
          <w:p w14:paraId="4E87496B"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378</w:t>
            </w:r>
          </w:p>
        </w:tc>
        <w:tc>
          <w:tcPr>
            <w:tcW w:w="913" w:type="dxa"/>
            <w:shd w:val="clear" w:color="auto" w:fill="auto"/>
            <w:noWrap/>
            <w:vAlign w:val="bottom"/>
          </w:tcPr>
          <w:p w14:paraId="3718765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189</w:t>
            </w:r>
          </w:p>
        </w:tc>
        <w:tc>
          <w:tcPr>
            <w:tcW w:w="975" w:type="dxa"/>
            <w:shd w:val="clear" w:color="auto" w:fill="auto"/>
            <w:noWrap/>
            <w:vAlign w:val="bottom"/>
          </w:tcPr>
          <w:p w14:paraId="4080099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420</w:t>
            </w:r>
          </w:p>
        </w:tc>
        <w:tc>
          <w:tcPr>
            <w:tcW w:w="1674" w:type="dxa"/>
          </w:tcPr>
          <w:p w14:paraId="0AFC0175" w14:textId="77777777" w:rsidR="002E3D9A" w:rsidRPr="00D4244F" w:rsidRDefault="002E3D9A" w:rsidP="00EA2356">
            <w:pPr>
              <w:spacing w:after="0" w:line="240" w:lineRule="auto"/>
              <w:rPr>
                <w:sz w:val="18"/>
                <w:szCs w:val="18"/>
              </w:rPr>
            </w:pPr>
            <w:r w:rsidRPr="00D4244F">
              <w:rPr>
                <w:rFonts w:ascii="Calibri" w:eastAsia="Times New Roman" w:hAnsi="Calibri" w:cs="Times New Roman"/>
                <w:sz w:val="18"/>
                <w:szCs w:val="18"/>
                <w:lang w:eastAsia="en-GB"/>
              </w:rPr>
              <w:t>N/A</w:t>
            </w:r>
          </w:p>
        </w:tc>
        <w:tc>
          <w:tcPr>
            <w:tcW w:w="779" w:type="dxa"/>
            <w:gridSpan w:val="2"/>
            <w:shd w:val="clear" w:color="auto" w:fill="auto"/>
            <w:noWrap/>
            <w:vAlign w:val="bottom"/>
          </w:tcPr>
          <w:p w14:paraId="00D089B3" w14:textId="77777777" w:rsidR="002E3D9A" w:rsidRPr="00F702BD" w:rsidRDefault="002E3D9A" w:rsidP="00EA2356">
            <w:pPr>
              <w:spacing w:after="0" w:line="240" w:lineRule="auto"/>
              <w:rPr>
                <w:sz w:val="20"/>
                <w:szCs w:val="20"/>
              </w:rPr>
            </w:pPr>
            <w:r w:rsidRPr="00F702BD">
              <w:rPr>
                <w:rFonts w:ascii="Calibri" w:eastAsia="Times New Roman" w:hAnsi="Calibri" w:cs="Times New Roman"/>
                <w:sz w:val="20"/>
                <w:szCs w:val="20"/>
                <w:lang w:eastAsia="en-GB"/>
              </w:rPr>
              <w:t> </w:t>
            </w:r>
          </w:p>
        </w:tc>
      </w:tr>
      <w:tr w:rsidR="002E3D9A" w:rsidRPr="00F702BD" w14:paraId="61A8A035" w14:textId="77777777" w:rsidTr="00EA2356">
        <w:trPr>
          <w:trHeight w:val="300"/>
        </w:trPr>
        <w:tc>
          <w:tcPr>
            <w:tcW w:w="4395" w:type="dxa"/>
            <w:shd w:val="clear" w:color="auto" w:fill="auto"/>
            <w:noWrap/>
            <w:vAlign w:val="bottom"/>
          </w:tcPr>
          <w:p w14:paraId="24B69742"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Remicade vial cost</w:t>
            </w:r>
          </w:p>
        </w:tc>
        <w:tc>
          <w:tcPr>
            <w:tcW w:w="773" w:type="dxa"/>
            <w:shd w:val="clear" w:color="auto" w:fill="auto"/>
            <w:noWrap/>
            <w:vAlign w:val="bottom"/>
          </w:tcPr>
          <w:p w14:paraId="0BD5729B"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420</w:t>
            </w:r>
          </w:p>
        </w:tc>
        <w:tc>
          <w:tcPr>
            <w:tcW w:w="913" w:type="dxa"/>
            <w:shd w:val="clear" w:color="auto" w:fill="auto"/>
            <w:noWrap/>
            <w:vAlign w:val="bottom"/>
          </w:tcPr>
          <w:p w14:paraId="169A5D8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975" w:type="dxa"/>
            <w:shd w:val="clear" w:color="auto" w:fill="auto"/>
            <w:noWrap/>
            <w:vAlign w:val="bottom"/>
          </w:tcPr>
          <w:p w14:paraId="3B03E1B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1674" w:type="dxa"/>
            <w:vAlign w:val="bottom"/>
          </w:tcPr>
          <w:p w14:paraId="1EF7B84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779" w:type="dxa"/>
            <w:gridSpan w:val="2"/>
            <w:shd w:val="clear" w:color="auto" w:fill="auto"/>
            <w:noWrap/>
            <w:vAlign w:val="bottom"/>
          </w:tcPr>
          <w:p w14:paraId="20651A24" w14:textId="77777777" w:rsidR="002E3D9A" w:rsidRPr="00F702BD" w:rsidRDefault="002E3D9A" w:rsidP="00EA2356">
            <w:pPr>
              <w:spacing w:after="0" w:line="240" w:lineRule="auto"/>
              <w:rPr>
                <w:sz w:val="20"/>
                <w:szCs w:val="20"/>
              </w:rPr>
            </w:pPr>
            <w:r>
              <w:rPr>
                <w:noProof/>
                <w:sz w:val="20"/>
                <w:szCs w:val="20"/>
              </w:rPr>
              <w:t>[</w:t>
            </w:r>
            <w:r w:rsidRPr="00F702BD">
              <w:rPr>
                <w:noProof/>
                <w:sz w:val="20"/>
                <w:szCs w:val="20"/>
              </w:rPr>
              <w:t>37</w:t>
            </w:r>
            <w:r>
              <w:rPr>
                <w:noProof/>
                <w:sz w:val="20"/>
                <w:szCs w:val="20"/>
              </w:rPr>
              <w:t>]</w:t>
            </w:r>
          </w:p>
        </w:tc>
      </w:tr>
      <w:tr w:rsidR="002E3D9A" w:rsidRPr="00F702BD" w14:paraId="213793D6" w14:textId="77777777" w:rsidTr="00EA2356">
        <w:trPr>
          <w:trHeight w:val="300"/>
        </w:trPr>
        <w:tc>
          <w:tcPr>
            <w:tcW w:w="4395" w:type="dxa"/>
            <w:shd w:val="clear" w:color="auto" w:fill="auto"/>
            <w:noWrap/>
            <w:vAlign w:val="bottom"/>
          </w:tcPr>
          <w:p w14:paraId="1D16F5E3"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Adalimumab subcutaneous injection cost</w:t>
            </w:r>
          </w:p>
        </w:tc>
        <w:tc>
          <w:tcPr>
            <w:tcW w:w="773" w:type="dxa"/>
            <w:shd w:val="clear" w:color="auto" w:fill="auto"/>
            <w:noWrap/>
            <w:vAlign w:val="bottom"/>
          </w:tcPr>
          <w:p w14:paraId="14E3B6C5"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358</w:t>
            </w:r>
          </w:p>
        </w:tc>
        <w:tc>
          <w:tcPr>
            <w:tcW w:w="913" w:type="dxa"/>
            <w:shd w:val="clear" w:color="auto" w:fill="auto"/>
            <w:noWrap/>
            <w:vAlign w:val="bottom"/>
          </w:tcPr>
          <w:p w14:paraId="7EE76AF8"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975" w:type="dxa"/>
            <w:shd w:val="clear" w:color="auto" w:fill="auto"/>
            <w:noWrap/>
            <w:vAlign w:val="bottom"/>
          </w:tcPr>
          <w:p w14:paraId="0EFFB04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1674" w:type="dxa"/>
            <w:vAlign w:val="bottom"/>
          </w:tcPr>
          <w:p w14:paraId="021A0A6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779" w:type="dxa"/>
            <w:gridSpan w:val="2"/>
            <w:shd w:val="clear" w:color="auto" w:fill="auto"/>
            <w:noWrap/>
            <w:vAlign w:val="bottom"/>
          </w:tcPr>
          <w:p w14:paraId="3C0EDCC0"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noProof/>
                <w:sz w:val="20"/>
                <w:szCs w:val="20"/>
              </w:rPr>
              <w:t>[</w:t>
            </w:r>
            <w:r w:rsidRPr="00F702BD">
              <w:rPr>
                <w:noProof/>
                <w:sz w:val="20"/>
                <w:szCs w:val="20"/>
              </w:rPr>
              <w:t>37</w:t>
            </w:r>
            <w:r>
              <w:rPr>
                <w:noProof/>
                <w:sz w:val="20"/>
                <w:szCs w:val="20"/>
              </w:rPr>
              <w:t>]</w:t>
            </w:r>
          </w:p>
        </w:tc>
      </w:tr>
      <w:tr w:rsidR="002E3D9A" w:rsidRPr="00F702BD" w14:paraId="1D3EF5B2" w14:textId="77777777" w:rsidTr="00EA2356">
        <w:trPr>
          <w:trHeight w:val="300"/>
        </w:trPr>
        <w:tc>
          <w:tcPr>
            <w:tcW w:w="4395" w:type="dxa"/>
            <w:shd w:val="clear" w:color="auto" w:fill="auto"/>
            <w:noWrap/>
            <w:vAlign w:val="bottom"/>
          </w:tcPr>
          <w:p w14:paraId="6C2F3A4D"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Ustekinumab vial &amp; subcutaneous injection cost</w:t>
            </w:r>
          </w:p>
        </w:tc>
        <w:tc>
          <w:tcPr>
            <w:tcW w:w="773" w:type="dxa"/>
            <w:shd w:val="clear" w:color="auto" w:fill="auto"/>
            <w:noWrap/>
            <w:vAlign w:val="bottom"/>
          </w:tcPr>
          <w:p w14:paraId="6ADC99B3"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2,147</w:t>
            </w:r>
          </w:p>
        </w:tc>
        <w:tc>
          <w:tcPr>
            <w:tcW w:w="913" w:type="dxa"/>
            <w:shd w:val="clear" w:color="auto" w:fill="auto"/>
            <w:noWrap/>
            <w:vAlign w:val="bottom"/>
          </w:tcPr>
          <w:p w14:paraId="2C016070"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975" w:type="dxa"/>
            <w:shd w:val="clear" w:color="auto" w:fill="auto"/>
            <w:noWrap/>
            <w:vAlign w:val="bottom"/>
          </w:tcPr>
          <w:p w14:paraId="4BDD7EA1"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1674" w:type="dxa"/>
            <w:vAlign w:val="bottom"/>
          </w:tcPr>
          <w:p w14:paraId="0B4FCD71"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779" w:type="dxa"/>
            <w:gridSpan w:val="2"/>
            <w:shd w:val="clear" w:color="auto" w:fill="auto"/>
            <w:noWrap/>
            <w:vAlign w:val="bottom"/>
          </w:tcPr>
          <w:p w14:paraId="0F89318F"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noProof/>
                <w:sz w:val="20"/>
                <w:szCs w:val="20"/>
              </w:rPr>
              <w:t>[</w:t>
            </w:r>
            <w:r w:rsidRPr="00F702BD">
              <w:rPr>
                <w:noProof/>
                <w:sz w:val="20"/>
                <w:szCs w:val="20"/>
              </w:rPr>
              <w:t>38</w:t>
            </w:r>
            <w:r>
              <w:rPr>
                <w:noProof/>
                <w:sz w:val="20"/>
                <w:szCs w:val="20"/>
              </w:rPr>
              <w:t>]</w:t>
            </w:r>
          </w:p>
        </w:tc>
      </w:tr>
      <w:tr w:rsidR="002E3D9A" w:rsidRPr="00F702BD" w14:paraId="481DE4E3" w14:textId="77777777" w:rsidTr="00EA2356">
        <w:trPr>
          <w:trHeight w:val="300"/>
        </w:trPr>
        <w:tc>
          <w:tcPr>
            <w:tcW w:w="4395" w:type="dxa"/>
            <w:shd w:val="clear" w:color="auto" w:fill="auto"/>
            <w:noWrap/>
            <w:vAlign w:val="bottom"/>
          </w:tcPr>
          <w:p w14:paraId="136470BA"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Vedolizumab vial cost</w:t>
            </w:r>
          </w:p>
        </w:tc>
        <w:tc>
          <w:tcPr>
            <w:tcW w:w="773" w:type="dxa"/>
            <w:shd w:val="clear" w:color="auto" w:fill="auto"/>
            <w:noWrap/>
            <w:vAlign w:val="bottom"/>
          </w:tcPr>
          <w:p w14:paraId="0F4558DA"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2,050</w:t>
            </w:r>
          </w:p>
        </w:tc>
        <w:tc>
          <w:tcPr>
            <w:tcW w:w="913" w:type="dxa"/>
            <w:shd w:val="clear" w:color="auto" w:fill="auto"/>
            <w:noWrap/>
            <w:vAlign w:val="bottom"/>
          </w:tcPr>
          <w:p w14:paraId="726E6F6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975" w:type="dxa"/>
            <w:shd w:val="clear" w:color="auto" w:fill="auto"/>
            <w:noWrap/>
            <w:vAlign w:val="bottom"/>
          </w:tcPr>
          <w:p w14:paraId="11B46B7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1674" w:type="dxa"/>
            <w:vAlign w:val="bottom"/>
          </w:tcPr>
          <w:p w14:paraId="518C15D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779" w:type="dxa"/>
            <w:gridSpan w:val="2"/>
            <w:shd w:val="clear" w:color="auto" w:fill="auto"/>
            <w:noWrap/>
            <w:vAlign w:val="bottom"/>
          </w:tcPr>
          <w:p w14:paraId="062EAFE0" w14:textId="77777777" w:rsidR="002E3D9A" w:rsidRPr="00F702BD" w:rsidRDefault="002E3D9A" w:rsidP="00EA2356">
            <w:pPr>
              <w:spacing w:after="0" w:line="240" w:lineRule="auto"/>
              <w:rPr>
                <w:rFonts w:ascii="Calibri" w:eastAsia="Times New Roman" w:hAnsi="Calibri" w:cs="Times New Roman"/>
                <w:sz w:val="20"/>
                <w:szCs w:val="20"/>
                <w:lang w:eastAsia="en-GB"/>
              </w:rPr>
            </w:pPr>
            <w:r>
              <w:rPr>
                <w:noProof/>
                <w:sz w:val="20"/>
                <w:szCs w:val="20"/>
              </w:rPr>
              <w:t>[</w:t>
            </w:r>
            <w:r w:rsidRPr="00F702BD">
              <w:rPr>
                <w:noProof/>
                <w:sz w:val="20"/>
                <w:szCs w:val="20"/>
              </w:rPr>
              <w:t>39</w:t>
            </w:r>
            <w:r>
              <w:rPr>
                <w:noProof/>
                <w:sz w:val="20"/>
                <w:szCs w:val="20"/>
              </w:rPr>
              <w:t>]</w:t>
            </w:r>
          </w:p>
        </w:tc>
      </w:tr>
      <w:tr w:rsidR="002E3D9A" w:rsidRPr="00F702BD" w14:paraId="43ED1ACD" w14:textId="77777777" w:rsidTr="00EA2356">
        <w:trPr>
          <w:trHeight w:val="300"/>
        </w:trPr>
        <w:tc>
          <w:tcPr>
            <w:tcW w:w="4395" w:type="dxa"/>
            <w:shd w:val="clear" w:color="auto" w:fill="auto"/>
            <w:noWrap/>
            <w:vAlign w:val="bottom"/>
          </w:tcPr>
          <w:p w14:paraId="3DE2C15D"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Infusion (day case hospital attendance)</w:t>
            </w:r>
          </w:p>
        </w:tc>
        <w:tc>
          <w:tcPr>
            <w:tcW w:w="773" w:type="dxa"/>
            <w:shd w:val="clear" w:color="auto" w:fill="auto"/>
            <w:noWrap/>
            <w:vAlign w:val="bottom"/>
          </w:tcPr>
          <w:p w14:paraId="3F20F203"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697</w:t>
            </w:r>
          </w:p>
        </w:tc>
        <w:tc>
          <w:tcPr>
            <w:tcW w:w="913" w:type="dxa"/>
            <w:shd w:val="clear" w:color="auto" w:fill="auto"/>
            <w:noWrap/>
            <w:vAlign w:val="bottom"/>
          </w:tcPr>
          <w:p w14:paraId="6DF1462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975" w:type="dxa"/>
            <w:shd w:val="clear" w:color="auto" w:fill="auto"/>
            <w:noWrap/>
            <w:vAlign w:val="bottom"/>
          </w:tcPr>
          <w:p w14:paraId="5C1C9FE1"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1674" w:type="dxa"/>
            <w:vAlign w:val="bottom"/>
          </w:tcPr>
          <w:p w14:paraId="512E5B9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779" w:type="dxa"/>
            <w:gridSpan w:val="2"/>
            <w:shd w:val="clear" w:color="auto" w:fill="auto"/>
            <w:noWrap/>
            <w:vAlign w:val="bottom"/>
          </w:tcPr>
          <w:p w14:paraId="7A7DB747" w14:textId="77777777" w:rsidR="002E3D9A" w:rsidRPr="00F702BD" w:rsidRDefault="002E3D9A" w:rsidP="00EA2356">
            <w:pPr>
              <w:spacing w:after="0" w:line="240" w:lineRule="auto"/>
              <w:rPr>
                <w:noProof/>
                <w:sz w:val="20"/>
                <w:szCs w:val="20"/>
              </w:rPr>
            </w:pPr>
            <w:r>
              <w:rPr>
                <w:noProof/>
                <w:sz w:val="20"/>
                <w:szCs w:val="20"/>
              </w:rPr>
              <w:t>[</w:t>
            </w:r>
            <w:r w:rsidRPr="00F702BD">
              <w:rPr>
                <w:noProof/>
                <w:sz w:val="20"/>
                <w:szCs w:val="20"/>
              </w:rPr>
              <w:t>34</w:t>
            </w:r>
            <w:r>
              <w:rPr>
                <w:noProof/>
                <w:sz w:val="20"/>
                <w:szCs w:val="20"/>
              </w:rPr>
              <w:t>]</w:t>
            </w:r>
          </w:p>
        </w:tc>
      </w:tr>
      <w:tr w:rsidR="002E3D9A" w:rsidRPr="00F702BD" w14:paraId="0C5D0487" w14:textId="77777777" w:rsidTr="00EA2356">
        <w:trPr>
          <w:trHeight w:val="300"/>
        </w:trPr>
        <w:tc>
          <w:tcPr>
            <w:tcW w:w="4395" w:type="dxa"/>
            <w:shd w:val="clear" w:color="auto" w:fill="auto"/>
            <w:noWrap/>
            <w:vAlign w:val="bottom"/>
          </w:tcPr>
          <w:p w14:paraId="7A29F59F"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Remission therapy (4 weeks)</w:t>
            </w:r>
            <w:r w:rsidRPr="00905CCC">
              <w:rPr>
                <w:sz w:val="20"/>
                <w:szCs w:val="20"/>
                <w:vertAlign w:val="superscript"/>
              </w:rPr>
              <w:t xml:space="preserve"> e</w:t>
            </w:r>
          </w:p>
        </w:tc>
        <w:tc>
          <w:tcPr>
            <w:tcW w:w="773" w:type="dxa"/>
            <w:shd w:val="clear" w:color="auto" w:fill="auto"/>
            <w:noWrap/>
            <w:vAlign w:val="bottom"/>
          </w:tcPr>
          <w:p w14:paraId="36C0DC15"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58</w:t>
            </w:r>
          </w:p>
        </w:tc>
        <w:tc>
          <w:tcPr>
            <w:tcW w:w="913" w:type="dxa"/>
            <w:shd w:val="clear" w:color="auto" w:fill="auto"/>
            <w:noWrap/>
            <w:vAlign w:val="bottom"/>
          </w:tcPr>
          <w:p w14:paraId="1FC7ED4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43</w:t>
            </w:r>
          </w:p>
        </w:tc>
        <w:tc>
          <w:tcPr>
            <w:tcW w:w="975" w:type="dxa"/>
            <w:shd w:val="clear" w:color="auto" w:fill="auto"/>
            <w:noWrap/>
            <w:vAlign w:val="bottom"/>
          </w:tcPr>
          <w:p w14:paraId="53E62929"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72</w:t>
            </w:r>
          </w:p>
        </w:tc>
        <w:tc>
          <w:tcPr>
            <w:tcW w:w="1674" w:type="dxa"/>
          </w:tcPr>
          <w:p w14:paraId="3FC5F378" w14:textId="77777777" w:rsidR="002E3D9A" w:rsidRPr="00D4244F" w:rsidRDefault="002E3D9A" w:rsidP="00EA2356">
            <w:pPr>
              <w:spacing w:after="0" w:line="240" w:lineRule="auto"/>
              <w:rPr>
                <w:sz w:val="18"/>
                <w:szCs w:val="18"/>
              </w:rPr>
            </w:pPr>
            <w:r w:rsidRPr="00D4244F">
              <w:rPr>
                <w:sz w:val="18"/>
                <w:szCs w:val="18"/>
              </w:rPr>
              <w:t>Lognormal(4.1,0.1)</w:t>
            </w:r>
          </w:p>
        </w:tc>
        <w:tc>
          <w:tcPr>
            <w:tcW w:w="779" w:type="dxa"/>
            <w:gridSpan w:val="2"/>
            <w:shd w:val="clear" w:color="auto" w:fill="auto"/>
            <w:noWrap/>
          </w:tcPr>
          <w:p w14:paraId="281A19D0" w14:textId="77777777" w:rsidR="002E3D9A" w:rsidRPr="00F702BD" w:rsidRDefault="002E3D9A" w:rsidP="00EA2356">
            <w:pPr>
              <w:spacing w:after="0" w:line="240" w:lineRule="auto"/>
              <w:rPr>
                <w:noProof/>
                <w:sz w:val="20"/>
                <w:szCs w:val="20"/>
              </w:rPr>
            </w:pPr>
            <w:r>
              <w:rPr>
                <w:noProof/>
                <w:sz w:val="20"/>
                <w:szCs w:val="20"/>
              </w:rPr>
              <w:t>[</w:t>
            </w:r>
            <w:r w:rsidRPr="00F702BD">
              <w:rPr>
                <w:noProof/>
                <w:sz w:val="20"/>
                <w:szCs w:val="20"/>
              </w:rPr>
              <w:t>34,36</w:t>
            </w:r>
            <w:r>
              <w:rPr>
                <w:noProof/>
                <w:sz w:val="20"/>
                <w:szCs w:val="20"/>
              </w:rPr>
              <w:t>]</w:t>
            </w:r>
          </w:p>
        </w:tc>
      </w:tr>
      <w:tr w:rsidR="002E3D9A" w:rsidRPr="00F702BD" w14:paraId="2D57E34F" w14:textId="77777777" w:rsidTr="00EA2356">
        <w:trPr>
          <w:trHeight w:val="300"/>
        </w:trPr>
        <w:tc>
          <w:tcPr>
            <w:tcW w:w="4395" w:type="dxa"/>
            <w:shd w:val="clear" w:color="auto" w:fill="auto"/>
            <w:noWrap/>
            <w:vAlign w:val="bottom"/>
          </w:tcPr>
          <w:p w14:paraId="678358DA"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Mild disease therapy (4 weeks)</w:t>
            </w:r>
            <w:r w:rsidRPr="00905CCC">
              <w:rPr>
                <w:sz w:val="20"/>
                <w:szCs w:val="20"/>
                <w:vertAlign w:val="superscript"/>
              </w:rPr>
              <w:t xml:space="preserve"> e</w:t>
            </w:r>
          </w:p>
        </w:tc>
        <w:tc>
          <w:tcPr>
            <w:tcW w:w="773" w:type="dxa"/>
            <w:shd w:val="clear" w:color="auto" w:fill="auto"/>
            <w:noWrap/>
            <w:vAlign w:val="bottom"/>
          </w:tcPr>
          <w:p w14:paraId="34F48AAC"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165</w:t>
            </w:r>
          </w:p>
        </w:tc>
        <w:tc>
          <w:tcPr>
            <w:tcW w:w="913" w:type="dxa"/>
            <w:shd w:val="clear" w:color="auto" w:fill="auto"/>
            <w:noWrap/>
            <w:vAlign w:val="bottom"/>
          </w:tcPr>
          <w:p w14:paraId="2478BC68"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123</w:t>
            </w:r>
          </w:p>
        </w:tc>
        <w:tc>
          <w:tcPr>
            <w:tcW w:w="975" w:type="dxa"/>
            <w:shd w:val="clear" w:color="auto" w:fill="auto"/>
            <w:noWrap/>
            <w:vAlign w:val="bottom"/>
          </w:tcPr>
          <w:p w14:paraId="46E0A60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206</w:t>
            </w:r>
          </w:p>
        </w:tc>
        <w:tc>
          <w:tcPr>
            <w:tcW w:w="1674" w:type="dxa"/>
          </w:tcPr>
          <w:p w14:paraId="334EB9AE" w14:textId="77777777" w:rsidR="002E3D9A" w:rsidRPr="00D4244F" w:rsidRDefault="002E3D9A" w:rsidP="00EA2356">
            <w:pPr>
              <w:spacing w:after="0" w:line="240" w:lineRule="auto"/>
              <w:rPr>
                <w:sz w:val="18"/>
                <w:szCs w:val="18"/>
              </w:rPr>
            </w:pPr>
            <w:r w:rsidRPr="00D4244F">
              <w:rPr>
                <w:rFonts w:ascii="Calibri" w:eastAsia="Times New Roman" w:hAnsi="Calibri" w:cs="Times New Roman"/>
                <w:sz w:val="18"/>
                <w:szCs w:val="18"/>
                <w:lang w:eastAsia="en-GB"/>
              </w:rPr>
              <w:t>Gamma(61.5,2.7)</w:t>
            </w:r>
          </w:p>
        </w:tc>
        <w:tc>
          <w:tcPr>
            <w:tcW w:w="779" w:type="dxa"/>
            <w:gridSpan w:val="2"/>
            <w:shd w:val="clear" w:color="auto" w:fill="auto"/>
            <w:noWrap/>
          </w:tcPr>
          <w:p w14:paraId="6E361F33" w14:textId="77777777" w:rsidR="002E3D9A" w:rsidRPr="00F702BD" w:rsidRDefault="002E3D9A" w:rsidP="00EA2356">
            <w:pPr>
              <w:spacing w:after="0" w:line="240" w:lineRule="auto"/>
              <w:rPr>
                <w:noProof/>
                <w:sz w:val="20"/>
                <w:szCs w:val="20"/>
              </w:rPr>
            </w:pPr>
            <w:r>
              <w:rPr>
                <w:noProof/>
                <w:sz w:val="20"/>
                <w:szCs w:val="20"/>
              </w:rPr>
              <w:t>[</w:t>
            </w:r>
            <w:r w:rsidRPr="00F702BD">
              <w:rPr>
                <w:noProof/>
                <w:sz w:val="20"/>
                <w:szCs w:val="20"/>
              </w:rPr>
              <w:t>34,36</w:t>
            </w:r>
            <w:r>
              <w:rPr>
                <w:noProof/>
                <w:sz w:val="20"/>
                <w:szCs w:val="20"/>
              </w:rPr>
              <w:t>]</w:t>
            </w:r>
          </w:p>
        </w:tc>
      </w:tr>
      <w:tr w:rsidR="002E3D9A" w:rsidRPr="00F702BD" w14:paraId="39D85A7C" w14:textId="77777777" w:rsidTr="00EA2356">
        <w:trPr>
          <w:trHeight w:val="300"/>
        </w:trPr>
        <w:tc>
          <w:tcPr>
            <w:tcW w:w="4395" w:type="dxa"/>
            <w:shd w:val="clear" w:color="auto" w:fill="auto"/>
            <w:noWrap/>
            <w:vAlign w:val="bottom"/>
          </w:tcPr>
          <w:p w14:paraId="1FB82A3D"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Moderate-to-severe disease therapy (4 weeks)</w:t>
            </w:r>
            <w:r w:rsidRPr="00905CCC">
              <w:rPr>
                <w:sz w:val="20"/>
                <w:szCs w:val="20"/>
                <w:vertAlign w:val="superscript"/>
              </w:rPr>
              <w:t xml:space="preserve"> e</w:t>
            </w:r>
          </w:p>
        </w:tc>
        <w:tc>
          <w:tcPr>
            <w:tcW w:w="773" w:type="dxa"/>
            <w:shd w:val="clear" w:color="auto" w:fill="auto"/>
            <w:noWrap/>
            <w:vAlign w:val="bottom"/>
          </w:tcPr>
          <w:p w14:paraId="77392625"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257</w:t>
            </w:r>
          </w:p>
        </w:tc>
        <w:tc>
          <w:tcPr>
            <w:tcW w:w="913" w:type="dxa"/>
            <w:shd w:val="clear" w:color="auto" w:fill="auto"/>
            <w:noWrap/>
            <w:vAlign w:val="bottom"/>
          </w:tcPr>
          <w:p w14:paraId="66795E4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193</w:t>
            </w:r>
          </w:p>
        </w:tc>
        <w:tc>
          <w:tcPr>
            <w:tcW w:w="975" w:type="dxa"/>
            <w:shd w:val="clear" w:color="auto" w:fill="auto"/>
            <w:noWrap/>
            <w:vAlign w:val="bottom"/>
          </w:tcPr>
          <w:p w14:paraId="592318A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321</w:t>
            </w:r>
          </w:p>
        </w:tc>
        <w:tc>
          <w:tcPr>
            <w:tcW w:w="1674" w:type="dxa"/>
          </w:tcPr>
          <w:p w14:paraId="32764584" w14:textId="77777777" w:rsidR="002E3D9A" w:rsidRPr="00D4244F" w:rsidRDefault="002E3D9A" w:rsidP="00EA2356">
            <w:pPr>
              <w:spacing w:after="0" w:line="240" w:lineRule="auto"/>
              <w:rPr>
                <w:sz w:val="18"/>
                <w:szCs w:val="18"/>
              </w:rPr>
            </w:pPr>
            <w:r w:rsidRPr="00D4244F">
              <w:rPr>
                <w:rFonts w:ascii="Calibri" w:eastAsia="Times New Roman" w:hAnsi="Calibri" w:cs="Times New Roman"/>
                <w:sz w:val="18"/>
                <w:szCs w:val="18"/>
                <w:lang w:eastAsia="en-GB"/>
              </w:rPr>
              <w:t>Gamma(61.5,4.2)</w:t>
            </w:r>
          </w:p>
        </w:tc>
        <w:tc>
          <w:tcPr>
            <w:tcW w:w="779" w:type="dxa"/>
            <w:gridSpan w:val="2"/>
            <w:shd w:val="clear" w:color="auto" w:fill="auto"/>
            <w:noWrap/>
          </w:tcPr>
          <w:p w14:paraId="7E55BA48" w14:textId="77777777" w:rsidR="002E3D9A" w:rsidRPr="00F702BD" w:rsidRDefault="002E3D9A" w:rsidP="00EA2356">
            <w:pPr>
              <w:spacing w:after="0" w:line="240" w:lineRule="auto"/>
              <w:rPr>
                <w:noProof/>
                <w:sz w:val="20"/>
                <w:szCs w:val="20"/>
              </w:rPr>
            </w:pPr>
            <w:r>
              <w:rPr>
                <w:noProof/>
                <w:sz w:val="20"/>
                <w:szCs w:val="20"/>
              </w:rPr>
              <w:t>[</w:t>
            </w:r>
            <w:r w:rsidRPr="00F702BD">
              <w:rPr>
                <w:noProof/>
                <w:sz w:val="20"/>
                <w:szCs w:val="20"/>
              </w:rPr>
              <w:t>34,36</w:t>
            </w:r>
            <w:r>
              <w:rPr>
                <w:noProof/>
                <w:sz w:val="20"/>
                <w:szCs w:val="20"/>
              </w:rPr>
              <w:t>]</w:t>
            </w:r>
          </w:p>
        </w:tc>
      </w:tr>
      <w:tr w:rsidR="002E3D9A" w:rsidRPr="00F702BD" w14:paraId="5A647C47" w14:textId="77777777" w:rsidTr="00EA2356">
        <w:trPr>
          <w:trHeight w:val="300"/>
        </w:trPr>
        <w:tc>
          <w:tcPr>
            <w:tcW w:w="4395" w:type="dxa"/>
            <w:shd w:val="clear" w:color="auto" w:fill="auto"/>
            <w:noWrap/>
            <w:vAlign w:val="bottom"/>
          </w:tcPr>
          <w:p w14:paraId="3C142A7A"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Post-surgery therapy (4 weeks)</w:t>
            </w:r>
            <w:r w:rsidRPr="00905CCC">
              <w:rPr>
                <w:sz w:val="20"/>
                <w:szCs w:val="20"/>
                <w:vertAlign w:val="superscript"/>
              </w:rPr>
              <w:t>g</w:t>
            </w:r>
          </w:p>
        </w:tc>
        <w:tc>
          <w:tcPr>
            <w:tcW w:w="773" w:type="dxa"/>
            <w:shd w:val="clear" w:color="auto" w:fill="auto"/>
            <w:noWrap/>
            <w:vAlign w:val="bottom"/>
          </w:tcPr>
          <w:p w14:paraId="6CAE6595"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257</w:t>
            </w:r>
          </w:p>
        </w:tc>
        <w:tc>
          <w:tcPr>
            <w:tcW w:w="913" w:type="dxa"/>
            <w:shd w:val="clear" w:color="auto" w:fill="auto"/>
            <w:noWrap/>
            <w:vAlign w:val="bottom"/>
          </w:tcPr>
          <w:p w14:paraId="797BE81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129</w:t>
            </w:r>
          </w:p>
        </w:tc>
        <w:tc>
          <w:tcPr>
            <w:tcW w:w="975" w:type="dxa"/>
            <w:shd w:val="clear" w:color="auto" w:fill="auto"/>
            <w:noWrap/>
            <w:vAlign w:val="bottom"/>
          </w:tcPr>
          <w:p w14:paraId="21845211"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386</w:t>
            </w:r>
          </w:p>
        </w:tc>
        <w:tc>
          <w:tcPr>
            <w:tcW w:w="1674" w:type="dxa"/>
          </w:tcPr>
          <w:p w14:paraId="6C4D0C32" w14:textId="77777777" w:rsidR="002E3D9A" w:rsidRPr="00D4244F" w:rsidRDefault="002E3D9A" w:rsidP="00EA2356">
            <w:pPr>
              <w:spacing w:after="0" w:line="240" w:lineRule="auto"/>
              <w:rPr>
                <w:sz w:val="18"/>
                <w:szCs w:val="18"/>
              </w:rPr>
            </w:pPr>
            <w:r w:rsidRPr="00D4244F">
              <w:rPr>
                <w:rFonts w:ascii="Calibri" w:eastAsia="Times New Roman" w:hAnsi="Calibri" w:cs="Times New Roman"/>
                <w:sz w:val="18"/>
                <w:szCs w:val="18"/>
                <w:lang w:eastAsia="en-GB"/>
              </w:rPr>
              <w:t>Gamma(15.4,16.7)</w:t>
            </w:r>
          </w:p>
        </w:tc>
        <w:tc>
          <w:tcPr>
            <w:tcW w:w="779" w:type="dxa"/>
            <w:gridSpan w:val="2"/>
            <w:shd w:val="clear" w:color="auto" w:fill="auto"/>
            <w:noWrap/>
          </w:tcPr>
          <w:p w14:paraId="62D9D8F1" w14:textId="77777777" w:rsidR="002E3D9A" w:rsidRPr="00F702BD" w:rsidRDefault="002E3D9A" w:rsidP="00EA2356">
            <w:pPr>
              <w:spacing w:after="0" w:line="240" w:lineRule="auto"/>
              <w:rPr>
                <w:noProof/>
                <w:sz w:val="20"/>
                <w:szCs w:val="20"/>
              </w:rPr>
            </w:pPr>
            <w:r>
              <w:rPr>
                <w:noProof/>
                <w:sz w:val="20"/>
                <w:szCs w:val="20"/>
              </w:rPr>
              <w:t>[</w:t>
            </w:r>
            <w:r w:rsidRPr="00F702BD">
              <w:rPr>
                <w:noProof/>
                <w:sz w:val="20"/>
                <w:szCs w:val="20"/>
              </w:rPr>
              <w:t>34,36</w:t>
            </w:r>
            <w:r>
              <w:rPr>
                <w:noProof/>
                <w:sz w:val="20"/>
                <w:szCs w:val="20"/>
              </w:rPr>
              <w:t>]</w:t>
            </w:r>
          </w:p>
        </w:tc>
      </w:tr>
      <w:tr w:rsidR="002E3D9A" w:rsidRPr="00F702BD" w14:paraId="67155B61" w14:textId="77777777" w:rsidTr="00EA2356">
        <w:trPr>
          <w:trHeight w:val="300"/>
        </w:trPr>
        <w:tc>
          <w:tcPr>
            <w:tcW w:w="4395" w:type="dxa"/>
            <w:shd w:val="clear" w:color="auto" w:fill="auto"/>
            <w:noWrap/>
            <w:vAlign w:val="bottom"/>
          </w:tcPr>
          <w:p w14:paraId="5C008AC1"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Surgery</w:t>
            </w:r>
            <w:r w:rsidRPr="00905CCC">
              <w:rPr>
                <w:sz w:val="20"/>
                <w:szCs w:val="20"/>
                <w:vertAlign w:val="superscript"/>
              </w:rPr>
              <w:t>e</w:t>
            </w:r>
          </w:p>
        </w:tc>
        <w:tc>
          <w:tcPr>
            <w:tcW w:w="773" w:type="dxa"/>
            <w:shd w:val="clear" w:color="auto" w:fill="auto"/>
            <w:noWrap/>
            <w:vAlign w:val="bottom"/>
          </w:tcPr>
          <w:p w14:paraId="1BD7FB96"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11,116</w:t>
            </w:r>
          </w:p>
        </w:tc>
        <w:tc>
          <w:tcPr>
            <w:tcW w:w="913" w:type="dxa"/>
            <w:shd w:val="clear" w:color="auto" w:fill="auto"/>
            <w:noWrap/>
            <w:vAlign w:val="bottom"/>
          </w:tcPr>
          <w:p w14:paraId="47DB6B6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8,337</w:t>
            </w:r>
          </w:p>
        </w:tc>
        <w:tc>
          <w:tcPr>
            <w:tcW w:w="975" w:type="dxa"/>
            <w:shd w:val="clear" w:color="auto" w:fill="auto"/>
            <w:noWrap/>
            <w:vAlign w:val="bottom"/>
          </w:tcPr>
          <w:p w14:paraId="47B52EC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13,894</w:t>
            </w:r>
          </w:p>
        </w:tc>
        <w:tc>
          <w:tcPr>
            <w:tcW w:w="1674" w:type="dxa"/>
          </w:tcPr>
          <w:p w14:paraId="0CD1787E" w14:textId="77777777" w:rsidR="002E3D9A" w:rsidRPr="00D4244F" w:rsidRDefault="002E3D9A" w:rsidP="00EA2356">
            <w:pPr>
              <w:spacing w:after="0" w:line="240" w:lineRule="auto"/>
              <w:rPr>
                <w:sz w:val="18"/>
                <w:szCs w:val="18"/>
              </w:rPr>
            </w:pPr>
            <w:r w:rsidRPr="00D4244F">
              <w:rPr>
                <w:rFonts w:ascii="Calibri" w:eastAsia="Times New Roman" w:hAnsi="Calibri" w:cs="Times New Roman"/>
                <w:sz w:val="18"/>
                <w:szCs w:val="18"/>
                <w:lang w:eastAsia="en-GB"/>
              </w:rPr>
              <w:t>Gamma(61.5,180.9)</w:t>
            </w:r>
          </w:p>
        </w:tc>
        <w:tc>
          <w:tcPr>
            <w:tcW w:w="779" w:type="dxa"/>
            <w:gridSpan w:val="2"/>
            <w:shd w:val="clear" w:color="auto" w:fill="auto"/>
            <w:noWrap/>
          </w:tcPr>
          <w:p w14:paraId="5B084394" w14:textId="77777777" w:rsidR="002E3D9A" w:rsidRPr="00F702BD" w:rsidRDefault="002E3D9A" w:rsidP="00EA2356">
            <w:pPr>
              <w:spacing w:after="0" w:line="240" w:lineRule="auto"/>
              <w:rPr>
                <w:noProof/>
                <w:sz w:val="20"/>
                <w:szCs w:val="20"/>
              </w:rPr>
            </w:pPr>
            <w:r>
              <w:rPr>
                <w:noProof/>
                <w:sz w:val="20"/>
                <w:szCs w:val="20"/>
              </w:rPr>
              <w:t>[</w:t>
            </w:r>
            <w:r w:rsidRPr="00F702BD">
              <w:rPr>
                <w:noProof/>
                <w:sz w:val="20"/>
                <w:szCs w:val="20"/>
              </w:rPr>
              <w:t>34,36</w:t>
            </w:r>
            <w:r>
              <w:rPr>
                <w:noProof/>
                <w:sz w:val="20"/>
                <w:szCs w:val="20"/>
              </w:rPr>
              <w:t>]</w:t>
            </w:r>
          </w:p>
        </w:tc>
      </w:tr>
      <w:tr w:rsidR="002E3D9A" w:rsidRPr="00F702BD" w14:paraId="6BC3995F" w14:textId="77777777" w:rsidTr="00EA2356">
        <w:trPr>
          <w:trHeight w:val="300"/>
        </w:trPr>
        <w:tc>
          <w:tcPr>
            <w:tcW w:w="4395" w:type="dxa"/>
            <w:shd w:val="clear" w:color="auto" w:fill="auto"/>
            <w:noWrap/>
            <w:vAlign w:val="bottom"/>
          </w:tcPr>
          <w:p w14:paraId="395F978B"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Delayed IR (outpatient hospital attendance)</w:t>
            </w:r>
          </w:p>
        </w:tc>
        <w:tc>
          <w:tcPr>
            <w:tcW w:w="773" w:type="dxa"/>
            <w:shd w:val="clear" w:color="auto" w:fill="auto"/>
            <w:noWrap/>
            <w:vAlign w:val="bottom"/>
          </w:tcPr>
          <w:p w14:paraId="23457A47"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135</w:t>
            </w:r>
          </w:p>
        </w:tc>
        <w:tc>
          <w:tcPr>
            <w:tcW w:w="913" w:type="dxa"/>
            <w:shd w:val="clear" w:color="auto" w:fill="auto"/>
            <w:noWrap/>
            <w:vAlign w:val="bottom"/>
          </w:tcPr>
          <w:p w14:paraId="3B70B3E9"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975" w:type="dxa"/>
            <w:shd w:val="clear" w:color="auto" w:fill="auto"/>
            <w:noWrap/>
            <w:vAlign w:val="bottom"/>
          </w:tcPr>
          <w:p w14:paraId="6DB2BB5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1674" w:type="dxa"/>
          </w:tcPr>
          <w:p w14:paraId="7CCB2185" w14:textId="77777777" w:rsidR="002E3D9A" w:rsidRPr="00D4244F" w:rsidRDefault="002E3D9A" w:rsidP="00EA2356">
            <w:pPr>
              <w:spacing w:after="0" w:line="240" w:lineRule="auto"/>
              <w:rPr>
                <w:sz w:val="18"/>
                <w:szCs w:val="18"/>
              </w:rPr>
            </w:pPr>
            <w:r w:rsidRPr="00D4244F">
              <w:rPr>
                <w:rFonts w:ascii="Calibri" w:eastAsia="Times New Roman" w:hAnsi="Calibri" w:cs="Times New Roman"/>
                <w:sz w:val="20"/>
                <w:szCs w:val="20"/>
                <w:lang w:eastAsia="en-GB"/>
              </w:rPr>
              <w:t>N/A</w:t>
            </w:r>
          </w:p>
        </w:tc>
        <w:tc>
          <w:tcPr>
            <w:tcW w:w="779" w:type="dxa"/>
            <w:gridSpan w:val="2"/>
            <w:shd w:val="clear" w:color="auto" w:fill="auto"/>
            <w:noWrap/>
            <w:vAlign w:val="bottom"/>
          </w:tcPr>
          <w:p w14:paraId="17D1EED1" w14:textId="77777777" w:rsidR="002E3D9A" w:rsidRPr="00F702BD" w:rsidRDefault="002E3D9A" w:rsidP="00EA2356">
            <w:pPr>
              <w:spacing w:after="0" w:line="240" w:lineRule="auto"/>
              <w:rPr>
                <w:noProof/>
                <w:sz w:val="20"/>
                <w:szCs w:val="20"/>
              </w:rPr>
            </w:pPr>
            <w:r>
              <w:rPr>
                <w:noProof/>
                <w:sz w:val="20"/>
                <w:szCs w:val="20"/>
              </w:rPr>
              <w:t>[</w:t>
            </w:r>
            <w:r w:rsidRPr="00F702BD">
              <w:rPr>
                <w:noProof/>
                <w:sz w:val="20"/>
                <w:szCs w:val="20"/>
              </w:rPr>
              <w:t>34</w:t>
            </w:r>
            <w:r>
              <w:rPr>
                <w:noProof/>
                <w:sz w:val="20"/>
                <w:szCs w:val="20"/>
              </w:rPr>
              <w:t>]</w:t>
            </w:r>
          </w:p>
        </w:tc>
      </w:tr>
      <w:tr w:rsidR="002E3D9A" w:rsidRPr="00F702BD" w14:paraId="0FD8CCEA" w14:textId="77777777" w:rsidTr="00EA2356">
        <w:trPr>
          <w:trHeight w:val="300"/>
        </w:trPr>
        <w:tc>
          <w:tcPr>
            <w:tcW w:w="4395" w:type="dxa"/>
            <w:tcBorders>
              <w:bottom w:val="single" w:sz="4" w:space="0" w:color="auto"/>
            </w:tcBorders>
            <w:shd w:val="clear" w:color="auto" w:fill="auto"/>
            <w:noWrap/>
            <w:vAlign w:val="bottom"/>
          </w:tcPr>
          <w:p w14:paraId="49DFBC5C" w14:textId="77777777" w:rsidR="002E3D9A" w:rsidRPr="00D4244F" w:rsidRDefault="002E3D9A" w:rsidP="00EA2356">
            <w:pPr>
              <w:spacing w:after="0" w:line="240" w:lineRule="auto"/>
              <w:ind w:firstLineChars="100" w:firstLine="200"/>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Severe IR (non-elective long stay admission)</w:t>
            </w:r>
          </w:p>
        </w:tc>
        <w:tc>
          <w:tcPr>
            <w:tcW w:w="773" w:type="dxa"/>
            <w:tcBorders>
              <w:bottom w:val="single" w:sz="4" w:space="0" w:color="auto"/>
            </w:tcBorders>
            <w:shd w:val="clear" w:color="auto" w:fill="auto"/>
            <w:noWrap/>
            <w:vAlign w:val="bottom"/>
          </w:tcPr>
          <w:p w14:paraId="2749F029" w14:textId="77777777" w:rsidR="002E3D9A" w:rsidRPr="00D4244F" w:rsidRDefault="002E3D9A" w:rsidP="00EA2356">
            <w:pPr>
              <w:spacing w:after="0" w:line="240" w:lineRule="auto"/>
              <w:jc w:val="right"/>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2,581</w:t>
            </w:r>
          </w:p>
        </w:tc>
        <w:tc>
          <w:tcPr>
            <w:tcW w:w="913" w:type="dxa"/>
            <w:tcBorders>
              <w:bottom w:val="single" w:sz="4" w:space="0" w:color="auto"/>
            </w:tcBorders>
            <w:shd w:val="clear" w:color="auto" w:fill="auto"/>
            <w:noWrap/>
            <w:vAlign w:val="bottom"/>
          </w:tcPr>
          <w:p w14:paraId="5A8F2D7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975" w:type="dxa"/>
            <w:tcBorders>
              <w:bottom w:val="single" w:sz="4" w:space="0" w:color="auto"/>
            </w:tcBorders>
            <w:shd w:val="clear" w:color="auto" w:fill="auto"/>
            <w:noWrap/>
            <w:vAlign w:val="bottom"/>
          </w:tcPr>
          <w:p w14:paraId="41CFD62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N/A</w:t>
            </w:r>
          </w:p>
        </w:tc>
        <w:tc>
          <w:tcPr>
            <w:tcW w:w="1674" w:type="dxa"/>
            <w:tcBorders>
              <w:bottom w:val="single" w:sz="4" w:space="0" w:color="auto"/>
            </w:tcBorders>
          </w:tcPr>
          <w:p w14:paraId="5D580257" w14:textId="77777777" w:rsidR="002E3D9A" w:rsidRPr="00D4244F" w:rsidRDefault="002E3D9A" w:rsidP="00EA2356">
            <w:pPr>
              <w:spacing w:after="0" w:line="240" w:lineRule="auto"/>
              <w:rPr>
                <w:sz w:val="18"/>
                <w:szCs w:val="18"/>
              </w:rPr>
            </w:pPr>
            <w:r w:rsidRPr="00D4244F">
              <w:rPr>
                <w:rFonts w:ascii="Calibri" w:eastAsia="Times New Roman" w:hAnsi="Calibri" w:cs="Times New Roman"/>
                <w:sz w:val="20"/>
                <w:szCs w:val="20"/>
                <w:lang w:eastAsia="en-GB"/>
              </w:rPr>
              <w:t>N/A</w:t>
            </w:r>
          </w:p>
        </w:tc>
        <w:tc>
          <w:tcPr>
            <w:tcW w:w="779" w:type="dxa"/>
            <w:gridSpan w:val="2"/>
            <w:tcBorders>
              <w:bottom w:val="single" w:sz="4" w:space="0" w:color="auto"/>
            </w:tcBorders>
            <w:shd w:val="clear" w:color="auto" w:fill="auto"/>
            <w:noWrap/>
            <w:vAlign w:val="bottom"/>
          </w:tcPr>
          <w:p w14:paraId="145EB1D4" w14:textId="77777777" w:rsidR="002E3D9A" w:rsidRPr="00F702BD" w:rsidRDefault="002E3D9A" w:rsidP="00EA2356">
            <w:pPr>
              <w:spacing w:after="0" w:line="240" w:lineRule="auto"/>
              <w:rPr>
                <w:sz w:val="20"/>
                <w:szCs w:val="20"/>
              </w:rPr>
            </w:pPr>
            <w:r>
              <w:rPr>
                <w:noProof/>
                <w:sz w:val="20"/>
                <w:szCs w:val="20"/>
              </w:rPr>
              <w:t>[</w:t>
            </w:r>
            <w:r w:rsidRPr="00F702BD">
              <w:rPr>
                <w:noProof/>
                <w:sz w:val="20"/>
                <w:szCs w:val="20"/>
              </w:rPr>
              <w:t>34,35</w:t>
            </w:r>
            <w:r>
              <w:rPr>
                <w:noProof/>
                <w:sz w:val="20"/>
                <w:szCs w:val="20"/>
              </w:rPr>
              <w:t>]</w:t>
            </w:r>
          </w:p>
        </w:tc>
      </w:tr>
      <w:tr w:rsidR="002E3D9A" w:rsidRPr="00D4244F" w14:paraId="7ECAEFE9" w14:textId="77777777" w:rsidTr="00EA2356">
        <w:trPr>
          <w:gridAfter w:val="1"/>
          <w:wAfter w:w="22" w:type="dxa"/>
          <w:trHeight w:val="315"/>
        </w:trPr>
        <w:tc>
          <w:tcPr>
            <w:tcW w:w="9487" w:type="dxa"/>
            <w:gridSpan w:val="6"/>
            <w:tcBorders>
              <w:top w:val="single" w:sz="4" w:space="0" w:color="auto"/>
            </w:tcBorders>
            <w:shd w:val="clear" w:color="auto" w:fill="auto"/>
            <w:noWrap/>
            <w:vAlign w:val="bottom"/>
            <w:hideMark/>
          </w:tcPr>
          <w:p w14:paraId="0B39D7A5" w14:textId="77777777" w:rsidR="002E3D9A" w:rsidRPr="00D4244F" w:rsidRDefault="002E3D9A" w:rsidP="00EA2356">
            <w:pPr>
              <w:spacing w:after="0" w:line="240" w:lineRule="auto"/>
              <w:rPr>
                <w:rFonts w:ascii="Calibri" w:eastAsia="Times New Roman" w:hAnsi="Calibri" w:cs="Times New Roman"/>
                <w:sz w:val="16"/>
                <w:szCs w:val="16"/>
                <w:lang w:eastAsia="en-GB"/>
              </w:rPr>
            </w:pPr>
            <w:r w:rsidRPr="00D4244F">
              <w:rPr>
                <w:rFonts w:ascii="Calibri" w:eastAsia="Times New Roman" w:hAnsi="Calibri" w:cs="Times New Roman"/>
                <w:sz w:val="16"/>
                <w:szCs w:val="16"/>
                <w:lang w:eastAsia="en-GB"/>
              </w:rPr>
              <w:t> Note:</w:t>
            </w:r>
          </w:p>
          <w:p w14:paraId="451295FB" w14:textId="77777777" w:rsidR="002E3D9A" w:rsidRPr="00D4244F" w:rsidRDefault="002E3D9A" w:rsidP="00EA2356">
            <w:pPr>
              <w:spacing w:after="0" w:line="240" w:lineRule="auto"/>
              <w:rPr>
                <w:rFonts w:ascii="Calibri" w:eastAsia="Times New Roman" w:hAnsi="Calibri" w:cs="Times New Roman"/>
                <w:sz w:val="16"/>
                <w:szCs w:val="16"/>
                <w:lang w:eastAsia="en-GB"/>
              </w:rPr>
            </w:pPr>
            <w:r w:rsidRPr="00D4244F">
              <w:rPr>
                <w:rFonts w:ascii="Calibri" w:eastAsia="Times New Roman" w:hAnsi="Calibri" w:cs="Times New Roman"/>
                <w:sz w:val="16"/>
                <w:szCs w:val="16"/>
                <w:lang w:eastAsia="en-GB"/>
              </w:rPr>
              <w:t>Parameter values are identical in the base case for both treatments due to the assumption of biosimilarity.   </w:t>
            </w:r>
          </w:p>
          <w:p w14:paraId="75108B22" w14:textId="77777777" w:rsidR="002E3D9A" w:rsidRPr="00D4244F" w:rsidRDefault="002E3D9A" w:rsidP="00EA2356">
            <w:pPr>
              <w:spacing w:after="0" w:line="240" w:lineRule="auto"/>
              <w:rPr>
                <w:rFonts w:ascii="Calibri" w:eastAsia="Times New Roman" w:hAnsi="Calibri" w:cs="Times New Roman"/>
                <w:sz w:val="16"/>
                <w:szCs w:val="16"/>
                <w:lang w:eastAsia="en-GB"/>
              </w:rPr>
            </w:pPr>
            <w:r w:rsidRPr="00D4244F">
              <w:rPr>
                <w:rFonts w:ascii="Calibri" w:eastAsia="Times New Roman" w:hAnsi="Calibri" w:cs="Times New Roman"/>
                <w:sz w:val="16"/>
                <w:szCs w:val="16"/>
                <w:lang w:eastAsia="en-GB"/>
              </w:rPr>
              <w:t>IR: infusion reaction.</w:t>
            </w:r>
          </w:p>
          <w:p w14:paraId="16B68619" w14:textId="77777777" w:rsidR="002E3D9A" w:rsidRPr="00D4244F" w:rsidRDefault="002E3D9A" w:rsidP="00EA2356">
            <w:pPr>
              <w:spacing w:after="0" w:line="240" w:lineRule="auto"/>
              <w:rPr>
                <w:rFonts w:ascii="Calibri" w:eastAsia="Times New Roman" w:hAnsi="Calibri" w:cs="Times New Roman"/>
                <w:sz w:val="16"/>
                <w:szCs w:val="16"/>
                <w:lang w:eastAsia="en-GB"/>
              </w:rPr>
            </w:pPr>
            <w:r w:rsidRPr="00D4244F">
              <w:rPr>
                <w:rFonts w:ascii="Calibri" w:eastAsia="Times New Roman" w:hAnsi="Calibri" w:cs="Times New Roman"/>
                <w:sz w:val="16"/>
                <w:szCs w:val="16"/>
                <w:lang w:eastAsia="en-GB"/>
              </w:rPr>
              <w:t>ATI+ patients who developed antibodies to infliximab</w:t>
            </w:r>
          </w:p>
          <w:p w14:paraId="7343328A" w14:textId="77777777" w:rsidR="002E3D9A" w:rsidRPr="00D4244F" w:rsidRDefault="002E3D9A" w:rsidP="00EA2356">
            <w:pPr>
              <w:spacing w:after="0" w:line="240" w:lineRule="auto"/>
              <w:rPr>
                <w:rFonts w:ascii="Calibri" w:eastAsia="Times New Roman" w:hAnsi="Calibri" w:cs="Times New Roman"/>
                <w:sz w:val="16"/>
                <w:szCs w:val="16"/>
                <w:lang w:eastAsia="en-GB"/>
              </w:rPr>
            </w:pPr>
            <w:r w:rsidRPr="00D4244F">
              <w:rPr>
                <w:rFonts w:ascii="Calibri" w:eastAsia="Times New Roman" w:hAnsi="Calibri" w:cs="Times New Roman"/>
                <w:sz w:val="16"/>
                <w:szCs w:val="16"/>
                <w:lang w:eastAsia="en-GB"/>
              </w:rPr>
              <w:t>ATI- patients who did not develop antibodies to infliximab</w:t>
            </w:r>
          </w:p>
          <w:p w14:paraId="73F6C094" w14:textId="77777777" w:rsidR="002E3D9A" w:rsidRPr="00D4244F" w:rsidRDefault="002E3D9A" w:rsidP="00EA2356">
            <w:pPr>
              <w:spacing w:after="0" w:line="240" w:lineRule="auto"/>
              <w:rPr>
                <w:rFonts w:ascii="Calibri" w:eastAsia="Times New Roman" w:hAnsi="Calibri" w:cs="Times New Roman"/>
                <w:sz w:val="16"/>
                <w:szCs w:val="16"/>
                <w:lang w:eastAsia="en-GB"/>
              </w:rPr>
            </w:pPr>
            <w:r w:rsidRPr="00D4244F">
              <w:rPr>
                <w:rFonts w:ascii="Calibri" w:eastAsia="Times New Roman" w:hAnsi="Calibri" w:cs="Times New Roman"/>
                <w:sz w:val="16"/>
                <w:szCs w:val="16"/>
                <w:lang w:eastAsia="en-GB"/>
              </w:rPr>
              <w:t>_R indicates distribution for Remicade parameter and _I for Inflectra parameter</w:t>
            </w:r>
          </w:p>
          <w:p w14:paraId="5C46F60F" w14:textId="77777777" w:rsidR="002E3D9A" w:rsidRPr="00D4244F" w:rsidRDefault="002E3D9A" w:rsidP="00EA2356">
            <w:pPr>
              <w:spacing w:after="0" w:line="240" w:lineRule="auto"/>
              <w:rPr>
                <w:rFonts w:ascii="Calibri" w:eastAsia="Times New Roman" w:hAnsi="Calibri" w:cs="Times New Roman"/>
                <w:sz w:val="16"/>
                <w:szCs w:val="16"/>
                <w:lang w:eastAsia="en-GB"/>
              </w:rPr>
            </w:pPr>
          </w:p>
          <w:p w14:paraId="295A86E0" w14:textId="77777777" w:rsidR="002E3D9A" w:rsidRPr="00D4244F" w:rsidRDefault="002E3D9A" w:rsidP="00EA2356">
            <w:pPr>
              <w:spacing w:after="0" w:line="240" w:lineRule="auto"/>
              <w:rPr>
                <w:rFonts w:ascii="Calibri" w:eastAsia="Times New Roman" w:hAnsi="Calibri" w:cs="Times New Roman"/>
                <w:sz w:val="16"/>
                <w:szCs w:val="16"/>
                <w:lang w:eastAsia="en-GB"/>
              </w:rPr>
            </w:pPr>
            <w:r>
              <w:rPr>
                <w:rFonts w:ascii="Calibri" w:eastAsia="Times New Roman" w:hAnsi="Calibri" w:cs="Times New Roman"/>
                <w:sz w:val="16"/>
                <w:szCs w:val="16"/>
                <w:lang w:eastAsia="en-GB"/>
              </w:rPr>
              <w:t>a</w:t>
            </w:r>
            <w:r w:rsidRPr="00D4244F">
              <w:rPr>
                <w:rFonts w:ascii="Calibri" w:eastAsia="Times New Roman" w:hAnsi="Calibri" w:cs="Times New Roman"/>
                <w:sz w:val="16"/>
                <w:szCs w:val="16"/>
                <w:lang w:eastAsia="en-GB"/>
              </w:rPr>
              <w:t xml:space="preserve"> reported confidence interval used as range</w:t>
            </w:r>
          </w:p>
          <w:p w14:paraId="10F508A8" w14:textId="77777777" w:rsidR="002E3D9A" w:rsidRPr="00D4244F" w:rsidRDefault="002E3D9A" w:rsidP="00EA2356">
            <w:pPr>
              <w:spacing w:after="0" w:line="240" w:lineRule="auto"/>
              <w:rPr>
                <w:rFonts w:ascii="Calibri" w:eastAsia="Times New Roman" w:hAnsi="Calibri" w:cs="Times New Roman"/>
                <w:sz w:val="16"/>
                <w:szCs w:val="16"/>
                <w:lang w:eastAsia="en-GB"/>
              </w:rPr>
            </w:pPr>
            <w:r>
              <w:rPr>
                <w:rFonts w:ascii="Calibri" w:eastAsia="Times New Roman" w:hAnsi="Calibri" w:cs="Times New Roman"/>
                <w:sz w:val="16"/>
                <w:szCs w:val="16"/>
                <w:lang w:eastAsia="en-GB"/>
              </w:rPr>
              <w:t>b</w:t>
            </w:r>
            <w:r w:rsidRPr="00D4244F">
              <w:rPr>
                <w:rFonts w:ascii="Calibri" w:eastAsia="Times New Roman" w:hAnsi="Calibri" w:cs="Times New Roman"/>
                <w:sz w:val="16"/>
                <w:szCs w:val="16"/>
                <w:lang w:eastAsia="en-GB"/>
              </w:rPr>
              <w:t xml:space="preserve"> reported mean +/-20% used as range</w:t>
            </w:r>
          </w:p>
          <w:p w14:paraId="2359E13C" w14:textId="77777777" w:rsidR="002E3D9A" w:rsidRPr="00D4244F" w:rsidRDefault="002E3D9A" w:rsidP="00EA2356">
            <w:pPr>
              <w:spacing w:after="0" w:line="240" w:lineRule="auto"/>
              <w:rPr>
                <w:rFonts w:ascii="Calibri" w:eastAsia="Times New Roman" w:hAnsi="Calibri" w:cs="Times New Roman"/>
                <w:sz w:val="16"/>
                <w:szCs w:val="16"/>
                <w:lang w:eastAsia="en-GB"/>
              </w:rPr>
            </w:pPr>
            <w:r>
              <w:rPr>
                <w:rFonts w:ascii="Calibri" w:eastAsia="Times New Roman" w:hAnsi="Calibri" w:cs="Times New Roman"/>
                <w:sz w:val="16"/>
                <w:szCs w:val="16"/>
                <w:lang w:eastAsia="en-GB"/>
              </w:rPr>
              <w:t>c</w:t>
            </w:r>
            <w:r w:rsidRPr="00D4244F">
              <w:rPr>
                <w:rFonts w:ascii="Calibri" w:eastAsia="Times New Roman" w:hAnsi="Calibri" w:cs="Times New Roman"/>
                <w:sz w:val="16"/>
                <w:szCs w:val="16"/>
                <w:lang w:eastAsia="en-GB"/>
              </w:rPr>
              <w:t xml:space="preserve"> range determined by authors</w:t>
            </w:r>
          </w:p>
          <w:p w14:paraId="4A228A38" w14:textId="77777777" w:rsidR="002E3D9A" w:rsidRPr="00D4244F" w:rsidRDefault="002E3D9A" w:rsidP="00EA2356">
            <w:pPr>
              <w:spacing w:after="0" w:line="240" w:lineRule="auto"/>
              <w:rPr>
                <w:rFonts w:ascii="Calibri" w:eastAsia="Times New Roman" w:hAnsi="Calibri" w:cs="Times New Roman"/>
                <w:sz w:val="16"/>
                <w:szCs w:val="16"/>
                <w:lang w:eastAsia="en-GB"/>
              </w:rPr>
            </w:pPr>
            <w:r w:rsidRPr="00905CCC">
              <w:rPr>
                <w:rFonts w:ascii="Calibri" w:eastAsia="Times New Roman" w:hAnsi="Calibri" w:cs="Times New Roman"/>
                <w:sz w:val="16"/>
                <w:szCs w:val="16"/>
                <w:lang w:eastAsia="en-GB"/>
              </w:rPr>
              <w:t>d</w:t>
            </w:r>
            <w:r w:rsidRPr="00D4244F">
              <w:rPr>
                <w:rFonts w:ascii="Calibri" w:eastAsia="Times New Roman" w:hAnsi="Calibri" w:cs="Times New Roman"/>
                <w:sz w:val="16"/>
                <w:szCs w:val="16"/>
                <w:lang w:eastAsia="en-GB"/>
              </w:rPr>
              <w:t xml:space="preserve"> Silverstein standard care outcomes with remission and response parameters shared proportionately between moderate to severe disease and surgery outcomes to reflect more severe disease pathway.</w:t>
            </w:r>
          </w:p>
          <w:p w14:paraId="2A1D74DD" w14:textId="77777777" w:rsidR="002E3D9A" w:rsidRPr="00D4244F" w:rsidRDefault="002E3D9A" w:rsidP="00EA2356">
            <w:pPr>
              <w:spacing w:after="0" w:line="240" w:lineRule="auto"/>
              <w:rPr>
                <w:rFonts w:ascii="Calibri" w:eastAsia="Times New Roman" w:hAnsi="Calibri" w:cs="Times New Roman"/>
                <w:sz w:val="16"/>
                <w:szCs w:val="16"/>
                <w:lang w:eastAsia="en-GB"/>
              </w:rPr>
            </w:pPr>
            <w:r>
              <w:rPr>
                <w:rFonts w:ascii="Calibri" w:eastAsia="Times New Roman" w:hAnsi="Calibri" w:cs="Times New Roman"/>
                <w:sz w:val="16"/>
                <w:szCs w:val="16"/>
                <w:lang w:eastAsia="en-GB"/>
              </w:rPr>
              <w:t>e</w:t>
            </w:r>
            <w:r w:rsidRPr="00D4244F">
              <w:rPr>
                <w:rFonts w:ascii="Calibri" w:eastAsia="Times New Roman" w:hAnsi="Calibri" w:cs="Times New Roman"/>
                <w:sz w:val="16"/>
                <w:szCs w:val="16"/>
                <w:lang w:eastAsia="en-GB"/>
              </w:rPr>
              <w:t xml:space="preserve"> reported mean +/- 25% used as range </w:t>
            </w:r>
          </w:p>
          <w:p w14:paraId="4719190D" w14:textId="77777777" w:rsidR="002E3D9A" w:rsidRPr="00D4244F" w:rsidRDefault="002E3D9A" w:rsidP="00EA2356">
            <w:pPr>
              <w:spacing w:after="0" w:line="240" w:lineRule="auto"/>
              <w:rPr>
                <w:rFonts w:ascii="Calibri" w:eastAsia="Times New Roman" w:hAnsi="Calibri" w:cs="Times New Roman"/>
                <w:sz w:val="16"/>
                <w:szCs w:val="16"/>
                <w:lang w:eastAsia="en-GB"/>
              </w:rPr>
            </w:pPr>
            <w:r>
              <w:rPr>
                <w:rFonts w:ascii="Calibri" w:eastAsia="Times New Roman" w:hAnsi="Calibri" w:cs="Times New Roman"/>
                <w:sz w:val="16"/>
                <w:szCs w:val="16"/>
                <w:lang w:eastAsia="en-GB"/>
              </w:rPr>
              <w:t>f</w:t>
            </w:r>
            <w:r w:rsidRPr="00D4244F">
              <w:rPr>
                <w:rFonts w:ascii="Calibri" w:eastAsia="Times New Roman" w:hAnsi="Calibri" w:cs="Times New Roman"/>
                <w:sz w:val="16"/>
                <w:szCs w:val="16"/>
                <w:lang w:eastAsia="en-GB"/>
              </w:rPr>
              <w:t xml:space="preserve"> BNF reported prices, range of 50% to 100% of Remicade price</w:t>
            </w:r>
          </w:p>
          <w:p w14:paraId="28E2EE9A" w14:textId="77777777" w:rsidR="002E3D9A" w:rsidRPr="00D4244F" w:rsidRDefault="002E3D9A" w:rsidP="00EA2356">
            <w:pPr>
              <w:spacing w:after="0" w:line="240" w:lineRule="auto"/>
              <w:rPr>
                <w:rFonts w:ascii="Calibri" w:eastAsia="Times New Roman" w:hAnsi="Calibri" w:cs="Times New Roman"/>
                <w:sz w:val="16"/>
                <w:szCs w:val="16"/>
                <w:lang w:eastAsia="en-GB"/>
              </w:rPr>
            </w:pPr>
            <w:r>
              <w:rPr>
                <w:rFonts w:ascii="Calibri" w:eastAsia="Times New Roman" w:hAnsi="Calibri" w:cs="Times New Roman"/>
                <w:sz w:val="16"/>
                <w:szCs w:val="16"/>
                <w:lang w:eastAsia="en-GB"/>
              </w:rPr>
              <w:t>g</w:t>
            </w:r>
            <w:r w:rsidRPr="00D4244F">
              <w:rPr>
                <w:rFonts w:ascii="Calibri" w:eastAsia="Times New Roman" w:hAnsi="Calibri" w:cs="Times New Roman"/>
                <w:sz w:val="16"/>
                <w:szCs w:val="16"/>
                <w:lang w:eastAsia="en-GB"/>
              </w:rPr>
              <w:t xml:space="preserve"> reported mean +/- 50% used as range, to account for uncertainty in costs</w:t>
            </w:r>
          </w:p>
          <w:p w14:paraId="24E84C7C" w14:textId="77777777" w:rsidR="002E3D9A" w:rsidRPr="00D4244F" w:rsidRDefault="002E3D9A" w:rsidP="00EA2356">
            <w:pPr>
              <w:spacing w:after="0" w:line="240" w:lineRule="auto"/>
              <w:rPr>
                <w:rFonts w:ascii="Calibri" w:eastAsia="Times New Roman" w:hAnsi="Calibri" w:cs="Times New Roman"/>
                <w:sz w:val="20"/>
                <w:szCs w:val="20"/>
                <w:lang w:eastAsia="en-GB"/>
              </w:rPr>
            </w:pPr>
          </w:p>
        </w:tc>
      </w:tr>
    </w:tbl>
    <w:p w14:paraId="4A62A6B2" w14:textId="77777777" w:rsidR="002E3D9A" w:rsidRPr="00D4244F" w:rsidRDefault="002E3D9A" w:rsidP="002E3D9A">
      <w:pPr>
        <w:pStyle w:val="Heading2"/>
        <w:rPr>
          <w:color w:val="auto"/>
        </w:rPr>
      </w:pPr>
    </w:p>
    <w:p w14:paraId="45A1C79E" w14:textId="77777777" w:rsidR="002E3D9A" w:rsidRDefault="002E3D9A" w:rsidP="002E3D9A"/>
    <w:p w14:paraId="4CFD81D6" w14:textId="77777777" w:rsidR="002E3D9A" w:rsidRDefault="002E3D9A">
      <w:pPr>
        <w:rPr>
          <w:rFonts w:eastAsiaTheme="majorEastAsia" w:cstheme="majorBidi"/>
          <w:sz w:val="22"/>
        </w:rPr>
      </w:pPr>
      <w:r>
        <w:rPr>
          <w:rFonts w:eastAsiaTheme="majorEastAsia" w:cstheme="majorBidi"/>
          <w:sz w:val="22"/>
        </w:rPr>
        <w:br w:type="page"/>
      </w:r>
    </w:p>
    <w:p w14:paraId="0709F005" w14:textId="77777777" w:rsidR="002E3D9A" w:rsidRPr="004330C1" w:rsidRDefault="002E3D9A" w:rsidP="002E3D9A">
      <w:pPr>
        <w:pStyle w:val="Caption"/>
        <w:rPr>
          <w:b w:val="0"/>
          <w:color w:val="auto"/>
          <w:sz w:val="24"/>
          <w:szCs w:val="24"/>
        </w:rPr>
      </w:pPr>
      <w:bookmarkStart w:id="2" w:name="_Ref524952184"/>
      <w:r w:rsidRPr="004330C1">
        <w:rPr>
          <w:color w:val="auto"/>
          <w:sz w:val="24"/>
          <w:szCs w:val="24"/>
        </w:rPr>
        <w:t xml:space="preserve">Table </w:t>
      </w:r>
      <w:bookmarkEnd w:id="2"/>
      <w:r w:rsidRPr="004330C1">
        <w:rPr>
          <w:color w:val="auto"/>
          <w:sz w:val="24"/>
          <w:szCs w:val="24"/>
        </w:rPr>
        <w:t>2:</w:t>
      </w:r>
      <w:r w:rsidRPr="004330C1">
        <w:rPr>
          <w:b w:val="0"/>
          <w:color w:val="auto"/>
          <w:sz w:val="24"/>
          <w:szCs w:val="24"/>
        </w:rPr>
        <w:t xml:space="preserve"> Scenario analyses.</w:t>
      </w:r>
    </w:p>
    <w:p w14:paraId="2349B0A2" w14:textId="77777777" w:rsidR="002E3D9A" w:rsidRPr="004330C1" w:rsidRDefault="002E3D9A" w:rsidP="002E3D9A">
      <w:pPr>
        <w:rPr>
          <w:szCs w:val="24"/>
        </w:rPr>
      </w:pPr>
    </w:p>
    <w:tbl>
      <w:tblPr>
        <w:tblStyle w:val="TableGrid"/>
        <w:tblW w:w="0" w:type="auto"/>
        <w:tblLook w:val="04A0" w:firstRow="1" w:lastRow="0" w:firstColumn="1" w:lastColumn="0" w:noHBand="0" w:noVBand="1"/>
      </w:tblPr>
      <w:tblGrid>
        <w:gridCol w:w="1236"/>
        <w:gridCol w:w="7780"/>
      </w:tblGrid>
      <w:tr w:rsidR="002E3D9A" w:rsidRPr="004330C1" w14:paraId="7410C828" w14:textId="77777777" w:rsidTr="00EA2356">
        <w:tc>
          <w:tcPr>
            <w:tcW w:w="1242" w:type="dxa"/>
          </w:tcPr>
          <w:p w14:paraId="5D09EEE5" w14:textId="77777777" w:rsidR="002E3D9A" w:rsidRPr="004330C1" w:rsidRDefault="002E3D9A" w:rsidP="00EA2356">
            <w:pPr>
              <w:spacing w:line="360" w:lineRule="auto"/>
              <w:rPr>
                <w:b/>
                <w:szCs w:val="24"/>
              </w:rPr>
            </w:pPr>
            <w:r w:rsidRPr="004330C1">
              <w:rPr>
                <w:b/>
                <w:szCs w:val="24"/>
              </w:rPr>
              <w:t>Scenario</w:t>
            </w:r>
          </w:p>
        </w:tc>
        <w:tc>
          <w:tcPr>
            <w:tcW w:w="8000" w:type="dxa"/>
          </w:tcPr>
          <w:p w14:paraId="611EC24C" w14:textId="77777777" w:rsidR="002E3D9A" w:rsidRPr="004330C1" w:rsidRDefault="002E3D9A" w:rsidP="00EA2356">
            <w:pPr>
              <w:spacing w:line="360" w:lineRule="auto"/>
              <w:rPr>
                <w:b/>
                <w:szCs w:val="24"/>
              </w:rPr>
            </w:pPr>
            <w:r w:rsidRPr="004330C1">
              <w:rPr>
                <w:b/>
                <w:szCs w:val="24"/>
              </w:rPr>
              <w:t>Assumption tested</w:t>
            </w:r>
          </w:p>
        </w:tc>
      </w:tr>
      <w:tr w:rsidR="002E3D9A" w:rsidRPr="004330C1" w14:paraId="211865F0" w14:textId="77777777" w:rsidTr="00EA2356">
        <w:tc>
          <w:tcPr>
            <w:tcW w:w="1242" w:type="dxa"/>
          </w:tcPr>
          <w:p w14:paraId="42DB8B9C" w14:textId="77777777" w:rsidR="002E3D9A" w:rsidRPr="004330C1" w:rsidRDefault="002E3D9A" w:rsidP="00EA2356">
            <w:pPr>
              <w:spacing w:line="360" w:lineRule="auto"/>
              <w:rPr>
                <w:szCs w:val="24"/>
              </w:rPr>
            </w:pPr>
            <w:r w:rsidRPr="004330C1">
              <w:rPr>
                <w:szCs w:val="24"/>
              </w:rPr>
              <w:t>(i)</w:t>
            </w:r>
          </w:p>
        </w:tc>
        <w:tc>
          <w:tcPr>
            <w:tcW w:w="8000" w:type="dxa"/>
          </w:tcPr>
          <w:p w14:paraId="7B87BADB" w14:textId="77777777" w:rsidR="002E3D9A" w:rsidRPr="004330C1" w:rsidRDefault="002E3D9A" w:rsidP="00EA2356">
            <w:pPr>
              <w:spacing w:line="360" w:lineRule="auto"/>
              <w:rPr>
                <w:szCs w:val="24"/>
              </w:rPr>
            </w:pPr>
            <w:r w:rsidRPr="004330C1">
              <w:rPr>
                <w:szCs w:val="24"/>
              </w:rPr>
              <w:t>25% reduction in the price of Remicade® in response to the biosimilar entrance to the market.</w:t>
            </w:r>
          </w:p>
        </w:tc>
      </w:tr>
      <w:tr w:rsidR="002E3D9A" w:rsidRPr="004330C1" w14:paraId="46F59C4A" w14:textId="77777777" w:rsidTr="00EA2356">
        <w:tc>
          <w:tcPr>
            <w:tcW w:w="1242" w:type="dxa"/>
          </w:tcPr>
          <w:p w14:paraId="400B5DC3" w14:textId="77777777" w:rsidR="002E3D9A" w:rsidRPr="004330C1" w:rsidRDefault="002E3D9A" w:rsidP="00EA2356">
            <w:pPr>
              <w:spacing w:line="360" w:lineRule="auto"/>
              <w:rPr>
                <w:szCs w:val="24"/>
              </w:rPr>
            </w:pPr>
            <w:r w:rsidRPr="004330C1">
              <w:rPr>
                <w:szCs w:val="24"/>
              </w:rPr>
              <w:t>(ii)</w:t>
            </w:r>
          </w:p>
        </w:tc>
        <w:tc>
          <w:tcPr>
            <w:tcW w:w="8000" w:type="dxa"/>
          </w:tcPr>
          <w:p w14:paraId="0F18D6D0" w14:textId="77777777" w:rsidR="002E3D9A" w:rsidRPr="004330C1" w:rsidRDefault="002E3D9A" w:rsidP="00EA2356">
            <w:pPr>
              <w:spacing w:line="360" w:lineRule="auto"/>
              <w:rPr>
                <w:szCs w:val="24"/>
              </w:rPr>
            </w:pPr>
            <w:r w:rsidRPr="004330C1">
              <w:rPr>
                <w:szCs w:val="24"/>
              </w:rPr>
              <w:t>Patients who had not experienced any adverse event continuing with IFX despite secondary non-response, and remaining in the moderate-to-severe disease state.</w:t>
            </w:r>
          </w:p>
        </w:tc>
      </w:tr>
      <w:tr w:rsidR="002E3D9A" w:rsidRPr="004330C1" w14:paraId="61EBFAC4" w14:textId="77777777" w:rsidTr="00EA2356">
        <w:tc>
          <w:tcPr>
            <w:tcW w:w="1242" w:type="dxa"/>
          </w:tcPr>
          <w:p w14:paraId="57799B99" w14:textId="77777777" w:rsidR="002E3D9A" w:rsidRPr="004330C1" w:rsidRDefault="002E3D9A" w:rsidP="00EA2356">
            <w:pPr>
              <w:spacing w:line="360" w:lineRule="auto"/>
              <w:rPr>
                <w:szCs w:val="24"/>
              </w:rPr>
            </w:pPr>
            <w:r w:rsidRPr="004330C1">
              <w:rPr>
                <w:szCs w:val="24"/>
              </w:rPr>
              <w:t>(iii)</w:t>
            </w:r>
          </w:p>
        </w:tc>
        <w:tc>
          <w:tcPr>
            <w:tcW w:w="8000" w:type="dxa"/>
          </w:tcPr>
          <w:p w14:paraId="6F5318D1" w14:textId="77777777" w:rsidR="002E3D9A" w:rsidRPr="004330C1" w:rsidRDefault="002E3D9A" w:rsidP="00EA2356">
            <w:pPr>
              <w:spacing w:line="360" w:lineRule="auto"/>
              <w:rPr>
                <w:szCs w:val="24"/>
              </w:rPr>
            </w:pPr>
            <w:r w:rsidRPr="004330C1">
              <w:rPr>
                <w:szCs w:val="24"/>
              </w:rPr>
              <w:t>Shorter washout period of 8 weeks in those who experienced a severe infusion reaction and stopped IFX therapy.</w:t>
            </w:r>
          </w:p>
        </w:tc>
      </w:tr>
      <w:tr w:rsidR="002E3D9A" w:rsidRPr="004330C1" w14:paraId="4556D075" w14:textId="77777777" w:rsidTr="00EA2356">
        <w:tc>
          <w:tcPr>
            <w:tcW w:w="1242" w:type="dxa"/>
          </w:tcPr>
          <w:p w14:paraId="35002053" w14:textId="77777777" w:rsidR="002E3D9A" w:rsidRPr="004330C1" w:rsidRDefault="002E3D9A" w:rsidP="00EA2356">
            <w:pPr>
              <w:spacing w:line="360" w:lineRule="auto"/>
              <w:rPr>
                <w:szCs w:val="24"/>
              </w:rPr>
            </w:pPr>
            <w:r w:rsidRPr="004330C1">
              <w:rPr>
                <w:szCs w:val="24"/>
              </w:rPr>
              <w:t>(iv)</w:t>
            </w:r>
          </w:p>
        </w:tc>
        <w:tc>
          <w:tcPr>
            <w:tcW w:w="8000" w:type="dxa"/>
          </w:tcPr>
          <w:p w14:paraId="60E4D1F0" w14:textId="77777777" w:rsidR="002E3D9A" w:rsidRPr="004330C1" w:rsidRDefault="002E3D9A" w:rsidP="00EA2356">
            <w:pPr>
              <w:spacing w:line="360" w:lineRule="auto"/>
              <w:rPr>
                <w:szCs w:val="24"/>
              </w:rPr>
            </w:pPr>
            <w:r w:rsidRPr="004330C1">
              <w:rPr>
                <w:szCs w:val="24"/>
              </w:rPr>
              <w:t>Shorter time to loss of response (LOR) in patients who developed ATIs (lower quartile of the interquartile range from ACCENT I)</w:t>
            </w:r>
            <w:r>
              <w:rPr>
                <w:szCs w:val="24"/>
              </w:rPr>
              <w:t xml:space="preserve"> [</w:t>
            </w:r>
            <w:r w:rsidRPr="00CD7EB3">
              <w:rPr>
                <w:noProof/>
                <w:szCs w:val="24"/>
              </w:rPr>
              <w:t>23</w:t>
            </w:r>
            <w:r>
              <w:rPr>
                <w:szCs w:val="24"/>
              </w:rPr>
              <w:t>]</w:t>
            </w:r>
            <w:r w:rsidRPr="004330C1">
              <w:rPr>
                <w:szCs w:val="24"/>
              </w:rPr>
              <w:t xml:space="preserve"> to reflect the potential for increased clearance of the drug due to antibodies.</w:t>
            </w:r>
          </w:p>
        </w:tc>
      </w:tr>
      <w:tr w:rsidR="002E3D9A" w:rsidRPr="004330C1" w14:paraId="146E7B9F" w14:textId="77777777" w:rsidTr="00EA2356">
        <w:tc>
          <w:tcPr>
            <w:tcW w:w="1242" w:type="dxa"/>
          </w:tcPr>
          <w:p w14:paraId="2E880467" w14:textId="77777777" w:rsidR="002E3D9A" w:rsidRPr="004330C1" w:rsidRDefault="002E3D9A" w:rsidP="00EA2356">
            <w:pPr>
              <w:spacing w:line="360" w:lineRule="auto"/>
              <w:rPr>
                <w:szCs w:val="24"/>
              </w:rPr>
            </w:pPr>
            <w:r w:rsidRPr="004330C1">
              <w:rPr>
                <w:szCs w:val="24"/>
              </w:rPr>
              <w:t>(v)</w:t>
            </w:r>
          </w:p>
        </w:tc>
        <w:tc>
          <w:tcPr>
            <w:tcW w:w="8000" w:type="dxa"/>
          </w:tcPr>
          <w:p w14:paraId="331DAC79" w14:textId="77777777" w:rsidR="002E3D9A" w:rsidRPr="004330C1" w:rsidRDefault="002E3D9A" w:rsidP="00EA2356">
            <w:pPr>
              <w:spacing w:line="360" w:lineRule="auto"/>
              <w:rPr>
                <w:szCs w:val="24"/>
              </w:rPr>
            </w:pPr>
            <w:r w:rsidRPr="004330C1">
              <w:rPr>
                <w:szCs w:val="24"/>
              </w:rPr>
              <w:t xml:space="preserve">Patients switch to adalimumab (ADA) upon IFX failure.  Therapy begins with an 80mg subcutaneous injection in week 0, followed by 40mg in week 2 and every other week as per </w:t>
            </w:r>
            <w:r>
              <w:rPr>
                <w:szCs w:val="24"/>
              </w:rPr>
              <w:t>the product label [</w:t>
            </w:r>
            <w:r w:rsidRPr="00CD7EB3">
              <w:rPr>
                <w:noProof/>
                <w:szCs w:val="24"/>
              </w:rPr>
              <w:t>41</w:t>
            </w:r>
            <w:r>
              <w:rPr>
                <w:szCs w:val="24"/>
              </w:rPr>
              <w:t>].</w:t>
            </w:r>
            <w:r w:rsidRPr="004330C1">
              <w:rPr>
                <w:szCs w:val="24"/>
              </w:rPr>
              <w:t xml:space="preserve">  Initial response is checked at week 12 and patients transition to standard care if no response.</w:t>
            </w:r>
          </w:p>
        </w:tc>
      </w:tr>
      <w:tr w:rsidR="002E3D9A" w:rsidRPr="004330C1" w14:paraId="7F44ECEC" w14:textId="77777777" w:rsidTr="00EA2356">
        <w:tc>
          <w:tcPr>
            <w:tcW w:w="1242" w:type="dxa"/>
          </w:tcPr>
          <w:p w14:paraId="6D89382F" w14:textId="77777777" w:rsidR="002E3D9A" w:rsidRPr="004330C1" w:rsidRDefault="002E3D9A" w:rsidP="00EA2356">
            <w:pPr>
              <w:spacing w:line="360" w:lineRule="auto"/>
              <w:rPr>
                <w:szCs w:val="24"/>
              </w:rPr>
            </w:pPr>
            <w:r w:rsidRPr="004330C1">
              <w:rPr>
                <w:szCs w:val="24"/>
              </w:rPr>
              <w:t>(vi)</w:t>
            </w:r>
          </w:p>
        </w:tc>
        <w:tc>
          <w:tcPr>
            <w:tcW w:w="8000" w:type="dxa"/>
          </w:tcPr>
          <w:p w14:paraId="443D5078" w14:textId="77777777" w:rsidR="002E3D9A" w:rsidRPr="004330C1" w:rsidRDefault="002E3D9A" w:rsidP="00EA2356">
            <w:pPr>
              <w:spacing w:line="360" w:lineRule="auto"/>
              <w:rPr>
                <w:szCs w:val="24"/>
              </w:rPr>
            </w:pPr>
            <w:r w:rsidRPr="004330C1">
              <w:rPr>
                <w:szCs w:val="24"/>
              </w:rPr>
              <w:t>Patients switch to ustekinumab (UST) upon IFX failure.  UST is infused at an initial dose of 6mg/kg, with further therapy (90mg) administered subcutaneously at week 8 and every subsequent 12 weeks</w:t>
            </w:r>
            <w:r>
              <w:rPr>
                <w:szCs w:val="24"/>
              </w:rPr>
              <w:t xml:space="preserve"> [</w:t>
            </w:r>
            <w:r w:rsidRPr="00CD7EB3">
              <w:rPr>
                <w:noProof/>
                <w:szCs w:val="24"/>
              </w:rPr>
              <w:t>42</w:t>
            </w:r>
            <w:r>
              <w:rPr>
                <w:szCs w:val="24"/>
              </w:rPr>
              <w:t>].</w:t>
            </w:r>
            <w:r w:rsidRPr="004330C1">
              <w:rPr>
                <w:szCs w:val="24"/>
              </w:rPr>
              <w:t xml:space="preserve">  Initial response is checked at week 16 and patients transition to standard care if no response</w:t>
            </w:r>
            <w:r>
              <w:rPr>
                <w:szCs w:val="24"/>
              </w:rPr>
              <w:t xml:space="preserve"> [</w:t>
            </w:r>
            <w:r w:rsidRPr="00CD7EB3">
              <w:rPr>
                <w:noProof/>
                <w:szCs w:val="24"/>
              </w:rPr>
              <w:t>42</w:t>
            </w:r>
            <w:r>
              <w:rPr>
                <w:noProof/>
                <w:szCs w:val="24"/>
              </w:rPr>
              <w:t>].</w:t>
            </w:r>
          </w:p>
        </w:tc>
      </w:tr>
      <w:tr w:rsidR="002E3D9A" w:rsidRPr="004330C1" w14:paraId="3E1682C9" w14:textId="77777777" w:rsidTr="00EA2356">
        <w:tc>
          <w:tcPr>
            <w:tcW w:w="1242" w:type="dxa"/>
          </w:tcPr>
          <w:p w14:paraId="12421811" w14:textId="77777777" w:rsidR="002E3D9A" w:rsidRPr="004330C1" w:rsidRDefault="002E3D9A" w:rsidP="00EA2356">
            <w:pPr>
              <w:spacing w:line="360" w:lineRule="auto"/>
              <w:rPr>
                <w:szCs w:val="24"/>
              </w:rPr>
            </w:pPr>
            <w:r w:rsidRPr="004330C1">
              <w:rPr>
                <w:szCs w:val="24"/>
              </w:rPr>
              <w:t>(vii)</w:t>
            </w:r>
          </w:p>
        </w:tc>
        <w:tc>
          <w:tcPr>
            <w:tcW w:w="8000" w:type="dxa"/>
          </w:tcPr>
          <w:p w14:paraId="0CA2013F" w14:textId="77777777" w:rsidR="002E3D9A" w:rsidRPr="004330C1" w:rsidRDefault="002E3D9A" w:rsidP="00EA2356">
            <w:pPr>
              <w:spacing w:line="360" w:lineRule="auto"/>
              <w:rPr>
                <w:szCs w:val="24"/>
              </w:rPr>
            </w:pPr>
            <w:r w:rsidRPr="004330C1">
              <w:rPr>
                <w:szCs w:val="24"/>
              </w:rPr>
              <w:t>Patients switch to vedolizumab (VED) upon IFX failure.  VED is administered as 300mg infusions at weeks 0, 2 and 6, followed by maintenance infusions at week 14 and every 8 weeks after</w:t>
            </w:r>
            <w:r>
              <w:rPr>
                <w:szCs w:val="24"/>
              </w:rPr>
              <w:t xml:space="preserve"> [</w:t>
            </w:r>
            <w:r w:rsidRPr="00CD7EB3">
              <w:rPr>
                <w:noProof/>
                <w:szCs w:val="24"/>
              </w:rPr>
              <w:t>43</w:t>
            </w:r>
            <w:r>
              <w:rPr>
                <w:szCs w:val="24"/>
              </w:rPr>
              <w:t>].</w:t>
            </w:r>
            <w:r w:rsidRPr="004330C1">
              <w:rPr>
                <w:szCs w:val="24"/>
              </w:rPr>
              <w:t xml:space="preserve">  Initial response is checked at week 14 and patients move to standard care if no response.</w:t>
            </w:r>
          </w:p>
        </w:tc>
      </w:tr>
    </w:tbl>
    <w:p w14:paraId="00A43C01" w14:textId="77777777" w:rsidR="002E3D9A" w:rsidRPr="004330C1" w:rsidRDefault="002E3D9A" w:rsidP="002E3D9A">
      <w:pPr>
        <w:rPr>
          <w:szCs w:val="24"/>
        </w:rPr>
      </w:pPr>
    </w:p>
    <w:p w14:paraId="7F51E264" w14:textId="77777777" w:rsidR="002E3D9A" w:rsidRDefault="002E3D9A" w:rsidP="00263545">
      <w:pPr>
        <w:spacing w:line="480" w:lineRule="auto"/>
        <w:rPr>
          <w:rFonts w:eastAsiaTheme="majorEastAsia" w:cstheme="majorBidi"/>
          <w:sz w:val="22"/>
        </w:rPr>
        <w:sectPr w:rsidR="002E3D9A">
          <w:footerReference w:type="default" r:id="rId8"/>
          <w:pgSz w:w="11906" w:h="16838"/>
          <w:pgMar w:top="1440" w:right="1440" w:bottom="1440" w:left="1440" w:header="708" w:footer="708" w:gutter="0"/>
          <w:cols w:space="708"/>
          <w:docGrid w:linePitch="360"/>
        </w:sectPr>
      </w:pPr>
    </w:p>
    <w:p w14:paraId="772C5BCC" w14:textId="77777777" w:rsidR="002E3D9A" w:rsidRPr="00A06659" w:rsidRDefault="002E3D9A" w:rsidP="002E3D9A">
      <w:pPr>
        <w:pStyle w:val="Caption"/>
        <w:rPr>
          <w:b w:val="0"/>
          <w:color w:val="auto"/>
          <w:sz w:val="24"/>
        </w:rPr>
      </w:pPr>
      <w:r w:rsidRPr="00A06659">
        <w:rPr>
          <w:color w:val="auto"/>
          <w:sz w:val="24"/>
        </w:rPr>
        <w:t xml:space="preserve">Table </w:t>
      </w:r>
      <w:r>
        <w:rPr>
          <w:color w:val="auto"/>
          <w:sz w:val="24"/>
        </w:rPr>
        <w:t>3</w:t>
      </w:r>
      <w:r w:rsidRPr="00A06659">
        <w:rPr>
          <w:color w:val="auto"/>
          <w:sz w:val="24"/>
        </w:rPr>
        <w:t>:</w:t>
      </w:r>
      <w:r w:rsidRPr="00A06659">
        <w:rPr>
          <w:b w:val="0"/>
          <w:color w:val="auto"/>
          <w:sz w:val="24"/>
        </w:rPr>
        <w:t xml:space="preserve"> Model results for base case and scenarios.</w:t>
      </w:r>
    </w:p>
    <w:tbl>
      <w:tblPr>
        <w:tblW w:w="14186" w:type="dxa"/>
        <w:tblLayout w:type="fixed"/>
        <w:tblLook w:val="04A0" w:firstRow="1" w:lastRow="0" w:firstColumn="1" w:lastColumn="0" w:noHBand="0" w:noVBand="1"/>
      </w:tblPr>
      <w:tblGrid>
        <w:gridCol w:w="1701"/>
        <w:gridCol w:w="2835"/>
        <w:gridCol w:w="1134"/>
        <w:gridCol w:w="1134"/>
        <w:gridCol w:w="1276"/>
        <w:gridCol w:w="1418"/>
        <w:gridCol w:w="1275"/>
        <w:gridCol w:w="1134"/>
        <w:gridCol w:w="1134"/>
        <w:gridCol w:w="1134"/>
        <w:gridCol w:w="11"/>
      </w:tblGrid>
      <w:tr w:rsidR="002E3D9A" w:rsidRPr="00D4244F" w14:paraId="55098831" w14:textId="77777777" w:rsidTr="00EA2356">
        <w:trPr>
          <w:gridAfter w:val="1"/>
          <w:wAfter w:w="11" w:type="dxa"/>
          <w:trHeight w:val="524"/>
        </w:trPr>
        <w:tc>
          <w:tcPr>
            <w:tcW w:w="1701" w:type="dxa"/>
            <w:tcBorders>
              <w:bottom w:val="single" w:sz="4" w:space="0" w:color="auto"/>
            </w:tcBorders>
            <w:shd w:val="clear" w:color="auto" w:fill="auto"/>
            <w:hideMark/>
          </w:tcPr>
          <w:p w14:paraId="7BCAA534" w14:textId="77777777" w:rsidR="002E3D9A" w:rsidRPr="00D4244F" w:rsidRDefault="002E3D9A" w:rsidP="00EA2356">
            <w:pPr>
              <w:spacing w:after="0" w:line="240" w:lineRule="auto"/>
              <w:jc w:val="center"/>
              <w:rPr>
                <w:rFonts w:ascii="Calibri" w:eastAsia="Times New Roman" w:hAnsi="Calibri" w:cs="Times New Roman"/>
                <w:sz w:val="20"/>
                <w:szCs w:val="20"/>
                <w:lang w:eastAsia="en-GB"/>
              </w:rPr>
            </w:pPr>
          </w:p>
        </w:tc>
        <w:tc>
          <w:tcPr>
            <w:tcW w:w="2835" w:type="dxa"/>
            <w:tcBorders>
              <w:bottom w:val="single" w:sz="4" w:space="0" w:color="auto"/>
            </w:tcBorders>
            <w:shd w:val="clear" w:color="auto" w:fill="auto"/>
            <w:hideMark/>
          </w:tcPr>
          <w:p w14:paraId="2830C516" w14:textId="77777777" w:rsidR="002E3D9A" w:rsidRPr="00A06659" w:rsidRDefault="002E3D9A" w:rsidP="00EA2356">
            <w:pPr>
              <w:spacing w:after="0" w:line="240" w:lineRule="auto"/>
              <w:jc w:val="center"/>
              <w:rPr>
                <w:rFonts w:ascii="Calibri" w:eastAsia="Times New Roman" w:hAnsi="Calibri" w:cs="Times New Roman"/>
                <w:sz w:val="20"/>
                <w:szCs w:val="20"/>
                <w:lang w:eastAsia="en-GB"/>
              </w:rPr>
            </w:pPr>
          </w:p>
        </w:tc>
        <w:tc>
          <w:tcPr>
            <w:tcW w:w="1134" w:type="dxa"/>
            <w:tcBorders>
              <w:bottom w:val="single" w:sz="4" w:space="0" w:color="auto"/>
            </w:tcBorders>
            <w:shd w:val="clear" w:color="auto" w:fill="auto"/>
            <w:hideMark/>
          </w:tcPr>
          <w:p w14:paraId="7205A6F2" w14:textId="77777777" w:rsidR="002E3D9A" w:rsidRPr="00D4244F" w:rsidRDefault="002E3D9A" w:rsidP="00EA2356">
            <w:pPr>
              <w:spacing w:after="0" w:line="240" w:lineRule="auto"/>
              <w:jc w:val="center"/>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Base case</w:t>
            </w:r>
          </w:p>
        </w:tc>
        <w:tc>
          <w:tcPr>
            <w:tcW w:w="1134" w:type="dxa"/>
            <w:tcBorders>
              <w:bottom w:val="single" w:sz="4" w:space="0" w:color="auto"/>
            </w:tcBorders>
            <w:shd w:val="clear" w:color="auto" w:fill="auto"/>
            <w:hideMark/>
          </w:tcPr>
          <w:p w14:paraId="5DE27677" w14:textId="77777777" w:rsidR="002E3D9A" w:rsidRPr="00D4244F" w:rsidRDefault="002E3D9A" w:rsidP="00EA2356">
            <w:pPr>
              <w:spacing w:after="0" w:line="240" w:lineRule="auto"/>
              <w:ind w:left="27" w:right="-105"/>
              <w:jc w:val="center"/>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(i) Remicade price drop</w:t>
            </w:r>
          </w:p>
        </w:tc>
        <w:tc>
          <w:tcPr>
            <w:tcW w:w="1276" w:type="dxa"/>
            <w:tcBorders>
              <w:bottom w:val="single" w:sz="4" w:space="0" w:color="auto"/>
            </w:tcBorders>
            <w:shd w:val="clear" w:color="auto" w:fill="auto"/>
            <w:hideMark/>
          </w:tcPr>
          <w:p w14:paraId="53E7AA71" w14:textId="77777777" w:rsidR="002E3D9A" w:rsidRPr="00D4244F" w:rsidRDefault="002E3D9A" w:rsidP="00EA2356">
            <w:pPr>
              <w:spacing w:after="0" w:line="240" w:lineRule="auto"/>
              <w:jc w:val="center"/>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(ii)</w:t>
            </w:r>
          </w:p>
          <w:p w14:paraId="79828A83" w14:textId="77777777" w:rsidR="002E3D9A" w:rsidRPr="00D4244F" w:rsidRDefault="002E3D9A" w:rsidP="00EA2356">
            <w:pPr>
              <w:spacing w:after="0" w:line="240" w:lineRule="auto"/>
              <w:jc w:val="center"/>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LOR no AEs continue IFX</w:t>
            </w:r>
          </w:p>
        </w:tc>
        <w:tc>
          <w:tcPr>
            <w:tcW w:w="1418" w:type="dxa"/>
            <w:tcBorders>
              <w:bottom w:val="single" w:sz="4" w:space="0" w:color="auto"/>
            </w:tcBorders>
            <w:shd w:val="clear" w:color="auto" w:fill="auto"/>
            <w:hideMark/>
          </w:tcPr>
          <w:p w14:paraId="2008BF26" w14:textId="77777777" w:rsidR="002E3D9A" w:rsidRPr="00D4244F" w:rsidRDefault="002E3D9A" w:rsidP="00EA2356">
            <w:pPr>
              <w:spacing w:after="0" w:line="240" w:lineRule="auto"/>
              <w:jc w:val="center"/>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(iii)</w:t>
            </w:r>
          </w:p>
          <w:p w14:paraId="0A99DC84" w14:textId="77777777" w:rsidR="002E3D9A" w:rsidRPr="00D4244F" w:rsidRDefault="002E3D9A" w:rsidP="00EA2356">
            <w:pPr>
              <w:spacing w:after="0" w:line="240" w:lineRule="auto"/>
              <w:jc w:val="center"/>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8 week wash-out after SIR ends IFX</w:t>
            </w:r>
          </w:p>
        </w:tc>
        <w:tc>
          <w:tcPr>
            <w:tcW w:w="1275" w:type="dxa"/>
            <w:tcBorders>
              <w:bottom w:val="single" w:sz="4" w:space="0" w:color="auto"/>
            </w:tcBorders>
            <w:shd w:val="clear" w:color="auto" w:fill="auto"/>
            <w:hideMark/>
          </w:tcPr>
          <w:p w14:paraId="4BAD60E9" w14:textId="77777777" w:rsidR="002E3D9A" w:rsidRPr="00D4244F" w:rsidRDefault="002E3D9A" w:rsidP="00EA2356">
            <w:pPr>
              <w:spacing w:after="0" w:line="240" w:lineRule="auto"/>
              <w:jc w:val="center"/>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(iv)</w:t>
            </w:r>
          </w:p>
          <w:p w14:paraId="556BA3E2" w14:textId="77777777" w:rsidR="002E3D9A" w:rsidRPr="00D4244F" w:rsidRDefault="002E3D9A" w:rsidP="00EA2356">
            <w:pPr>
              <w:spacing w:after="0" w:line="240" w:lineRule="auto"/>
              <w:jc w:val="center"/>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Shorter time to LOR with ATI</w:t>
            </w:r>
          </w:p>
        </w:tc>
        <w:tc>
          <w:tcPr>
            <w:tcW w:w="1134" w:type="dxa"/>
            <w:tcBorders>
              <w:bottom w:val="single" w:sz="4" w:space="0" w:color="auto"/>
            </w:tcBorders>
            <w:shd w:val="clear" w:color="auto" w:fill="auto"/>
            <w:hideMark/>
          </w:tcPr>
          <w:p w14:paraId="1D7AFBC1" w14:textId="77777777" w:rsidR="002E3D9A" w:rsidRDefault="002E3D9A" w:rsidP="00EA2356">
            <w:pPr>
              <w:spacing w:after="0" w:line="240" w:lineRule="auto"/>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(v)</w:t>
            </w:r>
          </w:p>
          <w:p w14:paraId="1218EF1C" w14:textId="77777777" w:rsidR="002E3D9A" w:rsidRPr="00D4244F" w:rsidRDefault="002E3D9A" w:rsidP="00EA2356">
            <w:pPr>
              <w:spacing w:after="0" w:line="240" w:lineRule="auto"/>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S</w:t>
            </w:r>
            <w:r w:rsidRPr="00D4244F">
              <w:rPr>
                <w:rFonts w:ascii="Calibri" w:eastAsia="Times New Roman" w:hAnsi="Calibri" w:cs="Times New Roman"/>
                <w:b/>
                <w:bCs/>
                <w:sz w:val="20"/>
                <w:szCs w:val="20"/>
                <w:lang w:eastAsia="en-GB"/>
              </w:rPr>
              <w:t>witch to ADA upon IFX failure</w:t>
            </w:r>
          </w:p>
        </w:tc>
        <w:tc>
          <w:tcPr>
            <w:tcW w:w="1134" w:type="dxa"/>
            <w:tcBorders>
              <w:bottom w:val="single" w:sz="4" w:space="0" w:color="auto"/>
            </w:tcBorders>
            <w:shd w:val="clear" w:color="auto" w:fill="auto"/>
            <w:hideMark/>
          </w:tcPr>
          <w:p w14:paraId="6199D066" w14:textId="77777777" w:rsidR="002E3D9A" w:rsidRPr="00D4244F" w:rsidRDefault="002E3D9A" w:rsidP="00EA2356">
            <w:pPr>
              <w:spacing w:after="0" w:line="240" w:lineRule="auto"/>
              <w:jc w:val="center"/>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(vi)</w:t>
            </w:r>
          </w:p>
          <w:p w14:paraId="64DCC0FA" w14:textId="77777777" w:rsidR="002E3D9A" w:rsidRPr="00D4244F" w:rsidRDefault="002E3D9A" w:rsidP="00EA2356">
            <w:pPr>
              <w:spacing w:after="0" w:line="240" w:lineRule="auto"/>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S</w:t>
            </w:r>
            <w:r w:rsidRPr="00D4244F">
              <w:rPr>
                <w:rFonts w:ascii="Calibri" w:eastAsia="Times New Roman" w:hAnsi="Calibri" w:cs="Times New Roman"/>
                <w:b/>
                <w:bCs/>
                <w:sz w:val="20"/>
                <w:szCs w:val="20"/>
                <w:lang w:eastAsia="en-GB"/>
              </w:rPr>
              <w:t>witch to UST upon IFX failure</w:t>
            </w:r>
          </w:p>
        </w:tc>
        <w:tc>
          <w:tcPr>
            <w:tcW w:w="1134" w:type="dxa"/>
            <w:tcBorders>
              <w:bottom w:val="single" w:sz="4" w:space="0" w:color="auto"/>
            </w:tcBorders>
            <w:shd w:val="clear" w:color="auto" w:fill="auto"/>
            <w:hideMark/>
          </w:tcPr>
          <w:p w14:paraId="03E4348E" w14:textId="77777777" w:rsidR="002E3D9A" w:rsidRPr="00D4244F" w:rsidRDefault="002E3D9A" w:rsidP="00EA2356">
            <w:pPr>
              <w:spacing w:after="0" w:line="240" w:lineRule="auto"/>
              <w:jc w:val="center"/>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(vii)</w:t>
            </w:r>
          </w:p>
          <w:p w14:paraId="64C0D71E" w14:textId="77777777" w:rsidR="002E3D9A" w:rsidRPr="00D4244F" w:rsidRDefault="002E3D9A" w:rsidP="00EA2356">
            <w:pPr>
              <w:spacing w:after="0" w:line="240" w:lineRule="auto"/>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S</w:t>
            </w:r>
            <w:r w:rsidRPr="00D4244F">
              <w:rPr>
                <w:rFonts w:ascii="Calibri" w:eastAsia="Times New Roman" w:hAnsi="Calibri" w:cs="Times New Roman"/>
                <w:b/>
                <w:bCs/>
                <w:sz w:val="20"/>
                <w:szCs w:val="20"/>
                <w:lang w:eastAsia="en-GB"/>
              </w:rPr>
              <w:t>witch to VED upon IFX failure</w:t>
            </w:r>
          </w:p>
        </w:tc>
      </w:tr>
      <w:tr w:rsidR="002E3D9A" w:rsidRPr="00D4244F" w14:paraId="6C954906" w14:textId="77777777" w:rsidTr="00EA2356">
        <w:trPr>
          <w:gridAfter w:val="1"/>
          <w:wAfter w:w="11" w:type="dxa"/>
          <w:trHeight w:val="300"/>
        </w:trPr>
        <w:tc>
          <w:tcPr>
            <w:tcW w:w="1701" w:type="dxa"/>
            <w:vMerge w:val="restart"/>
            <w:tcBorders>
              <w:top w:val="single" w:sz="4" w:space="0" w:color="auto"/>
            </w:tcBorders>
            <w:shd w:val="clear" w:color="auto" w:fill="auto"/>
            <w:noWrap/>
            <w:hideMark/>
          </w:tcPr>
          <w:p w14:paraId="69BAA806"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Vial cost</w:t>
            </w:r>
          </w:p>
        </w:tc>
        <w:tc>
          <w:tcPr>
            <w:tcW w:w="2835" w:type="dxa"/>
            <w:tcBorders>
              <w:top w:val="single" w:sz="4" w:space="0" w:color="auto"/>
            </w:tcBorders>
            <w:shd w:val="clear" w:color="auto" w:fill="auto"/>
            <w:noWrap/>
            <w:vAlign w:val="bottom"/>
            <w:hideMark/>
          </w:tcPr>
          <w:p w14:paraId="38CCE16C"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Inflectra</w:t>
            </w:r>
          </w:p>
        </w:tc>
        <w:tc>
          <w:tcPr>
            <w:tcW w:w="1134" w:type="dxa"/>
            <w:tcBorders>
              <w:top w:val="single" w:sz="4" w:space="0" w:color="auto"/>
            </w:tcBorders>
            <w:shd w:val="clear" w:color="auto" w:fill="auto"/>
            <w:noWrap/>
            <w:vAlign w:val="bottom"/>
            <w:hideMark/>
          </w:tcPr>
          <w:p w14:paraId="26F0ADA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378 </w:t>
            </w:r>
          </w:p>
        </w:tc>
        <w:tc>
          <w:tcPr>
            <w:tcW w:w="1134" w:type="dxa"/>
            <w:tcBorders>
              <w:top w:val="single" w:sz="4" w:space="0" w:color="auto"/>
            </w:tcBorders>
            <w:shd w:val="clear" w:color="auto" w:fill="auto"/>
            <w:noWrap/>
            <w:vAlign w:val="bottom"/>
            <w:hideMark/>
          </w:tcPr>
          <w:p w14:paraId="7A4282B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378</w:t>
            </w:r>
          </w:p>
        </w:tc>
        <w:tc>
          <w:tcPr>
            <w:tcW w:w="1276" w:type="dxa"/>
            <w:tcBorders>
              <w:top w:val="single" w:sz="4" w:space="0" w:color="auto"/>
            </w:tcBorders>
            <w:shd w:val="clear" w:color="auto" w:fill="auto"/>
            <w:noWrap/>
            <w:vAlign w:val="bottom"/>
            <w:hideMark/>
          </w:tcPr>
          <w:p w14:paraId="649E406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378</w:t>
            </w:r>
          </w:p>
        </w:tc>
        <w:tc>
          <w:tcPr>
            <w:tcW w:w="1418" w:type="dxa"/>
            <w:tcBorders>
              <w:top w:val="single" w:sz="4" w:space="0" w:color="auto"/>
            </w:tcBorders>
            <w:shd w:val="clear" w:color="auto" w:fill="auto"/>
            <w:noWrap/>
            <w:vAlign w:val="bottom"/>
            <w:hideMark/>
          </w:tcPr>
          <w:p w14:paraId="261ACFF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378</w:t>
            </w:r>
          </w:p>
        </w:tc>
        <w:tc>
          <w:tcPr>
            <w:tcW w:w="1275" w:type="dxa"/>
            <w:tcBorders>
              <w:top w:val="single" w:sz="4" w:space="0" w:color="auto"/>
            </w:tcBorders>
            <w:shd w:val="clear" w:color="auto" w:fill="auto"/>
            <w:noWrap/>
            <w:vAlign w:val="bottom"/>
            <w:hideMark/>
          </w:tcPr>
          <w:p w14:paraId="6DA846C9"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378</w:t>
            </w:r>
          </w:p>
        </w:tc>
        <w:tc>
          <w:tcPr>
            <w:tcW w:w="1134" w:type="dxa"/>
            <w:tcBorders>
              <w:top w:val="single" w:sz="4" w:space="0" w:color="auto"/>
            </w:tcBorders>
            <w:shd w:val="clear" w:color="auto" w:fill="auto"/>
            <w:noWrap/>
            <w:vAlign w:val="bottom"/>
          </w:tcPr>
          <w:p w14:paraId="6BB07EF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378 </w:t>
            </w:r>
          </w:p>
        </w:tc>
        <w:tc>
          <w:tcPr>
            <w:tcW w:w="1134" w:type="dxa"/>
            <w:tcBorders>
              <w:top w:val="single" w:sz="4" w:space="0" w:color="auto"/>
            </w:tcBorders>
            <w:shd w:val="clear" w:color="auto" w:fill="auto"/>
            <w:noWrap/>
            <w:vAlign w:val="bottom"/>
          </w:tcPr>
          <w:p w14:paraId="6D046E0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378</w:t>
            </w:r>
          </w:p>
        </w:tc>
        <w:tc>
          <w:tcPr>
            <w:tcW w:w="1134" w:type="dxa"/>
            <w:tcBorders>
              <w:top w:val="single" w:sz="4" w:space="0" w:color="auto"/>
            </w:tcBorders>
            <w:shd w:val="clear" w:color="auto" w:fill="auto"/>
            <w:noWrap/>
            <w:vAlign w:val="bottom"/>
          </w:tcPr>
          <w:p w14:paraId="5DFDCC59"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378</w:t>
            </w:r>
          </w:p>
        </w:tc>
      </w:tr>
      <w:tr w:rsidR="002E3D9A" w:rsidRPr="00D4244F" w14:paraId="333190C6" w14:textId="77777777" w:rsidTr="00EA2356">
        <w:trPr>
          <w:gridAfter w:val="1"/>
          <w:wAfter w:w="11" w:type="dxa"/>
          <w:trHeight w:val="315"/>
        </w:trPr>
        <w:tc>
          <w:tcPr>
            <w:tcW w:w="1701" w:type="dxa"/>
            <w:vMerge/>
            <w:hideMark/>
          </w:tcPr>
          <w:p w14:paraId="361F4B17"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noWrap/>
            <w:vAlign w:val="bottom"/>
            <w:hideMark/>
          </w:tcPr>
          <w:p w14:paraId="69907803"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Remicade</w:t>
            </w:r>
          </w:p>
        </w:tc>
        <w:tc>
          <w:tcPr>
            <w:tcW w:w="1134" w:type="dxa"/>
            <w:shd w:val="clear" w:color="auto" w:fill="auto"/>
            <w:noWrap/>
            <w:vAlign w:val="bottom"/>
            <w:hideMark/>
          </w:tcPr>
          <w:p w14:paraId="6658EFF1"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420 </w:t>
            </w:r>
          </w:p>
        </w:tc>
        <w:tc>
          <w:tcPr>
            <w:tcW w:w="1134" w:type="dxa"/>
            <w:shd w:val="clear" w:color="auto" w:fill="auto"/>
            <w:noWrap/>
            <w:vAlign w:val="bottom"/>
            <w:hideMark/>
          </w:tcPr>
          <w:p w14:paraId="7CF9DD1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315 </w:t>
            </w:r>
          </w:p>
        </w:tc>
        <w:tc>
          <w:tcPr>
            <w:tcW w:w="1276" w:type="dxa"/>
            <w:shd w:val="clear" w:color="auto" w:fill="auto"/>
            <w:noWrap/>
            <w:vAlign w:val="bottom"/>
            <w:hideMark/>
          </w:tcPr>
          <w:p w14:paraId="18A4CFA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420</w:t>
            </w:r>
          </w:p>
        </w:tc>
        <w:tc>
          <w:tcPr>
            <w:tcW w:w="1418" w:type="dxa"/>
            <w:shd w:val="clear" w:color="auto" w:fill="auto"/>
            <w:noWrap/>
            <w:vAlign w:val="bottom"/>
            <w:hideMark/>
          </w:tcPr>
          <w:p w14:paraId="05BFB20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420</w:t>
            </w:r>
          </w:p>
        </w:tc>
        <w:tc>
          <w:tcPr>
            <w:tcW w:w="1275" w:type="dxa"/>
            <w:shd w:val="clear" w:color="auto" w:fill="auto"/>
            <w:noWrap/>
            <w:vAlign w:val="bottom"/>
            <w:hideMark/>
          </w:tcPr>
          <w:p w14:paraId="261EA23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420</w:t>
            </w:r>
          </w:p>
        </w:tc>
        <w:tc>
          <w:tcPr>
            <w:tcW w:w="1134" w:type="dxa"/>
            <w:shd w:val="clear" w:color="auto" w:fill="auto"/>
            <w:noWrap/>
            <w:vAlign w:val="bottom"/>
          </w:tcPr>
          <w:p w14:paraId="0043189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420 </w:t>
            </w:r>
          </w:p>
        </w:tc>
        <w:tc>
          <w:tcPr>
            <w:tcW w:w="1134" w:type="dxa"/>
            <w:shd w:val="clear" w:color="auto" w:fill="auto"/>
            <w:noWrap/>
            <w:vAlign w:val="bottom"/>
          </w:tcPr>
          <w:p w14:paraId="29131A3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£ 420 </w:t>
            </w:r>
          </w:p>
        </w:tc>
        <w:tc>
          <w:tcPr>
            <w:tcW w:w="1134" w:type="dxa"/>
            <w:shd w:val="clear" w:color="auto" w:fill="auto"/>
            <w:noWrap/>
            <w:vAlign w:val="bottom"/>
          </w:tcPr>
          <w:p w14:paraId="5CE0B2A0"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420</w:t>
            </w:r>
          </w:p>
        </w:tc>
      </w:tr>
      <w:tr w:rsidR="002E3D9A" w:rsidRPr="00D4244F" w14:paraId="58C7F99D" w14:textId="77777777" w:rsidTr="00EA2356">
        <w:trPr>
          <w:gridAfter w:val="1"/>
          <w:wAfter w:w="11" w:type="dxa"/>
          <w:trHeight w:val="300"/>
        </w:trPr>
        <w:tc>
          <w:tcPr>
            <w:tcW w:w="1701" w:type="dxa"/>
            <w:vMerge w:val="restart"/>
            <w:shd w:val="clear" w:color="auto" w:fill="auto"/>
            <w:noWrap/>
            <w:hideMark/>
          </w:tcPr>
          <w:p w14:paraId="0F8BBDF2"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Expected QALY</w:t>
            </w:r>
          </w:p>
        </w:tc>
        <w:tc>
          <w:tcPr>
            <w:tcW w:w="2835" w:type="dxa"/>
            <w:shd w:val="clear" w:color="auto" w:fill="auto"/>
            <w:noWrap/>
            <w:vAlign w:val="bottom"/>
            <w:hideMark/>
          </w:tcPr>
          <w:p w14:paraId="7F02A15C"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Inflectra</w:t>
            </w:r>
          </w:p>
        </w:tc>
        <w:tc>
          <w:tcPr>
            <w:tcW w:w="1134" w:type="dxa"/>
            <w:shd w:val="clear" w:color="auto" w:fill="auto"/>
            <w:noWrap/>
            <w:vAlign w:val="bottom"/>
            <w:hideMark/>
          </w:tcPr>
          <w:p w14:paraId="22F54C5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0.803</w:t>
            </w:r>
          </w:p>
        </w:tc>
        <w:tc>
          <w:tcPr>
            <w:tcW w:w="1134" w:type="dxa"/>
            <w:shd w:val="clear" w:color="auto" w:fill="auto"/>
            <w:noWrap/>
            <w:vAlign w:val="bottom"/>
            <w:hideMark/>
          </w:tcPr>
          <w:p w14:paraId="377DB00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0.803</w:t>
            </w:r>
          </w:p>
        </w:tc>
        <w:tc>
          <w:tcPr>
            <w:tcW w:w="1276" w:type="dxa"/>
            <w:shd w:val="clear" w:color="auto" w:fill="auto"/>
            <w:noWrap/>
            <w:vAlign w:val="bottom"/>
            <w:hideMark/>
          </w:tcPr>
          <w:p w14:paraId="6BD7700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0.803</w:t>
            </w:r>
          </w:p>
        </w:tc>
        <w:tc>
          <w:tcPr>
            <w:tcW w:w="1418" w:type="dxa"/>
            <w:shd w:val="clear" w:color="auto" w:fill="auto"/>
            <w:noWrap/>
            <w:vAlign w:val="bottom"/>
            <w:hideMark/>
          </w:tcPr>
          <w:p w14:paraId="42F2D60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0.802</w:t>
            </w:r>
          </w:p>
        </w:tc>
        <w:tc>
          <w:tcPr>
            <w:tcW w:w="1275" w:type="dxa"/>
            <w:shd w:val="clear" w:color="auto" w:fill="auto"/>
            <w:noWrap/>
            <w:vAlign w:val="bottom"/>
            <w:hideMark/>
          </w:tcPr>
          <w:p w14:paraId="790997A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0.801</w:t>
            </w:r>
          </w:p>
        </w:tc>
        <w:tc>
          <w:tcPr>
            <w:tcW w:w="1134" w:type="dxa"/>
            <w:shd w:val="clear" w:color="auto" w:fill="auto"/>
            <w:noWrap/>
            <w:vAlign w:val="bottom"/>
          </w:tcPr>
          <w:p w14:paraId="000B6B4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0.816</w:t>
            </w:r>
          </w:p>
        </w:tc>
        <w:tc>
          <w:tcPr>
            <w:tcW w:w="1134" w:type="dxa"/>
            <w:shd w:val="clear" w:color="auto" w:fill="auto"/>
            <w:noWrap/>
            <w:vAlign w:val="bottom"/>
          </w:tcPr>
          <w:p w14:paraId="511EA668"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0.811</w:t>
            </w:r>
          </w:p>
        </w:tc>
        <w:tc>
          <w:tcPr>
            <w:tcW w:w="1134" w:type="dxa"/>
            <w:shd w:val="clear" w:color="auto" w:fill="auto"/>
            <w:noWrap/>
            <w:vAlign w:val="bottom"/>
          </w:tcPr>
          <w:p w14:paraId="1FE2BF0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0.813</w:t>
            </w:r>
          </w:p>
        </w:tc>
      </w:tr>
      <w:tr w:rsidR="002E3D9A" w:rsidRPr="00D4244F" w14:paraId="6FEFAEBA" w14:textId="77777777" w:rsidTr="00EA2356">
        <w:trPr>
          <w:gridAfter w:val="1"/>
          <w:wAfter w:w="11" w:type="dxa"/>
          <w:trHeight w:val="315"/>
        </w:trPr>
        <w:tc>
          <w:tcPr>
            <w:tcW w:w="1701" w:type="dxa"/>
            <w:vMerge/>
            <w:hideMark/>
          </w:tcPr>
          <w:p w14:paraId="0ABFD61A"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noWrap/>
            <w:vAlign w:val="bottom"/>
            <w:hideMark/>
          </w:tcPr>
          <w:p w14:paraId="7C8563A8"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Remicade</w:t>
            </w:r>
          </w:p>
        </w:tc>
        <w:tc>
          <w:tcPr>
            <w:tcW w:w="1134" w:type="dxa"/>
            <w:shd w:val="clear" w:color="auto" w:fill="auto"/>
            <w:noWrap/>
            <w:vAlign w:val="bottom"/>
            <w:hideMark/>
          </w:tcPr>
          <w:p w14:paraId="244D176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0.803</w:t>
            </w:r>
          </w:p>
        </w:tc>
        <w:tc>
          <w:tcPr>
            <w:tcW w:w="1134" w:type="dxa"/>
            <w:shd w:val="clear" w:color="auto" w:fill="auto"/>
            <w:noWrap/>
            <w:vAlign w:val="bottom"/>
            <w:hideMark/>
          </w:tcPr>
          <w:p w14:paraId="3C88599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0.803</w:t>
            </w:r>
          </w:p>
        </w:tc>
        <w:tc>
          <w:tcPr>
            <w:tcW w:w="1276" w:type="dxa"/>
            <w:shd w:val="clear" w:color="auto" w:fill="auto"/>
            <w:noWrap/>
            <w:vAlign w:val="bottom"/>
            <w:hideMark/>
          </w:tcPr>
          <w:p w14:paraId="55E190A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0.803</w:t>
            </w:r>
          </w:p>
        </w:tc>
        <w:tc>
          <w:tcPr>
            <w:tcW w:w="1418" w:type="dxa"/>
            <w:shd w:val="clear" w:color="auto" w:fill="auto"/>
            <w:noWrap/>
            <w:vAlign w:val="bottom"/>
            <w:hideMark/>
          </w:tcPr>
          <w:p w14:paraId="49783E19"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0.802</w:t>
            </w:r>
          </w:p>
        </w:tc>
        <w:tc>
          <w:tcPr>
            <w:tcW w:w="1275" w:type="dxa"/>
            <w:shd w:val="clear" w:color="auto" w:fill="auto"/>
            <w:noWrap/>
            <w:vAlign w:val="bottom"/>
            <w:hideMark/>
          </w:tcPr>
          <w:p w14:paraId="24F32B9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0.801</w:t>
            </w:r>
          </w:p>
        </w:tc>
        <w:tc>
          <w:tcPr>
            <w:tcW w:w="1134" w:type="dxa"/>
            <w:shd w:val="clear" w:color="auto" w:fill="auto"/>
            <w:noWrap/>
            <w:vAlign w:val="bottom"/>
          </w:tcPr>
          <w:p w14:paraId="1FDBDF8D"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0.816</w:t>
            </w:r>
          </w:p>
        </w:tc>
        <w:tc>
          <w:tcPr>
            <w:tcW w:w="1134" w:type="dxa"/>
            <w:shd w:val="clear" w:color="auto" w:fill="auto"/>
            <w:noWrap/>
            <w:vAlign w:val="bottom"/>
          </w:tcPr>
          <w:p w14:paraId="511BF7B1"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0.811</w:t>
            </w:r>
          </w:p>
        </w:tc>
        <w:tc>
          <w:tcPr>
            <w:tcW w:w="1134" w:type="dxa"/>
            <w:shd w:val="clear" w:color="auto" w:fill="auto"/>
            <w:noWrap/>
            <w:vAlign w:val="bottom"/>
          </w:tcPr>
          <w:p w14:paraId="38FA287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0.813</w:t>
            </w:r>
          </w:p>
        </w:tc>
      </w:tr>
      <w:tr w:rsidR="002E3D9A" w:rsidRPr="00D4244F" w14:paraId="6746531A" w14:textId="77777777" w:rsidTr="00EA2356">
        <w:trPr>
          <w:gridAfter w:val="1"/>
          <w:wAfter w:w="11" w:type="dxa"/>
          <w:trHeight w:val="300"/>
        </w:trPr>
        <w:tc>
          <w:tcPr>
            <w:tcW w:w="1701" w:type="dxa"/>
            <w:vMerge w:val="restart"/>
            <w:shd w:val="clear" w:color="auto" w:fill="auto"/>
            <w:noWrap/>
            <w:hideMark/>
          </w:tcPr>
          <w:p w14:paraId="590F10AD"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Expected cost</w:t>
            </w:r>
          </w:p>
        </w:tc>
        <w:tc>
          <w:tcPr>
            <w:tcW w:w="2835" w:type="dxa"/>
            <w:shd w:val="clear" w:color="auto" w:fill="auto"/>
            <w:noWrap/>
            <w:vAlign w:val="bottom"/>
            <w:hideMark/>
          </w:tcPr>
          <w:p w14:paraId="31FFA779"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Inflectra</w:t>
            </w:r>
          </w:p>
        </w:tc>
        <w:tc>
          <w:tcPr>
            <w:tcW w:w="1134" w:type="dxa"/>
            <w:shd w:val="clear" w:color="auto" w:fill="auto"/>
            <w:noWrap/>
            <w:vAlign w:val="bottom"/>
            <w:hideMark/>
          </w:tcPr>
          <w:p w14:paraId="37C892A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18,087 </w:t>
            </w:r>
          </w:p>
        </w:tc>
        <w:tc>
          <w:tcPr>
            <w:tcW w:w="1134" w:type="dxa"/>
            <w:shd w:val="clear" w:color="auto" w:fill="auto"/>
            <w:noWrap/>
            <w:vAlign w:val="bottom"/>
            <w:hideMark/>
          </w:tcPr>
          <w:p w14:paraId="24AE749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18,087</w:t>
            </w:r>
          </w:p>
        </w:tc>
        <w:tc>
          <w:tcPr>
            <w:tcW w:w="1276" w:type="dxa"/>
            <w:shd w:val="clear" w:color="auto" w:fill="auto"/>
            <w:noWrap/>
            <w:vAlign w:val="bottom"/>
            <w:hideMark/>
          </w:tcPr>
          <w:p w14:paraId="53BADA7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18,729 </w:t>
            </w:r>
          </w:p>
        </w:tc>
        <w:tc>
          <w:tcPr>
            <w:tcW w:w="1418" w:type="dxa"/>
            <w:shd w:val="clear" w:color="auto" w:fill="auto"/>
            <w:noWrap/>
            <w:vAlign w:val="bottom"/>
            <w:hideMark/>
          </w:tcPr>
          <w:p w14:paraId="425B970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18,097 </w:t>
            </w:r>
          </w:p>
        </w:tc>
        <w:tc>
          <w:tcPr>
            <w:tcW w:w="1275" w:type="dxa"/>
            <w:shd w:val="clear" w:color="auto" w:fill="auto"/>
            <w:noWrap/>
            <w:vAlign w:val="bottom"/>
            <w:hideMark/>
          </w:tcPr>
          <w:p w14:paraId="4EBE40F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17,821 </w:t>
            </w:r>
          </w:p>
        </w:tc>
        <w:tc>
          <w:tcPr>
            <w:tcW w:w="1134" w:type="dxa"/>
            <w:shd w:val="clear" w:color="auto" w:fill="auto"/>
            <w:noWrap/>
            <w:vAlign w:val="bottom"/>
          </w:tcPr>
          <w:p w14:paraId="73CFE20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£ 18,166 </w:t>
            </w:r>
          </w:p>
        </w:tc>
        <w:tc>
          <w:tcPr>
            <w:tcW w:w="1134" w:type="dxa"/>
            <w:shd w:val="clear" w:color="auto" w:fill="auto"/>
            <w:noWrap/>
            <w:vAlign w:val="bottom"/>
          </w:tcPr>
          <w:p w14:paraId="091F289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£ 19,421 </w:t>
            </w:r>
          </w:p>
        </w:tc>
        <w:tc>
          <w:tcPr>
            <w:tcW w:w="1134" w:type="dxa"/>
            <w:shd w:val="clear" w:color="auto" w:fill="auto"/>
            <w:noWrap/>
            <w:vAlign w:val="bottom"/>
          </w:tcPr>
          <w:p w14:paraId="0B661BD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£ 21,366 </w:t>
            </w:r>
          </w:p>
        </w:tc>
      </w:tr>
      <w:tr w:rsidR="002E3D9A" w:rsidRPr="00D4244F" w14:paraId="62712E2A" w14:textId="77777777" w:rsidTr="00EA2356">
        <w:trPr>
          <w:gridAfter w:val="1"/>
          <w:wAfter w:w="11" w:type="dxa"/>
          <w:trHeight w:val="315"/>
        </w:trPr>
        <w:tc>
          <w:tcPr>
            <w:tcW w:w="1701" w:type="dxa"/>
            <w:vMerge/>
            <w:hideMark/>
          </w:tcPr>
          <w:p w14:paraId="0FEF0A67"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noWrap/>
            <w:vAlign w:val="bottom"/>
            <w:hideMark/>
          </w:tcPr>
          <w:p w14:paraId="606ED1DB"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Remicade</w:t>
            </w:r>
          </w:p>
        </w:tc>
        <w:tc>
          <w:tcPr>
            <w:tcW w:w="1134" w:type="dxa"/>
            <w:shd w:val="clear" w:color="auto" w:fill="auto"/>
            <w:noWrap/>
            <w:vAlign w:val="bottom"/>
            <w:hideMark/>
          </w:tcPr>
          <w:p w14:paraId="1675A07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19,176 </w:t>
            </w:r>
          </w:p>
        </w:tc>
        <w:tc>
          <w:tcPr>
            <w:tcW w:w="1134" w:type="dxa"/>
            <w:shd w:val="clear" w:color="auto" w:fill="auto"/>
            <w:noWrap/>
            <w:vAlign w:val="bottom"/>
            <w:hideMark/>
          </w:tcPr>
          <w:p w14:paraId="399AC4C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16,453 </w:t>
            </w:r>
          </w:p>
        </w:tc>
        <w:tc>
          <w:tcPr>
            <w:tcW w:w="1276" w:type="dxa"/>
            <w:shd w:val="clear" w:color="auto" w:fill="auto"/>
            <w:noWrap/>
            <w:vAlign w:val="bottom"/>
            <w:hideMark/>
          </w:tcPr>
          <w:p w14:paraId="017B2F28"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19,867 </w:t>
            </w:r>
          </w:p>
        </w:tc>
        <w:tc>
          <w:tcPr>
            <w:tcW w:w="1418" w:type="dxa"/>
            <w:shd w:val="clear" w:color="auto" w:fill="auto"/>
            <w:noWrap/>
            <w:vAlign w:val="bottom"/>
            <w:hideMark/>
          </w:tcPr>
          <w:p w14:paraId="6DCCBB7D"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19,187 </w:t>
            </w:r>
          </w:p>
        </w:tc>
        <w:tc>
          <w:tcPr>
            <w:tcW w:w="1275" w:type="dxa"/>
            <w:shd w:val="clear" w:color="auto" w:fill="auto"/>
            <w:noWrap/>
            <w:vAlign w:val="bottom"/>
            <w:hideMark/>
          </w:tcPr>
          <w:p w14:paraId="62419FD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18,890 </w:t>
            </w:r>
          </w:p>
        </w:tc>
        <w:tc>
          <w:tcPr>
            <w:tcW w:w="1134" w:type="dxa"/>
            <w:shd w:val="clear" w:color="auto" w:fill="auto"/>
            <w:noWrap/>
            <w:vAlign w:val="bottom"/>
          </w:tcPr>
          <w:p w14:paraId="0A9D38F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£ 19,255 </w:t>
            </w:r>
          </w:p>
        </w:tc>
        <w:tc>
          <w:tcPr>
            <w:tcW w:w="1134" w:type="dxa"/>
            <w:shd w:val="clear" w:color="auto" w:fill="auto"/>
            <w:noWrap/>
            <w:vAlign w:val="bottom"/>
          </w:tcPr>
          <w:p w14:paraId="4C9E66D8"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£ 20,511 </w:t>
            </w:r>
          </w:p>
        </w:tc>
        <w:tc>
          <w:tcPr>
            <w:tcW w:w="1134" w:type="dxa"/>
            <w:shd w:val="clear" w:color="auto" w:fill="auto"/>
            <w:noWrap/>
            <w:vAlign w:val="bottom"/>
          </w:tcPr>
          <w:p w14:paraId="73DC388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£ 22,455 </w:t>
            </w:r>
          </w:p>
        </w:tc>
      </w:tr>
      <w:tr w:rsidR="002E3D9A" w:rsidRPr="00D4244F" w14:paraId="48547679" w14:textId="77777777" w:rsidTr="00EA2356">
        <w:trPr>
          <w:gridAfter w:val="1"/>
          <w:wAfter w:w="11" w:type="dxa"/>
          <w:trHeight w:val="300"/>
        </w:trPr>
        <w:tc>
          <w:tcPr>
            <w:tcW w:w="1701" w:type="dxa"/>
            <w:vMerge w:val="restart"/>
            <w:shd w:val="clear" w:color="auto" w:fill="auto"/>
            <w:noWrap/>
            <w:hideMark/>
          </w:tcPr>
          <w:p w14:paraId="2B04F82C"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Net health benefit</w:t>
            </w:r>
          </w:p>
        </w:tc>
        <w:tc>
          <w:tcPr>
            <w:tcW w:w="2835" w:type="dxa"/>
            <w:shd w:val="clear" w:color="auto" w:fill="auto"/>
            <w:noWrap/>
            <w:vAlign w:val="bottom"/>
            <w:hideMark/>
          </w:tcPr>
          <w:p w14:paraId="78B16D93"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Inflectra</w:t>
            </w:r>
          </w:p>
        </w:tc>
        <w:tc>
          <w:tcPr>
            <w:tcW w:w="1134" w:type="dxa"/>
            <w:shd w:val="clear" w:color="auto" w:fill="auto"/>
            <w:noWrap/>
            <w:vAlign w:val="bottom"/>
            <w:hideMark/>
          </w:tcPr>
          <w:p w14:paraId="49C5861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0.200</w:t>
            </w:r>
          </w:p>
        </w:tc>
        <w:tc>
          <w:tcPr>
            <w:tcW w:w="1134" w:type="dxa"/>
            <w:shd w:val="clear" w:color="auto" w:fill="auto"/>
            <w:noWrap/>
            <w:vAlign w:val="bottom"/>
            <w:hideMark/>
          </w:tcPr>
          <w:p w14:paraId="39B599D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0.200</w:t>
            </w:r>
          </w:p>
        </w:tc>
        <w:tc>
          <w:tcPr>
            <w:tcW w:w="1276" w:type="dxa"/>
            <w:shd w:val="clear" w:color="auto" w:fill="auto"/>
            <w:noWrap/>
            <w:vAlign w:val="bottom"/>
            <w:hideMark/>
          </w:tcPr>
          <w:p w14:paraId="06DB882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0.179</w:t>
            </w:r>
          </w:p>
        </w:tc>
        <w:tc>
          <w:tcPr>
            <w:tcW w:w="1418" w:type="dxa"/>
            <w:shd w:val="clear" w:color="auto" w:fill="auto"/>
            <w:noWrap/>
            <w:vAlign w:val="bottom"/>
            <w:hideMark/>
          </w:tcPr>
          <w:p w14:paraId="2F02F8BD"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0.199</w:t>
            </w:r>
          </w:p>
        </w:tc>
        <w:tc>
          <w:tcPr>
            <w:tcW w:w="1275" w:type="dxa"/>
            <w:shd w:val="clear" w:color="auto" w:fill="auto"/>
            <w:noWrap/>
            <w:vAlign w:val="bottom"/>
            <w:hideMark/>
          </w:tcPr>
          <w:p w14:paraId="200D49D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0.207</w:t>
            </w:r>
          </w:p>
        </w:tc>
        <w:tc>
          <w:tcPr>
            <w:tcW w:w="1134" w:type="dxa"/>
            <w:shd w:val="clear" w:color="auto" w:fill="auto"/>
            <w:noWrap/>
            <w:vAlign w:val="bottom"/>
          </w:tcPr>
          <w:p w14:paraId="38D5CAF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0.211 </w:t>
            </w:r>
          </w:p>
        </w:tc>
        <w:tc>
          <w:tcPr>
            <w:tcW w:w="1134" w:type="dxa"/>
            <w:shd w:val="clear" w:color="auto" w:fill="auto"/>
            <w:noWrap/>
            <w:vAlign w:val="bottom"/>
          </w:tcPr>
          <w:p w14:paraId="7CD9339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0.164 </w:t>
            </w:r>
          </w:p>
        </w:tc>
        <w:tc>
          <w:tcPr>
            <w:tcW w:w="1134" w:type="dxa"/>
            <w:shd w:val="clear" w:color="auto" w:fill="auto"/>
            <w:noWrap/>
            <w:vAlign w:val="bottom"/>
          </w:tcPr>
          <w:p w14:paraId="339DD07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0.101 </w:t>
            </w:r>
          </w:p>
        </w:tc>
      </w:tr>
      <w:tr w:rsidR="002E3D9A" w:rsidRPr="00D4244F" w14:paraId="29242F52" w14:textId="77777777" w:rsidTr="00EA2356">
        <w:trPr>
          <w:gridAfter w:val="1"/>
          <w:wAfter w:w="11" w:type="dxa"/>
          <w:trHeight w:val="315"/>
        </w:trPr>
        <w:tc>
          <w:tcPr>
            <w:tcW w:w="1701" w:type="dxa"/>
            <w:vMerge/>
            <w:hideMark/>
          </w:tcPr>
          <w:p w14:paraId="6B51CDBB"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noWrap/>
            <w:vAlign w:val="bottom"/>
            <w:hideMark/>
          </w:tcPr>
          <w:p w14:paraId="3C4E6D9A"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Remicade</w:t>
            </w:r>
          </w:p>
        </w:tc>
        <w:tc>
          <w:tcPr>
            <w:tcW w:w="1134" w:type="dxa"/>
            <w:shd w:val="clear" w:color="auto" w:fill="auto"/>
            <w:noWrap/>
            <w:vAlign w:val="bottom"/>
            <w:hideMark/>
          </w:tcPr>
          <w:p w14:paraId="27CF91B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0.164</w:t>
            </w:r>
          </w:p>
        </w:tc>
        <w:tc>
          <w:tcPr>
            <w:tcW w:w="1134" w:type="dxa"/>
            <w:shd w:val="clear" w:color="auto" w:fill="auto"/>
            <w:noWrap/>
            <w:vAlign w:val="bottom"/>
            <w:hideMark/>
          </w:tcPr>
          <w:p w14:paraId="61164BC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0.254</w:t>
            </w:r>
          </w:p>
        </w:tc>
        <w:tc>
          <w:tcPr>
            <w:tcW w:w="1276" w:type="dxa"/>
            <w:shd w:val="clear" w:color="auto" w:fill="auto"/>
            <w:noWrap/>
            <w:vAlign w:val="bottom"/>
            <w:hideMark/>
          </w:tcPr>
          <w:p w14:paraId="2F6729B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0.141</w:t>
            </w:r>
          </w:p>
        </w:tc>
        <w:tc>
          <w:tcPr>
            <w:tcW w:w="1418" w:type="dxa"/>
            <w:shd w:val="clear" w:color="auto" w:fill="auto"/>
            <w:noWrap/>
            <w:vAlign w:val="bottom"/>
            <w:hideMark/>
          </w:tcPr>
          <w:p w14:paraId="23B8A32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0.162</w:t>
            </w:r>
          </w:p>
        </w:tc>
        <w:tc>
          <w:tcPr>
            <w:tcW w:w="1275" w:type="dxa"/>
            <w:shd w:val="clear" w:color="auto" w:fill="auto"/>
            <w:noWrap/>
            <w:vAlign w:val="bottom"/>
            <w:hideMark/>
          </w:tcPr>
          <w:p w14:paraId="7D570BA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0.172</w:t>
            </w:r>
          </w:p>
        </w:tc>
        <w:tc>
          <w:tcPr>
            <w:tcW w:w="1134" w:type="dxa"/>
            <w:shd w:val="clear" w:color="auto" w:fill="auto"/>
            <w:noWrap/>
            <w:vAlign w:val="bottom"/>
          </w:tcPr>
          <w:p w14:paraId="0F67816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0.174 </w:t>
            </w:r>
          </w:p>
        </w:tc>
        <w:tc>
          <w:tcPr>
            <w:tcW w:w="1134" w:type="dxa"/>
            <w:shd w:val="clear" w:color="auto" w:fill="auto"/>
            <w:noWrap/>
            <w:vAlign w:val="bottom"/>
          </w:tcPr>
          <w:p w14:paraId="10DD186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0.128 </w:t>
            </w:r>
          </w:p>
        </w:tc>
        <w:tc>
          <w:tcPr>
            <w:tcW w:w="1134" w:type="dxa"/>
            <w:shd w:val="clear" w:color="auto" w:fill="auto"/>
            <w:noWrap/>
            <w:vAlign w:val="bottom"/>
          </w:tcPr>
          <w:p w14:paraId="0CFEE1A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0.064 </w:t>
            </w:r>
          </w:p>
        </w:tc>
      </w:tr>
      <w:tr w:rsidR="002E3D9A" w:rsidRPr="00D4244F" w14:paraId="34E7D564" w14:textId="77777777" w:rsidTr="00EA2356">
        <w:trPr>
          <w:gridAfter w:val="1"/>
          <w:wAfter w:w="11" w:type="dxa"/>
          <w:trHeight w:val="300"/>
        </w:trPr>
        <w:tc>
          <w:tcPr>
            <w:tcW w:w="1701" w:type="dxa"/>
            <w:vMerge w:val="restart"/>
            <w:shd w:val="clear" w:color="auto" w:fill="auto"/>
            <w:noWrap/>
            <w:hideMark/>
          </w:tcPr>
          <w:p w14:paraId="6C381A3A"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Incremental</w:t>
            </w:r>
          </w:p>
        </w:tc>
        <w:tc>
          <w:tcPr>
            <w:tcW w:w="2835" w:type="dxa"/>
            <w:shd w:val="clear" w:color="auto" w:fill="auto"/>
            <w:noWrap/>
            <w:vAlign w:val="bottom"/>
            <w:hideMark/>
          </w:tcPr>
          <w:p w14:paraId="3F53212D"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QALY</w:t>
            </w:r>
          </w:p>
        </w:tc>
        <w:tc>
          <w:tcPr>
            <w:tcW w:w="1134" w:type="dxa"/>
            <w:shd w:val="clear" w:color="auto" w:fill="auto"/>
            <w:noWrap/>
            <w:vAlign w:val="bottom"/>
            <w:hideMark/>
          </w:tcPr>
          <w:p w14:paraId="732C89C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0.000 </w:t>
            </w:r>
          </w:p>
        </w:tc>
        <w:tc>
          <w:tcPr>
            <w:tcW w:w="1134" w:type="dxa"/>
            <w:shd w:val="clear" w:color="auto" w:fill="auto"/>
            <w:noWrap/>
            <w:vAlign w:val="bottom"/>
            <w:hideMark/>
          </w:tcPr>
          <w:p w14:paraId="0EAF37C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0.000 </w:t>
            </w:r>
          </w:p>
        </w:tc>
        <w:tc>
          <w:tcPr>
            <w:tcW w:w="1276" w:type="dxa"/>
            <w:shd w:val="clear" w:color="auto" w:fill="auto"/>
            <w:noWrap/>
            <w:vAlign w:val="bottom"/>
            <w:hideMark/>
          </w:tcPr>
          <w:p w14:paraId="72FB405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0.000 </w:t>
            </w:r>
          </w:p>
        </w:tc>
        <w:tc>
          <w:tcPr>
            <w:tcW w:w="1418" w:type="dxa"/>
            <w:shd w:val="clear" w:color="auto" w:fill="auto"/>
            <w:noWrap/>
            <w:vAlign w:val="bottom"/>
            <w:hideMark/>
          </w:tcPr>
          <w:p w14:paraId="2BDFC67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0.000 </w:t>
            </w:r>
          </w:p>
        </w:tc>
        <w:tc>
          <w:tcPr>
            <w:tcW w:w="1275" w:type="dxa"/>
            <w:shd w:val="clear" w:color="auto" w:fill="auto"/>
            <w:noWrap/>
            <w:vAlign w:val="bottom"/>
            <w:hideMark/>
          </w:tcPr>
          <w:p w14:paraId="42CD5EB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0.000 </w:t>
            </w:r>
          </w:p>
        </w:tc>
        <w:tc>
          <w:tcPr>
            <w:tcW w:w="1134" w:type="dxa"/>
            <w:shd w:val="clear" w:color="auto" w:fill="auto"/>
            <w:noWrap/>
            <w:vAlign w:val="bottom"/>
          </w:tcPr>
          <w:p w14:paraId="5BB7F8C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0.000 </w:t>
            </w:r>
          </w:p>
        </w:tc>
        <w:tc>
          <w:tcPr>
            <w:tcW w:w="1134" w:type="dxa"/>
            <w:shd w:val="clear" w:color="auto" w:fill="auto"/>
            <w:noWrap/>
            <w:vAlign w:val="bottom"/>
          </w:tcPr>
          <w:p w14:paraId="3BD104F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0.000 </w:t>
            </w:r>
          </w:p>
        </w:tc>
        <w:tc>
          <w:tcPr>
            <w:tcW w:w="1134" w:type="dxa"/>
            <w:shd w:val="clear" w:color="auto" w:fill="auto"/>
            <w:noWrap/>
            <w:vAlign w:val="bottom"/>
          </w:tcPr>
          <w:p w14:paraId="5CB8B440"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0.000 </w:t>
            </w:r>
          </w:p>
        </w:tc>
      </w:tr>
      <w:tr w:rsidR="002E3D9A" w:rsidRPr="00D4244F" w14:paraId="23F029F2" w14:textId="77777777" w:rsidTr="00EA2356">
        <w:trPr>
          <w:gridAfter w:val="1"/>
          <w:wAfter w:w="11" w:type="dxa"/>
          <w:trHeight w:val="300"/>
        </w:trPr>
        <w:tc>
          <w:tcPr>
            <w:tcW w:w="1701" w:type="dxa"/>
            <w:vMerge/>
            <w:hideMark/>
          </w:tcPr>
          <w:p w14:paraId="3CF22483"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noWrap/>
            <w:vAlign w:val="bottom"/>
            <w:hideMark/>
          </w:tcPr>
          <w:p w14:paraId="306F7E7F"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Cost</w:t>
            </w:r>
          </w:p>
        </w:tc>
        <w:tc>
          <w:tcPr>
            <w:tcW w:w="1134" w:type="dxa"/>
            <w:shd w:val="clear" w:color="auto" w:fill="auto"/>
            <w:noWrap/>
            <w:vAlign w:val="bottom"/>
            <w:hideMark/>
          </w:tcPr>
          <w:p w14:paraId="40549DD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1,089 </w:t>
            </w:r>
          </w:p>
        </w:tc>
        <w:tc>
          <w:tcPr>
            <w:tcW w:w="1134" w:type="dxa"/>
            <w:shd w:val="clear" w:color="auto" w:fill="auto"/>
            <w:noWrap/>
            <w:vAlign w:val="bottom"/>
            <w:hideMark/>
          </w:tcPr>
          <w:p w14:paraId="0938E4F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1,634 </w:t>
            </w:r>
          </w:p>
        </w:tc>
        <w:tc>
          <w:tcPr>
            <w:tcW w:w="1276" w:type="dxa"/>
            <w:shd w:val="clear" w:color="auto" w:fill="auto"/>
            <w:noWrap/>
            <w:vAlign w:val="bottom"/>
            <w:hideMark/>
          </w:tcPr>
          <w:p w14:paraId="66B42AE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-£ 1,138 </w:t>
            </w:r>
          </w:p>
        </w:tc>
        <w:tc>
          <w:tcPr>
            <w:tcW w:w="1418" w:type="dxa"/>
            <w:shd w:val="clear" w:color="auto" w:fill="auto"/>
            <w:noWrap/>
            <w:vAlign w:val="bottom"/>
            <w:hideMark/>
          </w:tcPr>
          <w:p w14:paraId="28DF881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-£ 1,089 </w:t>
            </w:r>
          </w:p>
        </w:tc>
        <w:tc>
          <w:tcPr>
            <w:tcW w:w="1275" w:type="dxa"/>
            <w:shd w:val="clear" w:color="auto" w:fill="auto"/>
            <w:noWrap/>
            <w:vAlign w:val="bottom"/>
            <w:hideMark/>
          </w:tcPr>
          <w:p w14:paraId="227574FD"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-£ 1,069 </w:t>
            </w:r>
          </w:p>
        </w:tc>
        <w:tc>
          <w:tcPr>
            <w:tcW w:w="1134" w:type="dxa"/>
            <w:shd w:val="clear" w:color="auto" w:fill="auto"/>
            <w:noWrap/>
            <w:vAlign w:val="bottom"/>
          </w:tcPr>
          <w:p w14:paraId="0F15C71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1,089 </w:t>
            </w:r>
          </w:p>
        </w:tc>
        <w:tc>
          <w:tcPr>
            <w:tcW w:w="1134" w:type="dxa"/>
            <w:shd w:val="clear" w:color="auto" w:fill="auto"/>
            <w:noWrap/>
            <w:vAlign w:val="bottom"/>
          </w:tcPr>
          <w:p w14:paraId="51833AC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1,089 </w:t>
            </w:r>
          </w:p>
        </w:tc>
        <w:tc>
          <w:tcPr>
            <w:tcW w:w="1134" w:type="dxa"/>
            <w:shd w:val="clear" w:color="auto" w:fill="auto"/>
            <w:noWrap/>
            <w:vAlign w:val="bottom"/>
          </w:tcPr>
          <w:p w14:paraId="3273EA4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1,089 </w:t>
            </w:r>
          </w:p>
        </w:tc>
      </w:tr>
      <w:tr w:rsidR="002E3D9A" w:rsidRPr="00D4244F" w14:paraId="0A51D8ED" w14:textId="77777777" w:rsidTr="00EA2356">
        <w:trPr>
          <w:gridAfter w:val="1"/>
          <w:wAfter w:w="11" w:type="dxa"/>
          <w:trHeight w:val="300"/>
        </w:trPr>
        <w:tc>
          <w:tcPr>
            <w:tcW w:w="1701" w:type="dxa"/>
            <w:vMerge/>
            <w:hideMark/>
          </w:tcPr>
          <w:p w14:paraId="4F85F591"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noWrap/>
            <w:vAlign w:val="bottom"/>
            <w:hideMark/>
          </w:tcPr>
          <w:p w14:paraId="612A8E8B"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NHB</w:t>
            </w:r>
          </w:p>
        </w:tc>
        <w:tc>
          <w:tcPr>
            <w:tcW w:w="1134" w:type="dxa"/>
            <w:shd w:val="clear" w:color="auto" w:fill="auto"/>
            <w:noWrap/>
            <w:vAlign w:val="bottom"/>
            <w:hideMark/>
          </w:tcPr>
          <w:p w14:paraId="38AB66A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0.036</w:t>
            </w:r>
          </w:p>
        </w:tc>
        <w:tc>
          <w:tcPr>
            <w:tcW w:w="1134" w:type="dxa"/>
            <w:shd w:val="clear" w:color="auto" w:fill="auto"/>
            <w:noWrap/>
            <w:vAlign w:val="bottom"/>
            <w:hideMark/>
          </w:tcPr>
          <w:p w14:paraId="228DEDA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-0.054</w:t>
            </w:r>
          </w:p>
        </w:tc>
        <w:tc>
          <w:tcPr>
            <w:tcW w:w="1276" w:type="dxa"/>
            <w:shd w:val="clear" w:color="auto" w:fill="auto"/>
            <w:noWrap/>
            <w:vAlign w:val="bottom"/>
            <w:hideMark/>
          </w:tcPr>
          <w:p w14:paraId="39E4245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0.038</w:t>
            </w:r>
          </w:p>
        </w:tc>
        <w:tc>
          <w:tcPr>
            <w:tcW w:w="1418" w:type="dxa"/>
            <w:shd w:val="clear" w:color="auto" w:fill="auto"/>
            <w:noWrap/>
            <w:vAlign w:val="bottom"/>
            <w:hideMark/>
          </w:tcPr>
          <w:p w14:paraId="00523E2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0.036</w:t>
            </w:r>
          </w:p>
        </w:tc>
        <w:tc>
          <w:tcPr>
            <w:tcW w:w="1275" w:type="dxa"/>
            <w:shd w:val="clear" w:color="auto" w:fill="auto"/>
            <w:noWrap/>
            <w:vAlign w:val="bottom"/>
            <w:hideMark/>
          </w:tcPr>
          <w:p w14:paraId="6E2701E8"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0.036</w:t>
            </w:r>
          </w:p>
        </w:tc>
        <w:tc>
          <w:tcPr>
            <w:tcW w:w="1134" w:type="dxa"/>
            <w:shd w:val="clear" w:color="auto" w:fill="auto"/>
            <w:noWrap/>
            <w:vAlign w:val="bottom"/>
          </w:tcPr>
          <w:p w14:paraId="698113C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0.036 </w:t>
            </w:r>
          </w:p>
        </w:tc>
        <w:tc>
          <w:tcPr>
            <w:tcW w:w="1134" w:type="dxa"/>
            <w:shd w:val="clear" w:color="auto" w:fill="auto"/>
            <w:noWrap/>
            <w:vAlign w:val="bottom"/>
          </w:tcPr>
          <w:p w14:paraId="17E069C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0.036 </w:t>
            </w:r>
          </w:p>
        </w:tc>
        <w:tc>
          <w:tcPr>
            <w:tcW w:w="1134" w:type="dxa"/>
            <w:shd w:val="clear" w:color="auto" w:fill="auto"/>
            <w:noWrap/>
            <w:vAlign w:val="bottom"/>
          </w:tcPr>
          <w:p w14:paraId="1746986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0.036 </w:t>
            </w:r>
          </w:p>
        </w:tc>
      </w:tr>
      <w:tr w:rsidR="002E3D9A" w:rsidRPr="00D4244F" w14:paraId="5CD72682" w14:textId="77777777" w:rsidTr="00EA2356">
        <w:trPr>
          <w:gridAfter w:val="1"/>
          <w:wAfter w:w="11" w:type="dxa"/>
          <w:trHeight w:val="300"/>
        </w:trPr>
        <w:tc>
          <w:tcPr>
            <w:tcW w:w="1701" w:type="dxa"/>
            <w:vMerge/>
            <w:hideMark/>
          </w:tcPr>
          <w:p w14:paraId="00FBBB57"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noWrap/>
            <w:vAlign w:val="bottom"/>
            <w:hideMark/>
          </w:tcPr>
          <w:p w14:paraId="544EB7C5"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Vial cost</w:t>
            </w:r>
          </w:p>
        </w:tc>
        <w:tc>
          <w:tcPr>
            <w:tcW w:w="1134" w:type="dxa"/>
            <w:shd w:val="clear" w:color="auto" w:fill="auto"/>
            <w:noWrap/>
            <w:vAlign w:val="bottom"/>
            <w:hideMark/>
          </w:tcPr>
          <w:p w14:paraId="6AECDF20"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42 </w:t>
            </w:r>
          </w:p>
        </w:tc>
        <w:tc>
          <w:tcPr>
            <w:tcW w:w="1134" w:type="dxa"/>
            <w:shd w:val="clear" w:color="auto" w:fill="auto"/>
            <w:noWrap/>
            <w:vAlign w:val="bottom"/>
            <w:hideMark/>
          </w:tcPr>
          <w:p w14:paraId="1C38BCC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   63 </w:t>
            </w:r>
          </w:p>
        </w:tc>
        <w:tc>
          <w:tcPr>
            <w:tcW w:w="1276" w:type="dxa"/>
            <w:shd w:val="clear" w:color="auto" w:fill="auto"/>
            <w:noWrap/>
            <w:vAlign w:val="bottom"/>
            <w:hideMark/>
          </w:tcPr>
          <w:p w14:paraId="47AEAC01"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42 </w:t>
            </w:r>
          </w:p>
        </w:tc>
        <w:tc>
          <w:tcPr>
            <w:tcW w:w="1418" w:type="dxa"/>
            <w:shd w:val="clear" w:color="auto" w:fill="auto"/>
            <w:noWrap/>
            <w:vAlign w:val="bottom"/>
            <w:hideMark/>
          </w:tcPr>
          <w:p w14:paraId="1309856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42 </w:t>
            </w:r>
          </w:p>
        </w:tc>
        <w:tc>
          <w:tcPr>
            <w:tcW w:w="1275" w:type="dxa"/>
            <w:shd w:val="clear" w:color="auto" w:fill="auto"/>
            <w:noWrap/>
            <w:vAlign w:val="bottom"/>
            <w:hideMark/>
          </w:tcPr>
          <w:p w14:paraId="6F5038A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42 </w:t>
            </w:r>
          </w:p>
        </w:tc>
        <w:tc>
          <w:tcPr>
            <w:tcW w:w="1134" w:type="dxa"/>
            <w:shd w:val="clear" w:color="auto" w:fill="auto"/>
            <w:noWrap/>
            <w:vAlign w:val="bottom"/>
          </w:tcPr>
          <w:p w14:paraId="739A5640"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42 </w:t>
            </w:r>
          </w:p>
        </w:tc>
        <w:tc>
          <w:tcPr>
            <w:tcW w:w="1134" w:type="dxa"/>
            <w:shd w:val="clear" w:color="auto" w:fill="auto"/>
            <w:noWrap/>
            <w:vAlign w:val="bottom"/>
          </w:tcPr>
          <w:p w14:paraId="02EBD18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42 </w:t>
            </w:r>
          </w:p>
        </w:tc>
        <w:tc>
          <w:tcPr>
            <w:tcW w:w="1134" w:type="dxa"/>
            <w:shd w:val="clear" w:color="auto" w:fill="auto"/>
            <w:noWrap/>
            <w:vAlign w:val="bottom"/>
          </w:tcPr>
          <w:p w14:paraId="2BD31B9D"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 xml:space="preserve">-£  42 </w:t>
            </w:r>
          </w:p>
        </w:tc>
      </w:tr>
      <w:tr w:rsidR="002E3D9A" w:rsidRPr="00D4244F" w14:paraId="244826F4" w14:textId="77777777" w:rsidTr="00EA2356">
        <w:trPr>
          <w:gridAfter w:val="1"/>
          <w:wAfter w:w="11" w:type="dxa"/>
          <w:trHeight w:val="315"/>
        </w:trPr>
        <w:tc>
          <w:tcPr>
            <w:tcW w:w="1701" w:type="dxa"/>
            <w:vMerge/>
            <w:hideMark/>
          </w:tcPr>
          <w:p w14:paraId="44ED3D37"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noWrap/>
            <w:vAlign w:val="bottom"/>
            <w:hideMark/>
          </w:tcPr>
          <w:p w14:paraId="5C5247B6"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ICER</w:t>
            </w:r>
          </w:p>
        </w:tc>
        <w:tc>
          <w:tcPr>
            <w:tcW w:w="1134" w:type="dxa"/>
            <w:shd w:val="clear" w:color="auto" w:fill="auto"/>
            <w:noWrap/>
            <w:vAlign w:val="bottom"/>
            <w:hideMark/>
          </w:tcPr>
          <w:p w14:paraId="5B95FE10"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Dominant</w:t>
            </w:r>
          </w:p>
        </w:tc>
        <w:tc>
          <w:tcPr>
            <w:tcW w:w="1134" w:type="dxa"/>
            <w:shd w:val="clear" w:color="auto" w:fill="auto"/>
            <w:noWrap/>
            <w:vAlign w:val="bottom"/>
            <w:hideMark/>
          </w:tcPr>
          <w:p w14:paraId="244089B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Dominated</w:t>
            </w:r>
          </w:p>
        </w:tc>
        <w:tc>
          <w:tcPr>
            <w:tcW w:w="1276" w:type="dxa"/>
            <w:shd w:val="clear" w:color="auto" w:fill="auto"/>
            <w:noWrap/>
            <w:vAlign w:val="bottom"/>
            <w:hideMark/>
          </w:tcPr>
          <w:p w14:paraId="5AEF625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Dominant</w:t>
            </w:r>
          </w:p>
        </w:tc>
        <w:tc>
          <w:tcPr>
            <w:tcW w:w="1418" w:type="dxa"/>
            <w:shd w:val="clear" w:color="auto" w:fill="auto"/>
            <w:noWrap/>
            <w:vAlign w:val="bottom"/>
            <w:hideMark/>
          </w:tcPr>
          <w:p w14:paraId="2C9D1E18"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Dominant</w:t>
            </w:r>
          </w:p>
        </w:tc>
        <w:tc>
          <w:tcPr>
            <w:tcW w:w="1275" w:type="dxa"/>
            <w:shd w:val="clear" w:color="auto" w:fill="auto"/>
            <w:noWrap/>
            <w:vAlign w:val="bottom"/>
            <w:hideMark/>
          </w:tcPr>
          <w:p w14:paraId="22983AD0"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Dominant</w:t>
            </w:r>
          </w:p>
        </w:tc>
        <w:tc>
          <w:tcPr>
            <w:tcW w:w="1134" w:type="dxa"/>
            <w:shd w:val="clear" w:color="auto" w:fill="auto"/>
            <w:noWrap/>
            <w:vAlign w:val="bottom"/>
          </w:tcPr>
          <w:p w14:paraId="45150AF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Dominant</w:t>
            </w:r>
          </w:p>
        </w:tc>
        <w:tc>
          <w:tcPr>
            <w:tcW w:w="1134" w:type="dxa"/>
            <w:shd w:val="clear" w:color="auto" w:fill="auto"/>
            <w:noWrap/>
            <w:vAlign w:val="bottom"/>
          </w:tcPr>
          <w:p w14:paraId="5352718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Dominant</w:t>
            </w:r>
          </w:p>
        </w:tc>
        <w:tc>
          <w:tcPr>
            <w:tcW w:w="1134" w:type="dxa"/>
            <w:shd w:val="clear" w:color="auto" w:fill="auto"/>
            <w:noWrap/>
            <w:vAlign w:val="bottom"/>
          </w:tcPr>
          <w:p w14:paraId="1CDB4DE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Dominant</w:t>
            </w:r>
          </w:p>
        </w:tc>
      </w:tr>
      <w:tr w:rsidR="002E3D9A" w:rsidRPr="00D4244F" w14:paraId="4D0B5FB2" w14:textId="77777777" w:rsidTr="00EA2356">
        <w:trPr>
          <w:gridAfter w:val="1"/>
          <w:wAfter w:w="11" w:type="dxa"/>
          <w:trHeight w:val="300"/>
        </w:trPr>
        <w:tc>
          <w:tcPr>
            <w:tcW w:w="1701" w:type="dxa"/>
            <w:vMerge w:val="restart"/>
            <w:shd w:val="clear" w:color="auto" w:fill="auto"/>
            <w:noWrap/>
            <w:hideMark/>
          </w:tcPr>
          <w:p w14:paraId="7F0B3388"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r w:rsidRPr="00D4244F">
              <w:rPr>
                <w:rFonts w:ascii="Calibri" w:eastAsia="Times New Roman" w:hAnsi="Calibri" w:cs="Times New Roman"/>
                <w:b/>
                <w:bCs/>
                <w:sz w:val="20"/>
                <w:szCs w:val="20"/>
                <w:lang w:eastAsia="en-GB"/>
              </w:rPr>
              <w:t>Clinical outcomes</w:t>
            </w:r>
          </w:p>
        </w:tc>
        <w:tc>
          <w:tcPr>
            <w:tcW w:w="2835" w:type="dxa"/>
            <w:shd w:val="clear" w:color="auto" w:fill="auto"/>
            <w:vAlign w:val="bottom"/>
            <w:hideMark/>
          </w:tcPr>
          <w:p w14:paraId="6BC4E0E3"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Sustained remission</w:t>
            </w:r>
          </w:p>
        </w:tc>
        <w:tc>
          <w:tcPr>
            <w:tcW w:w="1134" w:type="dxa"/>
            <w:shd w:val="clear" w:color="auto" w:fill="auto"/>
            <w:noWrap/>
            <w:vAlign w:val="bottom"/>
            <w:hideMark/>
          </w:tcPr>
          <w:p w14:paraId="7AF467A9"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35.0%</w:t>
            </w:r>
          </w:p>
        </w:tc>
        <w:tc>
          <w:tcPr>
            <w:tcW w:w="1134" w:type="dxa"/>
            <w:shd w:val="clear" w:color="auto" w:fill="auto"/>
            <w:noWrap/>
            <w:vAlign w:val="bottom"/>
            <w:hideMark/>
          </w:tcPr>
          <w:p w14:paraId="0D39C0B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35.0%</w:t>
            </w:r>
          </w:p>
        </w:tc>
        <w:tc>
          <w:tcPr>
            <w:tcW w:w="1276" w:type="dxa"/>
            <w:shd w:val="clear" w:color="auto" w:fill="auto"/>
            <w:noWrap/>
            <w:vAlign w:val="bottom"/>
            <w:hideMark/>
          </w:tcPr>
          <w:p w14:paraId="7BA241B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35.0%</w:t>
            </w:r>
          </w:p>
        </w:tc>
        <w:tc>
          <w:tcPr>
            <w:tcW w:w="1418" w:type="dxa"/>
            <w:shd w:val="clear" w:color="auto" w:fill="auto"/>
            <w:noWrap/>
            <w:vAlign w:val="bottom"/>
            <w:hideMark/>
          </w:tcPr>
          <w:p w14:paraId="1ABF9CD1"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35.0%</w:t>
            </w:r>
          </w:p>
        </w:tc>
        <w:tc>
          <w:tcPr>
            <w:tcW w:w="1275" w:type="dxa"/>
            <w:shd w:val="clear" w:color="auto" w:fill="auto"/>
            <w:noWrap/>
            <w:vAlign w:val="bottom"/>
            <w:hideMark/>
          </w:tcPr>
          <w:p w14:paraId="43EFAC4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35.0%</w:t>
            </w:r>
          </w:p>
        </w:tc>
        <w:tc>
          <w:tcPr>
            <w:tcW w:w="1134" w:type="dxa"/>
            <w:shd w:val="clear" w:color="auto" w:fill="auto"/>
            <w:noWrap/>
            <w:vAlign w:val="bottom"/>
          </w:tcPr>
          <w:p w14:paraId="5CB216E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35.7%</w:t>
            </w:r>
          </w:p>
        </w:tc>
        <w:tc>
          <w:tcPr>
            <w:tcW w:w="1134" w:type="dxa"/>
            <w:shd w:val="clear" w:color="auto" w:fill="auto"/>
            <w:noWrap/>
            <w:vAlign w:val="bottom"/>
          </w:tcPr>
          <w:p w14:paraId="3724C12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35.4%</w:t>
            </w:r>
          </w:p>
        </w:tc>
        <w:tc>
          <w:tcPr>
            <w:tcW w:w="1134" w:type="dxa"/>
            <w:shd w:val="clear" w:color="auto" w:fill="auto"/>
            <w:noWrap/>
            <w:vAlign w:val="bottom"/>
          </w:tcPr>
          <w:p w14:paraId="1813DCD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35.7%</w:t>
            </w:r>
          </w:p>
        </w:tc>
      </w:tr>
      <w:tr w:rsidR="002E3D9A" w:rsidRPr="00D4244F" w14:paraId="20857F42" w14:textId="77777777" w:rsidTr="00EA2356">
        <w:trPr>
          <w:gridAfter w:val="1"/>
          <w:wAfter w:w="11" w:type="dxa"/>
          <w:trHeight w:val="300"/>
        </w:trPr>
        <w:tc>
          <w:tcPr>
            <w:tcW w:w="1701" w:type="dxa"/>
            <w:vMerge/>
            <w:vAlign w:val="center"/>
            <w:hideMark/>
          </w:tcPr>
          <w:p w14:paraId="48630FB9"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vAlign w:val="bottom"/>
            <w:hideMark/>
          </w:tcPr>
          <w:p w14:paraId="1B5F00CE"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Remission</w:t>
            </w:r>
          </w:p>
        </w:tc>
        <w:tc>
          <w:tcPr>
            <w:tcW w:w="1134" w:type="dxa"/>
            <w:shd w:val="clear" w:color="auto" w:fill="auto"/>
            <w:noWrap/>
            <w:vAlign w:val="bottom"/>
            <w:hideMark/>
          </w:tcPr>
          <w:p w14:paraId="26AE951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48.9%</w:t>
            </w:r>
          </w:p>
        </w:tc>
        <w:tc>
          <w:tcPr>
            <w:tcW w:w="1134" w:type="dxa"/>
            <w:shd w:val="clear" w:color="auto" w:fill="auto"/>
            <w:noWrap/>
            <w:vAlign w:val="bottom"/>
            <w:hideMark/>
          </w:tcPr>
          <w:p w14:paraId="129A33F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48.9%</w:t>
            </w:r>
          </w:p>
        </w:tc>
        <w:tc>
          <w:tcPr>
            <w:tcW w:w="1276" w:type="dxa"/>
            <w:shd w:val="clear" w:color="auto" w:fill="auto"/>
            <w:noWrap/>
            <w:vAlign w:val="bottom"/>
            <w:hideMark/>
          </w:tcPr>
          <w:p w14:paraId="40C7CBA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48.9%</w:t>
            </w:r>
          </w:p>
        </w:tc>
        <w:tc>
          <w:tcPr>
            <w:tcW w:w="1418" w:type="dxa"/>
            <w:shd w:val="clear" w:color="auto" w:fill="auto"/>
            <w:noWrap/>
            <w:vAlign w:val="bottom"/>
            <w:hideMark/>
          </w:tcPr>
          <w:p w14:paraId="4BDC2EA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48.9%</w:t>
            </w:r>
          </w:p>
        </w:tc>
        <w:tc>
          <w:tcPr>
            <w:tcW w:w="1275" w:type="dxa"/>
            <w:shd w:val="clear" w:color="auto" w:fill="auto"/>
            <w:noWrap/>
            <w:vAlign w:val="bottom"/>
            <w:hideMark/>
          </w:tcPr>
          <w:p w14:paraId="58F712A9"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48.9%</w:t>
            </w:r>
          </w:p>
        </w:tc>
        <w:tc>
          <w:tcPr>
            <w:tcW w:w="1134" w:type="dxa"/>
            <w:shd w:val="clear" w:color="auto" w:fill="auto"/>
            <w:noWrap/>
            <w:vAlign w:val="bottom"/>
          </w:tcPr>
          <w:p w14:paraId="1993D49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50.1%</w:t>
            </w:r>
          </w:p>
        </w:tc>
        <w:tc>
          <w:tcPr>
            <w:tcW w:w="1134" w:type="dxa"/>
            <w:shd w:val="clear" w:color="auto" w:fill="auto"/>
            <w:noWrap/>
            <w:vAlign w:val="bottom"/>
          </w:tcPr>
          <w:p w14:paraId="575017C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43.2%</w:t>
            </w:r>
          </w:p>
        </w:tc>
        <w:tc>
          <w:tcPr>
            <w:tcW w:w="1134" w:type="dxa"/>
            <w:shd w:val="clear" w:color="auto" w:fill="auto"/>
            <w:noWrap/>
            <w:vAlign w:val="bottom"/>
          </w:tcPr>
          <w:p w14:paraId="36ACDC20"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51.3%</w:t>
            </w:r>
          </w:p>
        </w:tc>
      </w:tr>
      <w:tr w:rsidR="002E3D9A" w:rsidRPr="00D4244F" w14:paraId="3C7E0D23" w14:textId="77777777" w:rsidTr="00EA2356">
        <w:trPr>
          <w:gridAfter w:val="1"/>
          <w:wAfter w:w="11" w:type="dxa"/>
          <w:trHeight w:val="300"/>
        </w:trPr>
        <w:tc>
          <w:tcPr>
            <w:tcW w:w="1701" w:type="dxa"/>
            <w:vMerge/>
            <w:vAlign w:val="center"/>
            <w:hideMark/>
          </w:tcPr>
          <w:p w14:paraId="3C6FD354"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vAlign w:val="bottom"/>
            <w:hideMark/>
          </w:tcPr>
          <w:p w14:paraId="290B1AE1"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IFX for 12 months with no AEs</w:t>
            </w:r>
          </w:p>
        </w:tc>
        <w:tc>
          <w:tcPr>
            <w:tcW w:w="1134" w:type="dxa"/>
            <w:shd w:val="clear" w:color="auto" w:fill="auto"/>
            <w:noWrap/>
            <w:vAlign w:val="bottom"/>
            <w:hideMark/>
          </w:tcPr>
          <w:p w14:paraId="2A12E9A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44.8%</w:t>
            </w:r>
          </w:p>
        </w:tc>
        <w:tc>
          <w:tcPr>
            <w:tcW w:w="1134" w:type="dxa"/>
            <w:shd w:val="clear" w:color="auto" w:fill="auto"/>
            <w:noWrap/>
            <w:vAlign w:val="bottom"/>
            <w:hideMark/>
          </w:tcPr>
          <w:p w14:paraId="329A832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44.8%</w:t>
            </w:r>
          </w:p>
        </w:tc>
        <w:tc>
          <w:tcPr>
            <w:tcW w:w="1276" w:type="dxa"/>
            <w:shd w:val="clear" w:color="auto" w:fill="auto"/>
            <w:noWrap/>
            <w:vAlign w:val="bottom"/>
            <w:hideMark/>
          </w:tcPr>
          <w:p w14:paraId="6CA781E8"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62.2%</w:t>
            </w:r>
          </w:p>
        </w:tc>
        <w:tc>
          <w:tcPr>
            <w:tcW w:w="1418" w:type="dxa"/>
            <w:shd w:val="clear" w:color="auto" w:fill="auto"/>
            <w:noWrap/>
            <w:vAlign w:val="bottom"/>
            <w:hideMark/>
          </w:tcPr>
          <w:p w14:paraId="712F875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44.8%</w:t>
            </w:r>
          </w:p>
        </w:tc>
        <w:tc>
          <w:tcPr>
            <w:tcW w:w="1275" w:type="dxa"/>
            <w:shd w:val="clear" w:color="auto" w:fill="auto"/>
            <w:noWrap/>
            <w:vAlign w:val="bottom"/>
            <w:hideMark/>
          </w:tcPr>
          <w:p w14:paraId="4767B101"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44.8%</w:t>
            </w:r>
          </w:p>
        </w:tc>
        <w:tc>
          <w:tcPr>
            <w:tcW w:w="1134" w:type="dxa"/>
            <w:shd w:val="clear" w:color="auto" w:fill="auto"/>
            <w:noWrap/>
            <w:vAlign w:val="bottom"/>
          </w:tcPr>
          <w:p w14:paraId="6FFE473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44.8%</w:t>
            </w:r>
          </w:p>
        </w:tc>
        <w:tc>
          <w:tcPr>
            <w:tcW w:w="1134" w:type="dxa"/>
            <w:shd w:val="clear" w:color="auto" w:fill="auto"/>
            <w:noWrap/>
            <w:vAlign w:val="bottom"/>
          </w:tcPr>
          <w:p w14:paraId="08FE9FE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44.8%</w:t>
            </w:r>
          </w:p>
        </w:tc>
        <w:tc>
          <w:tcPr>
            <w:tcW w:w="1134" w:type="dxa"/>
            <w:shd w:val="clear" w:color="auto" w:fill="auto"/>
            <w:noWrap/>
            <w:vAlign w:val="bottom"/>
          </w:tcPr>
          <w:p w14:paraId="2B49779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44.8%</w:t>
            </w:r>
          </w:p>
        </w:tc>
      </w:tr>
      <w:tr w:rsidR="002E3D9A" w:rsidRPr="00D4244F" w14:paraId="4E949D54" w14:textId="77777777" w:rsidTr="00EA2356">
        <w:trPr>
          <w:gridAfter w:val="1"/>
          <w:wAfter w:w="11" w:type="dxa"/>
          <w:trHeight w:val="300"/>
        </w:trPr>
        <w:tc>
          <w:tcPr>
            <w:tcW w:w="1701" w:type="dxa"/>
            <w:vMerge/>
            <w:vAlign w:val="center"/>
            <w:hideMark/>
          </w:tcPr>
          <w:p w14:paraId="4ACAC86A"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vAlign w:val="bottom"/>
            <w:hideMark/>
          </w:tcPr>
          <w:p w14:paraId="60775609"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Standard care</w:t>
            </w:r>
          </w:p>
        </w:tc>
        <w:tc>
          <w:tcPr>
            <w:tcW w:w="1134" w:type="dxa"/>
            <w:shd w:val="clear" w:color="auto" w:fill="auto"/>
            <w:noWrap/>
            <w:vAlign w:val="bottom"/>
            <w:hideMark/>
          </w:tcPr>
          <w:p w14:paraId="5D2C74B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44.8%</w:t>
            </w:r>
          </w:p>
        </w:tc>
        <w:tc>
          <w:tcPr>
            <w:tcW w:w="1134" w:type="dxa"/>
            <w:shd w:val="clear" w:color="auto" w:fill="auto"/>
            <w:noWrap/>
            <w:vAlign w:val="bottom"/>
            <w:hideMark/>
          </w:tcPr>
          <w:p w14:paraId="0D860AA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44.8%</w:t>
            </w:r>
          </w:p>
        </w:tc>
        <w:tc>
          <w:tcPr>
            <w:tcW w:w="1276" w:type="dxa"/>
            <w:shd w:val="clear" w:color="auto" w:fill="auto"/>
            <w:noWrap/>
            <w:vAlign w:val="bottom"/>
            <w:hideMark/>
          </w:tcPr>
          <w:p w14:paraId="6A52E29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27.5%</w:t>
            </w:r>
          </w:p>
        </w:tc>
        <w:tc>
          <w:tcPr>
            <w:tcW w:w="1418" w:type="dxa"/>
            <w:shd w:val="clear" w:color="auto" w:fill="auto"/>
            <w:noWrap/>
            <w:vAlign w:val="bottom"/>
            <w:hideMark/>
          </w:tcPr>
          <w:p w14:paraId="08CC5AE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44.8%</w:t>
            </w:r>
          </w:p>
        </w:tc>
        <w:tc>
          <w:tcPr>
            <w:tcW w:w="1275" w:type="dxa"/>
            <w:shd w:val="clear" w:color="auto" w:fill="auto"/>
            <w:noWrap/>
            <w:vAlign w:val="bottom"/>
            <w:hideMark/>
          </w:tcPr>
          <w:p w14:paraId="22C74C4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44.8%</w:t>
            </w:r>
          </w:p>
        </w:tc>
        <w:tc>
          <w:tcPr>
            <w:tcW w:w="1134" w:type="dxa"/>
            <w:shd w:val="clear" w:color="auto" w:fill="auto"/>
            <w:noWrap/>
            <w:vAlign w:val="bottom"/>
          </w:tcPr>
          <w:p w14:paraId="52C5C76F"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18.4%</w:t>
            </w:r>
          </w:p>
        </w:tc>
        <w:tc>
          <w:tcPr>
            <w:tcW w:w="1134" w:type="dxa"/>
            <w:shd w:val="clear" w:color="auto" w:fill="auto"/>
            <w:noWrap/>
            <w:vAlign w:val="bottom"/>
          </w:tcPr>
          <w:p w14:paraId="0880DB6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29.9%</w:t>
            </w:r>
          </w:p>
        </w:tc>
        <w:tc>
          <w:tcPr>
            <w:tcW w:w="1134" w:type="dxa"/>
            <w:shd w:val="clear" w:color="auto" w:fill="auto"/>
            <w:noWrap/>
            <w:vAlign w:val="bottom"/>
          </w:tcPr>
          <w:p w14:paraId="526D850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27.7%</w:t>
            </w:r>
          </w:p>
        </w:tc>
      </w:tr>
      <w:tr w:rsidR="002E3D9A" w:rsidRPr="00D4244F" w14:paraId="555EE636" w14:textId="77777777" w:rsidTr="00EA2356">
        <w:trPr>
          <w:gridAfter w:val="1"/>
          <w:wAfter w:w="11" w:type="dxa"/>
          <w:trHeight w:val="300"/>
        </w:trPr>
        <w:tc>
          <w:tcPr>
            <w:tcW w:w="1701" w:type="dxa"/>
            <w:vMerge/>
            <w:vAlign w:val="center"/>
            <w:hideMark/>
          </w:tcPr>
          <w:p w14:paraId="3664862B"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vAlign w:val="bottom"/>
            <w:hideMark/>
          </w:tcPr>
          <w:p w14:paraId="497BF39E"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Developed ATIs</w:t>
            </w:r>
          </w:p>
        </w:tc>
        <w:tc>
          <w:tcPr>
            <w:tcW w:w="1134" w:type="dxa"/>
            <w:shd w:val="clear" w:color="auto" w:fill="auto"/>
            <w:noWrap/>
            <w:vAlign w:val="bottom"/>
            <w:hideMark/>
          </w:tcPr>
          <w:p w14:paraId="333DBFA1"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10.3%</w:t>
            </w:r>
          </w:p>
        </w:tc>
        <w:tc>
          <w:tcPr>
            <w:tcW w:w="1134" w:type="dxa"/>
            <w:shd w:val="clear" w:color="auto" w:fill="auto"/>
            <w:noWrap/>
            <w:vAlign w:val="bottom"/>
            <w:hideMark/>
          </w:tcPr>
          <w:p w14:paraId="62ED450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10.3%</w:t>
            </w:r>
          </w:p>
        </w:tc>
        <w:tc>
          <w:tcPr>
            <w:tcW w:w="1276" w:type="dxa"/>
            <w:shd w:val="clear" w:color="auto" w:fill="auto"/>
            <w:noWrap/>
            <w:vAlign w:val="bottom"/>
            <w:hideMark/>
          </w:tcPr>
          <w:p w14:paraId="437EDB1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10.3%</w:t>
            </w:r>
          </w:p>
        </w:tc>
        <w:tc>
          <w:tcPr>
            <w:tcW w:w="1418" w:type="dxa"/>
            <w:shd w:val="clear" w:color="auto" w:fill="auto"/>
            <w:noWrap/>
            <w:vAlign w:val="bottom"/>
            <w:hideMark/>
          </w:tcPr>
          <w:p w14:paraId="74A7D340"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10.3%</w:t>
            </w:r>
          </w:p>
        </w:tc>
        <w:tc>
          <w:tcPr>
            <w:tcW w:w="1275" w:type="dxa"/>
            <w:shd w:val="clear" w:color="auto" w:fill="auto"/>
            <w:noWrap/>
            <w:vAlign w:val="bottom"/>
            <w:hideMark/>
          </w:tcPr>
          <w:p w14:paraId="65602C8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10.3%</w:t>
            </w:r>
          </w:p>
        </w:tc>
        <w:tc>
          <w:tcPr>
            <w:tcW w:w="1134" w:type="dxa"/>
            <w:shd w:val="clear" w:color="auto" w:fill="auto"/>
            <w:noWrap/>
            <w:vAlign w:val="bottom"/>
          </w:tcPr>
          <w:p w14:paraId="3599B8B9"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10.3%</w:t>
            </w:r>
          </w:p>
        </w:tc>
        <w:tc>
          <w:tcPr>
            <w:tcW w:w="1134" w:type="dxa"/>
            <w:shd w:val="clear" w:color="auto" w:fill="auto"/>
            <w:noWrap/>
            <w:vAlign w:val="bottom"/>
          </w:tcPr>
          <w:p w14:paraId="65505E1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10.3%</w:t>
            </w:r>
          </w:p>
        </w:tc>
        <w:tc>
          <w:tcPr>
            <w:tcW w:w="1134" w:type="dxa"/>
            <w:shd w:val="clear" w:color="auto" w:fill="auto"/>
            <w:noWrap/>
            <w:vAlign w:val="bottom"/>
          </w:tcPr>
          <w:p w14:paraId="5736336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10.3%</w:t>
            </w:r>
          </w:p>
        </w:tc>
      </w:tr>
      <w:tr w:rsidR="002E3D9A" w:rsidRPr="00D4244F" w14:paraId="561B04D9" w14:textId="77777777" w:rsidTr="00EA2356">
        <w:trPr>
          <w:gridAfter w:val="1"/>
          <w:wAfter w:w="11" w:type="dxa"/>
          <w:trHeight w:val="300"/>
        </w:trPr>
        <w:tc>
          <w:tcPr>
            <w:tcW w:w="1701" w:type="dxa"/>
            <w:vMerge/>
            <w:vAlign w:val="center"/>
            <w:hideMark/>
          </w:tcPr>
          <w:p w14:paraId="34B27FC2"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vAlign w:val="bottom"/>
            <w:hideMark/>
          </w:tcPr>
          <w:p w14:paraId="3EDBFCA9"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Primary non-response</w:t>
            </w:r>
          </w:p>
        </w:tc>
        <w:tc>
          <w:tcPr>
            <w:tcW w:w="1134" w:type="dxa"/>
            <w:shd w:val="clear" w:color="auto" w:fill="auto"/>
            <w:noWrap/>
            <w:vAlign w:val="bottom"/>
            <w:hideMark/>
          </w:tcPr>
          <w:p w14:paraId="1878A84D"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16.6%</w:t>
            </w:r>
          </w:p>
        </w:tc>
        <w:tc>
          <w:tcPr>
            <w:tcW w:w="1134" w:type="dxa"/>
            <w:shd w:val="clear" w:color="auto" w:fill="auto"/>
            <w:noWrap/>
            <w:vAlign w:val="bottom"/>
            <w:hideMark/>
          </w:tcPr>
          <w:p w14:paraId="67DD61B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16.6%</w:t>
            </w:r>
          </w:p>
        </w:tc>
        <w:tc>
          <w:tcPr>
            <w:tcW w:w="1276" w:type="dxa"/>
            <w:shd w:val="clear" w:color="auto" w:fill="auto"/>
            <w:noWrap/>
            <w:vAlign w:val="bottom"/>
            <w:hideMark/>
          </w:tcPr>
          <w:p w14:paraId="32F9CDB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16.6%</w:t>
            </w:r>
          </w:p>
        </w:tc>
        <w:tc>
          <w:tcPr>
            <w:tcW w:w="1418" w:type="dxa"/>
            <w:shd w:val="clear" w:color="auto" w:fill="auto"/>
            <w:noWrap/>
            <w:vAlign w:val="bottom"/>
            <w:hideMark/>
          </w:tcPr>
          <w:p w14:paraId="3454EBF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16.6%</w:t>
            </w:r>
          </w:p>
        </w:tc>
        <w:tc>
          <w:tcPr>
            <w:tcW w:w="1275" w:type="dxa"/>
            <w:shd w:val="clear" w:color="auto" w:fill="auto"/>
            <w:noWrap/>
            <w:vAlign w:val="bottom"/>
            <w:hideMark/>
          </w:tcPr>
          <w:p w14:paraId="38EC8B4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16.6%</w:t>
            </w:r>
          </w:p>
        </w:tc>
        <w:tc>
          <w:tcPr>
            <w:tcW w:w="1134" w:type="dxa"/>
            <w:shd w:val="clear" w:color="auto" w:fill="auto"/>
            <w:noWrap/>
            <w:vAlign w:val="bottom"/>
          </w:tcPr>
          <w:p w14:paraId="65A870B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16.6%</w:t>
            </w:r>
          </w:p>
        </w:tc>
        <w:tc>
          <w:tcPr>
            <w:tcW w:w="1134" w:type="dxa"/>
            <w:shd w:val="clear" w:color="auto" w:fill="auto"/>
            <w:noWrap/>
            <w:vAlign w:val="bottom"/>
          </w:tcPr>
          <w:p w14:paraId="09F83C3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16.6%</w:t>
            </w:r>
          </w:p>
        </w:tc>
        <w:tc>
          <w:tcPr>
            <w:tcW w:w="1134" w:type="dxa"/>
            <w:shd w:val="clear" w:color="auto" w:fill="auto"/>
            <w:noWrap/>
            <w:vAlign w:val="bottom"/>
          </w:tcPr>
          <w:p w14:paraId="132A3AB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16.6%</w:t>
            </w:r>
          </w:p>
        </w:tc>
      </w:tr>
      <w:tr w:rsidR="002E3D9A" w:rsidRPr="00D4244F" w14:paraId="49B0D1A2" w14:textId="77777777" w:rsidTr="00EA2356">
        <w:trPr>
          <w:gridAfter w:val="1"/>
          <w:wAfter w:w="11" w:type="dxa"/>
          <w:trHeight w:val="300"/>
        </w:trPr>
        <w:tc>
          <w:tcPr>
            <w:tcW w:w="1701" w:type="dxa"/>
            <w:vMerge/>
            <w:vAlign w:val="center"/>
            <w:hideMark/>
          </w:tcPr>
          <w:p w14:paraId="6595E387"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vAlign w:val="bottom"/>
            <w:hideMark/>
          </w:tcPr>
          <w:p w14:paraId="4246A50F"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Secondary non-response</w:t>
            </w:r>
          </w:p>
        </w:tc>
        <w:tc>
          <w:tcPr>
            <w:tcW w:w="1134" w:type="dxa"/>
            <w:shd w:val="clear" w:color="auto" w:fill="auto"/>
            <w:noWrap/>
            <w:vAlign w:val="bottom"/>
            <w:hideMark/>
          </w:tcPr>
          <w:p w14:paraId="2B370352"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24.4%</w:t>
            </w:r>
          </w:p>
        </w:tc>
        <w:tc>
          <w:tcPr>
            <w:tcW w:w="1134" w:type="dxa"/>
            <w:shd w:val="clear" w:color="auto" w:fill="auto"/>
            <w:noWrap/>
            <w:vAlign w:val="bottom"/>
            <w:hideMark/>
          </w:tcPr>
          <w:p w14:paraId="7887369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24.4%</w:t>
            </w:r>
          </w:p>
        </w:tc>
        <w:tc>
          <w:tcPr>
            <w:tcW w:w="1276" w:type="dxa"/>
            <w:shd w:val="clear" w:color="auto" w:fill="auto"/>
            <w:noWrap/>
            <w:vAlign w:val="bottom"/>
            <w:hideMark/>
          </w:tcPr>
          <w:p w14:paraId="7645CB2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24.4%</w:t>
            </w:r>
          </w:p>
        </w:tc>
        <w:tc>
          <w:tcPr>
            <w:tcW w:w="1418" w:type="dxa"/>
            <w:shd w:val="clear" w:color="auto" w:fill="auto"/>
            <w:noWrap/>
            <w:vAlign w:val="bottom"/>
            <w:hideMark/>
          </w:tcPr>
          <w:p w14:paraId="6E8F1C30"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24.4%</w:t>
            </w:r>
          </w:p>
        </w:tc>
        <w:tc>
          <w:tcPr>
            <w:tcW w:w="1275" w:type="dxa"/>
            <w:shd w:val="clear" w:color="auto" w:fill="auto"/>
            <w:noWrap/>
            <w:vAlign w:val="bottom"/>
            <w:hideMark/>
          </w:tcPr>
          <w:p w14:paraId="03393DE0"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24.4%</w:t>
            </w:r>
          </w:p>
        </w:tc>
        <w:tc>
          <w:tcPr>
            <w:tcW w:w="1134" w:type="dxa"/>
            <w:shd w:val="clear" w:color="auto" w:fill="auto"/>
            <w:noWrap/>
            <w:vAlign w:val="bottom"/>
          </w:tcPr>
          <w:p w14:paraId="46076529"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24.4%</w:t>
            </w:r>
          </w:p>
        </w:tc>
        <w:tc>
          <w:tcPr>
            <w:tcW w:w="1134" w:type="dxa"/>
            <w:shd w:val="clear" w:color="auto" w:fill="auto"/>
            <w:noWrap/>
            <w:vAlign w:val="bottom"/>
          </w:tcPr>
          <w:p w14:paraId="24C0A4E0"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24.4%</w:t>
            </w:r>
          </w:p>
        </w:tc>
        <w:tc>
          <w:tcPr>
            <w:tcW w:w="1134" w:type="dxa"/>
            <w:shd w:val="clear" w:color="auto" w:fill="auto"/>
            <w:noWrap/>
            <w:vAlign w:val="bottom"/>
          </w:tcPr>
          <w:p w14:paraId="0D81DAB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24.4%</w:t>
            </w:r>
          </w:p>
        </w:tc>
      </w:tr>
      <w:tr w:rsidR="002E3D9A" w:rsidRPr="00D4244F" w14:paraId="7415CF62" w14:textId="77777777" w:rsidTr="00EA2356">
        <w:trPr>
          <w:gridAfter w:val="1"/>
          <w:wAfter w:w="11" w:type="dxa"/>
          <w:trHeight w:val="300"/>
        </w:trPr>
        <w:tc>
          <w:tcPr>
            <w:tcW w:w="1701" w:type="dxa"/>
            <w:vMerge/>
            <w:vAlign w:val="center"/>
            <w:hideMark/>
          </w:tcPr>
          <w:p w14:paraId="1F67194F"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vAlign w:val="bottom"/>
            <w:hideMark/>
          </w:tcPr>
          <w:p w14:paraId="51429CED"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Deaths</w:t>
            </w:r>
          </w:p>
        </w:tc>
        <w:tc>
          <w:tcPr>
            <w:tcW w:w="1134" w:type="dxa"/>
            <w:shd w:val="clear" w:color="auto" w:fill="auto"/>
            <w:noWrap/>
            <w:vAlign w:val="bottom"/>
            <w:hideMark/>
          </w:tcPr>
          <w:p w14:paraId="038B16E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0.5%</w:t>
            </w:r>
          </w:p>
        </w:tc>
        <w:tc>
          <w:tcPr>
            <w:tcW w:w="1134" w:type="dxa"/>
            <w:shd w:val="clear" w:color="auto" w:fill="auto"/>
            <w:noWrap/>
            <w:vAlign w:val="bottom"/>
            <w:hideMark/>
          </w:tcPr>
          <w:p w14:paraId="09FA577D"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0.5%</w:t>
            </w:r>
          </w:p>
        </w:tc>
        <w:tc>
          <w:tcPr>
            <w:tcW w:w="1276" w:type="dxa"/>
            <w:shd w:val="clear" w:color="auto" w:fill="auto"/>
            <w:noWrap/>
            <w:vAlign w:val="bottom"/>
            <w:hideMark/>
          </w:tcPr>
          <w:p w14:paraId="63FB196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0.5%</w:t>
            </w:r>
          </w:p>
        </w:tc>
        <w:tc>
          <w:tcPr>
            <w:tcW w:w="1418" w:type="dxa"/>
            <w:shd w:val="clear" w:color="auto" w:fill="auto"/>
            <w:noWrap/>
            <w:vAlign w:val="bottom"/>
            <w:hideMark/>
          </w:tcPr>
          <w:p w14:paraId="330A205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0.5%</w:t>
            </w:r>
          </w:p>
        </w:tc>
        <w:tc>
          <w:tcPr>
            <w:tcW w:w="1275" w:type="dxa"/>
            <w:shd w:val="clear" w:color="auto" w:fill="auto"/>
            <w:noWrap/>
            <w:vAlign w:val="bottom"/>
            <w:hideMark/>
          </w:tcPr>
          <w:p w14:paraId="26888679"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0.5%</w:t>
            </w:r>
          </w:p>
        </w:tc>
        <w:tc>
          <w:tcPr>
            <w:tcW w:w="1134" w:type="dxa"/>
            <w:shd w:val="clear" w:color="auto" w:fill="auto"/>
            <w:noWrap/>
            <w:vAlign w:val="bottom"/>
          </w:tcPr>
          <w:p w14:paraId="5E9B9F01"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w:t>
            </w:r>
          </w:p>
        </w:tc>
        <w:tc>
          <w:tcPr>
            <w:tcW w:w="1134" w:type="dxa"/>
            <w:shd w:val="clear" w:color="auto" w:fill="auto"/>
            <w:noWrap/>
            <w:vAlign w:val="bottom"/>
          </w:tcPr>
          <w:p w14:paraId="132FDB68"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w:t>
            </w:r>
          </w:p>
        </w:tc>
        <w:tc>
          <w:tcPr>
            <w:tcW w:w="1134" w:type="dxa"/>
            <w:shd w:val="clear" w:color="auto" w:fill="auto"/>
            <w:noWrap/>
            <w:vAlign w:val="bottom"/>
          </w:tcPr>
          <w:p w14:paraId="2E00E9C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0.2%</w:t>
            </w:r>
          </w:p>
        </w:tc>
      </w:tr>
      <w:tr w:rsidR="002E3D9A" w:rsidRPr="00D4244F" w14:paraId="21DB3E67" w14:textId="77777777" w:rsidTr="00EA2356">
        <w:trPr>
          <w:gridAfter w:val="1"/>
          <w:wAfter w:w="11" w:type="dxa"/>
          <w:trHeight w:val="300"/>
        </w:trPr>
        <w:tc>
          <w:tcPr>
            <w:tcW w:w="1701" w:type="dxa"/>
            <w:vMerge/>
            <w:vAlign w:val="center"/>
            <w:hideMark/>
          </w:tcPr>
          <w:p w14:paraId="03C1DD1D"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vAlign w:val="bottom"/>
            <w:hideMark/>
          </w:tcPr>
          <w:p w14:paraId="3F4C5469"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Acute infusion reactions</w:t>
            </w:r>
          </w:p>
        </w:tc>
        <w:tc>
          <w:tcPr>
            <w:tcW w:w="1134" w:type="dxa"/>
            <w:shd w:val="clear" w:color="auto" w:fill="auto"/>
            <w:noWrap/>
            <w:vAlign w:val="bottom"/>
            <w:hideMark/>
          </w:tcPr>
          <w:p w14:paraId="6E4F26C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13.6%</w:t>
            </w:r>
          </w:p>
        </w:tc>
        <w:tc>
          <w:tcPr>
            <w:tcW w:w="1134" w:type="dxa"/>
            <w:shd w:val="clear" w:color="auto" w:fill="auto"/>
            <w:noWrap/>
            <w:vAlign w:val="bottom"/>
            <w:hideMark/>
          </w:tcPr>
          <w:p w14:paraId="6D90341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13.6%</w:t>
            </w:r>
          </w:p>
        </w:tc>
        <w:tc>
          <w:tcPr>
            <w:tcW w:w="1276" w:type="dxa"/>
            <w:shd w:val="clear" w:color="auto" w:fill="auto"/>
            <w:noWrap/>
            <w:vAlign w:val="bottom"/>
            <w:hideMark/>
          </w:tcPr>
          <w:p w14:paraId="502BBB1C"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13.6%</w:t>
            </w:r>
          </w:p>
        </w:tc>
        <w:tc>
          <w:tcPr>
            <w:tcW w:w="1418" w:type="dxa"/>
            <w:shd w:val="clear" w:color="auto" w:fill="auto"/>
            <w:noWrap/>
            <w:vAlign w:val="bottom"/>
            <w:hideMark/>
          </w:tcPr>
          <w:p w14:paraId="38B6102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13.6%</w:t>
            </w:r>
          </w:p>
        </w:tc>
        <w:tc>
          <w:tcPr>
            <w:tcW w:w="1275" w:type="dxa"/>
            <w:shd w:val="clear" w:color="auto" w:fill="auto"/>
            <w:noWrap/>
            <w:vAlign w:val="bottom"/>
            <w:hideMark/>
          </w:tcPr>
          <w:p w14:paraId="3B960F4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13.6%</w:t>
            </w:r>
          </w:p>
        </w:tc>
        <w:tc>
          <w:tcPr>
            <w:tcW w:w="1134" w:type="dxa"/>
            <w:shd w:val="clear" w:color="auto" w:fill="auto"/>
            <w:noWrap/>
            <w:vAlign w:val="bottom"/>
          </w:tcPr>
          <w:p w14:paraId="06D57E66"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13.6%</w:t>
            </w:r>
          </w:p>
        </w:tc>
        <w:tc>
          <w:tcPr>
            <w:tcW w:w="1134" w:type="dxa"/>
            <w:shd w:val="clear" w:color="auto" w:fill="auto"/>
            <w:noWrap/>
            <w:vAlign w:val="bottom"/>
          </w:tcPr>
          <w:p w14:paraId="475ED3D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13.6%</w:t>
            </w:r>
          </w:p>
        </w:tc>
        <w:tc>
          <w:tcPr>
            <w:tcW w:w="1134" w:type="dxa"/>
            <w:shd w:val="clear" w:color="auto" w:fill="auto"/>
            <w:noWrap/>
            <w:vAlign w:val="bottom"/>
          </w:tcPr>
          <w:p w14:paraId="1BF1AF3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13.6%</w:t>
            </w:r>
          </w:p>
        </w:tc>
      </w:tr>
      <w:tr w:rsidR="002E3D9A" w:rsidRPr="00D4244F" w14:paraId="31986336" w14:textId="77777777" w:rsidTr="00EA2356">
        <w:trPr>
          <w:gridAfter w:val="1"/>
          <w:wAfter w:w="11" w:type="dxa"/>
          <w:trHeight w:val="300"/>
        </w:trPr>
        <w:tc>
          <w:tcPr>
            <w:tcW w:w="1701" w:type="dxa"/>
            <w:vMerge/>
            <w:vAlign w:val="center"/>
            <w:hideMark/>
          </w:tcPr>
          <w:p w14:paraId="72F5A718"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vAlign w:val="bottom"/>
            <w:hideMark/>
          </w:tcPr>
          <w:p w14:paraId="55182DF7"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Severe infusion reactions</w:t>
            </w:r>
          </w:p>
        </w:tc>
        <w:tc>
          <w:tcPr>
            <w:tcW w:w="1134" w:type="dxa"/>
            <w:shd w:val="clear" w:color="auto" w:fill="auto"/>
            <w:noWrap/>
            <w:vAlign w:val="bottom"/>
            <w:hideMark/>
          </w:tcPr>
          <w:p w14:paraId="1BA84C7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5.4%</w:t>
            </w:r>
          </w:p>
        </w:tc>
        <w:tc>
          <w:tcPr>
            <w:tcW w:w="1134" w:type="dxa"/>
            <w:shd w:val="clear" w:color="auto" w:fill="auto"/>
            <w:noWrap/>
            <w:vAlign w:val="bottom"/>
            <w:hideMark/>
          </w:tcPr>
          <w:p w14:paraId="2289AAF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5.4%</w:t>
            </w:r>
          </w:p>
        </w:tc>
        <w:tc>
          <w:tcPr>
            <w:tcW w:w="1276" w:type="dxa"/>
            <w:shd w:val="clear" w:color="auto" w:fill="auto"/>
            <w:noWrap/>
            <w:vAlign w:val="bottom"/>
            <w:hideMark/>
          </w:tcPr>
          <w:p w14:paraId="166FF79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5.4%</w:t>
            </w:r>
          </w:p>
        </w:tc>
        <w:tc>
          <w:tcPr>
            <w:tcW w:w="1418" w:type="dxa"/>
            <w:shd w:val="clear" w:color="auto" w:fill="auto"/>
            <w:noWrap/>
            <w:vAlign w:val="bottom"/>
            <w:hideMark/>
          </w:tcPr>
          <w:p w14:paraId="6079D7A8"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5.4%</w:t>
            </w:r>
          </w:p>
        </w:tc>
        <w:tc>
          <w:tcPr>
            <w:tcW w:w="1275" w:type="dxa"/>
            <w:shd w:val="clear" w:color="auto" w:fill="auto"/>
            <w:noWrap/>
            <w:vAlign w:val="bottom"/>
            <w:hideMark/>
          </w:tcPr>
          <w:p w14:paraId="3D5341A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5.4%</w:t>
            </w:r>
          </w:p>
        </w:tc>
        <w:tc>
          <w:tcPr>
            <w:tcW w:w="1134" w:type="dxa"/>
            <w:shd w:val="clear" w:color="auto" w:fill="auto"/>
            <w:noWrap/>
            <w:vAlign w:val="bottom"/>
          </w:tcPr>
          <w:p w14:paraId="3E0A02D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5.4%</w:t>
            </w:r>
          </w:p>
        </w:tc>
        <w:tc>
          <w:tcPr>
            <w:tcW w:w="1134" w:type="dxa"/>
            <w:shd w:val="clear" w:color="auto" w:fill="auto"/>
            <w:noWrap/>
            <w:vAlign w:val="bottom"/>
          </w:tcPr>
          <w:p w14:paraId="211C299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5.4%</w:t>
            </w:r>
          </w:p>
        </w:tc>
        <w:tc>
          <w:tcPr>
            <w:tcW w:w="1134" w:type="dxa"/>
            <w:shd w:val="clear" w:color="auto" w:fill="auto"/>
            <w:noWrap/>
            <w:vAlign w:val="bottom"/>
          </w:tcPr>
          <w:p w14:paraId="5074F2E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5.4%</w:t>
            </w:r>
          </w:p>
        </w:tc>
      </w:tr>
      <w:tr w:rsidR="002E3D9A" w:rsidRPr="00D4244F" w14:paraId="75E1E4CC" w14:textId="77777777" w:rsidTr="00EA2356">
        <w:trPr>
          <w:gridAfter w:val="1"/>
          <w:wAfter w:w="11" w:type="dxa"/>
          <w:trHeight w:val="300"/>
        </w:trPr>
        <w:tc>
          <w:tcPr>
            <w:tcW w:w="1701" w:type="dxa"/>
            <w:vMerge/>
            <w:vAlign w:val="center"/>
            <w:hideMark/>
          </w:tcPr>
          <w:p w14:paraId="3E22E4C9"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shd w:val="clear" w:color="auto" w:fill="auto"/>
            <w:vAlign w:val="bottom"/>
            <w:hideMark/>
          </w:tcPr>
          <w:p w14:paraId="5BAFC883"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Delayed infusion reactions</w:t>
            </w:r>
          </w:p>
        </w:tc>
        <w:tc>
          <w:tcPr>
            <w:tcW w:w="1134" w:type="dxa"/>
            <w:shd w:val="clear" w:color="auto" w:fill="auto"/>
            <w:noWrap/>
            <w:vAlign w:val="bottom"/>
            <w:hideMark/>
          </w:tcPr>
          <w:p w14:paraId="01AC2D19"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2.1%</w:t>
            </w:r>
          </w:p>
        </w:tc>
        <w:tc>
          <w:tcPr>
            <w:tcW w:w="1134" w:type="dxa"/>
            <w:shd w:val="clear" w:color="auto" w:fill="auto"/>
            <w:noWrap/>
            <w:vAlign w:val="bottom"/>
            <w:hideMark/>
          </w:tcPr>
          <w:p w14:paraId="454AD3F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2.1%</w:t>
            </w:r>
          </w:p>
        </w:tc>
        <w:tc>
          <w:tcPr>
            <w:tcW w:w="1276" w:type="dxa"/>
            <w:shd w:val="clear" w:color="auto" w:fill="auto"/>
            <w:noWrap/>
            <w:vAlign w:val="bottom"/>
            <w:hideMark/>
          </w:tcPr>
          <w:p w14:paraId="62B1F02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2.1%</w:t>
            </w:r>
          </w:p>
        </w:tc>
        <w:tc>
          <w:tcPr>
            <w:tcW w:w="1418" w:type="dxa"/>
            <w:shd w:val="clear" w:color="auto" w:fill="auto"/>
            <w:noWrap/>
            <w:vAlign w:val="bottom"/>
            <w:hideMark/>
          </w:tcPr>
          <w:p w14:paraId="5F565DE8"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2.1%</w:t>
            </w:r>
          </w:p>
        </w:tc>
        <w:tc>
          <w:tcPr>
            <w:tcW w:w="1275" w:type="dxa"/>
            <w:shd w:val="clear" w:color="auto" w:fill="auto"/>
            <w:noWrap/>
            <w:vAlign w:val="bottom"/>
            <w:hideMark/>
          </w:tcPr>
          <w:p w14:paraId="0F5D7C6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2.1%</w:t>
            </w:r>
          </w:p>
        </w:tc>
        <w:tc>
          <w:tcPr>
            <w:tcW w:w="1134" w:type="dxa"/>
            <w:shd w:val="clear" w:color="auto" w:fill="auto"/>
            <w:noWrap/>
            <w:vAlign w:val="bottom"/>
          </w:tcPr>
          <w:p w14:paraId="107A3D35"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2.1%</w:t>
            </w:r>
          </w:p>
        </w:tc>
        <w:tc>
          <w:tcPr>
            <w:tcW w:w="1134" w:type="dxa"/>
            <w:shd w:val="clear" w:color="auto" w:fill="auto"/>
            <w:noWrap/>
            <w:vAlign w:val="bottom"/>
          </w:tcPr>
          <w:p w14:paraId="3C8AE02A"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2.1%</w:t>
            </w:r>
          </w:p>
        </w:tc>
        <w:tc>
          <w:tcPr>
            <w:tcW w:w="1134" w:type="dxa"/>
            <w:shd w:val="clear" w:color="auto" w:fill="auto"/>
            <w:noWrap/>
            <w:vAlign w:val="bottom"/>
          </w:tcPr>
          <w:p w14:paraId="36C670CB"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2.1%</w:t>
            </w:r>
          </w:p>
        </w:tc>
      </w:tr>
      <w:tr w:rsidR="002E3D9A" w:rsidRPr="00D4244F" w14:paraId="30123F7E" w14:textId="77777777" w:rsidTr="00EA2356">
        <w:trPr>
          <w:gridAfter w:val="1"/>
          <w:wAfter w:w="11" w:type="dxa"/>
          <w:trHeight w:val="315"/>
        </w:trPr>
        <w:tc>
          <w:tcPr>
            <w:tcW w:w="1701" w:type="dxa"/>
            <w:vMerge/>
            <w:tcBorders>
              <w:bottom w:val="single" w:sz="4" w:space="0" w:color="auto"/>
            </w:tcBorders>
            <w:vAlign w:val="center"/>
            <w:hideMark/>
          </w:tcPr>
          <w:p w14:paraId="76136A21" w14:textId="77777777" w:rsidR="002E3D9A" w:rsidRPr="00D4244F" w:rsidRDefault="002E3D9A" w:rsidP="00EA2356">
            <w:pPr>
              <w:spacing w:after="0" w:line="240" w:lineRule="auto"/>
              <w:rPr>
                <w:rFonts w:ascii="Calibri" w:eastAsia="Times New Roman" w:hAnsi="Calibri" w:cs="Times New Roman"/>
                <w:b/>
                <w:bCs/>
                <w:sz w:val="20"/>
                <w:szCs w:val="20"/>
                <w:lang w:eastAsia="en-GB"/>
              </w:rPr>
            </w:pPr>
          </w:p>
        </w:tc>
        <w:tc>
          <w:tcPr>
            <w:tcW w:w="2835" w:type="dxa"/>
            <w:tcBorders>
              <w:bottom w:val="single" w:sz="4" w:space="0" w:color="auto"/>
            </w:tcBorders>
            <w:shd w:val="clear" w:color="auto" w:fill="auto"/>
            <w:vAlign w:val="bottom"/>
            <w:hideMark/>
          </w:tcPr>
          <w:p w14:paraId="61DB7649"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Surgeries</w:t>
            </w:r>
          </w:p>
        </w:tc>
        <w:tc>
          <w:tcPr>
            <w:tcW w:w="1134" w:type="dxa"/>
            <w:tcBorders>
              <w:bottom w:val="single" w:sz="4" w:space="0" w:color="auto"/>
            </w:tcBorders>
            <w:shd w:val="clear" w:color="auto" w:fill="auto"/>
            <w:noWrap/>
            <w:vAlign w:val="bottom"/>
            <w:hideMark/>
          </w:tcPr>
          <w:p w14:paraId="3B55C9ED"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14.0%</w:t>
            </w:r>
          </w:p>
        </w:tc>
        <w:tc>
          <w:tcPr>
            <w:tcW w:w="1134" w:type="dxa"/>
            <w:tcBorders>
              <w:bottom w:val="single" w:sz="4" w:space="0" w:color="auto"/>
            </w:tcBorders>
            <w:shd w:val="clear" w:color="auto" w:fill="auto"/>
            <w:noWrap/>
            <w:vAlign w:val="bottom"/>
            <w:hideMark/>
          </w:tcPr>
          <w:p w14:paraId="65306927"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14.0%</w:t>
            </w:r>
          </w:p>
        </w:tc>
        <w:tc>
          <w:tcPr>
            <w:tcW w:w="1276" w:type="dxa"/>
            <w:tcBorders>
              <w:bottom w:val="single" w:sz="4" w:space="0" w:color="auto"/>
            </w:tcBorders>
            <w:shd w:val="clear" w:color="auto" w:fill="auto"/>
            <w:noWrap/>
            <w:vAlign w:val="bottom"/>
            <w:hideMark/>
          </w:tcPr>
          <w:p w14:paraId="0D3EF821"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14.0%</w:t>
            </w:r>
          </w:p>
        </w:tc>
        <w:tc>
          <w:tcPr>
            <w:tcW w:w="1418" w:type="dxa"/>
            <w:tcBorders>
              <w:bottom w:val="single" w:sz="4" w:space="0" w:color="auto"/>
            </w:tcBorders>
            <w:shd w:val="clear" w:color="auto" w:fill="auto"/>
            <w:noWrap/>
            <w:vAlign w:val="bottom"/>
            <w:hideMark/>
          </w:tcPr>
          <w:p w14:paraId="43C1C03D"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14.0%</w:t>
            </w:r>
          </w:p>
        </w:tc>
        <w:tc>
          <w:tcPr>
            <w:tcW w:w="1275" w:type="dxa"/>
            <w:tcBorders>
              <w:bottom w:val="single" w:sz="4" w:space="0" w:color="auto"/>
            </w:tcBorders>
            <w:shd w:val="clear" w:color="auto" w:fill="auto"/>
            <w:noWrap/>
            <w:vAlign w:val="bottom"/>
            <w:hideMark/>
          </w:tcPr>
          <w:p w14:paraId="7AF8AB1D"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14.0%</w:t>
            </w:r>
          </w:p>
        </w:tc>
        <w:tc>
          <w:tcPr>
            <w:tcW w:w="1134" w:type="dxa"/>
            <w:tcBorders>
              <w:bottom w:val="single" w:sz="4" w:space="0" w:color="auto"/>
            </w:tcBorders>
            <w:shd w:val="clear" w:color="auto" w:fill="auto"/>
            <w:noWrap/>
            <w:vAlign w:val="bottom"/>
          </w:tcPr>
          <w:p w14:paraId="30C97843"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2.8%</w:t>
            </w:r>
          </w:p>
        </w:tc>
        <w:tc>
          <w:tcPr>
            <w:tcW w:w="1134" w:type="dxa"/>
            <w:tcBorders>
              <w:bottom w:val="single" w:sz="4" w:space="0" w:color="auto"/>
            </w:tcBorders>
            <w:shd w:val="clear" w:color="auto" w:fill="auto"/>
            <w:noWrap/>
            <w:vAlign w:val="bottom"/>
          </w:tcPr>
          <w:p w14:paraId="3C177E94"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3.6%</w:t>
            </w:r>
          </w:p>
        </w:tc>
        <w:tc>
          <w:tcPr>
            <w:tcW w:w="1134" w:type="dxa"/>
            <w:tcBorders>
              <w:bottom w:val="single" w:sz="4" w:space="0" w:color="auto"/>
            </w:tcBorders>
            <w:shd w:val="clear" w:color="auto" w:fill="auto"/>
            <w:noWrap/>
            <w:vAlign w:val="bottom"/>
          </w:tcPr>
          <w:p w14:paraId="6C5FBE3E" w14:textId="77777777" w:rsidR="002E3D9A" w:rsidRPr="00D4244F" w:rsidRDefault="002E3D9A" w:rsidP="00EA2356">
            <w:pPr>
              <w:spacing w:after="0" w:line="240" w:lineRule="auto"/>
              <w:rPr>
                <w:rFonts w:ascii="Calibri" w:eastAsia="Times New Roman" w:hAnsi="Calibri" w:cs="Times New Roman"/>
                <w:sz w:val="20"/>
                <w:szCs w:val="20"/>
                <w:lang w:eastAsia="en-GB"/>
              </w:rPr>
            </w:pPr>
            <w:r w:rsidRPr="00D4244F">
              <w:rPr>
                <w:rFonts w:ascii="Calibri" w:eastAsia="Times New Roman" w:hAnsi="Calibri" w:cs="Times New Roman"/>
                <w:sz w:val="20"/>
                <w:szCs w:val="20"/>
                <w:lang w:eastAsia="en-GB"/>
              </w:rPr>
              <w:t>3.6%</w:t>
            </w:r>
          </w:p>
        </w:tc>
      </w:tr>
      <w:tr w:rsidR="002E3D9A" w:rsidRPr="00D4244F" w14:paraId="30CDDDE2" w14:textId="77777777" w:rsidTr="00EA2356">
        <w:trPr>
          <w:trHeight w:val="315"/>
        </w:trPr>
        <w:tc>
          <w:tcPr>
            <w:tcW w:w="14186" w:type="dxa"/>
            <w:gridSpan w:val="11"/>
            <w:tcBorders>
              <w:top w:val="single" w:sz="4" w:space="0" w:color="auto"/>
            </w:tcBorders>
            <w:shd w:val="clear" w:color="auto" w:fill="auto"/>
            <w:vAlign w:val="center"/>
          </w:tcPr>
          <w:p w14:paraId="471A9F10" w14:textId="77777777" w:rsidR="002E3D9A" w:rsidRPr="00A06659" w:rsidRDefault="002E3D9A" w:rsidP="00EA2356">
            <w:pPr>
              <w:spacing w:after="0" w:line="240" w:lineRule="auto"/>
              <w:rPr>
                <w:rFonts w:ascii="Calibri" w:eastAsia="Times New Roman" w:hAnsi="Calibri" w:cs="Times New Roman"/>
                <w:bCs/>
                <w:sz w:val="20"/>
                <w:szCs w:val="20"/>
                <w:lang w:eastAsia="en-GB"/>
              </w:rPr>
            </w:pPr>
            <w:r w:rsidRPr="00A06659">
              <w:rPr>
                <w:rFonts w:ascii="Calibri" w:eastAsia="Times New Roman" w:hAnsi="Calibri" w:cs="Times New Roman"/>
                <w:bCs/>
                <w:sz w:val="20"/>
                <w:szCs w:val="20"/>
                <w:lang w:eastAsia="en-GB"/>
              </w:rPr>
              <w:t xml:space="preserve">Note: Scenario (i), 25% reduction in vial cost of Remicade; Scenario (ii), patients with secondary non-response but no AEs continue treatment; Scenario (iii), 8 week IFX wash out period; Scenario (iv), secondary non-response at 15 weeks for those developing ATIs; Scenario (v), patients switch to adalimumab before standard care; Scenario (vi), patients switch to ustekinumab before standard care; Scenario (vii), patients switch to vedolizumab before standard care. </w:t>
            </w:r>
          </w:p>
          <w:p w14:paraId="6354FDEE" w14:textId="77777777" w:rsidR="002E3D9A" w:rsidRPr="00A06659" w:rsidRDefault="002E3D9A" w:rsidP="00EA2356">
            <w:pPr>
              <w:pStyle w:val="Heading3"/>
              <w:rPr>
                <w:rFonts w:ascii="Calibri" w:eastAsia="Times New Roman" w:hAnsi="Calibri" w:cs="Times New Roman"/>
                <w:bCs/>
                <w:color w:val="auto"/>
                <w:sz w:val="20"/>
                <w:szCs w:val="20"/>
                <w:lang w:eastAsia="en-GB"/>
              </w:rPr>
            </w:pPr>
            <w:r w:rsidRPr="00A06659">
              <w:rPr>
                <w:rFonts w:ascii="Calibri" w:eastAsia="Times New Roman" w:hAnsi="Calibri" w:cs="Times New Roman"/>
                <w:bCs/>
                <w:color w:val="auto"/>
                <w:sz w:val="20"/>
                <w:szCs w:val="20"/>
                <w:lang w:eastAsia="en-GB"/>
              </w:rPr>
              <w:t>Abbreviations: QALY - quality adjusted life year; NHB - net health benefit; ICER - incremental cost effectiveness ratio; IFX – infliximab; AEs - adverse events; ATI - antibodies to infliximab; SIR – severe infusion reaction; LOR – loss of response; ADA – adalimumab; UST – ustekinumab; VED - vedolizumab</w:t>
            </w:r>
          </w:p>
          <w:p w14:paraId="4E9E7A7D" w14:textId="77777777" w:rsidR="002E3D9A" w:rsidRPr="00A06659" w:rsidRDefault="002E3D9A" w:rsidP="00EA2356">
            <w:pPr>
              <w:spacing w:after="0" w:line="240" w:lineRule="auto"/>
              <w:rPr>
                <w:rFonts w:ascii="Calibri" w:eastAsia="Times New Roman" w:hAnsi="Calibri" w:cs="Times New Roman"/>
                <w:sz w:val="20"/>
                <w:szCs w:val="20"/>
                <w:lang w:eastAsia="en-GB"/>
              </w:rPr>
            </w:pPr>
          </w:p>
        </w:tc>
      </w:tr>
    </w:tbl>
    <w:p w14:paraId="64C60416" w14:textId="77777777" w:rsidR="002E3D9A" w:rsidRDefault="002E3D9A" w:rsidP="002E3D9A"/>
    <w:p w14:paraId="72262A4B" w14:textId="77777777" w:rsidR="002E3D9A" w:rsidRDefault="002E3D9A">
      <w:pPr>
        <w:rPr>
          <w:rFonts w:eastAsiaTheme="majorEastAsia" w:cstheme="majorBidi"/>
          <w:sz w:val="22"/>
        </w:rPr>
      </w:pPr>
      <w:r>
        <w:rPr>
          <w:rFonts w:eastAsiaTheme="majorEastAsia" w:cstheme="majorBidi"/>
          <w:sz w:val="22"/>
        </w:rPr>
        <w:br w:type="page"/>
      </w:r>
    </w:p>
    <w:p w14:paraId="6A71925D" w14:textId="77777777" w:rsidR="002E3D9A" w:rsidRDefault="002E3D9A" w:rsidP="002E3D9A">
      <w:pPr>
        <w:rPr>
          <w:noProof/>
          <w:lang w:eastAsia="en-GB"/>
        </w:rPr>
      </w:pPr>
      <w:r>
        <w:rPr>
          <w:noProof/>
          <w:lang w:eastAsia="en-GB"/>
        </w:rPr>
        <mc:AlternateContent>
          <mc:Choice Requires="wpg">
            <w:drawing>
              <wp:anchor distT="0" distB="0" distL="114300" distR="114300" simplePos="0" relativeHeight="251658752" behindDoc="0" locked="0" layoutInCell="1" allowOverlap="1" wp14:anchorId="0C374DDA" wp14:editId="066F4F99">
                <wp:simplePos x="0" y="0"/>
                <wp:positionH relativeFrom="column">
                  <wp:posOffset>7620</wp:posOffset>
                </wp:positionH>
                <wp:positionV relativeFrom="paragraph">
                  <wp:posOffset>0</wp:posOffset>
                </wp:positionV>
                <wp:extent cx="8772525" cy="4781550"/>
                <wp:effectExtent l="0" t="0" r="0" b="0"/>
                <wp:wrapNone/>
                <wp:docPr id="129" name="Group 129"/>
                <wp:cNvGraphicFramePr/>
                <a:graphic xmlns:a="http://schemas.openxmlformats.org/drawingml/2006/main">
                  <a:graphicData uri="http://schemas.microsoft.com/office/word/2010/wordprocessingGroup">
                    <wpg:wgp>
                      <wpg:cNvGrpSpPr/>
                      <wpg:grpSpPr>
                        <a:xfrm>
                          <a:off x="0" y="0"/>
                          <a:ext cx="8772525" cy="4781550"/>
                          <a:chOff x="0" y="0"/>
                          <a:chExt cx="8772525" cy="4781550"/>
                        </a:xfrm>
                      </wpg:grpSpPr>
                      <wpg:graphicFrame>
                        <wpg:cNvPr id="94" name="Diagram 94"/>
                        <wpg:cNvFrPr/>
                        <wpg:xfrm>
                          <a:off x="0" y="0"/>
                          <a:ext cx="8772525" cy="478155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g:graphicFrame>
                        <wpg:cNvPr id="95" name="Diagram 95"/>
                        <wpg:cNvFrPr/>
                        <wpg:xfrm>
                          <a:off x="19050" y="600075"/>
                          <a:ext cx="2466975" cy="1114425"/>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g:wgp>
                  </a:graphicData>
                </a:graphic>
              </wp:anchor>
            </w:drawing>
          </mc:Choice>
          <mc:Fallback>
            <w:pict>
              <v:group w14:anchorId="4F660038" id="Group 129" o:spid="_x0000_s1026" style="position:absolute;margin-left:.6pt;margin-top:0;width:690.75pt;height:376.5pt;z-index:251658752" coordsize="87725,47815"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94" o:spid="_x0000_s1027" type="#_x0000_t75" style="position:absolute;top:5486;width:86563;height:387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">
                  <v:imagedata r:id="rId19" o:title=""/>
                  <o:lock v:ext="edit" aspectratio="f"/>
                </v:shape>
                <v:shape id="Diagram 95" o:spid="_x0000_s1028" type="#_x0000_t75" style="position:absolute;left:121;top:5852;width:24811;height:11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">
                  <v:imagedata r:id="rId20" o:title=""/>
                  <o:lock v:ext="edit" aspectratio="f"/>
                </v:shape>
              </v:group>
            </w:pict>
          </mc:Fallback>
        </mc:AlternateContent>
      </w:r>
    </w:p>
    <w:p w14:paraId="2208EDA0" w14:textId="77777777" w:rsidR="002E3D9A" w:rsidRDefault="002E3D9A" w:rsidP="002E3D9A">
      <w:pPr>
        <w:rPr>
          <w:noProof/>
          <w:lang w:eastAsia="en-GB"/>
        </w:rPr>
      </w:pPr>
    </w:p>
    <w:p w14:paraId="4B90E5EC" w14:textId="77777777" w:rsidR="002E3D9A" w:rsidRDefault="002E3D9A" w:rsidP="002E3D9A">
      <w:pPr>
        <w:rPr>
          <w:noProof/>
          <w:lang w:eastAsia="en-GB"/>
        </w:rPr>
      </w:pPr>
    </w:p>
    <w:p w14:paraId="10D15D90" w14:textId="77777777" w:rsidR="002E3D9A" w:rsidRDefault="002E3D9A" w:rsidP="002E3D9A">
      <w:pPr>
        <w:rPr>
          <w:noProof/>
          <w:lang w:eastAsia="en-GB"/>
        </w:rPr>
      </w:pPr>
    </w:p>
    <w:p w14:paraId="4AFF1416" w14:textId="77777777" w:rsidR="002E3D9A" w:rsidRDefault="002E3D9A" w:rsidP="002E3D9A"/>
    <w:p w14:paraId="36B2615D" w14:textId="77777777" w:rsidR="002E3D9A" w:rsidRDefault="002E3D9A" w:rsidP="002E3D9A"/>
    <w:p w14:paraId="744E10A9" w14:textId="77777777" w:rsidR="002E3D9A" w:rsidRDefault="002E3D9A" w:rsidP="002E3D9A"/>
    <w:p w14:paraId="71E22877" w14:textId="77777777" w:rsidR="002E3D9A" w:rsidRDefault="002E3D9A" w:rsidP="002E3D9A"/>
    <w:p w14:paraId="6D221667" w14:textId="77777777" w:rsidR="002E3D9A" w:rsidRDefault="002E3D9A">
      <w:pPr>
        <w:rPr>
          <w:rFonts w:eastAsiaTheme="majorEastAsia" w:cstheme="majorBidi"/>
          <w:sz w:val="22"/>
        </w:rPr>
      </w:pPr>
      <w:r>
        <w:rPr>
          <w:rFonts w:eastAsiaTheme="majorEastAsia" w:cstheme="majorBidi"/>
          <w:sz w:val="22"/>
        </w:rPr>
        <w:br w:type="page"/>
      </w:r>
    </w:p>
    <w:p w14:paraId="5DAD6D8F" w14:textId="77777777" w:rsidR="002E3D9A" w:rsidRDefault="002E3D9A" w:rsidP="00263545">
      <w:pPr>
        <w:spacing w:line="480" w:lineRule="auto"/>
        <w:rPr>
          <w:rFonts w:eastAsiaTheme="majorEastAsia" w:cstheme="majorBidi"/>
          <w:sz w:val="22"/>
        </w:rPr>
        <w:sectPr w:rsidR="002E3D9A" w:rsidSect="002E3D9A">
          <w:pgSz w:w="16838" w:h="11906" w:orient="landscape"/>
          <w:pgMar w:top="1440" w:right="1440" w:bottom="1440" w:left="1440" w:header="708" w:footer="708" w:gutter="0"/>
          <w:cols w:space="708"/>
          <w:docGrid w:linePitch="360"/>
        </w:sectPr>
      </w:pPr>
      <w:r w:rsidRPr="002E3D9A">
        <w:rPr>
          <w:rFonts w:eastAsiaTheme="majorEastAsia" w:cstheme="majorBidi"/>
          <w:noProof/>
          <w:sz w:val="22"/>
          <w:lang w:eastAsia="en-GB"/>
        </w:rPr>
        <w:drawing>
          <wp:inline distT="0" distB="0" distL="0" distR="0" wp14:anchorId="0935B216" wp14:editId="3CAF134A">
            <wp:extent cx="7414260" cy="4419600"/>
            <wp:effectExtent l="0" t="0" r="0" b="0"/>
            <wp:docPr id="1" name="Picture 1" descr="C:\Users\pss037\OneDrive - Bangor University\Documents\Temporary\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s037\OneDrive - Bangor University\Documents\Temporary\Figure 2.t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14260" cy="4419600"/>
                    </a:xfrm>
                    <a:prstGeom prst="rect">
                      <a:avLst/>
                    </a:prstGeom>
                    <a:noFill/>
                    <a:ln>
                      <a:noFill/>
                    </a:ln>
                  </pic:spPr>
                </pic:pic>
              </a:graphicData>
            </a:graphic>
          </wp:inline>
        </w:drawing>
      </w:r>
    </w:p>
    <w:p w14:paraId="1028327E" w14:textId="77777777" w:rsidR="002E3D9A" w:rsidRDefault="002E3D9A" w:rsidP="00263545">
      <w:pPr>
        <w:spacing w:line="480" w:lineRule="auto"/>
        <w:rPr>
          <w:rFonts w:eastAsiaTheme="majorEastAsia" w:cstheme="majorBidi"/>
          <w:sz w:val="22"/>
        </w:rPr>
      </w:pPr>
      <w:r w:rsidRPr="002E3D9A">
        <w:rPr>
          <w:rFonts w:eastAsiaTheme="majorEastAsia" w:cstheme="majorBidi"/>
          <w:noProof/>
          <w:sz w:val="22"/>
          <w:lang w:eastAsia="en-GB"/>
        </w:rPr>
        <w:drawing>
          <wp:inline distT="0" distB="0" distL="0" distR="0" wp14:anchorId="1C2F3574" wp14:editId="207E3BA2">
            <wp:extent cx="5731510" cy="8204236"/>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8204236"/>
                    </a:xfrm>
                    <a:prstGeom prst="rect">
                      <a:avLst/>
                    </a:prstGeom>
                    <a:noFill/>
                    <a:ln>
                      <a:noFill/>
                    </a:ln>
                  </pic:spPr>
                </pic:pic>
              </a:graphicData>
            </a:graphic>
          </wp:inline>
        </w:drawing>
      </w:r>
    </w:p>
    <w:p w14:paraId="4F469602" w14:textId="77777777" w:rsidR="002E3D9A" w:rsidRDefault="002E3D9A">
      <w:pPr>
        <w:rPr>
          <w:rFonts w:eastAsiaTheme="majorEastAsia" w:cstheme="majorBidi"/>
          <w:sz w:val="22"/>
        </w:rPr>
      </w:pPr>
      <w:r>
        <w:rPr>
          <w:rFonts w:eastAsiaTheme="majorEastAsia" w:cstheme="majorBidi"/>
          <w:sz w:val="22"/>
        </w:rPr>
        <w:br w:type="page"/>
      </w:r>
    </w:p>
    <w:p w14:paraId="0570FEA0" w14:textId="48CBE392" w:rsidR="00361E55" w:rsidRPr="00E24E29" w:rsidRDefault="002E3D9A" w:rsidP="00263545">
      <w:pPr>
        <w:spacing w:line="480" w:lineRule="auto"/>
        <w:rPr>
          <w:rFonts w:eastAsiaTheme="majorEastAsia" w:cstheme="majorBidi"/>
          <w:sz w:val="22"/>
        </w:rPr>
      </w:pPr>
      <w:bookmarkStart w:id="3" w:name="_GoBack"/>
      <w:r w:rsidRPr="002E3D9A">
        <w:rPr>
          <w:rFonts w:eastAsiaTheme="majorEastAsia" w:cstheme="majorBidi"/>
          <w:noProof/>
          <w:sz w:val="22"/>
          <w:lang w:eastAsia="en-GB"/>
        </w:rPr>
        <w:drawing>
          <wp:inline distT="0" distB="0" distL="0" distR="0" wp14:anchorId="6AE183B2" wp14:editId="5CE1081C">
            <wp:extent cx="5501640" cy="3604523"/>
            <wp:effectExtent l="0" t="0" r="3810" b="0"/>
            <wp:docPr id="3" name="Picture 3" descr="C:\Users\pss037\OneDrive - Bangor University\Documents\Temporary\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s037\OneDrive - Bangor University\Documents\Temporary\Figure 4.t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15686" cy="3613726"/>
                    </a:xfrm>
                    <a:prstGeom prst="rect">
                      <a:avLst/>
                    </a:prstGeom>
                    <a:noFill/>
                    <a:ln>
                      <a:noFill/>
                    </a:ln>
                  </pic:spPr>
                </pic:pic>
              </a:graphicData>
            </a:graphic>
          </wp:inline>
        </w:drawing>
      </w:r>
      <w:bookmarkEnd w:id="3"/>
    </w:p>
    <w:sectPr w:rsidR="00361E55" w:rsidRPr="00E24E29" w:rsidSect="002E3D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A9448" w14:textId="77777777" w:rsidR="00DA434B" w:rsidRDefault="00DA434B" w:rsidP="006343C9">
      <w:pPr>
        <w:spacing w:after="0" w:line="240" w:lineRule="auto"/>
      </w:pPr>
      <w:r>
        <w:separator/>
      </w:r>
    </w:p>
  </w:endnote>
  <w:endnote w:type="continuationSeparator" w:id="0">
    <w:p w14:paraId="1819589E" w14:textId="77777777" w:rsidR="00DA434B" w:rsidRDefault="00DA434B" w:rsidP="0063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15047"/>
      <w:docPartObj>
        <w:docPartGallery w:val="Page Numbers (Bottom of Page)"/>
        <w:docPartUnique/>
      </w:docPartObj>
    </w:sdtPr>
    <w:sdtEndPr>
      <w:rPr>
        <w:noProof/>
      </w:rPr>
    </w:sdtEndPr>
    <w:sdtContent>
      <w:p w14:paraId="3376824D" w14:textId="496CE7B2" w:rsidR="00361E55" w:rsidRDefault="00361E55">
        <w:pPr>
          <w:pStyle w:val="Footer"/>
          <w:jc w:val="right"/>
        </w:pPr>
        <w:r>
          <w:fldChar w:fldCharType="begin"/>
        </w:r>
        <w:r>
          <w:instrText xml:space="preserve"> PAGE   \* MERGEFORMAT </w:instrText>
        </w:r>
        <w:r>
          <w:fldChar w:fldCharType="separate"/>
        </w:r>
        <w:r w:rsidR="002E3D9A">
          <w:rPr>
            <w:noProof/>
          </w:rPr>
          <w:t>31</w:t>
        </w:r>
        <w:r>
          <w:rPr>
            <w:noProof/>
          </w:rPr>
          <w:fldChar w:fldCharType="end"/>
        </w:r>
      </w:p>
    </w:sdtContent>
  </w:sdt>
  <w:p w14:paraId="11F7D571" w14:textId="77777777" w:rsidR="00361E55" w:rsidRDefault="0036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E5A3D" w14:textId="77777777" w:rsidR="00DA434B" w:rsidRDefault="00DA434B" w:rsidP="006343C9">
      <w:pPr>
        <w:spacing w:after="0" w:line="240" w:lineRule="auto"/>
      </w:pPr>
      <w:r>
        <w:separator/>
      </w:r>
    </w:p>
  </w:footnote>
  <w:footnote w:type="continuationSeparator" w:id="0">
    <w:p w14:paraId="71409205" w14:textId="77777777" w:rsidR="00DA434B" w:rsidRDefault="00DA434B" w:rsidP="00634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583B"/>
    <w:multiLevelType w:val="multilevel"/>
    <w:tmpl w:val="B1ACC9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B85E70"/>
    <w:multiLevelType w:val="hybridMultilevel"/>
    <w:tmpl w:val="21B0E18A"/>
    <w:lvl w:ilvl="0" w:tplc="D2687D58">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9C93C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FB2623"/>
    <w:multiLevelType w:val="hybridMultilevel"/>
    <w:tmpl w:val="6DFA957A"/>
    <w:lvl w:ilvl="0" w:tplc="F2DEDD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250BB"/>
    <w:multiLevelType w:val="hybridMultilevel"/>
    <w:tmpl w:val="AE12738A"/>
    <w:lvl w:ilvl="0" w:tplc="F2DEDD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E28B6"/>
    <w:multiLevelType w:val="hybridMultilevel"/>
    <w:tmpl w:val="F85A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4312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56C7EE1"/>
    <w:multiLevelType w:val="hybridMultilevel"/>
    <w:tmpl w:val="9F700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07ED1"/>
    <w:multiLevelType w:val="hybridMultilevel"/>
    <w:tmpl w:val="448AC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8B1155"/>
    <w:multiLevelType w:val="hybridMultilevel"/>
    <w:tmpl w:val="65D62E08"/>
    <w:lvl w:ilvl="0" w:tplc="F2DEDD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42877"/>
    <w:multiLevelType w:val="hybridMultilevel"/>
    <w:tmpl w:val="48A4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14C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88178F"/>
    <w:multiLevelType w:val="hybridMultilevel"/>
    <w:tmpl w:val="9EACA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62EFD"/>
    <w:multiLevelType w:val="multilevel"/>
    <w:tmpl w:val="A73AE974"/>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7534B4"/>
    <w:multiLevelType w:val="hybridMultilevel"/>
    <w:tmpl w:val="9A2C028E"/>
    <w:lvl w:ilvl="0" w:tplc="1F44BD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814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727BBA"/>
    <w:multiLevelType w:val="hybridMultilevel"/>
    <w:tmpl w:val="958C9A50"/>
    <w:lvl w:ilvl="0" w:tplc="F2DEDD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C1D2F"/>
    <w:multiLevelType w:val="multilevel"/>
    <w:tmpl w:val="B1ACC92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EB1EAF"/>
    <w:multiLevelType w:val="hybridMultilevel"/>
    <w:tmpl w:val="DAC44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8D232E"/>
    <w:multiLevelType w:val="hybridMultilevel"/>
    <w:tmpl w:val="B34011D4"/>
    <w:lvl w:ilvl="0" w:tplc="6E9E03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86687C"/>
    <w:multiLevelType w:val="hybridMultilevel"/>
    <w:tmpl w:val="6AC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5"/>
  </w:num>
  <w:num w:numId="4">
    <w:abstractNumId w:val="10"/>
  </w:num>
  <w:num w:numId="5">
    <w:abstractNumId w:val="14"/>
  </w:num>
  <w:num w:numId="6">
    <w:abstractNumId w:val="3"/>
  </w:num>
  <w:num w:numId="7">
    <w:abstractNumId w:val="16"/>
  </w:num>
  <w:num w:numId="8">
    <w:abstractNumId w:val="4"/>
  </w:num>
  <w:num w:numId="9">
    <w:abstractNumId w:val="9"/>
  </w:num>
  <w:num w:numId="10">
    <w:abstractNumId w:val="8"/>
  </w:num>
  <w:num w:numId="11">
    <w:abstractNumId w:val="12"/>
  </w:num>
  <w:num w:numId="12">
    <w:abstractNumId w:val="1"/>
  </w:num>
  <w:num w:numId="13">
    <w:abstractNumId w:val="19"/>
  </w:num>
  <w:num w:numId="14">
    <w:abstractNumId w:val="18"/>
  </w:num>
  <w:num w:numId="15">
    <w:abstractNumId w:val="15"/>
  </w:num>
  <w:num w:numId="16">
    <w:abstractNumId w:val="6"/>
  </w:num>
  <w:num w:numId="17">
    <w:abstractNumId w:val="11"/>
  </w:num>
  <w:num w:numId="18">
    <w:abstractNumId w:val="0"/>
  </w:num>
  <w:num w:numId="19">
    <w:abstractNumId w:val="17"/>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A5"/>
    <w:rsid w:val="00012EDD"/>
    <w:rsid w:val="00014A6D"/>
    <w:rsid w:val="00015C6D"/>
    <w:rsid w:val="00016270"/>
    <w:rsid w:val="00016B3E"/>
    <w:rsid w:val="0003330A"/>
    <w:rsid w:val="00036CF2"/>
    <w:rsid w:val="00046A23"/>
    <w:rsid w:val="00055190"/>
    <w:rsid w:val="000553A7"/>
    <w:rsid w:val="0006318E"/>
    <w:rsid w:val="0007133B"/>
    <w:rsid w:val="00075790"/>
    <w:rsid w:val="0007722C"/>
    <w:rsid w:val="0008078A"/>
    <w:rsid w:val="00082429"/>
    <w:rsid w:val="000836D9"/>
    <w:rsid w:val="00083AE2"/>
    <w:rsid w:val="000956CF"/>
    <w:rsid w:val="00097782"/>
    <w:rsid w:val="000A378A"/>
    <w:rsid w:val="000A5C10"/>
    <w:rsid w:val="000B0782"/>
    <w:rsid w:val="000B185C"/>
    <w:rsid w:val="000C0B39"/>
    <w:rsid w:val="000C1B51"/>
    <w:rsid w:val="000C3BD7"/>
    <w:rsid w:val="000C4A4F"/>
    <w:rsid w:val="000D2F75"/>
    <w:rsid w:val="000D6698"/>
    <w:rsid w:val="000E5FCB"/>
    <w:rsid w:val="000E5FFC"/>
    <w:rsid w:val="000E6342"/>
    <w:rsid w:val="000E7248"/>
    <w:rsid w:val="00100F89"/>
    <w:rsid w:val="00102675"/>
    <w:rsid w:val="00102698"/>
    <w:rsid w:val="001061CA"/>
    <w:rsid w:val="00121ED2"/>
    <w:rsid w:val="00122C7C"/>
    <w:rsid w:val="00123F72"/>
    <w:rsid w:val="0012473A"/>
    <w:rsid w:val="00124BE2"/>
    <w:rsid w:val="00133B6F"/>
    <w:rsid w:val="0013468A"/>
    <w:rsid w:val="00134E23"/>
    <w:rsid w:val="00142763"/>
    <w:rsid w:val="00143328"/>
    <w:rsid w:val="00143C51"/>
    <w:rsid w:val="001514BD"/>
    <w:rsid w:val="001530A3"/>
    <w:rsid w:val="00153129"/>
    <w:rsid w:val="00156102"/>
    <w:rsid w:val="00162F00"/>
    <w:rsid w:val="001653DE"/>
    <w:rsid w:val="00172400"/>
    <w:rsid w:val="00174DBB"/>
    <w:rsid w:val="00176222"/>
    <w:rsid w:val="00184FD6"/>
    <w:rsid w:val="00185E64"/>
    <w:rsid w:val="00187E8B"/>
    <w:rsid w:val="0019191A"/>
    <w:rsid w:val="00191F41"/>
    <w:rsid w:val="0019221E"/>
    <w:rsid w:val="001A6A9C"/>
    <w:rsid w:val="001A7B68"/>
    <w:rsid w:val="001B4E97"/>
    <w:rsid w:val="001C411E"/>
    <w:rsid w:val="001C50A7"/>
    <w:rsid w:val="001C5297"/>
    <w:rsid w:val="001C622F"/>
    <w:rsid w:val="001D1C78"/>
    <w:rsid w:val="001D3042"/>
    <w:rsid w:val="001D3894"/>
    <w:rsid w:val="001D3D9B"/>
    <w:rsid w:val="001D5100"/>
    <w:rsid w:val="001D5A54"/>
    <w:rsid w:val="001D7AB1"/>
    <w:rsid w:val="001F0BF2"/>
    <w:rsid w:val="001F4B51"/>
    <w:rsid w:val="001F62B8"/>
    <w:rsid w:val="00200D73"/>
    <w:rsid w:val="00202779"/>
    <w:rsid w:val="00203C0B"/>
    <w:rsid w:val="002061F4"/>
    <w:rsid w:val="002248D8"/>
    <w:rsid w:val="002312F1"/>
    <w:rsid w:val="00232F13"/>
    <w:rsid w:val="002409CB"/>
    <w:rsid w:val="002431A9"/>
    <w:rsid w:val="002526A7"/>
    <w:rsid w:val="00260495"/>
    <w:rsid w:val="00263545"/>
    <w:rsid w:val="002648A1"/>
    <w:rsid w:val="0026718D"/>
    <w:rsid w:val="00270742"/>
    <w:rsid w:val="00275DCF"/>
    <w:rsid w:val="0027615A"/>
    <w:rsid w:val="002762EE"/>
    <w:rsid w:val="002838CB"/>
    <w:rsid w:val="002839CE"/>
    <w:rsid w:val="0028779D"/>
    <w:rsid w:val="00290EC9"/>
    <w:rsid w:val="00295AD7"/>
    <w:rsid w:val="002A6BD6"/>
    <w:rsid w:val="002B0DB1"/>
    <w:rsid w:val="002C4432"/>
    <w:rsid w:val="002C615E"/>
    <w:rsid w:val="002C75F6"/>
    <w:rsid w:val="002D3C98"/>
    <w:rsid w:val="002D7DEC"/>
    <w:rsid w:val="002E218E"/>
    <w:rsid w:val="002E3D9A"/>
    <w:rsid w:val="002E7ABD"/>
    <w:rsid w:val="002F1AAE"/>
    <w:rsid w:val="002F3D31"/>
    <w:rsid w:val="002F56C7"/>
    <w:rsid w:val="002F7211"/>
    <w:rsid w:val="00302E48"/>
    <w:rsid w:val="00304D28"/>
    <w:rsid w:val="00305893"/>
    <w:rsid w:val="00306D02"/>
    <w:rsid w:val="00316B72"/>
    <w:rsid w:val="00320DCB"/>
    <w:rsid w:val="00320EA1"/>
    <w:rsid w:val="00321787"/>
    <w:rsid w:val="00331FE4"/>
    <w:rsid w:val="003351C1"/>
    <w:rsid w:val="003357ED"/>
    <w:rsid w:val="0034703D"/>
    <w:rsid w:val="00357C4A"/>
    <w:rsid w:val="003605EA"/>
    <w:rsid w:val="00361E55"/>
    <w:rsid w:val="00374D45"/>
    <w:rsid w:val="00375CFC"/>
    <w:rsid w:val="00380E98"/>
    <w:rsid w:val="003860E5"/>
    <w:rsid w:val="003912EE"/>
    <w:rsid w:val="003924FC"/>
    <w:rsid w:val="003A0D07"/>
    <w:rsid w:val="003A1BFC"/>
    <w:rsid w:val="003A3BF2"/>
    <w:rsid w:val="003A5897"/>
    <w:rsid w:val="003B2480"/>
    <w:rsid w:val="003C183E"/>
    <w:rsid w:val="003C46D3"/>
    <w:rsid w:val="003D3529"/>
    <w:rsid w:val="003E0F23"/>
    <w:rsid w:val="003E50F3"/>
    <w:rsid w:val="003E77B8"/>
    <w:rsid w:val="003F0151"/>
    <w:rsid w:val="003F243B"/>
    <w:rsid w:val="003F3C2A"/>
    <w:rsid w:val="003F4C30"/>
    <w:rsid w:val="003F566D"/>
    <w:rsid w:val="003F59BA"/>
    <w:rsid w:val="00401C3B"/>
    <w:rsid w:val="00404B48"/>
    <w:rsid w:val="00407E28"/>
    <w:rsid w:val="004108BB"/>
    <w:rsid w:val="0041190D"/>
    <w:rsid w:val="00411966"/>
    <w:rsid w:val="00412618"/>
    <w:rsid w:val="00416712"/>
    <w:rsid w:val="00424341"/>
    <w:rsid w:val="00426A58"/>
    <w:rsid w:val="00434160"/>
    <w:rsid w:val="004400B1"/>
    <w:rsid w:val="00441349"/>
    <w:rsid w:val="0044298E"/>
    <w:rsid w:val="00451078"/>
    <w:rsid w:val="00451D8C"/>
    <w:rsid w:val="00452C31"/>
    <w:rsid w:val="00460414"/>
    <w:rsid w:val="0046162F"/>
    <w:rsid w:val="0046176C"/>
    <w:rsid w:val="00462421"/>
    <w:rsid w:val="004661DF"/>
    <w:rsid w:val="00470F31"/>
    <w:rsid w:val="0048067E"/>
    <w:rsid w:val="00484C08"/>
    <w:rsid w:val="00485318"/>
    <w:rsid w:val="004860D6"/>
    <w:rsid w:val="00486772"/>
    <w:rsid w:val="00490A4D"/>
    <w:rsid w:val="0049390D"/>
    <w:rsid w:val="004A1C83"/>
    <w:rsid w:val="004A4EED"/>
    <w:rsid w:val="004A76C0"/>
    <w:rsid w:val="004B0BDE"/>
    <w:rsid w:val="004B1341"/>
    <w:rsid w:val="004B26AF"/>
    <w:rsid w:val="004B3299"/>
    <w:rsid w:val="004B78E5"/>
    <w:rsid w:val="004C040C"/>
    <w:rsid w:val="004C242A"/>
    <w:rsid w:val="004C51E0"/>
    <w:rsid w:val="004C59CB"/>
    <w:rsid w:val="004C5D86"/>
    <w:rsid w:val="004D59CE"/>
    <w:rsid w:val="004D7187"/>
    <w:rsid w:val="004E4EDB"/>
    <w:rsid w:val="004E59B8"/>
    <w:rsid w:val="004F01C4"/>
    <w:rsid w:val="004F08B5"/>
    <w:rsid w:val="004F1220"/>
    <w:rsid w:val="004F155C"/>
    <w:rsid w:val="004F2A75"/>
    <w:rsid w:val="004F2B88"/>
    <w:rsid w:val="004F4161"/>
    <w:rsid w:val="004F42D2"/>
    <w:rsid w:val="005004CA"/>
    <w:rsid w:val="00503CBF"/>
    <w:rsid w:val="00503CC2"/>
    <w:rsid w:val="00506BA5"/>
    <w:rsid w:val="00512CBA"/>
    <w:rsid w:val="005134DA"/>
    <w:rsid w:val="005207FA"/>
    <w:rsid w:val="005259A8"/>
    <w:rsid w:val="00547DA6"/>
    <w:rsid w:val="005518B5"/>
    <w:rsid w:val="00556DC0"/>
    <w:rsid w:val="005614A7"/>
    <w:rsid w:val="00562A8A"/>
    <w:rsid w:val="00563015"/>
    <w:rsid w:val="0056631F"/>
    <w:rsid w:val="0056727D"/>
    <w:rsid w:val="0056792B"/>
    <w:rsid w:val="0057079B"/>
    <w:rsid w:val="00573062"/>
    <w:rsid w:val="0057633F"/>
    <w:rsid w:val="00582E4A"/>
    <w:rsid w:val="00583D4B"/>
    <w:rsid w:val="00584C45"/>
    <w:rsid w:val="00585729"/>
    <w:rsid w:val="005901AD"/>
    <w:rsid w:val="00591458"/>
    <w:rsid w:val="005979FE"/>
    <w:rsid w:val="005A03E1"/>
    <w:rsid w:val="005B2729"/>
    <w:rsid w:val="005B3053"/>
    <w:rsid w:val="005B6CFF"/>
    <w:rsid w:val="005C17D3"/>
    <w:rsid w:val="005C3EF9"/>
    <w:rsid w:val="005C4955"/>
    <w:rsid w:val="005C60C5"/>
    <w:rsid w:val="005D14AB"/>
    <w:rsid w:val="005D4D7A"/>
    <w:rsid w:val="005E21FC"/>
    <w:rsid w:val="005E6C31"/>
    <w:rsid w:val="005F65E1"/>
    <w:rsid w:val="00601BD8"/>
    <w:rsid w:val="006059E4"/>
    <w:rsid w:val="00605F0E"/>
    <w:rsid w:val="00606D0D"/>
    <w:rsid w:val="00607AAB"/>
    <w:rsid w:val="006266A8"/>
    <w:rsid w:val="0063349A"/>
    <w:rsid w:val="006343C9"/>
    <w:rsid w:val="00637332"/>
    <w:rsid w:val="00642749"/>
    <w:rsid w:val="006539A3"/>
    <w:rsid w:val="0065795D"/>
    <w:rsid w:val="006663D6"/>
    <w:rsid w:val="006723F0"/>
    <w:rsid w:val="0067575E"/>
    <w:rsid w:val="006771DB"/>
    <w:rsid w:val="00681E89"/>
    <w:rsid w:val="00682094"/>
    <w:rsid w:val="00682176"/>
    <w:rsid w:val="00682621"/>
    <w:rsid w:val="00682DA4"/>
    <w:rsid w:val="006833D0"/>
    <w:rsid w:val="0068400D"/>
    <w:rsid w:val="00686B6B"/>
    <w:rsid w:val="00686CA3"/>
    <w:rsid w:val="00690FCD"/>
    <w:rsid w:val="006A188F"/>
    <w:rsid w:val="006A194C"/>
    <w:rsid w:val="006A42AA"/>
    <w:rsid w:val="006A4F45"/>
    <w:rsid w:val="006A7072"/>
    <w:rsid w:val="006B782D"/>
    <w:rsid w:val="006C4CBE"/>
    <w:rsid w:val="006D0209"/>
    <w:rsid w:val="006D2C65"/>
    <w:rsid w:val="006D3A4F"/>
    <w:rsid w:val="006D4F68"/>
    <w:rsid w:val="006D7850"/>
    <w:rsid w:val="006F5189"/>
    <w:rsid w:val="006F5881"/>
    <w:rsid w:val="00701BAB"/>
    <w:rsid w:val="007021C0"/>
    <w:rsid w:val="00704259"/>
    <w:rsid w:val="00705408"/>
    <w:rsid w:val="00705978"/>
    <w:rsid w:val="007141C2"/>
    <w:rsid w:val="00715638"/>
    <w:rsid w:val="0071691B"/>
    <w:rsid w:val="00723F70"/>
    <w:rsid w:val="00730F26"/>
    <w:rsid w:val="00741136"/>
    <w:rsid w:val="00741DE4"/>
    <w:rsid w:val="00747487"/>
    <w:rsid w:val="00756363"/>
    <w:rsid w:val="00756AFB"/>
    <w:rsid w:val="00761BF7"/>
    <w:rsid w:val="00761F59"/>
    <w:rsid w:val="007639AA"/>
    <w:rsid w:val="00764474"/>
    <w:rsid w:val="007709D6"/>
    <w:rsid w:val="007712D0"/>
    <w:rsid w:val="00771686"/>
    <w:rsid w:val="00777916"/>
    <w:rsid w:val="00782EA4"/>
    <w:rsid w:val="007842BC"/>
    <w:rsid w:val="00787E92"/>
    <w:rsid w:val="0079067C"/>
    <w:rsid w:val="00792A33"/>
    <w:rsid w:val="0079496D"/>
    <w:rsid w:val="007A39C3"/>
    <w:rsid w:val="007A6CB7"/>
    <w:rsid w:val="007A7926"/>
    <w:rsid w:val="007B0508"/>
    <w:rsid w:val="007B18BC"/>
    <w:rsid w:val="007B3E9D"/>
    <w:rsid w:val="007B55DE"/>
    <w:rsid w:val="007B5A82"/>
    <w:rsid w:val="007B5EEE"/>
    <w:rsid w:val="007B650B"/>
    <w:rsid w:val="007C1AE0"/>
    <w:rsid w:val="007C2227"/>
    <w:rsid w:val="007C42F5"/>
    <w:rsid w:val="007D30EC"/>
    <w:rsid w:val="007D356D"/>
    <w:rsid w:val="007D5CB7"/>
    <w:rsid w:val="007F1F03"/>
    <w:rsid w:val="007F438A"/>
    <w:rsid w:val="007F639C"/>
    <w:rsid w:val="00800ABD"/>
    <w:rsid w:val="0080139E"/>
    <w:rsid w:val="00801EA2"/>
    <w:rsid w:val="00803A10"/>
    <w:rsid w:val="0081246A"/>
    <w:rsid w:val="00813527"/>
    <w:rsid w:val="0081523A"/>
    <w:rsid w:val="0081637C"/>
    <w:rsid w:val="00820EF5"/>
    <w:rsid w:val="00822538"/>
    <w:rsid w:val="00824A67"/>
    <w:rsid w:val="00830A88"/>
    <w:rsid w:val="00832661"/>
    <w:rsid w:val="0084611B"/>
    <w:rsid w:val="008518DA"/>
    <w:rsid w:val="008575FC"/>
    <w:rsid w:val="00857741"/>
    <w:rsid w:val="008648A6"/>
    <w:rsid w:val="00864BE9"/>
    <w:rsid w:val="00866101"/>
    <w:rsid w:val="00867F5B"/>
    <w:rsid w:val="008710A8"/>
    <w:rsid w:val="00871C5B"/>
    <w:rsid w:val="00885E3B"/>
    <w:rsid w:val="00895BCB"/>
    <w:rsid w:val="00896ED1"/>
    <w:rsid w:val="0089742C"/>
    <w:rsid w:val="00897DD3"/>
    <w:rsid w:val="008A50A3"/>
    <w:rsid w:val="008B15FB"/>
    <w:rsid w:val="008B3EB2"/>
    <w:rsid w:val="008B55F6"/>
    <w:rsid w:val="008B7E3F"/>
    <w:rsid w:val="008C0933"/>
    <w:rsid w:val="008D1E71"/>
    <w:rsid w:val="008E4972"/>
    <w:rsid w:val="008E4DE5"/>
    <w:rsid w:val="008F2336"/>
    <w:rsid w:val="00903D62"/>
    <w:rsid w:val="00905CCC"/>
    <w:rsid w:val="0091162E"/>
    <w:rsid w:val="009156FF"/>
    <w:rsid w:val="00915BA5"/>
    <w:rsid w:val="00915E14"/>
    <w:rsid w:val="00922F94"/>
    <w:rsid w:val="009253C6"/>
    <w:rsid w:val="00934736"/>
    <w:rsid w:val="00936755"/>
    <w:rsid w:val="00940AEC"/>
    <w:rsid w:val="009419AD"/>
    <w:rsid w:val="0094262E"/>
    <w:rsid w:val="00951401"/>
    <w:rsid w:val="009639AD"/>
    <w:rsid w:val="00964670"/>
    <w:rsid w:val="0096486E"/>
    <w:rsid w:val="00965E1B"/>
    <w:rsid w:val="00966AD5"/>
    <w:rsid w:val="00970F65"/>
    <w:rsid w:val="0097122E"/>
    <w:rsid w:val="00977620"/>
    <w:rsid w:val="00980C5C"/>
    <w:rsid w:val="00984F3D"/>
    <w:rsid w:val="009874D3"/>
    <w:rsid w:val="009900A4"/>
    <w:rsid w:val="009906BC"/>
    <w:rsid w:val="0099084E"/>
    <w:rsid w:val="00991C0F"/>
    <w:rsid w:val="0099690B"/>
    <w:rsid w:val="009A49C1"/>
    <w:rsid w:val="009A7C18"/>
    <w:rsid w:val="009B4534"/>
    <w:rsid w:val="009B5EE5"/>
    <w:rsid w:val="009C1918"/>
    <w:rsid w:val="009C2543"/>
    <w:rsid w:val="009C6C17"/>
    <w:rsid w:val="009C7CBD"/>
    <w:rsid w:val="009D39D6"/>
    <w:rsid w:val="009D52AB"/>
    <w:rsid w:val="009D7EB3"/>
    <w:rsid w:val="009E0984"/>
    <w:rsid w:val="009E1EC3"/>
    <w:rsid w:val="009E279D"/>
    <w:rsid w:val="009E46E6"/>
    <w:rsid w:val="009F0126"/>
    <w:rsid w:val="009F14EC"/>
    <w:rsid w:val="009F5726"/>
    <w:rsid w:val="009F63DF"/>
    <w:rsid w:val="009F7D0D"/>
    <w:rsid w:val="009F7FBF"/>
    <w:rsid w:val="00A06249"/>
    <w:rsid w:val="00A06659"/>
    <w:rsid w:val="00A12A12"/>
    <w:rsid w:val="00A23657"/>
    <w:rsid w:val="00A25E90"/>
    <w:rsid w:val="00A311DE"/>
    <w:rsid w:val="00A33802"/>
    <w:rsid w:val="00A33BBE"/>
    <w:rsid w:val="00A46EB3"/>
    <w:rsid w:val="00A55B2F"/>
    <w:rsid w:val="00A65811"/>
    <w:rsid w:val="00A66713"/>
    <w:rsid w:val="00A719D8"/>
    <w:rsid w:val="00A728A1"/>
    <w:rsid w:val="00A74369"/>
    <w:rsid w:val="00A779F9"/>
    <w:rsid w:val="00A875C2"/>
    <w:rsid w:val="00A92A97"/>
    <w:rsid w:val="00A92FA5"/>
    <w:rsid w:val="00AA14CD"/>
    <w:rsid w:val="00AA6089"/>
    <w:rsid w:val="00AC6174"/>
    <w:rsid w:val="00AD126F"/>
    <w:rsid w:val="00AD36CD"/>
    <w:rsid w:val="00AE39C8"/>
    <w:rsid w:val="00AF1C5C"/>
    <w:rsid w:val="00AF26E7"/>
    <w:rsid w:val="00AF330F"/>
    <w:rsid w:val="00AF39E3"/>
    <w:rsid w:val="00AF55AF"/>
    <w:rsid w:val="00B05074"/>
    <w:rsid w:val="00B07C30"/>
    <w:rsid w:val="00B1173D"/>
    <w:rsid w:val="00B11D91"/>
    <w:rsid w:val="00B11ECE"/>
    <w:rsid w:val="00B138E8"/>
    <w:rsid w:val="00B16061"/>
    <w:rsid w:val="00B211C4"/>
    <w:rsid w:val="00B244D6"/>
    <w:rsid w:val="00B338A1"/>
    <w:rsid w:val="00B35D14"/>
    <w:rsid w:val="00B54090"/>
    <w:rsid w:val="00B543C2"/>
    <w:rsid w:val="00B5503D"/>
    <w:rsid w:val="00B60D18"/>
    <w:rsid w:val="00B63484"/>
    <w:rsid w:val="00B63F15"/>
    <w:rsid w:val="00B66586"/>
    <w:rsid w:val="00B66D9A"/>
    <w:rsid w:val="00B70203"/>
    <w:rsid w:val="00B7188C"/>
    <w:rsid w:val="00B720B7"/>
    <w:rsid w:val="00B80E28"/>
    <w:rsid w:val="00B8104E"/>
    <w:rsid w:val="00B85C87"/>
    <w:rsid w:val="00B908C2"/>
    <w:rsid w:val="00B943F5"/>
    <w:rsid w:val="00B9582C"/>
    <w:rsid w:val="00BB0300"/>
    <w:rsid w:val="00BB0BF5"/>
    <w:rsid w:val="00BB109F"/>
    <w:rsid w:val="00BB6EB9"/>
    <w:rsid w:val="00BC1CDE"/>
    <w:rsid w:val="00BC1FE6"/>
    <w:rsid w:val="00BD1A99"/>
    <w:rsid w:val="00BD26B7"/>
    <w:rsid w:val="00BD35F5"/>
    <w:rsid w:val="00BD4CF4"/>
    <w:rsid w:val="00BF0B44"/>
    <w:rsid w:val="00BF10E1"/>
    <w:rsid w:val="00BF46FB"/>
    <w:rsid w:val="00BF67D4"/>
    <w:rsid w:val="00C0253A"/>
    <w:rsid w:val="00C115A5"/>
    <w:rsid w:val="00C15506"/>
    <w:rsid w:val="00C230F0"/>
    <w:rsid w:val="00C23C46"/>
    <w:rsid w:val="00C30764"/>
    <w:rsid w:val="00C33870"/>
    <w:rsid w:val="00C34B83"/>
    <w:rsid w:val="00C35B65"/>
    <w:rsid w:val="00C35E86"/>
    <w:rsid w:val="00C37FC8"/>
    <w:rsid w:val="00C442CE"/>
    <w:rsid w:val="00C45CFA"/>
    <w:rsid w:val="00C46E3D"/>
    <w:rsid w:val="00C47D77"/>
    <w:rsid w:val="00C50EF3"/>
    <w:rsid w:val="00C53979"/>
    <w:rsid w:val="00C54412"/>
    <w:rsid w:val="00C57AFC"/>
    <w:rsid w:val="00C61AB6"/>
    <w:rsid w:val="00C627E0"/>
    <w:rsid w:val="00C6345E"/>
    <w:rsid w:val="00C70B1C"/>
    <w:rsid w:val="00C711ED"/>
    <w:rsid w:val="00C74C26"/>
    <w:rsid w:val="00C85A1B"/>
    <w:rsid w:val="00C919B3"/>
    <w:rsid w:val="00C91CDF"/>
    <w:rsid w:val="00C91CF5"/>
    <w:rsid w:val="00C96C47"/>
    <w:rsid w:val="00C9738D"/>
    <w:rsid w:val="00CA01D4"/>
    <w:rsid w:val="00CA1321"/>
    <w:rsid w:val="00CB14D0"/>
    <w:rsid w:val="00CB16FB"/>
    <w:rsid w:val="00CB179D"/>
    <w:rsid w:val="00CB44E5"/>
    <w:rsid w:val="00CC3B9B"/>
    <w:rsid w:val="00CC5CDA"/>
    <w:rsid w:val="00CC7CC8"/>
    <w:rsid w:val="00CE0011"/>
    <w:rsid w:val="00CE5B1F"/>
    <w:rsid w:val="00CF429E"/>
    <w:rsid w:val="00CF7501"/>
    <w:rsid w:val="00CF7CD4"/>
    <w:rsid w:val="00D009B7"/>
    <w:rsid w:val="00D00EB5"/>
    <w:rsid w:val="00D0663C"/>
    <w:rsid w:val="00D11C4F"/>
    <w:rsid w:val="00D22EE5"/>
    <w:rsid w:val="00D23217"/>
    <w:rsid w:val="00D23B66"/>
    <w:rsid w:val="00D24A9F"/>
    <w:rsid w:val="00D24D2F"/>
    <w:rsid w:val="00D30781"/>
    <w:rsid w:val="00D4244F"/>
    <w:rsid w:val="00D43AAF"/>
    <w:rsid w:val="00D51BDF"/>
    <w:rsid w:val="00D544D4"/>
    <w:rsid w:val="00D55423"/>
    <w:rsid w:val="00D60525"/>
    <w:rsid w:val="00D66324"/>
    <w:rsid w:val="00D66775"/>
    <w:rsid w:val="00D73A2F"/>
    <w:rsid w:val="00D746F3"/>
    <w:rsid w:val="00D76386"/>
    <w:rsid w:val="00D83CC3"/>
    <w:rsid w:val="00D920F3"/>
    <w:rsid w:val="00D937C1"/>
    <w:rsid w:val="00D94126"/>
    <w:rsid w:val="00D94F81"/>
    <w:rsid w:val="00D9672D"/>
    <w:rsid w:val="00DA2AA6"/>
    <w:rsid w:val="00DA42EA"/>
    <w:rsid w:val="00DA434B"/>
    <w:rsid w:val="00DA665A"/>
    <w:rsid w:val="00DB0194"/>
    <w:rsid w:val="00DB272D"/>
    <w:rsid w:val="00DC009F"/>
    <w:rsid w:val="00DC5443"/>
    <w:rsid w:val="00DC56C6"/>
    <w:rsid w:val="00DC5F01"/>
    <w:rsid w:val="00DC7305"/>
    <w:rsid w:val="00DD5C6A"/>
    <w:rsid w:val="00DD75CB"/>
    <w:rsid w:val="00DE3FF3"/>
    <w:rsid w:val="00DE522C"/>
    <w:rsid w:val="00DE67AA"/>
    <w:rsid w:val="00DE6D26"/>
    <w:rsid w:val="00DF3645"/>
    <w:rsid w:val="00DF4470"/>
    <w:rsid w:val="00DF53EC"/>
    <w:rsid w:val="00DF5AB5"/>
    <w:rsid w:val="00E07D93"/>
    <w:rsid w:val="00E10E87"/>
    <w:rsid w:val="00E13A9C"/>
    <w:rsid w:val="00E20CA2"/>
    <w:rsid w:val="00E23128"/>
    <w:rsid w:val="00E24E29"/>
    <w:rsid w:val="00E310D0"/>
    <w:rsid w:val="00E402D7"/>
    <w:rsid w:val="00E438D8"/>
    <w:rsid w:val="00E43E72"/>
    <w:rsid w:val="00E44E00"/>
    <w:rsid w:val="00E45251"/>
    <w:rsid w:val="00E50644"/>
    <w:rsid w:val="00E57C63"/>
    <w:rsid w:val="00E60764"/>
    <w:rsid w:val="00E647D9"/>
    <w:rsid w:val="00E7154C"/>
    <w:rsid w:val="00E71CD7"/>
    <w:rsid w:val="00E71EC9"/>
    <w:rsid w:val="00E75DBD"/>
    <w:rsid w:val="00E7670A"/>
    <w:rsid w:val="00E76E80"/>
    <w:rsid w:val="00E77455"/>
    <w:rsid w:val="00E837C1"/>
    <w:rsid w:val="00E91FD8"/>
    <w:rsid w:val="00E931A2"/>
    <w:rsid w:val="00E936D0"/>
    <w:rsid w:val="00EA19EF"/>
    <w:rsid w:val="00EA3029"/>
    <w:rsid w:val="00EA3171"/>
    <w:rsid w:val="00EA39E2"/>
    <w:rsid w:val="00EA48F9"/>
    <w:rsid w:val="00EA5B41"/>
    <w:rsid w:val="00EA7947"/>
    <w:rsid w:val="00EB19AE"/>
    <w:rsid w:val="00EB30E4"/>
    <w:rsid w:val="00EB4800"/>
    <w:rsid w:val="00EC26D4"/>
    <w:rsid w:val="00EC2AEA"/>
    <w:rsid w:val="00ED35D0"/>
    <w:rsid w:val="00ED4AFF"/>
    <w:rsid w:val="00ED674A"/>
    <w:rsid w:val="00ED70AB"/>
    <w:rsid w:val="00EE4BA5"/>
    <w:rsid w:val="00EF3845"/>
    <w:rsid w:val="00F018CF"/>
    <w:rsid w:val="00F028BD"/>
    <w:rsid w:val="00F04132"/>
    <w:rsid w:val="00F11659"/>
    <w:rsid w:val="00F11B2E"/>
    <w:rsid w:val="00F12522"/>
    <w:rsid w:val="00F14089"/>
    <w:rsid w:val="00F160BC"/>
    <w:rsid w:val="00F1676F"/>
    <w:rsid w:val="00F2412E"/>
    <w:rsid w:val="00F24B95"/>
    <w:rsid w:val="00F27D96"/>
    <w:rsid w:val="00F30CB1"/>
    <w:rsid w:val="00F318A0"/>
    <w:rsid w:val="00F325DF"/>
    <w:rsid w:val="00F34901"/>
    <w:rsid w:val="00F369A6"/>
    <w:rsid w:val="00F36B14"/>
    <w:rsid w:val="00F37291"/>
    <w:rsid w:val="00F37D25"/>
    <w:rsid w:val="00F4167D"/>
    <w:rsid w:val="00F41D7E"/>
    <w:rsid w:val="00F42855"/>
    <w:rsid w:val="00F461C4"/>
    <w:rsid w:val="00F56449"/>
    <w:rsid w:val="00F62E17"/>
    <w:rsid w:val="00F64BAD"/>
    <w:rsid w:val="00F716FE"/>
    <w:rsid w:val="00F72182"/>
    <w:rsid w:val="00F77F39"/>
    <w:rsid w:val="00F819A8"/>
    <w:rsid w:val="00F82D0A"/>
    <w:rsid w:val="00F90EFC"/>
    <w:rsid w:val="00F97A2E"/>
    <w:rsid w:val="00FA278F"/>
    <w:rsid w:val="00FA5AA2"/>
    <w:rsid w:val="00FB22BD"/>
    <w:rsid w:val="00FB59F4"/>
    <w:rsid w:val="00FB5B13"/>
    <w:rsid w:val="00FC1A9A"/>
    <w:rsid w:val="00FD3F39"/>
    <w:rsid w:val="00FE1836"/>
    <w:rsid w:val="00FE272D"/>
    <w:rsid w:val="00FE3F3E"/>
    <w:rsid w:val="00FE51A1"/>
    <w:rsid w:val="00FE6E1D"/>
    <w:rsid w:val="00FE7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0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DD3"/>
    <w:rPr>
      <w:sz w:val="24"/>
    </w:rPr>
  </w:style>
  <w:style w:type="paragraph" w:styleId="Heading1">
    <w:name w:val="heading 1"/>
    <w:basedOn w:val="Normal"/>
    <w:next w:val="Normal"/>
    <w:link w:val="Heading1Char"/>
    <w:uiPriority w:val="9"/>
    <w:qFormat/>
    <w:rsid w:val="008710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5E64"/>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5E64"/>
    <w:pPr>
      <w:keepNext/>
      <w:keepLines/>
      <w:spacing w:before="40" w:after="2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185E64"/>
    <w:pPr>
      <w:keepNext/>
      <w:keepLines/>
      <w:spacing w:before="40" w:after="2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24A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0A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99"/>
    <w:qFormat/>
    <w:rsid w:val="00547DA6"/>
    <w:pPr>
      <w:numPr>
        <w:ilvl w:val="1"/>
      </w:numPr>
      <w:spacing w:after="0" w:line="240" w:lineRule="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99"/>
    <w:rsid w:val="00547DA6"/>
    <w:rPr>
      <w:rFonts w:asciiTheme="majorHAnsi" w:eastAsiaTheme="majorEastAsia" w:hAnsiTheme="majorHAnsi" w:cstheme="majorBidi"/>
      <w:i/>
      <w:iCs/>
      <w:color w:val="5B9BD5" w:themeColor="accent1"/>
      <w:spacing w:val="15"/>
      <w:sz w:val="24"/>
      <w:szCs w:val="24"/>
    </w:rPr>
  </w:style>
  <w:style w:type="paragraph" w:styleId="PlainText">
    <w:name w:val="Plain Text"/>
    <w:basedOn w:val="Normal"/>
    <w:link w:val="PlainTextChar"/>
    <w:uiPriority w:val="99"/>
    <w:unhideWhenUsed/>
    <w:rsid w:val="00547D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7DA6"/>
    <w:rPr>
      <w:rFonts w:ascii="Calibri" w:hAnsi="Calibri"/>
      <w:szCs w:val="21"/>
    </w:rPr>
  </w:style>
  <w:style w:type="character" w:customStyle="1" w:styleId="Heading2Char">
    <w:name w:val="Heading 2 Char"/>
    <w:basedOn w:val="DefaultParagraphFont"/>
    <w:link w:val="Heading2"/>
    <w:uiPriority w:val="9"/>
    <w:rsid w:val="00185E6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1637C"/>
    <w:rPr>
      <w:b/>
      <w:bCs/>
    </w:rPr>
  </w:style>
  <w:style w:type="character" w:customStyle="1" w:styleId="Heading3Char">
    <w:name w:val="Heading 3 Char"/>
    <w:basedOn w:val="DefaultParagraphFont"/>
    <w:link w:val="Heading3"/>
    <w:uiPriority w:val="9"/>
    <w:rsid w:val="00185E6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4703D"/>
    <w:pPr>
      <w:spacing w:after="200" w:line="276" w:lineRule="auto"/>
      <w:ind w:left="720"/>
      <w:contextualSpacing/>
    </w:pPr>
  </w:style>
  <w:style w:type="table" w:styleId="TableGrid">
    <w:name w:val="Table Grid"/>
    <w:basedOn w:val="TableNormal"/>
    <w:uiPriority w:val="59"/>
    <w:rsid w:val="0034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4703D"/>
    <w:pPr>
      <w:spacing w:after="200" w:line="240" w:lineRule="auto"/>
    </w:pPr>
    <w:rPr>
      <w:b/>
      <w:bCs/>
      <w:color w:val="5B9BD5" w:themeColor="accent1"/>
      <w:sz w:val="18"/>
      <w:szCs w:val="18"/>
    </w:rPr>
  </w:style>
  <w:style w:type="character" w:styleId="Hyperlink">
    <w:name w:val="Hyperlink"/>
    <w:basedOn w:val="DefaultParagraphFont"/>
    <w:uiPriority w:val="99"/>
    <w:unhideWhenUsed/>
    <w:rsid w:val="0034703D"/>
    <w:rPr>
      <w:color w:val="0000FF"/>
      <w:u w:val="single"/>
    </w:rPr>
  </w:style>
  <w:style w:type="character" w:styleId="Emphasis">
    <w:name w:val="Emphasis"/>
    <w:basedOn w:val="DefaultParagraphFont"/>
    <w:uiPriority w:val="20"/>
    <w:qFormat/>
    <w:rsid w:val="0013468A"/>
    <w:rPr>
      <w:i/>
      <w:iCs/>
    </w:rPr>
  </w:style>
  <w:style w:type="character" w:styleId="FollowedHyperlink">
    <w:name w:val="FollowedHyperlink"/>
    <w:basedOn w:val="DefaultParagraphFont"/>
    <w:uiPriority w:val="99"/>
    <w:semiHidden/>
    <w:unhideWhenUsed/>
    <w:rsid w:val="004F2B88"/>
    <w:rPr>
      <w:color w:val="954F72" w:themeColor="followedHyperlink"/>
      <w:u w:val="single"/>
    </w:rPr>
  </w:style>
  <w:style w:type="character" w:customStyle="1" w:styleId="Heading4Char">
    <w:name w:val="Heading 4 Char"/>
    <w:basedOn w:val="DefaultParagraphFont"/>
    <w:link w:val="Heading4"/>
    <w:uiPriority w:val="9"/>
    <w:rsid w:val="00185E64"/>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D24A9F"/>
    <w:rPr>
      <w:rFonts w:asciiTheme="majorHAnsi" w:eastAsiaTheme="majorEastAsia" w:hAnsiTheme="majorHAnsi" w:cstheme="majorBidi"/>
      <w:color w:val="2E74B5" w:themeColor="accent1" w:themeShade="BF"/>
    </w:rPr>
  </w:style>
  <w:style w:type="paragraph" w:customStyle="1" w:styleId="Compact">
    <w:name w:val="Compact"/>
    <w:basedOn w:val="Normal"/>
    <w:qFormat/>
    <w:rsid w:val="00AF1C5C"/>
    <w:pPr>
      <w:spacing w:before="36" w:after="36" w:line="240" w:lineRule="auto"/>
    </w:pPr>
    <w:rPr>
      <w:szCs w:val="24"/>
      <w:lang w:val="en-US"/>
    </w:rPr>
  </w:style>
  <w:style w:type="paragraph" w:styleId="BalloonText">
    <w:name w:val="Balloon Text"/>
    <w:basedOn w:val="Normal"/>
    <w:link w:val="BalloonTextChar"/>
    <w:uiPriority w:val="99"/>
    <w:semiHidden/>
    <w:unhideWhenUsed/>
    <w:rsid w:val="006A1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94C"/>
    <w:rPr>
      <w:rFonts w:ascii="Tahoma" w:hAnsi="Tahoma" w:cs="Tahoma"/>
      <w:sz w:val="16"/>
      <w:szCs w:val="16"/>
    </w:rPr>
  </w:style>
  <w:style w:type="character" w:styleId="CommentReference">
    <w:name w:val="annotation reference"/>
    <w:basedOn w:val="DefaultParagraphFont"/>
    <w:uiPriority w:val="99"/>
    <w:semiHidden/>
    <w:unhideWhenUsed/>
    <w:rsid w:val="006A194C"/>
    <w:rPr>
      <w:sz w:val="16"/>
      <w:szCs w:val="16"/>
    </w:rPr>
  </w:style>
  <w:style w:type="paragraph" w:styleId="CommentText">
    <w:name w:val="annotation text"/>
    <w:basedOn w:val="Normal"/>
    <w:link w:val="CommentTextChar"/>
    <w:uiPriority w:val="99"/>
    <w:unhideWhenUsed/>
    <w:rsid w:val="006A194C"/>
    <w:pPr>
      <w:spacing w:line="240" w:lineRule="auto"/>
    </w:pPr>
    <w:rPr>
      <w:sz w:val="20"/>
      <w:szCs w:val="20"/>
    </w:rPr>
  </w:style>
  <w:style w:type="character" w:customStyle="1" w:styleId="CommentTextChar">
    <w:name w:val="Comment Text Char"/>
    <w:basedOn w:val="DefaultParagraphFont"/>
    <w:link w:val="CommentText"/>
    <w:uiPriority w:val="99"/>
    <w:rsid w:val="006A194C"/>
    <w:rPr>
      <w:sz w:val="20"/>
      <w:szCs w:val="20"/>
    </w:rPr>
  </w:style>
  <w:style w:type="paragraph" w:styleId="CommentSubject">
    <w:name w:val="annotation subject"/>
    <w:basedOn w:val="CommentText"/>
    <w:next w:val="CommentText"/>
    <w:link w:val="CommentSubjectChar"/>
    <w:uiPriority w:val="99"/>
    <w:semiHidden/>
    <w:unhideWhenUsed/>
    <w:rsid w:val="006A194C"/>
    <w:rPr>
      <w:b/>
      <w:bCs/>
    </w:rPr>
  </w:style>
  <w:style w:type="character" w:customStyle="1" w:styleId="CommentSubjectChar">
    <w:name w:val="Comment Subject Char"/>
    <w:basedOn w:val="CommentTextChar"/>
    <w:link w:val="CommentSubject"/>
    <w:uiPriority w:val="99"/>
    <w:semiHidden/>
    <w:rsid w:val="006A194C"/>
    <w:rPr>
      <w:b/>
      <w:bCs/>
      <w:sz w:val="20"/>
      <w:szCs w:val="20"/>
    </w:rPr>
  </w:style>
  <w:style w:type="paragraph" w:customStyle="1" w:styleId="xmsolistparagraph">
    <w:name w:val="x_msolistparagraph"/>
    <w:basedOn w:val="Normal"/>
    <w:rsid w:val="002061F4"/>
    <w:pPr>
      <w:spacing w:after="0" w:line="240" w:lineRule="auto"/>
    </w:pPr>
    <w:rPr>
      <w:rFonts w:ascii="Times New Roman" w:hAnsi="Times New Roman" w:cs="Times New Roman"/>
      <w:szCs w:val="24"/>
      <w:lang w:eastAsia="en-GB"/>
    </w:rPr>
  </w:style>
  <w:style w:type="paragraph" w:styleId="Revision">
    <w:name w:val="Revision"/>
    <w:hidden/>
    <w:uiPriority w:val="99"/>
    <w:semiHidden/>
    <w:rsid w:val="00591458"/>
    <w:pPr>
      <w:spacing w:after="0" w:line="240" w:lineRule="auto"/>
    </w:pPr>
  </w:style>
  <w:style w:type="paragraph" w:styleId="Header">
    <w:name w:val="header"/>
    <w:basedOn w:val="Normal"/>
    <w:link w:val="HeaderChar"/>
    <w:uiPriority w:val="99"/>
    <w:unhideWhenUsed/>
    <w:rsid w:val="00634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C9"/>
  </w:style>
  <w:style w:type="paragraph" w:styleId="Footer">
    <w:name w:val="footer"/>
    <w:basedOn w:val="Normal"/>
    <w:link w:val="FooterChar"/>
    <w:uiPriority w:val="99"/>
    <w:unhideWhenUsed/>
    <w:rsid w:val="00634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C9"/>
  </w:style>
  <w:style w:type="paragraph" w:styleId="NoSpacing">
    <w:name w:val="No Spacing"/>
    <w:uiPriority w:val="1"/>
    <w:qFormat/>
    <w:rsid w:val="00305893"/>
    <w:pPr>
      <w:spacing w:after="0" w:line="240" w:lineRule="auto"/>
    </w:pPr>
  </w:style>
  <w:style w:type="character" w:styleId="SubtleReference">
    <w:name w:val="Subtle Reference"/>
    <w:basedOn w:val="DefaultParagraphFont"/>
    <w:uiPriority w:val="31"/>
    <w:qFormat/>
    <w:rsid w:val="00305893"/>
    <w:rPr>
      <w:smallCaps/>
      <w:color w:val="5A5A5A" w:themeColor="text1" w:themeTint="A5"/>
    </w:rPr>
  </w:style>
  <w:style w:type="paragraph" w:customStyle="1" w:styleId="Dbl">
    <w:name w:val="Dbl"/>
    <w:basedOn w:val="Normal"/>
    <w:link w:val="DblChar"/>
    <w:qFormat/>
    <w:rsid w:val="00DF3645"/>
    <w:pPr>
      <w:spacing w:line="480" w:lineRule="auto"/>
      <w:jc w:val="both"/>
    </w:pPr>
  </w:style>
  <w:style w:type="paragraph" w:customStyle="1" w:styleId="Dbltext">
    <w:name w:val="Dbl text"/>
    <w:basedOn w:val="Normal"/>
    <w:link w:val="DbltextChar"/>
    <w:qFormat/>
    <w:rsid w:val="00DF3645"/>
    <w:pPr>
      <w:spacing w:line="480" w:lineRule="auto"/>
      <w:jc w:val="both"/>
    </w:pPr>
    <w:rPr>
      <w:sz w:val="22"/>
    </w:rPr>
  </w:style>
  <w:style w:type="character" w:customStyle="1" w:styleId="DblChar">
    <w:name w:val="Dbl Char"/>
    <w:basedOn w:val="DefaultParagraphFont"/>
    <w:link w:val="Dbl"/>
    <w:rsid w:val="00DF3645"/>
    <w:rPr>
      <w:sz w:val="24"/>
    </w:rPr>
  </w:style>
  <w:style w:type="character" w:customStyle="1" w:styleId="DbltextChar">
    <w:name w:val="Dbl text Char"/>
    <w:basedOn w:val="DefaultParagraphFont"/>
    <w:link w:val="Dbltext"/>
    <w:rsid w:val="00DF3645"/>
  </w:style>
  <w:style w:type="table" w:customStyle="1" w:styleId="TableGridLight1">
    <w:name w:val="Table Grid Light1"/>
    <w:basedOn w:val="TableNormal"/>
    <w:uiPriority w:val="40"/>
    <w:rsid w:val="00361E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61E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81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5328">
      <w:bodyDiv w:val="1"/>
      <w:marLeft w:val="0"/>
      <w:marRight w:val="0"/>
      <w:marTop w:val="0"/>
      <w:marBottom w:val="0"/>
      <w:divBdr>
        <w:top w:val="none" w:sz="0" w:space="0" w:color="auto"/>
        <w:left w:val="none" w:sz="0" w:space="0" w:color="auto"/>
        <w:bottom w:val="none" w:sz="0" w:space="0" w:color="auto"/>
        <w:right w:val="none" w:sz="0" w:space="0" w:color="auto"/>
      </w:divBdr>
    </w:div>
    <w:div w:id="836849087">
      <w:bodyDiv w:val="1"/>
      <w:marLeft w:val="0"/>
      <w:marRight w:val="0"/>
      <w:marTop w:val="0"/>
      <w:marBottom w:val="0"/>
      <w:divBdr>
        <w:top w:val="none" w:sz="0" w:space="0" w:color="auto"/>
        <w:left w:val="none" w:sz="0" w:space="0" w:color="auto"/>
        <w:bottom w:val="none" w:sz="0" w:space="0" w:color="auto"/>
        <w:right w:val="none" w:sz="0" w:space="0" w:color="auto"/>
      </w:divBdr>
    </w:div>
    <w:div w:id="1008141034">
      <w:bodyDiv w:val="1"/>
      <w:marLeft w:val="0"/>
      <w:marRight w:val="0"/>
      <w:marTop w:val="0"/>
      <w:marBottom w:val="0"/>
      <w:divBdr>
        <w:top w:val="none" w:sz="0" w:space="0" w:color="auto"/>
        <w:left w:val="none" w:sz="0" w:space="0" w:color="auto"/>
        <w:bottom w:val="none" w:sz="0" w:space="0" w:color="auto"/>
        <w:right w:val="none" w:sz="0" w:space="0" w:color="auto"/>
      </w:divBdr>
    </w:div>
    <w:div w:id="1121998790">
      <w:bodyDiv w:val="1"/>
      <w:marLeft w:val="0"/>
      <w:marRight w:val="0"/>
      <w:marTop w:val="0"/>
      <w:marBottom w:val="0"/>
      <w:divBdr>
        <w:top w:val="none" w:sz="0" w:space="0" w:color="auto"/>
        <w:left w:val="none" w:sz="0" w:space="0" w:color="auto"/>
        <w:bottom w:val="none" w:sz="0" w:space="0" w:color="auto"/>
        <w:right w:val="none" w:sz="0" w:space="0" w:color="auto"/>
      </w:divBdr>
    </w:div>
    <w:div w:id="1587693227">
      <w:bodyDiv w:val="1"/>
      <w:marLeft w:val="0"/>
      <w:marRight w:val="0"/>
      <w:marTop w:val="0"/>
      <w:marBottom w:val="0"/>
      <w:divBdr>
        <w:top w:val="none" w:sz="0" w:space="0" w:color="auto"/>
        <w:left w:val="none" w:sz="0" w:space="0" w:color="auto"/>
        <w:bottom w:val="none" w:sz="0" w:space="0" w:color="auto"/>
        <w:right w:val="none" w:sz="0" w:space="0" w:color="auto"/>
      </w:divBdr>
    </w:div>
    <w:div w:id="1710229539">
      <w:bodyDiv w:val="1"/>
      <w:marLeft w:val="0"/>
      <w:marRight w:val="0"/>
      <w:marTop w:val="0"/>
      <w:marBottom w:val="0"/>
      <w:divBdr>
        <w:top w:val="none" w:sz="0" w:space="0" w:color="auto"/>
        <w:left w:val="none" w:sz="0" w:space="0" w:color="auto"/>
        <w:bottom w:val="none" w:sz="0" w:space="0" w:color="auto"/>
        <w:right w:val="none" w:sz="0" w:space="0" w:color="auto"/>
      </w:divBdr>
    </w:div>
    <w:div w:id="1720013758">
      <w:bodyDiv w:val="1"/>
      <w:marLeft w:val="0"/>
      <w:marRight w:val="0"/>
      <w:marTop w:val="0"/>
      <w:marBottom w:val="0"/>
      <w:divBdr>
        <w:top w:val="none" w:sz="0" w:space="0" w:color="auto"/>
        <w:left w:val="none" w:sz="0" w:space="0" w:color="auto"/>
        <w:bottom w:val="none" w:sz="0" w:space="0" w:color="auto"/>
        <w:right w:val="none" w:sz="0" w:space="0" w:color="auto"/>
      </w:divBdr>
    </w:div>
    <w:div w:id="1773279365">
      <w:bodyDiv w:val="1"/>
      <w:marLeft w:val="0"/>
      <w:marRight w:val="0"/>
      <w:marTop w:val="0"/>
      <w:marBottom w:val="0"/>
      <w:divBdr>
        <w:top w:val="none" w:sz="0" w:space="0" w:color="auto"/>
        <w:left w:val="none" w:sz="0" w:space="0" w:color="auto"/>
        <w:bottom w:val="none" w:sz="0" w:space="0" w:color="auto"/>
        <w:right w:val="none" w:sz="0" w:space="0" w:color="auto"/>
      </w:divBdr>
    </w:div>
    <w:div w:id="2090929395">
      <w:bodyDiv w:val="1"/>
      <w:marLeft w:val="0"/>
      <w:marRight w:val="0"/>
      <w:marTop w:val="0"/>
      <w:marBottom w:val="0"/>
      <w:divBdr>
        <w:top w:val="none" w:sz="0" w:space="0" w:color="auto"/>
        <w:left w:val="none" w:sz="0" w:space="0" w:color="auto"/>
        <w:bottom w:val="none" w:sz="0" w:space="0" w:color="auto"/>
        <w:right w:val="none" w:sz="0" w:space="0" w:color="auto"/>
      </w:divBdr>
    </w:div>
    <w:div w:id="21393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media/image3.tiff"/><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5.tiff"/><Relationship Id="rId10" Type="http://schemas.openxmlformats.org/officeDocument/2006/relationships/diagramLayout" Target="diagrams/layout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78B2D1-59DE-4523-87DF-9686896CBC9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BEF3A247-EEF3-43E6-AC6B-328986DF6677}">
      <dgm:prSet phldrT="[Text]" custT="1"/>
      <dgm:spPr/>
      <dgm:t>
        <a:bodyPr/>
        <a:lstStyle/>
        <a:p>
          <a:r>
            <a:rPr lang="en-US" sz="1200" b="1"/>
            <a:t>Hypothetical cohort</a:t>
          </a:r>
        </a:p>
      </dgm:t>
    </dgm:pt>
    <dgm:pt modelId="{FA33ED5C-52D8-4DAE-8F53-6C0EB93B797F}" type="parTrans" cxnId="{A9F12308-32A0-4579-988E-223A33626964}">
      <dgm:prSet/>
      <dgm:spPr/>
      <dgm:t>
        <a:bodyPr/>
        <a:lstStyle/>
        <a:p>
          <a:endParaRPr lang="en-US"/>
        </a:p>
      </dgm:t>
    </dgm:pt>
    <dgm:pt modelId="{66C0EBD6-1A4C-405E-9B6F-19531AE3B161}" type="sibTrans" cxnId="{A9F12308-32A0-4579-988E-223A33626964}">
      <dgm:prSet/>
      <dgm:spPr/>
      <dgm:t>
        <a:bodyPr/>
        <a:lstStyle/>
        <a:p>
          <a:endParaRPr lang="en-US"/>
        </a:p>
      </dgm:t>
    </dgm:pt>
    <dgm:pt modelId="{D24884B4-3AB9-4238-98FB-389D1593D111}">
      <dgm:prSet phldrT="[Text]" custT="1"/>
      <dgm:spPr>
        <a:solidFill>
          <a:schemeClr val="accent1"/>
        </a:solidFill>
      </dgm:spPr>
      <dgm:t>
        <a:bodyPr/>
        <a:lstStyle/>
        <a:p>
          <a:r>
            <a:rPr lang="en-US" sz="1200" b="1"/>
            <a:t>Initial response (12 weeks)</a:t>
          </a:r>
        </a:p>
      </dgm:t>
    </dgm:pt>
    <dgm:pt modelId="{235CE879-5FF1-4B0C-A2D2-27A74F395F36}" type="parTrans" cxnId="{F255CD46-11CB-4A99-ADE2-5020B7B733D2}">
      <dgm:prSet custT="1"/>
      <dgm:spPr/>
      <dgm:t>
        <a:bodyPr/>
        <a:lstStyle/>
        <a:p>
          <a:endParaRPr lang="en-US" sz="1200"/>
        </a:p>
      </dgm:t>
    </dgm:pt>
    <dgm:pt modelId="{68F694A4-6987-4CC8-B910-5AECFE1A1351}" type="sibTrans" cxnId="{F255CD46-11CB-4A99-ADE2-5020B7B733D2}">
      <dgm:prSet/>
      <dgm:spPr/>
      <dgm:t>
        <a:bodyPr/>
        <a:lstStyle/>
        <a:p>
          <a:endParaRPr lang="en-US"/>
        </a:p>
      </dgm:t>
    </dgm:pt>
    <dgm:pt modelId="{1B63E233-E322-44F5-A90A-30B882240AEE}">
      <dgm:prSet phldrT="[Text]" custT="1"/>
      <dgm:spPr>
        <a:solidFill>
          <a:schemeClr val="accent1"/>
        </a:solidFill>
      </dgm:spPr>
      <dgm:t>
        <a:bodyPr/>
        <a:lstStyle/>
        <a:p>
          <a:r>
            <a:rPr lang="en-US" sz="1200" b="1"/>
            <a:t>ATI positive</a:t>
          </a:r>
        </a:p>
      </dgm:t>
    </dgm:pt>
    <dgm:pt modelId="{4C4C7F95-8BEB-4575-97D8-822D5181A84D}" type="parTrans" cxnId="{5C4FB325-EBC8-47A6-9FF8-4EA47B5ED581}">
      <dgm:prSet custT="1"/>
      <dgm:spPr/>
      <dgm:t>
        <a:bodyPr/>
        <a:lstStyle/>
        <a:p>
          <a:endParaRPr lang="en-US" sz="1200"/>
        </a:p>
      </dgm:t>
    </dgm:pt>
    <dgm:pt modelId="{F60BD47E-0B1D-4B1A-B12E-ED6F0EFE1471}" type="sibTrans" cxnId="{5C4FB325-EBC8-47A6-9FF8-4EA47B5ED581}">
      <dgm:prSet/>
      <dgm:spPr/>
      <dgm:t>
        <a:bodyPr/>
        <a:lstStyle/>
        <a:p>
          <a:endParaRPr lang="en-US"/>
        </a:p>
      </dgm:t>
    </dgm:pt>
    <dgm:pt modelId="{C72E6B0F-89C4-4DBB-AC6D-6F7FE1FA2688}">
      <dgm:prSet phldrT="[Text]" custT="1"/>
      <dgm:spPr>
        <a:solidFill>
          <a:schemeClr val="accent1"/>
        </a:solidFill>
      </dgm:spPr>
      <dgm:t>
        <a:bodyPr/>
        <a:lstStyle/>
        <a:p>
          <a:r>
            <a:rPr lang="en-US" sz="1200" b="1"/>
            <a:t>ATI</a:t>
          </a:r>
          <a:r>
            <a:rPr lang="en-US" sz="1200"/>
            <a:t> </a:t>
          </a:r>
          <a:r>
            <a:rPr lang="en-US" sz="1200" b="1"/>
            <a:t>negative</a:t>
          </a:r>
        </a:p>
      </dgm:t>
    </dgm:pt>
    <dgm:pt modelId="{F2163437-CBEC-43EE-A1D5-465E34AD4BA0}" type="parTrans" cxnId="{F92AE0E7-90AB-43DB-B7F5-D8497FF7868F}">
      <dgm:prSet custT="1"/>
      <dgm:spPr/>
      <dgm:t>
        <a:bodyPr/>
        <a:lstStyle/>
        <a:p>
          <a:endParaRPr lang="en-US" sz="1200"/>
        </a:p>
      </dgm:t>
    </dgm:pt>
    <dgm:pt modelId="{5B846394-80D9-4B4F-8E7F-C385909ED031}" type="sibTrans" cxnId="{F92AE0E7-90AB-43DB-B7F5-D8497FF7868F}">
      <dgm:prSet/>
      <dgm:spPr/>
      <dgm:t>
        <a:bodyPr/>
        <a:lstStyle/>
        <a:p>
          <a:endParaRPr lang="en-US"/>
        </a:p>
      </dgm:t>
    </dgm:pt>
    <dgm:pt modelId="{A40586A9-A6BC-454F-A173-D4B2DC4780A5}">
      <dgm:prSet phldrT="[Text]" custT="1"/>
      <dgm:spPr>
        <a:solidFill>
          <a:schemeClr val="accent6">
            <a:lumMod val="75000"/>
          </a:schemeClr>
        </a:solidFill>
      </dgm:spPr>
      <dgm:t>
        <a:bodyPr/>
        <a:lstStyle/>
        <a:p>
          <a:r>
            <a:rPr lang="en-US" sz="1200" b="1"/>
            <a:t>No response - standard care</a:t>
          </a:r>
        </a:p>
      </dgm:t>
    </dgm:pt>
    <dgm:pt modelId="{57D2FF56-31D5-4A39-8F3C-69F40FA61F38}" type="parTrans" cxnId="{8DC5FE79-5847-44E3-86E0-0D4336C3C61C}">
      <dgm:prSet custT="1"/>
      <dgm:spPr/>
      <dgm:t>
        <a:bodyPr/>
        <a:lstStyle/>
        <a:p>
          <a:endParaRPr lang="en-US" sz="1200"/>
        </a:p>
      </dgm:t>
    </dgm:pt>
    <dgm:pt modelId="{C47E4EA7-8D05-43B9-9068-54800A69DE31}" type="sibTrans" cxnId="{8DC5FE79-5847-44E3-86E0-0D4336C3C61C}">
      <dgm:prSet/>
      <dgm:spPr/>
      <dgm:t>
        <a:bodyPr/>
        <a:lstStyle/>
        <a:p>
          <a:endParaRPr lang="en-US"/>
        </a:p>
      </dgm:t>
    </dgm:pt>
    <dgm:pt modelId="{95633326-3A75-4C58-9178-739A7D00602D}">
      <dgm:prSet phldrT="[Text]" custT="1"/>
      <dgm:spPr/>
      <dgm:t>
        <a:bodyPr/>
        <a:lstStyle/>
        <a:p>
          <a:r>
            <a:rPr lang="en-US" sz="1200" b="1"/>
            <a:t>Death (age specific all-cause)</a:t>
          </a:r>
        </a:p>
      </dgm:t>
    </dgm:pt>
    <dgm:pt modelId="{DAFCF6B9-4150-443B-973C-D560A7C6F36B}" type="parTrans" cxnId="{41729959-6384-49B0-9B71-E253D880FF40}">
      <dgm:prSet custT="1"/>
      <dgm:spPr/>
      <dgm:t>
        <a:bodyPr/>
        <a:lstStyle/>
        <a:p>
          <a:endParaRPr lang="en-US" sz="1200"/>
        </a:p>
      </dgm:t>
    </dgm:pt>
    <dgm:pt modelId="{DBF7FAE4-9ED1-46EC-8AE3-6B9AB67ECA5C}" type="sibTrans" cxnId="{41729959-6384-49B0-9B71-E253D880FF40}">
      <dgm:prSet/>
      <dgm:spPr/>
      <dgm:t>
        <a:bodyPr/>
        <a:lstStyle/>
        <a:p>
          <a:endParaRPr lang="en-US"/>
        </a:p>
      </dgm:t>
    </dgm:pt>
    <dgm:pt modelId="{6426AE0F-C60D-4737-854E-F77255EB2A09}">
      <dgm:prSet phldrT="[Text]" custT="1"/>
      <dgm:spPr>
        <a:solidFill>
          <a:schemeClr val="bg2">
            <a:lumMod val="50000"/>
          </a:schemeClr>
        </a:solidFill>
      </dgm:spPr>
      <dgm:t>
        <a:bodyPr/>
        <a:lstStyle/>
        <a:p>
          <a:r>
            <a:rPr lang="en-US" sz="1200" b="1"/>
            <a:t>Repeated as per ATI positive</a:t>
          </a:r>
        </a:p>
      </dgm:t>
    </dgm:pt>
    <dgm:pt modelId="{579E0172-7517-45C3-88AC-676433EAADD2}" type="parTrans" cxnId="{0C7DD9D6-D874-4814-8B6A-6A62A8E926B4}">
      <dgm:prSet custT="1"/>
      <dgm:spPr/>
      <dgm:t>
        <a:bodyPr/>
        <a:lstStyle/>
        <a:p>
          <a:endParaRPr lang="en-US" sz="1200"/>
        </a:p>
      </dgm:t>
    </dgm:pt>
    <dgm:pt modelId="{2436E5F4-81F1-4FB2-8A38-E037A66C1FDF}" type="sibTrans" cxnId="{0C7DD9D6-D874-4814-8B6A-6A62A8E926B4}">
      <dgm:prSet/>
      <dgm:spPr/>
      <dgm:t>
        <a:bodyPr/>
        <a:lstStyle/>
        <a:p>
          <a:endParaRPr lang="en-US"/>
        </a:p>
      </dgm:t>
    </dgm:pt>
    <dgm:pt modelId="{49877CF4-B9DC-44D5-9A5E-E9E8174937B1}">
      <dgm:prSet phldrT="[Text]" custT="1"/>
      <dgm:spPr/>
      <dgm:t>
        <a:bodyPr/>
        <a:lstStyle/>
        <a:p>
          <a:r>
            <a:rPr lang="en-US" sz="1200" b="1"/>
            <a:t>Remission (12 months)</a:t>
          </a:r>
        </a:p>
      </dgm:t>
    </dgm:pt>
    <dgm:pt modelId="{D53E0120-B0BB-4BCE-92C4-3D49B027B53A}" type="parTrans" cxnId="{CDDF0675-DF4C-4718-9238-A83FBD5A1610}">
      <dgm:prSet custT="1"/>
      <dgm:spPr/>
      <dgm:t>
        <a:bodyPr/>
        <a:lstStyle/>
        <a:p>
          <a:endParaRPr lang="en-US" sz="1200"/>
        </a:p>
      </dgm:t>
    </dgm:pt>
    <dgm:pt modelId="{9F2343FF-C1F2-42F9-869B-36DEC2554AF4}" type="sibTrans" cxnId="{CDDF0675-DF4C-4718-9238-A83FBD5A1610}">
      <dgm:prSet/>
      <dgm:spPr/>
      <dgm:t>
        <a:bodyPr/>
        <a:lstStyle/>
        <a:p>
          <a:endParaRPr lang="en-US"/>
        </a:p>
      </dgm:t>
    </dgm:pt>
    <dgm:pt modelId="{AE1EB861-DCF0-4EAB-B791-4D1AE04C395A}">
      <dgm:prSet phldrT="[Text]" custT="1"/>
      <dgm:spPr/>
      <dgm:t>
        <a:bodyPr/>
        <a:lstStyle/>
        <a:p>
          <a:r>
            <a:rPr lang="en-US" sz="1200" b="1"/>
            <a:t>Mild disease (12 months)</a:t>
          </a:r>
        </a:p>
      </dgm:t>
    </dgm:pt>
    <dgm:pt modelId="{7D9E9FBA-2BF6-4A17-9AE0-52465332C908}" type="parTrans" cxnId="{230F1426-896E-40C4-B26A-E293FA0E5DAB}">
      <dgm:prSet custT="1"/>
      <dgm:spPr/>
      <dgm:t>
        <a:bodyPr/>
        <a:lstStyle/>
        <a:p>
          <a:endParaRPr lang="en-US" sz="1200"/>
        </a:p>
      </dgm:t>
    </dgm:pt>
    <dgm:pt modelId="{3F13A173-08F4-4C77-B369-0088377C5DE0}" type="sibTrans" cxnId="{230F1426-896E-40C4-B26A-E293FA0E5DAB}">
      <dgm:prSet/>
      <dgm:spPr/>
      <dgm:t>
        <a:bodyPr/>
        <a:lstStyle/>
        <a:p>
          <a:endParaRPr lang="en-US"/>
        </a:p>
      </dgm:t>
    </dgm:pt>
    <dgm:pt modelId="{373982F0-B34B-43BB-AA0F-FB0D75385030}">
      <dgm:prSet phldrT="[Text]" custT="1"/>
      <dgm:spPr/>
      <dgm:t>
        <a:bodyPr/>
        <a:lstStyle/>
        <a:p>
          <a:r>
            <a:rPr lang="en-US" sz="1200" b="1"/>
            <a:t>LOR (12 months)</a:t>
          </a:r>
        </a:p>
      </dgm:t>
    </dgm:pt>
    <dgm:pt modelId="{05A824AC-7D7C-4C6D-A76D-5AF8E3A038D0}" type="parTrans" cxnId="{695F7B64-DD5B-48A6-AF58-E1D8FF065D5C}">
      <dgm:prSet custT="1"/>
      <dgm:spPr/>
      <dgm:t>
        <a:bodyPr/>
        <a:lstStyle/>
        <a:p>
          <a:endParaRPr lang="en-US" sz="1200"/>
        </a:p>
      </dgm:t>
    </dgm:pt>
    <dgm:pt modelId="{8B3565C3-9C9F-4F00-BD84-D205AD82E339}" type="sibTrans" cxnId="{695F7B64-DD5B-48A6-AF58-E1D8FF065D5C}">
      <dgm:prSet/>
      <dgm:spPr/>
      <dgm:t>
        <a:bodyPr/>
        <a:lstStyle/>
        <a:p>
          <a:endParaRPr lang="en-US"/>
        </a:p>
      </dgm:t>
    </dgm:pt>
    <dgm:pt modelId="{E8E67B92-8627-4EBC-9392-FBD554E90BD6}">
      <dgm:prSet phldrT="[Text]" custT="1"/>
      <dgm:spPr/>
      <dgm:t>
        <a:bodyPr/>
        <a:lstStyle/>
        <a:p>
          <a:r>
            <a:rPr lang="en-US" sz="1200" b="1"/>
            <a:t>No adverse event</a:t>
          </a:r>
        </a:p>
      </dgm:t>
    </dgm:pt>
    <dgm:pt modelId="{54AD9074-A2F9-45E3-A59B-CA587CCDDC42}" type="parTrans" cxnId="{D7C84536-3381-4020-8537-267DA4007F99}">
      <dgm:prSet custT="1"/>
      <dgm:spPr/>
      <dgm:t>
        <a:bodyPr/>
        <a:lstStyle/>
        <a:p>
          <a:endParaRPr lang="en-US" sz="1200"/>
        </a:p>
      </dgm:t>
    </dgm:pt>
    <dgm:pt modelId="{3B0A8660-51A5-477F-A983-B5C14AA56436}" type="sibTrans" cxnId="{D7C84536-3381-4020-8537-267DA4007F99}">
      <dgm:prSet/>
      <dgm:spPr/>
      <dgm:t>
        <a:bodyPr/>
        <a:lstStyle/>
        <a:p>
          <a:endParaRPr lang="en-US"/>
        </a:p>
      </dgm:t>
    </dgm:pt>
    <dgm:pt modelId="{D3CCB7F2-E3F5-42B6-8ED6-BCF115D65F64}">
      <dgm:prSet phldrT="[Text]" custT="1"/>
      <dgm:spPr/>
      <dgm:t>
        <a:bodyPr/>
        <a:lstStyle/>
        <a:p>
          <a:r>
            <a:rPr lang="en-US" sz="1200" b="1"/>
            <a:t>Acute infusion reaction (continue IFX)</a:t>
          </a:r>
        </a:p>
      </dgm:t>
    </dgm:pt>
    <dgm:pt modelId="{FC449DE7-940E-4B15-9D0D-3690B9DC2113}" type="parTrans" cxnId="{0A1F099C-E0D3-4359-9916-A1697DCDB105}">
      <dgm:prSet custT="1"/>
      <dgm:spPr/>
      <dgm:t>
        <a:bodyPr/>
        <a:lstStyle/>
        <a:p>
          <a:endParaRPr lang="en-US" sz="1200"/>
        </a:p>
      </dgm:t>
    </dgm:pt>
    <dgm:pt modelId="{95107506-7B88-49FB-927C-4A9067E1C9DC}" type="sibTrans" cxnId="{0A1F099C-E0D3-4359-9916-A1697DCDB105}">
      <dgm:prSet/>
      <dgm:spPr/>
      <dgm:t>
        <a:bodyPr/>
        <a:lstStyle/>
        <a:p>
          <a:endParaRPr lang="en-US"/>
        </a:p>
      </dgm:t>
    </dgm:pt>
    <dgm:pt modelId="{859682C8-8870-4C1A-BA3A-92E84CAE0376}">
      <dgm:prSet phldrT="[Text]" custT="1"/>
      <dgm:spPr/>
      <dgm:t>
        <a:bodyPr/>
        <a:lstStyle/>
        <a:p>
          <a:r>
            <a:rPr lang="en-US" sz="1200" b="1"/>
            <a:t>Severe infusion reaction</a:t>
          </a:r>
        </a:p>
      </dgm:t>
    </dgm:pt>
    <dgm:pt modelId="{5288F31F-5609-45C9-B92C-7C1D79AFB0E6}" type="parTrans" cxnId="{2A70909B-63FC-41D9-AE58-4CDE8348ED88}">
      <dgm:prSet custT="1"/>
      <dgm:spPr/>
      <dgm:t>
        <a:bodyPr/>
        <a:lstStyle/>
        <a:p>
          <a:endParaRPr lang="en-US" sz="1200"/>
        </a:p>
      </dgm:t>
    </dgm:pt>
    <dgm:pt modelId="{A934D764-5152-404B-B419-B2E58252D580}" type="sibTrans" cxnId="{2A70909B-63FC-41D9-AE58-4CDE8348ED88}">
      <dgm:prSet/>
      <dgm:spPr/>
      <dgm:t>
        <a:bodyPr/>
        <a:lstStyle/>
        <a:p>
          <a:endParaRPr lang="en-US"/>
        </a:p>
      </dgm:t>
    </dgm:pt>
    <dgm:pt modelId="{0F9824B9-5683-468C-8925-25614C2DDA30}">
      <dgm:prSet phldrT="[Text]" custT="1"/>
      <dgm:spPr/>
      <dgm:t>
        <a:bodyPr/>
        <a:lstStyle/>
        <a:p>
          <a:r>
            <a:rPr lang="en-US" sz="1200" b="1"/>
            <a:t>Delayed infusion reaction (continue IFX)</a:t>
          </a:r>
        </a:p>
      </dgm:t>
    </dgm:pt>
    <dgm:pt modelId="{E3BBE736-8B50-463A-9421-9CA4729722B2}" type="parTrans" cxnId="{90B2AE59-1061-4E35-84AF-6F392A881C09}">
      <dgm:prSet custT="1"/>
      <dgm:spPr/>
      <dgm:t>
        <a:bodyPr/>
        <a:lstStyle/>
        <a:p>
          <a:endParaRPr lang="en-US" sz="1200"/>
        </a:p>
      </dgm:t>
    </dgm:pt>
    <dgm:pt modelId="{34608718-682A-4C46-AACC-8D2188FB17FC}" type="sibTrans" cxnId="{90B2AE59-1061-4E35-84AF-6F392A881C09}">
      <dgm:prSet/>
      <dgm:spPr/>
      <dgm:t>
        <a:bodyPr/>
        <a:lstStyle/>
        <a:p>
          <a:endParaRPr lang="en-US"/>
        </a:p>
      </dgm:t>
    </dgm:pt>
    <dgm:pt modelId="{6830CC22-E767-47EB-B968-2A41D15675FB}">
      <dgm:prSet phldrT="[Text]" custT="1"/>
      <dgm:spPr>
        <a:solidFill>
          <a:schemeClr val="accent6">
            <a:lumMod val="75000"/>
          </a:schemeClr>
        </a:solidFill>
      </dgm:spPr>
      <dgm:t>
        <a:bodyPr/>
        <a:lstStyle/>
        <a:p>
          <a:r>
            <a:rPr lang="en-US" sz="1200" b="1"/>
            <a:t>Standard care</a:t>
          </a:r>
        </a:p>
      </dgm:t>
    </dgm:pt>
    <dgm:pt modelId="{5892A82F-5FDB-45DB-AB95-7ACD688AC385}" type="parTrans" cxnId="{209B7594-F671-4FF1-815E-2E6728FF51B3}">
      <dgm:prSet custT="1"/>
      <dgm:spPr/>
      <dgm:t>
        <a:bodyPr/>
        <a:lstStyle/>
        <a:p>
          <a:endParaRPr lang="en-US" sz="1200"/>
        </a:p>
      </dgm:t>
    </dgm:pt>
    <dgm:pt modelId="{2DC08C52-C527-483E-AE70-2CC3B4CAB413}" type="sibTrans" cxnId="{209B7594-F671-4FF1-815E-2E6728FF51B3}">
      <dgm:prSet/>
      <dgm:spPr/>
      <dgm:t>
        <a:bodyPr/>
        <a:lstStyle/>
        <a:p>
          <a:endParaRPr lang="en-US"/>
        </a:p>
      </dgm:t>
    </dgm:pt>
    <dgm:pt modelId="{AE68CEAF-2FCB-4609-BB4D-EDC5D15CD304}">
      <dgm:prSet phldrT="[Text]" custT="1"/>
      <dgm:spPr/>
      <dgm:t>
        <a:bodyPr/>
        <a:lstStyle/>
        <a:p>
          <a:r>
            <a:rPr lang="en-US" sz="1200" b="1"/>
            <a:t>Death</a:t>
          </a:r>
        </a:p>
      </dgm:t>
    </dgm:pt>
    <dgm:pt modelId="{DBA14793-A0E2-4F84-A54E-52306626EB7E}" type="parTrans" cxnId="{FF48ECD9-B8AD-433A-9FE8-30DD657C699F}">
      <dgm:prSet custT="1"/>
      <dgm:spPr/>
      <dgm:t>
        <a:bodyPr/>
        <a:lstStyle/>
        <a:p>
          <a:endParaRPr lang="en-US" sz="1200"/>
        </a:p>
      </dgm:t>
    </dgm:pt>
    <dgm:pt modelId="{724A6240-1BA3-48DD-9BFC-CCC896C3E579}" type="sibTrans" cxnId="{FF48ECD9-B8AD-433A-9FE8-30DD657C699F}">
      <dgm:prSet/>
      <dgm:spPr/>
      <dgm:t>
        <a:bodyPr/>
        <a:lstStyle/>
        <a:p>
          <a:endParaRPr lang="en-US"/>
        </a:p>
      </dgm:t>
    </dgm:pt>
    <dgm:pt modelId="{7A038B94-8CB5-42E0-A891-A17A18974FDD}">
      <dgm:prSet phldrT="[Text]" custT="1"/>
      <dgm:spPr>
        <a:solidFill>
          <a:schemeClr val="bg2">
            <a:lumMod val="50000"/>
          </a:schemeClr>
        </a:solidFill>
      </dgm:spPr>
      <dgm:t>
        <a:bodyPr/>
        <a:lstStyle/>
        <a:p>
          <a:r>
            <a:rPr lang="en-US" sz="1200" b="1"/>
            <a:t>Repeated as per remission (12 months)</a:t>
          </a:r>
        </a:p>
      </dgm:t>
    </dgm:pt>
    <dgm:pt modelId="{4273DABA-7947-4FD3-843C-05A6A5DEA0AE}" type="parTrans" cxnId="{EF59D782-F57D-4181-A548-45B99470B569}">
      <dgm:prSet custT="1"/>
      <dgm:spPr/>
      <dgm:t>
        <a:bodyPr/>
        <a:lstStyle/>
        <a:p>
          <a:endParaRPr lang="en-US" sz="1200"/>
        </a:p>
      </dgm:t>
    </dgm:pt>
    <dgm:pt modelId="{E16C3DB9-CD14-4BBF-ADB9-09A40651A068}" type="sibTrans" cxnId="{EF59D782-F57D-4181-A548-45B99470B569}">
      <dgm:prSet/>
      <dgm:spPr/>
      <dgm:t>
        <a:bodyPr/>
        <a:lstStyle/>
        <a:p>
          <a:endParaRPr lang="en-US"/>
        </a:p>
      </dgm:t>
    </dgm:pt>
    <dgm:pt modelId="{AD122375-FB4F-498A-84B0-DE8DD0FFFB86}">
      <dgm:prSet phldrT="[Text]" custT="1"/>
      <dgm:spPr>
        <a:solidFill>
          <a:schemeClr val="bg2">
            <a:lumMod val="50000"/>
          </a:schemeClr>
        </a:solidFill>
      </dgm:spPr>
      <dgm:t>
        <a:bodyPr/>
        <a:lstStyle/>
        <a:p>
          <a:r>
            <a:rPr lang="en-US" sz="1200" b="1"/>
            <a:t>Repeated as per remission (12 months)</a:t>
          </a:r>
        </a:p>
      </dgm:t>
    </dgm:pt>
    <dgm:pt modelId="{902ECEBD-82F6-46AD-A328-5C65309EA56A}" type="parTrans" cxnId="{520E577A-1318-47B7-A75C-2A35E4CFB4FB}">
      <dgm:prSet custT="1"/>
      <dgm:spPr/>
      <dgm:t>
        <a:bodyPr/>
        <a:lstStyle/>
        <a:p>
          <a:endParaRPr lang="en-US" sz="1200"/>
        </a:p>
      </dgm:t>
    </dgm:pt>
    <dgm:pt modelId="{CCA81432-D1FD-40E1-8E76-CA15BDAC9D07}" type="sibTrans" cxnId="{520E577A-1318-47B7-A75C-2A35E4CFB4FB}">
      <dgm:prSet/>
      <dgm:spPr/>
      <dgm:t>
        <a:bodyPr/>
        <a:lstStyle/>
        <a:p>
          <a:endParaRPr lang="en-US"/>
        </a:p>
      </dgm:t>
    </dgm:pt>
    <dgm:pt modelId="{2E44E887-4AC4-4439-A6AB-4573E261CC2B}" type="pres">
      <dgm:prSet presAssocID="{9F78B2D1-59DE-4523-87DF-9686896CBC9C}" presName="diagram" presStyleCnt="0">
        <dgm:presLayoutVars>
          <dgm:chPref val="1"/>
          <dgm:dir/>
          <dgm:animOne val="branch"/>
          <dgm:animLvl val="lvl"/>
          <dgm:resizeHandles val="exact"/>
        </dgm:presLayoutVars>
      </dgm:prSet>
      <dgm:spPr/>
      <dgm:t>
        <a:bodyPr/>
        <a:lstStyle/>
        <a:p>
          <a:endParaRPr lang="en-GB"/>
        </a:p>
      </dgm:t>
    </dgm:pt>
    <dgm:pt modelId="{62CA3667-BC49-423B-A0C9-8DDFB43E4A3F}" type="pres">
      <dgm:prSet presAssocID="{BEF3A247-EEF3-43E6-AC6B-328986DF6677}" presName="root1" presStyleCnt="0"/>
      <dgm:spPr/>
    </dgm:pt>
    <dgm:pt modelId="{2B679A5D-2EED-4CDB-A654-385CE8E5183A}" type="pres">
      <dgm:prSet presAssocID="{BEF3A247-EEF3-43E6-AC6B-328986DF6677}" presName="LevelOneTextNode" presStyleLbl="node0" presStyleIdx="0" presStyleCnt="1" custScaleX="131026" custScaleY="133637">
        <dgm:presLayoutVars>
          <dgm:chPref val="3"/>
        </dgm:presLayoutVars>
      </dgm:prSet>
      <dgm:spPr/>
      <dgm:t>
        <a:bodyPr/>
        <a:lstStyle/>
        <a:p>
          <a:endParaRPr lang="en-US"/>
        </a:p>
      </dgm:t>
    </dgm:pt>
    <dgm:pt modelId="{0F73C695-C4EE-414B-9D87-7B3039026F6F}" type="pres">
      <dgm:prSet presAssocID="{BEF3A247-EEF3-43E6-AC6B-328986DF6677}" presName="level2hierChild" presStyleCnt="0"/>
      <dgm:spPr/>
    </dgm:pt>
    <dgm:pt modelId="{F9F5AACA-47E2-4625-AEB1-10D5903D83E9}" type="pres">
      <dgm:prSet presAssocID="{235CE879-5FF1-4B0C-A2D2-27A74F395F36}" presName="conn2-1" presStyleLbl="parChTrans1D2" presStyleIdx="0" presStyleCnt="3"/>
      <dgm:spPr/>
      <dgm:t>
        <a:bodyPr/>
        <a:lstStyle/>
        <a:p>
          <a:endParaRPr lang="en-GB"/>
        </a:p>
      </dgm:t>
    </dgm:pt>
    <dgm:pt modelId="{2C35863F-0EAC-4CED-8464-7217E80CA11F}" type="pres">
      <dgm:prSet presAssocID="{235CE879-5FF1-4B0C-A2D2-27A74F395F36}" presName="connTx" presStyleLbl="parChTrans1D2" presStyleIdx="0" presStyleCnt="3"/>
      <dgm:spPr/>
      <dgm:t>
        <a:bodyPr/>
        <a:lstStyle/>
        <a:p>
          <a:endParaRPr lang="en-GB"/>
        </a:p>
      </dgm:t>
    </dgm:pt>
    <dgm:pt modelId="{36148C93-6770-4739-AB57-A0FAFB84CA78}" type="pres">
      <dgm:prSet presAssocID="{D24884B4-3AB9-4238-98FB-389D1593D111}" presName="root2" presStyleCnt="0"/>
      <dgm:spPr/>
    </dgm:pt>
    <dgm:pt modelId="{C23BFF9E-ABD0-4C15-BEA7-D1251A778DF5}" type="pres">
      <dgm:prSet presAssocID="{D24884B4-3AB9-4238-98FB-389D1593D111}" presName="LevelTwoTextNode" presStyleLbl="node2" presStyleIdx="0" presStyleCnt="3" custScaleY="114566">
        <dgm:presLayoutVars>
          <dgm:chPref val="3"/>
        </dgm:presLayoutVars>
      </dgm:prSet>
      <dgm:spPr/>
      <dgm:t>
        <a:bodyPr/>
        <a:lstStyle/>
        <a:p>
          <a:endParaRPr lang="en-US"/>
        </a:p>
      </dgm:t>
    </dgm:pt>
    <dgm:pt modelId="{54BE4B4F-F998-401C-8292-03EF4B3949C0}" type="pres">
      <dgm:prSet presAssocID="{D24884B4-3AB9-4238-98FB-389D1593D111}" presName="level3hierChild" presStyleCnt="0"/>
      <dgm:spPr/>
    </dgm:pt>
    <dgm:pt modelId="{2A7E66EE-8E89-44C4-93FE-CC737850C632}" type="pres">
      <dgm:prSet presAssocID="{4C4C7F95-8BEB-4575-97D8-822D5181A84D}" presName="conn2-1" presStyleLbl="parChTrans1D3" presStyleIdx="0" presStyleCnt="2"/>
      <dgm:spPr/>
      <dgm:t>
        <a:bodyPr/>
        <a:lstStyle/>
        <a:p>
          <a:endParaRPr lang="en-GB"/>
        </a:p>
      </dgm:t>
    </dgm:pt>
    <dgm:pt modelId="{2EACA7F8-4F94-42F1-AD43-9AB21747BCFB}" type="pres">
      <dgm:prSet presAssocID="{4C4C7F95-8BEB-4575-97D8-822D5181A84D}" presName="connTx" presStyleLbl="parChTrans1D3" presStyleIdx="0" presStyleCnt="2"/>
      <dgm:spPr/>
      <dgm:t>
        <a:bodyPr/>
        <a:lstStyle/>
        <a:p>
          <a:endParaRPr lang="en-GB"/>
        </a:p>
      </dgm:t>
    </dgm:pt>
    <dgm:pt modelId="{1A7AC96A-60E3-4A6F-8BD9-AEA8FD81BD16}" type="pres">
      <dgm:prSet presAssocID="{1B63E233-E322-44F5-A90A-30B882240AEE}" presName="root2" presStyleCnt="0"/>
      <dgm:spPr/>
    </dgm:pt>
    <dgm:pt modelId="{D1A92AD0-442A-4CEB-9D9A-B744669FAEB7}" type="pres">
      <dgm:prSet presAssocID="{1B63E233-E322-44F5-A90A-30B882240AEE}" presName="LevelTwoTextNode" presStyleLbl="node3" presStyleIdx="0" presStyleCnt="2" custScaleX="124423" custScaleY="44061" custLinFactNeighborY="-70976">
        <dgm:presLayoutVars>
          <dgm:chPref val="3"/>
        </dgm:presLayoutVars>
      </dgm:prSet>
      <dgm:spPr/>
      <dgm:t>
        <a:bodyPr/>
        <a:lstStyle/>
        <a:p>
          <a:endParaRPr lang="en-US"/>
        </a:p>
      </dgm:t>
    </dgm:pt>
    <dgm:pt modelId="{8E50D4E9-8157-42C1-A62A-D4AD95D84B55}" type="pres">
      <dgm:prSet presAssocID="{1B63E233-E322-44F5-A90A-30B882240AEE}" presName="level3hierChild" presStyleCnt="0"/>
      <dgm:spPr/>
    </dgm:pt>
    <dgm:pt modelId="{0B8C124B-9E59-4445-81A0-631A0F36C3A5}" type="pres">
      <dgm:prSet presAssocID="{D53E0120-B0BB-4BCE-92C4-3D49B027B53A}" presName="conn2-1" presStyleLbl="parChTrans1D4" presStyleIdx="0" presStyleCnt="12"/>
      <dgm:spPr/>
      <dgm:t>
        <a:bodyPr/>
        <a:lstStyle/>
        <a:p>
          <a:endParaRPr lang="en-GB"/>
        </a:p>
      </dgm:t>
    </dgm:pt>
    <dgm:pt modelId="{3579F97B-1DE3-4930-AD54-D9276C0AD97C}" type="pres">
      <dgm:prSet presAssocID="{D53E0120-B0BB-4BCE-92C4-3D49B027B53A}" presName="connTx" presStyleLbl="parChTrans1D4" presStyleIdx="0" presStyleCnt="12"/>
      <dgm:spPr/>
      <dgm:t>
        <a:bodyPr/>
        <a:lstStyle/>
        <a:p>
          <a:endParaRPr lang="en-GB"/>
        </a:p>
      </dgm:t>
    </dgm:pt>
    <dgm:pt modelId="{459CD009-4A66-4CB7-AFE6-BBB7062D8ACF}" type="pres">
      <dgm:prSet presAssocID="{49877CF4-B9DC-44D5-9A5E-E9E8174937B1}" presName="root2" presStyleCnt="0"/>
      <dgm:spPr/>
    </dgm:pt>
    <dgm:pt modelId="{FBB7458D-1DA7-4E40-BB5D-8D9258334A98}" type="pres">
      <dgm:prSet presAssocID="{49877CF4-B9DC-44D5-9A5E-E9E8174937B1}" presName="LevelTwoTextNode" presStyleLbl="node4" presStyleIdx="0" presStyleCnt="12" custScaleX="113034" custScaleY="76330">
        <dgm:presLayoutVars>
          <dgm:chPref val="3"/>
        </dgm:presLayoutVars>
      </dgm:prSet>
      <dgm:spPr/>
      <dgm:t>
        <a:bodyPr/>
        <a:lstStyle/>
        <a:p>
          <a:endParaRPr lang="en-US"/>
        </a:p>
      </dgm:t>
    </dgm:pt>
    <dgm:pt modelId="{424C1F0A-8084-4DD9-B918-60A52821E830}" type="pres">
      <dgm:prSet presAssocID="{49877CF4-B9DC-44D5-9A5E-E9E8174937B1}" presName="level3hierChild" presStyleCnt="0"/>
      <dgm:spPr/>
    </dgm:pt>
    <dgm:pt modelId="{5D99BF72-9F04-4EF2-AE37-8A418F998B53}" type="pres">
      <dgm:prSet presAssocID="{54AD9074-A2F9-45E3-A59B-CA587CCDDC42}" presName="conn2-1" presStyleLbl="parChTrans1D4" presStyleIdx="1" presStyleCnt="12"/>
      <dgm:spPr/>
      <dgm:t>
        <a:bodyPr/>
        <a:lstStyle/>
        <a:p>
          <a:endParaRPr lang="en-GB"/>
        </a:p>
      </dgm:t>
    </dgm:pt>
    <dgm:pt modelId="{4D576349-510B-4525-9F40-33FF152C0834}" type="pres">
      <dgm:prSet presAssocID="{54AD9074-A2F9-45E3-A59B-CA587CCDDC42}" presName="connTx" presStyleLbl="parChTrans1D4" presStyleIdx="1" presStyleCnt="12"/>
      <dgm:spPr/>
      <dgm:t>
        <a:bodyPr/>
        <a:lstStyle/>
        <a:p>
          <a:endParaRPr lang="en-GB"/>
        </a:p>
      </dgm:t>
    </dgm:pt>
    <dgm:pt modelId="{62F5AF76-CEF6-422C-93CB-6B5D75C7CCA1}" type="pres">
      <dgm:prSet presAssocID="{E8E67B92-8627-4EBC-9392-FBD554E90BD6}" presName="root2" presStyleCnt="0"/>
      <dgm:spPr/>
    </dgm:pt>
    <dgm:pt modelId="{B8FDAB67-020A-43A1-A1D7-3579DBC17EAE}" type="pres">
      <dgm:prSet presAssocID="{E8E67B92-8627-4EBC-9392-FBD554E90BD6}" presName="LevelTwoTextNode" presStyleLbl="node4" presStyleIdx="1" presStyleCnt="12" custScaleX="164106" custScaleY="41090" custLinFactNeighborX="1522" custLinFactNeighborY="-55271">
        <dgm:presLayoutVars>
          <dgm:chPref val="3"/>
        </dgm:presLayoutVars>
      </dgm:prSet>
      <dgm:spPr/>
      <dgm:t>
        <a:bodyPr/>
        <a:lstStyle/>
        <a:p>
          <a:endParaRPr lang="en-US"/>
        </a:p>
      </dgm:t>
    </dgm:pt>
    <dgm:pt modelId="{CC65426D-75B5-40A6-8E33-197C7EA8DA06}" type="pres">
      <dgm:prSet presAssocID="{E8E67B92-8627-4EBC-9392-FBD554E90BD6}" presName="level3hierChild" presStyleCnt="0"/>
      <dgm:spPr/>
    </dgm:pt>
    <dgm:pt modelId="{6A51C4D8-CF88-4AEE-88F3-6B1D3D047A96}" type="pres">
      <dgm:prSet presAssocID="{FC449DE7-940E-4B15-9D0D-3690B9DC2113}" presName="conn2-1" presStyleLbl="parChTrans1D4" presStyleIdx="2" presStyleCnt="12"/>
      <dgm:spPr/>
      <dgm:t>
        <a:bodyPr/>
        <a:lstStyle/>
        <a:p>
          <a:endParaRPr lang="en-GB"/>
        </a:p>
      </dgm:t>
    </dgm:pt>
    <dgm:pt modelId="{5FED0D01-356E-4E9E-8563-6C62F6968642}" type="pres">
      <dgm:prSet presAssocID="{FC449DE7-940E-4B15-9D0D-3690B9DC2113}" presName="connTx" presStyleLbl="parChTrans1D4" presStyleIdx="2" presStyleCnt="12"/>
      <dgm:spPr/>
      <dgm:t>
        <a:bodyPr/>
        <a:lstStyle/>
        <a:p>
          <a:endParaRPr lang="en-GB"/>
        </a:p>
      </dgm:t>
    </dgm:pt>
    <dgm:pt modelId="{77B2CB93-7F27-4311-B9F0-6CA6ED0FD8C1}" type="pres">
      <dgm:prSet presAssocID="{D3CCB7F2-E3F5-42B6-8ED6-BCF115D65F64}" presName="root2" presStyleCnt="0"/>
      <dgm:spPr/>
    </dgm:pt>
    <dgm:pt modelId="{411A2B83-7785-4A3A-AEFE-78E491B36026}" type="pres">
      <dgm:prSet presAssocID="{D3CCB7F2-E3F5-42B6-8ED6-BCF115D65F64}" presName="LevelTwoTextNode" presStyleLbl="node4" presStyleIdx="2" presStyleCnt="12" custScaleX="162245" custScaleY="76472" custLinFactNeighborX="2559" custLinFactNeighborY="-58302">
        <dgm:presLayoutVars>
          <dgm:chPref val="3"/>
        </dgm:presLayoutVars>
      </dgm:prSet>
      <dgm:spPr/>
      <dgm:t>
        <a:bodyPr/>
        <a:lstStyle/>
        <a:p>
          <a:endParaRPr lang="en-US"/>
        </a:p>
      </dgm:t>
    </dgm:pt>
    <dgm:pt modelId="{27203CD2-043F-4B0A-BFC0-F99ECF85CCDA}" type="pres">
      <dgm:prSet presAssocID="{D3CCB7F2-E3F5-42B6-8ED6-BCF115D65F64}" presName="level3hierChild" presStyleCnt="0"/>
      <dgm:spPr/>
    </dgm:pt>
    <dgm:pt modelId="{2F92F48D-DAA4-4FE3-BF30-055C2A2437EC}" type="pres">
      <dgm:prSet presAssocID="{5288F31F-5609-45C9-B92C-7C1D79AFB0E6}" presName="conn2-1" presStyleLbl="parChTrans1D4" presStyleIdx="3" presStyleCnt="12"/>
      <dgm:spPr/>
      <dgm:t>
        <a:bodyPr/>
        <a:lstStyle/>
        <a:p>
          <a:endParaRPr lang="en-GB"/>
        </a:p>
      </dgm:t>
    </dgm:pt>
    <dgm:pt modelId="{D893428B-53A5-4A71-AEB9-2B18EE85FABB}" type="pres">
      <dgm:prSet presAssocID="{5288F31F-5609-45C9-B92C-7C1D79AFB0E6}" presName="connTx" presStyleLbl="parChTrans1D4" presStyleIdx="3" presStyleCnt="12"/>
      <dgm:spPr/>
      <dgm:t>
        <a:bodyPr/>
        <a:lstStyle/>
        <a:p>
          <a:endParaRPr lang="en-GB"/>
        </a:p>
      </dgm:t>
    </dgm:pt>
    <dgm:pt modelId="{4F342598-D3DF-4662-9B0F-11EE8DB4F72C}" type="pres">
      <dgm:prSet presAssocID="{859682C8-8870-4C1A-BA3A-92E84CAE0376}" presName="root2" presStyleCnt="0"/>
      <dgm:spPr/>
    </dgm:pt>
    <dgm:pt modelId="{5139CEBE-FF48-4EDF-8757-4CABEF35594C}" type="pres">
      <dgm:prSet presAssocID="{859682C8-8870-4C1A-BA3A-92E84CAE0376}" presName="LevelTwoTextNode" presStyleLbl="node4" presStyleIdx="3" presStyleCnt="12" custScaleX="163605" custScaleY="70882" custLinFactNeighborX="3142" custLinFactNeighborY="-60029">
        <dgm:presLayoutVars>
          <dgm:chPref val="3"/>
        </dgm:presLayoutVars>
      </dgm:prSet>
      <dgm:spPr/>
      <dgm:t>
        <a:bodyPr/>
        <a:lstStyle/>
        <a:p>
          <a:endParaRPr lang="en-US"/>
        </a:p>
      </dgm:t>
    </dgm:pt>
    <dgm:pt modelId="{77D10CE6-693A-483D-9D75-0CC9198391C5}" type="pres">
      <dgm:prSet presAssocID="{859682C8-8870-4C1A-BA3A-92E84CAE0376}" presName="level3hierChild" presStyleCnt="0"/>
      <dgm:spPr/>
    </dgm:pt>
    <dgm:pt modelId="{0AF5A171-1D49-49A7-8F2A-410BB99E0CA3}" type="pres">
      <dgm:prSet presAssocID="{5892A82F-5FDB-45DB-AB95-7ACD688AC385}" presName="conn2-1" presStyleLbl="parChTrans1D4" presStyleIdx="4" presStyleCnt="12"/>
      <dgm:spPr/>
      <dgm:t>
        <a:bodyPr/>
        <a:lstStyle/>
        <a:p>
          <a:endParaRPr lang="en-GB"/>
        </a:p>
      </dgm:t>
    </dgm:pt>
    <dgm:pt modelId="{A801B199-D56A-4AFA-87FA-F788124A472D}" type="pres">
      <dgm:prSet presAssocID="{5892A82F-5FDB-45DB-AB95-7ACD688AC385}" presName="connTx" presStyleLbl="parChTrans1D4" presStyleIdx="4" presStyleCnt="12"/>
      <dgm:spPr/>
      <dgm:t>
        <a:bodyPr/>
        <a:lstStyle/>
        <a:p>
          <a:endParaRPr lang="en-GB"/>
        </a:p>
      </dgm:t>
    </dgm:pt>
    <dgm:pt modelId="{BC61DD3F-3CE8-4384-9C60-87B4A23D59BB}" type="pres">
      <dgm:prSet presAssocID="{6830CC22-E767-47EB-B968-2A41D15675FB}" presName="root2" presStyleCnt="0"/>
      <dgm:spPr/>
    </dgm:pt>
    <dgm:pt modelId="{1D294B01-153E-4A30-85D2-4C897C4361FF}" type="pres">
      <dgm:prSet presAssocID="{6830CC22-E767-47EB-B968-2A41D15675FB}" presName="LevelTwoTextNode" presStyleLbl="node4" presStyleIdx="4" presStyleCnt="12" custScaleY="46266" custLinFactNeighborX="-15156" custLinFactNeighborY="-77199">
        <dgm:presLayoutVars>
          <dgm:chPref val="3"/>
        </dgm:presLayoutVars>
      </dgm:prSet>
      <dgm:spPr/>
      <dgm:t>
        <a:bodyPr/>
        <a:lstStyle/>
        <a:p>
          <a:endParaRPr lang="en-US"/>
        </a:p>
      </dgm:t>
    </dgm:pt>
    <dgm:pt modelId="{EE4D43A8-B98F-4492-8812-3888E4252180}" type="pres">
      <dgm:prSet presAssocID="{6830CC22-E767-47EB-B968-2A41D15675FB}" presName="level3hierChild" presStyleCnt="0"/>
      <dgm:spPr/>
    </dgm:pt>
    <dgm:pt modelId="{8F023511-DF63-414A-93C1-8C6185A7C187}" type="pres">
      <dgm:prSet presAssocID="{DBA14793-A0E2-4F84-A54E-52306626EB7E}" presName="conn2-1" presStyleLbl="parChTrans1D4" presStyleIdx="5" presStyleCnt="12"/>
      <dgm:spPr/>
      <dgm:t>
        <a:bodyPr/>
        <a:lstStyle/>
        <a:p>
          <a:endParaRPr lang="en-GB"/>
        </a:p>
      </dgm:t>
    </dgm:pt>
    <dgm:pt modelId="{A6845C08-10DB-4128-BED6-2360369E536C}" type="pres">
      <dgm:prSet presAssocID="{DBA14793-A0E2-4F84-A54E-52306626EB7E}" presName="connTx" presStyleLbl="parChTrans1D4" presStyleIdx="5" presStyleCnt="12"/>
      <dgm:spPr/>
      <dgm:t>
        <a:bodyPr/>
        <a:lstStyle/>
        <a:p>
          <a:endParaRPr lang="en-GB"/>
        </a:p>
      </dgm:t>
    </dgm:pt>
    <dgm:pt modelId="{FF120630-A9C5-42A0-9031-126EA013726C}" type="pres">
      <dgm:prSet presAssocID="{AE68CEAF-2FCB-4609-BB4D-EDC5D15CD304}" presName="root2" presStyleCnt="0"/>
      <dgm:spPr/>
    </dgm:pt>
    <dgm:pt modelId="{99488A67-B7C0-4B79-9F62-81D5EA32F06D}" type="pres">
      <dgm:prSet presAssocID="{AE68CEAF-2FCB-4609-BB4D-EDC5D15CD304}" presName="LevelTwoTextNode" presStyleLbl="node4" presStyleIdx="5" presStyleCnt="12" custScaleY="48913" custLinFactNeighborX="-17522" custLinFactNeighborY="-37521">
        <dgm:presLayoutVars>
          <dgm:chPref val="3"/>
        </dgm:presLayoutVars>
      </dgm:prSet>
      <dgm:spPr/>
      <dgm:t>
        <a:bodyPr/>
        <a:lstStyle/>
        <a:p>
          <a:endParaRPr lang="en-GB"/>
        </a:p>
      </dgm:t>
    </dgm:pt>
    <dgm:pt modelId="{4638C526-AE35-4A93-935A-388CC00078C0}" type="pres">
      <dgm:prSet presAssocID="{AE68CEAF-2FCB-4609-BB4D-EDC5D15CD304}" presName="level3hierChild" presStyleCnt="0"/>
      <dgm:spPr/>
    </dgm:pt>
    <dgm:pt modelId="{480BD3CB-9978-4F5A-964B-A47EC8FA952F}" type="pres">
      <dgm:prSet presAssocID="{E3BBE736-8B50-463A-9421-9CA4729722B2}" presName="conn2-1" presStyleLbl="parChTrans1D4" presStyleIdx="6" presStyleCnt="12"/>
      <dgm:spPr/>
      <dgm:t>
        <a:bodyPr/>
        <a:lstStyle/>
        <a:p>
          <a:endParaRPr lang="en-GB"/>
        </a:p>
      </dgm:t>
    </dgm:pt>
    <dgm:pt modelId="{6F4A8076-F54F-4924-ABE6-92BC57175397}" type="pres">
      <dgm:prSet presAssocID="{E3BBE736-8B50-463A-9421-9CA4729722B2}" presName="connTx" presStyleLbl="parChTrans1D4" presStyleIdx="6" presStyleCnt="12"/>
      <dgm:spPr/>
      <dgm:t>
        <a:bodyPr/>
        <a:lstStyle/>
        <a:p>
          <a:endParaRPr lang="en-GB"/>
        </a:p>
      </dgm:t>
    </dgm:pt>
    <dgm:pt modelId="{928FE803-5F72-4700-BDD0-ABC4205F211B}" type="pres">
      <dgm:prSet presAssocID="{0F9824B9-5683-468C-8925-25614C2DDA30}" presName="root2" presStyleCnt="0"/>
      <dgm:spPr/>
    </dgm:pt>
    <dgm:pt modelId="{157CE936-79EA-422D-A245-859AED86D354}" type="pres">
      <dgm:prSet presAssocID="{0F9824B9-5683-468C-8925-25614C2DDA30}" presName="LevelTwoTextNode" presStyleLbl="node4" presStyleIdx="6" presStyleCnt="12" custScaleX="163014" custScaleY="76842" custLinFactNeighborX="2859" custLinFactNeighborY="-55824">
        <dgm:presLayoutVars>
          <dgm:chPref val="3"/>
        </dgm:presLayoutVars>
      </dgm:prSet>
      <dgm:spPr/>
      <dgm:t>
        <a:bodyPr/>
        <a:lstStyle/>
        <a:p>
          <a:endParaRPr lang="en-US"/>
        </a:p>
      </dgm:t>
    </dgm:pt>
    <dgm:pt modelId="{BB47FDC7-5C82-4E1E-82D2-013E5A77A650}" type="pres">
      <dgm:prSet presAssocID="{0F9824B9-5683-468C-8925-25614C2DDA30}" presName="level3hierChild" presStyleCnt="0"/>
      <dgm:spPr/>
    </dgm:pt>
    <dgm:pt modelId="{C8CD8398-8C78-433A-9B98-A77F6A190E1B}" type="pres">
      <dgm:prSet presAssocID="{7D9E9FBA-2BF6-4A17-9AE0-52465332C908}" presName="conn2-1" presStyleLbl="parChTrans1D4" presStyleIdx="7" presStyleCnt="12"/>
      <dgm:spPr/>
      <dgm:t>
        <a:bodyPr/>
        <a:lstStyle/>
        <a:p>
          <a:endParaRPr lang="en-GB"/>
        </a:p>
      </dgm:t>
    </dgm:pt>
    <dgm:pt modelId="{2DD510BC-16E0-429B-8624-8B1ACD6CA0E7}" type="pres">
      <dgm:prSet presAssocID="{7D9E9FBA-2BF6-4A17-9AE0-52465332C908}" presName="connTx" presStyleLbl="parChTrans1D4" presStyleIdx="7" presStyleCnt="12"/>
      <dgm:spPr/>
      <dgm:t>
        <a:bodyPr/>
        <a:lstStyle/>
        <a:p>
          <a:endParaRPr lang="en-GB"/>
        </a:p>
      </dgm:t>
    </dgm:pt>
    <dgm:pt modelId="{D84C1DE5-FE08-4336-9291-545CACEB87BD}" type="pres">
      <dgm:prSet presAssocID="{AE1EB861-DCF0-4EAB-B791-4D1AE04C395A}" presName="root2" presStyleCnt="0"/>
      <dgm:spPr/>
    </dgm:pt>
    <dgm:pt modelId="{A180084A-BFBB-4811-82F5-19DC1E7D9245}" type="pres">
      <dgm:prSet presAssocID="{AE1EB861-DCF0-4EAB-B791-4D1AE04C395A}" presName="LevelTwoTextNode" presStyleLbl="node4" presStyleIdx="7" presStyleCnt="12" custScaleX="112977" custScaleY="79270" custLinFactNeighborX="5168" custLinFactNeighborY="-36343">
        <dgm:presLayoutVars>
          <dgm:chPref val="3"/>
        </dgm:presLayoutVars>
      </dgm:prSet>
      <dgm:spPr/>
      <dgm:t>
        <a:bodyPr/>
        <a:lstStyle/>
        <a:p>
          <a:endParaRPr lang="en-US"/>
        </a:p>
      </dgm:t>
    </dgm:pt>
    <dgm:pt modelId="{79494540-AE8B-4842-B20E-1691AFB8EEAC}" type="pres">
      <dgm:prSet presAssocID="{AE1EB861-DCF0-4EAB-B791-4D1AE04C395A}" presName="level3hierChild" presStyleCnt="0"/>
      <dgm:spPr/>
    </dgm:pt>
    <dgm:pt modelId="{70D265E2-2930-486F-A259-B3E1D9AA37D8}" type="pres">
      <dgm:prSet presAssocID="{4273DABA-7947-4FD3-843C-05A6A5DEA0AE}" presName="conn2-1" presStyleLbl="parChTrans1D4" presStyleIdx="8" presStyleCnt="12"/>
      <dgm:spPr/>
      <dgm:t>
        <a:bodyPr/>
        <a:lstStyle/>
        <a:p>
          <a:endParaRPr lang="en-GB"/>
        </a:p>
      </dgm:t>
    </dgm:pt>
    <dgm:pt modelId="{F9BD9396-91B4-42A5-B051-E337B362082C}" type="pres">
      <dgm:prSet presAssocID="{4273DABA-7947-4FD3-843C-05A6A5DEA0AE}" presName="connTx" presStyleLbl="parChTrans1D4" presStyleIdx="8" presStyleCnt="12"/>
      <dgm:spPr/>
      <dgm:t>
        <a:bodyPr/>
        <a:lstStyle/>
        <a:p>
          <a:endParaRPr lang="en-GB"/>
        </a:p>
      </dgm:t>
    </dgm:pt>
    <dgm:pt modelId="{638D710A-D6E0-4A63-A72F-D51651C8C9BB}" type="pres">
      <dgm:prSet presAssocID="{7A038B94-8CB5-42E0-A891-A17A18974FDD}" presName="root2" presStyleCnt="0"/>
      <dgm:spPr/>
    </dgm:pt>
    <dgm:pt modelId="{028E7A1C-6E98-4E3C-800C-EDE1EA7613DB}" type="pres">
      <dgm:prSet presAssocID="{7A038B94-8CB5-42E0-A891-A17A18974FDD}" presName="LevelTwoTextNode" presStyleLbl="node4" presStyleIdx="8" presStyleCnt="12" custScaleX="158467" custScaleY="82019" custLinFactNeighborX="1914" custLinFactNeighborY="-35775">
        <dgm:presLayoutVars>
          <dgm:chPref val="3"/>
        </dgm:presLayoutVars>
      </dgm:prSet>
      <dgm:spPr/>
      <dgm:t>
        <a:bodyPr/>
        <a:lstStyle/>
        <a:p>
          <a:endParaRPr lang="en-US"/>
        </a:p>
      </dgm:t>
    </dgm:pt>
    <dgm:pt modelId="{CF7D8154-EE53-4073-9E10-7B0C13BCD38B}" type="pres">
      <dgm:prSet presAssocID="{7A038B94-8CB5-42E0-A891-A17A18974FDD}" presName="level3hierChild" presStyleCnt="0"/>
      <dgm:spPr/>
    </dgm:pt>
    <dgm:pt modelId="{797CA030-3CCC-47F1-A0E4-A640DADF3DC5}" type="pres">
      <dgm:prSet presAssocID="{05A824AC-7D7C-4C6D-A76D-5AF8E3A038D0}" presName="conn2-1" presStyleLbl="parChTrans1D4" presStyleIdx="9" presStyleCnt="12"/>
      <dgm:spPr/>
      <dgm:t>
        <a:bodyPr/>
        <a:lstStyle/>
        <a:p>
          <a:endParaRPr lang="en-GB"/>
        </a:p>
      </dgm:t>
    </dgm:pt>
    <dgm:pt modelId="{D4BABEF4-4D94-4ADD-AC01-060BEADFF912}" type="pres">
      <dgm:prSet presAssocID="{05A824AC-7D7C-4C6D-A76D-5AF8E3A038D0}" presName="connTx" presStyleLbl="parChTrans1D4" presStyleIdx="9" presStyleCnt="12"/>
      <dgm:spPr/>
      <dgm:t>
        <a:bodyPr/>
        <a:lstStyle/>
        <a:p>
          <a:endParaRPr lang="en-GB"/>
        </a:p>
      </dgm:t>
    </dgm:pt>
    <dgm:pt modelId="{52FBDC94-4BE1-4BCC-B01D-82052B4A3050}" type="pres">
      <dgm:prSet presAssocID="{373982F0-B34B-43BB-AA0F-FB0D75385030}" presName="root2" presStyleCnt="0"/>
      <dgm:spPr/>
    </dgm:pt>
    <dgm:pt modelId="{BBA70700-CBD0-4354-8821-3272EFF30146}" type="pres">
      <dgm:prSet presAssocID="{373982F0-B34B-43BB-AA0F-FB0D75385030}" presName="LevelTwoTextNode" presStyleLbl="node4" presStyleIdx="9" presStyleCnt="12" custScaleX="110076" custScaleY="69108" custLinFactNeighborX="5132" custLinFactNeighborY="-9050">
        <dgm:presLayoutVars>
          <dgm:chPref val="3"/>
        </dgm:presLayoutVars>
      </dgm:prSet>
      <dgm:spPr/>
      <dgm:t>
        <a:bodyPr/>
        <a:lstStyle/>
        <a:p>
          <a:endParaRPr lang="en-US"/>
        </a:p>
      </dgm:t>
    </dgm:pt>
    <dgm:pt modelId="{0F9C3829-7F7C-42E7-B7ED-8547D41983B5}" type="pres">
      <dgm:prSet presAssocID="{373982F0-B34B-43BB-AA0F-FB0D75385030}" presName="level3hierChild" presStyleCnt="0"/>
      <dgm:spPr/>
    </dgm:pt>
    <dgm:pt modelId="{BD36BB35-AA86-4014-B359-0B43DB3F5062}" type="pres">
      <dgm:prSet presAssocID="{902ECEBD-82F6-46AD-A328-5C65309EA56A}" presName="conn2-1" presStyleLbl="parChTrans1D4" presStyleIdx="10" presStyleCnt="12"/>
      <dgm:spPr/>
      <dgm:t>
        <a:bodyPr/>
        <a:lstStyle/>
        <a:p>
          <a:endParaRPr lang="en-GB"/>
        </a:p>
      </dgm:t>
    </dgm:pt>
    <dgm:pt modelId="{3C37BA1C-E8AB-469B-BC4E-5FE2E1C6C6C3}" type="pres">
      <dgm:prSet presAssocID="{902ECEBD-82F6-46AD-A328-5C65309EA56A}" presName="connTx" presStyleLbl="parChTrans1D4" presStyleIdx="10" presStyleCnt="12"/>
      <dgm:spPr/>
      <dgm:t>
        <a:bodyPr/>
        <a:lstStyle/>
        <a:p>
          <a:endParaRPr lang="en-GB"/>
        </a:p>
      </dgm:t>
    </dgm:pt>
    <dgm:pt modelId="{36F80146-A5F4-42DC-BCAB-636BC8085AE8}" type="pres">
      <dgm:prSet presAssocID="{AD122375-FB4F-498A-84B0-DE8DD0FFFB86}" presName="root2" presStyleCnt="0"/>
      <dgm:spPr/>
    </dgm:pt>
    <dgm:pt modelId="{42FC6DA5-000A-487D-999A-AC83818A6689}" type="pres">
      <dgm:prSet presAssocID="{AD122375-FB4F-498A-84B0-DE8DD0FFFB86}" presName="LevelTwoTextNode" presStyleLbl="node4" presStyleIdx="10" presStyleCnt="12" custScaleX="158869" custScaleY="78341" custLinFactNeighborX="3918" custLinFactNeighborY="-10447">
        <dgm:presLayoutVars>
          <dgm:chPref val="3"/>
        </dgm:presLayoutVars>
      </dgm:prSet>
      <dgm:spPr/>
      <dgm:t>
        <a:bodyPr/>
        <a:lstStyle/>
        <a:p>
          <a:endParaRPr lang="en-US"/>
        </a:p>
      </dgm:t>
    </dgm:pt>
    <dgm:pt modelId="{724CAB4E-403A-41AB-90B7-CCE0F81499CE}" type="pres">
      <dgm:prSet presAssocID="{AD122375-FB4F-498A-84B0-DE8DD0FFFB86}" presName="level3hierChild" presStyleCnt="0"/>
      <dgm:spPr/>
    </dgm:pt>
    <dgm:pt modelId="{769A291C-30EA-43AB-923C-35959945E063}" type="pres">
      <dgm:prSet presAssocID="{F2163437-CBEC-43EE-A1D5-465E34AD4BA0}" presName="conn2-1" presStyleLbl="parChTrans1D3" presStyleIdx="1" presStyleCnt="2"/>
      <dgm:spPr/>
      <dgm:t>
        <a:bodyPr/>
        <a:lstStyle/>
        <a:p>
          <a:endParaRPr lang="en-GB"/>
        </a:p>
      </dgm:t>
    </dgm:pt>
    <dgm:pt modelId="{0BA27BB4-75D3-4163-B1FD-FA90D2556A8B}" type="pres">
      <dgm:prSet presAssocID="{F2163437-CBEC-43EE-A1D5-465E34AD4BA0}" presName="connTx" presStyleLbl="parChTrans1D3" presStyleIdx="1" presStyleCnt="2"/>
      <dgm:spPr/>
      <dgm:t>
        <a:bodyPr/>
        <a:lstStyle/>
        <a:p>
          <a:endParaRPr lang="en-GB"/>
        </a:p>
      </dgm:t>
    </dgm:pt>
    <dgm:pt modelId="{51C3050C-C9F3-4D38-AC82-3689B16941B2}" type="pres">
      <dgm:prSet presAssocID="{C72E6B0F-89C4-4DBB-AC6D-6F7FE1FA2688}" presName="root2" presStyleCnt="0"/>
      <dgm:spPr/>
    </dgm:pt>
    <dgm:pt modelId="{E9FC19F6-7D89-49F7-9C01-171C328586F7}" type="pres">
      <dgm:prSet presAssocID="{C72E6B0F-89C4-4DBB-AC6D-6F7FE1FA2688}" presName="LevelTwoTextNode" presStyleLbl="node3" presStyleIdx="1" presStyleCnt="2" custScaleX="120672" custScaleY="43955" custLinFactNeighborY="20895">
        <dgm:presLayoutVars>
          <dgm:chPref val="3"/>
        </dgm:presLayoutVars>
      </dgm:prSet>
      <dgm:spPr/>
      <dgm:t>
        <a:bodyPr/>
        <a:lstStyle/>
        <a:p>
          <a:endParaRPr lang="en-GB"/>
        </a:p>
      </dgm:t>
    </dgm:pt>
    <dgm:pt modelId="{AE8F33A1-22DC-4B1D-8813-B086A59DA9C9}" type="pres">
      <dgm:prSet presAssocID="{C72E6B0F-89C4-4DBB-AC6D-6F7FE1FA2688}" presName="level3hierChild" presStyleCnt="0"/>
      <dgm:spPr/>
    </dgm:pt>
    <dgm:pt modelId="{B141FD00-70FC-45B4-B99C-9D9A9D68629A}" type="pres">
      <dgm:prSet presAssocID="{579E0172-7517-45C3-88AC-676433EAADD2}" presName="conn2-1" presStyleLbl="parChTrans1D4" presStyleIdx="11" presStyleCnt="12"/>
      <dgm:spPr/>
      <dgm:t>
        <a:bodyPr/>
        <a:lstStyle/>
        <a:p>
          <a:endParaRPr lang="en-GB"/>
        </a:p>
      </dgm:t>
    </dgm:pt>
    <dgm:pt modelId="{52EB5191-2B7D-4E16-8F82-07277F96319C}" type="pres">
      <dgm:prSet presAssocID="{579E0172-7517-45C3-88AC-676433EAADD2}" presName="connTx" presStyleLbl="parChTrans1D4" presStyleIdx="11" presStyleCnt="12"/>
      <dgm:spPr/>
      <dgm:t>
        <a:bodyPr/>
        <a:lstStyle/>
        <a:p>
          <a:endParaRPr lang="en-GB"/>
        </a:p>
      </dgm:t>
    </dgm:pt>
    <dgm:pt modelId="{26F5903E-5FB3-4063-8C7B-6362A3589D7C}" type="pres">
      <dgm:prSet presAssocID="{6426AE0F-C60D-4737-854E-F77255EB2A09}" presName="root2" presStyleCnt="0"/>
      <dgm:spPr/>
    </dgm:pt>
    <dgm:pt modelId="{45A7AFDA-8EF3-40E3-A89E-7C09E8B02B84}" type="pres">
      <dgm:prSet presAssocID="{6426AE0F-C60D-4737-854E-F77255EB2A09}" presName="LevelTwoTextNode" presStyleLbl="node4" presStyleIdx="11" presStyleCnt="12" custScaleX="226346" custScaleY="35746" custLinFactNeighborX="3687" custLinFactNeighborY="25117">
        <dgm:presLayoutVars>
          <dgm:chPref val="3"/>
        </dgm:presLayoutVars>
      </dgm:prSet>
      <dgm:spPr/>
      <dgm:t>
        <a:bodyPr/>
        <a:lstStyle/>
        <a:p>
          <a:endParaRPr lang="en-US"/>
        </a:p>
      </dgm:t>
    </dgm:pt>
    <dgm:pt modelId="{522A3651-85F4-4256-99E8-79131A593D48}" type="pres">
      <dgm:prSet presAssocID="{6426AE0F-C60D-4737-854E-F77255EB2A09}" presName="level3hierChild" presStyleCnt="0"/>
      <dgm:spPr/>
    </dgm:pt>
    <dgm:pt modelId="{71BE1873-584A-47EA-8752-B45C2673690F}" type="pres">
      <dgm:prSet presAssocID="{57D2FF56-31D5-4A39-8F3C-69F40FA61F38}" presName="conn2-1" presStyleLbl="parChTrans1D2" presStyleIdx="1" presStyleCnt="3"/>
      <dgm:spPr/>
      <dgm:t>
        <a:bodyPr/>
        <a:lstStyle/>
        <a:p>
          <a:endParaRPr lang="en-GB"/>
        </a:p>
      </dgm:t>
    </dgm:pt>
    <dgm:pt modelId="{CAD63474-C020-41FF-95E4-C0F8D66223B4}" type="pres">
      <dgm:prSet presAssocID="{57D2FF56-31D5-4A39-8F3C-69F40FA61F38}" presName="connTx" presStyleLbl="parChTrans1D2" presStyleIdx="1" presStyleCnt="3"/>
      <dgm:spPr/>
      <dgm:t>
        <a:bodyPr/>
        <a:lstStyle/>
        <a:p>
          <a:endParaRPr lang="en-GB"/>
        </a:p>
      </dgm:t>
    </dgm:pt>
    <dgm:pt modelId="{79ACC90E-E5CA-479D-8DBB-D62AF30E41A8}" type="pres">
      <dgm:prSet presAssocID="{A40586A9-A6BC-454F-A173-D4B2DC4780A5}" presName="root2" presStyleCnt="0"/>
      <dgm:spPr/>
    </dgm:pt>
    <dgm:pt modelId="{64A258EC-7C33-4FA1-A27F-318809B3ED84}" type="pres">
      <dgm:prSet presAssocID="{A40586A9-A6BC-454F-A173-D4B2DC4780A5}" presName="LevelTwoTextNode" presStyleLbl="node2" presStyleIdx="1" presStyleCnt="3" custScaleX="228822" custScaleY="43120" custLinFactNeighborX="1592" custLinFactNeighborY="51875">
        <dgm:presLayoutVars>
          <dgm:chPref val="3"/>
        </dgm:presLayoutVars>
      </dgm:prSet>
      <dgm:spPr/>
      <dgm:t>
        <a:bodyPr/>
        <a:lstStyle/>
        <a:p>
          <a:endParaRPr lang="en-GB"/>
        </a:p>
      </dgm:t>
    </dgm:pt>
    <dgm:pt modelId="{8FA39A65-B849-4781-8FC7-7058644EA953}" type="pres">
      <dgm:prSet presAssocID="{A40586A9-A6BC-454F-A173-D4B2DC4780A5}" presName="level3hierChild" presStyleCnt="0"/>
      <dgm:spPr/>
    </dgm:pt>
    <dgm:pt modelId="{B7664830-C983-4BF9-B770-ECB1FE2F7FEE}" type="pres">
      <dgm:prSet presAssocID="{DAFCF6B9-4150-443B-973C-D560A7C6F36B}" presName="conn2-1" presStyleLbl="parChTrans1D2" presStyleIdx="2" presStyleCnt="3"/>
      <dgm:spPr/>
      <dgm:t>
        <a:bodyPr/>
        <a:lstStyle/>
        <a:p>
          <a:endParaRPr lang="en-GB"/>
        </a:p>
      </dgm:t>
    </dgm:pt>
    <dgm:pt modelId="{5ACBC59E-0993-40BF-94A9-817A451A344E}" type="pres">
      <dgm:prSet presAssocID="{DAFCF6B9-4150-443B-973C-D560A7C6F36B}" presName="connTx" presStyleLbl="parChTrans1D2" presStyleIdx="2" presStyleCnt="3"/>
      <dgm:spPr/>
      <dgm:t>
        <a:bodyPr/>
        <a:lstStyle/>
        <a:p>
          <a:endParaRPr lang="en-GB"/>
        </a:p>
      </dgm:t>
    </dgm:pt>
    <dgm:pt modelId="{03625D46-5394-4DE7-8BCD-39B54F177BAA}" type="pres">
      <dgm:prSet presAssocID="{95633326-3A75-4C58-9178-739A7D00602D}" presName="root2" presStyleCnt="0"/>
      <dgm:spPr/>
    </dgm:pt>
    <dgm:pt modelId="{D552D87A-4A08-4762-8BE2-3B26C0ACDB29}" type="pres">
      <dgm:prSet presAssocID="{95633326-3A75-4C58-9178-739A7D00602D}" presName="LevelTwoTextNode" presStyleLbl="node2" presStyleIdx="2" presStyleCnt="3" custScaleX="226742" custScaleY="36130" custLinFactNeighborX="74" custLinFactNeighborY="97062">
        <dgm:presLayoutVars>
          <dgm:chPref val="3"/>
        </dgm:presLayoutVars>
      </dgm:prSet>
      <dgm:spPr/>
      <dgm:t>
        <a:bodyPr/>
        <a:lstStyle/>
        <a:p>
          <a:endParaRPr lang="en-US"/>
        </a:p>
      </dgm:t>
    </dgm:pt>
    <dgm:pt modelId="{46A0EF7D-9F6C-4327-B29D-2A0AA251FA51}" type="pres">
      <dgm:prSet presAssocID="{95633326-3A75-4C58-9178-739A7D00602D}" presName="level3hierChild" presStyleCnt="0"/>
      <dgm:spPr/>
    </dgm:pt>
  </dgm:ptLst>
  <dgm:cxnLst>
    <dgm:cxn modelId="{05D62A05-E12B-4936-BA5C-EE7CBA9F3FB5}" type="presOf" srcId="{DBA14793-A0E2-4F84-A54E-52306626EB7E}" destId="{A6845C08-10DB-4128-BED6-2360369E536C}" srcOrd="1" destOrd="0" presId="urn:microsoft.com/office/officeart/2005/8/layout/hierarchy2"/>
    <dgm:cxn modelId="{F537ED09-1CF8-4330-951B-D02E140F0090}" type="presOf" srcId="{57D2FF56-31D5-4A39-8F3C-69F40FA61F38}" destId="{71BE1873-584A-47EA-8752-B45C2673690F}" srcOrd="0" destOrd="0" presId="urn:microsoft.com/office/officeart/2005/8/layout/hierarchy2"/>
    <dgm:cxn modelId="{912957C2-577B-4A12-9072-9DB9AF43775A}" type="presOf" srcId="{DAFCF6B9-4150-443B-973C-D560A7C6F36B}" destId="{B7664830-C983-4BF9-B770-ECB1FE2F7FEE}" srcOrd="0" destOrd="0" presId="urn:microsoft.com/office/officeart/2005/8/layout/hierarchy2"/>
    <dgm:cxn modelId="{E6F31456-E03A-4524-8FC7-41CE64A31FDA}" type="presOf" srcId="{C72E6B0F-89C4-4DBB-AC6D-6F7FE1FA2688}" destId="{E9FC19F6-7D89-49F7-9C01-171C328586F7}" srcOrd="0" destOrd="0" presId="urn:microsoft.com/office/officeart/2005/8/layout/hierarchy2"/>
    <dgm:cxn modelId="{3D533827-2C5C-415C-BC03-CD8CEB034E61}" type="presOf" srcId="{4273DABA-7947-4FD3-843C-05A6A5DEA0AE}" destId="{F9BD9396-91B4-42A5-B051-E337B362082C}" srcOrd="1" destOrd="0" presId="urn:microsoft.com/office/officeart/2005/8/layout/hierarchy2"/>
    <dgm:cxn modelId="{DBFB5636-F368-4125-9836-7F249D59E8FE}" type="presOf" srcId="{FC449DE7-940E-4B15-9D0D-3690B9DC2113}" destId="{6A51C4D8-CF88-4AEE-88F3-6B1D3D047A96}" srcOrd="0" destOrd="0" presId="urn:microsoft.com/office/officeart/2005/8/layout/hierarchy2"/>
    <dgm:cxn modelId="{D00A4635-2D44-45A7-AA90-65B0275AA186}" type="presOf" srcId="{E3BBE736-8B50-463A-9421-9CA4729722B2}" destId="{480BD3CB-9978-4F5A-964B-A47EC8FA952F}" srcOrd="0" destOrd="0" presId="urn:microsoft.com/office/officeart/2005/8/layout/hierarchy2"/>
    <dgm:cxn modelId="{12BD3FFC-335A-42CB-BCF4-3EBFDEE318E4}" type="presOf" srcId="{5892A82F-5FDB-45DB-AB95-7ACD688AC385}" destId="{A801B199-D56A-4AFA-87FA-F788124A472D}" srcOrd="1" destOrd="0" presId="urn:microsoft.com/office/officeart/2005/8/layout/hierarchy2"/>
    <dgm:cxn modelId="{BC768F19-05CB-44D1-97C7-41D844F2720B}" type="presOf" srcId="{235CE879-5FF1-4B0C-A2D2-27A74F395F36}" destId="{F9F5AACA-47E2-4625-AEB1-10D5903D83E9}" srcOrd="0" destOrd="0" presId="urn:microsoft.com/office/officeart/2005/8/layout/hierarchy2"/>
    <dgm:cxn modelId="{73658A04-FDBD-49E8-B8D2-02DEC4E5C42E}" type="presOf" srcId="{DBA14793-A0E2-4F84-A54E-52306626EB7E}" destId="{8F023511-DF63-414A-93C1-8C6185A7C187}" srcOrd="0" destOrd="0" presId="urn:microsoft.com/office/officeart/2005/8/layout/hierarchy2"/>
    <dgm:cxn modelId="{AEC598FF-1424-4873-84C4-34FC1D1F48E3}" type="presOf" srcId="{5892A82F-5FDB-45DB-AB95-7ACD688AC385}" destId="{0AF5A171-1D49-49A7-8F2A-410BB99E0CA3}" srcOrd="0" destOrd="0" presId="urn:microsoft.com/office/officeart/2005/8/layout/hierarchy2"/>
    <dgm:cxn modelId="{F92AE0E7-90AB-43DB-B7F5-D8497FF7868F}" srcId="{D24884B4-3AB9-4238-98FB-389D1593D111}" destId="{C72E6B0F-89C4-4DBB-AC6D-6F7FE1FA2688}" srcOrd="1" destOrd="0" parTransId="{F2163437-CBEC-43EE-A1D5-465E34AD4BA0}" sibTransId="{5B846394-80D9-4B4F-8E7F-C385909ED031}"/>
    <dgm:cxn modelId="{BA4DFC81-703D-4B37-B44F-779C30093609}" type="presOf" srcId="{6830CC22-E767-47EB-B968-2A41D15675FB}" destId="{1D294B01-153E-4A30-85D2-4C897C4361FF}" srcOrd="0" destOrd="0" presId="urn:microsoft.com/office/officeart/2005/8/layout/hierarchy2"/>
    <dgm:cxn modelId="{5D02D075-1530-4A1F-942E-0643447203ED}" type="presOf" srcId="{5288F31F-5609-45C9-B92C-7C1D79AFB0E6}" destId="{2F92F48D-DAA4-4FE3-BF30-055C2A2437EC}" srcOrd="0" destOrd="0" presId="urn:microsoft.com/office/officeart/2005/8/layout/hierarchy2"/>
    <dgm:cxn modelId="{F062B705-3902-4D3A-B33B-6049963C59B4}" type="presOf" srcId="{E3BBE736-8B50-463A-9421-9CA4729722B2}" destId="{6F4A8076-F54F-4924-ABE6-92BC57175397}" srcOrd="1" destOrd="0" presId="urn:microsoft.com/office/officeart/2005/8/layout/hierarchy2"/>
    <dgm:cxn modelId="{2C01A619-90DF-4B69-A108-448DDCD7AF28}" type="presOf" srcId="{D3CCB7F2-E3F5-42B6-8ED6-BCF115D65F64}" destId="{411A2B83-7785-4A3A-AEFE-78E491B36026}" srcOrd="0" destOrd="0" presId="urn:microsoft.com/office/officeart/2005/8/layout/hierarchy2"/>
    <dgm:cxn modelId="{A3FC19F8-5557-4170-96D1-BB0A9E5E5433}" type="presOf" srcId="{E8E67B92-8627-4EBC-9392-FBD554E90BD6}" destId="{B8FDAB67-020A-43A1-A1D7-3579DBC17EAE}" srcOrd="0" destOrd="0" presId="urn:microsoft.com/office/officeart/2005/8/layout/hierarchy2"/>
    <dgm:cxn modelId="{520E577A-1318-47B7-A75C-2A35E4CFB4FB}" srcId="{373982F0-B34B-43BB-AA0F-FB0D75385030}" destId="{AD122375-FB4F-498A-84B0-DE8DD0FFFB86}" srcOrd="0" destOrd="0" parTransId="{902ECEBD-82F6-46AD-A328-5C65309EA56A}" sibTransId="{CCA81432-D1FD-40E1-8E76-CA15BDAC9D07}"/>
    <dgm:cxn modelId="{7AD02568-380C-49DD-A2A0-E862623790EB}" type="presOf" srcId="{859682C8-8870-4C1A-BA3A-92E84CAE0376}" destId="{5139CEBE-FF48-4EDF-8757-4CABEF35594C}" srcOrd="0" destOrd="0" presId="urn:microsoft.com/office/officeart/2005/8/layout/hierarchy2"/>
    <dgm:cxn modelId="{4732575F-0D40-4227-8D69-4B05AF667E6D}" type="presOf" srcId="{54AD9074-A2F9-45E3-A59B-CA587CCDDC42}" destId="{5D99BF72-9F04-4EF2-AE37-8A418F998B53}" srcOrd="0" destOrd="0" presId="urn:microsoft.com/office/officeart/2005/8/layout/hierarchy2"/>
    <dgm:cxn modelId="{52383FE1-1F9A-4E17-B776-0A4B33770104}" type="presOf" srcId="{1B63E233-E322-44F5-A90A-30B882240AEE}" destId="{D1A92AD0-442A-4CEB-9D9A-B744669FAEB7}" srcOrd="0" destOrd="0" presId="urn:microsoft.com/office/officeart/2005/8/layout/hierarchy2"/>
    <dgm:cxn modelId="{41412C69-4FA4-4EC7-8DA7-4F5F3272AF85}" type="presOf" srcId="{57D2FF56-31D5-4A39-8F3C-69F40FA61F38}" destId="{CAD63474-C020-41FF-95E4-C0F8D66223B4}" srcOrd="1" destOrd="0" presId="urn:microsoft.com/office/officeart/2005/8/layout/hierarchy2"/>
    <dgm:cxn modelId="{32803311-38A1-4645-AC25-047C9A0D162E}" type="presOf" srcId="{FC449DE7-940E-4B15-9D0D-3690B9DC2113}" destId="{5FED0D01-356E-4E9E-8563-6C62F6968642}" srcOrd="1" destOrd="0" presId="urn:microsoft.com/office/officeart/2005/8/layout/hierarchy2"/>
    <dgm:cxn modelId="{0C7DD9D6-D874-4814-8B6A-6A62A8E926B4}" srcId="{C72E6B0F-89C4-4DBB-AC6D-6F7FE1FA2688}" destId="{6426AE0F-C60D-4737-854E-F77255EB2A09}" srcOrd="0" destOrd="0" parTransId="{579E0172-7517-45C3-88AC-676433EAADD2}" sibTransId="{2436E5F4-81F1-4FB2-8A38-E037A66C1FDF}"/>
    <dgm:cxn modelId="{F34C45D1-7984-48F2-8A73-3C28ED29DBD4}" type="presOf" srcId="{AE68CEAF-2FCB-4609-BB4D-EDC5D15CD304}" destId="{99488A67-B7C0-4B79-9F62-81D5EA32F06D}" srcOrd="0" destOrd="0" presId="urn:microsoft.com/office/officeart/2005/8/layout/hierarchy2"/>
    <dgm:cxn modelId="{2A70909B-63FC-41D9-AE58-4CDE8348ED88}" srcId="{49877CF4-B9DC-44D5-9A5E-E9E8174937B1}" destId="{859682C8-8870-4C1A-BA3A-92E84CAE0376}" srcOrd="2" destOrd="0" parTransId="{5288F31F-5609-45C9-B92C-7C1D79AFB0E6}" sibTransId="{A934D764-5152-404B-B419-B2E58252D580}"/>
    <dgm:cxn modelId="{90B2AE59-1061-4E35-84AF-6F392A881C09}" srcId="{49877CF4-B9DC-44D5-9A5E-E9E8174937B1}" destId="{0F9824B9-5683-468C-8925-25614C2DDA30}" srcOrd="3" destOrd="0" parTransId="{E3BBE736-8B50-463A-9421-9CA4729722B2}" sibTransId="{34608718-682A-4C46-AACC-8D2188FB17FC}"/>
    <dgm:cxn modelId="{FF48ECD9-B8AD-433A-9FE8-30DD657C699F}" srcId="{859682C8-8870-4C1A-BA3A-92E84CAE0376}" destId="{AE68CEAF-2FCB-4609-BB4D-EDC5D15CD304}" srcOrd="1" destOrd="0" parTransId="{DBA14793-A0E2-4F84-A54E-52306626EB7E}" sibTransId="{724A6240-1BA3-48DD-9BFC-CCC896C3E579}"/>
    <dgm:cxn modelId="{FF9FAF24-E945-434F-B334-2CFAD31DCF64}" type="presOf" srcId="{373982F0-B34B-43BB-AA0F-FB0D75385030}" destId="{BBA70700-CBD0-4354-8821-3272EFF30146}" srcOrd="0" destOrd="0" presId="urn:microsoft.com/office/officeart/2005/8/layout/hierarchy2"/>
    <dgm:cxn modelId="{B44E950A-91F0-4C87-ACC6-F5C5D54B1E3E}" type="presOf" srcId="{05A824AC-7D7C-4C6D-A76D-5AF8E3A038D0}" destId="{797CA030-3CCC-47F1-A0E4-A640DADF3DC5}" srcOrd="0" destOrd="0" presId="urn:microsoft.com/office/officeart/2005/8/layout/hierarchy2"/>
    <dgm:cxn modelId="{EF59D782-F57D-4181-A548-45B99470B569}" srcId="{AE1EB861-DCF0-4EAB-B791-4D1AE04C395A}" destId="{7A038B94-8CB5-42E0-A891-A17A18974FDD}" srcOrd="0" destOrd="0" parTransId="{4273DABA-7947-4FD3-843C-05A6A5DEA0AE}" sibTransId="{E16C3DB9-CD14-4BBF-ADB9-09A40651A068}"/>
    <dgm:cxn modelId="{1721F8F8-2BD6-4776-8FA4-094D6EDC3C4C}" type="presOf" srcId="{AE1EB861-DCF0-4EAB-B791-4D1AE04C395A}" destId="{A180084A-BFBB-4811-82F5-19DC1E7D9245}" srcOrd="0" destOrd="0" presId="urn:microsoft.com/office/officeart/2005/8/layout/hierarchy2"/>
    <dgm:cxn modelId="{5C4FB325-EBC8-47A6-9FF8-4EA47B5ED581}" srcId="{D24884B4-3AB9-4238-98FB-389D1593D111}" destId="{1B63E233-E322-44F5-A90A-30B882240AEE}" srcOrd="0" destOrd="0" parTransId="{4C4C7F95-8BEB-4575-97D8-822D5181A84D}" sibTransId="{F60BD47E-0B1D-4B1A-B12E-ED6F0EFE1471}"/>
    <dgm:cxn modelId="{31D4CD56-9FE1-4E1D-8DB9-2F15A8927CD2}" type="presOf" srcId="{D53E0120-B0BB-4BCE-92C4-3D49B027B53A}" destId="{3579F97B-1DE3-4930-AD54-D9276C0AD97C}" srcOrd="1" destOrd="0" presId="urn:microsoft.com/office/officeart/2005/8/layout/hierarchy2"/>
    <dgm:cxn modelId="{04994E27-DEC3-42CE-A296-293552A14E3A}" type="presOf" srcId="{235CE879-5FF1-4B0C-A2D2-27A74F395F36}" destId="{2C35863F-0EAC-4CED-8464-7217E80CA11F}" srcOrd="1" destOrd="0" presId="urn:microsoft.com/office/officeart/2005/8/layout/hierarchy2"/>
    <dgm:cxn modelId="{81BA0AE9-A6B1-45A6-8CC4-B2C75499FD2E}" type="presOf" srcId="{F2163437-CBEC-43EE-A1D5-465E34AD4BA0}" destId="{769A291C-30EA-43AB-923C-35959945E063}" srcOrd="0" destOrd="0" presId="urn:microsoft.com/office/officeart/2005/8/layout/hierarchy2"/>
    <dgm:cxn modelId="{1F24F230-A440-4AEC-871F-74E96B25C96F}" type="presOf" srcId="{0F9824B9-5683-468C-8925-25614C2DDA30}" destId="{157CE936-79EA-422D-A245-859AED86D354}" srcOrd="0" destOrd="0" presId="urn:microsoft.com/office/officeart/2005/8/layout/hierarchy2"/>
    <dgm:cxn modelId="{A739332C-A3BB-469B-9D18-2D64FB358131}" type="presOf" srcId="{579E0172-7517-45C3-88AC-676433EAADD2}" destId="{B141FD00-70FC-45B4-B99C-9D9A9D68629A}" srcOrd="0" destOrd="0" presId="urn:microsoft.com/office/officeart/2005/8/layout/hierarchy2"/>
    <dgm:cxn modelId="{695F7B64-DD5B-48A6-AF58-E1D8FF065D5C}" srcId="{1B63E233-E322-44F5-A90A-30B882240AEE}" destId="{373982F0-B34B-43BB-AA0F-FB0D75385030}" srcOrd="2" destOrd="0" parTransId="{05A824AC-7D7C-4C6D-A76D-5AF8E3A038D0}" sibTransId="{8B3565C3-9C9F-4F00-BD84-D205AD82E339}"/>
    <dgm:cxn modelId="{E92FB312-FE10-423F-B36F-D6BBB1BB4C63}" type="presOf" srcId="{D53E0120-B0BB-4BCE-92C4-3D49B027B53A}" destId="{0B8C124B-9E59-4445-81A0-631A0F36C3A5}" srcOrd="0" destOrd="0" presId="urn:microsoft.com/office/officeart/2005/8/layout/hierarchy2"/>
    <dgm:cxn modelId="{A0AF3312-407B-4496-8059-5A3F13F0BD1F}" type="presOf" srcId="{49877CF4-B9DC-44D5-9A5E-E9E8174937B1}" destId="{FBB7458D-1DA7-4E40-BB5D-8D9258334A98}" srcOrd="0" destOrd="0" presId="urn:microsoft.com/office/officeart/2005/8/layout/hierarchy2"/>
    <dgm:cxn modelId="{224DB66B-38E2-43DF-8384-EBBE1AE772F1}" type="presOf" srcId="{95633326-3A75-4C58-9178-739A7D00602D}" destId="{D552D87A-4A08-4762-8BE2-3B26C0ACDB29}" srcOrd="0" destOrd="0" presId="urn:microsoft.com/office/officeart/2005/8/layout/hierarchy2"/>
    <dgm:cxn modelId="{F255CD46-11CB-4A99-ADE2-5020B7B733D2}" srcId="{BEF3A247-EEF3-43E6-AC6B-328986DF6677}" destId="{D24884B4-3AB9-4238-98FB-389D1593D111}" srcOrd="0" destOrd="0" parTransId="{235CE879-5FF1-4B0C-A2D2-27A74F395F36}" sibTransId="{68F694A4-6987-4CC8-B910-5AECFE1A1351}"/>
    <dgm:cxn modelId="{8DC5FE79-5847-44E3-86E0-0D4336C3C61C}" srcId="{BEF3A247-EEF3-43E6-AC6B-328986DF6677}" destId="{A40586A9-A6BC-454F-A173-D4B2DC4780A5}" srcOrd="1" destOrd="0" parTransId="{57D2FF56-31D5-4A39-8F3C-69F40FA61F38}" sibTransId="{C47E4EA7-8D05-43B9-9068-54800A69DE31}"/>
    <dgm:cxn modelId="{41729959-6384-49B0-9B71-E253D880FF40}" srcId="{BEF3A247-EEF3-43E6-AC6B-328986DF6677}" destId="{95633326-3A75-4C58-9178-739A7D00602D}" srcOrd="2" destOrd="0" parTransId="{DAFCF6B9-4150-443B-973C-D560A7C6F36B}" sibTransId="{DBF7FAE4-9ED1-46EC-8AE3-6B9AB67ECA5C}"/>
    <dgm:cxn modelId="{CDDF0675-DF4C-4718-9238-A83FBD5A1610}" srcId="{1B63E233-E322-44F5-A90A-30B882240AEE}" destId="{49877CF4-B9DC-44D5-9A5E-E9E8174937B1}" srcOrd="0" destOrd="0" parTransId="{D53E0120-B0BB-4BCE-92C4-3D49B027B53A}" sibTransId="{9F2343FF-C1F2-42F9-869B-36DEC2554AF4}"/>
    <dgm:cxn modelId="{3A78D8BE-7A9A-4EAD-B239-7F5E28D841DF}" type="presOf" srcId="{F2163437-CBEC-43EE-A1D5-465E34AD4BA0}" destId="{0BA27BB4-75D3-4163-B1FD-FA90D2556A8B}" srcOrd="1" destOrd="0" presId="urn:microsoft.com/office/officeart/2005/8/layout/hierarchy2"/>
    <dgm:cxn modelId="{B22FB37E-F6E6-4EA1-B672-51EC1DF803C6}" type="presOf" srcId="{579E0172-7517-45C3-88AC-676433EAADD2}" destId="{52EB5191-2B7D-4E16-8F82-07277F96319C}" srcOrd="1" destOrd="0" presId="urn:microsoft.com/office/officeart/2005/8/layout/hierarchy2"/>
    <dgm:cxn modelId="{230F1426-896E-40C4-B26A-E293FA0E5DAB}" srcId="{1B63E233-E322-44F5-A90A-30B882240AEE}" destId="{AE1EB861-DCF0-4EAB-B791-4D1AE04C395A}" srcOrd="1" destOrd="0" parTransId="{7D9E9FBA-2BF6-4A17-9AE0-52465332C908}" sibTransId="{3F13A173-08F4-4C77-B369-0088377C5DE0}"/>
    <dgm:cxn modelId="{86CCAD6C-4309-4B48-8732-A8418891B820}" type="presOf" srcId="{902ECEBD-82F6-46AD-A328-5C65309EA56A}" destId="{3C37BA1C-E8AB-469B-BC4E-5FE2E1C6C6C3}" srcOrd="1" destOrd="0" presId="urn:microsoft.com/office/officeart/2005/8/layout/hierarchy2"/>
    <dgm:cxn modelId="{99A680B6-3323-4B57-A605-21F4159A6B4B}" type="presOf" srcId="{902ECEBD-82F6-46AD-A328-5C65309EA56A}" destId="{BD36BB35-AA86-4014-B359-0B43DB3F5062}" srcOrd="0" destOrd="0" presId="urn:microsoft.com/office/officeart/2005/8/layout/hierarchy2"/>
    <dgm:cxn modelId="{F1893977-3FBF-400E-9E1F-79C32E16AC3E}" type="presOf" srcId="{AD122375-FB4F-498A-84B0-DE8DD0FFFB86}" destId="{42FC6DA5-000A-487D-999A-AC83818A6689}" srcOrd="0" destOrd="0" presId="urn:microsoft.com/office/officeart/2005/8/layout/hierarchy2"/>
    <dgm:cxn modelId="{8B83B5EA-3D4A-4F80-88A7-F18CC17958C7}" type="presOf" srcId="{6426AE0F-C60D-4737-854E-F77255EB2A09}" destId="{45A7AFDA-8EF3-40E3-A89E-7C09E8B02B84}" srcOrd="0" destOrd="0" presId="urn:microsoft.com/office/officeart/2005/8/layout/hierarchy2"/>
    <dgm:cxn modelId="{D487BFCD-736E-4252-9762-4B8A2AD4E3D1}" type="presOf" srcId="{54AD9074-A2F9-45E3-A59B-CA587CCDDC42}" destId="{4D576349-510B-4525-9F40-33FF152C0834}" srcOrd="1" destOrd="0" presId="urn:microsoft.com/office/officeart/2005/8/layout/hierarchy2"/>
    <dgm:cxn modelId="{77C015C9-7ADA-4A86-91C1-866A0C497CCA}" type="presOf" srcId="{4C4C7F95-8BEB-4575-97D8-822D5181A84D}" destId="{2EACA7F8-4F94-42F1-AD43-9AB21747BCFB}" srcOrd="1" destOrd="0" presId="urn:microsoft.com/office/officeart/2005/8/layout/hierarchy2"/>
    <dgm:cxn modelId="{A51CD395-EF1D-4B41-AB66-608815A4AFB6}" type="presOf" srcId="{D24884B4-3AB9-4238-98FB-389D1593D111}" destId="{C23BFF9E-ABD0-4C15-BEA7-D1251A778DF5}" srcOrd="0" destOrd="0" presId="urn:microsoft.com/office/officeart/2005/8/layout/hierarchy2"/>
    <dgm:cxn modelId="{209B7594-F671-4FF1-815E-2E6728FF51B3}" srcId="{859682C8-8870-4C1A-BA3A-92E84CAE0376}" destId="{6830CC22-E767-47EB-B968-2A41D15675FB}" srcOrd="0" destOrd="0" parTransId="{5892A82F-5FDB-45DB-AB95-7ACD688AC385}" sibTransId="{2DC08C52-C527-483E-AE70-2CC3B4CAB413}"/>
    <dgm:cxn modelId="{7F8B2DE0-A09E-44D2-AF66-0C3816AFFF83}" type="presOf" srcId="{4C4C7F95-8BEB-4575-97D8-822D5181A84D}" destId="{2A7E66EE-8E89-44C4-93FE-CC737850C632}" srcOrd="0" destOrd="0" presId="urn:microsoft.com/office/officeart/2005/8/layout/hierarchy2"/>
    <dgm:cxn modelId="{C5D3232F-AF43-4BC4-922E-3A4638EC3DB5}" type="presOf" srcId="{7A038B94-8CB5-42E0-A891-A17A18974FDD}" destId="{028E7A1C-6E98-4E3C-800C-EDE1EA7613DB}" srcOrd="0" destOrd="0" presId="urn:microsoft.com/office/officeart/2005/8/layout/hierarchy2"/>
    <dgm:cxn modelId="{D83AE3ED-B093-4170-B451-CA73B3A946A4}" type="presOf" srcId="{7D9E9FBA-2BF6-4A17-9AE0-52465332C908}" destId="{C8CD8398-8C78-433A-9B98-A77F6A190E1B}" srcOrd="0" destOrd="0" presId="urn:microsoft.com/office/officeart/2005/8/layout/hierarchy2"/>
    <dgm:cxn modelId="{86B8DD27-EF29-4CF2-8AE6-D991DA199714}" type="presOf" srcId="{BEF3A247-EEF3-43E6-AC6B-328986DF6677}" destId="{2B679A5D-2EED-4CDB-A654-385CE8E5183A}" srcOrd="0" destOrd="0" presId="urn:microsoft.com/office/officeart/2005/8/layout/hierarchy2"/>
    <dgm:cxn modelId="{A9F12308-32A0-4579-988E-223A33626964}" srcId="{9F78B2D1-59DE-4523-87DF-9686896CBC9C}" destId="{BEF3A247-EEF3-43E6-AC6B-328986DF6677}" srcOrd="0" destOrd="0" parTransId="{FA33ED5C-52D8-4DAE-8F53-6C0EB93B797F}" sibTransId="{66C0EBD6-1A4C-405E-9B6F-19531AE3B161}"/>
    <dgm:cxn modelId="{F5DC61BC-16FE-4A26-AE12-A78D25EC99A7}" type="presOf" srcId="{DAFCF6B9-4150-443B-973C-D560A7C6F36B}" destId="{5ACBC59E-0993-40BF-94A9-817A451A344E}" srcOrd="1" destOrd="0" presId="urn:microsoft.com/office/officeart/2005/8/layout/hierarchy2"/>
    <dgm:cxn modelId="{261C5A0F-C07A-447E-A725-5A3A86A8D498}" type="presOf" srcId="{4273DABA-7947-4FD3-843C-05A6A5DEA0AE}" destId="{70D265E2-2930-486F-A259-B3E1D9AA37D8}" srcOrd="0" destOrd="0" presId="urn:microsoft.com/office/officeart/2005/8/layout/hierarchy2"/>
    <dgm:cxn modelId="{D7C84536-3381-4020-8537-267DA4007F99}" srcId="{49877CF4-B9DC-44D5-9A5E-E9E8174937B1}" destId="{E8E67B92-8627-4EBC-9392-FBD554E90BD6}" srcOrd="0" destOrd="0" parTransId="{54AD9074-A2F9-45E3-A59B-CA587CCDDC42}" sibTransId="{3B0A8660-51A5-477F-A983-B5C14AA56436}"/>
    <dgm:cxn modelId="{0A1F099C-E0D3-4359-9916-A1697DCDB105}" srcId="{49877CF4-B9DC-44D5-9A5E-E9E8174937B1}" destId="{D3CCB7F2-E3F5-42B6-8ED6-BCF115D65F64}" srcOrd="1" destOrd="0" parTransId="{FC449DE7-940E-4B15-9D0D-3690B9DC2113}" sibTransId="{95107506-7B88-49FB-927C-4A9067E1C9DC}"/>
    <dgm:cxn modelId="{6457C59C-6429-4D99-BFB1-5E15850F3A68}" type="presOf" srcId="{7D9E9FBA-2BF6-4A17-9AE0-52465332C908}" destId="{2DD510BC-16E0-429B-8624-8B1ACD6CA0E7}" srcOrd="1" destOrd="0" presId="urn:microsoft.com/office/officeart/2005/8/layout/hierarchy2"/>
    <dgm:cxn modelId="{E691C830-F503-4E68-B46D-A7B145C9A434}" type="presOf" srcId="{9F78B2D1-59DE-4523-87DF-9686896CBC9C}" destId="{2E44E887-4AC4-4439-A6AB-4573E261CC2B}" srcOrd="0" destOrd="0" presId="urn:microsoft.com/office/officeart/2005/8/layout/hierarchy2"/>
    <dgm:cxn modelId="{6EAB3467-7B3A-410A-89FC-E6DCBC1BAF1C}" type="presOf" srcId="{A40586A9-A6BC-454F-A173-D4B2DC4780A5}" destId="{64A258EC-7C33-4FA1-A27F-318809B3ED84}" srcOrd="0" destOrd="0" presId="urn:microsoft.com/office/officeart/2005/8/layout/hierarchy2"/>
    <dgm:cxn modelId="{47740E8B-C8E4-4FF0-AD60-41E7A818C45A}" type="presOf" srcId="{5288F31F-5609-45C9-B92C-7C1D79AFB0E6}" destId="{D893428B-53A5-4A71-AEB9-2B18EE85FABB}" srcOrd="1" destOrd="0" presId="urn:microsoft.com/office/officeart/2005/8/layout/hierarchy2"/>
    <dgm:cxn modelId="{AB8FC9BE-3224-4E2E-8A96-78E727AE5D69}" type="presOf" srcId="{05A824AC-7D7C-4C6D-A76D-5AF8E3A038D0}" destId="{D4BABEF4-4D94-4ADD-AC01-060BEADFF912}" srcOrd="1" destOrd="0" presId="urn:microsoft.com/office/officeart/2005/8/layout/hierarchy2"/>
    <dgm:cxn modelId="{AF9DCCFA-087B-430A-814F-AC928D8FCCD7}" type="presParOf" srcId="{2E44E887-4AC4-4439-A6AB-4573E261CC2B}" destId="{62CA3667-BC49-423B-A0C9-8DDFB43E4A3F}" srcOrd="0" destOrd="0" presId="urn:microsoft.com/office/officeart/2005/8/layout/hierarchy2"/>
    <dgm:cxn modelId="{9CA89D64-A129-4A98-AD24-4949B7F27F84}" type="presParOf" srcId="{62CA3667-BC49-423B-A0C9-8DDFB43E4A3F}" destId="{2B679A5D-2EED-4CDB-A654-385CE8E5183A}" srcOrd="0" destOrd="0" presId="urn:microsoft.com/office/officeart/2005/8/layout/hierarchy2"/>
    <dgm:cxn modelId="{2BD292AD-6181-4440-8229-6BF65A9C8A5E}" type="presParOf" srcId="{62CA3667-BC49-423B-A0C9-8DDFB43E4A3F}" destId="{0F73C695-C4EE-414B-9D87-7B3039026F6F}" srcOrd="1" destOrd="0" presId="urn:microsoft.com/office/officeart/2005/8/layout/hierarchy2"/>
    <dgm:cxn modelId="{D40DEEEC-BBCB-4024-8676-62D0DBE15C67}" type="presParOf" srcId="{0F73C695-C4EE-414B-9D87-7B3039026F6F}" destId="{F9F5AACA-47E2-4625-AEB1-10D5903D83E9}" srcOrd="0" destOrd="0" presId="urn:microsoft.com/office/officeart/2005/8/layout/hierarchy2"/>
    <dgm:cxn modelId="{32FA10DC-8088-437A-A62B-C24F18549A6D}" type="presParOf" srcId="{F9F5AACA-47E2-4625-AEB1-10D5903D83E9}" destId="{2C35863F-0EAC-4CED-8464-7217E80CA11F}" srcOrd="0" destOrd="0" presId="urn:microsoft.com/office/officeart/2005/8/layout/hierarchy2"/>
    <dgm:cxn modelId="{381ADBF1-714D-43FB-ADEF-ECF997A237A4}" type="presParOf" srcId="{0F73C695-C4EE-414B-9D87-7B3039026F6F}" destId="{36148C93-6770-4739-AB57-A0FAFB84CA78}" srcOrd="1" destOrd="0" presId="urn:microsoft.com/office/officeart/2005/8/layout/hierarchy2"/>
    <dgm:cxn modelId="{70879CC7-DC87-47AA-BD3C-ECCF1FBBAD4A}" type="presParOf" srcId="{36148C93-6770-4739-AB57-A0FAFB84CA78}" destId="{C23BFF9E-ABD0-4C15-BEA7-D1251A778DF5}" srcOrd="0" destOrd="0" presId="urn:microsoft.com/office/officeart/2005/8/layout/hierarchy2"/>
    <dgm:cxn modelId="{A584259B-C63D-49E5-90D3-0A275D73992F}" type="presParOf" srcId="{36148C93-6770-4739-AB57-A0FAFB84CA78}" destId="{54BE4B4F-F998-401C-8292-03EF4B3949C0}" srcOrd="1" destOrd="0" presId="urn:microsoft.com/office/officeart/2005/8/layout/hierarchy2"/>
    <dgm:cxn modelId="{2FBE2383-1BED-4170-9054-A9897F360EEB}" type="presParOf" srcId="{54BE4B4F-F998-401C-8292-03EF4B3949C0}" destId="{2A7E66EE-8E89-44C4-93FE-CC737850C632}" srcOrd="0" destOrd="0" presId="urn:microsoft.com/office/officeart/2005/8/layout/hierarchy2"/>
    <dgm:cxn modelId="{63F12E27-69C9-4312-BC25-0D6B2E60FA54}" type="presParOf" srcId="{2A7E66EE-8E89-44C4-93FE-CC737850C632}" destId="{2EACA7F8-4F94-42F1-AD43-9AB21747BCFB}" srcOrd="0" destOrd="0" presId="urn:microsoft.com/office/officeart/2005/8/layout/hierarchy2"/>
    <dgm:cxn modelId="{8F85F8AB-95DF-4D70-A9A0-B990951B73AC}" type="presParOf" srcId="{54BE4B4F-F998-401C-8292-03EF4B3949C0}" destId="{1A7AC96A-60E3-4A6F-8BD9-AEA8FD81BD16}" srcOrd="1" destOrd="0" presId="urn:microsoft.com/office/officeart/2005/8/layout/hierarchy2"/>
    <dgm:cxn modelId="{0A72F378-5FD5-44A7-B408-2A2CEAB16ED4}" type="presParOf" srcId="{1A7AC96A-60E3-4A6F-8BD9-AEA8FD81BD16}" destId="{D1A92AD0-442A-4CEB-9D9A-B744669FAEB7}" srcOrd="0" destOrd="0" presId="urn:microsoft.com/office/officeart/2005/8/layout/hierarchy2"/>
    <dgm:cxn modelId="{836F147E-ED90-4FCB-B429-A422158CA709}" type="presParOf" srcId="{1A7AC96A-60E3-4A6F-8BD9-AEA8FD81BD16}" destId="{8E50D4E9-8157-42C1-A62A-D4AD95D84B55}" srcOrd="1" destOrd="0" presId="urn:microsoft.com/office/officeart/2005/8/layout/hierarchy2"/>
    <dgm:cxn modelId="{1C3F354B-2D9A-422D-8C09-9BDBC8C04173}" type="presParOf" srcId="{8E50D4E9-8157-42C1-A62A-D4AD95D84B55}" destId="{0B8C124B-9E59-4445-81A0-631A0F36C3A5}" srcOrd="0" destOrd="0" presId="urn:microsoft.com/office/officeart/2005/8/layout/hierarchy2"/>
    <dgm:cxn modelId="{10FB7E68-311F-48E4-A014-4201F43D4FE3}" type="presParOf" srcId="{0B8C124B-9E59-4445-81A0-631A0F36C3A5}" destId="{3579F97B-1DE3-4930-AD54-D9276C0AD97C}" srcOrd="0" destOrd="0" presId="urn:microsoft.com/office/officeart/2005/8/layout/hierarchy2"/>
    <dgm:cxn modelId="{FCCC9476-C17C-4B74-8E2C-AEFD8E64A14D}" type="presParOf" srcId="{8E50D4E9-8157-42C1-A62A-D4AD95D84B55}" destId="{459CD009-4A66-4CB7-AFE6-BBB7062D8ACF}" srcOrd="1" destOrd="0" presId="urn:microsoft.com/office/officeart/2005/8/layout/hierarchy2"/>
    <dgm:cxn modelId="{26B88CF6-D580-4CE0-93AF-3F463838DC4F}" type="presParOf" srcId="{459CD009-4A66-4CB7-AFE6-BBB7062D8ACF}" destId="{FBB7458D-1DA7-4E40-BB5D-8D9258334A98}" srcOrd="0" destOrd="0" presId="urn:microsoft.com/office/officeart/2005/8/layout/hierarchy2"/>
    <dgm:cxn modelId="{20487625-BF9A-4536-AE98-A78C628C2C2E}" type="presParOf" srcId="{459CD009-4A66-4CB7-AFE6-BBB7062D8ACF}" destId="{424C1F0A-8084-4DD9-B918-60A52821E830}" srcOrd="1" destOrd="0" presId="urn:microsoft.com/office/officeart/2005/8/layout/hierarchy2"/>
    <dgm:cxn modelId="{930AB7FD-1CE4-47D0-ABE6-FD41F50FE9EE}" type="presParOf" srcId="{424C1F0A-8084-4DD9-B918-60A52821E830}" destId="{5D99BF72-9F04-4EF2-AE37-8A418F998B53}" srcOrd="0" destOrd="0" presId="urn:microsoft.com/office/officeart/2005/8/layout/hierarchy2"/>
    <dgm:cxn modelId="{4FF4DAE6-7ADC-4E31-8D8F-A437155DEBB8}" type="presParOf" srcId="{5D99BF72-9F04-4EF2-AE37-8A418F998B53}" destId="{4D576349-510B-4525-9F40-33FF152C0834}" srcOrd="0" destOrd="0" presId="urn:microsoft.com/office/officeart/2005/8/layout/hierarchy2"/>
    <dgm:cxn modelId="{016E9FD4-EBC8-4FA7-A8FE-7B4F2CF4A260}" type="presParOf" srcId="{424C1F0A-8084-4DD9-B918-60A52821E830}" destId="{62F5AF76-CEF6-422C-93CB-6B5D75C7CCA1}" srcOrd="1" destOrd="0" presId="urn:microsoft.com/office/officeart/2005/8/layout/hierarchy2"/>
    <dgm:cxn modelId="{00662E35-519D-4968-BFF9-36ADA0A970FC}" type="presParOf" srcId="{62F5AF76-CEF6-422C-93CB-6B5D75C7CCA1}" destId="{B8FDAB67-020A-43A1-A1D7-3579DBC17EAE}" srcOrd="0" destOrd="0" presId="urn:microsoft.com/office/officeart/2005/8/layout/hierarchy2"/>
    <dgm:cxn modelId="{7E0B9ED6-2B92-41BA-B84C-67BE4CEC0A0F}" type="presParOf" srcId="{62F5AF76-CEF6-422C-93CB-6B5D75C7CCA1}" destId="{CC65426D-75B5-40A6-8E33-197C7EA8DA06}" srcOrd="1" destOrd="0" presId="urn:microsoft.com/office/officeart/2005/8/layout/hierarchy2"/>
    <dgm:cxn modelId="{FA242673-E0BD-48BB-BF9D-DAF9763AF4DC}" type="presParOf" srcId="{424C1F0A-8084-4DD9-B918-60A52821E830}" destId="{6A51C4D8-CF88-4AEE-88F3-6B1D3D047A96}" srcOrd="2" destOrd="0" presId="urn:microsoft.com/office/officeart/2005/8/layout/hierarchy2"/>
    <dgm:cxn modelId="{2C925982-7F48-454B-97E8-64CD7D3D2307}" type="presParOf" srcId="{6A51C4D8-CF88-4AEE-88F3-6B1D3D047A96}" destId="{5FED0D01-356E-4E9E-8563-6C62F6968642}" srcOrd="0" destOrd="0" presId="urn:microsoft.com/office/officeart/2005/8/layout/hierarchy2"/>
    <dgm:cxn modelId="{9FD35D85-795C-4A19-B0D8-C041EA1BDDE3}" type="presParOf" srcId="{424C1F0A-8084-4DD9-B918-60A52821E830}" destId="{77B2CB93-7F27-4311-B9F0-6CA6ED0FD8C1}" srcOrd="3" destOrd="0" presId="urn:microsoft.com/office/officeart/2005/8/layout/hierarchy2"/>
    <dgm:cxn modelId="{F12A2059-F869-41E1-A107-1481471A7374}" type="presParOf" srcId="{77B2CB93-7F27-4311-B9F0-6CA6ED0FD8C1}" destId="{411A2B83-7785-4A3A-AEFE-78E491B36026}" srcOrd="0" destOrd="0" presId="urn:microsoft.com/office/officeart/2005/8/layout/hierarchy2"/>
    <dgm:cxn modelId="{DF8EDD34-C397-48AC-8F04-0B00E7007321}" type="presParOf" srcId="{77B2CB93-7F27-4311-B9F0-6CA6ED0FD8C1}" destId="{27203CD2-043F-4B0A-BFC0-F99ECF85CCDA}" srcOrd="1" destOrd="0" presId="urn:microsoft.com/office/officeart/2005/8/layout/hierarchy2"/>
    <dgm:cxn modelId="{8033B045-6AC3-4F85-99FA-C8146EB04EEA}" type="presParOf" srcId="{424C1F0A-8084-4DD9-B918-60A52821E830}" destId="{2F92F48D-DAA4-4FE3-BF30-055C2A2437EC}" srcOrd="4" destOrd="0" presId="urn:microsoft.com/office/officeart/2005/8/layout/hierarchy2"/>
    <dgm:cxn modelId="{89B718E9-5247-4E2F-BD8F-6657B40DDB98}" type="presParOf" srcId="{2F92F48D-DAA4-4FE3-BF30-055C2A2437EC}" destId="{D893428B-53A5-4A71-AEB9-2B18EE85FABB}" srcOrd="0" destOrd="0" presId="urn:microsoft.com/office/officeart/2005/8/layout/hierarchy2"/>
    <dgm:cxn modelId="{579B0FEF-A657-41B8-951C-A919D4FD508C}" type="presParOf" srcId="{424C1F0A-8084-4DD9-B918-60A52821E830}" destId="{4F342598-D3DF-4662-9B0F-11EE8DB4F72C}" srcOrd="5" destOrd="0" presId="urn:microsoft.com/office/officeart/2005/8/layout/hierarchy2"/>
    <dgm:cxn modelId="{91995DC7-6CCC-4AD6-91DA-6B76C01046A8}" type="presParOf" srcId="{4F342598-D3DF-4662-9B0F-11EE8DB4F72C}" destId="{5139CEBE-FF48-4EDF-8757-4CABEF35594C}" srcOrd="0" destOrd="0" presId="urn:microsoft.com/office/officeart/2005/8/layout/hierarchy2"/>
    <dgm:cxn modelId="{4FC85BA0-9642-4F97-BC37-5E36E15483D9}" type="presParOf" srcId="{4F342598-D3DF-4662-9B0F-11EE8DB4F72C}" destId="{77D10CE6-693A-483D-9D75-0CC9198391C5}" srcOrd="1" destOrd="0" presId="urn:microsoft.com/office/officeart/2005/8/layout/hierarchy2"/>
    <dgm:cxn modelId="{0FE69904-733B-4221-A238-2F1C407DFB36}" type="presParOf" srcId="{77D10CE6-693A-483D-9D75-0CC9198391C5}" destId="{0AF5A171-1D49-49A7-8F2A-410BB99E0CA3}" srcOrd="0" destOrd="0" presId="urn:microsoft.com/office/officeart/2005/8/layout/hierarchy2"/>
    <dgm:cxn modelId="{9ADD04E5-53B1-473D-814B-EA09091D4AD0}" type="presParOf" srcId="{0AF5A171-1D49-49A7-8F2A-410BB99E0CA3}" destId="{A801B199-D56A-4AFA-87FA-F788124A472D}" srcOrd="0" destOrd="0" presId="urn:microsoft.com/office/officeart/2005/8/layout/hierarchy2"/>
    <dgm:cxn modelId="{B47CA8FD-1450-4A37-A4E4-0C7CD59EAED2}" type="presParOf" srcId="{77D10CE6-693A-483D-9D75-0CC9198391C5}" destId="{BC61DD3F-3CE8-4384-9C60-87B4A23D59BB}" srcOrd="1" destOrd="0" presId="urn:microsoft.com/office/officeart/2005/8/layout/hierarchy2"/>
    <dgm:cxn modelId="{BCA1C128-9EF1-40E0-8487-E1BC7B99092A}" type="presParOf" srcId="{BC61DD3F-3CE8-4384-9C60-87B4A23D59BB}" destId="{1D294B01-153E-4A30-85D2-4C897C4361FF}" srcOrd="0" destOrd="0" presId="urn:microsoft.com/office/officeart/2005/8/layout/hierarchy2"/>
    <dgm:cxn modelId="{6178C942-3FE7-40F6-8F22-E83B09411E95}" type="presParOf" srcId="{BC61DD3F-3CE8-4384-9C60-87B4A23D59BB}" destId="{EE4D43A8-B98F-4492-8812-3888E4252180}" srcOrd="1" destOrd="0" presId="urn:microsoft.com/office/officeart/2005/8/layout/hierarchy2"/>
    <dgm:cxn modelId="{C9FBEE6B-E400-4322-BE27-2239CD230B8C}" type="presParOf" srcId="{77D10CE6-693A-483D-9D75-0CC9198391C5}" destId="{8F023511-DF63-414A-93C1-8C6185A7C187}" srcOrd="2" destOrd="0" presId="urn:microsoft.com/office/officeart/2005/8/layout/hierarchy2"/>
    <dgm:cxn modelId="{FBB15536-6FA5-40D5-82CF-11E54B62C3BD}" type="presParOf" srcId="{8F023511-DF63-414A-93C1-8C6185A7C187}" destId="{A6845C08-10DB-4128-BED6-2360369E536C}" srcOrd="0" destOrd="0" presId="urn:microsoft.com/office/officeart/2005/8/layout/hierarchy2"/>
    <dgm:cxn modelId="{8E7827C8-89D9-4BA1-A713-93A0CC8F00C5}" type="presParOf" srcId="{77D10CE6-693A-483D-9D75-0CC9198391C5}" destId="{FF120630-A9C5-42A0-9031-126EA013726C}" srcOrd="3" destOrd="0" presId="urn:microsoft.com/office/officeart/2005/8/layout/hierarchy2"/>
    <dgm:cxn modelId="{6A867813-049E-40D5-820B-2FAAB3A18F81}" type="presParOf" srcId="{FF120630-A9C5-42A0-9031-126EA013726C}" destId="{99488A67-B7C0-4B79-9F62-81D5EA32F06D}" srcOrd="0" destOrd="0" presId="urn:microsoft.com/office/officeart/2005/8/layout/hierarchy2"/>
    <dgm:cxn modelId="{2A5CF342-7259-4064-BC37-765C73E1D515}" type="presParOf" srcId="{FF120630-A9C5-42A0-9031-126EA013726C}" destId="{4638C526-AE35-4A93-935A-388CC00078C0}" srcOrd="1" destOrd="0" presId="urn:microsoft.com/office/officeart/2005/8/layout/hierarchy2"/>
    <dgm:cxn modelId="{BF6EFC36-8B2E-4F4B-9B7B-55EEBC691254}" type="presParOf" srcId="{424C1F0A-8084-4DD9-B918-60A52821E830}" destId="{480BD3CB-9978-4F5A-964B-A47EC8FA952F}" srcOrd="6" destOrd="0" presId="urn:microsoft.com/office/officeart/2005/8/layout/hierarchy2"/>
    <dgm:cxn modelId="{B410B05F-F88B-40CC-AE9C-99014ACE1008}" type="presParOf" srcId="{480BD3CB-9978-4F5A-964B-A47EC8FA952F}" destId="{6F4A8076-F54F-4924-ABE6-92BC57175397}" srcOrd="0" destOrd="0" presId="urn:microsoft.com/office/officeart/2005/8/layout/hierarchy2"/>
    <dgm:cxn modelId="{D47C5C53-6E26-4CB7-9E43-DEB62503B718}" type="presParOf" srcId="{424C1F0A-8084-4DD9-B918-60A52821E830}" destId="{928FE803-5F72-4700-BDD0-ABC4205F211B}" srcOrd="7" destOrd="0" presId="urn:microsoft.com/office/officeart/2005/8/layout/hierarchy2"/>
    <dgm:cxn modelId="{CA40E2FC-DCB7-4173-BF10-77AF2E62A623}" type="presParOf" srcId="{928FE803-5F72-4700-BDD0-ABC4205F211B}" destId="{157CE936-79EA-422D-A245-859AED86D354}" srcOrd="0" destOrd="0" presId="urn:microsoft.com/office/officeart/2005/8/layout/hierarchy2"/>
    <dgm:cxn modelId="{1E87E704-AD65-4901-A1A4-CE1091C32AE9}" type="presParOf" srcId="{928FE803-5F72-4700-BDD0-ABC4205F211B}" destId="{BB47FDC7-5C82-4E1E-82D2-013E5A77A650}" srcOrd="1" destOrd="0" presId="urn:microsoft.com/office/officeart/2005/8/layout/hierarchy2"/>
    <dgm:cxn modelId="{E9484064-609F-4F23-92C8-95FB5E0422ED}" type="presParOf" srcId="{8E50D4E9-8157-42C1-A62A-D4AD95D84B55}" destId="{C8CD8398-8C78-433A-9B98-A77F6A190E1B}" srcOrd="2" destOrd="0" presId="urn:microsoft.com/office/officeart/2005/8/layout/hierarchy2"/>
    <dgm:cxn modelId="{7F78B1D2-2DB1-46C1-9281-557335742775}" type="presParOf" srcId="{C8CD8398-8C78-433A-9B98-A77F6A190E1B}" destId="{2DD510BC-16E0-429B-8624-8B1ACD6CA0E7}" srcOrd="0" destOrd="0" presId="urn:microsoft.com/office/officeart/2005/8/layout/hierarchy2"/>
    <dgm:cxn modelId="{6F4BA722-A59A-4428-9240-7C6B0EFC554D}" type="presParOf" srcId="{8E50D4E9-8157-42C1-A62A-D4AD95D84B55}" destId="{D84C1DE5-FE08-4336-9291-545CACEB87BD}" srcOrd="3" destOrd="0" presId="urn:microsoft.com/office/officeart/2005/8/layout/hierarchy2"/>
    <dgm:cxn modelId="{68FBB1E1-7544-48B6-9E2A-AF2D1FCC7564}" type="presParOf" srcId="{D84C1DE5-FE08-4336-9291-545CACEB87BD}" destId="{A180084A-BFBB-4811-82F5-19DC1E7D9245}" srcOrd="0" destOrd="0" presId="urn:microsoft.com/office/officeart/2005/8/layout/hierarchy2"/>
    <dgm:cxn modelId="{B1381F8C-1B66-4FD9-AB83-5EC2D9202428}" type="presParOf" srcId="{D84C1DE5-FE08-4336-9291-545CACEB87BD}" destId="{79494540-AE8B-4842-B20E-1691AFB8EEAC}" srcOrd="1" destOrd="0" presId="urn:microsoft.com/office/officeart/2005/8/layout/hierarchy2"/>
    <dgm:cxn modelId="{161B8F67-99F3-4665-B64E-9CE859EE2C16}" type="presParOf" srcId="{79494540-AE8B-4842-B20E-1691AFB8EEAC}" destId="{70D265E2-2930-486F-A259-B3E1D9AA37D8}" srcOrd="0" destOrd="0" presId="urn:microsoft.com/office/officeart/2005/8/layout/hierarchy2"/>
    <dgm:cxn modelId="{1EA68F95-3F81-41FE-B8DF-D917236E077E}" type="presParOf" srcId="{70D265E2-2930-486F-A259-B3E1D9AA37D8}" destId="{F9BD9396-91B4-42A5-B051-E337B362082C}" srcOrd="0" destOrd="0" presId="urn:microsoft.com/office/officeart/2005/8/layout/hierarchy2"/>
    <dgm:cxn modelId="{C68EC616-B79F-4CB5-A9DA-2D066FB619D5}" type="presParOf" srcId="{79494540-AE8B-4842-B20E-1691AFB8EEAC}" destId="{638D710A-D6E0-4A63-A72F-D51651C8C9BB}" srcOrd="1" destOrd="0" presId="urn:microsoft.com/office/officeart/2005/8/layout/hierarchy2"/>
    <dgm:cxn modelId="{F6AA0F3C-5FA4-42DC-80E5-27DFE25F8F76}" type="presParOf" srcId="{638D710A-D6E0-4A63-A72F-D51651C8C9BB}" destId="{028E7A1C-6E98-4E3C-800C-EDE1EA7613DB}" srcOrd="0" destOrd="0" presId="urn:microsoft.com/office/officeart/2005/8/layout/hierarchy2"/>
    <dgm:cxn modelId="{E4843262-D7CD-4358-A658-94F3C1870CC5}" type="presParOf" srcId="{638D710A-D6E0-4A63-A72F-D51651C8C9BB}" destId="{CF7D8154-EE53-4073-9E10-7B0C13BCD38B}" srcOrd="1" destOrd="0" presId="urn:microsoft.com/office/officeart/2005/8/layout/hierarchy2"/>
    <dgm:cxn modelId="{A1C7C630-B03D-4CE2-A821-BB55E7149EE6}" type="presParOf" srcId="{8E50D4E9-8157-42C1-A62A-D4AD95D84B55}" destId="{797CA030-3CCC-47F1-A0E4-A640DADF3DC5}" srcOrd="4" destOrd="0" presId="urn:microsoft.com/office/officeart/2005/8/layout/hierarchy2"/>
    <dgm:cxn modelId="{6AA53CF7-425B-4097-923B-7A168F43812A}" type="presParOf" srcId="{797CA030-3CCC-47F1-A0E4-A640DADF3DC5}" destId="{D4BABEF4-4D94-4ADD-AC01-060BEADFF912}" srcOrd="0" destOrd="0" presId="urn:microsoft.com/office/officeart/2005/8/layout/hierarchy2"/>
    <dgm:cxn modelId="{A6BE9828-BCEC-4E4E-BB03-6EF7D3A2D5C1}" type="presParOf" srcId="{8E50D4E9-8157-42C1-A62A-D4AD95D84B55}" destId="{52FBDC94-4BE1-4BCC-B01D-82052B4A3050}" srcOrd="5" destOrd="0" presId="urn:microsoft.com/office/officeart/2005/8/layout/hierarchy2"/>
    <dgm:cxn modelId="{BF59CBA4-1CBE-40F0-A8F5-1ADE75CE908E}" type="presParOf" srcId="{52FBDC94-4BE1-4BCC-B01D-82052B4A3050}" destId="{BBA70700-CBD0-4354-8821-3272EFF30146}" srcOrd="0" destOrd="0" presId="urn:microsoft.com/office/officeart/2005/8/layout/hierarchy2"/>
    <dgm:cxn modelId="{1241D4A1-BA3C-41F9-B226-D4AA6408EB38}" type="presParOf" srcId="{52FBDC94-4BE1-4BCC-B01D-82052B4A3050}" destId="{0F9C3829-7F7C-42E7-B7ED-8547D41983B5}" srcOrd="1" destOrd="0" presId="urn:microsoft.com/office/officeart/2005/8/layout/hierarchy2"/>
    <dgm:cxn modelId="{498E3B25-FFFE-4E3B-9567-449F5707436C}" type="presParOf" srcId="{0F9C3829-7F7C-42E7-B7ED-8547D41983B5}" destId="{BD36BB35-AA86-4014-B359-0B43DB3F5062}" srcOrd="0" destOrd="0" presId="urn:microsoft.com/office/officeart/2005/8/layout/hierarchy2"/>
    <dgm:cxn modelId="{96865DF1-6D95-454A-B0B1-48A02DAAAE7C}" type="presParOf" srcId="{BD36BB35-AA86-4014-B359-0B43DB3F5062}" destId="{3C37BA1C-E8AB-469B-BC4E-5FE2E1C6C6C3}" srcOrd="0" destOrd="0" presId="urn:microsoft.com/office/officeart/2005/8/layout/hierarchy2"/>
    <dgm:cxn modelId="{755BB061-2C9C-470B-BCBF-B255196E452E}" type="presParOf" srcId="{0F9C3829-7F7C-42E7-B7ED-8547D41983B5}" destId="{36F80146-A5F4-42DC-BCAB-636BC8085AE8}" srcOrd="1" destOrd="0" presId="urn:microsoft.com/office/officeart/2005/8/layout/hierarchy2"/>
    <dgm:cxn modelId="{23DC747B-2EB5-49F7-9447-FCFCB33EB1F4}" type="presParOf" srcId="{36F80146-A5F4-42DC-BCAB-636BC8085AE8}" destId="{42FC6DA5-000A-487D-999A-AC83818A6689}" srcOrd="0" destOrd="0" presId="urn:microsoft.com/office/officeart/2005/8/layout/hierarchy2"/>
    <dgm:cxn modelId="{FC6C856A-A9C6-4DE7-AD4A-27E636116018}" type="presParOf" srcId="{36F80146-A5F4-42DC-BCAB-636BC8085AE8}" destId="{724CAB4E-403A-41AB-90B7-CCE0F81499CE}" srcOrd="1" destOrd="0" presId="urn:microsoft.com/office/officeart/2005/8/layout/hierarchy2"/>
    <dgm:cxn modelId="{E6C98DBE-6E4E-48C5-9AE3-1903AD227DF6}" type="presParOf" srcId="{54BE4B4F-F998-401C-8292-03EF4B3949C0}" destId="{769A291C-30EA-43AB-923C-35959945E063}" srcOrd="2" destOrd="0" presId="urn:microsoft.com/office/officeart/2005/8/layout/hierarchy2"/>
    <dgm:cxn modelId="{91A89444-37D9-48FC-A7F1-1C017020C150}" type="presParOf" srcId="{769A291C-30EA-43AB-923C-35959945E063}" destId="{0BA27BB4-75D3-4163-B1FD-FA90D2556A8B}" srcOrd="0" destOrd="0" presId="urn:microsoft.com/office/officeart/2005/8/layout/hierarchy2"/>
    <dgm:cxn modelId="{A76758F4-D749-431F-82B5-AECFF1386ED2}" type="presParOf" srcId="{54BE4B4F-F998-401C-8292-03EF4B3949C0}" destId="{51C3050C-C9F3-4D38-AC82-3689B16941B2}" srcOrd="3" destOrd="0" presId="urn:microsoft.com/office/officeart/2005/8/layout/hierarchy2"/>
    <dgm:cxn modelId="{3F7AB227-D87C-46E9-9BC0-9F7EDA77C92B}" type="presParOf" srcId="{51C3050C-C9F3-4D38-AC82-3689B16941B2}" destId="{E9FC19F6-7D89-49F7-9C01-171C328586F7}" srcOrd="0" destOrd="0" presId="urn:microsoft.com/office/officeart/2005/8/layout/hierarchy2"/>
    <dgm:cxn modelId="{C84B2EFB-AB11-4C2F-B6F1-6E17E9894ED9}" type="presParOf" srcId="{51C3050C-C9F3-4D38-AC82-3689B16941B2}" destId="{AE8F33A1-22DC-4B1D-8813-B086A59DA9C9}" srcOrd="1" destOrd="0" presId="urn:microsoft.com/office/officeart/2005/8/layout/hierarchy2"/>
    <dgm:cxn modelId="{3CA00EB4-27D6-4800-A14F-BDE9FAC8458C}" type="presParOf" srcId="{AE8F33A1-22DC-4B1D-8813-B086A59DA9C9}" destId="{B141FD00-70FC-45B4-B99C-9D9A9D68629A}" srcOrd="0" destOrd="0" presId="urn:microsoft.com/office/officeart/2005/8/layout/hierarchy2"/>
    <dgm:cxn modelId="{1D7CE8F8-F6C4-4A2D-8ED2-4E9BF4E32F34}" type="presParOf" srcId="{B141FD00-70FC-45B4-B99C-9D9A9D68629A}" destId="{52EB5191-2B7D-4E16-8F82-07277F96319C}" srcOrd="0" destOrd="0" presId="urn:microsoft.com/office/officeart/2005/8/layout/hierarchy2"/>
    <dgm:cxn modelId="{9281A8D4-7C36-426D-B147-DA34A1E254B1}" type="presParOf" srcId="{AE8F33A1-22DC-4B1D-8813-B086A59DA9C9}" destId="{26F5903E-5FB3-4063-8C7B-6362A3589D7C}" srcOrd="1" destOrd="0" presId="urn:microsoft.com/office/officeart/2005/8/layout/hierarchy2"/>
    <dgm:cxn modelId="{7E204143-1664-40A9-BBEA-73732D86C4B9}" type="presParOf" srcId="{26F5903E-5FB3-4063-8C7B-6362A3589D7C}" destId="{45A7AFDA-8EF3-40E3-A89E-7C09E8B02B84}" srcOrd="0" destOrd="0" presId="urn:microsoft.com/office/officeart/2005/8/layout/hierarchy2"/>
    <dgm:cxn modelId="{A43957F3-32D7-43E9-BEC8-DAE68CFD89C6}" type="presParOf" srcId="{26F5903E-5FB3-4063-8C7B-6362A3589D7C}" destId="{522A3651-85F4-4256-99E8-79131A593D48}" srcOrd="1" destOrd="0" presId="urn:microsoft.com/office/officeart/2005/8/layout/hierarchy2"/>
    <dgm:cxn modelId="{745BAA30-A624-43FE-AEFA-66BA7A6FBD52}" type="presParOf" srcId="{0F73C695-C4EE-414B-9D87-7B3039026F6F}" destId="{71BE1873-584A-47EA-8752-B45C2673690F}" srcOrd="2" destOrd="0" presId="urn:microsoft.com/office/officeart/2005/8/layout/hierarchy2"/>
    <dgm:cxn modelId="{09CB15F5-BAE1-4C0C-9FAC-186CB72A37C9}" type="presParOf" srcId="{71BE1873-584A-47EA-8752-B45C2673690F}" destId="{CAD63474-C020-41FF-95E4-C0F8D66223B4}" srcOrd="0" destOrd="0" presId="urn:microsoft.com/office/officeart/2005/8/layout/hierarchy2"/>
    <dgm:cxn modelId="{C960ACF0-0D48-4E1C-9AF9-D6833E556CEB}" type="presParOf" srcId="{0F73C695-C4EE-414B-9D87-7B3039026F6F}" destId="{79ACC90E-E5CA-479D-8DBB-D62AF30E41A8}" srcOrd="3" destOrd="0" presId="urn:microsoft.com/office/officeart/2005/8/layout/hierarchy2"/>
    <dgm:cxn modelId="{7554E8F1-E93A-4F83-A65F-D072D2EE94F3}" type="presParOf" srcId="{79ACC90E-E5CA-479D-8DBB-D62AF30E41A8}" destId="{64A258EC-7C33-4FA1-A27F-318809B3ED84}" srcOrd="0" destOrd="0" presId="urn:microsoft.com/office/officeart/2005/8/layout/hierarchy2"/>
    <dgm:cxn modelId="{99CEDA88-10A1-4DBF-87D4-6F8334C19048}" type="presParOf" srcId="{79ACC90E-E5CA-479D-8DBB-D62AF30E41A8}" destId="{8FA39A65-B849-4781-8FC7-7058644EA953}" srcOrd="1" destOrd="0" presId="urn:microsoft.com/office/officeart/2005/8/layout/hierarchy2"/>
    <dgm:cxn modelId="{268B8428-753F-44E3-9E30-DF91D9A0CB3C}" type="presParOf" srcId="{0F73C695-C4EE-414B-9D87-7B3039026F6F}" destId="{B7664830-C983-4BF9-B770-ECB1FE2F7FEE}" srcOrd="4" destOrd="0" presId="urn:microsoft.com/office/officeart/2005/8/layout/hierarchy2"/>
    <dgm:cxn modelId="{83733615-6227-4AF6-A259-6347DF7B89C5}" type="presParOf" srcId="{B7664830-C983-4BF9-B770-ECB1FE2F7FEE}" destId="{5ACBC59E-0993-40BF-94A9-817A451A344E}" srcOrd="0" destOrd="0" presId="urn:microsoft.com/office/officeart/2005/8/layout/hierarchy2"/>
    <dgm:cxn modelId="{39D6381A-74CD-4869-8036-82752E0E890D}" type="presParOf" srcId="{0F73C695-C4EE-414B-9D87-7B3039026F6F}" destId="{03625D46-5394-4DE7-8BCD-39B54F177BAA}" srcOrd="5" destOrd="0" presId="urn:microsoft.com/office/officeart/2005/8/layout/hierarchy2"/>
    <dgm:cxn modelId="{2441A9C9-49C9-42D9-B823-3DA1FDCBE88B}" type="presParOf" srcId="{03625D46-5394-4DE7-8BCD-39B54F177BAA}" destId="{D552D87A-4A08-4762-8BE2-3B26C0ACDB29}" srcOrd="0" destOrd="0" presId="urn:microsoft.com/office/officeart/2005/8/layout/hierarchy2"/>
    <dgm:cxn modelId="{4E40AFD4-C0ED-44C4-BD21-273ECB338194}" type="presParOf" srcId="{03625D46-5394-4DE7-8BCD-39B54F177BAA}" destId="{46A0EF7D-9F6C-4327-B29D-2A0AA251FA51}"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505288-DCE9-467A-BC87-91B07312DBF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6E8E98C4-8BD4-46D4-A60D-B97DAA9C3A91}">
      <dgm:prSet phldrT="[Text]"/>
      <dgm:spPr>
        <a:solidFill>
          <a:schemeClr val="accent6">
            <a:lumMod val="75000"/>
          </a:schemeClr>
        </a:solidFill>
      </dgm:spPr>
      <dgm:t>
        <a:bodyPr/>
        <a:lstStyle/>
        <a:p>
          <a:r>
            <a:rPr lang="en-US" b="1"/>
            <a:t>Standard care</a:t>
          </a:r>
        </a:p>
      </dgm:t>
    </dgm:pt>
    <dgm:pt modelId="{F91DA90C-381B-40D2-A677-A1CE049593C4}" type="parTrans" cxnId="{7620F4FD-D1A5-437E-820A-FA4642A46471}">
      <dgm:prSet/>
      <dgm:spPr/>
      <dgm:t>
        <a:bodyPr/>
        <a:lstStyle/>
        <a:p>
          <a:endParaRPr lang="en-US"/>
        </a:p>
      </dgm:t>
    </dgm:pt>
    <dgm:pt modelId="{0FC3F1E2-202D-4DB5-B537-D43BB1F83B88}" type="sibTrans" cxnId="{7620F4FD-D1A5-437E-820A-FA4642A46471}">
      <dgm:prSet/>
      <dgm:spPr/>
      <dgm:t>
        <a:bodyPr/>
        <a:lstStyle/>
        <a:p>
          <a:endParaRPr lang="en-US"/>
        </a:p>
      </dgm:t>
    </dgm:pt>
    <dgm:pt modelId="{F4ACFFB1-D684-48AC-9D36-C348E7EB490B}">
      <dgm:prSet phldrT="[Text]"/>
      <dgm:spPr>
        <a:solidFill>
          <a:schemeClr val="accent6">
            <a:lumMod val="75000"/>
          </a:schemeClr>
        </a:solidFill>
      </dgm:spPr>
      <dgm:t>
        <a:bodyPr/>
        <a:lstStyle/>
        <a:p>
          <a:r>
            <a:rPr lang="en-US"/>
            <a:t>No response</a:t>
          </a:r>
        </a:p>
      </dgm:t>
    </dgm:pt>
    <dgm:pt modelId="{6108742F-11D7-4E74-BDE9-BA55A27EF45C}" type="parTrans" cxnId="{B21C0A06-54F0-4462-AFBD-608C327E3919}">
      <dgm:prSet/>
      <dgm:spPr/>
      <dgm:t>
        <a:bodyPr/>
        <a:lstStyle/>
        <a:p>
          <a:endParaRPr lang="en-US"/>
        </a:p>
      </dgm:t>
    </dgm:pt>
    <dgm:pt modelId="{956C2923-2F35-4E97-9574-28C726DDC9B7}" type="sibTrans" cxnId="{B21C0A06-54F0-4462-AFBD-608C327E3919}">
      <dgm:prSet/>
      <dgm:spPr/>
      <dgm:t>
        <a:bodyPr/>
        <a:lstStyle/>
        <a:p>
          <a:endParaRPr lang="en-US"/>
        </a:p>
      </dgm:t>
    </dgm:pt>
    <dgm:pt modelId="{EF6C87E5-71E6-4E41-AB4A-91CE745FA576}">
      <dgm:prSet phldrT="[Text]"/>
      <dgm:spPr>
        <a:solidFill>
          <a:schemeClr val="accent6">
            <a:lumMod val="75000"/>
          </a:schemeClr>
        </a:solidFill>
      </dgm:spPr>
      <dgm:t>
        <a:bodyPr/>
        <a:lstStyle/>
        <a:p>
          <a:r>
            <a:rPr lang="en-US"/>
            <a:t>Death</a:t>
          </a:r>
        </a:p>
      </dgm:t>
    </dgm:pt>
    <dgm:pt modelId="{9E493A0F-E513-4307-9E3D-0B20A3FE2031}" type="parTrans" cxnId="{A20F15E7-A1D1-4A7F-8CCA-9A09433BEE48}">
      <dgm:prSet/>
      <dgm:spPr/>
      <dgm:t>
        <a:bodyPr/>
        <a:lstStyle/>
        <a:p>
          <a:endParaRPr lang="en-US"/>
        </a:p>
      </dgm:t>
    </dgm:pt>
    <dgm:pt modelId="{E4971FFA-FA49-4862-8C2F-01FB5CB5CB50}" type="sibTrans" cxnId="{A20F15E7-A1D1-4A7F-8CCA-9A09433BEE48}">
      <dgm:prSet/>
      <dgm:spPr/>
      <dgm:t>
        <a:bodyPr/>
        <a:lstStyle/>
        <a:p>
          <a:endParaRPr lang="en-US"/>
        </a:p>
      </dgm:t>
    </dgm:pt>
    <dgm:pt modelId="{6F006347-A764-4449-AAED-2872D0FB9E3D}">
      <dgm:prSet phldrT="[Text]"/>
      <dgm:spPr>
        <a:solidFill>
          <a:schemeClr val="accent6">
            <a:lumMod val="75000"/>
          </a:schemeClr>
        </a:solidFill>
      </dgm:spPr>
      <dgm:t>
        <a:bodyPr/>
        <a:lstStyle/>
        <a:p>
          <a:r>
            <a:rPr lang="en-US"/>
            <a:t>Surgical remission</a:t>
          </a:r>
        </a:p>
      </dgm:t>
    </dgm:pt>
    <dgm:pt modelId="{0CB76A0A-DD4B-4A7F-949D-BE464DE68305}" type="parTrans" cxnId="{225023FC-3BA9-4F97-BF4E-3A398D1AA3FB}">
      <dgm:prSet/>
      <dgm:spPr/>
      <dgm:t>
        <a:bodyPr/>
        <a:lstStyle/>
        <a:p>
          <a:endParaRPr lang="en-US"/>
        </a:p>
      </dgm:t>
    </dgm:pt>
    <dgm:pt modelId="{3EE4B3C0-7711-4D25-99E8-C05255ADBB74}" type="sibTrans" cxnId="{225023FC-3BA9-4F97-BF4E-3A398D1AA3FB}">
      <dgm:prSet/>
      <dgm:spPr/>
      <dgm:t>
        <a:bodyPr/>
        <a:lstStyle/>
        <a:p>
          <a:endParaRPr lang="en-US"/>
        </a:p>
      </dgm:t>
    </dgm:pt>
    <dgm:pt modelId="{E5F177DB-CB94-4645-ABA7-E19F6F2AF2FD}">
      <dgm:prSet phldrT="[Text]"/>
      <dgm:spPr>
        <a:solidFill>
          <a:schemeClr val="accent6">
            <a:lumMod val="75000"/>
          </a:schemeClr>
        </a:solidFill>
      </dgm:spPr>
      <dgm:t>
        <a:bodyPr/>
        <a:lstStyle/>
        <a:p>
          <a:r>
            <a:rPr lang="en-US"/>
            <a:t>Death (flare)</a:t>
          </a:r>
        </a:p>
      </dgm:t>
    </dgm:pt>
    <dgm:pt modelId="{14742CF6-20AF-4CF8-A2A4-996E1DC4CA96}" type="parTrans" cxnId="{251787A1-D090-480A-92FD-1F06DE568C30}">
      <dgm:prSet/>
      <dgm:spPr/>
      <dgm:t>
        <a:bodyPr/>
        <a:lstStyle/>
        <a:p>
          <a:endParaRPr lang="en-US"/>
        </a:p>
      </dgm:t>
    </dgm:pt>
    <dgm:pt modelId="{551C86A0-FFA1-4BC8-B4C8-2940374E9F0C}" type="sibTrans" cxnId="{251787A1-D090-480A-92FD-1F06DE568C30}">
      <dgm:prSet/>
      <dgm:spPr/>
      <dgm:t>
        <a:bodyPr/>
        <a:lstStyle/>
        <a:p>
          <a:endParaRPr lang="en-US"/>
        </a:p>
      </dgm:t>
    </dgm:pt>
    <dgm:pt modelId="{92FB38B4-0BF2-4571-B90B-7D460483151E}">
      <dgm:prSet phldrT="[Text]"/>
      <dgm:spPr>
        <a:solidFill>
          <a:schemeClr val="accent6">
            <a:lumMod val="75000"/>
          </a:schemeClr>
        </a:solidFill>
      </dgm:spPr>
      <dgm:t>
        <a:bodyPr/>
        <a:lstStyle/>
        <a:p>
          <a:r>
            <a:rPr lang="en-US"/>
            <a:t>Surgery</a:t>
          </a:r>
        </a:p>
      </dgm:t>
    </dgm:pt>
    <dgm:pt modelId="{AF3EFDBD-3D4E-4AB1-AF00-06873BAF1581}" type="parTrans" cxnId="{7A948BC0-7EEE-4E5C-887F-31DAD5AC131E}">
      <dgm:prSet/>
      <dgm:spPr/>
      <dgm:t>
        <a:bodyPr/>
        <a:lstStyle/>
        <a:p>
          <a:endParaRPr lang="en-US"/>
        </a:p>
      </dgm:t>
    </dgm:pt>
    <dgm:pt modelId="{CAE25779-57B1-4571-87A7-694402E36DC1}" type="sibTrans" cxnId="{7A948BC0-7EEE-4E5C-887F-31DAD5AC131E}">
      <dgm:prSet/>
      <dgm:spPr/>
      <dgm:t>
        <a:bodyPr/>
        <a:lstStyle/>
        <a:p>
          <a:endParaRPr lang="en-US"/>
        </a:p>
      </dgm:t>
    </dgm:pt>
    <dgm:pt modelId="{890405F8-0AD4-4ED3-9EA5-A1060D2DE0BC}" type="pres">
      <dgm:prSet presAssocID="{A2505288-DCE9-467A-BC87-91B07312DBFA}" presName="diagram" presStyleCnt="0">
        <dgm:presLayoutVars>
          <dgm:chPref val="1"/>
          <dgm:dir/>
          <dgm:animOne val="branch"/>
          <dgm:animLvl val="lvl"/>
          <dgm:resizeHandles val="exact"/>
        </dgm:presLayoutVars>
      </dgm:prSet>
      <dgm:spPr/>
      <dgm:t>
        <a:bodyPr/>
        <a:lstStyle/>
        <a:p>
          <a:endParaRPr lang="en-GB"/>
        </a:p>
      </dgm:t>
    </dgm:pt>
    <dgm:pt modelId="{19A264FA-460F-4997-99CA-B17202D5465D}" type="pres">
      <dgm:prSet presAssocID="{6E8E98C4-8BD4-46D4-A60D-B97DAA9C3A91}" presName="root1" presStyleCnt="0"/>
      <dgm:spPr/>
    </dgm:pt>
    <dgm:pt modelId="{523F07D5-C3F7-4499-870A-5CC3AB46811D}" type="pres">
      <dgm:prSet presAssocID="{6E8E98C4-8BD4-46D4-A60D-B97DAA9C3A91}" presName="LevelOneTextNode" presStyleLbl="node0" presStyleIdx="0" presStyleCnt="1">
        <dgm:presLayoutVars>
          <dgm:chPref val="3"/>
        </dgm:presLayoutVars>
      </dgm:prSet>
      <dgm:spPr/>
      <dgm:t>
        <a:bodyPr/>
        <a:lstStyle/>
        <a:p>
          <a:endParaRPr lang="en-US"/>
        </a:p>
      </dgm:t>
    </dgm:pt>
    <dgm:pt modelId="{71FACC92-7601-4049-8213-2C53DCE8E4BE}" type="pres">
      <dgm:prSet presAssocID="{6E8E98C4-8BD4-46D4-A60D-B97DAA9C3A91}" presName="level2hierChild" presStyleCnt="0"/>
      <dgm:spPr/>
    </dgm:pt>
    <dgm:pt modelId="{8C660AB6-A4F4-4C68-A5AA-0D5B7E618E86}" type="pres">
      <dgm:prSet presAssocID="{6108742F-11D7-4E74-BDE9-BA55A27EF45C}" presName="conn2-1" presStyleLbl="parChTrans1D2" presStyleIdx="0" presStyleCnt="3"/>
      <dgm:spPr/>
      <dgm:t>
        <a:bodyPr/>
        <a:lstStyle/>
        <a:p>
          <a:endParaRPr lang="en-GB"/>
        </a:p>
      </dgm:t>
    </dgm:pt>
    <dgm:pt modelId="{799901F4-8B31-45E5-A596-2B85FAFF51FD}" type="pres">
      <dgm:prSet presAssocID="{6108742F-11D7-4E74-BDE9-BA55A27EF45C}" presName="connTx" presStyleLbl="parChTrans1D2" presStyleIdx="0" presStyleCnt="3"/>
      <dgm:spPr/>
      <dgm:t>
        <a:bodyPr/>
        <a:lstStyle/>
        <a:p>
          <a:endParaRPr lang="en-GB"/>
        </a:p>
      </dgm:t>
    </dgm:pt>
    <dgm:pt modelId="{9CDA3EFD-D426-4CF4-A93A-BAB1EB743951}" type="pres">
      <dgm:prSet presAssocID="{F4ACFFB1-D684-48AC-9D36-C348E7EB490B}" presName="root2" presStyleCnt="0"/>
      <dgm:spPr/>
    </dgm:pt>
    <dgm:pt modelId="{92BD4D46-A40A-4504-AFC3-E35A58B5FE47}" type="pres">
      <dgm:prSet presAssocID="{F4ACFFB1-D684-48AC-9D36-C348E7EB490B}" presName="LevelTwoTextNode" presStyleLbl="node2" presStyleIdx="0" presStyleCnt="3">
        <dgm:presLayoutVars>
          <dgm:chPref val="3"/>
        </dgm:presLayoutVars>
      </dgm:prSet>
      <dgm:spPr/>
      <dgm:t>
        <a:bodyPr/>
        <a:lstStyle/>
        <a:p>
          <a:endParaRPr lang="en-GB"/>
        </a:p>
      </dgm:t>
    </dgm:pt>
    <dgm:pt modelId="{42A581E2-8F7D-45E6-8998-17A1978B245D}" type="pres">
      <dgm:prSet presAssocID="{F4ACFFB1-D684-48AC-9D36-C348E7EB490B}" presName="level3hierChild" presStyleCnt="0"/>
      <dgm:spPr/>
    </dgm:pt>
    <dgm:pt modelId="{9311B577-CD3B-43CB-AE8B-60028FE1E1A3}" type="pres">
      <dgm:prSet presAssocID="{AF3EFDBD-3D4E-4AB1-AF00-06873BAF1581}" presName="conn2-1" presStyleLbl="parChTrans1D2" presStyleIdx="1" presStyleCnt="3"/>
      <dgm:spPr/>
      <dgm:t>
        <a:bodyPr/>
        <a:lstStyle/>
        <a:p>
          <a:endParaRPr lang="en-GB"/>
        </a:p>
      </dgm:t>
    </dgm:pt>
    <dgm:pt modelId="{58349C0C-DDED-4CC3-B512-0271694B1F8E}" type="pres">
      <dgm:prSet presAssocID="{AF3EFDBD-3D4E-4AB1-AF00-06873BAF1581}" presName="connTx" presStyleLbl="parChTrans1D2" presStyleIdx="1" presStyleCnt="3"/>
      <dgm:spPr/>
      <dgm:t>
        <a:bodyPr/>
        <a:lstStyle/>
        <a:p>
          <a:endParaRPr lang="en-GB"/>
        </a:p>
      </dgm:t>
    </dgm:pt>
    <dgm:pt modelId="{081A50ED-C583-41BF-B911-A3E937D2D0CC}" type="pres">
      <dgm:prSet presAssocID="{92FB38B4-0BF2-4571-B90B-7D460483151E}" presName="root2" presStyleCnt="0"/>
      <dgm:spPr/>
    </dgm:pt>
    <dgm:pt modelId="{C6EA309D-DF55-46E5-B1D5-68609BD98D75}" type="pres">
      <dgm:prSet presAssocID="{92FB38B4-0BF2-4571-B90B-7D460483151E}" presName="LevelTwoTextNode" presStyleLbl="node2" presStyleIdx="1" presStyleCnt="3">
        <dgm:presLayoutVars>
          <dgm:chPref val="3"/>
        </dgm:presLayoutVars>
      </dgm:prSet>
      <dgm:spPr/>
      <dgm:t>
        <a:bodyPr/>
        <a:lstStyle/>
        <a:p>
          <a:endParaRPr lang="en-GB"/>
        </a:p>
      </dgm:t>
    </dgm:pt>
    <dgm:pt modelId="{D9CAE602-0EE6-411F-B06C-1F7A7D375FE1}" type="pres">
      <dgm:prSet presAssocID="{92FB38B4-0BF2-4571-B90B-7D460483151E}" presName="level3hierChild" presStyleCnt="0"/>
      <dgm:spPr/>
    </dgm:pt>
    <dgm:pt modelId="{2BCF5056-E420-429F-AA40-01AF6045B081}" type="pres">
      <dgm:prSet presAssocID="{9E493A0F-E513-4307-9E3D-0B20A3FE2031}" presName="conn2-1" presStyleLbl="parChTrans1D3" presStyleIdx="0" presStyleCnt="2"/>
      <dgm:spPr/>
      <dgm:t>
        <a:bodyPr/>
        <a:lstStyle/>
        <a:p>
          <a:endParaRPr lang="en-GB"/>
        </a:p>
      </dgm:t>
    </dgm:pt>
    <dgm:pt modelId="{22F8DCFA-51B8-4F88-BCF0-58EC38D751D1}" type="pres">
      <dgm:prSet presAssocID="{9E493A0F-E513-4307-9E3D-0B20A3FE2031}" presName="connTx" presStyleLbl="parChTrans1D3" presStyleIdx="0" presStyleCnt="2"/>
      <dgm:spPr/>
      <dgm:t>
        <a:bodyPr/>
        <a:lstStyle/>
        <a:p>
          <a:endParaRPr lang="en-GB"/>
        </a:p>
      </dgm:t>
    </dgm:pt>
    <dgm:pt modelId="{9705A3F0-A2FE-4CF9-B328-AE75A71A47D3}" type="pres">
      <dgm:prSet presAssocID="{EF6C87E5-71E6-4E41-AB4A-91CE745FA576}" presName="root2" presStyleCnt="0"/>
      <dgm:spPr/>
    </dgm:pt>
    <dgm:pt modelId="{8EEAAC54-CAA1-400E-ABFB-7BDBC536ECB9}" type="pres">
      <dgm:prSet presAssocID="{EF6C87E5-71E6-4E41-AB4A-91CE745FA576}" presName="LevelTwoTextNode" presStyleLbl="node3" presStyleIdx="0" presStyleCnt="2">
        <dgm:presLayoutVars>
          <dgm:chPref val="3"/>
        </dgm:presLayoutVars>
      </dgm:prSet>
      <dgm:spPr/>
      <dgm:t>
        <a:bodyPr/>
        <a:lstStyle/>
        <a:p>
          <a:endParaRPr lang="en-GB"/>
        </a:p>
      </dgm:t>
    </dgm:pt>
    <dgm:pt modelId="{DF8FEB44-D26B-474B-8D68-9ABFF6D0824B}" type="pres">
      <dgm:prSet presAssocID="{EF6C87E5-71E6-4E41-AB4A-91CE745FA576}" presName="level3hierChild" presStyleCnt="0"/>
      <dgm:spPr/>
    </dgm:pt>
    <dgm:pt modelId="{62008D7C-9D2A-4592-BD25-26CE4357D2A5}" type="pres">
      <dgm:prSet presAssocID="{0CB76A0A-DD4B-4A7F-949D-BE464DE68305}" presName="conn2-1" presStyleLbl="parChTrans1D3" presStyleIdx="1" presStyleCnt="2"/>
      <dgm:spPr/>
      <dgm:t>
        <a:bodyPr/>
        <a:lstStyle/>
        <a:p>
          <a:endParaRPr lang="en-GB"/>
        </a:p>
      </dgm:t>
    </dgm:pt>
    <dgm:pt modelId="{26D15219-E6DA-42DD-B04C-D3815BC3056E}" type="pres">
      <dgm:prSet presAssocID="{0CB76A0A-DD4B-4A7F-949D-BE464DE68305}" presName="connTx" presStyleLbl="parChTrans1D3" presStyleIdx="1" presStyleCnt="2"/>
      <dgm:spPr/>
      <dgm:t>
        <a:bodyPr/>
        <a:lstStyle/>
        <a:p>
          <a:endParaRPr lang="en-GB"/>
        </a:p>
      </dgm:t>
    </dgm:pt>
    <dgm:pt modelId="{AD966C15-C6EF-4BA0-BFE8-EA191A221563}" type="pres">
      <dgm:prSet presAssocID="{6F006347-A764-4449-AAED-2872D0FB9E3D}" presName="root2" presStyleCnt="0"/>
      <dgm:spPr/>
    </dgm:pt>
    <dgm:pt modelId="{375A59E6-B986-4FAE-AE4C-DFF83AF2E764}" type="pres">
      <dgm:prSet presAssocID="{6F006347-A764-4449-AAED-2872D0FB9E3D}" presName="LevelTwoTextNode" presStyleLbl="node3" presStyleIdx="1" presStyleCnt="2">
        <dgm:presLayoutVars>
          <dgm:chPref val="3"/>
        </dgm:presLayoutVars>
      </dgm:prSet>
      <dgm:spPr/>
      <dgm:t>
        <a:bodyPr/>
        <a:lstStyle/>
        <a:p>
          <a:endParaRPr lang="en-GB"/>
        </a:p>
      </dgm:t>
    </dgm:pt>
    <dgm:pt modelId="{1764C980-FE8E-4FAA-8A7A-81953CB7CB47}" type="pres">
      <dgm:prSet presAssocID="{6F006347-A764-4449-AAED-2872D0FB9E3D}" presName="level3hierChild" presStyleCnt="0"/>
      <dgm:spPr/>
    </dgm:pt>
    <dgm:pt modelId="{119C1D12-A576-4E39-AB84-8691A75EB29D}" type="pres">
      <dgm:prSet presAssocID="{14742CF6-20AF-4CF8-A2A4-996E1DC4CA96}" presName="conn2-1" presStyleLbl="parChTrans1D2" presStyleIdx="2" presStyleCnt="3"/>
      <dgm:spPr/>
      <dgm:t>
        <a:bodyPr/>
        <a:lstStyle/>
        <a:p>
          <a:endParaRPr lang="en-GB"/>
        </a:p>
      </dgm:t>
    </dgm:pt>
    <dgm:pt modelId="{6B71FD71-5FF4-4C4F-BC56-7ED8D3EA3807}" type="pres">
      <dgm:prSet presAssocID="{14742CF6-20AF-4CF8-A2A4-996E1DC4CA96}" presName="connTx" presStyleLbl="parChTrans1D2" presStyleIdx="2" presStyleCnt="3"/>
      <dgm:spPr/>
      <dgm:t>
        <a:bodyPr/>
        <a:lstStyle/>
        <a:p>
          <a:endParaRPr lang="en-GB"/>
        </a:p>
      </dgm:t>
    </dgm:pt>
    <dgm:pt modelId="{671D6946-CB2E-47AD-BE32-D9CA5F39A531}" type="pres">
      <dgm:prSet presAssocID="{E5F177DB-CB94-4645-ABA7-E19F6F2AF2FD}" presName="root2" presStyleCnt="0"/>
      <dgm:spPr/>
    </dgm:pt>
    <dgm:pt modelId="{3D0AB346-0BBD-4952-BD9F-C2304982D6C4}" type="pres">
      <dgm:prSet presAssocID="{E5F177DB-CB94-4645-ABA7-E19F6F2AF2FD}" presName="LevelTwoTextNode" presStyleLbl="node2" presStyleIdx="2" presStyleCnt="3">
        <dgm:presLayoutVars>
          <dgm:chPref val="3"/>
        </dgm:presLayoutVars>
      </dgm:prSet>
      <dgm:spPr/>
      <dgm:t>
        <a:bodyPr/>
        <a:lstStyle/>
        <a:p>
          <a:endParaRPr lang="en-US"/>
        </a:p>
      </dgm:t>
    </dgm:pt>
    <dgm:pt modelId="{C4AB0E8B-3385-4004-B438-2F5EB03BDB31}" type="pres">
      <dgm:prSet presAssocID="{E5F177DB-CB94-4645-ABA7-E19F6F2AF2FD}" presName="level3hierChild" presStyleCnt="0"/>
      <dgm:spPr/>
    </dgm:pt>
  </dgm:ptLst>
  <dgm:cxnLst>
    <dgm:cxn modelId="{251787A1-D090-480A-92FD-1F06DE568C30}" srcId="{6E8E98C4-8BD4-46D4-A60D-B97DAA9C3A91}" destId="{E5F177DB-CB94-4645-ABA7-E19F6F2AF2FD}" srcOrd="2" destOrd="0" parTransId="{14742CF6-20AF-4CF8-A2A4-996E1DC4CA96}" sibTransId="{551C86A0-FFA1-4BC8-B4C8-2940374E9F0C}"/>
    <dgm:cxn modelId="{00D79716-A0E9-4D27-A2F8-6591D5A6EFAF}" type="presOf" srcId="{6108742F-11D7-4E74-BDE9-BA55A27EF45C}" destId="{8C660AB6-A4F4-4C68-A5AA-0D5B7E618E86}" srcOrd="0" destOrd="0" presId="urn:microsoft.com/office/officeart/2005/8/layout/hierarchy2"/>
    <dgm:cxn modelId="{20703A9E-1BAD-42FB-8F42-F10E69E7EA3D}" type="presOf" srcId="{6F006347-A764-4449-AAED-2872D0FB9E3D}" destId="{375A59E6-B986-4FAE-AE4C-DFF83AF2E764}" srcOrd="0" destOrd="0" presId="urn:microsoft.com/office/officeart/2005/8/layout/hierarchy2"/>
    <dgm:cxn modelId="{E21D06AC-A249-4B0B-84E7-386D3D19A142}" type="presOf" srcId="{14742CF6-20AF-4CF8-A2A4-996E1DC4CA96}" destId="{6B71FD71-5FF4-4C4F-BC56-7ED8D3EA3807}" srcOrd="1" destOrd="0" presId="urn:microsoft.com/office/officeart/2005/8/layout/hierarchy2"/>
    <dgm:cxn modelId="{3FC45BD7-24FE-40F0-BE1D-EFD6F91AC023}" type="presOf" srcId="{A2505288-DCE9-467A-BC87-91B07312DBFA}" destId="{890405F8-0AD4-4ED3-9EA5-A1060D2DE0BC}" srcOrd="0" destOrd="0" presId="urn:microsoft.com/office/officeart/2005/8/layout/hierarchy2"/>
    <dgm:cxn modelId="{DF06F652-659D-4A21-9AE3-CC01BD786238}" type="presOf" srcId="{9E493A0F-E513-4307-9E3D-0B20A3FE2031}" destId="{2BCF5056-E420-429F-AA40-01AF6045B081}" srcOrd="0" destOrd="0" presId="urn:microsoft.com/office/officeart/2005/8/layout/hierarchy2"/>
    <dgm:cxn modelId="{13D099AE-0AE0-4257-9913-4BB84DF6675C}" type="presOf" srcId="{0CB76A0A-DD4B-4A7F-949D-BE464DE68305}" destId="{62008D7C-9D2A-4592-BD25-26CE4357D2A5}" srcOrd="0" destOrd="0" presId="urn:microsoft.com/office/officeart/2005/8/layout/hierarchy2"/>
    <dgm:cxn modelId="{225023FC-3BA9-4F97-BF4E-3A398D1AA3FB}" srcId="{92FB38B4-0BF2-4571-B90B-7D460483151E}" destId="{6F006347-A764-4449-AAED-2872D0FB9E3D}" srcOrd="1" destOrd="0" parTransId="{0CB76A0A-DD4B-4A7F-949D-BE464DE68305}" sibTransId="{3EE4B3C0-7711-4D25-99E8-C05255ADBB74}"/>
    <dgm:cxn modelId="{7620F4FD-D1A5-437E-820A-FA4642A46471}" srcId="{A2505288-DCE9-467A-BC87-91B07312DBFA}" destId="{6E8E98C4-8BD4-46D4-A60D-B97DAA9C3A91}" srcOrd="0" destOrd="0" parTransId="{F91DA90C-381B-40D2-A677-A1CE049593C4}" sibTransId="{0FC3F1E2-202D-4DB5-B537-D43BB1F83B88}"/>
    <dgm:cxn modelId="{BE92B3D3-8908-4652-9B25-E4D19922CB89}" type="presOf" srcId="{92FB38B4-0BF2-4571-B90B-7D460483151E}" destId="{C6EA309D-DF55-46E5-B1D5-68609BD98D75}" srcOrd="0" destOrd="0" presId="urn:microsoft.com/office/officeart/2005/8/layout/hierarchy2"/>
    <dgm:cxn modelId="{60694B6D-79D8-4E80-A844-679654D80DC2}" type="presOf" srcId="{6108742F-11D7-4E74-BDE9-BA55A27EF45C}" destId="{799901F4-8B31-45E5-A596-2B85FAFF51FD}" srcOrd="1" destOrd="0" presId="urn:microsoft.com/office/officeart/2005/8/layout/hierarchy2"/>
    <dgm:cxn modelId="{A42CC14B-D7C5-4FBA-82B9-9B9FA0BC85ED}" type="presOf" srcId="{6E8E98C4-8BD4-46D4-A60D-B97DAA9C3A91}" destId="{523F07D5-C3F7-4499-870A-5CC3AB46811D}" srcOrd="0" destOrd="0" presId="urn:microsoft.com/office/officeart/2005/8/layout/hierarchy2"/>
    <dgm:cxn modelId="{223E3748-0321-4D79-A287-AB3595B343E4}" type="presOf" srcId="{EF6C87E5-71E6-4E41-AB4A-91CE745FA576}" destId="{8EEAAC54-CAA1-400E-ABFB-7BDBC536ECB9}" srcOrd="0" destOrd="0" presId="urn:microsoft.com/office/officeart/2005/8/layout/hierarchy2"/>
    <dgm:cxn modelId="{08C252D6-BB0A-45CA-AEF2-6D4C2D5975D4}" type="presOf" srcId="{E5F177DB-CB94-4645-ABA7-E19F6F2AF2FD}" destId="{3D0AB346-0BBD-4952-BD9F-C2304982D6C4}" srcOrd="0" destOrd="0" presId="urn:microsoft.com/office/officeart/2005/8/layout/hierarchy2"/>
    <dgm:cxn modelId="{7A948BC0-7EEE-4E5C-887F-31DAD5AC131E}" srcId="{6E8E98C4-8BD4-46D4-A60D-B97DAA9C3A91}" destId="{92FB38B4-0BF2-4571-B90B-7D460483151E}" srcOrd="1" destOrd="0" parTransId="{AF3EFDBD-3D4E-4AB1-AF00-06873BAF1581}" sibTransId="{CAE25779-57B1-4571-87A7-694402E36DC1}"/>
    <dgm:cxn modelId="{6F3B2FB9-FEBC-450E-950B-05415CF42D48}" type="presOf" srcId="{AF3EFDBD-3D4E-4AB1-AF00-06873BAF1581}" destId="{58349C0C-DDED-4CC3-B512-0271694B1F8E}" srcOrd="1" destOrd="0" presId="urn:microsoft.com/office/officeart/2005/8/layout/hierarchy2"/>
    <dgm:cxn modelId="{0E61689B-A270-41F3-9133-5DAA2801CB40}" type="presOf" srcId="{F4ACFFB1-D684-48AC-9D36-C348E7EB490B}" destId="{92BD4D46-A40A-4504-AFC3-E35A58B5FE47}" srcOrd="0" destOrd="0" presId="urn:microsoft.com/office/officeart/2005/8/layout/hierarchy2"/>
    <dgm:cxn modelId="{812740A1-280C-469A-959E-68B38752B478}" type="presOf" srcId="{0CB76A0A-DD4B-4A7F-949D-BE464DE68305}" destId="{26D15219-E6DA-42DD-B04C-D3815BC3056E}" srcOrd="1" destOrd="0" presId="urn:microsoft.com/office/officeart/2005/8/layout/hierarchy2"/>
    <dgm:cxn modelId="{A20F15E7-A1D1-4A7F-8CCA-9A09433BEE48}" srcId="{92FB38B4-0BF2-4571-B90B-7D460483151E}" destId="{EF6C87E5-71E6-4E41-AB4A-91CE745FA576}" srcOrd="0" destOrd="0" parTransId="{9E493A0F-E513-4307-9E3D-0B20A3FE2031}" sibTransId="{E4971FFA-FA49-4862-8C2F-01FB5CB5CB50}"/>
    <dgm:cxn modelId="{00D241CD-CED5-407F-8DD9-618648D9502E}" type="presOf" srcId="{9E493A0F-E513-4307-9E3D-0B20A3FE2031}" destId="{22F8DCFA-51B8-4F88-BCF0-58EC38D751D1}" srcOrd="1" destOrd="0" presId="urn:microsoft.com/office/officeart/2005/8/layout/hierarchy2"/>
    <dgm:cxn modelId="{1DC79317-8890-4092-A440-663C153CAF2D}" type="presOf" srcId="{AF3EFDBD-3D4E-4AB1-AF00-06873BAF1581}" destId="{9311B577-CD3B-43CB-AE8B-60028FE1E1A3}" srcOrd="0" destOrd="0" presId="urn:microsoft.com/office/officeart/2005/8/layout/hierarchy2"/>
    <dgm:cxn modelId="{B21C0A06-54F0-4462-AFBD-608C327E3919}" srcId="{6E8E98C4-8BD4-46D4-A60D-B97DAA9C3A91}" destId="{F4ACFFB1-D684-48AC-9D36-C348E7EB490B}" srcOrd="0" destOrd="0" parTransId="{6108742F-11D7-4E74-BDE9-BA55A27EF45C}" sibTransId="{956C2923-2F35-4E97-9574-28C726DDC9B7}"/>
    <dgm:cxn modelId="{10FD11CF-C53D-4ED7-9C32-453B6BAEBD63}" type="presOf" srcId="{14742CF6-20AF-4CF8-A2A4-996E1DC4CA96}" destId="{119C1D12-A576-4E39-AB84-8691A75EB29D}" srcOrd="0" destOrd="0" presId="urn:microsoft.com/office/officeart/2005/8/layout/hierarchy2"/>
    <dgm:cxn modelId="{D6BECAD8-34C5-4E0B-B07C-EF6B101F1BFC}" type="presParOf" srcId="{890405F8-0AD4-4ED3-9EA5-A1060D2DE0BC}" destId="{19A264FA-460F-4997-99CA-B17202D5465D}" srcOrd="0" destOrd="0" presId="urn:microsoft.com/office/officeart/2005/8/layout/hierarchy2"/>
    <dgm:cxn modelId="{F87CE888-233C-4BE1-BB7C-FC1AD75700D3}" type="presParOf" srcId="{19A264FA-460F-4997-99CA-B17202D5465D}" destId="{523F07D5-C3F7-4499-870A-5CC3AB46811D}" srcOrd="0" destOrd="0" presId="urn:microsoft.com/office/officeart/2005/8/layout/hierarchy2"/>
    <dgm:cxn modelId="{539B403F-2044-4232-BFB8-6FBFB80F0B51}" type="presParOf" srcId="{19A264FA-460F-4997-99CA-B17202D5465D}" destId="{71FACC92-7601-4049-8213-2C53DCE8E4BE}" srcOrd="1" destOrd="0" presId="urn:microsoft.com/office/officeart/2005/8/layout/hierarchy2"/>
    <dgm:cxn modelId="{7A07180A-C577-4C52-95F0-EC9218AAFAF8}" type="presParOf" srcId="{71FACC92-7601-4049-8213-2C53DCE8E4BE}" destId="{8C660AB6-A4F4-4C68-A5AA-0D5B7E618E86}" srcOrd="0" destOrd="0" presId="urn:microsoft.com/office/officeart/2005/8/layout/hierarchy2"/>
    <dgm:cxn modelId="{EE748F39-B048-4C8F-915C-B30730EC6484}" type="presParOf" srcId="{8C660AB6-A4F4-4C68-A5AA-0D5B7E618E86}" destId="{799901F4-8B31-45E5-A596-2B85FAFF51FD}" srcOrd="0" destOrd="0" presId="urn:microsoft.com/office/officeart/2005/8/layout/hierarchy2"/>
    <dgm:cxn modelId="{62D80962-2868-4863-A84D-B02C51FDF71B}" type="presParOf" srcId="{71FACC92-7601-4049-8213-2C53DCE8E4BE}" destId="{9CDA3EFD-D426-4CF4-A93A-BAB1EB743951}" srcOrd="1" destOrd="0" presId="urn:microsoft.com/office/officeart/2005/8/layout/hierarchy2"/>
    <dgm:cxn modelId="{48A8F6BF-60D4-403A-B81E-DC432CF146D7}" type="presParOf" srcId="{9CDA3EFD-D426-4CF4-A93A-BAB1EB743951}" destId="{92BD4D46-A40A-4504-AFC3-E35A58B5FE47}" srcOrd="0" destOrd="0" presId="urn:microsoft.com/office/officeart/2005/8/layout/hierarchy2"/>
    <dgm:cxn modelId="{DE70A290-3963-4367-88DE-6AA11C6B96F6}" type="presParOf" srcId="{9CDA3EFD-D426-4CF4-A93A-BAB1EB743951}" destId="{42A581E2-8F7D-45E6-8998-17A1978B245D}" srcOrd="1" destOrd="0" presId="urn:microsoft.com/office/officeart/2005/8/layout/hierarchy2"/>
    <dgm:cxn modelId="{5F204F07-7AC6-46FE-A12F-7C3C9C08CFE7}" type="presParOf" srcId="{71FACC92-7601-4049-8213-2C53DCE8E4BE}" destId="{9311B577-CD3B-43CB-AE8B-60028FE1E1A3}" srcOrd="2" destOrd="0" presId="urn:microsoft.com/office/officeart/2005/8/layout/hierarchy2"/>
    <dgm:cxn modelId="{AF8C6A6D-17C1-4799-981B-D7D6ADC8A4D8}" type="presParOf" srcId="{9311B577-CD3B-43CB-AE8B-60028FE1E1A3}" destId="{58349C0C-DDED-4CC3-B512-0271694B1F8E}" srcOrd="0" destOrd="0" presId="urn:microsoft.com/office/officeart/2005/8/layout/hierarchy2"/>
    <dgm:cxn modelId="{48D5A5DA-7195-4417-8BA7-080CF152079B}" type="presParOf" srcId="{71FACC92-7601-4049-8213-2C53DCE8E4BE}" destId="{081A50ED-C583-41BF-B911-A3E937D2D0CC}" srcOrd="3" destOrd="0" presId="urn:microsoft.com/office/officeart/2005/8/layout/hierarchy2"/>
    <dgm:cxn modelId="{89B56C74-121C-472B-8F14-B49421B0AA46}" type="presParOf" srcId="{081A50ED-C583-41BF-B911-A3E937D2D0CC}" destId="{C6EA309D-DF55-46E5-B1D5-68609BD98D75}" srcOrd="0" destOrd="0" presId="urn:microsoft.com/office/officeart/2005/8/layout/hierarchy2"/>
    <dgm:cxn modelId="{3E09C887-E802-4AC2-8D25-4417FE147819}" type="presParOf" srcId="{081A50ED-C583-41BF-B911-A3E937D2D0CC}" destId="{D9CAE602-0EE6-411F-B06C-1F7A7D375FE1}" srcOrd="1" destOrd="0" presId="urn:microsoft.com/office/officeart/2005/8/layout/hierarchy2"/>
    <dgm:cxn modelId="{402EB57F-3AC8-4708-B25C-6715844CB51C}" type="presParOf" srcId="{D9CAE602-0EE6-411F-B06C-1F7A7D375FE1}" destId="{2BCF5056-E420-429F-AA40-01AF6045B081}" srcOrd="0" destOrd="0" presId="urn:microsoft.com/office/officeart/2005/8/layout/hierarchy2"/>
    <dgm:cxn modelId="{A561999C-68A9-4120-B319-62F0E424A20E}" type="presParOf" srcId="{2BCF5056-E420-429F-AA40-01AF6045B081}" destId="{22F8DCFA-51B8-4F88-BCF0-58EC38D751D1}" srcOrd="0" destOrd="0" presId="urn:microsoft.com/office/officeart/2005/8/layout/hierarchy2"/>
    <dgm:cxn modelId="{8CAFB376-0325-47C4-9BED-666FE8685613}" type="presParOf" srcId="{D9CAE602-0EE6-411F-B06C-1F7A7D375FE1}" destId="{9705A3F0-A2FE-4CF9-B328-AE75A71A47D3}" srcOrd="1" destOrd="0" presId="urn:microsoft.com/office/officeart/2005/8/layout/hierarchy2"/>
    <dgm:cxn modelId="{9F80EE1A-739D-457A-BEA5-914A2D3A9506}" type="presParOf" srcId="{9705A3F0-A2FE-4CF9-B328-AE75A71A47D3}" destId="{8EEAAC54-CAA1-400E-ABFB-7BDBC536ECB9}" srcOrd="0" destOrd="0" presId="urn:microsoft.com/office/officeart/2005/8/layout/hierarchy2"/>
    <dgm:cxn modelId="{01C13311-1F84-408D-AF9D-EC865A96DE8F}" type="presParOf" srcId="{9705A3F0-A2FE-4CF9-B328-AE75A71A47D3}" destId="{DF8FEB44-D26B-474B-8D68-9ABFF6D0824B}" srcOrd="1" destOrd="0" presId="urn:microsoft.com/office/officeart/2005/8/layout/hierarchy2"/>
    <dgm:cxn modelId="{269B9D46-27F6-4AAA-8BBD-D06AA1346B7F}" type="presParOf" srcId="{D9CAE602-0EE6-411F-B06C-1F7A7D375FE1}" destId="{62008D7C-9D2A-4592-BD25-26CE4357D2A5}" srcOrd="2" destOrd="0" presId="urn:microsoft.com/office/officeart/2005/8/layout/hierarchy2"/>
    <dgm:cxn modelId="{A0F5B7C8-5A2F-4865-8EB2-BDD067A68EC2}" type="presParOf" srcId="{62008D7C-9D2A-4592-BD25-26CE4357D2A5}" destId="{26D15219-E6DA-42DD-B04C-D3815BC3056E}" srcOrd="0" destOrd="0" presId="urn:microsoft.com/office/officeart/2005/8/layout/hierarchy2"/>
    <dgm:cxn modelId="{A472F43F-AD3B-470A-BC98-2E6CF720146A}" type="presParOf" srcId="{D9CAE602-0EE6-411F-B06C-1F7A7D375FE1}" destId="{AD966C15-C6EF-4BA0-BFE8-EA191A221563}" srcOrd="3" destOrd="0" presId="urn:microsoft.com/office/officeart/2005/8/layout/hierarchy2"/>
    <dgm:cxn modelId="{2587590C-F244-42BC-A8B8-EEA58D8E8D75}" type="presParOf" srcId="{AD966C15-C6EF-4BA0-BFE8-EA191A221563}" destId="{375A59E6-B986-4FAE-AE4C-DFF83AF2E764}" srcOrd="0" destOrd="0" presId="urn:microsoft.com/office/officeart/2005/8/layout/hierarchy2"/>
    <dgm:cxn modelId="{F0D50B2C-2D21-41AE-9981-D2DE2AB5B5DE}" type="presParOf" srcId="{AD966C15-C6EF-4BA0-BFE8-EA191A221563}" destId="{1764C980-FE8E-4FAA-8A7A-81953CB7CB47}" srcOrd="1" destOrd="0" presId="urn:microsoft.com/office/officeart/2005/8/layout/hierarchy2"/>
    <dgm:cxn modelId="{F522A4B2-56F0-4F15-8601-1B9420EC0479}" type="presParOf" srcId="{71FACC92-7601-4049-8213-2C53DCE8E4BE}" destId="{119C1D12-A576-4E39-AB84-8691A75EB29D}" srcOrd="4" destOrd="0" presId="urn:microsoft.com/office/officeart/2005/8/layout/hierarchy2"/>
    <dgm:cxn modelId="{B4723D35-367F-445C-9B86-110E97EB87A9}" type="presParOf" srcId="{119C1D12-A576-4E39-AB84-8691A75EB29D}" destId="{6B71FD71-5FF4-4C4F-BC56-7ED8D3EA3807}" srcOrd="0" destOrd="0" presId="urn:microsoft.com/office/officeart/2005/8/layout/hierarchy2"/>
    <dgm:cxn modelId="{53A89B0D-716D-475C-9567-DAD6891D3CC5}" type="presParOf" srcId="{71FACC92-7601-4049-8213-2C53DCE8E4BE}" destId="{671D6946-CB2E-47AD-BE32-D9CA5F39A531}" srcOrd="5" destOrd="0" presId="urn:microsoft.com/office/officeart/2005/8/layout/hierarchy2"/>
    <dgm:cxn modelId="{54EF49AB-5D66-4721-8A10-F9FA4F28A698}" type="presParOf" srcId="{671D6946-CB2E-47AD-BE32-D9CA5F39A531}" destId="{3D0AB346-0BBD-4952-BD9F-C2304982D6C4}" srcOrd="0" destOrd="0" presId="urn:microsoft.com/office/officeart/2005/8/layout/hierarchy2"/>
    <dgm:cxn modelId="{C52505D7-7F46-4E65-8F06-CCC25E0CC6E1}" type="presParOf" srcId="{671D6946-CB2E-47AD-BE32-D9CA5F39A531}" destId="{C4AB0E8B-3385-4004-B438-2F5EB03BDB31}" srcOrd="1" destOrd="0" presId="urn:microsoft.com/office/officeart/2005/8/layout/hierarchy2"/>
  </dgm:cxnLst>
  <dgm:bg>
    <a:noFill/>
  </dgm:bg>
  <dgm:whole>
    <a:ln cmpd="sng">
      <a:solidFill>
        <a:schemeClr val="tx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679A5D-2EED-4CDB-A654-385CE8E5183A}">
      <dsp:nvSpPr>
        <dsp:cNvPr id="0" name=""/>
        <dsp:cNvSpPr/>
      </dsp:nvSpPr>
      <dsp:spPr>
        <a:xfrm>
          <a:off x="5533" y="2929067"/>
          <a:ext cx="1231620" cy="6280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Hypothetical cohort</a:t>
          </a:r>
        </a:p>
      </dsp:txBody>
      <dsp:txXfrm>
        <a:off x="23929" y="2947463"/>
        <a:ext cx="1194828" cy="591289"/>
      </dsp:txXfrm>
    </dsp:sp>
    <dsp:sp modelId="{F9F5AACA-47E2-4625-AEB1-10D5903D83E9}">
      <dsp:nvSpPr>
        <dsp:cNvPr id="0" name=""/>
        <dsp:cNvSpPr/>
      </dsp:nvSpPr>
      <dsp:spPr>
        <a:xfrm rot="18628707">
          <a:off x="1135551" y="3013978"/>
          <a:ext cx="579197" cy="17692"/>
        </a:xfrm>
        <a:custGeom>
          <a:avLst/>
          <a:gdLst/>
          <a:ahLst/>
          <a:cxnLst/>
          <a:rect l="0" t="0" r="0" b="0"/>
          <a:pathLst>
            <a:path>
              <a:moveTo>
                <a:pt x="0" y="8846"/>
              </a:moveTo>
              <a:lnTo>
                <a:pt x="579197" y="88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1410670" y="3008344"/>
        <a:ext cx="28959" cy="28959"/>
      </dsp:txXfrm>
    </dsp:sp>
    <dsp:sp modelId="{C23BFF9E-ABD0-4C15-BEA7-D1251A778DF5}">
      <dsp:nvSpPr>
        <dsp:cNvPr id="0" name=""/>
        <dsp:cNvSpPr/>
      </dsp:nvSpPr>
      <dsp:spPr>
        <a:xfrm>
          <a:off x="1613146" y="2533316"/>
          <a:ext cx="939981" cy="538449"/>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Initial response (12 weeks)</a:t>
          </a:r>
        </a:p>
      </dsp:txBody>
      <dsp:txXfrm>
        <a:off x="1628917" y="2549087"/>
        <a:ext cx="908439" cy="506907"/>
      </dsp:txXfrm>
    </dsp:sp>
    <dsp:sp modelId="{2A7E66EE-8E89-44C4-93FE-CC737850C632}">
      <dsp:nvSpPr>
        <dsp:cNvPr id="0" name=""/>
        <dsp:cNvSpPr/>
      </dsp:nvSpPr>
      <dsp:spPr>
        <a:xfrm rot="17606797">
          <a:off x="2268647" y="2360229"/>
          <a:ext cx="944955" cy="17692"/>
        </a:xfrm>
        <a:custGeom>
          <a:avLst/>
          <a:gdLst/>
          <a:ahLst/>
          <a:cxnLst/>
          <a:rect l="0" t="0" r="0" b="0"/>
          <a:pathLst>
            <a:path>
              <a:moveTo>
                <a:pt x="0" y="8846"/>
              </a:moveTo>
              <a:lnTo>
                <a:pt x="944955" y="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2717501" y="2345451"/>
        <a:ext cx="47247" cy="47247"/>
      </dsp:txXfrm>
    </dsp:sp>
    <dsp:sp modelId="{D1A92AD0-442A-4CEB-9D9A-B744669FAEB7}">
      <dsp:nvSpPr>
        <dsp:cNvPr id="0" name=""/>
        <dsp:cNvSpPr/>
      </dsp:nvSpPr>
      <dsp:spPr>
        <a:xfrm>
          <a:off x="2929121" y="1832068"/>
          <a:ext cx="1169553" cy="207082"/>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ATI positive</a:t>
          </a:r>
        </a:p>
      </dsp:txBody>
      <dsp:txXfrm>
        <a:off x="2935186" y="1838133"/>
        <a:ext cx="1157423" cy="194952"/>
      </dsp:txXfrm>
    </dsp:sp>
    <dsp:sp modelId="{0B8C124B-9E59-4445-81A0-631A0F36C3A5}">
      <dsp:nvSpPr>
        <dsp:cNvPr id="0" name=""/>
        <dsp:cNvSpPr/>
      </dsp:nvSpPr>
      <dsp:spPr>
        <a:xfrm rot="18891753">
          <a:off x="4020164" y="1737863"/>
          <a:ext cx="533014" cy="17692"/>
        </a:xfrm>
        <a:custGeom>
          <a:avLst/>
          <a:gdLst/>
          <a:ahLst/>
          <a:cxnLst/>
          <a:rect l="0" t="0" r="0" b="0"/>
          <a:pathLst>
            <a:path>
              <a:moveTo>
                <a:pt x="0" y="8846"/>
              </a:moveTo>
              <a:lnTo>
                <a:pt x="533014" y="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4273346" y="1733384"/>
        <a:ext cx="26650" cy="26650"/>
      </dsp:txXfrm>
    </dsp:sp>
    <dsp:sp modelId="{FBB7458D-1DA7-4E40-BB5D-8D9258334A98}">
      <dsp:nvSpPr>
        <dsp:cNvPr id="0" name=""/>
        <dsp:cNvSpPr/>
      </dsp:nvSpPr>
      <dsp:spPr>
        <a:xfrm>
          <a:off x="4474667" y="1378436"/>
          <a:ext cx="1062499" cy="3587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Remission (12 months)</a:t>
          </a:r>
        </a:p>
      </dsp:txBody>
      <dsp:txXfrm>
        <a:off x="4485174" y="1388943"/>
        <a:ext cx="1041485" cy="337730"/>
      </dsp:txXfrm>
    </dsp:sp>
    <dsp:sp modelId="{5D99BF72-9F04-4EF2-AE37-8A418F998B53}">
      <dsp:nvSpPr>
        <dsp:cNvPr id="0" name=""/>
        <dsp:cNvSpPr/>
      </dsp:nvSpPr>
      <dsp:spPr>
        <a:xfrm rot="17617403">
          <a:off x="5245322" y="1102779"/>
          <a:ext cx="973987" cy="17692"/>
        </a:xfrm>
        <a:custGeom>
          <a:avLst/>
          <a:gdLst/>
          <a:ahLst/>
          <a:cxnLst/>
          <a:rect l="0" t="0" r="0" b="0"/>
          <a:pathLst>
            <a:path>
              <a:moveTo>
                <a:pt x="0" y="8846"/>
              </a:moveTo>
              <a:lnTo>
                <a:pt x="973987" y="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5707966" y="1087275"/>
        <a:ext cx="48699" cy="48699"/>
      </dsp:txXfrm>
    </dsp:sp>
    <dsp:sp modelId="{B8FDAB67-020A-43A1-A1D7-3579DBC17EAE}">
      <dsp:nvSpPr>
        <dsp:cNvPr id="0" name=""/>
        <dsp:cNvSpPr/>
      </dsp:nvSpPr>
      <dsp:spPr>
        <a:xfrm>
          <a:off x="5927466" y="568882"/>
          <a:ext cx="1542566" cy="1931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No adverse event</a:t>
          </a:r>
        </a:p>
      </dsp:txBody>
      <dsp:txXfrm>
        <a:off x="5933122" y="574538"/>
        <a:ext cx="1531254" cy="181807"/>
      </dsp:txXfrm>
    </dsp:sp>
    <dsp:sp modelId="{6A51C4D8-CF88-4AEE-88F3-6B1D3D047A96}">
      <dsp:nvSpPr>
        <dsp:cNvPr id="0" name=""/>
        <dsp:cNvSpPr/>
      </dsp:nvSpPr>
      <dsp:spPr>
        <a:xfrm rot="18332891">
          <a:off x="5393145" y="1269038"/>
          <a:ext cx="688089" cy="17692"/>
        </a:xfrm>
        <a:custGeom>
          <a:avLst/>
          <a:gdLst/>
          <a:ahLst/>
          <a:cxnLst/>
          <a:rect l="0" t="0" r="0" b="0"/>
          <a:pathLst>
            <a:path>
              <a:moveTo>
                <a:pt x="0" y="8846"/>
              </a:moveTo>
              <a:lnTo>
                <a:pt x="688089" y="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5719988" y="1260682"/>
        <a:ext cx="34404" cy="34404"/>
      </dsp:txXfrm>
    </dsp:sp>
    <dsp:sp modelId="{411A2B83-7785-4A3A-AEFE-78E491B36026}">
      <dsp:nvSpPr>
        <dsp:cNvPr id="0" name=""/>
        <dsp:cNvSpPr/>
      </dsp:nvSpPr>
      <dsp:spPr>
        <a:xfrm>
          <a:off x="5937213" y="818254"/>
          <a:ext cx="1525073" cy="3594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Acute infusion reaction (continue IFX)</a:t>
          </a:r>
        </a:p>
      </dsp:txBody>
      <dsp:txXfrm>
        <a:off x="5947740" y="828781"/>
        <a:ext cx="1504019" cy="338357"/>
      </dsp:txXfrm>
    </dsp:sp>
    <dsp:sp modelId="{2F92F48D-DAA4-4FE3-BF30-055C2A2437EC}">
      <dsp:nvSpPr>
        <dsp:cNvPr id="0" name=""/>
        <dsp:cNvSpPr/>
      </dsp:nvSpPr>
      <dsp:spPr>
        <a:xfrm rot="20373191">
          <a:off x="5523533" y="1473366"/>
          <a:ext cx="432794" cy="17692"/>
        </a:xfrm>
        <a:custGeom>
          <a:avLst/>
          <a:gdLst/>
          <a:ahLst/>
          <a:cxnLst/>
          <a:rect l="0" t="0" r="0" b="0"/>
          <a:pathLst>
            <a:path>
              <a:moveTo>
                <a:pt x="0" y="8846"/>
              </a:moveTo>
              <a:lnTo>
                <a:pt x="432794" y="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5729110" y="1471393"/>
        <a:ext cx="21639" cy="21639"/>
      </dsp:txXfrm>
    </dsp:sp>
    <dsp:sp modelId="{5139CEBE-FF48-4EDF-8757-4CABEF35594C}">
      <dsp:nvSpPr>
        <dsp:cNvPr id="0" name=""/>
        <dsp:cNvSpPr/>
      </dsp:nvSpPr>
      <dsp:spPr>
        <a:xfrm>
          <a:off x="5942693" y="1240048"/>
          <a:ext cx="1537857" cy="3331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Severe infusion reaction</a:t>
          </a:r>
        </a:p>
      </dsp:txBody>
      <dsp:txXfrm>
        <a:off x="5952450" y="1249805"/>
        <a:ext cx="1518343" cy="313624"/>
      </dsp:txXfrm>
    </dsp:sp>
    <dsp:sp modelId="{0AF5A171-1D49-49A7-8F2A-410BB99E0CA3}">
      <dsp:nvSpPr>
        <dsp:cNvPr id="0" name=""/>
        <dsp:cNvSpPr/>
      </dsp:nvSpPr>
      <dsp:spPr>
        <a:xfrm rot="18687665">
          <a:off x="7428499" y="1282326"/>
          <a:ext cx="308097" cy="17692"/>
        </a:xfrm>
        <a:custGeom>
          <a:avLst/>
          <a:gdLst/>
          <a:ahLst/>
          <a:cxnLst/>
          <a:rect l="0" t="0" r="0" b="0"/>
          <a:pathLst>
            <a:path>
              <a:moveTo>
                <a:pt x="0" y="8846"/>
              </a:moveTo>
              <a:lnTo>
                <a:pt x="308097" y="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7574846" y="1283470"/>
        <a:ext cx="15404" cy="15404"/>
      </dsp:txXfrm>
    </dsp:sp>
    <dsp:sp modelId="{1D294B01-153E-4A30-85D2-4C897C4361FF}">
      <dsp:nvSpPr>
        <dsp:cNvPr id="0" name=""/>
        <dsp:cNvSpPr/>
      </dsp:nvSpPr>
      <dsp:spPr>
        <a:xfrm>
          <a:off x="7684546" y="1067004"/>
          <a:ext cx="939981" cy="217446"/>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Standard care</a:t>
          </a:r>
        </a:p>
      </dsp:txBody>
      <dsp:txXfrm>
        <a:off x="7690915" y="1073373"/>
        <a:ext cx="927243" cy="204708"/>
      </dsp:txXfrm>
    </dsp:sp>
    <dsp:sp modelId="{8F023511-DF63-414A-93C1-8C6185A7C187}">
      <dsp:nvSpPr>
        <dsp:cNvPr id="0" name=""/>
        <dsp:cNvSpPr/>
      </dsp:nvSpPr>
      <dsp:spPr>
        <a:xfrm rot="3237342">
          <a:off x="7416982" y="1522650"/>
          <a:ext cx="308891" cy="17692"/>
        </a:xfrm>
        <a:custGeom>
          <a:avLst/>
          <a:gdLst/>
          <a:ahLst/>
          <a:cxnLst/>
          <a:rect l="0" t="0" r="0" b="0"/>
          <a:pathLst>
            <a:path>
              <a:moveTo>
                <a:pt x="0" y="8846"/>
              </a:moveTo>
              <a:lnTo>
                <a:pt x="308891" y="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7563706" y="1523774"/>
        <a:ext cx="15444" cy="15444"/>
      </dsp:txXfrm>
    </dsp:sp>
    <dsp:sp modelId="{99488A67-B7C0-4B79-9F62-81D5EA32F06D}">
      <dsp:nvSpPr>
        <dsp:cNvPr id="0" name=""/>
        <dsp:cNvSpPr/>
      </dsp:nvSpPr>
      <dsp:spPr>
        <a:xfrm>
          <a:off x="7662306" y="1541432"/>
          <a:ext cx="939981" cy="2298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Death</a:t>
          </a:r>
        </a:p>
      </dsp:txBody>
      <dsp:txXfrm>
        <a:off x="7669039" y="1548165"/>
        <a:ext cx="926515" cy="216420"/>
      </dsp:txXfrm>
    </dsp:sp>
    <dsp:sp modelId="{480BD3CB-9978-4F5A-964B-A47EC8FA952F}">
      <dsp:nvSpPr>
        <dsp:cNvPr id="0" name=""/>
        <dsp:cNvSpPr/>
      </dsp:nvSpPr>
      <dsp:spPr>
        <a:xfrm rot="2123504">
          <a:off x="5491506" y="1692070"/>
          <a:ext cx="494186" cy="17692"/>
        </a:xfrm>
        <a:custGeom>
          <a:avLst/>
          <a:gdLst/>
          <a:ahLst/>
          <a:cxnLst/>
          <a:rect l="0" t="0" r="0" b="0"/>
          <a:pathLst>
            <a:path>
              <a:moveTo>
                <a:pt x="0" y="8846"/>
              </a:moveTo>
              <a:lnTo>
                <a:pt x="494186" y="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5726245" y="1688561"/>
        <a:ext cx="24709" cy="24709"/>
      </dsp:txXfrm>
    </dsp:sp>
    <dsp:sp modelId="{157CE936-79EA-422D-A245-859AED86D354}">
      <dsp:nvSpPr>
        <dsp:cNvPr id="0" name=""/>
        <dsp:cNvSpPr/>
      </dsp:nvSpPr>
      <dsp:spPr>
        <a:xfrm>
          <a:off x="5940033" y="1663448"/>
          <a:ext cx="1532302" cy="3611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Delayed infusion reaction (continue IFX)</a:t>
          </a:r>
        </a:p>
      </dsp:txBody>
      <dsp:txXfrm>
        <a:off x="5950611" y="1674026"/>
        <a:ext cx="1511146" cy="339994"/>
      </dsp:txXfrm>
    </dsp:sp>
    <dsp:sp modelId="{C8CD8398-8C78-433A-9B98-A77F6A190E1B}">
      <dsp:nvSpPr>
        <dsp:cNvPr id="0" name=""/>
        <dsp:cNvSpPr/>
      </dsp:nvSpPr>
      <dsp:spPr>
        <a:xfrm rot="2776065">
          <a:off x="4003874" y="2148657"/>
          <a:ext cx="614172" cy="17692"/>
        </a:xfrm>
        <a:custGeom>
          <a:avLst/>
          <a:gdLst/>
          <a:ahLst/>
          <a:cxnLst/>
          <a:rect l="0" t="0" r="0" b="0"/>
          <a:pathLst>
            <a:path>
              <a:moveTo>
                <a:pt x="0" y="8846"/>
              </a:moveTo>
              <a:lnTo>
                <a:pt x="614172" y="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4295606" y="2142149"/>
        <a:ext cx="30708" cy="30708"/>
      </dsp:txXfrm>
    </dsp:sp>
    <dsp:sp modelId="{A180084A-BFBB-4811-82F5-19DC1E7D9245}">
      <dsp:nvSpPr>
        <dsp:cNvPr id="0" name=""/>
        <dsp:cNvSpPr/>
      </dsp:nvSpPr>
      <dsp:spPr>
        <a:xfrm>
          <a:off x="4523246" y="2193116"/>
          <a:ext cx="1061963" cy="3725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Mild disease (12 months)</a:t>
          </a:r>
        </a:p>
      </dsp:txBody>
      <dsp:txXfrm>
        <a:off x="4534158" y="2204028"/>
        <a:ext cx="1040139" cy="350737"/>
      </dsp:txXfrm>
    </dsp:sp>
    <dsp:sp modelId="{70D265E2-2930-486F-A259-B3E1D9AA37D8}">
      <dsp:nvSpPr>
        <dsp:cNvPr id="0" name=""/>
        <dsp:cNvSpPr/>
      </dsp:nvSpPr>
      <dsp:spPr>
        <a:xfrm rot="26569">
          <a:off x="5585204" y="2371886"/>
          <a:ext cx="345416" cy="17692"/>
        </a:xfrm>
        <a:custGeom>
          <a:avLst/>
          <a:gdLst/>
          <a:ahLst/>
          <a:cxnLst/>
          <a:rect l="0" t="0" r="0" b="0"/>
          <a:pathLst>
            <a:path>
              <a:moveTo>
                <a:pt x="0" y="8846"/>
              </a:moveTo>
              <a:lnTo>
                <a:pt x="345416" y="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5749276" y="2372097"/>
        <a:ext cx="17270" cy="17270"/>
      </dsp:txXfrm>
    </dsp:sp>
    <dsp:sp modelId="{028E7A1C-6E98-4E3C-800C-EDE1EA7613DB}">
      <dsp:nvSpPr>
        <dsp:cNvPr id="0" name=""/>
        <dsp:cNvSpPr/>
      </dsp:nvSpPr>
      <dsp:spPr>
        <a:xfrm>
          <a:off x="5930615" y="2189326"/>
          <a:ext cx="1489561" cy="385481"/>
        </a:xfrm>
        <a:prstGeom prst="roundRect">
          <a:avLst>
            <a:gd name="adj" fmla="val 10000"/>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Repeated as per remission (12 months)</a:t>
          </a:r>
        </a:p>
      </dsp:txBody>
      <dsp:txXfrm>
        <a:off x="5941905" y="2200616"/>
        <a:ext cx="1466981" cy="362901"/>
      </dsp:txXfrm>
    </dsp:sp>
    <dsp:sp modelId="{797CA030-3CCC-47F1-A0E4-A640DADF3DC5}">
      <dsp:nvSpPr>
        <dsp:cNvPr id="0" name=""/>
        <dsp:cNvSpPr/>
      </dsp:nvSpPr>
      <dsp:spPr>
        <a:xfrm rot="4044295">
          <a:off x="3758715" y="2436463"/>
          <a:ext cx="1104150" cy="17692"/>
        </a:xfrm>
        <a:custGeom>
          <a:avLst/>
          <a:gdLst/>
          <a:ahLst/>
          <a:cxnLst/>
          <a:rect l="0" t="0" r="0" b="0"/>
          <a:pathLst>
            <a:path>
              <a:moveTo>
                <a:pt x="0" y="8846"/>
              </a:moveTo>
              <a:lnTo>
                <a:pt x="1104150" y="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4283187" y="2417706"/>
        <a:ext cx="55207" cy="55207"/>
      </dsp:txXfrm>
    </dsp:sp>
    <dsp:sp modelId="{BBA70700-CBD0-4354-8821-3272EFF30146}">
      <dsp:nvSpPr>
        <dsp:cNvPr id="0" name=""/>
        <dsp:cNvSpPr/>
      </dsp:nvSpPr>
      <dsp:spPr>
        <a:xfrm>
          <a:off x="4522907" y="2792609"/>
          <a:ext cx="1034694" cy="3248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LOR (12 months)</a:t>
          </a:r>
        </a:p>
      </dsp:txBody>
      <dsp:txXfrm>
        <a:off x="4532420" y="2802122"/>
        <a:ext cx="1015668" cy="305775"/>
      </dsp:txXfrm>
    </dsp:sp>
    <dsp:sp modelId="{BD36BB35-AA86-4014-B359-0B43DB3F5062}">
      <dsp:nvSpPr>
        <dsp:cNvPr id="0" name=""/>
        <dsp:cNvSpPr/>
      </dsp:nvSpPr>
      <dsp:spPr>
        <a:xfrm rot="21538096">
          <a:off x="5557572" y="2942880"/>
          <a:ext cx="364640" cy="17692"/>
        </a:xfrm>
        <a:custGeom>
          <a:avLst/>
          <a:gdLst/>
          <a:ahLst/>
          <a:cxnLst/>
          <a:rect l="0" t="0" r="0" b="0"/>
          <a:pathLst>
            <a:path>
              <a:moveTo>
                <a:pt x="0" y="8846"/>
              </a:moveTo>
              <a:lnTo>
                <a:pt x="364640" y="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5730776" y="2942610"/>
        <a:ext cx="18232" cy="18232"/>
      </dsp:txXfrm>
    </dsp:sp>
    <dsp:sp modelId="{42FC6DA5-000A-487D-999A-AC83818A6689}">
      <dsp:nvSpPr>
        <dsp:cNvPr id="0" name=""/>
        <dsp:cNvSpPr/>
      </dsp:nvSpPr>
      <dsp:spPr>
        <a:xfrm>
          <a:off x="5922183" y="2764346"/>
          <a:ext cx="1493339" cy="368195"/>
        </a:xfrm>
        <a:prstGeom prst="roundRect">
          <a:avLst>
            <a:gd name="adj" fmla="val 10000"/>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Repeated as per remission (12 months)</a:t>
          </a:r>
        </a:p>
      </dsp:txBody>
      <dsp:txXfrm>
        <a:off x="5932967" y="2775130"/>
        <a:ext cx="1471771" cy="346627"/>
      </dsp:txXfrm>
    </dsp:sp>
    <dsp:sp modelId="{769A291C-30EA-43AB-923C-35959945E063}">
      <dsp:nvSpPr>
        <dsp:cNvPr id="0" name=""/>
        <dsp:cNvSpPr/>
      </dsp:nvSpPr>
      <dsp:spPr>
        <a:xfrm rot="3554564">
          <a:off x="2373515" y="3109597"/>
          <a:ext cx="735219" cy="17692"/>
        </a:xfrm>
        <a:custGeom>
          <a:avLst/>
          <a:gdLst/>
          <a:ahLst/>
          <a:cxnLst/>
          <a:rect l="0" t="0" r="0" b="0"/>
          <a:pathLst>
            <a:path>
              <a:moveTo>
                <a:pt x="0" y="8846"/>
              </a:moveTo>
              <a:lnTo>
                <a:pt x="735219" y="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2722744" y="3100063"/>
        <a:ext cx="36760" cy="36760"/>
      </dsp:txXfrm>
    </dsp:sp>
    <dsp:sp modelId="{E9FC19F6-7D89-49F7-9C01-171C328586F7}">
      <dsp:nvSpPr>
        <dsp:cNvPr id="0" name=""/>
        <dsp:cNvSpPr/>
      </dsp:nvSpPr>
      <dsp:spPr>
        <a:xfrm>
          <a:off x="2929121" y="3331054"/>
          <a:ext cx="1134294" cy="206584"/>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ATI</a:t>
          </a:r>
          <a:r>
            <a:rPr lang="en-US" sz="1200" kern="1200"/>
            <a:t> </a:t>
          </a:r>
          <a:r>
            <a:rPr lang="en-US" sz="1200" b="1" kern="1200"/>
            <a:t>negative</a:t>
          </a:r>
        </a:p>
      </dsp:txBody>
      <dsp:txXfrm>
        <a:off x="2935172" y="3337105"/>
        <a:ext cx="1122192" cy="194482"/>
      </dsp:txXfrm>
    </dsp:sp>
    <dsp:sp modelId="{B141FD00-70FC-45B4-B99C-9D9A9D68629A}">
      <dsp:nvSpPr>
        <dsp:cNvPr id="0" name=""/>
        <dsp:cNvSpPr/>
      </dsp:nvSpPr>
      <dsp:spPr>
        <a:xfrm rot="165986">
          <a:off x="4063176" y="3435421"/>
          <a:ext cx="411129" cy="17692"/>
        </a:xfrm>
        <a:custGeom>
          <a:avLst/>
          <a:gdLst/>
          <a:ahLst/>
          <a:cxnLst/>
          <a:rect l="0" t="0" r="0" b="0"/>
          <a:pathLst>
            <a:path>
              <a:moveTo>
                <a:pt x="0" y="8846"/>
              </a:moveTo>
              <a:lnTo>
                <a:pt x="411129" y="88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4258463" y="3433989"/>
        <a:ext cx="20556" cy="20556"/>
      </dsp:txXfrm>
    </dsp:sp>
    <dsp:sp modelId="{45A7AFDA-8EF3-40E3-A89E-7C09E8B02B84}">
      <dsp:nvSpPr>
        <dsp:cNvPr id="0" name=""/>
        <dsp:cNvSpPr/>
      </dsp:nvSpPr>
      <dsp:spPr>
        <a:xfrm>
          <a:off x="4474066" y="3370187"/>
          <a:ext cx="2127611" cy="168002"/>
        </a:xfrm>
        <a:prstGeom prst="roundRect">
          <a:avLst>
            <a:gd name="adj" fmla="val 10000"/>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Repeated as per ATI positive</a:t>
          </a:r>
        </a:p>
      </dsp:txBody>
      <dsp:txXfrm>
        <a:off x="4478987" y="3375108"/>
        <a:ext cx="2117769" cy="158160"/>
      </dsp:txXfrm>
    </dsp:sp>
    <dsp:sp modelId="{71BE1873-584A-47EA-8752-B45C2673690F}">
      <dsp:nvSpPr>
        <dsp:cNvPr id="0" name=""/>
        <dsp:cNvSpPr/>
      </dsp:nvSpPr>
      <dsp:spPr>
        <a:xfrm rot="3445632">
          <a:off x="1069539" y="3540242"/>
          <a:ext cx="726185" cy="17692"/>
        </a:xfrm>
        <a:custGeom>
          <a:avLst/>
          <a:gdLst/>
          <a:ahLst/>
          <a:cxnLst/>
          <a:rect l="0" t="0" r="0" b="0"/>
          <a:pathLst>
            <a:path>
              <a:moveTo>
                <a:pt x="0" y="8846"/>
              </a:moveTo>
              <a:lnTo>
                <a:pt x="726185" y="88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1414478" y="3530934"/>
        <a:ext cx="36309" cy="36309"/>
      </dsp:txXfrm>
    </dsp:sp>
    <dsp:sp modelId="{64A258EC-7C33-4FA1-A27F-318809B3ED84}">
      <dsp:nvSpPr>
        <dsp:cNvPr id="0" name=""/>
        <dsp:cNvSpPr/>
      </dsp:nvSpPr>
      <dsp:spPr>
        <a:xfrm>
          <a:off x="1628111" y="3753740"/>
          <a:ext cx="2150885" cy="202660"/>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No response - standard care</a:t>
          </a:r>
        </a:p>
      </dsp:txBody>
      <dsp:txXfrm>
        <a:off x="1634047" y="3759676"/>
        <a:ext cx="2139013" cy="190788"/>
      </dsp:txXfrm>
    </dsp:sp>
    <dsp:sp modelId="{B7664830-C983-4BF9-B770-ECB1FE2F7FEE}">
      <dsp:nvSpPr>
        <dsp:cNvPr id="0" name=""/>
        <dsp:cNvSpPr/>
      </dsp:nvSpPr>
      <dsp:spPr>
        <a:xfrm rot="4247376">
          <a:off x="853089" y="3774796"/>
          <a:ext cx="1144817" cy="17692"/>
        </a:xfrm>
        <a:custGeom>
          <a:avLst/>
          <a:gdLst/>
          <a:ahLst/>
          <a:cxnLst/>
          <a:rect l="0" t="0" r="0" b="0"/>
          <a:pathLst>
            <a:path>
              <a:moveTo>
                <a:pt x="0" y="8846"/>
              </a:moveTo>
              <a:lnTo>
                <a:pt x="1144817" y="88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1396877" y="3755022"/>
        <a:ext cx="57240" cy="57240"/>
      </dsp:txXfrm>
    </dsp:sp>
    <dsp:sp modelId="{D552D87A-4A08-4762-8BE2-3B26C0ACDB29}">
      <dsp:nvSpPr>
        <dsp:cNvPr id="0" name=""/>
        <dsp:cNvSpPr/>
      </dsp:nvSpPr>
      <dsp:spPr>
        <a:xfrm>
          <a:off x="1613842" y="4239274"/>
          <a:ext cx="2131333" cy="1698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Death (age specific all-cause)</a:t>
          </a:r>
        </a:p>
      </dsp:txBody>
      <dsp:txXfrm>
        <a:off x="1618815" y="4244247"/>
        <a:ext cx="2121387" cy="1598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3F07D5-C3F7-4499-870A-5CC3AB46811D}">
      <dsp:nvSpPr>
        <dsp:cNvPr id="0" name=""/>
        <dsp:cNvSpPr/>
      </dsp:nvSpPr>
      <dsp:spPr>
        <a:xfrm>
          <a:off x="1090" y="395054"/>
          <a:ext cx="648630" cy="324315"/>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Standard care</a:t>
          </a:r>
        </a:p>
      </dsp:txBody>
      <dsp:txXfrm>
        <a:off x="10589" y="404553"/>
        <a:ext cx="629632" cy="305317"/>
      </dsp:txXfrm>
    </dsp:sp>
    <dsp:sp modelId="{8C660AB6-A4F4-4C68-A5AA-0D5B7E618E86}">
      <dsp:nvSpPr>
        <dsp:cNvPr id="0" name=""/>
        <dsp:cNvSpPr/>
      </dsp:nvSpPr>
      <dsp:spPr>
        <a:xfrm rot="18289469">
          <a:off x="552281" y="344539"/>
          <a:ext cx="454330" cy="52382"/>
        </a:xfrm>
        <a:custGeom>
          <a:avLst/>
          <a:gdLst/>
          <a:ahLst/>
          <a:cxnLst/>
          <a:rect l="0" t="0" r="0" b="0"/>
          <a:pathLst>
            <a:path>
              <a:moveTo>
                <a:pt x="0" y="26191"/>
              </a:moveTo>
              <a:lnTo>
                <a:pt x="454330" y="261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68088" y="359373"/>
        <a:ext cx="22716" cy="22716"/>
      </dsp:txXfrm>
    </dsp:sp>
    <dsp:sp modelId="{92BD4D46-A40A-4504-AFC3-E35A58B5FE47}">
      <dsp:nvSpPr>
        <dsp:cNvPr id="0" name=""/>
        <dsp:cNvSpPr/>
      </dsp:nvSpPr>
      <dsp:spPr>
        <a:xfrm>
          <a:off x="909172" y="22092"/>
          <a:ext cx="648630" cy="324315"/>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No response</a:t>
          </a:r>
        </a:p>
      </dsp:txBody>
      <dsp:txXfrm>
        <a:off x="918671" y="31591"/>
        <a:ext cx="629632" cy="305317"/>
      </dsp:txXfrm>
    </dsp:sp>
    <dsp:sp modelId="{9311B577-CD3B-43CB-AE8B-60028FE1E1A3}">
      <dsp:nvSpPr>
        <dsp:cNvPr id="0" name=""/>
        <dsp:cNvSpPr/>
      </dsp:nvSpPr>
      <dsp:spPr>
        <a:xfrm>
          <a:off x="649720" y="531021"/>
          <a:ext cx="259452" cy="52382"/>
        </a:xfrm>
        <a:custGeom>
          <a:avLst/>
          <a:gdLst/>
          <a:ahLst/>
          <a:cxnLst/>
          <a:rect l="0" t="0" r="0" b="0"/>
          <a:pathLst>
            <a:path>
              <a:moveTo>
                <a:pt x="0" y="26191"/>
              </a:moveTo>
              <a:lnTo>
                <a:pt x="259452" y="261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72960" y="550726"/>
        <a:ext cx="12972" cy="12972"/>
      </dsp:txXfrm>
    </dsp:sp>
    <dsp:sp modelId="{C6EA309D-DF55-46E5-B1D5-68609BD98D75}">
      <dsp:nvSpPr>
        <dsp:cNvPr id="0" name=""/>
        <dsp:cNvSpPr/>
      </dsp:nvSpPr>
      <dsp:spPr>
        <a:xfrm>
          <a:off x="909172" y="395054"/>
          <a:ext cx="648630" cy="324315"/>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Surgery</a:t>
          </a:r>
        </a:p>
      </dsp:txBody>
      <dsp:txXfrm>
        <a:off x="918671" y="404553"/>
        <a:ext cx="629632" cy="305317"/>
      </dsp:txXfrm>
    </dsp:sp>
    <dsp:sp modelId="{2BCF5056-E420-429F-AA40-01AF6045B081}">
      <dsp:nvSpPr>
        <dsp:cNvPr id="0" name=""/>
        <dsp:cNvSpPr/>
      </dsp:nvSpPr>
      <dsp:spPr>
        <a:xfrm rot="19457599">
          <a:off x="1527770" y="437780"/>
          <a:ext cx="319516" cy="52382"/>
        </a:xfrm>
        <a:custGeom>
          <a:avLst/>
          <a:gdLst/>
          <a:ahLst/>
          <a:cxnLst/>
          <a:rect l="0" t="0" r="0" b="0"/>
          <a:pathLst>
            <a:path>
              <a:moveTo>
                <a:pt x="0" y="26191"/>
              </a:moveTo>
              <a:lnTo>
                <a:pt x="319516" y="261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79540" y="455984"/>
        <a:ext cx="15975" cy="15975"/>
      </dsp:txXfrm>
    </dsp:sp>
    <dsp:sp modelId="{8EEAAC54-CAA1-400E-ABFB-7BDBC536ECB9}">
      <dsp:nvSpPr>
        <dsp:cNvPr id="0" name=""/>
        <dsp:cNvSpPr/>
      </dsp:nvSpPr>
      <dsp:spPr>
        <a:xfrm>
          <a:off x="1817254" y="208573"/>
          <a:ext cx="648630" cy="324315"/>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Death</a:t>
          </a:r>
        </a:p>
      </dsp:txBody>
      <dsp:txXfrm>
        <a:off x="1826753" y="218072"/>
        <a:ext cx="629632" cy="305317"/>
      </dsp:txXfrm>
    </dsp:sp>
    <dsp:sp modelId="{62008D7C-9D2A-4592-BD25-26CE4357D2A5}">
      <dsp:nvSpPr>
        <dsp:cNvPr id="0" name=""/>
        <dsp:cNvSpPr/>
      </dsp:nvSpPr>
      <dsp:spPr>
        <a:xfrm rot="2142401">
          <a:off x="1527770" y="624261"/>
          <a:ext cx="319516" cy="52382"/>
        </a:xfrm>
        <a:custGeom>
          <a:avLst/>
          <a:gdLst/>
          <a:ahLst/>
          <a:cxnLst/>
          <a:rect l="0" t="0" r="0" b="0"/>
          <a:pathLst>
            <a:path>
              <a:moveTo>
                <a:pt x="0" y="26191"/>
              </a:moveTo>
              <a:lnTo>
                <a:pt x="319516" y="261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79540" y="642465"/>
        <a:ext cx="15975" cy="15975"/>
      </dsp:txXfrm>
    </dsp:sp>
    <dsp:sp modelId="{375A59E6-B986-4FAE-AE4C-DFF83AF2E764}">
      <dsp:nvSpPr>
        <dsp:cNvPr id="0" name=""/>
        <dsp:cNvSpPr/>
      </dsp:nvSpPr>
      <dsp:spPr>
        <a:xfrm>
          <a:off x="1817254" y="581536"/>
          <a:ext cx="648630" cy="324315"/>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Surgical remission</a:t>
          </a:r>
        </a:p>
      </dsp:txBody>
      <dsp:txXfrm>
        <a:off x="1826753" y="591035"/>
        <a:ext cx="629632" cy="305317"/>
      </dsp:txXfrm>
    </dsp:sp>
    <dsp:sp modelId="{119C1D12-A576-4E39-AB84-8691A75EB29D}">
      <dsp:nvSpPr>
        <dsp:cNvPr id="0" name=""/>
        <dsp:cNvSpPr/>
      </dsp:nvSpPr>
      <dsp:spPr>
        <a:xfrm rot="3310531">
          <a:off x="552281" y="717502"/>
          <a:ext cx="454330" cy="52382"/>
        </a:xfrm>
        <a:custGeom>
          <a:avLst/>
          <a:gdLst/>
          <a:ahLst/>
          <a:cxnLst/>
          <a:rect l="0" t="0" r="0" b="0"/>
          <a:pathLst>
            <a:path>
              <a:moveTo>
                <a:pt x="0" y="26191"/>
              </a:moveTo>
              <a:lnTo>
                <a:pt x="454330" y="261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68088" y="732335"/>
        <a:ext cx="22716" cy="22716"/>
      </dsp:txXfrm>
    </dsp:sp>
    <dsp:sp modelId="{3D0AB346-0BBD-4952-BD9F-C2304982D6C4}">
      <dsp:nvSpPr>
        <dsp:cNvPr id="0" name=""/>
        <dsp:cNvSpPr/>
      </dsp:nvSpPr>
      <dsp:spPr>
        <a:xfrm>
          <a:off x="909172" y="768017"/>
          <a:ext cx="648630" cy="324315"/>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Death (flare)</a:t>
          </a:r>
        </a:p>
      </dsp:txBody>
      <dsp:txXfrm>
        <a:off x="918671" y="777516"/>
        <a:ext cx="629632" cy="3053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Com14</b:Tag>
    <b:SourceType>Report</b:SourceType>
    <b:Guid>{85523EF1-2FF4-46FF-8DCD-9713DDAD0F8D}</b:Guid>
    <b:Author>
      <b:Author>
        <b:Corporate>Committee for Medicinal Products for Human Use (CHMP)</b:Corporate>
      </b:Author>
    </b:Author>
    <b:Title>Guideline on similar biological medical products CHMP/437/04 Rev 1</b:Title>
    <b:Year>2014</b:Year>
    <b:Publisher>European Medicines Agency</b:Publisher>
    <b:City>London</b:City>
    <b:RefOrder>12</b:RefOrder>
  </b:Source>
  <b:Source>
    <b:Tag>Com141</b:Tag>
    <b:SourceType>Report</b:SourceType>
    <b:Guid>{42269A52-8A3F-48F9-8050-76B93B1CC8DE}</b:Guid>
    <b:Author>
      <b:Author>
        <b:Corporate>Committee for Medicinal Products for Human Use (CHMP)</b:Corporate>
      </b:Author>
    </b:Author>
    <b:Title>Guideline on similar biological medicinal products containing bio-technology derived proteins as active substance: non-clinical and clinical issues EMEA/CHMP/BMWP/42832/2005 Rev1</b:Title>
    <b:Year>2014</b:Year>
    <b:Publisher>European Medicines Agency (EMA)</b:Publisher>
    <b:City>London</b:City>
    <b:RefOrder>1</b:RefOrder>
  </b:Source>
  <b:Source>
    <b:Tag>Off14</b:Tag>
    <b:SourceType>InternetSite</b:SourceType>
    <b:Guid>{B6D9CE9F-816A-43D0-8DA8-0A68DDA0FBD3}</b:Guid>
    <b:Author>
      <b:Author>
        <b:Corporate>Office of Regulatory Affairs, Biologics and Genetic Therapies Directorate</b:Corporate>
      </b:Author>
    </b:Author>
    <b:Title>Summary Basis of Decision (SBD): Inflectra</b:Title>
    <b:Year>2014</b:Year>
    <b:Publisher>Health Canada</b:Publisher>
    <b:ProductionCompany>Health Canada</b:ProductionCompany>
    <b:Month>03</b:Month>
    <b:Day>04</b:Day>
    <b:YearAccessed>2016</b:YearAccessed>
    <b:MonthAccessed>10</b:MonthAccessed>
    <b:DayAccessed>16</b:DayAccessed>
    <b:URL>http://www.hc-sc.gc.ca/dhp-mps/prodpharma/sbd-smd/drug-med/sbd_smd_2014_inflectra_159493-eng.php#sbd</b:URL>
    <b:RefOrder>2</b:RefOrder>
  </b:Source>
  <b:Source>
    <b:Tag>Ben15</b:Tag>
    <b:SourceType>JournalArticle</b:SourceType>
    <b:Guid>{FF8C75A7-6EDD-4A29-AD9E-35CAED43A4F5}</b:Guid>
    <b:Title>The immunogenicity of biosimilar infliximab: can we extrapolate the data across indications?</b:Title>
    <b:Year>2015</b:Year>
    <b:Author>
      <b:Author>
        <b:NameList>
          <b:Person>
            <b:Last>Ben-Horin</b:Last>
            <b:First>S.</b:First>
          </b:Person>
          <b:Person>
            <b:Last>Heap</b:Last>
            <b:First>G.</b:First>
            <b:Middle>A.</b:Middle>
          </b:Person>
          <b:Person>
            <b:Last>Ahmad</b:Last>
            <b:First>T.</b:First>
          </b:Person>
          <b:Person>
            <b:Last>Kim</b:Last>
            <b:First>H.</b:First>
          </b:Person>
          <b:Person>
            <b:Last>Kwon</b:Last>
            <b:First>T.</b:First>
          </b:Person>
          <b:Person>
            <b:Last>Chowers</b:Last>
            <b:First>Y.</b:First>
          </b:Person>
        </b:NameList>
      </b:Author>
    </b:Author>
    <b:JournalName>Expert Review of Gastroenterology &amp; Hepatology</b:JournalName>
    <b:Pages>27-34</b:Pages>
    <b:Volume>9</b:Volume>
    <b:Issue>1</b:Issue>
    <b:RefOrder>3</b:RefOrder>
  </b:Source>
  <b:Source>
    <b:Tag>The13</b:Tag>
    <b:SourceType>InternetSite</b:SourceType>
    <b:Guid>{0406D85F-11A6-4679-9A1C-157659490A22}</b:Guid>
    <b:Title>Evaluation of biosimilars</b:Title>
    <b:Year>2013</b:Year>
    <b:Author>
      <b:Author>
        <b:Corporate>Therapeutic Goods Administration (TGA)</b:Corporate>
      </b:Author>
    </b:Author>
    <b:ProductionCompany>Australian Government Department of Health</b:ProductionCompany>
    <b:Month>07</b:Month>
    <b:Day>30</b:Day>
    <b:YearAccessed>2016</b:YearAccessed>
    <b:MonthAccessed>11</b:MonthAccessed>
    <b:DayAccessed>01</b:DayAccessed>
    <b:URL>https://www.tga.gov.au/book/export/html/724105</b:URL>
    <b:RefOrder>13</b:RefOrder>
  </b:Source>
  <b:Source>
    <b:Tag>USD15</b:Tag>
    <b:SourceType>Report</b:SourceType>
    <b:Guid>{39DFEB1A-2B5A-42A8-9A0A-2DC5237F6920}</b:Guid>
    <b:Author>
      <b:Author>
        <b:Corporate>U.S. Department of Health and Human Services</b:Corporate>
      </b:Author>
    </b:Author>
    <b:Title>Scientific Considerations in demonstrating Biosimilarity to a Reference Product</b:Title>
    <b:Year>2015</b:Year>
    <b:Publisher>Food and Drug Administration (FDA)</b:Publisher>
    <b:RefOrder>14</b:RefOrder>
  </b:Source>
  <b:Source>
    <b:Tag>Can10</b:Tag>
    <b:SourceType>Report</b:SourceType>
    <b:Guid>{2A31BCE5-C852-423C-9487-ABD01D35F0BA}</b:Guid>
    <b:Author>
      <b:Author>
        <b:Corporate>Canada Minister of Health</b:Corporate>
      </b:Author>
    </b:Author>
    <b:Title>GUIDANCE FOR SPONSORS: Information and Submission Requirements for Subsequent Entry Biologics (SEBs)</b:Title>
    <b:Year>2010</b:Year>
    <b:Publisher>Health Canada</b:Publisher>
    <b:City>Ottawa</b:City>
    <b:RefOrder>15</b:RefOrder>
  </b:Source>
  <b:Source>
    <b:Tag>Ara11</b:Tag>
    <b:SourceType>Report</b:SourceType>
    <b:Guid>{064E5F84-68A5-49B8-8618-4F19D428BA45}</b:Guid>
    <b:Author>
      <b:Author>
        <b:NameList>
          <b:Person>
            <b:Last>Arato</b:Last>
            <b:First>T.</b:First>
          </b:Person>
        </b:NameList>
      </b:Author>
    </b:Author>
    <b:Title>Recent Regulations of Biosimilars in Japan</b:Title>
    <b:Year>2011</b:Year>
    <b:Publisher>PMDA</b:Publisher>
    <b:City>Tokyo</b:City>
    <b:RefOrder>16</b:RefOrder>
  </b:Source>
  <b:Source>
    <b:Tag>Com13</b:Tag>
    <b:SourceType>Report</b:SourceType>
    <b:Guid>{7DB75848-86FA-4067-A379-28C398A14686}</b:Guid>
    <b:Title>Assessment report Inflectra EMA/CHMP/589422/2013</b:Title>
    <b:Year>2013</b:Year>
    <b:Author>
      <b:Author>
        <b:Corporate>Committee for Medicinal Products for Human Use (CHMP</b:Corporate>
      </b:Author>
    </b:Author>
    <b:Publisher>European Medicines Agency (EMA)</b:Publisher>
    <b:City>London</b:City>
    <b:RefOrder>4</b:RefOrder>
  </b:Source>
  <b:Source>
    <b:Tag>Pha15</b:Tag>
    <b:SourceType>Report</b:SourceType>
    <b:Guid>{D90CA039-292C-4FFB-B32F-CE0C3D4D9AC6}</b:Guid>
    <b:Author>
      <b:Author>
        <b:Corporate>Pharmaceutical Benefits Advisory Committee (PBAC)</b:Corporate>
      </b:Author>
    </b:Author>
    <b:Title>Public Summary Document - July 2015 PBAC Meeting</b:Title>
    <b:Year>2015</b:Year>
    <b:Publisher>PBAC</b:Publisher>
    <b:RefOrder>5</b:RefOrder>
  </b:Source>
  <b:Source>
    <b:Tag>Gen14</b:Tag>
    <b:SourceType>InternetSite</b:SourceType>
    <b:Guid>{F6BAC465-F6D9-4CF9-8D2F-8CC9E222E9EA}</b:Guid>
    <b:Title>Biosimilar Infliximab launched in Japan</b:Title>
    <b:Year>2014</b:Year>
    <b:Author>
      <b:Author>
        <b:Corporate>Generics and Biosimilars Initiative (GaBI)</b:Corporate>
      </b:Author>
    </b:Author>
    <b:ProductionCompany>GaBI online</b:ProductionCompany>
    <b:Month>12</b:Month>
    <b:Day>05</b:Day>
    <b:YearAccessed>2016</b:YearAccessed>
    <b:MonthAccessed>10</b:MonthAccessed>
    <b:DayAccessed>26</b:DayAccessed>
    <b:URL>http://www.gabionline.net/Biosimilars/News/Biosimilar-infliximab-launched-in-Japan</b:URL>
    <b:RefOrder>6</b:RefOrder>
  </b:Source>
  <b:Source>
    <b:Tag>Gen15</b:Tag>
    <b:SourceType>InternetSite</b:SourceType>
    <b:Guid>{F6428EA0-BEDC-4E7B-A9B5-0C0BB067CA5D}</b:Guid>
    <b:Author>
      <b:Author>
        <b:Corporate>Generics and Biosimilars Initiative (GaBI)</b:Corporate>
      </b:Author>
    </b:Author>
    <b:Title>Extrapolation of indications in biosimilars: infliximab </b:Title>
    <b:ProductionCompany>GaBI Online</b:ProductionCompany>
    <b:Year>2015</b:Year>
    <b:Month>01</b:Month>
    <b:Day>09</b:Day>
    <b:YearAccessed>2016</b:YearAccessed>
    <b:MonthAccessed>10</b:MonthAccessed>
    <b:DayAccessed>31</b:DayAccessed>
    <b:URL>http://gabionline.net/Biosimilars/Research/Extrapolation-of-indications-in-biosimilars-infliximab</b:URL>
    <b:RefOrder>7</b:RefOrder>
  </b:Source>
  <b:Source>
    <b:Tag>Off15</b:Tag>
    <b:SourceType>InternetSite</b:SourceType>
    <b:Guid>{57874CCA-3A01-44F6-AC97-B752BBE0E03B}</b:Guid>
    <b:Author>
      <b:Author>
        <b:Corporate>Office of Regulatory Affairs, Biologics and Genetic Therapies Directorate</b:Corporate>
      </b:Author>
    </b:Author>
    <b:Title>Regulatory Decision Summary INFLECTRA</b:Title>
    <b:Year>2015</b:Year>
    <b:ProductionCompany>Health Canada</b:ProductionCompany>
    <b:Month>08</b:Month>
    <b:Day>07</b:Day>
    <b:YearAccessed>2016</b:YearAccessed>
    <b:MonthAccessed>10</b:MonthAccessed>
    <b:DayAccessed>26</b:DayAccessed>
    <b:URL>http://www.hc-sc.gc.ca/dhp-mps/prodpharma/rds-sdr/drug-med/rds-sdr-infectra-184564-eng.php</b:URL>
    <b:RefOrder>8</b:RefOrder>
  </b:Source>
  <b:Source>
    <b:Tag>Wah15</b:Tag>
    <b:SourceType>Report</b:SourceType>
    <b:Guid>{FD69355A-C200-411E-9AD8-691E6312B9AD}</b:Guid>
    <b:Author>
      <b:Author>
        <b:NameList>
          <b:Person>
            <b:Last>Waheed</b:Last>
            <b:First>J.</b:First>
          </b:Person>
        </b:NameList>
      </b:Author>
    </b:Author>
    <b:Title>Clinical review CT-P13, a proposed biosimilar to US-Licensed Remicade</b:Title>
    <b:Year>2015</b:Year>
    <b:Publisher>Food and Drug Administration (FDA)</b:Publisher>
    <b:RefOrder>9</b:RefOrder>
  </b:Source>
  <b:Source>
    <b:Tag>Dep16</b:Tag>
    <b:SourceType>Report</b:SourceType>
    <b:Guid>{421BEBC5-868F-4370-A5F0-6F9F01824653}</b:Guid>
    <b:Author>
      <b:Author>
        <b:Corporate>U.S. Department of Health and Human Services</b:Corporate>
      </b:Author>
    </b:Author>
    <b:Title>Biologics License Application Approval letter</b:Title>
    <b:Year>2016</b:Year>
    <b:Publisher>Food and Drug Administrationi (FDA)</b:Publisher>
    <b:RefOrder>10</b:RefOrder>
  </b:Source>
  <b:Source>
    <b:Tag>Com16</b:Tag>
    <b:SourceType>Report</b:SourceType>
    <b:Guid>{2DB1DDD8-344B-434D-9E9D-9CFA18973279}</b:Guid>
    <b:Author>
      <b:Author>
        <b:Corporate>Committee for Medicinal Products for Human Use (CHMP)</b:Corporate>
      </b:Author>
    </b:Author>
    <b:Title>CHMP assessment report Flixabi</b:Title>
    <b:Year>2016</b:Year>
    <b:Publisher>European Medicines Agency (EMA)</b:Publisher>
    <b:City>London</b:City>
    <b:RefOrder>11</b:RefOrder>
  </b:Source>
</b:Sources>
</file>

<file path=customXml/itemProps1.xml><?xml version="1.0" encoding="utf-8"?>
<ds:datastoreItem xmlns:ds="http://schemas.openxmlformats.org/officeDocument/2006/customXml" ds:itemID="{31F8B563-D6DA-45C4-B822-72778A84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8516</Words>
  <Characters>48545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2019-06-17T20:27:00Z</cp:lastPrinted>
  <dcterms:created xsi:type="dcterms:W3CDTF">2019-07-16T08:36:00Z</dcterms:created>
  <dcterms:modified xsi:type="dcterms:W3CDTF">2019-07-16T08:36:00Z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6a1ff975-addf-3886-be8d-ad71a3ab4de7</vt:lpwstr>
  </property>
  <property fmtid="{D5CDD505-2E9C-101B-9397-08002B2CF9AE}" pid="24" name="Mendeley Citation Style_1">
    <vt:lpwstr>http://www.zotero.org/styles/nature</vt:lpwstr>
  </property>
</Properties>
</file>