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FE72" w14:textId="5A80B110" w:rsidR="00056229" w:rsidRPr="008C54FF" w:rsidRDefault="00056229" w:rsidP="00074DA2">
      <w:pPr>
        <w:rPr>
          <w:b/>
          <w:lang w:val="en-US"/>
        </w:rPr>
      </w:pPr>
      <w:bookmarkStart w:id="0" w:name="_GoBack"/>
      <w:bookmarkEnd w:id="0"/>
      <w:r w:rsidRPr="008C54FF">
        <w:rPr>
          <w:b/>
          <w:lang w:val="en-US"/>
        </w:rPr>
        <w:t>Interpretation of Drug Interactions between Dolutegravir and Artemether-Lumefantrine or Artesunate-Amodiaquine</w:t>
      </w:r>
      <w:r w:rsidR="00825FAB" w:rsidRPr="008C54FF">
        <w:rPr>
          <w:b/>
          <w:lang w:val="en-US"/>
        </w:rPr>
        <w:t>- Authors’ reply</w:t>
      </w:r>
    </w:p>
    <w:p w14:paraId="16158C0E" w14:textId="62BEB618" w:rsidR="00FC77F9" w:rsidRDefault="00FC77F9" w:rsidP="00074DA2">
      <w:pPr>
        <w:rPr>
          <w:lang w:val="en-US"/>
        </w:rPr>
      </w:pPr>
      <w:r>
        <w:rPr>
          <w:lang w:val="en-US"/>
        </w:rPr>
        <w:t>Stephen</w:t>
      </w:r>
      <w:r w:rsidR="0089606E">
        <w:rPr>
          <w:lang w:val="en-US"/>
        </w:rPr>
        <w:t xml:space="preserve"> </w:t>
      </w:r>
      <w:proofErr w:type="spellStart"/>
      <w:r w:rsidR="0089606E">
        <w:rPr>
          <w:lang w:val="en-US"/>
        </w:rPr>
        <w:t>Walimbwa</w:t>
      </w:r>
      <w:r w:rsidR="006266E4">
        <w:rPr>
          <w:vertAlign w:val="superscript"/>
          <w:lang w:val="en-US"/>
        </w:rPr>
        <w:t>a</w:t>
      </w:r>
      <w:proofErr w:type="spellEnd"/>
      <w:r w:rsidR="0089606E">
        <w:rPr>
          <w:lang w:val="en-US"/>
        </w:rPr>
        <w:t xml:space="preserve">, Mohammed </w:t>
      </w:r>
      <w:proofErr w:type="spellStart"/>
      <w:r w:rsidR="0089606E">
        <w:rPr>
          <w:lang w:val="en-US"/>
        </w:rPr>
        <w:t>Lamorde</w:t>
      </w:r>
      <w:r w:rsidR="006266E4">
        <w:rPr>
          <w:vertAlign w:val="superscript"/>
          <w:lang w:val="en-US"/>
        </w:rPr>
        <w:t>a</w:t>
      </w:r>
      <w:proofErr w:type="spellEnd"/>
      <w:r w:rsidR="0089606E">
        <w:rPr>
          <w:lang w:val="en-US"/>
        </w:rPr>
        <w:t xml:space="preserve">, Catriona </w:t>
      </w:r>
      <w:proofErr w:type="spellStart"/>
      <w:r w:rsidR="0089606E">
        <w:rPr>
          <w:lang w:val="en-US"/>
        </w:rPr>
        <w:t>Waitt</w:t>
      </w:r>
      <w:r w:rsidR="006266E4">
        <w:rPr>
          <w:vertAlign w:val="superscript"/>
          <w:lang w:val="en-US"/>
        </w:rPr>
        <w:t>b</w:t>
      </w:r>
      <w:proofErr w:type="spellEnd"/>
      <w:r w:rsidR="0089606E">
        <w:rPr>
          <w:lang w:val="en-US"/>
        </w:rPr>
        <w:t>, A</w:t>
      </w:r>
      <w:r w:rsidR="00DE6517">
        <w:rPr>
          <w:lang w:val="en-US"/>
        </w:rPr>
        <w:t xml:space="preserve">lieu </w:t>
      </w:r>
      <w:proofErr w:type="spellStart"/>
      <w:r w:rsidR="00DE6517">
        <w:rPr>
          <w:lang w:val="en-US"/>
        </w:rPr>
        <w:t>Amara</w:t>
      </w:r>
      <w:r w:rsidR="00B24A24" w:rsidRPr="00B24A24">
        <w:rPr>
          <w:vertAlign w:val="superscript"/>
          <w:lang w:val="en-US"/>
        </w:rPr>
        <w:t>b</w:t>
      </w:r>
      <w:proofErr w:type="spellEnd"/>
      <w:r w:rsidR="00DE6517">
        <w:rPr>
          <w:lang w:val="en-US"/>
        </w:rPr>
        <w:t xml:space="preserve">, Saye </w:t>
      </w:r>
      <w:proofErr w:type="spellStart"/>
      <w:r w:rsidR="00DE6517">
        <w:rPr>
          <w:lang w:val="en-US"/>
        </w:rPr>
        <w:t>Khoo</w:t>
      </w:r>
      <w:r w:rsidR="00B24A24">
        <w:rPr>
          <w:vertAlign w:val="superscript"/>
          <w:lang w:val="en-US"/>
        </w:rPr>
        <w:t>b</w:t>
      </w:r>
      <w:proofErr w:type="spellEnd"/>
      <w:r w:rsidR="00E915CB">
        <w:rPr>
          <w:vertAlign w:val="superscript"/>
          <w:lang w:val="en-US"/>
        </w:rPr>
        <w:t>#</w:t>
      </w:r>
    </w:p>
    <w:p w14:paraId="00677978" w14:textId="74278EA1" w:rsidR="00E15BDE" w:rsidRPr="00E15BDE" w:rsidRDefault="00B24A24" w:rsidP="00E15BDE">
      <w:pPr>
        <w:rPr>
          <w:lang w:val="en-US"/>
        </w:rPr>
      </w:pPr>
      <w:proofErr w:type="spellStart"/>
      <w:proofErr w:type="gramStart"/>
      <w:r>
        <w:rPr>
          <w:vertAlign w:val="superscript"/>
          <w:lang w:val="en-US"/>
        </w:rPr>
        <w:t>a</w:t>
      </w:r>
      <w:proofErr w:type="spellEnd"/>
      <w:proofErr w:type="gramEnd"/>
      <w:r w:rsidR="00CE156F">
        <w:rPr>
          <w:vertAlign w:val="superscript"/>
          <w:lang w:val="en-US"/>
        </w:rPr>
        <w:t xml:space="preserve"> </w:t>
      </w:r>
      <w:r w:rsidR="00E15BDE" w:rsidRPr="00E15BDE">
        <w:rPr>
          <w:lang w:val="en-US"/>
        </w:rPr>
        <w:t>Infectious Diseases Institute, Makerere University College of Health Sciences, Kampala, Uganda</w:t>
      </w:r>
    </w:p>
    <w:p w14:paraId="17D6FCB4" w14:textId="03656448" w:rsidR="00DE6517" w:rsidRDefault="00B24A24" w:rsidP="00E15BDE">
      <w:pPr>
        <w:rPr>
          <w:lang w:val="en-US"/>
        </w:rPr>
      </w:pPr>
      <w:r>
        <w:rPr>
          <w:vertAlign w:val="superscript"/>
          <w:lang w:val="en-US"/>
        </w:rPr>
        <w:t>b</w:t>
      </w:r>
      <w:r w:rsidR="00CE156F">
        <w:rPr>
          <w:vertAlign w:val="superscript"/>
          <w:lang w:val="en-US"/>
        </w:rPr>
        <w:t xml:space="preserve"> </w:t>
      </w:r>
      <w:r w:rsidR="00E15BDE" w:rsidRPr="00E15BDE">
        <w:rPr>
          <w:lang w:val="en-US"/>
        </w:rPr>
        <w:t>Department of Molecular and Clinical Pharmacology, University of Liverpool, Liverpool, United Kingdom</w:t>
      </w:r>
    </w:p>
    <w:p w14:paraId="63C4D7D9" w14:textId="24B2AA1A" w:rsidR="000B2823" w:rsidRPr="00CE156F" w:rsidRDefault="00DE71A5" w:rsidP="00E15BDE">
      <w:pPr>
        <w:rPr>
          <w:vertAlign w:val="superscript"/>
          <w:lang w:val="en-US"/>
        </w:rPr>
      </w:pPr>
      <w:r>
        <w:rPr>
          <w:lang w:val="en-US"/>
        </w:rPr>
        <w:t>#</w:t>
      </w:r>
      <w:r w:rsidR="000B2823">
        <w:rPr>
          <w:lang w:val="en-US"/>
        </w:rPr>
        <w:t xml:space="preserve">Address correspondence to </w:t>
      </w:r>
      <w:r w:rsidR="00615C12">
        <w:rPr>
          <w:lang w:val="en-US"/>
        </w:rPr>
        <w:t>khoo@liv.ac.uk</w:t>
      </w:r>
    </w:p>
    <w:p w14:paraId="16B9D044" w14:textId="340AA1DF" w:rsidR="00556125" w:rsidRDefault="00AD5C18" w:rsidP="00AD16D4">
      <w:pPr>
        <w:rPr>
          <w:lang w:val="en-US"/>
        </w:rPr>
      </w:pPr>
      <w:r>
        <w:rPr>
          <w:lang w:val="en-US"/>
        </w:rPr>
        <w:t xml:space="preserve">We </w:t>
      </w:r>
      <w:r w:rsidR="00B102F1">
        <w:rPr>
          <w:lang w:val="en-US"/>
        </w:rPr>
        <w:t xml:space="preserve">thank </w:t>
      </w:r>
      <w:r w:rsidR="00A509C0">
        <w:rPr>
          <w:lang w:val="en-US"/>
        </w:rPr>
        <w:t>B</w:t>
      </w:r>
      <w:r w:rsidR="00897B97">
        <w:rPr>
          <w:lang w:val="en-US"/>
        </w:rPr>
        <w:t xml:space="preserve">anda </w:t>
      </w:r>
      <w:r w:rsidR="00897B97" w:rsidRPr="008C54FF">
        <w:rPr>
          <w:i/>
          <w:lang w:val="en-US"/>
        </w:rPr>
        <w:t>et</w:t>
      </w:r>
      <w:r w:rsidR="002843AC" w:rsidRPr="008C54FF">
        <w:rPr>
          <w:i/>
          <w:lang w:val="en-US"/>
        </w:rPr>
        <w:t xml:space="preserve"> al</w:t>
      </w:r>
      <w:r w:rsidR="008C54FF">
        <w:rPr>
          <w:lang w:val="en-US"/>
        </w:rPr>
        <w:t>.</w:t>
      </w:r>
      <w:r w:rsidR="00B102F1">
        <w:rPr>
          <w:lang w:val="en-US"/>
        </w:rPr>
        <w:t xml:space="preserve"> for their interest in our study and </w:t>
      </w:r>
      <w:r w:rsidR="008C54FF">
        <w:rPr>
          <w:lang w:val="en-US"/>
        </w:rPr>
        <w:t>for suggesting a procedure for handling biologically implausible concentrations. In the study group that</w:t>
      </w:r>
      <w:r w:rsidR="00E61001">
        <w:rPr>
          <w:lang w:val="en-US"/>
        </w:rPr>
        <w:t xml:space="preserve"> </w:t>
      </w:r>
      <w:r w:rsidR="00E61001" w:rsidRPr="00E61001">
        <w:rPr>
          <w:lang w:val="en-US"/>
        </w:rPr>
        <w:t>investigate</w:t>
      </w:r>
      <w:r w:rsidR="00E61001">
        <w:rPr>
          <w:lang w:val="en-US"/>
        </w:rPr>
        <w:t>d</w:t>
      </w:r>
      <w:r w:rsidR="00E61001" w:rsidRPr="00E61001">
        <w:rPr>
          <w:lang w:val="en-US"/>
        </w:rPr>
        <w:t xml:space="preserve"> </w:t>
      </w:r>
      <w:r w:rsidR="008C54FF">
        <w:rPr>
          <w:lang w:val="en-US"/>
        </w:rPr>
        <w:t xml:space="preserve">the drug-drug interaction between </w:t>
      </w:r>
      <w:r w:rsidR="00E61001" w:rsidRPr="00E61001">
        <w:rPr>
          <w:lang w:val="en-US"/>
        </w:rPr>
        <w:t>dolutegravir (DTG</w:t>
      </w:r>
      <w:r w:rsidR="008C54FF">
        <w:rPr>
          <w:lang w:val="en-US"/>
        </w:rPr>
        <w:t>) and the</w:t>
      </w:r>
      <w:r w:rsidR="00E61001" w:rsidRPr="00E61001">
        <w:rPr>
          <w:lang w:val="en-US"/>
        </w:rPr>
        <w:t xml:space="preserve"> </w:t>
      </w:r>
      <w:r w:rsidR="008C54FF">
        <w:rPr>
          <w:lang w:val="en-US"/>
        </w:rPr>
        <w:t>artemisinin containing therapy</w:t>
      </w:r>
      <w:r w:rsidR="00F0045E">
        <w:rPr>
          <w:lang w:val="en-US"/>
        </w:rPr>
        <w:t xml:space="preserve"> (ACTs) </w:t>
      </w:r>
      <w:r w:rsidR="008C54FF">
        <w:rPr>
          <w:lang w:val="en-US"/>
        </w:rPr>
        <w:t>artemether-lumefantrine (AL), we reported higher</w:t>
      </w:r>
      <w:r w:rsidR="00FE695C">
        <w:rPr>
          <w:lang w:val="en-US"/>
        </w:rPr>
        <w:t xml:space="preserve"> </w:t>
      </w:r>
      <w:r w:rsidR="008C54FF">
        <w:rPr>
          <w:lang w:val="en-US"/>
        </w:rPr>
        <w:t>DTG</w:t>
      </w:r>
      <w:r w:rsidR="00FE695C">
        <w:rPr>
          <w:lang w:val="en-US"/>
        </w:rPr>
        <w:t xml:space="preserve"> concentrations at 24 hours</w:t>
      </w:r>
      <w:r w:rsidR="008C54FF">
        <w:rPr>
          <w:lang w:val="en-US"/>
        </w:rPr>
        <w:t xml:space="preserve"> post-dosing (</w:t>
      </w:r>
      <w:r w:rsidR="008C54FF" w:rsidRPr="008C54FF">
        <w:rPr>
          <w:i/>
          <w:lang w:val="en-US"/>
        </w:rPr>
        <w:t>C</w:t>
      </w:r>
      <w:r w:rsidR="008C54FF" w:rsidRPr="008C54FF">
        <w:rPr>
          <w:i/>
          <w:vertAlign w:val="subscript"/>
          <w:lang w:val="en-US"/>
        </w:rPr>
        <w:t>24</w:t>
      </w:r>
      <w:r w:rsidR="008C54FF">
        <w:rPr>
          <w:lang w:val="en-US"/>
        </w:rPr>
        <w:t>) in the period when DTG was administered alone</w:t>
      </w:r>
      <w:r w:rsidR="00FE695C">
        <w:rPr>
          <w:lang w:val="en-US"/>
        </w:rPr>
        <w:t>.</w:t>
      </w:r>
      <w:r w:rsidR="00BA7783">
        <w:rPr>
          <w:lang w:val="en-US"/>
        </w:rPr>
        <w:t xml:space="preserve"> </w:t>
      </w:r>
    </w:p>
    <w:p w14:paraId="3845F275" w14:textId="694005E2" w:rsidR="00322A81" w:rsidRDefault="008C54FF" w:rsidP="00074DA2">
      <w:pPr>
        <w:rPr>
          <w:lang w:val="en-US"/>
        </w:rPr>
      </w:pPr>
      <w:r>
        <w:rPr>
          <w:lang w:val="en-US"/>
        </w:rPr>
        <w:t xml:space="preserve">We agree with Banda </w:t>
      </w:r>
      <w:r w:rsidRPr="008C54FF">
        <w:rPr>
          <w:i/>
          <w:lang w:val="en-US"/>
        </w:rPr>
        <w:t>et al</w:t>
      </w:r>
      <w:r>
        <w:rPr>
          <w:lang w:val="en-US"/>
        </w:rPr>
        <w:t>. in their observation that participants do not perfectly adhere to study protocol instructions. We dispensed exact numbers of pills, monitored adherence by pill count and directly observed the final dose. We investigated the possibility of a dosing error and found nothing to suggest that this had occurred.</w:t>
      </w:r>
      <w:r w:rsidR="00322A81">
        <w:rPr>
          <w:lang w:val="en-US"/>
        </w:rPr>
        <w:t xml:space="preserve"> We recognize that others</w:t>
      </w:r>
      <w:r>
        <w:rPr>
          <w:lang w:val="en-US"/>
        </w:rPr>
        <w:t xml:space="preserve"> hav</w:t>
      </w:r>
      <w:r w:rsidR="00322A81">
        <w:rPr>
          <w:lang w:val="en-US"/>
        </w:rPr>
        <w:t>e reported unexplained peaks in concentration measurements of</w:t>
      </w:r>
      <w:r>
        <w:rPr>
          <w:lang w:val="en-US"/>
        </w:rPr>
        <w:t xml:space="preserve"> antiretroviral therapies</w:t>
      </w:r>
      <w:r w:rsidR="00040A78">
        <w:rPr>
          <w:lang w:val="en-US"/>
        </w:rPr>
        <w:t xml:space="preserve">. </w:t>
      </w:r>
      <w:r w:rsidR="00322A81">
        <w:rPr>
          <w:lang w:val="en-US"/>
        </w:rPr>
        <w:t xml:space="preserve">For example, </w:t>
      </w:r>
      <w:proofErr w:type="spellStart"/>
      <w:r w:rsidR="00040A78">
        <w:rPr>
          <w:lang w:val="en-US"/>
        </w:rPr>
        <w:t>Kakuda</w:t>
      </w:r>
      <w:proofErr w:type="spellEnd"/>
      <w:r w:rsidR="00040A78">
        <w:rPr>
          <w:lang w:val="en-US"/>
        </w:rPr>
        <w:t xml:space="preserve"> </w:t>
      </w:r>
      <w:r w:rsidR="00040A78" w:rsidRPr="008C54FF">
        <w:rPr>
          <w:i/>
          <w:lang w:val="en-US"/>
        </w:rPr>
        <w:t>et al</w:t>
      </w:r>
      <w:r>
        <w:rPr>
          <w:lang w:val="en-US"/>
        </w:rPr>
        <w:t>.</w:t>
      </w:r>
      <w:r w:rsidR="00040A78" w:rsidRPr="008C54FF">
        <w:rPr>
          <w:lang w:val="en-US"/>
        </w:rPr>
        <w:t xml:space="preserve"> </w:t>
      </w:r>
      <w:r w:rsidR="00040A78">
        <w:rPr>
          <w:lang w:val="en-US"/>
        </w:rPr>
        <w:t xml:space="preserve">reported </w:t>
      </w:r>
      <w:r>
        <w:rPr>
          <w:lang w:val="en-US"/>
        </w:rPr>
        <w:t>higher</w:t>
      </w:r>
      <w:r w:rsidR="00040A78">
        <w:rPr>
          <w:lang w:val="en-US"/>
        </w:rPr>
        <w:t xml:space="preserve"> </w:t>
      </w:r>
      <w:r w:rsidR="00040A78" w:rsidRPr="008C54FF">
        <w:rPr>
          <w:i/>
          <w:lang w:val="en-US"/>
        </w:rPr>
        <w:t>C</w:t>
      </w:r>
      <w:r w:rsidR="00040A78" w:rsidRPr="008C54FF">
        <w:rPr>
          <w:i/>
          <w:vertAlign w:val="subscript"/>
          <w:lang w:val="en-US"/>
        </w:rPr>
        <w:t>24</w:t>
      </w:r>
      <w:r>
        <w:rPr>
          <w:lang w:val="en-US"/>
        </w:rPr>
        <w:t xml:space="preserve"> in a healthy volunteer</w:t>
      </w:r>
      <w:r w:rsidR="00040A78">
        <w:rPr>
          <w:lang w:val="en-US"/>
        </w:rPr>
        <w:t xml:space="preserve"> study </w:t>
      </w:r>
      <w:r w:rsidR="00040A78" w:rsidRPr="00F0231E">
        <w:rPr>
          <w:lang w:val="en-US"/>
        </w:rPr>
        <w:t xml:space="preserve">of </w:t>
      </w:r>
      <w:r w:rsidR="00322A81">
        <w:rPr>
          <w:lang w:val="en-US"/>
        </w:rPr>
        <w:t xml:space="preserve">a fixed-dose combination of </w:t>
      </w:r>
      <w:proofErr w:type="spellStart"/>
      <w:r w:rsidR="00040A78">
        <w:rPr>
          <w:lang w:val="en-US"/>
        </w:rPr>
        <w:t>d</w:t>
      </w:r>
      <w:r w:rsidR="00040A78" w:rsidRPr="00F0231E">
        <w:rPr>
          <w:lang w:val="en-US"/>
        </w:rPr>
        <w:t>arunavir</w:t>
      </w:r>
      <w:proofErr w:type="spellEnd"/>
      <w:r w:rsidR="00040A78" w:rsidRPr="00F0231E">
        <w:rPr>
          <w:lang w:val="en-US"/>
        </w:rPr>
        <w:t xml:space="preserve"> </w:t>
      </w:r>
      <w:r w:rsidR="00322A81">
        <w:rPr>
          <w:lang w:val="en-US"/>
        </w:rPr>
        <w:t>plus</w:t>
      </w:r>
      <w:r w:rsidR="00040A78" w:rsidRPr="00F0231E">
        <w:rPr>
          <w:lang w:val="en-US"/>
        </w:rPr>
        <w:t xml:space="preserve"> </w:t>
      </w:r>
      <w:proofErr w:type="spellStart"/>
      <w:r w:rsidR="00040A78">
        <w:rPr>
          <w:lang w:val="en-US"/>
        </w:rPr>
        <w:t>c</w:t>
      </w:r>
      <w:r w:rsidR="00040A78" w:rsidRPr="00F0231E">
        <w:rPr>
          <w:lang w:val="en-US"/>
        </w:rPr>
        <w:t>obicistat</w:t>
      </w:r>
      <w:proofErr w:type="spellEnd"/>
      <w:r w:rsidR="00040A78" w:rsidRPr="00F0231E">
        <w:rPr>
          <w:lang w:val="en-US"/>
        </w:rPr>
        <w:t xml:space="preserve"> </w:t>
      </w:r>
      <w:r w:rsidR="00040A78">
        <w:rPr>
          <w:lang w:val="en-US"/>
        </w:rPr>
        <w:t>c</w:t>
      </w:r>
      <w:r w:rsidR="00040A78" w:rsidRPr="00F0231E">
        <w:rPr>
          <w:lang w:val="en-US"/>
        </w:rPr>
        <w:t>ompared with</w:t>
      </w:r>
      <w:r w:rsidR="00040A78">
        <w:rPr>
          <w:lang w:val="en-US"/>
        </w:rPr>
        <w:t xml:space="preserve"> </w:t>
      </w:r>
      <w:proofErr w:type="spellStart"/>
      <w:r w:rsidR="00040A78">
        <w:rPr>
          <w:lang w:val="en-US"/>
        </w:rPr>
        <w:t>d</w:t>
      </w:r>
      <w:r w:rsidR="00040A78" w:rsidRPr="00F0231E">
        <w:rPr>
          <w:lang w:val="en-US"/>
        </w:rPr>
        <w:t>arunavir</w:t>
      </w:r>
      <w:proofErr w:type="spellEnd"/>
      <w:r w:rsidR="00040A78" w:rsidRPr="00F0231E">
        <w:rPr>
          <w:lang w:val="en-US"/>
        </w:rPr>
        <w:t xml:space="preserve"> </w:t>
      </w:r>
      <w:r w:rsidR="00322A81">
        <w:rPr>
          <w:lang w:val="en-US"/>
        </w:rPr>
        <w:t>and</w:t>
      </w:r>
      <w:r w:rsidR="00040A78" w:rsidRPr="00F0231E">
        <w:rPr>
          <w:lang w:val="en-US"/>
        </w:rPr>
        <w:t xml:space="preserve"> </w:t>
      </w:r>
      <w:r w:rsidR="00040A78">
        <w:rPr>
          <w:lang w:val="en-US"/>
        </w:rPr>
        <w:t>r</w:t>
      </w:r>
      <w:r w:rsidR="00040A78" w:rsidRPr="00F0231E">
        <w:rPr>
          <w:lang w:val="en-US"/>
        </w:rPr>
        <w:t>itonavir as</w:t>
      </w:r>
      <w:r w:rsidR="00040A78">
        <w:rPr>
          <w:lang w:val="en-US"/>
        </w:rPr>
        <w:t xml:space="preserve"> s</w:t>
      </w:r>
      <w:r w:rsidR="00040A78" w:rsidRPr="00F0231E">
        <w:rPr>
          <w:lang w:val="en-US"/>
        </w:rPr>
        <w:t xml:space="preserve">ingle </w:t>
      </w:r>
      <w:r w:rsidR="00040A78">
        <w:rPr>
          <w:lang w:val="en-US"/>
        </w:rPr>
        <w:t>a</w:t>
      </w:r>
      <w:r w:rsidR="00040A78" w:rsidRPr="00F0231E">
        <w:rPr>
          <w:lang w:val="en-US"/>
        </w:rPr>
        <w:t>gents</w:t>
      </w:r>
      <w:r w:rsidR="00601F1E">
        <w:rPr>
          <w:lang w:val="en-US"/>
        </w:rPr>
        <w:t xml:space="preserve"> (1)</w:t>
      </w:r>
      <w:r w:rsidR="00040A78">
        <w:rPr>
          <w:lang w:val="en-US"/>
        </w:rPr>
        <w:t>.</w:t>
      </w:r>
      <w:r w:rsidR="00812AAF">
        <w:rPr>
          <w:lang w:val="en-US"/>
        </w:rPr>
        <w:t xml:space="preserve"> </w:t>
      </w:r>
      <w:r w:rsidR="00322A81">
        <w:rPr>
          <w:lang w:val="en-US"/>
        </w:rPr>
        <w:t>Unexpected peaks may occur due to enterohepatic circulation</w:t>
      </w:r>
      <w:r w:rsidR="00550EA1">
        <w:rPr>
          <w:lang w:val="en-US"/>
        </w:rPr>
        <w:t xml:space="preserve"> and by other mechanisms including</w:t>
      </w:r>
      <w:r w:rsidR="00322A81">
        <w:rPr>
          <w:lang w:val="en-US"/>
        </w:rPr>
        <w:t xml:space="preserve"> </w:t>
      </w:r>
      <w:r w:rsidR="007531EB">
        <w:rPr>
          <w:lang w:val="en-US"/>
        </w:rPr>
        <w:t>drug formulation</w:t>
      </w:r>
      <w:r w:rsidR="005E1AF6">
        <w:rPr>
          <w:lang w:val="en-US"/>
        </w:rPr>
        <w:t xml:space="preserve"> and</w:t>
      </w:r>
      <w:r w:rsidR="00137846">
        <w:rPr>
          <w:lang w:val="en-US"/>
        </w:rPr>
        <w:t xml:space="preserve"> inter-</w:t>
      </w:r>
      <w:r w:rsidR="00AA7C82">
        <w:rPr>
          <w:lang w:val="en-US"/>
        </w:rPr>
        <w:t xml:space="preserve">subject </w:t>
      </w:r>
      <w:r w:rsidR="001F0047">
        <w:rPr>
          <w:lang w:val="en-US"/>
        </w:rPr>
        <w:t>physiological</w:t>
      </w:r>
      <w:r w:rsidR="007531EB">
        <w:rPr>
          <w:lang w:val="en-US"/>
        </w:rPr>
        <w:t xml:space="preserve"> </w:t>
      </w:r>
      <w:r w:rsidR="000C126A">
        <w:rPr>
          <w:lang w:val="en-US"/>
        </w:rPr>
        <w:t>variability</w:t>
      </w:r>
      <w:r w:rsidR="00550EA1">
        <w:rPr>
          <w:lang w:val="en-US"/>
        </w:rPr>
        <w:t xml:space="preserve"> (2</w:t>
      </w:r>
      <w:r w:rsidR="00B74943">
        <w:rPr>
          <w:lang w:val="en-US"/>
        </w:rPr>
        <w:t>)</w:t>
      </w:r>
      <w:r w:rsidR="00AB56CB">
        <w:rPr>
          <w:lang w:val="en-US"/>
        </w:rPr>
        <w:t>.</w:t>
      </w:r>
      <w:r w:rsidR="00322A81">
        <w:rPr>
          <w:lang w:val="en-US"/>
        </w:rPr>
        <w:t xml:space="preserve"> </w:t>
      </w:r>
      <w:proofErr w:type="spellStart"/>
      <w:r w:rsidR="00696E28">
        <w:rPr>
          <w:lang w:val="en-US"/>
        </w:rPr>
        <w:t>Castellino</w:t>
      </w:r>
      <w:proofErr w:type="spellEnd"/>
      <w:r w:rsidR="00696E28">
        <w:rPr>
          <w:lang w:val="en-US"/>
        </w:rPr>
        <w:t xml:space="preserve"> </w:t>
      </w:r>
      <w:r w:rsidR="00696E28" w:rsidRPr="00696E28">
        <w:rPr>
          <w:i/>
          <w:lang w:val="en-US"/>
        </w:rPr>
        <w:t>et al</w:t>
      </w:r>
      <w:r w:rsidR="00696E28">
        <w:rPr>
          <w:lang w:val="en-US"/>
        </w:rPr>
        <w:t>. report that</w:t>
      </w:r>
      <w:r w:rsidR="00550EA1">
        <w:rPr>
          <w:lang w:val="en-US"/>
        </w:rPr>
        <w:t xml:space="preserve"> 33%-48% of </w:t>
      </w:r>
      <w:r w:rsidR="00696E28">
        <w:rPr>
          <w:lang w:val="en-US"/>
        </w:rPr>
        <w:t xml:space="preserve">the fraction of </w:t>
      </w:r>
      <w:r w:rsidR="00550EA1">
        <w:rPr>
          <w:lang w:val="en-US"/>
        </w:rPr>
        <w:t>DTG absorbed in the gastrointestinal tract undergoes enterohepatic recirculation (3).</w:t>
      </w:r>
    </w:p>
    <w:p w14:paraId="35A4171F" w14:textId="3356E0C5" w:rsidR="00C805DE" w:rsidRDefault="00550EA1" w:rsidP="00074DA2">
      <w:pPr>
        <w:rPr>
          <w:lang w:val="en-US"/>
        </w:rPr>
      </w:pPr>
      <w:r>
        <w:rPr>
          <w:lang w:val="en-US"/>
        </w:rPr>
        <w:t>For these reasons</w:t>
      </w:r>
      <w:r w:rsidR="00322A81">
        <w:rPr>
          <w:lang w:val="en-US"/>
        </w:rPr>
        <w:t xml:space="preserve">, we felt that the most appropriate approach was to retain all data points in our </w:t>
      </w:r>
      <w:r>
        <w:rPr>
          <w:lang w:val="en-US"/>
        </w:rPr>
        <w:t>analyses</w:t>
      </w:r>
      <w:r w:rsidR="00322A81">
        <w:rPr>
          <w:lang w:val="en-US"/>
        </w:rPr>
        <w:t xml:space="preserve">. </w:t>
      </w:r>
      <w:r w:rsidR="001F3D40">
        <w:rPr>
          <w:lang w:val="en-US"/>
        </w:rPr>
        <w:t xml:space="preserve">However, </w:t>
      </w:r>
      <w:r w:rsidR="001F3D40" w:rsidRPr="001F3D40">
        <w:rPr>
          <w:lang w:val="en-US"/>
        </w:rPr>
        <w:t xml:space="preserve">we </w:t>
      </w:r>
      <w:r>
        <w:rPr>
          <w:lang w:val="en-US"/>
        </w:rPr>
        <w:t>have stated</w:t>
      </w:r>
      <w:r w:rsidR="001F3D40" w:rsidRPr="001F3D40">
        <w:rPr>
          <w:lang w:val="en-US"/>
        </w:rPr>
        <w:t xml:space="preserve"> (and Banda </w:t>
      </w:r>
      <w:r w:rsidR="001F3D40" w:rsidRPr="00322A81">
        <w:rPr>
          <w:i/>
          <w:lang w:val="en-US"/>
        </w:rPr>
        <w:t>et al</w:t>
      </w:r>
      <w:r w:rsidR="00322A81">
        <w:rPr>
          <w:lang w:val="en-US"/>
        </w:rPr>
        <w:t>.</w:t>
      </w:r>
      <w:r w:rsidR="001F3D40" w:rsidRPr="001F3D40">
        <w:rPr>
          <w:lang w:val="en-US"/>
        </w:rPr>
        <w:t xml:space="preserve"> acknowledge), </w:t>
      </w:r>
      <w:r w:rsidR="001A0603">
        <w:rPr>
          <w:lang w:val="en-US"/>
        </w:rPr>
        <w:t>that</w:t>
      </w:r>
      <w:r w:rsidR="00322A81">
        <w:rPr>
          <w:lang w:val="en-US"/>
        </w:rPr>
        <w:t xml:space="preserve"> the</w:t>
      </w:r>
      <w:r w:rsidR="001A0603">
        <w:rPr>
          <w:lang w:val="en-US"/>
        </w:rPr>
        <w:t xml:space="preserve"> </w:t>
      </w:r>
      <w:r w:rsidR="00322A81">
        <w:rPr>
          <w:lang w:val="en-US"/>
        </w:rPr>
        <w:t>statistical difference</w:t>
      </w:r>
      <w:r>
        <w:rPr>
          <w:lang w:val="en-US"/>
        </w:rPr>
        <w:t xml:space="preserve"> that</w:t>
      </w:r>
      <w:r w:rsidR="00322A81">
        <w:rPr>
          <w:lang w:val="en-US"/>
        </w:rPr>
        <w:t xml:space="preserve"> we </w:t>
      </w:r>
      <w:r>
        <w:rPr>
          <w:lang w:val="en-US"/>
        </w:rPr>
        <w:t>reported</w:t>
      </w:r>
      <w:r w:rsidR="00322A81">
        <w:rPr>
          <w:lang w:val="en-US"/>
        </w:rPr>
        <w:t xml:space="preserve"> </w:t>
      </w:r>
      <w:r w:rsidR="001F3D40" w:rsidRPr="001F3D40">
        <w:rPr>
          <w:lang w:val="en-US"/>
        </w:rPr>
        <w:t xml:space="preserve">is not </w:t>
      </w:r>
      <w:r w:rsidR="00322A81">
        <w:rPr>
          <w:lang w:val="en-US"/>
        </w:rPr>
        <w:t xml:space="preserve">clinically </w:t>
      </w:r>
      <w:r w:rsidR="001F3D40" w:rsidRPr="001F3D40">
        <w:rPr>
          <w:lang w:val="en-US"/>
        </w:rPr>
        <w:t>significant</w:t>
      </w:r>
      <w:r w:rsidR="00494167">
        <w:rPr>
          <w:lang w:val="en-US"/>
        </w:rPr>
        <w:t>.</w:t>
      </w:r>
    </w:p>
    <w:p w14:paraId="2463B83A" w14:textId="7491D923" w:rsidR="009249E2" w:rsidRDefault="009249E2" w:rsidP="00074DA2">
      <w:pPr>
        <w:rPr>
          <w:lang w:val="en-US"/>
        </w:rPr>
      </w:pPr>
    </w:p>
    <w:p w14:paraId="3FFFE7C0" w14:textId="20158158" w:rsidR="000F24D4" w:rsidRPr="009249E2" w:rsidRDefault="000F24D4" w:rsidP="00074DA2">
      <w:pPr>
        <w:rPr>
          <w:b/>
          <w:lang w:val="en-US"/>
        </w:rPr>
      </w:pPr>
      <w:r w:rsidRPr="009249E2">
        <w:rPr>
          <w:b/>
          <w:lang w:val="en-US"/>
        </w:rPr>
        <w:t>Reference</w:t>
      </w:r>
      <w:r w:rsidR="003A3595" w:rsidRPr="009249E2">
        <w:rPr>
          <w:b/>
          <w:lang w:val="en-US"/>
        </w:rPr>
        <w:t>s</w:t>
      </w:r>
    </w:p>
    <w:p w14:paraId="5E97388D" w14:textId="77777777" w:rsidR="00CD6908" w:rsidRDefault="00D25B22" w:rsidP="00074DA2">
      <w:pPr>
        <w:pStyle w:val="ListParagraph"/>
        <w:numPr>
          <w:ilvl w:val="0"/>
          <w:numId w:val="1"/>
        </w:numPr>
        <w:rPr>
          <w:lang w:val="en-US"/>
        </w:rPr>
      </w:pPr>
      <w:proofErr w:type="spellStart"/>
      <w:r w:rsidRPr="00936968">
        <w:rPr>
          <w:lang w:val="en-US"/>
        </w:rPr>
        <w:t>Kakuda</w:t>
      </w:r>
      <w:proofErr w:type="spellEnd"/>
      <w:r w:rsidRPr="00936968">
        <w:rPr>
          <w:lang w:val="en-US"/>
        </w:rPr>
        <w:t xml:space="preserve">, T.N., </w:t>
      </w:r>
      <w:proofErr w:type="spellStart"/>
      <w:r w:rsidRPr="00936968">
        <w:rPr>
          <w:lang w:val="en-US"/>
        </w:rPr>
        <w:t>Opsomer</w:t>
      </w:r>
      <w:proofErr w:type="spellEnd"/>
      <w:r w:rsidRPr="00936968">
        <w:rPr>
          <w:lang w:val="en-US"/>
        </w:rPr>
        <w:t xml:space="preserve">, M., </w:t>
      </w:r>
      <w:proofErr w:type="spellStart"/>
      <w:r w:rsidRPr="00936968">
        <w:rPr>
          <w:lang w:val="en-US"/>
        </w:rPr>
        <w:t>Timmers</w:t>
      </w:r>
      <w:proofErr w:type="spellEnd"/>
      <w:r w:rsidRPr="00936968">
        <w:rPr>
          <w:lang w:val="en-US"/>
        </w:rPr>
        <w:t xml:space="preserve">, M., </w:t>
      </w:r>
      <w:proofErr w:type="spellStart"/>
      <w:r w:rsidRPr="00936968">
        <w:rPr>
          <w:lang w:val="en-US"/>
        </w:rPr>
        <w:t>Iterbeke</w:t>
      </w:r>
      <w:proofErr w:type="spellEnd"/>
      <w:r w:rsidRPr="00936968">
        <w:rPr>
          <w:lang w:val="en-US"/>
        </w:rPr>
        <w:t xml:space="preserve">, K., Van De </w:t>
      </w:r>
      <w:proofErr w:type="spellStart"/>
      <w:r w:rsidRPr="00936968">
        <w:rPr>
          <w:lang w:val="en-US"/>
        </w:rPr>
        <w:t>Casteele</w:t>
      </w:r>
      <w:proofErr w:type="spellEnd"/>
      <w:r w:rsidRPr="00936968">
        <w:rPr>
          <w:lang w:val="en-US"/>
        </w:rPr>
        <w:t xml:space="preserve">, T., </w:t>
      </w:r>
      <w:proofErr w:type="spellStart"/>
      <w:r w:rsidRPr="00936968">
        <w:rPr>
          <w:lang w:val="en-US"/>
        </w:rPr>
        <w:t>Hillewaert</w:t>
      </w:r>
      <w:proofErr w:type="spellEnd"/>
      <w:r w:rsidRPr="00936968">
        <w:rPr>
          <w:lang w:val="en-US"/>
        </w:rPr>
        <w:t xml:space="preserve">, V., </w:t>
      </w:r>
      <w:proofErr w:type="spellStart"/>
      <w:r w:rsidRPr="00936968">
        <w:rPr>
          <w:lang w:val="en-US"/>
        </w:rPr>
        <w:t>Petrovic</w:t>
      </w:r>
      <w:proofErr w:type="spellEnd"/>
      <w:r w:rsidRPr="00936968">
        <w:rPr>
          <w:lang w:val="en-US"/>
        </w:rPr>
        <w:t xml:space="preserve">, R. and </w:t>
      </w:r>
      <w:proofErr w:type="spellStart"/>
      <w:r w:rsidRPr="00936968">
        <w:rPr>
          <w:lang w:val="en-US"/>
        </w:rPr>
        <w:t>Hoetelmans</w:t>
      </w:r>
      <w:proofErr w:type="spellEnd"/>
      <w:r w:rsidRPr="00936968">
        <w:rPr>
          <w:lang w:val="en-US"/>
        </w:rPr>
        <w:t>, R.M., 2014. Pharmacokinetics of darunavir in fixed‐dose combination with cobicistat compared with coadministration of darunavir and ritonavir as single agents in healthy volunteers. The Journal of Clinical Pharmacology, 54(8), pp.949-957.</w:t>
      </w:r>
    </w:p>
    <w:p w14:paraId="0A70C16A" w14:textId="2B3E1822" w:rsidR="004075FE" w:rsidRDefault="00551CFF" w:rsidP="00074DA2">
      <w:pPr>
        <w:pStyle w:val="ListParagraph"/>
        <w:numPr>
          <w:ilvl w:val="0"/>
          <w:numId w:val="1"/>
        </w:numPr>
      </w:pPr>
      <w:r w:rsidRPr="00551CFF">
        <w:t>Davies, N.M., Takemoto, J.K., Brocks, D.R. and Yanez, J.A., 2010. Multiple peaking phenomena in pharmacokinetic disposition. Clinical pharmacokinetics, 49(6), pp.351-377.</w:t>
      </w:r>
    </w:p>
    <w:p w14:paraId="08308F4C" w14:textId="4691A8FC" w:rsidR="00FB6657" w:rsidRDefault="00FB6657" w:rsidP="00FB6657">
      <w:pPr>
        <w:pStyle w:val="ListParagraph"/>
        <w:numPr>
          <w:ilvl w:val="0"/>
          <w:numId w:val="1"/>
        </w:numPr>
      </w:pPr>
      <w:proofErr w:type="spellStart"/>
      <w:r w:rsidRPr="00CD6908">
        <w:rPr>
          <w:lang w:val="en-US"/>
        </w:rPr>
        <w:t>Castellino</w:t>
      </w:r>
      <w:proofErr w:type="spellEnd"/>
      <w:r w:rsidRPr="00CD6908">
        <w:rPr>
          <w:lang w:val="en-US"/>
        </w:rPr>
        <w:t xml:space="preserve">, S., Moss, L., Wagner, D., Borland, J., Song, I., Chen, S., Lou, Y., Min, S.S., </w:t>
      </w:r>
      <w:proofErr w:type="spellStart"/>
      <w:r w:rsidRPr="00CD6908">
        <w:rPr>
          <w:lang w:val="en-US"/>
        </w:rPr>
        <w:t>Goljer</w:t>
      </w:r>
      <w:proofErr w:type="spellEnd"/>
      <w:r w:rsidRPr="00CD6908">
        <w:rPr>
          <w:lang w:val="en-US"/>
        </w:rPr>
        <w:t xml:space="preserve">, I., Culp, A. and </w:t>
      </w:r>
      <w:proofErr w:type="spellStart"/>
      <w:r w:rsidRPr="00CD6908">
        <w:rPr>
          <w:lang w:val="en-US"/>
        </w:rPr>
        <w:t>Piscitelli</w:t>
      </w:r>
      <w:proofErr w:type="spellEnd"/>
      <w:r w:rsidRPr="00CD6908">
        <w:rPr>
          <w:lang w:val="en-US"/>
        </w:rPr>
        <w:t>, S.C., 2013. Metabolism, excretion, and mass balance of the HIV-1 integrase inhibitor dolutegravir in humans. Antimicrobial agents and chemotherapy, 57(8), pp.3536-3546.</w:t>
      </w:r>
    </w:p>
    <w:p w14:paraId="1231E746" w14:textId="1F821683" w:rsidR="00B0272C" w:rsidRDefault="00B0272C" w:rsidP="00074DA2"/>
    <w:p w14:paraId="3C9EFC8B" w14:textId="7839A579" w:rsidR="00074DA2" w:rsidRDefault="00074DA2" w:rsidP="00074DA2"/>
    <w:sectPr w:rsidR="00074DA2" w:rsidSect="00C11B9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31A5"/>
    <w:multiLevelType w:val="hybridMultilevel"/>
    <w:tmpl w:val="D034EE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A2"/>
    <w:rsid w:val="00005316"/>
    <w:rsid w:val="000174D8"/>
    <w:rsid w:val="00031CA3"/>
    <w:rsid w:val="00036B5B"/>
    <w:rsid w:val="00040A78"/>
    <w:rsid w:val="0004394A"/>
    <w:rsid w:val="00046DCB"/>
    <w:rsid w:val="00047746"/>
    <w:rsid w:val="00056229"/>
    <w:rsid w:val="0006142F"/>
    <w:rsid w:val="00074DA2"/>
    <w:rsid w:val="000879F8"/>
    <w:rsid w:val="000A0580"/>
    <w:rsid w:val="000B2823"/>
    <w:rsid w:val="000C126A"/>
    <w:rsid w:val="000E1191"/>
    <w:rsid w:val="000F24D4"/>
    <w:rsid w:val="00110B42"/>
    <w:rsid w:val="00137846"/>
    <w:rsid w:val="001521F3"/>
    <w:rsid w:val="00162387"/>
    <w:rsid w:val="00183547"/>
    <w:rsid w:val="001A0603"/>
    <w:rsid w:val="001A6E90"/>
    <w:rsid w:val="001B5547"/>
    <w:rsid w:val="001C15BC"/>
    <w:rsid w:val="001D5F7D"/>
    <w:rsid w:val="001D69B7"/>
    <w:rsid w:val="001F0047"/>
    <w:rsid w:val="001F3D40"/>
    <w:rsid w:val="001F5BE9"/>
    <w:rsid w:val="00215C2E"/>
    <w:rsid w:val="00217591"/>
    <w:rsid w:val="00227404"/>
    <w:rsid w:val="00233FD4"/>
    <w:rsid w:val="00265473"/>
    <w:rsid w:val="002843AC"/>
    <w:rsid w:val="002A36DB"/>
    <w:rsid w:val="002C24EF"/>
    <w:rsid w:val="002C5B34"/>
    <w:rsid w:val="002D14E4"/>
    <w:rsid w:val="002E4323"/>
    <w:rsid w:val="002E700A"/>
    <w:rsid w:val="003006E8"/>
    <w:rsid w:val="00314E60"/>
    <w:rsid w:val="00322A81"/>
    <w:rsid w:val="003334BE"/>
    <w:rsid w:val="00351680"/>
    <w:rsid w:val="00355728"/>
    <w:rsid w:val="00371AC5"/>
    <w:rsid w:val="00373E95"/>
    <w:rsid w:val="00384F81"/>
    <w:rsid w:val="00395C30"/>
    <w:rsid w:val="00396790"/>
    <w:rsid w:val="003A3595"/>
    <w:rsid w:val="003B003A"/>
    <w:rsid w:val="003C072A"/>
    <w:rsid w:val="003C1E56"/>
    <w:rsid w:val="003E1154"/>
    <w:rsid w:val="0040605F"/>
    <w:rsid w:val="004075FE"/>
    <w:rsid w:val="00410C33"/>
    <w:rsid w:val="0041666B"/>
    <w:rsid w:val="004312F0"/>
    <w:rsid w:val="00433416"/>
    <w:rsid w:val="00446E4D"/>
    <w:rsid w:val="0045357B"/>
    <w:rsid w:val="00465B08"/>
    <w:rsid w:val="00470648"/>
    <w:rsid w:val="004807C0"/>
    <w:rsid w:val="0048489B"/>
    <w:rsid w:val="00494167"/>
    <w:rsid w:val="00495AE7"/>
    <w:rsid w:val="00497D7F"/>
    <w:rsid w:val="004E440B"/>
    <w:rsid w:val="004F1951"/>
    <w:rsid w:val="00523FDF"/>
    <w:rsid w:val="00536A4B"/>
    <w:rsid w:val="00550276"/>
    <w:rsid w:val="00550EA1"/>
    <w:rsid w:val="00551CFF"/>
    <w:rsid w:val="00552E8B"/>
    <w:rsid w:val="00556125"/>
    <w:rsid w:val="005D36A3"/>
    <w:rsid w:val="005E1AF6"/>
    <w:rsid w:val="005E4847"/>
    <w:rsid w:val="005E4FB6"/>
    <w:rsid w:val="005F3DA0"/>
    <w:rsid w:val="00601F1E"/>
    <w:rsid w:val="00615C12"/>
    <w:rsid w:val="00617880"/>
    <w:rsid w:val="006266E4"/>
    <w:rsid w:val="006415E4"/>
    <w:rsid w:val="00641B1B"/>
    <w:rsid w:val="00643C87"/>
    <w:rsid w:val="00655941"/>
    <w:rsid w:val="00663167"/>
    <w:rsid w:val="0066553A"/>
    <w:rsid w:val="00682D56"/>
    <w:rsid w:val="00696E28"/>
    <w:rsid w:val="006C6C01"/>
    <w:rsid w:val="00710A15"/>
    <w:rsid w:val="00714951"/>
    <w:rsid w:val="0074542F"/>
    <w:rsid w:val="007531EB"/>
    <w:rsid w:val="00784FF0"/>
    <w:rsid w:val="007D4A2D"/>
    <w:rsid w:val="007E79E8"/>
    <w:rsid w:val="007F5D54"/>
    <w:rsid w:val="007F5F27"/>
    <w:rsid w:val="00812AAF"/>
    <w:rsid w:val="00825FAB"/>
    <w:rsid w:val="0083356C"/>
    <w:rsid w:val="008411BF"/>
    <w:rsid w:val="00842272"/>
    <w:rsid w:val="008463DC"/>
    <w:rsid w:val="00867B6D"/>
    <w:rsid w:val="00890E8B"/>
    <w:rsid w:val="0089606E"/>
    <w:rsid w:val="00897B04"/>
    <w:rsid w:val="00897B97"/>
    <w:rsid w:val="008C54FF"/>
    <w:rsid w:val="00913DAC"/>
    <w:rsid w:val="009218F1"/>
    <w:rsid w:val="009249E2"/>
    <w:rsid w:val="00932B49"/>
    <w:rsid w:val="00935047"/>
    <w:rsid w:val="00936968"/>
    <w:rsid w:val="00937E37"/>
    <w:rsid w:val="009458AA"/>
    <w:rsid w:val="00950760"/>
    <w:rsid w:val="009509FC"/>
    <w:rsid w:val="00952CA2"/>
    <w:rsid w:val="009645B0"/>
    <w:rsid w:val="00964F73"/>
    <w:rsid w:val="00990848"/>
    <w:rsid w:val="00993063"/>
    <w:rsid w:val="009A3612"/>
    <w:rsid w:val="009B2DAE"/>
    <w:rsid w:val="009C371D"/>
    <w:rsid w:val="009D002D"/>
    <w:rsid w:val="009F0AF1"/>
    <w:rsid w:val="009F228D"/>
    <w:rsid w:val="00A04C54"/>
    <w:rsid w:val="00A10986"/>
    <w:rsid w:val="00A41160"/>
    <w:rsid w:val="00A509C0"/>
    <w:rsid w:val="00A53BE3"/>
    <w:rsid w:val="00A64AC6"/>
    <w:rsid w:val="00A66E5B"/>
    <w:rsid w:val="00A73377"/>
    <w:rsid w:val="00A85762"/>
    <w:rsid w:val="00A87BF2"/>
    <w:rsid w:val="00AA7C82"/>
    <w:rsid w:val="00AB4E6B"/>
    <w:rsid w:val="00AB56CB"/>
    <w:rsid w:val="00AB7795"/>
    <w:rsid w:val="00AC0CB0"/>
    <w:rsid w:val="00AC24CC"/>
    <w:rsid w:val="00AC3DC3"/>
    <w:rsid w:val="00AD16D4"/>
    <w:rsid w:val="00AD5C18"/>
    <w:rsid w:val="00B0272C"/>
    <w:rsid w:val="00B04C19"/>
    <w:rsid w:val="00B102F1"/>
    <w:rsid w:val="00B14585"/>
    <w:rsid w:val="00B24A24"/>
    <w:rsid w:val="00B256DB"/>
    <w:rsid w:val="00B30039"/>
    <w:rsid w:val="00B42498"/>
    <w:rsid w:val="00B507E5"/>
    <w:rsid w:val="00B5421D"/>
    <w:rsid w:val="00B55EC9"/>
    <w:rsid w:val="00B663BB"/>
    <w:rsid w:val="00B67D05"/>
    <w:rsid w:val="00B74943"/>
    <w:rsid w:val="00B769FB"/>
    <w:rsid w:val="00B91600"/>
    <w:rsid w:val="00B92E36"/>
    <w:rsid w:val="00BA7783"/>
    <w:rsid w:val="00BA7E63"/>
    <w:rsid w:val="00BB3ADA"/>
    <w:rsid w:val="00BC1403"/>
    <w:rsid w:val="00BD153C"/>
    <w:rsid w:val="00BE055E"/>
    <w:rsid w:val="00C11B95"/>
    <w:rsid w:val="00C11D50"/>
    <w:rsid w:val="00C15C2E"/>
    <w:rsid w:val="00C3340B"/>
    <w:rsid w:val="00C517F8"/>
    <w:rsid w:val="00C54D94"/>
    <w:rsid w:val="00C5563F"/>
    <w:rsid w:val="00C64714"/>
    <w:rsid w:val="00C805DE"/>
    <w:rsid w:val="00C815D2"/>
    <w:rsid w:val="00C82A50"/>
    <w:rsid w:val="00C95DBE"/>
    <w:rsid w:val="00CA142F"/>
    <w:rsid w:val="00CA4E75"/>
    <w:rsid w:val="00CB50D4"/>
    <w:rsid w:val="00CB5D41"/>
    <w:rsid w:val="00CB71B7"/>
    <w:rsid w:val="00CC1649"/>
    <w:rsid w:val="00CD6908"/>
    <w:rsid w:val="00CE156F"/>
    <w:rsid w:val="00CE7CE4"/>
    <w:rsid w:val="00D04A8A"/>
    <w:rsid w:val="00D25B22"/>
    <w:rsid w:val="00D45880"/>
    <w:rsid w:val="00D47AB8"/>
    <w:rsid w:val="00D63F34"/>
    <w:rsid w:val="00D76588"/>
    <w:rsid w:val="00DA397E"/>
    <w:rsid w:val="00DB4FCE"/>
    <w:rsid w:val="00DD2AE3"/>
    <w:rsid w:val="00DE6517"/>
    <w:rsid w:val="00DE71A5"/>
    <w:rsid w:val="00E15BDE"/>
    <w:rsid w:val="00E24C10"/>
    <w:rsid w:val="00E61001"/>
    <w:rsid w:val="00E620C9"/>
    <w:rsid w:val="00E738B9"/>
    <w:rsid w:val="00E8643C"/>
    <w:rsid w:val="00E915CB"/>
    <w:rsid w:val="00E94D02"/>
    <w:rsid w:val="00EA1F3F"/>
    <w:rsid w:val="00EB6C19"/>
    <w:rsid w:val="00ED0946"/>
    <w:rsid w:val="00ED56AF"/>
    <w:rsid w:val="00EE1CF9"/>
    <w:rsid w:val="00F0045E"/>
    <w:rsid w:val="00F0231E"/>
    <w:rsid w:val="00F11741"/>
    <w:rsid w:val="00F16245"/>
    <w:rsid w:val="00F6024C"/>
    <w:rsid w:val="00F9346D"/>
    <w:rsid w:val="00F948E8"/>
    <w:rsid w:val="00F95137"/>
    <w:rsid w:val="00FB2514"/>
    <w:rsid w:val="00FB6657"/>
    <w:rsid w:val="00FC77F9"/>
    <w:rsid w:val="00FD7363"/>
    <w:rsid w:val="00FE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EACE"/>
  <w15:chartTrackingRefBased/>
  <w15:docId w15:val="{2884B20B-0223-4CE5-9633-4E87A8D7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68"/>
    <w:pPr>
      <w:ind w:left="720"/>
      <w:contextualSpacing/>
    </w:pPr>
  </w:style>
  <w:style w:type="character" w:styleId="LineNumber">
    <w:name w:val="line number"/>
    <w:basedOn w:val="DefaultParagraphFont"/>
    <w:uiPriority w:val="99"/>
    <w:semiHidden/>
    <w:unhideWhenUsed/>
    <w:rsid w:val="00C1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Ian Walimbwa</dc:creator>
  <cp:keywords/>
  <dc:description/>
  <cp:lastModifiedBy>Khoo, Saye</cp:lastModifiedBy>
  <cp:revision>2</cp:revision>
  <dcterms:created xsi:type="dcterms:W3CDTF">2019-08-01T11:35:00Z</dcterms:created>
  <dcterms:modified xsi:type="dcterms:W3CDTF">2019-08-01T11:35:00Z</dcterms:modified>
</cp:coreProperties>
</file>