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121" w:rsidRDefault="002E4BD5">
      <w:pPr>
        <w:rPr>
          <w:b/>
        </w:rPr>
      </w:pPr>
      <w:bookmarkStart w:id="0" w:name="_GoBack"/>
      <w:bookmarkEnd w:id="0"/>
      <w:r>
        <w:rPr>
          <w:b/>
        </w:rPr>
        <w:t>Global public interest in</w:t>
      </w:r>
      <w:r w:rsidR="00E57121" w:rsidRPr="00E57121">
        <w:rPr>
          <w:b/>
        </w:rPr>
        <w:t xml:space="preserve"> infectious and non-infectious arthritis: an evaluation using Google Trends</w:t>
      </w:r>
    </w:p>
    <w:p w:rsidR="00D10297" w:rsidRPr="00D10297" w:rsidRDefault="00D10297">
      <w:pPr>
        <w:rPr>
          <w:vertAlign w:val="superscript"/>
        </w:rPr>
      </w:pPr>
      <w:r w:rsidRPr="00D10297">
        <w:t>Mrinalini Dey</w:t>
      </w:r>
      <w:r w:rsidRPr="00D10297">
        <w:rPr>
          <w:vertAlign w:val="superscript"/>
        </w:rPr>
        <w:t>1,2</w:t>
      </w:r>
      <w:r w:rsidRPr="00D10297">
        <w:t>,</w:t>
      </w:r>
      <w:r w:rsidR="00A4159D">
        <w:t xml:space="preserve"> </w:t>
      </w:r>
      <w:r w:rsidR="004F55D6">
        <w:t xml:space="preserve">Steven </w:t>
      </w:r>
      <w:r w:rsidR="00A4159D">
        <w:t>Sizheng Zhao</w:t>
      </w:r>
      <w:r w:rsidR="00A4159D">
        <w:rPr>
          <w:vertAlign w:val="superscript"/>
        </w:rPr>
        <w:t>1,2</w:t>
      </w:r>
      <w:r w:rsidR="00A4159D">
        <w:t>,</w:t>
      </w:r>
      <w:r w:rsidRPr="00D10297">
        <w:t xml:space="preserve"> Nicola Goodson</w:t>
      </w:r>
      <w:r w:rsidRPr="00D10297">
        <w:rPr>
          <w:vertAlign w:val="superscript"/>
        </w:rPr>
        <w:t>1,2</w:t>
      </w:r>
    </w:p>
    <w:p w:rsidR="00D10297" w:rsidRDefault="00D10297" w:rsidP="00D10297">
      <w:r>
        <w:rPr>
          <w:b/>
          <w:vertAlign w:val="superscript"/>
        </w:rPr>
        <w:t>1</w:t>
      </w:r>
      <w:r>
        <w:t>Musculoskeletal Biology I, Institute of Ageing and Chronic Disease, University of Liverpool, UK</w:t>
      </w:r>
    </w:p>
    <w:p w:rsidR="00D10297" w:rsidRDefault="00D10297" w:rsidP="00D10297">
      <w:r>
        <w:rPr>
          <w:vertAlign w:val="superscript"/>
        </w:rPr>
        <w:t>2</w:t>
      </w:r>
      <w:r>
        <w:t>Department of Academic Rheumatology, Aintree University Hospital NHS Foundation Trust, Liverpool, UK</w:t>
      </w:r>
    </w:p>
    <w:p w:rsidR="00E57121" w:rsidRDefault="00E57121">
      <w:r w:rsidRPr="00D10297">
        <w:rPr>
          <w:b/>
        </w:rPr>
        <w:t>Key message:</w:t>
      </w:r>
      <w:r>
        <w:t xml:space="preserve"> </w:t>
      </w:r>
      <w:r w:rsidR="00A86B36">
        <w:t>Google Trends</w:t>
      </w:r>
      <w:r w:rsidR="00D10297">
        <w:t xml:space="preserve"> </w:t>
      </w:r>
      <w:r w:rsidR="00A86B36">
        <w:t xml:space="preserve">indicates regional interest in infectious and non-infectious arthritis is associated with economic status. </w:t>
      </w:r>
    </w:p>
    <w:p w:rsidR="00706776" w:rsidRPr="0075014D" w:rsidRDefault="00706776">
      <w:r w:rsidRPr="0075014D">
        <w:t>Sir,</w:t>
      </w:r>
    </w:p>
    <w:p w:rsidR="00706776" w:rsidRPr="0075014D" w:rsidRDefault="000A7EB5">
      <w:r w:rsidRPr="0075014D">
        <w:t xml:space="preserve">The Internet is used by millions of people daily in order to find health information. The most common search engine is Google, accounting for 75% of these searches </w:t>
      </w:r>
      <w:r w:rsidRPr="0075014D">
        <w:fldChar w:fldCharType="begin" w:fldLock="1"/>
      </w:r>
      <w:r w:rsidR="00684DF4">
        <w:instrText>ADDIN CSL_CITATION { "citationItems" : [ { "id" : "ITEM-1", "itemData" : { "URL" : "https://www.netmarketshare.com/search-engine-market-share?options=%7B%22filter%22%3A%7B%22%24and%22%3A%5B%7B%22deviceType%22%3A%7B%22%24in%22%3A%5B%22Desktop%2Flaptop%22%5D%7D%7D%5D%7D%2C%22dateLabel%22%3A%22Trend%22%2C%22attributes%22%3A%22share%22%2C%22", "accessed" : { "date-parts" : [ [ "2019", "4", "11" ] ] }, "id" : "ITEM-1", "issued" : { "date-parts" : [ [ "0" ] ] }, "title" : "Search engine market share", "type" : "webpage" }, "uris" : [ "http://www.mendeley.com/documents/?uuid=c5870948-ae17-3e30-92a6-f2f0d9908e36" ] } ], "mendeley" : { "formattedCitation" : "[1]", "plainTextFormattedCitation" : "[1]", "previouslyFormattedCitation" : "[1]" }, "properties" : {  }, "schema" : "https://github.com/citation-style-language/schema/raw/master/csl-citation.json" }</w:instrText>
      </w:r>
      <w:r w:rsidRPr="0075014D">
        <w:fldChar w:fldCharType="separate"/>
      </w:r>
      <w:r w:rsidRPr="0075014D">
        <w:rPr>
          <w:noProof/>
        </w:rPr>
        <w:t>[1]</w:t>
      </w:r>
      <w:r w:rsidRPr="0075014D">
        <w:fldChar w:fldCharType="end"/>
      </w:r>
      <w:r w:rsidRPr="0075014D">
        <w:t xml:space="preserve">. Google Trends is a service which is able to monitor the popularity of search topics and terms over </w:t>
      </w:r>
      <w:r w:rsidR="00D86B63" w:rsidRPr="0075014D">
        <w:t>a specified period of time. Google Trends anal</w:t>
      </w:r>
      <w:r w:rsidR="0075014D" w:rsidRPr="0075014D">
        <w:t xml:space="preserve">yses </w:t>
      </w:r>
      <w:r w:rsidR="004E5351">
        <w:t xml:space="preserve">have been used to study global public interest in various areas of </w:t>
      </w:r>
      <w:r w:rsidR="004E5351" w:rsidRPr="0075014D">
        <w:t>rheumatology</w:t>
      </w:r>
      <w:r w:rsidR="004E5351">
        <w:t xml:space="preserve">, including osteoarthritis </w:t>
      </w:r>
      <w:r w:rsidR="004E5351">
        <w:fldChar w:fldCharType="begin" w:fldLock="1"/>
      </w:r>
      <w:r w:rsidR="00684DF4">
        <w:instrText>ADDIN CSL_CITATION { "citationItems" : [ { "id" : "ITEM-1", "itemData" : { "DOI" : "10.1007/s00296-018-4158-2", "ISSN" : "0172-8172", "PMID" : "30218145", "abstract" : "To evaluate global public interest in osteoarthritis by assessing changes in Internet search popularity of the disease over a 10-year period. Google Trends was used to obtain search popularity scores for the word \"osteoarthritis\" (OA) between January 2004 and June 2018. We also analyzed changes in search volume relative to changes in search patterns for all health topics. Search interest in OA was high relative to all other health searches over the given timeframe. Overall, searches for OA steadily decreased between May 2004 and December 2012 and then steadily rose from January 2013 to April 2018. We also found consistent annual fluctuations over the pre-specified time range, with biannual peaks typically correlating with national and global awareness days. Biannual dips occurred with changes in seasonal patterns. Google searches for OA have steadily increased in recent years. Awareness initiatives, like World Arthritis Day, may be a reason for the public to search for information on OA. It may be helpful for physicians to search the Internet themselves for websites that provide accurate and high-quality information to recommend to their patients.", "author" : [ { "dropping-particle" : "", "family" : "Jellison", "given" : "Samuel S", "non-dropping-particle" : "", "parse-names" : false, "suffix" : "" }, { "dropping-particle" : "", "family" : "Bibens", "given" : "Michael", "non-dropping-particle" : "", "parse-names" : false, "suffix" : "" }, { "dropping-particle" : "", "family" : "Checketts", "given" : "Jake", "non-dropping-particle" : "", "parse-names" : false, "suffix" : "" }, { "dropping-particle" : "", "family" : "Vassar", "given" : "Matt", "non-dropping-particle" : "", "parse-names" : false, "suffix" : "" } ], "container-title" : "Rheumatology International", "id" : "ITEM-1", "issue" : "11", "issued" : { "date-parts" : [ [ "2018", "11", "15" ] ] }, "language" : "eng", "page" : "2133-2136", "publisher-place" : "Germany", "title" : "Using Google Trends to assess global public interest in osteoarthritis", "type" : "article-journal", "volume" : "38" }, "uris" : [ "http://www.mendeley.com/documents/?uuid=8e7d9746-9815-42b3-a8a7-f0d487e8565f" ] } ], "mendeley" : { "formattedCitation" : "[2]", "plainTextFormattedCitation" : "[2]", "previouslyFormattedCitation" : "[2]" }, "properties" : {  }, "schema" : "https://github.com/citation-style-language/schema/raw/master/csl-citation.json" }</w:instrText>
      </w:r>
      <w:r w:rsidR="004E5351">
        <w:fldChar w:fldCharType="separate"/>
      </w:r>
      <w:r w:rsidR="004E5351" w:rsidRPr="004E5351">
        <w:rPr>
          <w:noProof/>
        </w:rPr>
        <w:t>[2]</w:t>
      </w:r>
      <w:r w:rsidR="004E5351">
        <w:fldChar w:fldCharType="end"/>
      </w:r>
      <w:r w:rsidR="004E5351">
        <w:t xml:space="preserve">, fibromyalgia </w:t>
      </w:r>
      <w:r w:rsidR="004E5351">
        <w:fldChar w:fldCharType="begin" w:fldLock="1"/>
      </w:r>
      <w:r w:rsidR="00684DF4">
        <w:instrText>ADDIN CSL_CITATION { "citationItems" : [ { "id" : "ITEM-1", "itemData" : { "DOI" : "10.1007/s10067-017-3665-y", "ISSN" : "1434-9949 (Electronic)", "PMID" : "28462482", "abstract" : "Fibromyalgia is a chronic disease, characterized by pain, fatigue, and poor sleep quality. Patients and mainly those with chronic diseases tend to search for health-related material online. Google Trends (GT), an online tracking system of Internet hit-search volumes that recently merged with its sister project Google Insights for Search (Google Inc.), was used to explore Internet activity related to fibromyalgia. Digital interest in fibromyalgia and related topics searched worldwide has been reported in the last 13 years. A slight decline in this interest has been observed through the years, remaining stable in the last 5 years. Fibromyalgia web behavior exhibited a regular, cyclic pattern, even though no seasonality could be detected. Similar findings have been reported among rheumatoid arthritis and depression. However, differently from rheumatoid arthritis and depression, the focus of the fibromyalgia-related queries was more concentrated on drug side effects and the \"elusive\" nature of fibromyalgia: is it a real or imaginary condition? Does it really exist or is it all in your head? A tremendous amount of information on fibromyalgia and related topics exist online. Still many queries have been raised and repeated constantly by fibromyalgia patients in the last 13 years. Therefore, physicians should be aware of the common concerns of people or patients regarding fibromyalgia in order to give a proper answers and education.", "author" : [ { "dropping-particle" : "", "family" : "Bragazzi", "given" : "Nicola Luigi", "non-dropping-particle" : "", "parse-names" : false, "suffix" : "" }, { "dropping-particle" : "", "family" : "Amital", "given" : "Howard", "non-dropping-particle" : "", "parse-names" : false, "suffix" : "" }, { "dropping-particle" : "", "family" : "Adawi", "given" : "Mohammad", "non-dropping-particle" : "", "parse-names" : false, "suffix" : "" }, { "dropping-particle" : "", "family" : "Brigo", "given" : "Francesco", "non-dropping-particle" : "", "parse-names" : false, "suffix" : "" }, { "dropping-particle" : "", "family" : "Watad", "given" : "Samaa", "non-dropping-particle" : "", "parse-names" : false, "suffix" : "" }, { "dropping-particle" : "", "family" : "Aljadeff", "given" : "Gali", "non-dropping-particle" : "", "parse-names" : false, "suffix" : "" }, { "dropping-particle" : "", "family" : "Amital", "given" : "Daniela", "non-dropping-particle" : "", "parse-names" : false, "suffix" : "" }, { "dropping-particle" : "", "family" : "Watad", "given" : "Abdulla", "non-dropping-particle" : "", "parse-names" : false, "suffix" : "" } ], "container-title" : "Clinical rheumatology", "id" : "ITEM-1", "issue" : "8", "issued" : { "date-parts" : [ [ "2017", "8" ] ] }, "language" : "eng", "page" : "1873-1878", "publisher-place" : "Germany", "title" : "What do people search online concerning the \"elusive\" fibromyalgia? Insights from a qualitative and quantitative analysis of Google Trends.", "type" : "article-journal", "volume" : "36" }, "uris" : [ "http://www.mendeley.com/documents/?uuid=58eb48a0-0ed1-482c-9fab-c4940967df6b" ] } ], "mendeley" : { "formattedCitation" : "[3]", "plainTextFormattedCitation" : "[3]", "previouslyFormattedCitation" : "[3]" }, "properties" : {  }, "schema" : "https://github.com/citation-style-language/schema/raw/master/csl-citation.json" }</w:instrText>
      </w:r>
      <w:r w:rsidR="004E5351">
        <w:fldChar w:fldCharType="separate"/>
      </w:r>
      <w:r w:rsidR="004E5351" w:rsidRPr="004E5351">
        <w:rPr>
          <w:noProof/>
        </w:rPr>
        <w:t>[3]</w:t>
      </w:r>
      <w:r w:rsidR="004E5351">
        <w:fldChar w:fldCharType="end"/>
      </w:r>
      <w:r w:rsidR="004E5351">
        <w:t xml:space="preserve">, and gout </w:t>
      </w:r>
      <w:r w:rsidR="004E5351">
        <w:fldChar w:fldCharType="begin" w:fldLock="1"/>
      </w:r>
      <w:r w:rsidR="00684DF4">
        <w:instrText>ADDIN CSL_CITATION { "citationItems" : [ { "id" : "ITEM-1", "itemData" : { "DOI" : "10.1007/s10067-018-4345-2", "ISSN" : "1434-9949 (Electronic)", "PMID" : "30374747", "abstract" : "INTRODUCTION/OBJECTIVE: While few studies with various types of outcomes and methodology have investigated the seasonality of gout, no internet data has been used in any study. This novel methodology may complement and extend the previous traditional data sources and has increasingly been used in investigating the seasonality of health conditions. Therefore, the objective of this study was to utilize the Google Trends data to test whether there is a seasonal variation in the internet searches for gout on a population basis. METHODS: In this observational ecological study, the Google Trends was searched for the [gout] within the USA, the UK, Canada, Ireland, Australia, and New Zealand from January 01, 2004, to December 31, 2017, utilizing the \"health\" category. RESULTS: The cosinor analyses revealed a statistically significant seasonal variation in relative search volume of the [gout] in the USA, the UK (p &lt; 0.001), Canada (p &lt; 0.001), Ireland (p &lt; 0.001), Australia (p &lt; 0.001), and New Zealand (p &lt; 0.001), with a peak in the late spring/early summer months and trough in the late fall/early winter months. The peaks in late spring/early summer and troughs in late fall/early winter were out of phase by 6 months in the northern compared to the southern hemisphere countries. CONCLUSION: Another line of evidence from internet search query data showed a seasonal variation in gout, with a peak in the late spring/early summer months. Further studies aimed at elucidating the possible mechanisms behind seasonality in gout are needed.", "author" : [ { "dropping-particle" : "", "family" : "Kardes", "given" : "Sinan", "non-dropping-particle" : "", "parse-names" : false, "suffix" : "" } ], "container-title" : "Clinical rheumatology", "id" : "ITEM-1", "issue" : "3", "issued" : { "date-parts" : [ [ "2019", "3" ] ] }, "language" : "eng", "page" : "769-775", "publisher-place" : "Germany", "title" : "Seasonal variation in the internet searches for gout: an ecological study.", "type" : "article-journal", "volume" : "38" }, "uris" : [ "http://www.mendeley.com/documents/?uuid=8de37d7b-b3a3-4e58-aaf0-f7cfbdba1b5a" ] } ], "mendeley" : { "formattedCitation" : "[4]", "plainTextFormattedCitation" : "[4]", "previouslyFormattedCitation" : "[4]" }, "properties" : {  }, "schema" : "https://github.com/citation-style-language/schema/raw/master/csl-citation.json" }</w:instrText>
      </w:r>
      <w:r w:rsidR="004E5351">
        <w:fldChar w:fldCharType="separate"/>
      </w:r>
      <w:r w:rsidR="004E5351" w:rsidRPr="004E5351">
        <w:rPr>
          <w:noProof/>
        </w:rPr>
        <w:t>[4]</w:t>
      </w:r>
      <w:r w:rsidR="004E5351">
        <w:fldChar w:fldCharType="end"/>
      </w:r>
      <w:r w:rsidR="004E5351">
        <w:t>. The service is</w:t>
      </w:r>
      <w:r w:rsidR="0075014D" w:rsidRPr="0075014D">
        <w:t xml:space="preserve"> a</w:t>
      </w:r>
      <w:r w:rsidR="009E7E79">
        <w:t xml:space="preserve">lso able to </w:t>
      </w:r>
      <w:r w:rsidR="00D86B63" w:rsidRPr="0075014D">
        <w:t>suggest seasonal variations</w:t>
      </w:r>
      <w:r w:rsidR="009E7E79">
        <w:t>,</w:t>
      </w:r>
      <w:r w:rsidR="00D86B63" w:rsidRPr="0075014D">
        <w:t xml:space="preserve"> and associations with public health interventions, such as screening and awareness campaigns </w:t>
      </w:r>
      <w:r w:rsidR="00D86B63" w:rsidRPr="0075014D">
        <w:fldChar w:fldCharType="begin" w:fldLock="1"/>
      </w:r>
      <w:r w:rsidR="00684DF4">
        <w:instrText>ADDIN CSL_CITATION { "citationItems" : [ { "id" : "ITEM-1", "itemData" : { "DOI" : "10.1186/s13054-018-1981-5", "ISSN" : "1364-8535", "author" : [ { "dropping-particle" : "", "family" : "Savelkoel", "given" : "Jelmer", "non-dropping-particle" : "", "parse-names" : false, "suffix" : "" }, { "dropping-particle" : "", "family" : "Claushuis", "given" : "Theodora A M", "non-dropping-particle" : "", "parse-names" : false, "suffix" : "" }, { "dropping-particle" : "", "family" : "Engelen", "given" : "Tjitske S R", "non-dropping-particle" : "van", "parse-names" : false, "suffix" : "" }, { "dropping-particle" : "", "family" : "Scheres", "given" : "Luuk J J", "non-dropping-particle" : "", "parse-names" : false, "suffix" : "" }, { "dropping-particle" : "", "family" : "Wiersinga", "given" : "W Joost", "non-dropping-particle" : "", "parse-names" : false, "suffix" : "" } ], "container-title" : "Critical Care", "id" : "ITEM-1", "issue" : "1", "issued" : { "date-parts" : [ [ "2018", "3" ] ] }, "page" : "61", "title" : "Global impact of World Sepsis Day on digital awareness of sepsis: an evaluation using Google Trends", "type" : "article-journal", "volume" : "22" }, "uris" : [ "http://www.mendeley.com/documents/?uuid=3db83e9b-c375-467b-b969-f16488fe8922" ] } ], "mendeley" : { "formattedCitation" : "[5]", "plainTextFormattedCitation" : "[5]", "previouslyFormattedCitation" : "[5]" }, "properties" : {  }, "schema" : "https://github.com/citation-style-language/schema/raw/master/csl-citation.json" }</w:instrText>
      </w:r>
      <w:r w:rsidR="00D86B63" w:rsidRPr="0075014D">
        <w:fldChar w:fldCharType="separate"/>
      </w:r>
      <w:r w:rsidR="004E5351" w:rsidRPr="004E5351">
        <w:rPr>
          <w:noProof/>
        </w:rPr>
        <w:t>[5]</w:t>
      </w:r>
      <w:r w:rsidR="00D86B63" w:rsidRPr="0075014D">
        <w:fldChar w:fldCharType="end"/>
      </w:r>
      <w:r w:rsidR="00D86B63" w:rsidRPr="0075014D">
        <w:t>.</w:t>
      </w:r>
    </w:p>
    <w:p w:rsidR="00D86B63" w:rsidRDefault="00D86B63">
      <w:pPr>
        <w:rPr>
          <w:rFonts w:cs="Arial"/>
          <w:lang w:eastAsia="zh-CN"/>
        </w:rPr>
      </w:pPr>
      <w:r w:rsidRPr="0075014D">
        <w:t>Google Trend</w:t>
      </w:r>
      <w:r w:rsidR="00F837F0" w:rsidRPr="0075014D">
        <w:t xml:space="preserve">s </w:t>
      </w:r>
      <w:r w:rsidR="009E7E79">
        <w:t>can also</w:t>
      </w:r>
      <w:r w:rsidR="00F837F0" w:rsidRPr="0075014D">
        <w:t xml:space="preserve"> </w:t>
      </w:r>
      <w:r w:rsidRPr="0075014D">
        <w:t xml:space="preserve">compare search results </w:t>
      </w:r>
      <w:r w:rsidR="001C41AD" w:rsidRPr="0075014D">
        <w:t xml:space="preserve">by geographical location. </w:t>
      </w:r>
      <w:r w:rsidR="00B02E86" w:rsidRPr="0075014D">
        <w:t xml:space="preserve">This is of particular importance in communicable disease and infection, including septic arthritis. </w:t>
      </w:r>
      <w:r w:rsidR="0075014D" w:rsidRPr="0075014D">
        <w:t xml:space="preserve">The incidence of septic arthritis has been reported in regions such as Scandinavia and Australia </w:t>
      </w:r>
      <w:r w:rsidR="0075014D" w:rsidRPr="004E5351">
        <w:t xml:space="preserve">as 5.7 to 9 per 100,000 person-years </w:t>
      </w:r>
      <w:r w:rsidR="0075014D" w:rsidRPr="004E5351">
        <w:fldChar w:fldCharType="begin" w:fldLock="1"/>
      </w:r>
      <w:r w:rsidR="00684DF4">
        <w:instrText>ADDIN CSL_CITATION { "citationItems" : [ { "id" : "ITEM-1", "itemData" : { "DOI" : "10.1001/jama.297.13.1478", "ISSN" : "0098-7484", "PMID" : "17405973", "abstract" : "CONTEXT: In patients who present with an acutely painful and swollen joint, prompt identification and treatment of septic arthritis can substantially reduce morbidity and mortality. OBJECTIVE: To review the accuracy and precision of the clinical evaluation for the diagnosis of nongonococcal bacterial arthritis. DATA SOURCES: Structured PubMed and EMBASE searches (1966 through January 2007), limited to human, English-language articles and using the following Medical Subject Headings terms: arthritis, infectious, physical examination, medical history taking, diagnostic tests, and sensitivity and specificity. STUDY SELECTION: Studies were included if they contained original data on the accuracy or precision of historical items, physical examination, serum, or synovial fluid laboratory data for diagnosing septic arthritis. DATA EXTRACTION: Three authors independently abstracted data from the included studies. DATA SYNTHESIS: Fourteen studies involving 6242 patients, of whom 653 met the gold standard for the diagnosis of septic arthritis, satisfied all inclusion criteria. Two studies examined risk factors and found that age, diabetes mellitus, rheumatoid arthritis, joint surgery, hip or knee prosthesis, skin infection, and human immunodeficiency virus type 1 infection significantly increase the probability of septic arthritis. Joint pain (sensitivity, 85%; 95% confidence interval [CI], 78%-90%), a history of joint swelling (sensitivity, 78%; 95% CI, 71%-85%), and fever (sensitivity, 57%; 95% CI, 52%-62%) are the only findings that occur in more than 50% of patients. Sweats (sensitivity, 27%; 95% CI, 20%-34%) and rigors (sensitivity, 19%; 95% CI, 15%-24%) are less common findings in septic arthritis. Of all laboratory findings readily available to the clinician, the 2 most powerful were the synovial fluid white blood cell (WBC) count and percentage of polymorphonuclear cells from arthrocentesis. The summary likelihood ratio (LR) increased as the synovial fluid WBC count increased (for counts &lt;25,000/microL: LR, 0.32; 95% CI, 0.23-0.43; for counts &gt; or =25,000/microL: LR, 2.9; 95% CI, 2.5-3.4; for counts &gt;50,000/microL: LR, 7.7; 95% CI, 5.7-11.0; and for counts &gt;100,000/microL: LR, 28.0; 95% CI, 12.0-66.0). On the same synovial fluid sample, a polymorphonuclear cell count of at least 90% suggests septic arthritis with an LR of 3.4 (95% CI, 2.8-4.2), while a polymorphonuclear cell count of less than 90% lowers the likelihood (LR, 0.34; 95% CI, 0.25-0.47). CONCL\u2026", "author" : [ { "dropping-particle" : "", "family" : "Margaretten", "given" : "Mary E", "non-dropping-particle" : "", "parse-names" : false, "suffix" : "" }, { "dropping-particle" : "", "family" : "Kohlwes", "given" : "Jeffrey", "non-dropping-particle" : "", "parse-names" : false, "suffix" : "" }, { "dropping-particle" : "", "family" : "Moore", "given" : "Dan", "non-dropping-particle" : "", "parse-names" : false, "suffix" : "" }, { "dropping-particle" : "", "family" : "Bent", "given" : "Stephen", "non-dropping-particle" : "", "parse-names" : false, "suffix" : "" } ], "container-title" : "JAMA", "id" : "ITEM-1", "issue" : "13", "issued" : { "date-parts" : [ [ "2007", "4", "4" ] ] }, "language" : "eng", "page" : "1478-1488", "publisher-place" : "United States", "title" : "Does This Adult Patient Have Septic Arthritis?", "type" : "article-journal", "volume" : "297" }, "uris" : [ "http://www.mendeley.com/documents/?uuid=3e655683-8a6b-4882-a9c4-7e420b308d25" ] } ], "mendeley" : { "formattedCitation" : "[6]", "plainTextFormattedCitation" : "[6]", "previouslyFormattedCitation" : "[6]" }, "properties" : {  }, "schema" : "https://github.com/citation-style-language/schema/raw/master/csl-citation.json" }</w:instrText>
      </w:r>
      <w:r w:rsidR="0075014D" w:rsidRPr="004E5351">
        <w:fldChar w:fldCharType="separate"/>
      </w:r>
      <w:r w:rsidR="004E5351" w:rsidRPr="004E5351">
        <w:rPr>
          <w:noProof/>
        </w:rPr>
        <w:t>[6]</w:t>
      </w:r>
      <w:r w:rsidR="0075014D" w:rsidRPr="004E5351">
        <w:fldChar w:fldCharType="end"/>
      </w:r>
      <w:r w:rsidR="0075014D" w:rsidRPr="004E5351">
        <w:t xml:space="preserve">, with the incidence in the United Kingdom increasing 43%, from 5.5 to  7.8 per 100,000 person-years, between 1998 and 2013 </w:t>
      </w:r>
      <w:r w:rsidR="0075014D" w:rsidRPr="004E5351">
        <w:fldChar w:fldCharType="begin" w:fldLock="1"/>
      </w:r>
      <w:r w:rsidR="00684DF4">
        <w:instrText>ADDIN CSL_CITATION { "citationItems" : [ { "id" : "ITEM-1", "itemData" : { "DOI" : "10.1093/rheumatology/kew323", "ISSN" : "14620332", "PMID" : "23030642", "abstract" : "Imageability and age of acquisition (AoA) effects, as well as key interactions between these variables and frequency and consistency, were examined via multiple regression analyses for 1,936 disyllabic words, using reaction time and accuracy measures from the English Lexicon Project. Both imageability and AoA accounted for unique variance in lexical decision and naming reaction time performance. In addition, across both tasks, AoA and imageability effects were larger for low-frequency words than high-frequency words, and imageability effects were larger for later acquired than earlier acquired words. In reading aloud, consistency effects in reaction time were larger for later acquired words than earlier acquired words, but consistency did not interact with imageability in the reaction time analysis. These results provide further evidence that multisyllabic word recognition is similar to monosyllabic word recognition and indicate that AoA and imageability are valid predictors of word recognition performance. In addition, the results indicate that meaning exerts a larger influence in the reading aloud of multisyllabic words than monosyllabic words. Finally, parallel-distributed-processing approaches provide a useful theoretical framework to explain the main effects and interactions.", "author" : [ { "dropping-particle" : "", "family" : "Rutherford", "given" : "Andrew I.", "non-dropping-particle" : "", "parse-names" : false, "suffix" : "" }, { "dropping-particle" : "", "family" : "Subesinghe", "given" : "Sujith", "non-dropping-particle" : "", "parse-names" : false, "suffix" : "" }, { "dropping-particle" : "", "family" : "Bharucha", "given" : "Tehmina", "non-dropping-particle" : "", "parse-names" : false, "suffix" : "" }, { "dropping-particle" : "", "family" : "Ibrahim", "given" : "Fowzia", "non-dropping-particle" : "", "parse-names" : false, "suffix" : "" }, { "dropping-particle" : "", "family" : "Kleymann", "given" : "Alexander", "non-dropping-particle" : "", "parse-names" : false, "suffix" : "" }, { "dropping-particle" : "", "family" : "Galloway", "given" : "James B.", "non-dropping-particle" : "", "parse-names" : false, "suffix" : "" } ], "container-title" : "Rheumatology (United Kingdom)", "id" : "ITEM-1", "issue" : "12", "issued" : { "date-parts" : [ [ "2016" ] ] }, "page" : "2176-2180", "title" : "A population study of the reported incidence of native joint septic arthritis in the United Kingdom between 1998 and 2013", "type" : "article-journal", "volume" : "55" }, "uris" : [ "http://www.mendeley.com/documents/?uuid=a19bd5b5-465c-43ce-a874-77fe1a50fe9c" ] } ], "mendeley" : { "formattedCitation" : "[7]", "plainTextFormattedCitation" : "[7]", "previouslyFormattedCitation" : "[7]" }, "properties" : {  }, "schema" : "https://github.com/citation-style-language/schema/raw/master/csl-citation.json" }</w:instrText>
      </w:r>
      <w:r w:rsidR="0075014D" w:rsidRPr="004E5351">
        <w:fldChar w:fldCharType="separate"/>
      </w:r>
      <w:r w:rsidR="004E5351" w:rsidRPr="004E5351">
        <w:rPr>
          <w:noProof/>
        </w:rPr>
        <w:t>[7]</w:t>
      </w:r>
      <w:r w:rsidR="0075014D" w:rsidRPr="004E5351">
        <w:fldChar w:fldCharType="end"/>
      </w:r>
      <w:r w:rsidR="0075014D" w:rsidRPr="004E5351">
        <w:t>.</w:t>
      </w:r>
      <w:r w:rsidR="0037435A" w:rsidRPr="004E5351">
        <w:t xml:space="preserve"> Yet, epidemiological data</w:t>
      </w:r>
      <w:r w:rsidR="00934FD2">
        <w:t xml:space="preserve"> on this disease</w:t>
      </w:r>
      <w:r w:rsidR="003B3122">
        <w:t xml:space="preserve"> from low-economic</w:t>
      </w:r>
      <w:r w:rsidR="0037435A">
        <w:rPr>
          <w:rFonts w:cs="Arial"/>
          <w:lang w:eastAsia="zh-CN"/>
        </w:rPr>
        <w:t xml:space="preserve"> regions is relatively lacking. </w:t>
      </w:r>
      <w:r w:rsidR="009C1655">
        <w:rPr>
          <w:rFonts w:cs="Arial"/>
          <w:lang w:eastAsia="zh-CN"/>
        </w:rPr>
        <w:t>Globally, there is huge regional variation in causative organisms, which requires</w:t>
      </w:r>
      <w:r w:rsidR="0037435A">
        <w:rPr>
          <w:rFonts w:cs="Arial"/>
          <w:lang w:eastAsia="zh-CN"/>
        </w:rPr>
        <w:t xml:space="preserve"> specific and targeted approaches to diagnostics and therapy</w:t>
      </w:r>
      <w:r w:rsidR="003B3122">
        <w:rPr>
          <w:rFonts w:cs="Arial"/>
          <w:lang w:eastAsia="zh-CN"/>
        </w:rPr>
        <w:t>, especially in areas where resources such as antimicrobials are limited</w:t>
      </w:r>
      <w:r w:rsidR="0037435A">
        <w:rPr>
          <w:rFonts w:cs="Arial"/>
          <w:lang w:eastAsia="zh-CN"/>
        </w:rPr>
        <w:t xml:space="preserve">. </w:t>
      </w:r>
    </w:p>
    <w:p w:rsidR="00A8582E" w:rsidRDefault="00403248">
      <w:r>
        <w:rPr>
          <w:rFonts w:cs="Arial"/>
          <w:lang w:eastAsia="zh-CN"/>
        </w:rPr>
        <w:t>To this end, we condu</w:t>
      </w:r>
      <w:r w:rsidR="00A04B6B">
        <w:rPr>
          <w:rFonts w:cs="Arial"/>
          <w:lang w:eastAsia="zh-CN"/>
        </w:rPr>
        <w:t>cted a Google Trends search on 12</w:t>
      </w:r>
      <w:r w:rsidR="00A04B6B" w:rsidRPr="00A04B6B">
        <w:rPr>
          <w:rFonts w:cs="Arial"/>
          <w:vertAlign w:val="superscript"/>
          <w:lang w:eastAsia="zh-CN"/>
        </w:rPr>
        <w:t>th</w:t>
      </w:r>
      <w:r w:rsidR="00A04B6B">
        <w:rPr>
          <w:rFonts w:cs="Arial"/>
          <w:lang w:eastAsia="zh-CN"/>
        </w:rPr>
        <w:t xml:space="preserve"> April 2019,</w:t>
      </w:r>
      <w:r w:rsidR="003B3122">
        <w:rPr>
          <w:rFonts w:cs="Arial"/>
          <w:lang w:eastAsia="zh-CN"/>
        </w:rPr>
        <w:t xml:space="preserve"> in order to compare global regional variation in popularity of search terms for non-infectious vs. infectious arthritis. The</w:t>
      </w:r>
      <w:r w:rsidR="00493ECC">
        <w:rPr>
          <w:rFonts w:cs="Arial"/>
          <w:lang w:eastAsia="zh-CN"/>
        </w:rPr>
        <w:t xml:space="preserve"> </w:t>
      </w:r>
      <w:r w:rsidR="003B3122">
        <w:rPr>
          <w:rFonts w:cs="Arial"/>
          <w:lang w:eastAsia="zh-CN"/>
        </w:rPr>
        <w:t xml:space="preserve">terms </w:t>
      </w:r>
      <w:r w:rsidR="00A04B6B">
        <w:rPr>
          <w:rFonts w:cs="Arial"/>
          <w:lang w:eastAsia="zh-CN"/>
        </w:rPr>
        <w:t>“rheumatoid arthritis,” and “osteoarthritis” (</w:t>
      </w:r>
      <w:r w:rsidR="001D70FF">
        <w:rPr>
          <w:rFonts w:cs="Arial"/>
          <w:lang w:eastAsia="zh-CN"/>
        </w:rPr>
        <w:t>as examples of non-infectious arthropathies</w:t>
      </w:r>
      <w:r w:rsidR="00A04B6B">
        <w:rPr>
          <w:rFonts w:cs="Arial"/>
          <w:lang w:eastAsia="zh-CN"/>
        </w:rPr>
        <w:t>)</w:t>
      </w:r>
      <w:r w:rsidR="001D59E9">
        <w:rPr>
          <w:rFonts w:cs="Arial"/>
          <w:lang w:eastAsia="zh-CN"/>
        </w:rPr>
        <w:t xml:space="preserve">, and </w:t>
      </w:r>
      <w:r w:rsidR="00A04B6B">
        <w:rPr>
          <w:rFonts w:cs="Arial"/>
          <w:lang w:eastAsia="zh-CN"/>
        </w:rPr>
        <w:t>“bacterial arthritis,”</w:t>
      </w:r>
      <w:r w:rsidR="008F1876">
        <w:rPr>
          <w:rFonts w:cs="Arial"/>
          <w:lang w:eastAsia="zh-CN"/>
        </w:rPr>
        <w:t xml:space="preserve"> and</w:t>
      </w:r>
      <w:r w:rsidR="00A04B6B">
        <w:rPr>
          <w:rFonts w:cs="Arial"/>
          <w:lang w:eastAsia="zh-CN"/>
        </w:rPr>
        <w:t xml:space="preserve"> “septic arthrit</w:t>
      </w:r>
      <w:r w:rsidR="001D59E9">
        <w:rPr>
          <w:rFonts w:cs="Arial"/>
          <w:lang w:eastAsia="zh-CN"/>
        </w:rPr>
        <w:t>is</w:t>
      </w:r>
      <w:r w:rsidR="008F1876">
        <w:rPr>
          <w:rFonts w:cs="Arial"/>
          <w:lang w:eastAsia="zh-CN"/>
        </w:rPr>
        <w:t>”</w:t>
      </w:r>
      <w:r w:rsidR="001D59E9">
        <w:rPr>
          <w:rFonts w:cs="Arial"/>
          <w:lang w:eastAsia="zh-CN"/>
        </w:rPr>
        <w:t xml:space="preserve"> were searched.</w:t>
      </w:r>
      <w:r w:rsidR="00493ECC">
        <w:rPr>
          <w:rFonts w:cs="Arial"/>
          <w:lang w:eastAsia="zh-CN"/>
        </w:rPr>
        <w:t xml:space="preserve"> “Rheumatoid arthritis”</w:t>
      </w:r>
      <w:r w:rsidR="00462687">
        <w:rPr>
          <w:rFonts w:cs="Arial"/>
          <w:lang w:eastAsia="zh-CN"/>
        </w:rPr>
        <w:t xml:space="preserve"> and</w:t>
      </w:r>
      <w:r w:rsidR="00493ECC">
        <w:rPr>
          <w:rFonts w:cs="Arial"/>
          <w:lang w:eastAsia="zh-CN"/>
        </w:rPr>
        <w:t xml:space="preserve"> “</w:t>
      </w:r>
      <w:r w:rsidR="00462687">
        <w:rPr>
          <w:rFonts w:cs="Arial"/>
          <w:lang w:eastAsia="zh-CN"/>
        </w:rPr>
        <w:t>osteoarthritis</w:t>
      </w:r>
      <w:r w:rsidR="00493ECC">
        <w:rPr>
          <w:rFonts w:cs="Arial"/>
          <w:lang w:eastAsia="zh-CN"/>
        </w:rPr>
        <w:t>”</w:t>
      </w:r>
      <w:r w:rsidR="00462687">
        <w:rPr>
          <w:rFonts w:cs="Arial"/>
          <w:lang w:eastAsia="zh-CN"/>
        </w:rPr>
        <w:t xml:space="preserve"> were searched as a “disorder” and “disease” respectively to exclude irrelevant search terms</w:t>
      </w:r>
      <w:r w:rsidR="00684DF4">
        <w:rPr>
          <w:rFonts w:cs="Arial"/>
          <w:lang w:eastAsia="zh-CN"/>
        </w:rPr>
        <w:t xml:space="preserve"> (e.g. journal titles containing these terms)</w:t>
      </w:r>
      <w:r w:rsidR="00462687">
        <w:rPr>
          <w:rFonts w:cs="Arial"/>
          <w:lang w:eastAsia="zh-CN"/>
        </w:rPr>
        <w:t>, and</w:t>
      </w:r>
      <w:r w:rsidR="00493ECC">
        <w:rPr>
          <w:rFonts w:cs="Arial"/>
          <w:lang w:eastAsia="zh-CN"/>
        </w:rPr>
        <w:t xml:space="preserve"> </w:t>
      </w:r>
      <w:r w:rsidR="00886688">
        <w:rPr>
          <w:rFonts w:cs="Arial"/>
          <w:lang w:eastAsia="zh-CN"/>
        </w:rPr>
        <w:t>“bacterial arthritis”</w:t>
      </w:r>
      <w:r w:rsidR="00462687">
        <w:rPr>
          <w:rFonts w:cs="Arial"/>
          <w:lang w:eastAsia="zh-CN"/>
        </w:rPr>
        <w:t xml:space="preserve"> was searched as a “topic.”</w:t>
      </w:r>
      <w:r w:rsidR="00D36CE4">
        <w:rPr>
          <w:rFonts w:cs="Arial"/>
          <w:lang w:eastAsia="zh-CN"/>
        </w:rPr>
        <w:t xml:space="preserve"> All three included searches in Latin languages other than English. “Septic arthritis” was searched in order to account for unspecified causes of joint infection.</w:t>
      </w:r>
      <w:r w:rsidR="00462687">
        <w:rPr>
          <w:rFonts w:cs="Arial"/>
          <w:lang w:eastAsia="zh-CN"/>
        </w:rPr>
        <w:t xml:space="preserve"> </w:t>
      </w:r>
      <w:r w:rsidR="00493ECC">
        <w:rPr>
          <w:rFonts w:cs="Arial"/>
          <w:lang w:eastAsia="zh-CN"/>
        </w:rPr>
        <w:t>We applied the following filters to the search strategy</w:t>
      </w:r>
      <w:r w:rsidR="00493ECC">
        <w:t>:</w:t>
      </w:r>
      <w:r w:rsidR="00493ECC" w:rsidRPr="00493ECC">
        <w:t> Location (Worl</w:t>
      </w:r>
      <w:r w:rsidR="00040ED1">
        <w:t>dwide), Time Range (2004-present</w:t>
      </w:r>
      <w:r w:rsidR="00493ECC" w:rsidRPr="00493ECC">
        <w:t>), and Search Type (Web Search).</w:t>
      </w:r>
      <w:r w:rsidR="008F1876" w:rsidRPr="00493ECC">
        <w:t xml:space="preserve"> </w:t>
      </w:r>
    </w:p>
    <w:p w:rsidR="00A8582E" w:rsidRDefault="00A8582E">
      <w:r>
        <w:t>Google Trends does not display the total number of searches over time, but adjusts data according to the popularity of a search in a given time and region. Therefore larger populations with a greater number of searches will not automatically produce the greatest search interest.</w:t>
      </w:r>
    </w:p>
    <w:p w:rsidR="00D10297" w:rsidRDefault="00A8582E">
      <w:r>
        <w:t>Our</w:t>
      </w:r>
      <w:r w:rsidR="008F1876" w:rsidRPr="00493ECC">
        <w:t xml:space="preserve"> two groups of terms (i.e. </w:t>
      </w:r>
      <w:r w:rsidR="003B3122" w:rsidRPr="00493ECC">
        <w:t xml:space="preserve">non-infectious vs. </w:t>
      </w:r>
      <w:r w:rsidR="008F1876" w:rsidRPr="00493ECC">
        <w:t>infectious arthr</w:t>
      </w:r>
      <w:r>
        <w:t>iti</w:t>
      </w:r>
      <w:r w:rsidR="008E5F33">
        <w:t>s) were compared by country</w:t>
      </w:r>
      <w:r>
        <w:t>. Th</w:t>
      </w:r>
      <w:r w:rsidR="001257C2">
        <w:t xml:space="preserve">e </w:t>
      </w:r>
      <w:r w:rsidR="00684DF4">
        <w:t>five countries in which these search terms w</w:t>
      </w:r>
      <w:r w:rsidR="00814246">
        <w:t>ere most popular are shown in Table 1</w:t>
      </w:r>
      <w:r w:rsidR="00684DF4">
        <w:t xml:space="preserve">, and colour-coded by economic status in accordance with World Bank data </w:t>
      </w:r>
      <w:r w:rsidR="00684DF4">
        <w:fldChar w:fldCharType="begin" w:fldLock="1"/>
      </w:r>
      <w:r w:rsidR="00684DF4">
        <w:instrText>ADDIN CSL_CITATION { "citationItems" : [ { "id" : "ITEM-1", "itemData" : { "URL" : "https://datahelpdesk.worldbank.org/knowledgebase/articles/906519-world-bank-country-and-lending-groups", "accessed" : { "date-parts" : [ [ "2019", "4", "12" ] ] }, "id" : "ITEM-1", "issued" : { "date-parts" : [ [ "0" ] ] }, "title" : "World Bank Country and Lending Groups \u2013 World Bank Data Help Desk", "type" : "webpage" }, "uris" : [ "http://www.mendeley.com/documents/?uuid=9f72cf50-5e3c-30ac-bff8-cba5c5f8db01" ] } ], "mendeley" : { "formattedCitation" : "[8]", "plainTextFormattedCitation" : "[8]", "previouslyFormattedCitation" : "[8]" }, "properties" : {  }, "schema" : "https://github.com/citation-style-language/schema/raw/master/csl-citation.json" }</w:instrText>
      </w:r>
      <w:r w:rsidR="00684DF4">
        <w:fldChar w:fldCharType="separate"/>
      </w:r>
      <w:r w:rsidR="00684DF4" w:rsidRPr="00684DF4">
        <w:rPr>
          <w:noProof/>
        </w:rPr>
        <w:t>[8]</w:t>
      </w:r>
      <w:r w:rsidR="00684DF4">
        <w:fldChar w:fldCharType="end"/>
      </w:r>
      <w:r w:rsidR="00684DF4">
        <w:t>.</w:t>
      </w:r>
    </w:p>
    <w:p w:rsidR="00D10297" w:rsidRDefault="00D10297">
      <w:r>
        <w:br w:type="page"/>
      </w:r>
    </w:p>
    <w:p w:rsidR="00403248" w:rsidRDefault="00403248"/>
    <w:tbl>
      <w:tblPr>
        <w:tblStyle w:val="TableGrid"/>
        <w:tblW w:w="9597" w:type="dxa"/>
        <w:jc w:val="center"/>
        <w:tblLook w:val="04A0" w:firstRow="1" w:lastRow="0" w:firstColumn="1" w:lastColumn="0" w:noHBand="0" w:noVBand="1"/>
      </w:tblPr>
      <w:tblGrid>
        <w:gridCol w:w="1982"/>
        <w:gridCol w:w="2552"/>
        <w:gridCol w:w="1566"/>
        <w:gridCol w:w="1869"/>
        <w:gridCol w:w="1628"/>
      </w:tblGrid>
      <w:tr w:rsidR="00684DF4" w:rsidTr="00D10297">
        <w:trPr>
          <w:jc w:val="center"/>
        </w:trPr>
        <w:tc>
          <w:tcPr>
            <w:tcW w:w="1982" w:type="dxa"/>
          </w:tcPr>
          <w:p w:rsidR="00684DF4" w:rsidRPr="00814246" w:rsidRDefault="00684DF4" w:rsidP="00684DF4">
            <w:pPr>
              <w:jc w:val="center"/>
              <w:rPr>
                <w:rFonts w:cs="Arial"/>
                <w:b/>
                <w:lang w:eastAsia="zh-CN"/>
              </w:rPr>
            </w:pPr>
          </w:p>
        </w:tc>
        <w:tc>
          <w:tcPr>
            <w:tcW w:w="4118" w:type="dxa"/>
            <w:gridSpan w:val="2"/>
          </w:tcPr>
          <w:p w:rsidR="00684DF4" w:rsidRPr="00814246" w:rsidRDefault="00684DF4" w:rsidP="00684DF4">
            <w:pPr>
              <w:jc w:val="center"/>
              <w:rPr>
                <w:rFonts w:cs="Arial"/>
                <w:b/>
                <w:lang w:eastAsia="zh-CN"/>
              </w:rPr>
            </w:pPr>
            <w:r w:rsidRPr="00814246">
              <w:rPr>
                <w:rFonts w:cs="Arial"/>
                <w:b/>
                <w:lang w:eastAsia="zh-CN"/>
              </w:rPr>
              <w:t>Non-infectious arthritis</w:t>
            </w:r>
          </w:p>
        </w:tc>
        <w:tc>
          <w:tcPr>
            <w:tcW w:w="3497" w:type="dxa"/>
            <w:gridSpan w:val="2"/>
          </w:tcPr>
          <w:p w:rsidR="00684DF4" w:rsidRPr="00814246" w:rsidRDefault="00684DF4" w:rsidP="00684DF4">
            <w:pPr>
              <w:jc w:val="center"/>
              <w:rPr>
                <w:rFonts w:cs="Arial"/>
                <w:b/>
                <w:lang w:eastAsia="zh-CN"/>
              </w:rPr>
            </w:pPr>
            <w:r w:rsidRPr="00814246">
              <w:rPr>
                <w:rFonts w:cs="Arial"/>
                <w:b/>
                <w:lang w:eastAsia="zh-CN"/>
              </w:rPr>
              <w:t>Infectious arthritis</w:t>
            </w:r>
          </w:p>
        </w:tc>
      </w:tr>
      <w:tr w:rsidR="00684DF4" w:rsidTr="00D10297">
        <w:trPr>
          <w:jc w:val="center"/>
        </w:trPr>
        <w:tc>
          <w:tcPr>
            <w:tcW w:w="1982" w:type="dxa"/>
          </w:tcPr>
          <w:p w:rsidR="00684DF4" w:rsidRDefault="004E2359" w:rsidP="000F0C9D">
            <w:pPr>
              <w:jc w:val="right"/>
              <w:rPr>
                <w:rFonts w:cs="Arial"/>
                <w:lang w:eastAsia="zh-CN"/>
              </w:rPr>
            </w:pPr>
            <w:r w:rsidRPr="00814246">
              <w:rPr>
                <w:rFonts w:cs="Arial"/>
                <w:b/>
                <w:lang w:eastAsia="zh-CN"/>
              </w:rPr>
              <w:t>Interest by country</w:t>
            </w:r>
            <w:r>
              <w:rPr>
                <w:rFonts w:cs="Arial"/>
                <w:b/>
                <w:lang w:eastAsia="zh-CN"/>
              </w:rPr>
              <w:t xml:space="preserve"> </w:t>
            </w:r>
          </w:p>
        </w:tc>
        <w:tc>
          <w:tcPr>
            <w:tcW w:w="2552" w:type="dxa"/>
          </w:tcPr>
          <w:p w:rsidR="00684DF4" w:rsidRDefault="00684DF4" w:rsidP="00684DF4">
            <w:pPr>
              <w:jc w:val="center"/>
              <w:rPr>
                <w:rFonts w:cs="Arial"/>
                <w:lang w:eastAsia="zh-CN"/>
              </w:rPr>
            </w:pPr>
            <w:r>
              <w:rPr>
                <w:rFonts w:cs="Arial"/>
                <w:lang w:eastAsia="zh-CN"/>
              </w:rPr>
              <w:t>Rheumatoid arthritis</w:t>
            </w:r>
          </w:p>
        </w:tc>
        <w:tc>
          <w:tcPr>
            <w:tcW w:w="1566" w:type="dxa"/>
          </w:tcPr>
          <w:p w:rsidR="00684DF4" w:rsidRDefault="00684DF4" w:rsidP="00684DF4">
            <w:pPr>
              <w:jc w:val="center"/>
              <w:rPr>
                <w:rFonts w:cs="Arial"/>
                <w:lang w:eastAsia="zh-CN"/>
              </w:rPr>
            </w:pPr>
            <w:r>
              <w:rPr>
                <w:rFonts w:cs="Arial"/>
                <w:lang w:eastAsia="zh-CN"/>
              </w:rPr>
              <w:t>Osteoarthritis</w:t>
            </w:r>
          </w:p>
        </w:tc>
        <w:tc>
          <w:tcPr>
            <w:tcW w:w="1869" w:type="dxa"/>
          </w:tcPr>
          <w:p w:rsidR="00684DF4" w:rsidRDefault="00684DF4" w:rsidP="00684DF4">
            <w:pPr>
              <w:jc w:val="center"/>
              <w:rPr>
                <w:rFonts w:cs="Arial"/>
                <w:lang w:eastAsia="zh-CN"/>
              </w:rPr>
            </w:pPr>
            <w:r>
              <w:rPr>
                <w:rFonts w:cs="Arial"/>
                <w:lang w:eastAsia="zh-CN"/>
              </w:rPr>
              <w:t>Bacterial arthritis</w:t>
            </w:r>
          </w:p>
        </w:tc>
        <w:tc>
          <w:tcPr>
            <w:tcW w:w="1628" w:type="dxa"/>
          </w:tcPr>
          <w:p w:rsidR="00684DF4" w:rsidRDefault="00684DF4" w:rsidP="00684DF4">
            <w:pPr>
              <w:jc w:val="center"/>
              <w:rPr>
                <w:rFonts w:cs="Arial"/>
                <w:lang w:eastAsia="zh-CN"/>
              </w:rPr>
            </w:pPr>
            <w:r>
              <w:rPr>
                <w:rFonts w:cs="Arial"/>
                <w:lang w:eastAsia="zh-CN"/>
              </w:rPr>
              <w:t>Septic arthritis</w:t>
            </w:r>
          </w:p>
        </w:tc>
      </w:tr>
      <w:tr w:rsidR="004E2359" w:rsidTr="00D10297">
        <w:trPr>
          <w:jc w:val="center"/>
        </w:trPr>
        <w:tc>
          <w:tcPr>
            <w:tcW w:w="1982" w:type="dxa"/>
          </w:tcPr>
          <w:p w:rsidR="00F57542" w:rsidRDefault="00F57542" w:rsidP="00F57542">
            <w:pPr>
              <w:jc w:val="right"/>
              <w:rPr>
                <w:rFonts w:cs="Arial"/>
                <w:lang w:eastAsia="zh-CN"/>
              </w:rPr>
            </w:pPr>
            <w:r>
              <w:rPr>
                <w:rFonts w:cs="Arial"/>
                <w:lang w:eastAsia="zh-CN"/>
              </w:rPr>
              <w:t>1</w:t>
            </w:r>
          </w:p>
        </w:tc>
        <w:tc>
          <w:tcPr>
            <w:tcW w:w="2552" w:type="dxa"/>
            <w:shd w:val="clear" w:color="auto" w:fill="92D050"/>
          </w:tcPr>
          <w:p w:rsidR="00F57542" w:rsidRDefault="00F57542" w:rsidP="00F57542">
            <w:pPr>
              <w:rPr>
                <w:rFonts w:cs="Arial"/>
                <w:lang w:eastAsia="zh-CN"/>
              </w:rPr>
            </w:pPr>
            <w:r>
              <w:rPr>
                <w:rFonts w:cs="Arial"/>
                <w:lang w:eastAsia="zh-CN"/>
              </w:rPr>
              <w:t>Japan</w:t>
            </w:r>
          </w:p>
        </w:tc>
        <w:tc>
          <w:tcPr>
            <w:tcW w:w="1566" w:type="dxa"/>
            <w:shd w:val="clear" w:color="auto" w:fill="79DCFF"/>
          </w:tcPr>
          <w:p w:rsidR="00F57542" w:rsidRDefault="00F57542" w:rsidP="00F57542">
            <w:pPr>
              <w:rPr>
                <w:rFonts w:cs="Arial"/>
                <w:lang w:eastAsia="zh-CN"/>
              </w:rPr>
            </w:pPr>
            <w:r>
              <w:rPr>
                <w:rFonts w:cs="Arial"/>
                <w:lang w:eastAsia="zh-CN"/>
              </w:rPr>
              <w:t>Iraq</w:t>
            </w:r>
          </w:p>
        </w:tc>
        <w:tc>
          <w:tcPr>
            <w:tcW w:w="1869" w:type="dxa"/>
            <w:shd w:val="clear" w:color="auto" w:fill="FF9999"/>
          </w:tcPr>
          <w:p w:rsidR="00F57542" w:rsidRDefault="00F57542" w:rsidP="00F57542">
            <w:pPr>
              <w:rPr>
                <w:rFonts w:cs="Arial"/>
                <w:lang w:eastAsia="zh-CN"/>
              </w:rPr>
            </w:pPr>
            <w:r>
              <w:rPr>
                <w:rFonts w:cs="Arial"/>
                <w:lang w:eastAsia="zh-CN"/>
              </w:rPr>
              <w:t>Ethiopia</w:t>
            </w:r>
          </w:p>
        </w:tc>
        <w:tc>
          <w:tcPr>
            <w:tcW w:w="1628" w:type="dxa"/>
            <w:shd w:val="clear" w:color="auto" w:fill="FF9999"/>
          </w:tcPr>
          <w:p w:rsidR="00F57542" w:rsidRDefault="00F57542" w:rsidP="00F57542">
            <w:pPr>
              <w:rPr>
                <w:rFonts w:cs="Arial"/>
                <w:lang w:eastAsia="zh-CN"/>
              </w:rPr>
            </w:pPr>
            <w:r>
              <w:rPr>
                <w:rFonts w:cs="Arial"/>
                <w:lang w:eastAsia="zh-CN"/>
              </w:rPr>
              <w:t>Ethiopia</w:t>
            </w:r>
          </w:p>
        </w:tc>
      </w:tr>
      <w:tr w:rsidR="004E2359" w:rsidTr="00D10297">
        <w:trPr>
          <w:jc w:val="center"/>
        </w:trPr>
        <w:tc>
          <w:tcPr>
            <w:tcW w:w="1982" w:type="dxa"/>
          </w:tcPr>
          <w:p w:rsidR="00F57542" w:rsidRDefault="00F57542" w:rsidP="00F57542">
            <w:pPr>
              <w:jc w:val="right"/>
              <w:rPr>
                <w:rFonts w:cs="Arial"/>
                <w:lang w:eastAsia="zh-CN"/>
              </w:rPr>
            </w:pPr>
            <w:r>
              <w:rPr>
                <w:rFonts w:cs="Arial"/>
                <w:lang w:eastAsia="zh-CN"/>
              </w:rPr>
              <w:t>2</w:t>
            </w:r>
          </w:p>
        </w:tc>
        <w:tc>
          <w:tcPr>
            <w:tcW w:w="2552" w:type="dxa"/>
            <w:shd w:val="clear" w:color="auto" w:fill="92D050"/>
          </w:tcPr>
          <w:p w:rsidR="00F57542" w:rsidRDefault="00F57542" w:rsidP="00F57542">
            <w:pPr>
              <w:rPr>
                <w:rFonts w:cs="Arial"/>
                <w:lang w:eastAsia="zh-CN"/>
              </w:rPr>
            </w:pPr>
            <w:r>
              <w:rPr>
                <w:rFonts w:cs="Arial"/>
                <w:lang w:eastAsia="zh-CN"/>
              </w:rPr>
              <w:t>Puerto Rico</w:t>
            </w:r>
          </w:p>
        </w:tc>
        <w:tc>
          <w:tcPr>
            <w:tcW w:w="1566" w:type="dxa"/>
            <w:shd w:val="clear" w:color="auto" w:fill="92D050"/>
          </w:tcPr>
          <w:p w:rsidR="00F57542" w:rsidRDefault="00F57542" w:rsidP="00F57542">
            <w:pPr>
              <w:rPr>
                <w:rFonts w:cs="Arial"/>
                <w:lang w:eastAsia="zh-CN"/>
              </w:rPr>
            </w:pPr>
            <w:r>
              <w:rPr>
                <w:rFonts w:cs="Arial"/>
                <w:lang w:eastAsia="zh-CN"/>
              </w:rPr>
              <w:t>Sweden</w:t>
            </w:r>
          </w:p>
        </w:tc>
        <w:tc>
          <w:tcPr>
            <w:tcW w:w="1869" w:type="dxa"/>
            <w:shd w:val="clear" w:color="auto" w:fill="FFE599" w:themeFill="accent4" w:themeFillTint="66"/>
          </w:tcPr>
          <w:p w:rsidR="00F57542" w:rsidRDefault="00F57542" w:rsidP="00F57542">
            <w:pPr>
              <w:rPr>
                <w:rFonts w:cs="Arial"/>
                <w:lang w:eastAsia="zh-CN"/>
              </w:rPr>
            </w:pPr>
            <w:r>
              <w:rPr>
                <w:rFonts w:cs="Arial"/>
                <w:lang w:eastAsia="zh-CN"/>
              </w:rPr>
              <w:t>Nicaragua</w:t>
            </w:r>
          </w:p>
        </w:tc>
        <w:tc>
          <w:tcPr>
            <w:tcW w:w="1628" w:type="dxa"/>
            <w:shd w:val="clear" w:color="auto" w:fill="FFE599" w:themeFill="accent4" w:themeFillTint="66"/>
          </w:tcPr>
          <w:p w:rsidR="00F57542" w:rsidRDefault="00F57542" w:rsidP="00F57542">
            <w:pPr>
              <w:rPr>
                <w:rFonts w:cs="Arial"/>
                <w:lang w:eastAsia="zh-CN"/>
              </w:rPr>
            </w:pPr>
            <w:r>
              <w:rPr>
                <w:rFonts w:cs="Arial"/>
                <w:lang w:eastAsia="zh-CN"/>
              </w:rPr>
              <w:t>Ghana</w:t>
            </w:r>
          </w:p>
        </w:tc>
      </w:tr>
      <w:tr w:rsidR="004E2359" w:rsidTr="00D10297">
        <w:trPr>
          <w:jc w:val="center"/>
        </w:trPr>
        <w:tc>
          <w:tcPr>
            <w:tcW w:w="1982" w:type="dxa"/>
          </w:tcPr>
          <w:p w:rsidR="00F57542" w:rsidRDefault="00F57542" w:rsidP="00F57542">
            <w:pPr>
              <w:jc w:val="right"/>
              <w:rPr>
                <w:rFonts w:cs="Arial"/>
                <w:lang w:eastAsia="zh-CN"/>
              </w:rPr>
            </w:pPr>
            <w:r>
              <w:rPr>
                <w:rFonts w:cs="Arial"/>
                <w:lang w:eastAsia="zh-CN"/>
              </w:rPr>
              <w:t>3</w:t>
            </w:r>
          </w:p>
        </w:tc>
        <w:tc>
          <w:tcPr>
            <w:tcW w:w="2552" w:type="dxa"/>
            <w:shd w:val="clear" w:color="auto" w:fill="92D050"/>
          </w:tcPr>
          <w:p w:rsidR="00F57542" w:rsidRDefault="00F57542" w:rsidP="00F57542">
            <w:pPr>
              <w:rPr>
                <w:rFonts w:cs="Arial"/>
                <w:lang w:eastAsia="zh-CN"/>
              </w:rPr>
            </w:pPr>
            <w:r>
              <w:rPr>
                <w:rFonts w:cs="Arial"/>
                <w:lang w:eastAsia="zh-CN"/>
              </w:rPr>
              <w:t>Norway</w:t>
            </w:r>
          </w:p>
        </w:tc>
        <w:tc>
          <w:tcPr>
            <w:tcW w:w="1566" w:type="dxa"/>
            <w:shd w:val="clear" w:color="auto" w:fill="92D050"/>
          </w:tcPr>
          <w:p w:rsidR="00F57542" w:rsidRDefault="00F57542" w:rsidP="00F57542">
            <w:pPr>
              <w:rPr>
                <w:rFonts w:cs="Arial"/>
                <w:lang w:eastAsia="zh-CN"/>
              </w:rPr>
            </w:pPr>
            <w:r>
              <w:rPr>
                <w:rFonts w:cs="Arial"/>
                <w:lang w:eastAsia="zh-CN"/>
              </w:rPr>
              <w:t>Germany</w:t>
            </w:r>
          </w:p>
        </w:tc>
        <w:tc>
          <w:tcPr>
            <w:tcW w:w="1869" w:type="dxa"/>
            <w:shd w:val="clear" w:color="auto" w:fill="FFE599" w:themeFill="accent4" w:themeFillTint="66"/>
          </w:tcPr>
          <w:p w:rsidR="00F57542" w:rsidRDefault="00F57542" w:rsidP="00F57542">
            <w:pPr>
              <w:rPr>
                <w:rFonts w:cs="Arial"/>
                <w:lang w:eastAsia="zh-CN"/>
              </w:rPr>
            </w:pPr>
            <w:r>
              <w:rPr>
                <w:rFonts w:cs="Arial"/>
                <w:lang w:eastAsia="zh-CN"/>
              </w:rPr>
              <w:t>Ghana</w:t>
            </w:r>
          </w:p>
        </w:tc>
        <w:tc>
          <w:tcPr>
            <w:tcW w:w="1628" w:type="dxa"/>
            <w:shd w:val="clear" w:color="auto" w:fill="79DCFF"/>
          </w:tcPr>
          <w:p w:rsidR="00F57542" w:rsidRDefault="00F57542" w:rsidP="00F57542">
            <w:pPr>
              <w:rPr>
                <w:rFonts w:cs="Arial"/>
                <w:lang w:eastAsia="zh-CN"/>
              </w:rPr>
            </w:pPr>
            <w:r>
              <w:rPr>
                <w:rFonts w:cs="Arial"/>
                <w:lang w:eastAsia="zh-CN"/>
              </w:rPr>
              <w:t>Malaysia</w:t>
            </w:r>
          </w:p>
        </w:tc>
      </w:tr>
      <w:tr w:rsidR="00D36CE4" w:rsidTr="00D10297">
        <w:trPr>
          <w:jc w:val="center"/>
        </w:trPr>
        <w:tc>
          <w:tcPr>
            <w:tcW w:w="1982" w:type="dxa"/>
          </w:tcPr>
          <w:p w:rsidR="00F57542" w:rsidRDefault="00F57542" w:rsidP="00F57542">
            <w:pPr>
              <w:jc w:val="right"/>
              <w:rPr>
                <w:rFonts w:cs="Arial"/>
                <w:lang w:eastAsia="zh-CN"/>
              </w:rPr>
            </w:pPr>
            <w:r>
              <w:rPr>
                <w:rFonts w:cs="Arial"/>
                <w:lang w:eastAsia="zh-CN"/>
              </w:rPr>
              <w:t>4</w:t>
            </w:r>
          </w:p>
        </w:tc>
        <w:tc>
          <w:tcPr>
            <w:tcW w:w="2552" w:type="dxa"/>
            <w:shd w:val="clear" w:color="auto" w:fill="FFE599" w:themeFill="accent4" w:themeFillTint="66"/>
          </w:tcPr>
          <w:p w:rsidR="00F57542" w:rsidRDefault="00040ED1" w:rsidP="00F57542">
            <w:pPr>
              <w:rPr>
                <w:rFonts w:cs="Arial"/>
                <w:lang w:eastAsia="zh-CN"/>
              </w:rPr>
            </w:pPr>
            <w:r>
              <w:rPr>
                <w:rFonts w:cs="Arial"/>
                <w:lang w:eastAsia="zh-CN"/>
              </w:rPr>
              <w:t>Egypt</w:t>
            </w:r>
          </w:p>
        </w:tc>
        <w:tc>
          <w:tcPr>
            <w:tcW w:w="1566" w:type="dxa"/>
            <w:shd w:val="clear" w:color="auto" w:fill="92D050"/>
          </w:tcPr>
          <w:p w:rsidR="00F57542" w:rsidRDefault="00F57542" w:rsidP="00F57542">
            <w:pPr>
              <w:rPr>
                <w:rFonts w:cs="Arial"/>
                <w:lang w:eastAsia="zh-CN"/>
              </w:rPr>
            </w:pPr>
            <w:r>
              <w:rPr>
                <w:rFonts w:cs="Arial"/>
                <w:lang w:eastAsia="zh-CN"/>
              </w:rPr>
              <w:t>Netherlands</w:t>
            </w:r>
          </w:p>
        </w:tc>
        <w:tc>
          <w:tcPr>
            <w:tcW w:w="1869" w:type="dxa"/>
            <w:shd w:val="clear" w:color="auto" w:fill="FF9999"/>
          </w:tcPr>
          <w:p w:rsidR="00F57542" w:rsidRDefault="00040ED1" w:rsidP="00F57542">
            <w:pPr>
              <w:rPr>
                <w:rFonts w:cs="Arial"/>
                <w:lang w:eastAsia="zh-CN"/>
              </w:rPr>
            </w:pPr>
            <w:r>
              <w:rPr>
                <w:rFonts w:cs="Arial"/>
                <w:lang w:eastAsia="zh-CN"/>
              </w:rPr>
              <w:t>Nepal</w:t>
            </w:r>
          </w:p>
        </w:tc>
        <w:tc>
          <w:tcPr>
            <w:tcW w:w="1628" w:type="dxa"/>
            <w:shd w:val="clear" w:color="auto" w:fill="FFE599" w:themeFill="accent4" w:themeFillTint="66"/>
          </w:tcPr>
          <w:p w:rsidR="00F57542" w:rsidRDefault="00F57542" w:rsidP="00F57542">
            <w:pPr>
              <w:rPr>
                <w:rFonts w:cs="Arial"/>
                <w:lang w:eastAsia="zh-CN"/>
              </w:rPr>
            </w:pPr>
            <w:r>
              <w:rPr>
                <w:rFonts w:cs="Arial"/>
                <w:lang w:eastAsia="zh-CN"/>
              </w:rPr>
              <w:t>Kenya</w:t>
            </w:r>
          </w:p>
        </w:tc>
      </w:tr>
      <w:tr w:rsidR="00D36CE4" w:rsidTr="00D10297">
        <w:trPr>
          <w:jc w:val="center"/>
        </w:trPr>
        <w:tc>
          <w:tcPr>
            <w:tcW w:w="1982" w:type="dxa"/>
          </w:tcPr>
          <w:p w:rsidR="00F57542" w:rsidRDefault="00F57542" w:rsidP="00F57542">
            <w:pPr>
              <w:jc w:val="right"/>
              <w:rPr>
                <w:rFonts w:cs="Arial"/>
                <w:lang w:eastAsia="zh-CN"/>
              </w:rPr>
            </w:pPr>
            <w:r>
              <w:rPr>
                <w:rFonts w:cs="Arial"/>
                <w:lang w:eastAsia="zh-CN"/>
              </w:rPr>
              <w:t>5</w:t>
            </w:r>
          </w:p>
        </w:tc>
        <w:tc>
          <w:tcPr>
            <w:tcW w:w="2552" w:type="dxa"/>
            <w:shd w:val="clear" w:color="auto" w:fill="92D050"/>
          </w:tcPr>
          <w:p w:rsidR="00F57542" w:rsidRDefault="00040ED1" w:rsidP="00814246">
            <w:pPr>
              <w:tabs>
                <w:tab w:val="center" w:pos="1168"/>
              </w:tabs>
              <w:rPr>
                <w:rFonts w:cs="Arial"/>
                <w:lang w:eastAsia="zh-CN"/>
              </w:rPr>
            </w:pPr>
            <w:r>
              <w:rPr>
                <w:rFonts w:cs="Arial"/>
                <w:lang w:eastAsia="zh-CN"/>
              </w:rPr>
              <w:t>United States of America</w:t>
            </w:r>
          </w:p>
        </w:tc>
        <w:tc>
          <w:tcPr>
            <w:tcW w:w="1566" w:type="dxa"/>
            <w:shd w:val="clear" w:color="auto" w:fill="92D050"/>
          </w:tcPr>
          <w:p w:rsidR="00F57542" w:rsidRDefault="00F57542" w:rsidP="00F57542">
            <w:pPr>
              <w:rPr>
                <w:rFonts w:cs="Arial"/>
                <w:lang w:eastAsia="zh-CN"/>
              </w:rPr>
            </w:pPr>
            <w:r>
              <w:rPr>
                <w:rFonts w:cs="Arial"/>
                <w:lang w:eastAsia="zh-CN"/>
              </w:rPr>
              <w:t>Chile</w:t>
            </w:r>
          </w:p>
        </w:tc>
        <w:tc>
          <w:tcPr>
            <w:tcW w:w="1869" w:type="dxa"/>
            <w:shd w:val="clear" w:color="auto" w:fill="FFE599" w:themeFill="accent4" w:themeFillTint="66"/>
          </w:tcPr>
          <w:p w:rsidR="00F57542" w:rsidRDefault="00040ED1" w:rsidP="00F57542">
            <w:pPr>
              <w:rPr>
                <w:rFonts w:cs="Arial"/>
                <w:lang w:eastAsia="zh-CN"/>
              </w:rPr>
            </w:pPr>
            <w:r>
              <w:rPr>
                <w:rFonts w:cs="Arial"/>
                <w:lang w:eastAsia="zh-CN"/>
              </w:rPr>
              <w:t>Bolivia</w:t>
            </w:r>
          </w:p>
        </w:tc>
        <w:tc>
          <w:tcPr>
            <w:tcW w:w="1628" w:type="dxa"/>
            <w:shd w:val="clear" w:color="auto" w:fill="92D050"/>
          </w:tcPr>
          <w:p w:rsidR="00F57542" w:rsidRDefault="00F57542" w:rsidP="00F57542">
            <w:pPr>
              <w:rPr>
                <w:rFonts w:cs="Arial"/>
                <w:lang w:eastAsia="zh-CN"/>
              </w:rPr>
            </w:pPr>
            <w:r>
              <w:rPr>
                <w:rFonts w:cs="Arial"/>
                <w:lang w:eastAsia="zh-CN"/>
              </w:rPr>
              <w:t>Australia</w:t>
            </w:r>
          </w:p>
        </w:tc>
      </w:tr>
    </w:tbl>
    <w:p w:rsidR="00F57542" w:rsidRPr="000F0C9D" w:rsidRDefault="001257C2" w:rsidP="000F0C9D">
      <w:pPr>
        <w:spacing w:after="0"/>
        <w:jc w:val="center"/>
        <w:rPr>
          <w:b/>
        </w:rPr>
      </w:pPr>
      <w:r>
        <w:rPr>
          <w:b/>
        </w:rPr>
        <w:t>Table 1: Highest</w:t>
      </w:r>
      <w:r w:rsidR="00F57542" w:rsidRPr="000F0C9D">
        <w:rPr>
          <w:b/>
        </w:rPr>
        <w:t>-ranked countries by population-adjusted popularity of search terms.</w:t>
      </w:r>
    </w:p>
    <w:p w:rsidR="008F1876" w:rsidRDefault="000F0C9D" w:rsidP="00814246">
      <w:pPr>
        <w:jc w:val="center"/>
      </w:pPr>
      <w:r>
        <w:t xml:space="preserve">Key: </w:t>
      </w:r>
      <w:r>
        <w:rPr>
          <w:color w:val="FF9999"/>
        </w:rPr>
        <w:sym w:font="Webdings" w:char="F067"/>
      </w:r>
      <w:r w:rsidR="00F57542">
        <w:t xml:space="preserve"> </w:t>
      </w:r>
      <w:r w:rsidR="00F57542" w:rsidRPr="00F57542">
        <w:t>= Low-income economy</w:t>
      </w:r>
      <w:r w:rsidR="00F57542">
        <w:t xml:space="preserve">; </w:t>
      </w:r>
      <w:r>
        <w:rPr>
          <w:color w:val="FFE599" w:themeColor="accent4" w:themeTint="66"/>
        </w:rPr>
        <w:sym w:font="Webdings" w:char="F067"/>
      </w:r>
      <w:r w:rsidR="00F57542" w:rsidRPr="00F57542">
        <w:t xml:space="preserve"> = </w:t>
      </w:r>
      <w:r w:rsidR="00F57542">
        <w:t>Lower-middle-income economy</w:t>
      </w:r>
      <w:r w:rsidR="00F57542" w:rsidRPr="00F57542">
        <w:t xml:space="preserve">; </w:t>
      </w:r>
      <w:r>
        <w:rPr>
          <w:color w:val="79DCFF"/>
        </w:rPr>
        <w:sym w:font="Webdings" w:char="F067"/>
      </w:r>
      <w:r w:rsidR="00F57542" w:rsidRPr="00814246">
        <w:rPr>
          <w:color w:val="79DCFF"/>
        </w:rPr>
        <w:t xml:space="preserve"> </w:t>
      </w:r>
      <w:r w:rsidR="00F57542" w:rsidRPr="00F57542">
        <w:t xml:space="preserve">= </w:t>
      </w:r>
      <w:r w:rsidR="00F57542">
        <w:t>Upper-middle-income economy</w:t>
      </w:r>
      <w:r w:rsidR="00F57542" w:rsidRPr="00F57542">
        <w:t xml:space="preserve">; </w:t>
      </w:r>
      <w:r>
        <w:rPr>
          <w:color w:val="92D050"/>
        </w:rPr>
        <w:sym w:font="Webdings" w:char="F067"/>
      </w:r>
      <w:r w:rsidR="00F57542" w:rsidRPr="00F57542">
        <w:t xml:space="preserve"> = </w:t>
      </w:r>
      <w:r w:rsidR="00F57542">
        <w:t>High-income economy</w:t>
      </w:r>
      <w:r w:rsidR="00814246">
        <w:t xml:space="preserve"> (as per World Bank </w:t>
      </w:r>
      <w:r w:rsidR="00814246">
        <w:fldChar w:fldCharType="begin" w:fldLock="1"/>
      </w:r>
      <w:r w:rsidR="00814246">
        <w:instrText>ADDIN CSL_CITATION { "citationItems" : [ { "id" : "ITEM-1", "itemData" : { "URL" : "https://datahelpdesk.worldbank.org/knowledgebase/articles/906519-world-bank-country-and-lending-groups", "accessed" : { "date-parts" : [ [ "2019", "4", "12" ] ] }, "id" : "ITEM-1", "issued" : { "date-parts" : [ [ "0" ] ] }, "title" : "World Bank Country and Lending Groups \u2013 World Bank Data Help Desk", "type" : "webpage" }, "uris" : [ "http://www.mendeley.com/documents/?uuid=9f72cf50-5e3c-30ac-bff8-cba5c5f8db01" ] } ], "mendeley" : { "formattedCitation" : "[8]", "plainTextFormattedCitation" : "[8]", "previouslyFormattedCitation" : "[8]" }, "properties" : {  }, "schema" : "https://github.com/citation-style-language/schema/raw/master/csl-citation.json" }</w:instrText>
      </w:r>
      <w:r w:rsidR="00814246">
        <w:fldChar w:fldCharType="separate"/>
      </w:r>
      <w:r w:rsidR="00814246" w:rsidRPr="00814246">
        <w:rPr>
          <w:noProof/>
        </w:rPr>
        <w:t>[8]</w:t>
      </w:r>
      <w:r w:rsidR="00814246">
        <w:fldChar w:fldCharType="end"/>
      </w:r>
      <w:r w:rsidR="00814246">
        <w:t>)</w:t>
      </w:r>
    </w:p>
    <w:p w:rsidR="00CA5102" w:rsidRDefault="001D70FF" w:rsidP="00CA5102">
      <w:r>
        <w:t xml:space="preserve">Our results indicate searches for non-infectious arthropathies to be more </w:t>
      </w:r>
      <w:r w:rsidR="002A3E74">
        <w:t>popular in middle-high income countries</w:t>
      </w:r>
      <w:r w:rsidR="00780CFB">
        <w:t xml:space="preserve"> (90% upper-middle or high income economies)</w:t>
      </w:r>
      <w:r w:rsidR="002A3E74">
        <w:t>, while searches related to infectious arthritis are more popular in low-middle income countries</w:t>
      </w:r>
      <w:r w:rsidR="00780CFB">
        <w:t xml:space="preserve"> (80% lower-middle or low income economies)</w:t>
      </w:r>
      <w:r w:rsidR="002A3E74">
        <w:t xml:space="preserve">. </w:t>
      </w:r>
      <w:r w:rsidR="004E2359">
        <w:t xml:space="preserve">There are several possible causes for this. Firstly, the infrastructure of rheumatology </w:t>
      </w:r>
      <w:r w:rsidR="008E5F33">
        <w:t>services is</w:t>
      </w:r>
      <w:r w:rsidR="004E2359">
        <w:t xml:space="preserve"> likely to be more developed in middle-high income countries, leading to more streamlined care and efficiency of diagnosis of diseases such as rheumatoid arthritis. This in turn may lead to greater public interest in these diseases, for example, following diagnosis. The greater popularity of these search terms may also be due to</w:t>
      </w:r>
      <w:r w:rsidR="003F39AB">
        <w:t xml:space="preserve"> more established</w:t>
      </w:r>
      <w:r w:rsidR="004E2359">
        <w:t xml:space="preserve"> public awareness campaigns in these countries, such as </w:t>
      </w:r>
      <w:r w:rsidR="003F39AB" w:rsidRPr="003F39AB">
        <w:t xml:space="preserve">the </w:t>
      </w:r>
      <w:r w:rsidR="003F39AB">
        <w:t>European League against Rheumatism (</w:t>
      </w:r>
      <w:r w:rsidR="003F39AB" w:rsidRPr="003F39AB">
        <w:t>EULAR</w:t>
      </w:r>
      <w:r w:rsidR="003F39AB">
        <w:t>)</w:t>
      </w:r>
      <w:r w:rsidR="003F39AB" w:rsidRPr="003F39AB">
        <w:t xml:space="preserve"> </w:t>
      </w:r>
      <w:r w:rsidR="003F39AB">
        <w:t>c</w:t>
      </w:r>
      <w:r w:rsidR="003F39AB" w:rsidRPr="003F39AB">
        <w:t>ampaign, </w:t>
      </w:r>
      <w:r w:rsidR="003F39AB">
        <w:t>“</w:t>
      </w:r>
      <w:r w:rsidR="003F39AB" w:rsidRPr="003F39AB">
        <w:t>Don't Delay, Connect Today</w:t>
      </w:r>
      <w:r w:rsidR="003F39AB">
        <w:t>.”</w:t>
      </w:r>
    </w:p>
    <w:p w:rsidR="003F39AB" w:rsidRDefault="003F39AB" w:rsidP="00CA5102">
      <w:r>
        <w:t xml:space="preserve">A further explanation </w:t>
      </w:r>
      <w:r w:rsidR="00780CFB">
        <w:t>for these results may be due to a</w:t>
      </w:r>
      <w:r w:rsidR="002D3F8C">
        <w:t xml:space="preserve"> high incidence of diagnosis of infectious arthritis in low-middle income countries</w:t>
      </w:r>
      <w:r w:rsidR="001257C2">
        <w:t xml:space="preserve">, for which there is relatively few </w:t>
      </w:r>
      <w:r w:rsidR="002D3F8C">
        <w:t>consistent or robust</w:t>
      </w:r>
      <w:r w:rsidR="001257C2">
        <w:t xml:space="preserve"> epidemiological data</w:t>
      </w:r>
      <w:r w:rsidR="002D3F8C">
        <w:t>. While increased popularity of search terms does not necessarily correlate with increased diagnosis,</w:t>
      </w:r>
      <w:r w:rsidR="00780CFB">
        <w:t xml:space="preserve"> it does indicate a relatively increased interest in infectious arthritis.</w:t>
      </w:r>
    </w:p>
    <w:p w:rsidR="00780CFB" w:rsidRDefault="00780CFB" w:rsidP="00CA5102">
      <w:r>
        <w:t>There are several lim</w:t>
      </w:r>
      <w:r w:rsidR="008928D8">
        <w:t>itations to such analyses using Google Trends</w:t>
      </w:r>
      <w:r>
        <w:t>. Although Google represents 75% of Internet searches, it does not account for other search engines. Results also do not indicate the demographics of users</w:t>
      </w:r>
      <w:r w:rsidR="00E57121">
        <w:t>, and are not reflective of areas where there is limited access to the Internet</w:t>
      </w:r>
      <w:r>
        <w:t>.</w:t>
      </w:r>
    </w:p>
    <w:p w:rsidR="00D10297" w:rsidRDefault="00780CFB" w:rsidP="00CA5102">
      <w:r>
        <w:t>In conclusion, we show that exploration of Google Trends</w:t>
      </w:r>
      <w:r w:rsidR="000F0C9D">
        <w:t xml:space="preserve"> can </w:t>
      </w:r>
      <w:r w:rsidR="00E57121">
        <w:t>assist</w:t>
      </w:r>
      <w:r w:rsidR="000F0C9D">
        <w:t xml:space="preserve"> in monitoring regional variations in </w:t>
      </w:r>
      <w:r w:rsidR="00983C71">
        <w:t>disease interest</w:t>
      </w:r>
      <w:r w:rsidR="00DF376C">
        <w:t xml:space="preserve">, and </w:t>
      </w:r>
      <w:r w:rsidR="00983C71">
        <w:t xml:space="preserve">may indicate specific regions </w:t>
      </w:r>
      <w:r w:rsidR="00DF376C">
        <w:t>for targeted research into certain diseases</w:t>
      </w:r>
      <w:r w:rsidR="00983C71">
        <w:t xml:space="preserve">. </w:t>
      </w:r>
      <w:r w:rsidR="00823737">
        <w:t>Our results</w:t>
      </w:r>
      <w:r w:rsidR="00983C71">
        <w:t xml:space="preserve"> suggest</w:t>
      </w:r>
      <w:r w:rsidR="00823737">
        <w:t xml:space="preserve"> a need for further</w:t>
      </w:r>
      <w:r w:rsidR="00983C71">
        <w:t xml:space="preserve"> epidemiological research and heightened awareness in low-middle income countries on all types of arthritis. </w:t>
      </w:r>
      <w:r w:rsidR="00823737">
        <w:t>However, they also suggest regions which may benefit from research and monitoring of infectious arthritis, which may subsequently improve infection-related morbidity and antimicrobial stewardship in these areas.</w:t>
      </w:r>
    </w:p>
    <w:p w:rsidR="00606DE4" w:rsidRDefault="00606DE4"/>
    <w:p w:rsidR="00D10297" w:rsidRDefault="00606DE4">
      <w:r>
        <w:t>The authors report no conflicts of interest.</w:t>
      </w:r>
    </w:p>
    <w:p w:rsidR="00606DE4" w:rsidRDefault="00606DE4">
      <w:pPr>
        <w:rPr>
          <w:b/>
        </w:rPr>
      </w:pPr>
      <w:r>
        <w:rPr>
          <w:b/>
        </w:rPr>
        <w:br w:type="page"/>
      </w:r>
    </w:p>
    <w:p w:rsidR="00780CFB" w:rsidRDefault="00D10297" w:rsidP="00CA5102">
      <w:pPr>
        <w:rPr>
          <w:b/>
        </w:rPr>
      </w:pPr>
      <w:r w:rsidRPr="00D10297">
        <w:rPr>
          <w:b/>
        </w:rPr>
        <w:lastRenderedPageBreak/>
        <w:t>Bibliography</w:t>
      </w:r>
    </w:p>
    <w:p w:rsidR="00D10297" w:rsidRPr="00D10297" w:rsidRDefault="00D10297" w:rsidP="00D10297">
      <w:pPr>
        <w:widowControl w:val="0"/>
        <w:autoSpaceDE w:val="0"/>
        <w:autoSpaceDN w:val="0"/>
        <w:adjustRightInd w:val="0"/>
        <w:spacing w:line="240" w:lineRule="auto"/>
        <w:ind w:left="640" w:hanging="640"/>
        <w:rPr>
          <w:rFonts w:ascii="Calibri" w:hAnsi="Calibri" w:cs="Times New Roman"/>
          <w:noProof/>
          <w:szCs w:val="24"/>
        </w:rPr>
      </w:pPr>
      <w:r>
        <w:fldChar w:fldCharType="begin" w:fldLock="1"/>
      </w:r>
      <w:r>
        <w:instrText xml:space="preserve">ADDIN Mendeley Bibliography CSL_BIBLIOGRAPHY </w:instrText>
      </w:r>
      <w:r>
        <w:fldChar w:fldCharType="separate"/>
      </w:r>
      <w:r w:rsidRPr="00D10297">
        <w:rPr>
          <w:rFonts w:ascii="Calibri" w:hAnsi="Calibri" w:cs="Times New Roman"/>
          <w:noProof/>
          <w:szCs w:val="24"/>
        </w:rPr>
        <w:t xml:space="preserve">1. </w:t>
      </w:r>
      <w:r w:rsidRPr="00D10297">
        <w:rPr>
          <w:rFonts w:ascii="Calibri" w:hAnsi="Calibri" w:cs="Times New Roman"/>
          <w:noProof/>
          <w:szCs w:val="24"/>
        </w:rPr>
        <w:tab/>
        <w:t>Search engine market share [Internet]. [cited 2019 Apr 11]. Available from: https://www.netmarketshare.com/search-engine-market-share?options=%7B%22filter%22%3A%7B%22%24and%22%3A%5B%7B%22deviceType%22%3A%7B%22%24in%22%3A%5B%22Desktop%2Flaptop%22%5D%7D%7D%5D%7D%2C%22dateLabel%22%3A%22Trend%22%2C%22attributes%22%3A%22share%22%2C%22</w:t>
      </w:r>
    </w:p>
    <w:p w:rsidR="00D10297" w:rsidRPr="00D10297" w:rsidRDefault="00D10297" w:rsidP="00D10297">
      <w:pPr>
        <w:widowControl w:val="0"/>
        <w:autoSpaceDE w:val="0"/>
        <w:autoSpaceDN w:val="0"/>
        <w:adjustRightInd w:val="0"/>
        <w:spacing w:line="240" w:lineRule="auto"/>
        <w:ind w:left="640" w:hanging="640"/>
        <w:rPr>
          <w:rFonts w:ascii="Calibri" w:hAnsi="Calibri" w:cs="Times New Roman"/>
          <w:noProof/>
          <w:szCs w:val="24"/>
        </w:rPr>
      </w:pPr>
      <w:r w:rsidRPr="00D10297">
        <w:rPr>
          <w:rFonts w:ascii="Calibri" w:hAnsi="Calibri" w:cs="Times New Roman"/>
          <w:noProof/>
          <w:szCs w:val="24"/>
        </w:rPr>
        <w:t xml:space="preserve">2. </w:t>
      </w:r>
      <w:r w:rsidRPr="00D10297">
        <w:rPr>
          <w:rFonts w:ascii="Calibri" w:hAnsi="Calibri" w:cs="Times New Roman"/>
          <w:noProof/>
          <w:szCs w:val="24"/>
        </w:rPr>
        <w:tab/>
        <w:t>Jellison SS, Bibens M, Checketts J, Vassar M. Using Google Trends to assess global public interest in osteoarthritis. Rheumatol Int [Internet]. 2018 Nov 15;38(11):2133–6. Available from: http://link.springer.com/10.1007/s00296-018-4158-2</w:t>
      </w:r>
    </w:p>
    <w:p w:rsidR="00D10297" w:rsidRPr="00D10297" w:rsidRDefault="00D10297" w:rsidP="00D10297">
      <w:pPr>
        <w:widowControl w:val="0"/>
        <w:autoSpaceDE w:val="0"/>
        <w:autoSpaceDN w:val="0"/>
        <w:adjustRightInd w:val="0"/>
        <w:spacing w:line="240" w:lineRule="auto"/>
        <w:ind w:left="640" w:hanging="640"/>
        <w:rPr>
          <w:rFonts w:ascii="Calibri" w:hAnsi="Calibri" w:cs="Times New Roman"/>
          <w:noProof/>
          <w:szCs w:val="24"/>
        </w:rPr>
      </w:pPr>
      <w:r w:rsidRPr="00D10297">
        <w:rPr>
          <w:rFonts w:ascii="Calibri" w:hAnsi="Calibri" w:cs="Times New Roman"/>
          <w:noProof/>
          <w:szCs w:val="24"/>
        </w:rPr>
        <w:t xml:space="preserve">3. </w:t>
      </w:r>
      <w:r w:rsidRPr="00D10297">
        <w:rPr>
          <w:rFonts w:ascii="Calibri" w:hAnsi="Calibri" w:cs="Times New Roman"/>
          <w:noProof/>
          <w:szCs w:val="24"/>
        </w:rPr>
        <w:tab/>
        <w:t xml:space="preserve">Bragazzi NL, Amital H, Adawi M, Brigo F, Watad S, Aljadeff G, et al. What do people search online concerning the “elusive” fibromyalgia? Insights from a qualitative and quantitative analysis of Google Trends. Clin Rheumatol. 2017 Aug;36(8):1873–8. </w:t>
      </w:r>
    </w:p>
    <w:p w:rsidR="00D10297" w:rsidRPr="00D10297" w:rsidRDefault="00D10297" w:rsidP="00D10297">
      <w:pPr>
        <w:widowControl w:val="0"/>
        <w:autoSpaceDE w:val="0"/>
        <w:autoSpaceDN w:val="0"/>
        <w:adjustRightInd w:val="0"/>
        <w:spacing w:line="240" w:lineRule="auto"/>
        <w:ind w:left="640" w:hanging="640"/>
        <w:rPr>
          <w:rFonts w:ascii="Calibri" w:hAnsi="Calibri" w:cs="Times New Roman"/>
          <w:noProof/>
          <w:szCs w:val="24"/>
        </w:rPr>
      </w:pPr>
      <w:r w:rsidRPr="00D10297">
        <w:rPr>
          <w:rFonts w:ascii="Calibri" w:hAnsi="Calibri" w:cs="Times New Roman"/>
          <w:noProof/>
          <w:szCs w:val="24"/>
        </w:rPr>
        <w:t xml:space="preserve">4. </w:t>
      </w:r>
      <w:r w:rsidRPr="00D10297">
        <w:rPr>
          <w:rFonts w:ascii="Calibri" w:hAnsi="Calibri" w:cs="Times New Roman"/>
          <w:noProof/>
          <w:szCs w:val="24"/>
        </w:rPr>
        <w:tab/>
        <w:t xml:space="preserve">Kardes S. Seasonal variation in the internet searches for gout: an ecological study. Clin Rheumatol. 2019 Mar;38(3):769–75. </w:t>
      </w:r>
    </w:p>
    <w:p w:rsidR="00D10297" w:rsidRPr="00D10297" w:rsidRDefault="00D10297" w:rsidP="00D10297">
      <w:pPr>
        <w:widowControl w:val="0"/>
        <w:autoSpaceDE w:val="0"/>
        <w:autoSpaceDN w:val="0"/>
        <w:adjustRightInd w:val="0"/>
        <w:spacing w:line="240" w:lineRule="auto"/>
        <w:ind w:left="640" w:hanging="640"/>
        <w:rPr>
          <w:rFonts w:ascii="Calibri" w:hAnsi="Calibri" w:cs="Times New Roman"/>
          <w:noProof/>
          <w:szCs w:val="24"/>
        </w:rPr>
      </w:pPr>
      <w:r w:rsidRPr="00D10297">
        <w:rPr>
          <w:rFonts w:ascii="Calibri" w:hAnsi="Calibri" w:cs="Times New Roman"/>
          <w:noProof/>
          <w:szCs w:val="24"/>
        </w:rPr>
        <w:t xml:space="preserve">5. </w:t>
      </w:r>
      <w:r w:rsidRPr="00D10297">
        <w:rPr>
          <w:rFonts w:ascii="Calibri" w:hAnsi="Calibri" w:cs="Times New Roman"/>
          <w:noProof/>
          <w:szCs w:val="24"/>
        </w:rPr>
        <w:tab/>
        <w:t>Savelkoel J, Claushuis TAM, van Engelen TSR, Scheres LJJ, Wiersinga WJ. Global impact of World Sepsis Day on digital awareness of sepsis: an evaluation using Google Trends. Crit Care [Internet]. 2018 Mar;22(1):61. Available from: https://doi.org/10.1186/s13054-018-1981-5</w:t>
      </w:r>
    </w:p>
    <w:p w:rsidR="00D10297" w:rsidRPr="00D10297" w:rsidRDefault="00D10297" w:rsidP="00D10297">
      <w:pPr>
        <w:widowControl w:val="0"/>
        <w:autoSpaceDE w:val="0"/>
        <w:autoSpaceDN w:val="0"/>
        <w:adjustRightInd w:val="0"/>
        <w:spacing w:line="240" w:lineRule="auto"/>
        <w:ind w:left="640" w:hanging="640"/>
        <w:rPr>
          <w:rFonts w:ascii="Calibri" w:hAnsi="Calibri" w:cs="Times New Roman"/>
          <w:noProof/>
          <w:szCs w:val="24"/>
        </w:rPr>
      </w:pPr>
      <w:r w:rsidRPr="00D10297">
        <w:rPr>
          <w:rFonts w:ascii="Calibri" w:hAnsi="Calibri" w:cs="Times New Roman"/>
          <w:noProof/>
          <w:szCs w:val="24"/>
        </w:rPr>
        <w:t xml:space="preserve">6. </w:t>
      </w:r>
      <w:r w:rsidRPr="00D10297">
        <w:rPr>
          <w:rFonts w:ascii="Calibri" w:hAnsi="Calibri" w:cs="Times New Roman"/>
          <w:noProof/>
          <w:szCs w:val="24"/>
        </w:rPr>
        <w:tab/>
        <w:t>Margaretten ME, Kohlwes J, Moore D, Bent S. Does This Adult Patient Have Septic Arthritis? JAMA [Internet]. 2007 Apr 4;297(13):1478–88. Available from: http://jama.jamanetwork.com/article.aspx?doi=10.1001/jama.297.13.1478</w:t>
      </w:r>
    </w:p>
    <w:p w:rsidR="00D10297" w:rsidRPr="00D10297" w:rsidRDefault="00D10297" w:rsidP="00D10297">
      <w:pPr>
        <w:widowControl w:val="0"/>
        <w:autoSpaceDE w:val="0"/>
        <w:autoSpaceDN w:val="0"/>
        <w:adjustRightInd w:val="0"/>
        <w:spacing w:line="240" w:lineRule="auto"/>
        <w:ind w:left="640" w:hanging="640"/>
        <w:rPr>
          <w:rFonts w:ascii="Calibri" w:hAnsi="Calibri" w:cs="Times New Roman"/>
          <w:noProof/>
          <w:szCs w:val="24"/>
        </w:rPr>
      </w:pPr>
      <w:r w:rsidRPr="00D10297">
        <w:rPr>
          <w:rFonts w:ascii="Calibri" w:hAnsi="Calibri" w:cs="Times New Roman"/>
          <w:noProof/>
          <w:szCs w:val="24"/>
        </w:rPr>
        <w:t xml:space="preserve">7. </w:t>
      </w:r>
      <w:r w:rsidRPr="00D10297">
        <w:rPr>
          <w:rFonts w:ascii="Calibri" w:hAnsi="Calibri" w:cs="Times New Roman"/>
          <w:noProof/>
          <w:szCs w:val="24"/>
        </w:rPr>
        <w:tab/>
        <w:t xml:space="preserve">Rutherford AI, Subesinghe S, Bharucha T, Ibrahim F, Kleymann A, Galloway JB. A population study of the reported incidence of native joint septic arthritis in the United Kingdom between 1998 and 2013. Rheumatol (United Kingdom). 2016;55(12):2176–80. </w:t>
      </w:r>
    </w:p>
    <w:p w:rsidR="00D10297" w:rsidRPr="00D10297" w:rsidRDefault="00D10297" w:rsidP="00D10297">
      <w:pPr>
        <w:widowControl w:val="0"/>
        <w:autoSpaceDE w:val="0"/>
        <w:autoSpaceDN w:val="0"/>
        <w:adjustRightInd w:val="0"/>
        <w:spacing w:line="240" w:lineRule="auto"/>
        <w:ind w:left="640" w:hanging="640"/>
        <w:rPr>
          <w:rFonts w:ascii="Calibri" w:hAnsi="Calibri"/>
          <w:noProof/>
        </w:rPr>
      </w:pPr>
      <w:r w:rsidRPr="00D10297">
        <w:rPr>
          <w:rFonts w:ascii="Calibri" w:hAnsi="Calibri" w:cs="Times New Roman"/>
          <w:noProof/>
          <w:szCs w:val="24"/>
        </w:rPr>
        <w:t xml:space="preserve">8. </w:t>
      </w:r>
      <w:r w:rsidRPr="00D10297">
        <w:rPr>
          <w:rFonts w:ascii="Calibri" w:hAnsi="Calibri" w:cs="Times New Roman"/>
          <w:noProof/>
          <w:szCs w:val="24"/>
        </w:rPr>
        <w:tab/>
        <w:t>World Bank Country and Lending Groups – World Bank Data Help Desk [Internet]. [cited 2019 Apr 12]. Available from: https://datahelpdesk.worldbank.org/knowledgebase/articles/906519-world-bank-country-and-lending-groups</w:t>
      </w:r>
    </w:p>
    <w:p w:rsidR="00D10297" w:rsidRPr="00D10297" w:rsidRDefault="00D10297" w:rsidP="00CA5102">
      <w:r>
        <w:fldChar w:fldCharType="end"/>
      </w:r>
    </w:p>
    <w:sectPr w:rsidR="00D10297" w:rsidRPr="00D10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76"/>
    <w:rsid w:val="00040ED1"/>
    <w:rsid w:val="000A7EB5"/>
    <w:rsid w:val="000F0C9D"/>
    <w:rsid w:val="000F7454"/>
    <w:rsid w:val="00117BDF"/>
    <w:rsid w:val="001257C2"/>
    <w:rsid w:val="00151C0A"/>
    <w:rsid w:val="001C41AD"/>
    <w:rsid w:val="001D59E9"/>
    <w:rsid w:val="001D70FF"/>
    <w:rsid w:val="002A3E74"/>
    <w:rsid w:val="002D3F8C"/>
    <w:rsid w:val="002E4BD5"/>
    <w:rsid w:val="002F3481"/>
    <w:rsid w:val="0037435A"/>
    <w:rsid w:val="003B3122"/>
    <w:rsid w:val="003F39AB"/>
    <w:rsid w:val="00403248"/>
    <w:rsid w:val="00462687"/>
    <w:rsid w:val="00490252"/>
    <w:rsid w:val="00493ECC"/>
    <w:rsid w:val="004E2359"/>
    <w:rsid w:val="004E5351"/>
    <w:rsid w:val="004F55D6"/>
    <w:rsid w:val="00606DE4"/>
    <w:rsid w:val="00684DF4"/>
    <w:rsid w:val="00706776"/>
    <w:rsid w:val="0075014D"/>
    <w:rsid w:val="00780CFB"/>
    <w:rsid w:val="00814246"/>
    <w:rsid w:val="00823737"/>
    <w:rsid w:val="00862FC2"/>
    <w:rsid w:val="00886688"/>
    <w:rsid w:val="008928D8"/>
    <w:rsid w:val="008D74E1"/>
    <w:rsid w:val="008E5F33"/>
    <w:rsid w:val="008F1876"/>
    <w:rsid w:val="00934FD2"/>
    <w:rsid w:val="00981037"/>
    <w:rsid w:val="00983C71"/>
    <w:rsid w:val="009C1655"/>
    <w:rsid w:val="009E7E79"/>
    <w:rsid w:val="009F4284"/>
    <w:rsid w:val="00A04B6B"/>
    <w:rsid w:val="00A4159D"/>
    <w:rsid w:val="00A8582E"/>
    <w:rsid w:val="00A86B36"/>
    <w:rsid w:val="00AA338E"/>
    <w:rsid w:val="00B02E86"/>
    <w:rsid w:val="00B45F24"/>
    <w:rsid w:val="00BE4C28"/>
    <w:rsid w:val="00CA5102"/>
    <w:rsid w:val="00D10297"/>
    <w:rsid w:val="00D13BC3"/>
    <w:rsid w:val="00D36CE4"/>
    <w:rsid w:val="00D86B63"/>
    <w:rsid w:val="00DF376C"/>
    <w:rsid w:val="00E57121"/>
    <w:rsid w:val="00F57542"/>
    <w:rsid w:val="00F83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ref">
    <w:name w:val="citationref"/>
    <w:basedOn w:val="DefaultParagraphFont"/>
    <w:rsid w:val="00A8582E"/>
  </w:style>
  <w:style w:type="character" w:styleId="Hyperlink">
    <w:name w:val="Hyperlink"/>
    <w:basedOn w:val="DefaultParagraphFont"/>
    <w:uiPriority w:val="99"/>
    <w:semiHidden/>
    <w:unhideWhenUsed/>
    <w:rsid w:val="00A8582E"/>
    <w:rPr>
      <w:color w:val="0000FF"/>
      <w:u w:val="single"/>
    </w:rPr>
  </w:style>
  <w:style w:type="table" w:styleId="TableGrid">
    <w:name w:val="Table Grid"/>
    <w:basedOn w:val="TableNormal"/>
    <w:uiPriority w:val="39"/>
    <w:rsid w:val="00684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39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ref">
    <w:name w:val="citationref"/>
    <w:basedOn w:val="DefaultParagraphFont"/>
    <w:rsid w:val="00A8582E"/>
  </w:style>
  <w:style w:type="character" w:styleId="Hyperlink">
    <w:name w:val="Hyperlink"/>
    <w:basedOn w:val="DefaultParagraphFont"/>
    <w:uiPriority w:val="99"/>
    <w:semiHidden/>
    <w:unhideWhenUsed/>
    <w:rsid w:val="00A8582E"/>
    <w:rPr>
      <w:color w:val="0000FF"/>
      <w:u w:val="single"/>
    </w:rPr>
  </w:style>
  <w:style w:type="table" w:styleId="TableGrid">
    <w:name w:val="Table Grid"/>
    <w:basedOn w:val="TableNormal"/>
    <w:uiPriority w:val="39"/>
    <w:rsid w:val="00684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39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7A66A-7342-485B-A143-C1C6796E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4102</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 Mrinalini</dc:creator>
  <cp:lastModifiedBy>Nick</cp:lastModifiedBy>
  <cp:revision>2</cp:revision>
  <dcterms:created xsi:type="dcterms:W3CDTF">2019-07-25T06:00:00Z</dcterms:created>
  <dcterms:modified xsi:type="dcterms:W3CDTF">2019-07-25T06:00:00Z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https://csl.mendeley.com/styles/21743701/vancouver-3</vt:lpwstr>
  </property>
  <property fmtid="{D5CDD505-2E9C-101B-9397-08002B2CF9AE}" pid="21" name="Mendeley Recent Style Name 9_1">
    <vt:lpwstr>Vancouver - Mrinalini Dey</vt:lpwstr>
  </property>
  <property fmtid="{D5CDD505-2E9C-101B-9397-08002B2CF9AE}" pid="22" name="Mendeley Document_1">
    <vt:lpwstr>True</vt:lpwstr>
  </property>
  <property fmtid="{D5CDD505-2E9C-101B-9397-08002B2CF9AE}" pid="23" name="Mendeley Unique User Id_1">
    <vt:lpwstr>9a054a1b-bfb6-3434-8638-069ca60c513b</vt:lpwstr>
  </property>
  <property fmtid="{D5CDD505-2E9C-101B-9397-08002B2CF9AE}" pid="24" name="Mendeley Citation Style_1">
    <vt:lpwstr>https://csl.mendeley.com/styles/21743701/vancouver-3</vt:lpwstr>
  </property>
</Properties>
</file>