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25" w:rsidRDefault="00947D25" w:rsidP="00947D25">
      <w:pPr>
        <w:autoSpaceDE w:val="0"/>
        <w:autoSpaceDN w:val="0"/>
        <w:adjustRightInd w:val="0"/>
        <w:spacing w:line="480" w:lineRule="auto"/>
        <w:jc w:val="both"/>
        <w:rPr>
          <w:rFonts w:cs="AdvPA0C4"/>
          <w:b/>
          <w:sz w:val="32"/>
          <w:szCs w:val="32"/>
        </w:rPr>
      </w:pPr>
      <w:r w:rsidRPr="00FE1E3C">
        <w:rPr>
          <w:rFonts w:cs="AdvPA0C4"/>
          <w:b/>
          <w:sz w:val="32"/>
          <w:szCs w:val="32"/>
        </w:rPr>
        <w:t>Identifying and confirming the functional validity of genetic loci in alcohol consumption</w:t>
      </w:r>
      <w:bookmarkStart w:id="0" w:name="_GoBack"/>
      <w:bookmarkEnd w:id="0"/>
      <w:r w:rsidRPr="00FE1E3C">
        <w:rPr>
          <w:rFonts w:cs="AdvPA0C4"/>
          <w:b/>
          <w:sz w:val="32"/>
          <w:szCs w:val="32"/>
        </w:rPr>
        <w:t xml:space="preserve"> using UK Biobank</w:t>
      </w:r>
    </w:p>
    <w:p w:rsidR="00947D25" w:rsidRDefault="00947D25" w:rsidP="00947D25">
      <w:pPr>
        <w:spacing w:after="2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Andrew Thompson</w:t>
      </w:r>
      <w:r w:rsidRPr="00792D64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  <w:r>
        <w:rPr>
          <w:sz w:val="24"/>
          <w:szCs w:val="24"/>
        </w:rPr>
        <w:t>, James Cook</w:t>
      </w:r>
      <w:r w:rsidR="00860BC3">
        <w:rPr>
          <w:sz w:val="24"/>
          <w:szCs w:val="24"/>
          <w:vertAlign w:val="superscript"/>
        </w:rPr>
        <w:t>3</w:t>
      </w:r>
      <w:r w:rsidRPr="007932A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Tarja Kinnunen</w:t>
      </w:r>
      <w:r w:rsidR="00860BC3">
        <w:rPr>
          <w:sz w:val="24"/>
          <w:szCs w:val="24"/>
          <w:vertAlign w:val="superscript"/>
        </w:rPr>
        <w:t>4</w:t>
      </w:r>
      <w:r>
        <w:rPr>
          <w:sz w:val="24"/>
          <w:szCs w:val="24"/>
          <w:lang w:val="en-US"/>
        </w:rPr>
        <w:t>,</w:t>
      </w:r>
      <w:r w:rsidRPr="007932A0">
        <w:rPr>
          <w:sz w:val="24"/>
          <w:szCs w:val="24"/>
        </w:rPr>
        <w:t xml:space="preserve"> Jeff Barclay</w:t>
      </w:r>
      <w:r w:rsidR="00860BC3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</w:t>
      </w:r>
      <w:r w:rsidRPr="007932A0">
        <w:rPr>
          <w:sz w:val="24"/>
          <w:szCs w:val="24"/>
        </w:rPr>
        <w:t xml:space="preserve"> </w:t>
      </w:r>
      <w:r w:rsidRPr="007932A0">
        <w:rPr>
          <w:sz w:val="24"/>
          <w:szCs w:val="24"/>
        </w:rPr>
        <w:t xml:space="preserve">Andrew </w:t>
      </w:r>
      <w:r>
        <w:rPr>
          <w:sz w:val="24"/>
          <w:szCs w:val="24"/>
        </w:rPr>
        <w:t xml:space="preserve">P </w:t>
      </w:r>
      <w:r w:rsidRPr="007932A0">
        <w:rPr>
          <w:sz w:val="24"/>
          <w:szCs w:val="24"/>
        </w:rPr>
        <w:t>Morris</w:t>
      </w:r>
      <w:r w:rsidR="00860BC3">
        <w:rPr>
          <w:sz w:val="24"/>
          <w:szCs w:val="24"/>
          <w:vertAlign w:val="superscript"/>
        </w:rPr>
        <w:t>3</w:t>
      </w:r>
      <w:r w:rsidRPr="007932A0">
        <w:rPr>
          <w:sz w:val="24"/>
          <w:szCs w:val="24"/>
        </w:rPr>
        <w:t>, Munir Pirmohamed</w:t>
      </w:r>
      <w:r w:rsidRPr="00792D64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  <w:r w:rsidRPr="007932A0">
        <w:rPr>
          <w:sz w:val="24"/>
          <w:szCs w:val="24"/>
        </w:rPr>
        <w:t xml:space="preserve"> </w:t>
      </w:r>
    </w:p>
    <w:p w:rsidR="00947D25" w:rsidRPr="00792D64" w:rsidRDefault="00947D25" w:rsidP="00947D25">
      <w:pPr>
        <w:spacing w:after="240" w:line="276" w:lineRule="auto"/>
        <w:jc w:val="both"/>
        <w:rPr>
          <w:sz w:val="24"/>
          <w:szCs w:val="24"/>
        </w:rPr>
      </w:pPr>
      <w:r w:rsidRPr="00792D64">
        <w:rPr>
          <w:sz w:val="24"/>
          <w:szCs w:val="24"/>
          <w:vertAlign w:val="superscript"/>
        </w:rPr>
        <w:t>1</w:t>
      </w:r>
      <w:r w:rsidRPr="00792D64">
        <w:rPr>
          <w:sz w:val="24"/>
          <w:szCs w:val="24"/>
        </w:rPr>
        <w:t xml:space="preserve"> Wolfson Centre for Personalised Medicine, Institute of Translational Medicine, Univers</w:t>
      </w:r>
      <w:r>
        <w:rPr>
          <w:sz w:val="24"/>
          <w:szCs w:val="24"/>
        </w:rPr>
        <w:t>ity of Liverpool, United Kingdom</w:t>
      </w:r>
      <w:r w:rsidRPr="00792D64">
        <w:rPr>
          <w:sz w:val="24"/>
          <w:szCs w:val="24"/>
        </w:rPr>
        <w:t xml:space="preserve"> </w:t>
      </w:r>
    </w:p>
    <w:p w:rsidR="00860BC3" w:rsidRDefault="00860BC3" w:rsidP="00947D25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947D25">
        <w:rPr>
          <w:sz w:val="24"/>
          <w:szCs w:val="24"/>
        </w:rPr>
        <w:t xml:space="preserve">Liverpool Centre for Alcohol Research </w:t>
      </w:r>
      <w:r w:rsidR="00947D25" w:rsidRPr="00792D64">
        <w:rPr>
          <w:sz w:val="24"/>
          <w:szCs w:val="24"/>
        </w:rPr>
        <w:t>Univers</w:t>
      </w:r>
      <w:r w:rsidR="00947D25">
        <w:rPr>
          <w:sz w:val="24"/>
          <w:szCs w:val="24"/>
        </w:rPr>
        <w:t>ity of Liverpool, United Kingdom</w:t>
      </w:r>
    </w:p>
    <w:p w:rsidR="00947D25" w:rsidRDefault="00860BC3" w:rsidP="00947D25">
      <w:pPr>
        <w:spacing w:after="240" w:line="276" w:lineRule="auto"/>
        <w:jc w:val="both"/>
        <w:rPr>
          <w:sz w:val="24"/>
          <w:szCs w:val="24"/>
        </w:rPr>
      </w:pPr>
      <w:r w:rsidRPr="00860BC3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Biostatistics, </w:t>
      </w:r>
      <w:r w:rsidRPr="00792D64">
        <w:rPr>
          <w:sz w:val="24"/>
          <w:szCs w:val="24"/>
        </w:rPr>
        <w:t>Institute of Translational Medicine, Univers</w:t>
      </w:r>
      <w:r>
        <w:rPr>
          <w:sz w:val="24"/>
          <w:szCs w:val="24"/>
        </w:rPr>
        <w:t>ity of Liverpool, United Kingdom</w:t>
      </w:r>
    </w:p>
    <w:p w:rsidR="00860BC3" w:rsidRPr="00792D64" w:rsidRDefault="00860BC3" w:rsidP="00860BC3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Pr="00860BC3">
        <w:rPr>
          <w:sz w:val="24"/>
          <w:szCs w:val="24"/>
        </w:rPr>
        <w:t>Institute of Integrative Biology</w:t>
      </w:r>
      <w:r>
        <w:rPr>
          <w:sz w:val="24"/>
          <w:szCs w:val="24"/>
        </w:rPr>
        <w:t xml:space="preserve">, </w:t>
      </w:r>
      <w:r w:rsidRPr="00792D64">
        <w:rPr>
          <w:sz w:val="24"/>
          <w:szCs w:val="24"/>
        </w:rPr>
        <w:t>Institute of Translational Medicine, Univers</w:t>
      </w:r>
      <w:r>
        <w:rPr>
          <w:sz w:val="24"/>
          <w:szCs w:val="24"/>
        </w:rPr>
        <w:t>ity of Liverpool, United Kingdom</w:t>
      </w:r>
    </w:p>
    <w:p w:rsidR="00860BC3" w:rsidRPr="00792D64" w:rsidRDefault="00860BC3" w:rsidP="00947D25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860BC3">
        <w:rPr>
          <w:sz w:val="24"/>
          <w:szCs w:val="24"/>
        </w:rPr>
        <w:t>Cellular and Molecular Physiology</w:t>
      </w:r>
      <w:r>
        <w:rPr>
          <w:sz w:val="24"/>
          <w:szCs w:val="24"/>
        </w:rPr>
        <w:t xml:space="preserve">, </w:t>
      </w:r>
      <w:r w:rsidRPr="00792D64">
        <w:rPr>
          <w:sz w:val="24"/>
          <w:szCs w:val="24"/>
        </w:rPr>
        <w:t>Institute of Translational Medicine, Univers</w:t>
      </w:r>
      <w:r>
        <w:rPr>
          <w:sz w:val="24"/>
          <w:szCs w:val="24"/>
        </w:rPr>
        <w:t>ity of Liverpool, United Kingdom</w:t>
      </w:r>
    </w:p>
    <w:p w:rsidR="00947D25" w:rsidRDefault="00947D25" w:rsidP="00A27766">
      <w:pPr>
        <w:jc w:val="both"/>
      </w:pPr>
    </w:p>
    <w:p w:rsidR="00A27766" w:rsidRDefault="00860BC3" w:rsidP="00A27766">
      <w:pPr>
        <w:jc w:val="both"/>
      </w:pPr>
      <w:r w:rsidRPr="00860BC3">
        <w:rPr>
          <w:b/>
        </w:rPr>
        <w:t>Purpose:</w:t>
      </w:r>
      <w:r>
        <w:t xml:space="preserve"> </w:t>
      </w:r>
      <w:r w:rsidR="00A27766">
        <w:t>D</w:t>
      </w:r>
      <w:r w:rsidR="00C46BF4">
        <w:t xml:space="preserve">etermine </w:t>
      </w:r>
      <w:r w:rsidR="00A27766">
        <w:t xml:space="preserve">genetic </w:t>
      </w:r>
      <w:r w:rsidR="00C46BF4">
        <w:t>factors</w:t>
      </w:r>
      <w:r w:rsidR="00A27766">
        <w:t xml:space="preserve"> associated with </w:t>
      </w:r>
      <w:r w:rsidR="00C46BF4">
        <w:t xml:space="preserve">extreme population-level </w:t>
      </w:r>
      <w:r w:rsidR="00156E14">
        <w:t xml:space="preserve">alcohol consumption </w:t>
      </w:r>
      <w:r w:rsidR="00A27766">
        <w:t xml:space="preserve">in white British individuals from UK Biobank. </w:t>
      </w:r>
      <w:r w:rsidR="00C46BF4">
        <w:t>Examine</w:t>
      </w:r>
      <w:r w:rsidR="00A27766">
        <w:t xml:space="preserve"> the functional validity of genome-wide significant variants using model organisms and data mining techniques.</w:t>
      </w:r>
    </w:p>
    <w:p w:rsidR="00A27766" w:rsidRDefault="00A27766" w:rsidP="00A27766">
      <w:pPr>
        <w:jc w:val="both"/>
      </w:pPr>
    </w:p>
    <w:p w:rsidR="00A27766" w:rsidRDefault="00860BC3" w:rsidP="00A27766">
      <w:pPr>
        <w:jc w:val="both"/>
        <w:rPr>
          <w:lang w:val="en"/>
        </w:rPr>
      </w:pPr>
      <w:r w:rsidRPr="00860BC3">
        <w:rPr>
          <w:b/>
        </w:rPr>
        <w:t>Methods:</w:t>
      </w:r>
      <w:r>
        <w:t xml:space="preserve"> </w:t>
      </w:r>
      <w:r w:rsidR="00A27766">
        <w:t>UK Biobank is a large population cohort of ~502,000 individuals from the UK aged 40-69 years</w:t>
      </w:r>
      <w:r w:rsidR="00181D61">
        <w:t xml:space="preserve"> at</w:t>
      </w:r>
      <w:r w:rsidR="00A27766">
        <w:t xml:space="preserve"> recruitment</w:t>
      </w:r>
      <w:r w:rsidR="00A27766">
        <w:t xml:space="preserve">. </w:t>
      </w:r>
      <w:r w:rsidR="00A27766" w:rsidRPr="00A37CDE">
        <w:t>Each participant completed a comprehensive demographic, lifestyle and, health questionnaire, underwent clinical measures,</w:t>
      </w:r>
      <w:r w:rsidR="00181D61">
        <w:t xml:space="preserve"> and</w:t>
      </w:r>
      <w:r w:rsidR="00A27766" w:rsidRPr="00A37CDE">
        <w:t xml:space="preserve"> provided biological samples.</w:t>
      </w:r>
      <w:r w:rsidR="00A27766">
        <w:t xml:space="preserve"> </w:t>
      </w:r>
      <w:r w:rsidR="00A27766">
        <w:t>Questions from the UK Biobank baseline assessment were used to develop two study groups: heavy drinkers (cases</w:t>
      </w:r>
      <w:r w:rsidR="00181D61">
        <w:t>: m</w:t>
      </w:r>
      <w:r w:rsidR="00DF2374">
        <w:t>ales consuming &gt;50 UK units/week</w:t>
      </w:r>
      <w:r w:rsidR="00181D61">
        <w:t>;</w:t>
      </w:r>
      <w:r w:rsidR="00DF2374">
        <w:t xml:space="preserve"> females &gt;35 units/week</w:t>
      </w:r>
      <w:r w:rsidR="00A27766">
        <w:t>) and drinkers not reaching criteria for cases (controls)</w:t>
      </w:r>
      <w:r w:rsidR="00A27766">
        <w:t>.</w:t>
      </w:r>
      <w:r w:rsidR="00C46BF4">
        <w:t xml:space="preserve"> </w:t>
      </w:r>
      <w:r w:rsidR="00C46BF4">
        <w:rPr>
          <w:lang w:val="en"/>
        </w:rPr>
        <w:t>Genetic a</w:t>
      </w:r>
      <w:r w:rsidR="00C46BF4" w:rsidRPr="00457B6B">
        <w:rPr>
          <w:lang w:val="en"/>
        </w:rPr>
        <w:t>ssociation analysis was conducted</w:t>
      </w:r>
      <w:r w:rsidR="00C46BF4">
        <w:rPr>
          <w:lang w:val="en"/>
        </w:rPr>
        <w:t xml:space="preserve"> using a linear mixed model</w:t>
      </w:r>
      <w:r w:rsidR="00C46BF4">
        <w:rPr>
          <w:lang w:val="en"/>
        </w:rPr>
        <w:t xml:space="preserve">. </w:t>
      </w:r>
      <w:r w:rsidR="00C46BF4" w:rsidRPr="005A0A47">
        <w:rPr>
          <w:lang w:val="en"/>
        </w:rPr>
        <w:t xml:space="preserve">The threshold for GWAS significance was set at </w:t>
      </w:r>
      <w:r w:rsidR="00C46BF4" w:rsidRPr="004079FC">
        <w:rPr>
          <w:i/>
          <w:lang w:val="en"/>
        </w:rPr>
        <w:t>P</w:t>
      </w:r>
      <w:r w:rsidR="00C46BF4" w:rsidRPr="005A0A47">
        <w:rPr>
          <w:lang w:val="en"/>
        </w:rPr>
        <w:t> &lt; 5 × 10</w:t>
      </w:r>
      <w:r w:rsidR="00C46BF4" w:rsidRPr="005A0A47">
        <w:rPr>
          <w:vertAlign w:val="superscript"/>
          <w:lang w:val="en"/>
        </w:rPr>
        <w:t>–8</w:t>
      </w:r>
      <w:r w:rsidR="00C46BF4">
        <w:rPr>
          <w:lang w:val="en"/>
        </w:rPr>
        <w:t xml:space="preserve">, and </w:t>
      </w:r>
      <w:r w:rsidR="00C46BF4" w:rsidRPr="00B20E35">
        <w:rPr>
          <w:lang w:val="en"/>
        </w:rPr>
        <w:t>distance</w:t>
      </w:r>
      <w:r w:rsidR="00C46BF4" w:rsidRPr="00B20E35">
        <w:rPr>
          <w:lang w:val="en"/>
        </w:rPr>
        <w:t xml:space="preserve"> based clustering</w:t>
      </w:r>
      <w:r w:rsidR="00C46BF4">
        <w:rPr>
          <w:lang w:val="en"/>
        </w:rPr>
        <w:t xml:space="preserve"> was used</w:t>
      </w:r>
      <w:r w:rsidR="00C46BF4" w:rsidRPr="00B20E35">
        <w:rPr>
          <w:lang w:val="en"/>
        </w:rPr>
        <w:t xml:space="preserve"> for de</w:t>
      </w:r>
      <w:r w:rsidR="00C46BF4">
        <w:rPr>
          <w:lang w:val="en"/>
        </w:rPr>
        <w:t>fining</w:t>
      </w:r>
      <w:r w:rsidR="00C46BF4" w:rsidRPr="00B20E35">
        <w:rPr>
          <w:lang w:val="en"/>
        </w:rPr>
        <w:t xml:space="preserve"> loc</w:t>
      </w:r>
      <w:r w:rsidR="00C46BF4">
        <w:rPr>
          <w:lang w:val="en"/>
        </w:rPr>
        <w:t>i</w:t>
      </w:r>
      <w:r w:rsidR="00C46BF4">
        <w:rPr>
          <w:lang w:val="en"/>
        </w:rPr>
        <w:t>.</w:t>
      </w:r>
      <w:r w:rsidR="00BB0950">
        <w:rPr>
          <w:lang w:val="en"/>
        </w:rPr>
        <w:t xml:space="preserve"> </w:t>
      </w:r>
      <w:r w:rsidR="00BB0950">
        <w:t>Phenotypic and RNA interference experiments were performed</w:t>
      </w:r>
      <w:r w:rsidR="00BB0950" w:rsidRPr="00020B92">
        <w:t xml:space="preserve"> </w:t>
      </w:r>
      <w:r w:rsidR="00BB0950">
        <w:t>at 20</w:t>
      </w:r>
      <w:r w:rsidR="00BB0950">
        <w:rPr>
          <w:rFonts w:cstheme="minorHAnsi"/>
        </w:rPr>
        <w:t>°</w:t>
      </w:r>
      <w:r w:rsidR="00BB0950">
        <w:t xml:space="preserve">C in a temperature-controlled room on young adult </w:t>
      </w:r>
      <w:r w:rsidR="00BB0950">
        <w:rPr>
          <w:i/>
        </w:rPr>
        <w:t>C. elegans</w:t>
      </w:r>
      <w:r w:rsidR="00BB0950">
        <w:t xml:space="preserve"> selected from sparsely populated NGM plates</w:t>
      </w:r>
      <w:r w:rsidR="00BB0950">
        <w:t xml:space="preserve">. The </w:t>
      </w:r>
      <w:r w:rsidR="00BB0950">
        <w:t>external ethanol</w:t>
      </w:r>
      <w:r w:rsidR="00BB0950">
        <w:t xml:space="preserve"> was </w:t>
      </w:r>
      <w:r w:rsidR="00BB0950">
        <w:t>400 mM</w:t>
      </w:r>
      <w:r w:rsidR="00BB0950">
        <w:t xml:space="preserve"> and location rate </w:t>
      </w:r>
      <w:r w:rsidR="00BB0950">
        <w:t>was the outcome of interest and was quantified by thrashing in Dent’s solution</w:t>
      </w:r>
      <w:r w:rsidR="00BB0950">
        <w:t>.</w:t>
      </w:r>
    </w:p>
    <w:p w:rsidR="00C46BF4" w:rsidRDefault="00C46BF4" w:rsidP="00A27766">
      <w:pPr>
        <w:jc w:val="both"/>
        <w:rPr>
          <w:color w:val="2E2E2E"/>
        </w:rPr>
      </w:pPr>
    </w:p>
    <w:p w:rsidR="00C46BF4" w:rsidRDefault="00860BC3" w:rsidP="00A27766">
      <w:pPr>
        <w:jc w:val="both"/>
        <w:rPr>
          <w:lang w:val="en"/>
        </w:rPr>
      </w:pPr>
      <w:r w:rsidRPr="00860BC3">
        <w:rPr>
          <w:b/>
        </w:rPr>
        <w:t>Results:</w:t>
      </w:r>
      <w:r>
        <w:t xml:space="preserve"> </w:t>
      </w:r>
      <w:r w:rsidR="00DF2374">
        <w:t>A</w:t>
      </w:r>
      <w:r w:rsidR="00C46BF4">
        <w:t>pplication of the phenotype resulted in the identification of 21,967 cases and 103,282 controls</w:t>
      </w:r>
      <w:r w:rsidR="00C46BF4">
        <w:t xml:space="preserve">. The top SNP in the GWAS was the well-documented missense variant </w:t>
      </w:r>
      <w:r w:rsidR="00C46BF4">
        <w:rPr>
          <w:lang w:val="en"/>
        </w:rPr>
        <w:t>rs1229984</w:t>
      </w:r>
      <w:r w:rsidR="00C46BF4">
        <w:rPr>
          <w:lang w:val="en"/>
        </w:rPr>
        <w:t xml:space="preserve"> </w:t>
      </w:r>
      <w:r w:rsidR="00C46BF4">
        <w:t xml:space="preserve">in </w:t>
      </w:r>
      <w:r w:rsidR="00C46BF4" w:rsidRPr="00B54AD8">
        <w:rPr>
          <w:i/>
        </w:rPr>
        <w:t>ADH</w:t>
      </w:r>
      <w:r w:rsidR="00C46BF4">
        <w:rPr>
          <w:i/>
        </w:rPr>
        <w:t>1B</w:t>
      </w:r>
      <w:r w:rsidR="009A5807">
        <w:t xml:space="preserve">. </w:t>
      </w:r>
      <w:r w:rsidR="00664831">
        <w:t>Genome-wide significant s</w:t>
      </w:r>
      <w:r w:rsidR="009A5807">
        <w:t>ignals were also identified</w:t>
      </w:r>
      <w:r w:rsidR="00664831">
        <w:t xml:space="preserve"> at loci;</w:t>
      </w:r>
      <w:r w:rsidR="009A5807">
        <w:rPr>
          <w:lang w:val="en"/>
        </w:rPr>
        <w:t xml:space="preserve"> </w:t>
      </w:r>
      <w:r w:rsidR="009A5807" w:rsidRPr="009A5807">
        <w:rPr>
          <w:i/>
          <w:lang w:val="en"/>
        </w:rPr>
        <w:t>KLB</w:t>
      </w:r>
      <w:r w:rsidR="00664831">
        <w:rPr>
          <w:lang w:val="en"/>
        </w:rPr>
        <w:t>,</w:t>
      </w:r>
      <w:r w:rsidR="009A5807">
        <w:rPr>
          <w:lang w:val="en"/>
        </w:rPr>
        <w:t xml:space="preserve"> </w:t>
      </w:r>
      <w:r w:rsidR="00664831">
        <w:rPr>
          <w:lang w:val="en"/>
        </w:rPr>
        <w:t>(</w:t>
      </w:r>
      <w:r w:rsidR="009A5807">
        <w:rPr>
          <w:lang w:val="en"/>
        </w:rPr>
        <w:t>index SNP</w:t>
      </w:r>
      <w:r w:rsidR="009A5807" w:rsidRPr="008540C1">
        <w:t xml:space="preserve"> rs13130794</w:t>
      </w:r>
      <w:r w:rsidR="00664831">
        <w:t xml:space="preserve">), </w:t>
      </w:r>
      <w:r w:rsidR="00664831" w:rsidRPr="00664831">
        <w:rPr>
          <w:i/>
          <w:lang w:val="en"/>
        </w:rPr>
        <w:t>FTO</w:t>
      </w:r>
      <w:r w:rsidR="00664831">
        <w:rPr>
          <w:lang w:val="en"/>
        </w:rPr>
        <w:t xml:space="preserve"> (</w:t>
      </w:r>
      <w:r w:rsidR="00664831" w:rsidRPr="008540C1">
        <w:t>rs7206790</w:t>
      </w:r>
      <w:r w:rsidR="00664831">
        <w:t xml:space="preserve">), </w:t>
      </w:r>
      <w:r w:rsidR="00664831" w:rsidRPr="00435777">
        <w:rPr>
          <w:i/>
        </w:rPr>
        <w:t>KANSL1</w:t>
      </w:r>
      <w:r w:rsidR="00664831">
        <w:t xml:space="preserve"> </w:t>
      </w:r>
      <w:r w:rsidR="00664831">
        <w:t>(</w:t>
      </w:r>
      <w:r w:rsidR="00664831" w:rsidRPr="00850EA2">
        <w:rPr>
          <w:rFonts w:ascii="Calibri" w:eastAsia="Times New Roman" w:hAnsi="Calibri" w:cs="Times New Roman"/>
          <w:color w:val="000000"/>
          <w:lang w:eastAsia="en-GB"/>
        </w:rPr>
        <w:t>rs7225002</w:t>
      </w:r>
      <w:r w:rsidR="00664831">
        <w:rPr>
          <w:rFonts w:ascii="Calibri" w:eastAsia="Times New Roman" w:hAnsi="Calibri" w:cs="Times New Roman"/>
          <w:color w:val="000000"/>
          <w:lang w:eastAsia="en-GB"/>
        </w:rPr>
        <w:t>)</w:t>
      </w:r>
      <w:r w:rsidR="00664831">
        <w:t xml:space="preserve">, </w:t>
      </w:r>
      <w:r w:rsidR="00664831" w:rsidRPr="00664831">
        <w:rPr>
          <w:i/>
          <w:lang w:val="en"/>
        </w:rPr>
        <w:t>CRHR1</w:t>
      </w:r>
      <w:r w:rsidR="00664831">
        <w:rPr>
          <w:lang w:val="en"/>
        </w:rPr>
        <w:t xml:space="preserve"> (</w:t>
      </w:r>
      <w:r w:rsidR="00664831" w:rsidRPr="008540C1">
        <w:t>rs1635291</w:t>
      </w:r>
      <w:r w:rsidR="00664831">
        <w:t>),</w:t>
      </w:r>
      <w:r w:rsidR="00C46BF4">
        <w:rPr>
          <w:i/>
        </w:rPr>
        <w:t xml:space="preserve"> </w:t>
      </w:r>
      <w:r w:rsidR="00664831" w:rsidRPr="00664831">
        <w:rPr>
          <w:i/>
          <w:lang w:val="en"/>
        </w:rPr>
        <w:t>ANKK1</w:t>
      </w:r>
      <w:r w:rsidR="00664831">
        <w:rPr>
          <w:lang w:val="en"/>
        </w:rPr>
        <w:t xml:space="preserve"> (</w:t>
      </w:r>
      <w:r w:rsidR="00664831" w:rsidRPr="008540C1">
        <w:t>rs10891547</w:t>
      </w:r>
      <w:r w:rsidR="00664831">
        <w:t>),</w:t>
      </w:r>
      <w:r w:rsidR="00C46BF4">
        <w:t xml:space="preserve"> </w:t>
      </w:r>
      <w:r w:rsidR="00664831">
        <w:t xml:space="preserve">and </w:t>
      </w:r>
      <w:r w:rsidR="00664831">
        <w:rPr>
          <w:lang w:val="en"/>
        </w:rPr>
        <w:t>LINC01833</w:t>
      </w:r>
      <w:r w:rsidR="00664831">
        <w:rPr>
          <w:lang w:val="en"/>
        </w:rPr>
        <w:t xml:space="preserve"> </w:t>
      </w:r>
      <w:r w:rsidR="00664831">
        <w:rPr>
          <w:lang w:val="en"/>
        </w:rPr>
        <w:lastRenderedPageBreak/>
        <w:t>(</w:t>
      </w:r>
      <w:r w:rsidR="00664831" w:rsidRPr="008540C1">
        <w:t>rs1004787</w:t>
      </w:r>
      <w:r w:rsidR="00664831">
        <w:t xml:space="preserve">). </w:t>
      </w:r>
      <w:r w:rsidR="00156E14">
        <w:rPr>
          <w:lang w:val="en"/>
        </w:rPr>
        <w:t xml:space="preserve">PheWAS outcomes provided evidence of these SNPs contributing to alcohol dependence, hypertension, skeletal disorders, gout, diseases/disorders of the </w:t>
      </w:r>
      <w:r w:rsidR="00156E14" w:rsidRPr="00534D44">
        <w:rPr>
          <w:lang w:val="en"/>
        </w:rPr>
        <w:t>peritoneum</w:t>
      </w:r>
      <w:r w:rsidR="00156E14">
        <w:rPr>
          <w:lang w:val="en"/>
        </w:rPr>
        <w:t>, h</w:t>
      </w:r>
      <w:r w:rsidR="00156E14" w:rsidRPr="00534D44">
        <w:rPr>
          <w:lang w:val="en"/>
        </w:rPr>
        <w:t>aemorrhoids</w:t>
      </w:r>
      <w:r w:rsidR="00156E14">
        <w:rPr>
          <w:lang w:val="en"/>
        </w:rPr>
        <w:t>, obesity and diabetes mellitus</w:t>
      </w:r>
      <w:r w:rsidR="00156E14">
        <w:rPr>
          <w:lang w:val="en"/>
        </w:rPr>
        <w:t>.</w:t>
      </w:r>
      <w:r w:rsidR="00156E14">
        <w:rPr>
          <w:lang w:val="en"/>
        </w:rPr>
        <w:t xml:space="preserve"> </w:t>
      </w:r>
      <w:r w:rsidR="00664831">
        <w:rPr>
          <w:lang w:val="en"/>
        </w:rPr>
        <w:t>Through genetic correlation analysis of the e</w:t>
      </w:r>
      <w:r w:rsidR="00156E14">
        <w:rPr>
          <w:lang w:val="en"/>
        </w:rPr>
        <w:t>ntire genome,</w:t>
      </w:r>
      <w:r w:rsidR="00664831">
        <w:rPr>
          <w:lang w:val="en"/>
        </w:rPr>
        <w:t xml:space="preserve"> 26 significant correlations that survived multiple testing correction</w:t>
      </w:r>
      <w:r w:rsidR="00664831">
        <w:rPr>
          <w:lang w:val="en"/>
        </w:rPr>
        <w:t xml:space="preserve">. </w:t>
      </w:r>
      <w:r w:rsidR="00664831">
        <w:rPr>
          <w:lang w:val="en"/>
        </w:rPr>
        <w:t xml:space="preserve">The traits with the strongest correlations included </w:t>
      </w:r>
      <w:r w:rsidR="00DF2374">
        <w:rPr>
          <w:lang w:val="en"/>
        </w:rPr>
        <w:t>several smoking variables (</w:t>
      </w:r>
      <w:r w:rsidR="00664831" w:rsidRPr="00C75F42">
        <w:rPr>
          <w:lang w:val="en"/>
        </w:rPr>
        <w:t>Ever vs never smoked</w:t>
      </w:r>
      <w:r w:rsidR="00664831">
        <w:rPr>
          <w:lang w:val="en"/>
        </w:rPr>
        <w:t xml:space="preserve"> </w:t>
      </w:r>
      <w:r w:rsidR="00DF2374">
        <w:rPr>
          <w:lang w:val="en"/>
        </w:rPr>
        <w:t>[rg</w:t>
      </w:r>
      <w:r w:rsidR="00664831">
        <w:rPr>
          <w:lang w:val="en"/>
        </w:rPr>
        <w:t>=-0.45</w:t>
      </w:r>
      <w:r w:rsidR="00DF2374">
        <w:rPr>
          <w:lang w:val="en"/>
        </w:rPr>
        <w:t xml:space="preserve">, </w:t>
      </w:r>
      <w:r w:rsidR="00664831">
        <w:rPr>
          <w:i/>
          <w:lang w:val="en"/>
        </w:rPr>
        <w:t>P</w:t>
      </w:r>
      <w:r w:rsidR="00664831">
        <w:rPr>
          <w:i/>
          <w:vertAlign w:val="subscript"/>
          <w:lang w:val="en"/>
        </w:rPr>
        <w:t>FDR</w:t>
      </w:r>
      <w:r w:rsidR="00664831">
        <w:rPr>
          <w:i/>
          <w:lang w:val="en"/>
        </w:rPr>
        <w:t xml:space="preserve"> </w:t>
      </w:r>
      <w:r w:rsidR="00DF2374">
        <w:rPr>
          <w:lang w:val="en"/>
        </w:rPr>
        <w:t>=</w:t>
      </w:r>
      <w:r w:rsidR="00664831">
        <w:rPr>
          <w:lang w:val="en"/>
        </w:rPr>
        <w:t>1.06</w:t>
      </w:r>
      <w:r w:rsidR="00DF2374">
        <w:rPr>
          <w:lang w:val="en"/>
        </w:rPr>
        <w:t>x</w:t>
      </w:r>
      <w:r w:rsidR="00664831">
        <w:rPr>
          <w:lang w:val="en"/>
        </w:rPr>
        <w:t>10</w:t>
      </w:r>
      <w:r w:rsidR="00664831">
        <w:rPr>
          <w:vertAlign w:val="superscript"/>
          <w:lang w:val="en"/>
        </w:rPr>
        <w:t>-13</w:t>
      </w:r>
      <w:r w:rsidR="00664831">
        <w:rPr>
          <w:lang w:val="en"/>
        </w:rPr>
        <w:t>] an</w:t>
      </w:r>
      <w:r w:rsidR="00DF2374">
        <w:rPr>
          <w:lang w:val="en"/>
        </w:rPr>
        <w:t>d age of smoking initiation [rg=</w:t>
      </w:r>
      <w:r w:rsidR="00664831">
        <w:rPr>
          <w:lang w:val="en"/>
        </w:rPr>
        <w:t xml:space="preserve">-0.36, </w:t>
      </w:r>
      <w:r w:rsidR="00664831">
        <w:rPr>
          <w:i/>
          <w:lang w:val="en"/>
        </w:rPr>
        <w:t>P</w:t>
      </w:r>
      <w:r w:rsidR="00664831">
        <w:rPr>
          <w:i/>
          <w:vertAlign w:val="subscript"/>
          <w:lang w:val="en"/>
        </w:rPr>
        <w:t>FDR</w:t>
      </w:r>
      <w:r w:rsidR="00DF2374">
        <w:rPr>
          <w:lang w:val="en"/>
        </w:rPr>
        <w:t>=</w:t>
      </w:r>
      <w:r w:rsidR="00664831">
        <w:rPr>
          <w:lang w:val="en"/>
        </w:rPr>
        <w:t>0.01]), sev</w:t>
      </w:r>
      <w:r w:rsidR="00DF2374">
        <w:rPr>
          <w:lang w:val="en"/>
        </w:rPr>
        <w:t>eral lung cancer outcomes (</w:t>
      </w:r>
      <w:r w:rsidR="00664831" w:rsidRPr="00C75F42">
        <w:rPr>
          <w:lang w:val="en"/>
        </w:rPr>
        <w:t>Squamous cell lung cancer</w:t>
      </w:r>
      <w:r w:rsidR="00DF2374">
        <w:rPr>
          <w:lang w:val="en"/>
        </w:rPr>
        <w:t xml:space="preserve"> [rg</w:t>
      </w:r>
      <w:r w:rsidR="00664831">
        <w:rPr>
          <w:lang w:val="en"/>
        </w:rPr>
        <w:t xml:space="preserve">=0.37, </w:t>
      </w:r>
      <w:r w:rsidR="00664831">
        <w:rPr>
          <w:i/>
          <w:lang w:val="en"/>
        </w:rPr>
        <w:t>P</w:t>
      </w:r>
      <w:r w:rsidR="00664831">
        <w:rPr>
          <w:i/>
          <w:vertAlign w:val="subscript"/>
          <w:lang w:val="en"/>
        </w:rPr>
        <w:t>FDR</w:t>
      </w:r>
      <w:r w:rsidR="00664831">
        <w:rPr>
          <w:lang w:val="en"/>
        </w:rPr>
        <w:t>=7.12x10</w:t>
      </w:r>
      <w:r w:rsidR="00664831">
        <w:rPr>
          <w:vertAlign w:val="superscript"/>
          <w:lang w:val="en"/>
        </w:rPr>
        <w:t>-3</w:t>
      </w:r>
      <w:r w:rsidR="00DF2374">
        <w:rPr>
          <w:lang w:val="en"/>
        </w:rPr>
        <w:t>] and lung cancer [rg =</w:t>
      </w:r>
      <w:r w:rsidR="00664831">
        <w:rPr>
          <w:lang w:val="en"/>
        </w:rPr>
        <w:t xml:space="preserve">0.35, </w:t>
      </w:r>
      <w:r w:rsidR="00664831">
        <w:rPr>
          <w:i/>
          <w:lang w:val="en"/>
        </w:rPr>
        <w:t>P</w:t>
      </w:r>
      <w:r w:rsidR="00664831">
        <w:rPr>
          <w:i/>
          <w:vertAlign w:val="subscript"/>
          <w:lang w:val="en"/>
        </w:rPr>
        <w:t>FDR</w:t>
      </w:r>
      <w:r w:rsidR="00DF2374">
        <w:rPr>
          <w:lang w:val="en"/>
        </w:rPr>
        <w:t>=</w:t>
      </w:r>
      <w:r w:rsidR="00664831">
        <w:rPr>
          <w:lang w:val="en"/>
        </w:rPr>
        <w:t>1.96x10</w:t>
      </w:r>
      <w:r w:rsidR="00664831">
        <w:rPr>
          <w:vertAlign w:val="superscript"/>
          <w:lang w:val="en"/>
        </w:rPr>
        <w:t>-5</w:t>
      </w:r>
      <w:r w:rsidR="00664831">
        <w:rPr>
          <w:lang w:val="en"/>
        </w:rPr>
        <w:t xml:space="preserve">]) and Mothers age at death (rg=-0.43, </w:t>
      </w:r>
      <w:r w:rsidR="00664831">
        <w:rPr>
          <w:i/>
          <w:lang w:val="en"/>
        </w:rPr>
        <w:t>P</w:t>
      </w:r>
      <w:r w:rsidR="00DF2374">
        <w:rPr>
          <w:i/>
          <w:vertAlign w:val="subscript"/>
          <w:lang w:val="en"/>
        </w:rPr>
        <w:t>FD</w:t>
      </w:r>
      <w:r w:rsidR="00664831">
        <w:rPr>
          <w:i/>
          <w:lang w:val="en"/>
        </w:rPr>
        <w:t xml:space="preserve"> </w:t>
      </w:r>
      <w:r w:rsidR="00664831">
        <w:rPr>
          <w:lang w:val="en"/>
        </w:rPr>
        <w:t>=</w:t>
      </w:r>
      <w:r w:rsidR="00664831">
        <w:rPr>
          <w:rFonts w:ascii="Calibri" w:eastAsia="Times New Roman" w:hAnsi="Calibri" w:cs="Times New Roman"/>
          <w:color w:val="000000"/>
          <w:lang w:eastAsia="en-GB"/>
        </w:rPr>
        <w:t>3.89</w:t>
      </w:r>
      <w:r w:rsidR="00664831">
        <w:rPr>
          <w:lang w:val="en"/>
        </w:rPr>
        <w:t>x10</w:t>
      </w:r>
      <w:r w:rsidR="00664831">
        <w:rPr>
          <w:vertAlign w:val="superscript"/>
          <w:lang w:val="en"/>
        </w:rPr>
        <w:t>−5</w:t>
      </w:r>
      <w:r w:rsidR="00664831">
        <w:rPr>
          <w:lang w:val="en"/>
        </w:rPr>
        <w:t>).</w:t>
      </w:r>
      <w:r w:rsidR="0073001B">
        <w:rPr>
          <w:lang w:val="en"/>
        </w:rPr>
        <w:t xml:space="preserve"> </w:t>
      </w:r>
      <w:r w:rsidR="0073001B">
        <w:t>Investigations on</w:t>
      </w:r>
      <w:r w:rsidR="0073001B">
        <w:t xml:space="preserve"> the acute effects</w:t>
      </w:r>
      <w:r w:rsidR="0073001B">
        <w:t xml:space="preserve"> of ethanol using</w:t>
      </w:r>
      <w:r w:rsidR="0073001B">
        <w:t xml:space="preserve"> </w:t>
      </w:r>
      <w:r w:rsidR="0073001B">
        <w:rPr>
          <w:i/>
        </w:rPr>
        <w:t>C.elegans</w:t>
      </w:r>
      <w:r w:rsidR="00156E14">
        <w:rPr>
          <w:lang w:val="en"/>
        </w:rPr>
        <w:t xml:space="preserve"> </w:t>
      </w:r>
      <w:r w:rsidR="0073001B">
        <w:rPr>
          <w:lang w:val="en"/>
        </w:rPr>
        <w:t xml:space="preserve">suggested a conserved role </w:t>
      </w:r>
      <w:r w:rsidR="0073001B">
        <w:t>phenotypic responses to alcohol</w:t>
      </w:r>
      <w:r w:rsidR="0073001B">
        <w:rPr>
          <w:lang w:val="en"/>
        </w:rPr>
        <w:t xml:space="preserve"> of the genetic targets identified from the GWAS.</w:t>
      </w:r>
    </w:p>
    <w:p w:rsidR="00181D61" w:rsidRDefault="00181D61" w:rsidP="00A27766">
      <w:pPr>
        <w:jc w:val="both"/>
        <w:rPr>
          <w:lang w:val="en"/>
        </w:rPr>
      </w:pPr>
    </w:p>
    <w:p w:rsidR="00181D61" w:rsidRPr="0073001B" w:rsidRDefault="00860BC3" w:rsidP="00A27766">
      <w:pPr>
        <w:jc w:val="both"/>
        <w:rPr>
          <w:lang w:val="en"/>
        </w:rPr>
      </w:pPr>
      <w:r w:rsidRPr="00860BC3">
        <w:rPr>
          <w:b/>
          <w:lang w:val="en"/>
        </w:rPr>
        <w:t>Conclusion:</w:t>
      </w:r>
      <w:r>
        <w:rPr>
          <w:lang w:val="en"/>
        </w:rPr>
        <w:t xml:space="preserve"> </w:t>
      </w:r>
      <w:r w:rsidR="00181D61">
        <w:rPr>
          <w:lang w:val="en"/>
        </w:rPr>
        <w:t>These results</w:t>
      </w:r>
      <w:r w:rsidR="00181D61" w:rsidRPr="00802796">
        <w:rPr>
          <w:lang w:val="en"/>
        </w:rPr>
        <w:t xml:space="preserve"> offer insight into novel genes, pathways, and causal relationships for disease risk associated with heavy alcohol consumption.</w:t>
      </w:r>
    </w:p>
    <w:p w:rsidR="0077168A" w:rsidRDefault="0077168A"/>
    <w:sectPr w:rsidR="00771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vPA0C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66"/>
    <w:rsid w:val="00156E14"/>
    <w:rsid w:val="00181D61"/>
    <w:rsid w:val="00356590"/>
    <w:rsid w:val="00422D5B"/>
    <w:rsid w:val="00664831"/>
    <w:rsid w:val="0073001B"/>
    <w:rsid w:val="0077168A"/>
    <w:rsid w:val="00860BC3"/>
    <w:rsid w:val="00947D25"/>
    <w:rsid w:val="009A5807"/>
    <w:rsid w:val="00A27766"/>
    <w:rsid w:val="00BB0950"/>
    <w:rsid w:val="00C46BF4"/>
    <w:rsid w:val="00D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78AC2-412F-4B53-A9D1-081FD51F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766"/>
    <w:rPr>
      <w:strike w:val="0"/>
      <w:dstrike w:val="0"/>
      <w:color w:val="316C9D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46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B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Andrew</dc:creator>
  <cp:keywords/>
  <dc:description/>
  <cp:lastModifiedBy>Thompson, Andrew</cp:lastModifiedBy>
  <cp:revision>3</cp:revision>
  <dcterms:created xsi:type="dcterms:W3CDTF">2019-01-07T09:23:00Z</dcterms:created>
  <dcterms:modified xsi:type="dcterms:W3CDTF">2019-01-07T12:03:00Z</dcterms:modified>
</cp:coreProperties>
</file>