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A7" w:rsidRPr="00724C91" w:rsidRDefault="000671A7" w:rsidP="000671A7">
      <w:pPr>
        <w:pStyle w:val="Bibliography"/>
        <w:spacing w:after="0"/>
        <w:rPr>
          <w:rFonts w:ascii="Times New Roman" w:hAnsi="Times New Roman" w:cs="Times New Roman"/>
        </w:rPr>
      </w:pPr>
      <w:bookmarkStart w:id="0" w:name="_GoBack"/>
      <w:bookmarkEnd w:id="0"/>
      <w:r w:rsidRPr="00724C91">
        <w:rPr>
          <w:rFonts w:eastAsia="Calibri" w:cstheme="minorHAnsi"/>
          <w:b/>
        </w:rPr>
        <w:t>Table 1: Summary of BV/VMB study results</w:t>
      </w:r>
      <w:r w:rsidRPr="00724C91">
        <w:rPr>
          <w:rFonts w:eastAsia="Calibri" w:cstheme="minorHAnsi"/>
        </w:rPr>
        <w:t xml:space="preserve">. </w:t>
      </w:r>
    </w:p>
    <w:p w:rsidR="000671A7" w:rsidRPr="00724C91" w:rsidRDefault="000671A7" w:rsidP="000671A7">
      <w:pPr>
        <w:spacing w:after="0"/>
        <w:rPr>
          <w:rFonts w:eastAsia="Calibri" w:cstheme="minorHAnsi"/>
        </w:rPr>
      </w:pPr>
      <w:r w:rsidRPr="00724C91">
        <w:rPr>
          <w:rFonts w:eastAsia="Calibri" w:cstheme="minorHAnsi"/>
          <w:i/>
        </w:rPr>
        <w:t>BV</w:t>
      </w:r>
      <w:r w:rsidRPr="00724C91">
        <w:rPr>
          <w:rFonts w:eastAsia="Calibri" w:cstheme="minorHAnsi"/>
        </w:rPr>
        <w:t xml:space="preserve"> bacterial vaginosis, </w:t>
      </w:r>
      <w:r w:rsidRPr="00724C91">
        <w:rPr>
          <w:rFonts w:eastAsia="Calibri" w:cstheme="minorHAnsi"/>
          <w:i/>
        </w:rPr>
        <w:t>PY</w:t>
      </w:r>
      <w:r w:rsidRPr="00724C91">
        <w:rPr>
          <w:rFonts w:eastAsia="Calibri" w:cstheme="minorHAnsi"/>
        </w:rPr>
        <w:t xml:space="preserve"> person-years at risk, </w:t>
      </w:r>
      <w:r w:rsidRPr="00724C91">
        <w:rPr>
          <w:rFonts w:eastAsia="Calibri" w:cstheme="minorHAnsi"/>
          <w:i/>
        </w:rPr>
        <w:t>RCT</w:t>
      </w:r>
      <w:r w:rsidRPr="00724C91">
        <w:rPr>
          <w:rFonts w:eastAsia="Calibri" w:cstheme="minorHAnsi"/>
        </w:rPr>
        <w:t xml:space="preserve"> randomised controlled trial, </w:t>
      </w:r>
      <w:r w:rsidRPr="00724C91">
        <w:rPr>
          <w:rFonts w:eastAsia="Calibri" w:cstheme="minorHAnsi"/>
          <w:i/>
        </w:rPr>
        <w:t>VMB</w:t>
      </w:r>
      <w:r w:rsidRPr="00724C91">
        <w:rPr>
          <w:rFonts w:eastAsia="Calibri" w:cstheme="minorHAnsi"/>
        </w:rPr>
        <w:t xml:space="preserve"> vaginal microbiota.</w:t>
      </w:r>
    </w:p>
    <w:p w:rsidR="000671A7" w:rsidRPr="00724C91" w:rsidRDefault="000671A7" w:rsidP="000671A7">
      <w:pPr>
        <w:spacing w:after="0"/>
        <w:rPr>
          <w:rFonts w:eastAsia="Calibri" w:cstheme="minorHAnsi"/>
        </w:rPr>
      </w:pPr>
      <w:r w:rsidRPr="00724C91">
        <w:rPr>
          <w:rFonts w:eastAsia="Calibri" w:cstheme="minorHAnsi"/>
        </w:rPr>
        <w:t>Main results of studies with BV cure and/or recurrence (by Nugent or Ison-Hay scoring of Gram stains) and/or molecular VMB composition endpoints: 14 results in 13 studies.</w:t>
      </w:r>
    </w:p>
    <w:tbl>
      <w:tblPr>
        <w:tblStyle w:val="TableGrid1"/>
        <w:tblW w:w="0" w:type="dxa"/>
        <w:tblInd w:w="-18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530"/>
        <w:gridCol w:w="1170"/>
        <w:gridCol w:w="5670"/>
      </w:tblGrid>
      <w:tr w:rsidR="00AD2736" w:rsidRPr="00724C91" w:rsidTr="00537DBF">
        <w:trPr>
          <w:tblHeader/>
        </w:trPr>
        <w:tc>
          <w:tcPr>
            <w:tcW w:w="900" w:type="dxa"/>
            <w:tcBorders>
              <w:top w:val="single" w:sz="12" w:space="0" w:color="auto"/>
              <w:left w:val="nil"/>
              <w:bottom w:val="single" w:sz="4" w:space="0" w:color="auto"/>
              <w:right w:val="nil"/>
            </w:tcBorders>
            <w:hideMark/>
          </w:tcPr>
          <w:p w:rsidR="000671A7" w:rsidRPr="00724C91" w:rsidRDefault="000671A7" w:rsidP="00537DBF">
            <w:pPr>
              <w:spacing w:after="0"/>
              <w:ind w:right="-20" w:hanging="20"/>
              <w:jc w:val="center"/>
              <w:rPr>
                <w:rFonts w:eastAsia="Calibri" w:cstheme="minorHAnsi"/>
                <w:b/>
                <w:sz w:val="15"/>
                <w:szCs w:val="15"/>
              </w:rPr>
            </w:pPr>
            <w:r w:rsidRPr="00724C91">
              <w:rPr>
                <w:rFonts w:eastAsia="Calibri" w:cstheme="minorHAnsi"/>
                <w:b/>
                <w:sz w:val="15"/>
                <w:szCs w:val="15"/>
              </w:rPr>
              <w:t>Reference</w:t>
            </w:r>
          </w:p>
        </w:tc>
        <w:tc>
          <w:tcPr>
            <w:tcW w:w="1530" w:type="dxa"/>
            <w:tcBorders>
              <w:top w:val="single" w:sz="12" w:space="0" w:color="auto"/>
              <w:left w:val="nil"/>
              <w:bottom w:val="single" w:sz="4" w:space="0" w:color="auto"/>
              <w:right w:val="nil"/>
            </w:tcBorders>
            <w:hideMark/>
          </w:tcPr>
          <w:p w:rsidR="000671A7" w:rsidRPr="00724C91" w:rsidRDefault="000671A7" w:rsidP="00537DBF">
            <w:pPr>
              <w:spacing w:after="0"/>
              <w:jc w:val="center"/>
              <w:rPr>
                <w:rFonts w:eastAsia="Calibri" w:cstheme="minorHAnsi"/>
                <w:b/>
                <w:sz w:val="15"/>
                <w:szCs w:val="15"/>
              </w:rPr>
            </w:pPr>
            <w:r w:rsidRPr="00724C91">
              <w:rPr>
                <w:rFonts w:eastAsia="Calibri" w:cstheme="minorHAnsi"/>
                <w:b/>
                <w:sz w:val="15"/>
                <w:szCs w:val="15"/>
              </w:rPr>
              <w:t>Probiotic</w:t>
            </w:r>
          </w:p>
        </w:tc>
        <w:tc>
          <w:tcPr>
            <w:tcW w:w="1170" w:type="dxa"/>
            <w:tcBorders>
              <w:top w:val="single" w:sz="12" w:space="0" w:color="auto"/>
              <w:left w:val="nil"/>
              <w:bottom w:val="single" w:sz="4" w:space="0" w:color="auto"/>
              <w:right w:val="nil"/>
            </w:tcBorders>
            <w:hideMark/>
          </w:tcPr>
          <w:p w:rsidR="000671A7" w:rsidRPr="00724C91" w:rsidRDefault="000671A7" w:rsidP="00537DBF">
            <w:pPr>
              <w:spacing w:after="0"/>
              <w:jc w:val="center"/>
              <w:rPr>
                <w:rFonts w:eastAsia="Calibri" w:cstheme="minorHAnsi"/>
                <w:b/>
                <w:sz w:val="15"/>
                <w:szCs w:val="15"/>
              </w:rPr>
            </w:pPr>
            <w:r w:rsidRPr="00724C91">
              <w:rPr>
                <w:rFonts w:eastAsia="Calibri" w:cstheme="minorHAnsi"/>
                <w:b/>
                <w:sz w:val="15"/>
                <w:szCs w:val="15"/>
              </w:rPr>
              <w:t>Study design</w:t>
            </w:r>
          </w:p>
        </w:tc>
        <w:tc>
          <w:tcPr>
            <w:tcW w:w="5670" w:type="dxa"/>
            <w:tcBorders>
              <w:top w:val="single" w:sz="12" w:space="0" w:color="auto"/>
              <w:left w:val="nil"/>
              <w:bottom w:val="single" w:sz="4" w:space="0" w:color="auto"/>
              <w:right w:val="nil"/>
            </w:tcBorders>
            <w:hideMark/>
          </w:tcPr>
          <w:p w:rsidR="000671A7" w:rsidRPr="00724C91" w:rsidRDefault="000671A7" w:rsidP="00537DBF">
            <w:pPr>
              <w:spacing w:after="0"/>
              <w:jc w:val="center"/>
              <w:rPr>
                <w:rFonts w:eastAsia="Calibri" w:cstheme="minorHAnsi"/>
                <w:b/>
                <w:sz w:val="15"/>
                <w:szCs w:val="15"/>
              </w:rPr>
            </w:pPr>
            <w:r w:rsidRPr="00724C91">
              <w:rPr>
                <w:rFonts w:eastAsia="Calibri" w:cstheme="minorHAnsi"/>
                <w:b/>
                <w:sz w:val="15"/>
                <w:szCs w:val="15"/>
              </w:rPr>
              <w:t>Results</w:t>
            </w:r>
          </w:p>
        </w:tc>
      </w:tr>
      <w:tr w:rsidR="00AD2736" w:rsidRPr="00724C91" w:rsidTr="00537DBF">
        <w:tc>
          <w:tcPr>
            <w:tcW w:w="9270" w:type="dxa"/>
            <w:gridSpan w:val="4"/>
            <w:tcBorders>
              <w:top w:val="single" w:sz="4" w:space="0" w:color="auto"/>
              <w:left w:val="nil"/>
              <w:bottom w:val="nil"/>
              <w:right w:val="nil"/>
            </w:tcBorders>
            <w:hideMark/>
          </w:tcPr>
          <w:p w:rsidR="000671A7" w:rsidRPr="00724C91" w:rsidRDefault="000671A7" w:rsidP="00537DBF">
            <w:pPr>
              <w:spacing w:after="0"/>
              <w:rPr>
                <w:rFonts w:eastAsia="Calibri" w:cstheme="minorHAnsi"/>
                <w:b/>
                <w:sz w:val="15"/>
                <w:szCs w:val="15"/>
              </w:rPr>
            </w:pPr>
            <w:r w:rsidRPr="00724C91">
              <w:rPr>
                <w:rFonts w:eastAsia="Calibri" w:cstheme="minorHAnsi"/>
                <w:b/>
                <w:i/>
                <w:sz w:val="15"/>
                <w:szCs w:val="15"/>
              </w:rPr>
              <w:t>Articles with a medium overall risk of bias</w:t>
            </w:r>
          </w:p>
        </w:tc>
      </w:tr>
      <w:tr w:rsidR="00AD2736" w:rsidRPr="00724C91" w:rsidTr="00537DBF">
        <w:tc>
          <w:tcPr>
            <w:tcW w:w="90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Larsson</w:t>
            </w:r>
            <w:r w:rsidRPr="00724C91">
              <w:rPr>
                <w:rFonts w:cstheme="minorHAnsi"/>
                <w:sz w:val="15"/>
                <w:szCs w:val="15"/>
                <w:vertAlign w:val="superscript"/>
              </w:rPr>
              <w:t>18</w:t>
            </w:r>
          </w:p>
        </w:tc>
        <w:tc>
          <w:tcPr>
            <w:tcW w:w="153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EcoVag (</w:t>
            </w:r>
            <w:r w:rsidRPr="00724C91">
              <w:rPr>
                <w:rFonts w:eastAsia="Calibri" w:cstheme="minorHAnsi"/>
                <w:i/>
                <w:sz w:val="15"/>
                <w:szCs w:val="15"/>
              </w:rPr>
              <w:t>L. gasseri</w:t>
            </w:r>
            <w:r w:rsidRPr="00724C91">
              <w:rPr>
                <w:rFonts w:eastAsia="Calibri" w:cstheme="minorHAnsi"/>
                <w:sz w:val="15"/>
                <w:szCs w:val="15"/>
              </w:rPr>
              <w:t xml:space="preserve"> EB01-DSM 14869 + </w:t>
            </w:r>
            <w:r w:rsidRPr="00724C91">
              <w:rPr>
                <w:rFonts w:eastAsia="Calibri" w:cstheme="minorHAnsi"/>
                <w:i/>
                <w:sz w:val="15"/>
                <w:szCs w:val="15"/>
              </w:rPr>
              <w:t>L. rhamnosus</w:t>
            </w:r>
            <w:r w:rsidRPr="00724C91">
              <w:rPr>
                <w:rFonts w:eastAsia="Calibri" w:cstheme="minorHAnsi"/>
                <w:sz w:val="15"/>
                <w:szCs w:val="15"/>
              </w:rPr>
              <w:t xml:space="preserve"> Lbp PB01-DSM 14870)</w:t>
            </w:r>
          </w:p>
        </w:tc>
        <w:tc>
          <w:tcPr>
            <w:tcW w:w="11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RCT: placebo control</w:t>
            </w:r>
          </w:p>
        </w:tc>
        <w:tc>
          <w:tcPr>
            <w:tcW w:w="56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10 days of EcoVag after clindamycin did not improve BV cure (by Ison-Hay; 32/50 cured) compared to placebo (37/50 cured) but significantly reduced the cumulative incidence of BV/intermediate microbiota within 4 menstrual cycles when used for 10 days after each menses (13/37 versus 21/39 incident cases, respectively).</w:t>
            </w:r>
          </w:p>
        </w:tc>
      </w:tr>
      <w:tr w:rsidR="00AD2736" w:rsidRPr="00724C91" w:rsidTr="00537DBF">
        <w:tc>
          <w:tcPr>
            <w:tcW w:w="90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Petricevic</w:t>
            </w:r>
            <w:r w:rsidRPr="00724C91">
              <w:rPr>
                <w:rFonts w:cstheme="minorHAnsi"/>
                <w:sz w:val="15"/>
                <w:szCs w:val="15"/>
                <w:vertAlign w:val="superscript"/>
              </w:rPr>
              <w:t>19</w:t>
            </w:r>
          </w:p>
        </w:tc>
        <w:tc>
          <w:tcPr>
            <w:tcW w:w="153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Gynophilus (</w:t>
            </w:r>
            <w:r w:rsidRPr="00724C91">
              <w:rPr>
                <w:rFonts w:eastAsia="Calibri" w:cstheme="minorHAnsi"/>
                <w:i/>
                <w:sz w:val="15"/>
                <w:szCs w:val="15"/>
              </w:rPr>
              <w:t>L. casei rhamnosus</w:t>
            </w:r>
            <w:r w:rsidRPr="00724C91">
              <w:rPr>
                <w:rFonts w:eastAsia="Calibri" w:cstheme="minorHAnsi"/>
                <w:sz w:val="15"/>
                <w:szCs w:val="15"/>
              </w:rPr>
              <w:t xml:space="preserve"> Lcr35)</w:t>
            </w:r>
          </w:p>
        </w:tc>
        <w:tc>
          <w:tcPr>
            <w:tcW w:w="11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RCT: no-intervention control</w:t>
            </w:r>
          </w:p>
        </w:tc>
        <w:tc>
          <w:tcPr>
            <w:tcW w:w="56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7 days of Gynophilus after clindamycin resulted in significantly improved BV cure (by Nugent 0-3) compared to women receiving clindamycin only (69/83 versus 31/88, respectively) assessed 5 weeks after cessation of the intervention period.</w:t>
            </w:r>
          </w:p>
        </w:tc>
      </w:tr>
      <w:tr w:rsidR="00AD2736" w:rsidRPr="00724C91" w:rsidTr="00537DBF">
        <w:tc>
          <w:tcPr>
            <w:tcW w:w="900" w:type="dxa"/>
            <w:tcBorders>
              <w:top w:val="nil"/>
              <w:left w:val="nil"/>
              <w:bottom w:val="nil"/>
              <w:right w:val="nil"/>
            </w:tcBorders>
            <w:hideMark/>
          </w:tcPr>
          <w:p w:rsidR="000671A7" w:rsidRPr="00724C91" w:rsidRDefault="000671A7" w:rsidP="00537DBF">
            <w:pPr>
              <w:tabs>
                <w:tab w:val="left" w:pos="623"/>
              </w:tabs>
              <w:spacing w:after="0"/>
              <w:ind w:right="-120" w:hanging="20"/>
              <w:rPr>
                <w:rFonts w:eastAsia="Calibri" w:cstheme="minorHAnsi"/>
                <w:sz w:val="15"/>
                <w:szCs w:val="15"/>
              </w:rPr>
            </w:pPr>
            <w:r w:rsidRPr="00724C91">
              <w:rPr>
                <w:rFonts w:eastAsia="Calibri" w:cstheme="minorHAnsi"/>
                <w:sz w:val="15"/>
                <w:szCs w:val="15"/>
              </w:rPr>
              <w:t>Mastro-</w:t>
            </w:r>
          </w:p>
          <w:p w:rsidR="000671A7" w:rsidRPr="00724C91" w:rsidRDefault="000671A7" w:rsidP="00537DBF">
            <w:pPr>
              <w:tabs>
                <w:tab w:val="left" w:pos="623"/>
              </w:tabs>
              <w:spacing w:after="0"/>
              <w:ind w:right="-120" w:hanging="20"/>
              <w:rPr>
                <w:rFonts w:eastAsia="Calibri" w:cstheme="minorHAnsi"/>
                <w:sz w:val="15"/>
                <w:szCs w:val="15"/>
              </w:rPr>
            </w:pPr>
            <w:r w:rsidRPr="00724C91">
              <w:rPr>
                <w:rFonts w:eastAsia="Calibri" w:cstheme="minorHAnsi"/>
                <w:sz w:val="15"/>
                <w:szCs w:val="15"/>
              </w:rPr>
              <w:t>marino</w:t>
            </w:r>
            <w:r w:rsidRPr="00724C91">
              <w:rPr>
                <w:rFonts w:cstheme="minorHAnsi"/>
                <w:sz w:val="15"/>
                <w:szCs w:val="15"/>
                <w:vertAlign w:val="superscript"/>
              </w:rPr>
              <w:t>20</w:t>
            </w:r>
          </w:p>
        </w:tc>
        <w:tc>
          <w:tcPr>
            <w:tcW w:w="153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Florisia</w:t>
            </w:r>
            <w:r w:rsidRPr="00724C91">
              <w:rPr>
                <w:rFonts w:eastAsia="Calibri" w:cstheme="minorHAnsi"/>
                <w:i/>
                <w:iCs/>
                <w:sz w:val="15"/>
                <w:szCs w:val="15"/>
              </w:rPr>
              <w:t xml:space="preserve"> (L. brevis </w:t>
            </w:r>
            <w:r w:rsidRPr="00724C91">
              <w:rPr>
                <w:rFonts w:eastAsia="Calibri" w:cstheme="minorHAnsi"/>
                <w:sz w:val="15"/>
                <w:szCs w:val="15"/>
              </w:rPr>
              <w:t xml:space="preserve">CD2 + </w:t>
            </w:r>
            <w:r w:rsidRPr="00724C91">
              <w:rPr>
                <w:rFonts w:eastAsia="Calibri" w:cstheme="minorHAnsi"/>
                <w:i/>
                <w:iCs/>
                <w:sz w:val="15"/>
                <w:szCs w:val="15"/>
              </w:rPr>
              <w:t xml:space="preserve">L. salivarius </w:t>
            </w:r>
            <w:r w:rsidRPr="00724C91">
              <w:rPr>
                <w:rFonts w:eastAsia="Calibri" w:cstheme="minorHAnsi"/>
                <w:sz w:val="15"/>
                <w:szCs w:val="15"/>
              </w:rPr>
              <w:t>subsp. s</w:t>
            </w:r>
            <w:r w:rsidRPr="00724C91">
              <w:rPr>
                <w:rFonts w:eastAsia="Calibri" w:cstheme="minorHAnsi"/>
                <w:i/>
                <w:iCs/>
                <w:sz w:val="15"/>
                <w:szCs w:val="15"/>
              </w:rPr>
              <w:t xml:space="preserve">alicinius </w:t>
            </w:r>
            <w:r w:rsidRPr="00724C91">
              <w:rPr>
                <w:rFonts w:eastAsia="Calibri" w:cstheme="minorHAnsi"/>
                <w:sz w:val="15"/>
                <w:szCs w:val="15"/>
              </w:rPr>
              <w:t xml:space="preserve">FV2 + </w:t>
            </w:r>
            <w:r w:rsidRPr="00724C91">
              <w:rPr>
                <w:rFonts w:eastAsia="Calibri" w:cstheme="minorHAnsi"/>
                <w:i/>
                <w:iCs/>
                <w:sz w:val="15"/>
                <w:szCs w:val="15"/>
              </w:rPr>
              <w:t xml:space="preserve">L. plantarum </w:t>
            </w:r>
            <w:r w:rsidRPr="00724C91">
              <w:rPr>
                <w:rFonts w:eastAsia="Calibri" w:cstheme="minorHAnsi"/>
                <w:sz w:val="15"/>
                <w:szCs w:val="15"/>
              </w:rPr>
              <w:t>FV9)</w:t>
            </w:r>
          </w:p>
        </w:tc>
        <w:tc>
          <w:tcPr>
            <w:tcW w:w="11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RCT: placebo control</w:t>
            </w:r>
          </w:p>
        </w:tc>
        <w:tc>
          <w:tcPr>
            <w:tcW w:w="56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7 days of Florisia (without any antibiotic) was significantly more efficacious in curing BV (15/18 Nugent 0-3, 3/18 Nugent 4-6) than placebo (2/16 Nugent 4-6; 14/16 persistent Nugent 7-10) and was associated with significantly lower BV (Nugent 7-10) cumulative incidence in the 2 weeks after Florisia cessation (7/18 and 13/16, respectively).</w:t>
            </w:r>
          </w:p>
        </w:tc>
      </w:tr>
      <w:tr w:rsidR="00AD2736" w:rsidRPr="00724C91" w:rsidTr="00537DBF">
        <w:tc>
          <w:tcPr>
            <w:tcW w:w="900" w:type="dxa"/>
            <w:tcBorders>
              <w:top w:val="nil"/>
              <w:left w:val="nil"/>
              <w:bottom w:val="nil"/>
              <w:right w:val="nil"/>
            </w:tcBorders>
            <w:hideMark/>
          </w:tcPr>
          <w:p w:rsidR="000671A7" w:rsidRPr="00724C91" w:rsidRDefault="000671A7" w:rsidP="00537DBF">
            <w:pPr>
              <w:tabs>
                <w:tab w:val="left" w:pos="0"/>
              </w:tabs>
              <w:spacing w:after="0"/>
              <w:ind w:right="-120" w:hanging="20"/>
              <w:rPr>
                <w:rFonts w:eastAsia="Calibri" w:cstheme="minorHAnsi"/>
                <w:sz w:val="15"/>
                <w:szCs w:val="15"/>
              </w:rPr>
            </w:pPr>
            <w:r w:rsidRPr="00724C91">
              <w:rPr>
                <w:rFonts w:eastAsia="Calibri" w:cstheme="minorHAnsi"/>
                <w:sz w:val="15"/>
                <w:szCs w:val="15"/>
              </w:rPr>
              <w:tab/>
              <w:t>Bradhaw</w:t>
            </w:r>
            <w:r w:rsidRPr="00724C91">
              <w:rPr>
                <w:rFonts w:cstheme="minorHAnsi"/>
                <w:sz w:val="15"/>
                <w:szCs w:val="15"/>
                <w:vertAlign w:val="superscript"/>
              </w:rPr>
              <w:t>21</w:t>
            </w:r>
          </w:p>
        </w:tc>
        <w:tc>
          <w:tcPr>
            <w:tcW w:w="153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Gynoflor</w:t>
            </w:r>
            <w:r w:rsidRPr="00724C91">
              <w:rPr>
                <w:rFonts w:eastAsia="Calibri" w:cstheme="minorHAnsi"/>
                <w:i/>
                <w:iCs/>
                <w:sz w:val="15"/>
                <w:szCs w:val="15"/>
              </w:rPr>
              <w:t xml:space="preserve"> (L. acidophilus </w:t>
            </w:r>
            <w:r w:rsidRPr="00724C91">
              <w:rPr>
                <w:rFonts w:eastAsia="Calibri" w:cstheme="minorHAnsi"/>
                <w:sz w:val="15"/>
                <w:szCs w:val="15"/>
              </w:rPr>
              <w:t>KS400 + 0.03mg oestriol)</w:t>
            </w:r>
          </w:p>
        </w:tc>
        <w:tc>
          <w:tcPr>
            <w:tcW w:w="11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RCT: placebo and clindamycin cream controls</w:t>
            </w:r>
          </w:p>
        </w:tc>
        <w:tc>
          <w:tcPr>
            <w:tcW w:w="56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12 days of Gynoflor after oral metronidazole treatment for BV (Nugent 7-10) resulted in a borderline (p=0.13) lower BV recurrence (9/133) at Month 1 compared to 12 days of placebo (13/135) but higher compared to 7 days of vaginal clindamycin (5/140). At Month 6, BV recurrence was comparable between the three arms (37/133, 36/135, and 42/140, respectively).</w:t>
            </w:r>
          </w:p>
        </w:tc>
      </w:tr>
      <w:tr w:rsidR="00AD2736" w:rsidRPr="00724C91" w:rsidTr="00537DBF">
        <w:tc>
          <w:tcPr>
            <w:tcW w:w="90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 xml:space="preserve">van de </w:t>
            </w:r>
          </w:p>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Wijgert</w:t>
            </w:r>
            <w:r w:rsidRPr="00724C91">
              <w:rPr>
                <w:rFonts w:cstheme="minorHAnsi"/>
                <w:sz w:val="15"/>
                <w:szCs w:val="15"/>
                <w:vertAlign w:val="superscript"/>
              </w:rPr>
              <w:t>10</w:t>
            </w:r>
          </w:p>
        </w:tc>
        <w:tc>
          <w:tcPr>
            <w:tcW w:w="153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Ecologic Femi+ (</w:t>
            </w:r>
            <w:r w:rsidRPr="00724C91">
              <w:rPr>
                <w:rFonts w:eastAsia="Calibri" w:cstheme="minorHAnsi"/>
                <w:i/>
                <w:iCs/>
                <w:sz w:val="15"/>
                <w:szCs w:val="15"/>
              </w:rPr>
              <w:t xml:space="preserve">B. bifidum </w:t>
            </w:r>
            <w:r w:rsidRPr="00724C91">
              <w:rPr>
                <w:rFonts w:eastAsia="Calibri" w:cstheme="minorHAnsi"/>
                <w:sz w:val="15"/>
                <w:szCs w:val="15"/>
              </w:rPr>
              <w:t xml:space="preserve">W28 + </w:t>
            </w:r>
            <w:r w:rsidRPr="00724C91">
              <w:rPr>
                <w:rFonts w:eastAsia="Calibri" w:cstheme="minorHAnsi"/>
                <w:i/>
                <w:iCs/>
                <w:sz w:val="15"/>
                <w:szCs w:val="15"/>
              </w:rPr>
              <w:t xml:space="preserve">L. acidophilus </w:t>
            </w:r>
            <w:r w:rsidRPr="00724C91">
              <w:rPr>
                <w:rFonts w:eastAsia="Calibri" w:cstheme="minorHAnsi"/>
                <w:sz w:val="15"/>
                <w:szCs w:val="15"/>
              </w:rPr>
              <w:t xml:space="preserve">W70 + </w:t>
            </w:r>
            <w:r w:rsidRPr="00724C91">
              <w:rPr>
                <w:rFonts w:eastAsia="Calibri" w:cstheme="minorHAnsi"/>
                <w:i/>
                <w:iCs/>
                <w:sz w:val="15"/>
                <w:szCs w:val="15"/>
              </w:rPr>
              <w:t xml:space="preserve">L. helveticus </w:t>
            </w:r>
            <w:r w:rsidRPr="00724C91">
              <w:rPr>
                <w:rFonts w:eastAsia="Calibri" w:cstheme="minorHAnsi"/>
                <w:sz w:val="15"/>
                <w:szCs w:val="15"/>
              </w:rPr>
              <w:t xml:space="preserve">W74 + </w:t>
            </w:r>
            <w:r w:rsidRPr="00724C91">
              <w:rPr>
                <w:rFonts w:eastAsia="Calibri" w:cstheme="minorHAnsi"/>
                <w:i/>
                <w:iCs/>
                <w:sz w:val="15"/>
                <w:szCs w:val="15"/>
              </w:rPr>
              <w:t xml:space="preserve">L. brevis </w:t>
            </w:r>
            <w:r w:rsidRPr="00724C91">
              <w:rPr>
                <w:rFonts w:eastAsia="Calibri" w:cstheme="minorHAnsi"/>
                <w:sz w:val="15"/>
                <w:szCs w:val="15"/>
              </w:rPr>
              <w:t xml:space="preserve">W63 + </w:t>
            </w:r>
            <w:r w:rsidRPr="00724C91">
              <w:rPr>
                <w:rFonts w:eastAsia="Calibri" w:cstheme="minorHAnsi"/>
                <w:i/>
                <w:iCs/>
                <w:sz w:val="15"/>
                <w:szCs w:val="15"/>
              </w:rPr>
              <w:t>L. plantarum</w:t>
            </w:r>
            <w:r w:rsidRPr="00724C91">
              <w:rPr>
                <w:rFonts w:eastAsia="Calibri" w:cstheme="minorHAnsi"/>
                <w:sz w:val="15"/>
                <w:szCs w:val="15"/>
              </w:rPr>
              <w:t xml:space="preserve"> W21 + </w:t>
            </w:r>
            <w:r w:rsidRPr="00724C91">
              <w:rPr>
                <w:rFonts w:eastAsia="Calibri" w:cstheme="minorHAnsi"/>
                <w:i/>
                <w:iCs/>
                <w:sz w:val="15"/>
                <w:szCs w:val="15"/>
              </w:rPr>
              <w:t xml:space="preserve">L. salivarius </w:t>
            </w:r>
            <w:r w:rsidRPr="00724C91">
              <w:rPr>
                <w:rFonts w:eastAsia="Calibri" w:cstheme="minorHAnsi"/>
                <w:sz w:val="15"/>
                <w:szCs w:val="15"/>
              </w:rPr>
              <w:t>W24)</w:t>
            </w:r>
          </w:p>
        </w:tc>
        <w:tc>
          <w:tcPr>
            <w:tcW w:w="11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RCT: no-intervention and oral metronidazole controls</w:t>
            </w:r>
          </w:p>
        </w:tc>
        <w:tc>
          <w:tcPr>
            <w:tcW w:w="56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Intermittent Ecologic Femi+ use after oral metronidazole BV treatment resulted in significantly lower BV (Nugent 7-10) recurrence than no-intervention (incidence 3.58/PY versus 10.18/PY, respectively), and significantly reduced BV-anaerobes concentration by sequencing, during the 2 months of use, but the effect disappeared by 4 months after cessation of use.</w:t>
            </w:r>
          </w:p>
        </w:tc>
      </w:tr>
      <w:tr w:rsidR="00AD2736" w:rsidRPr="00724C91" w:rsidTr="00537DBF">
        <w:tc>
          <w:tcPr>
            <w:tcW w:w="90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Van de Wijgert</w:t>
            </w:r>
            <w:r w:rsidRPr="00724C91">
              <w:rPr>
                <w:rFonts w:cstheme="minorHAnsi"/>
                <w:sz w:val="15"/>
                <w:szCs w:val="15"/>
                <w:vertAlign w:val="superscript"/>
              </w:rPr>
              <w:t>10</w:t>
            </w:r>
          </w:p>
        </w:tc>
        <w:tc>
          <w:tcPr>
            <w:tcW w:w="153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Gynophilus LP (</w:t>
            </w:r>
            <w:r w:rsidRPr="00724C91">
              <w:rPr>
                <w:rFonts w:eastAsia="Calibri" w:cstheme="minorHAnsi"/>
                <w:i/>
                <w:iCs/>
                <w:sz w:val="15"/>
                <w:szCs w:val="15"/>
              </w:rPr>
              <w:t xml:space="preserve">L. rhamnosus </w:t>
            </w:r>
            <w:r w:rsidRPr="00724C91">
              <w:rPr>
                <w:rFonts w:eastAsia="Calibri" w:cstheme="minorHAnsi"/>
                <w:sz w:val="15"/>
                <w:szCs w:val="15"/>
              </w:rPr>
              <w:t xml:space="preserve">Lcr35 </w:t>
            </w:r>
            <w:r w:rsidRPr="00724C91">
              <w:rPr>
                <w:rFonts w:eastAsia="Calibri" w:cstheme="minorHAnsi"/>
                <w:i/>
                <w:sz w:val="15"/>
                <w:szCs w:val="15"/>
              </w:rPr>
              <w:t>regenerans</w:t>
            </w:r>
            <w:r w:rsidRPr="00724C91">
              <w:rPr>
                <w:rFonts w:eastAsia="Calibri" w:cstheme="minorHAnsi"/>
                <w:sz w:val="15"/>
                <w:szCs w:val="15"/>
              </w:rPr>
              <w:t>)</w:t>
            </w:r>
          </w:p>
        </w:tc>
        <w:tc>
          <w:tcPr>
            <w:tcW w:w="11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RCT: no-intervention and oral metronidazole controls</w:t>
            </w:r>
          </w:p>
        </w:tc>
        <w:tc>
          <w:tcPr>
            <w:tcW w:w="56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Intermittent Gynophilus LP use after oral metronidazole BV treatment resulted in a non-significant lower BV (Nugent 7-10) recurrence than controls (incidence 5.36/PY), and non-significantly reduced BV-anaerobes concentration by sequencing, during the 2 months of use, but the effect disappeared by 4 months after cessation of use.</w:t>
            </w:r>
          </w:p>
        </w:tc>
      </w:tr>
      <w:tr w:rsidR="00AD2736" w:rsidRPr="00724C91" w:rsidTr="00537DBF">
        <w:tc>
          <w:tcPr>
            <w:tcW w:w="9270" w:type="dxa"/>
            <w:gridSpan w:val="4"/>
            <w:tcBorders>
              <w:top w:val="nil"/>
              <w:left w:val="nil"/>
              <w:bottom w:val="nil"/>
              <w:right w:val="nil"/>
            </w:tcBorders>
            <w:hideMark/>
          </w:tcPr>
          <w:p w:rsidR="000671A7" w:rsidRPr="00724C91" w:rsidRDefault="000671A7" w:rsidP="00537DBF">
            <w:pPr>
              <w:spacing w:after="0"/>
              <w:rPr>
                <w:rFonts w:eastAsia="Calibri" w:cstheme="minorHAnsi"/>
                <w:b/>
                <w:sz w:val="15"/>
                <w:szCs w:val="15"/>
              </w:rPr>
            </w:pPr>
            <w:r w:rsidRPr="00724C91">
              <w:rPr>
                <w:rFonts w:eastAsia="Calibri" w:cstheme="minorHAnsi"/>
                <w:b/>
                <w:i/>
                <w:sz w:val="15"/>
                <w:szCs w:val="15"/>
              </w:rPr>
              <w:t>Articles with a high overall risk of bias</w:t>
            </w:r>
          </w:p>
        </w:tc>
      </w:tr>
      <w:tr w:rsidR="00AD2736" w:rsidRPr="00724C91" w:rsidTr="00537DBF">
        <w:tc>
          <w:tcPr>
            <w:tcW w:w="900" w:type="dxa"/>
            <w:tcBorders>
              <w:top w:val="nil"/>
              <w:left w:val="nil"/>
              <w:bottom w:val="nil"/>
              <w:right w:val="nil"/>
            </w:tcBorders>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Eriksson</w:t>
            </w:r>
            <w:r w:rsidRPr="00724C91">
              <w:rPr>
                <w:rFonts w:cstheme="minorHAnsi"/>
                <w:sz w:val="15"/>
                <w:szCs w:val="15"/>
                <w:vertAlign w:val="superscript"/>
              </w:rPr>
              <w:t>22</w:t>
            </w:r>
          </w:p>
          <w:p w:rsidR="000671A7" w:rsidRPr="00724C91" w:rsidRDefault="000671A7" w:rsidP="00537DBF">
            <w:pPr>
              <w:spacing w:after="0"/>
              <w:ind w:right="-120" w:hanging="20"/>
              <w:rPr>
                <w:rFonts w:eastAsia="Calibri" w:cstheme="minorHAnsi"/>
                <w:sz w:val="15"/>
                <w:szCs w:val="15"/>
              </w:rPr>
            </w:pPr>
          </w:p>
        </w:tc>
        <w:tc>
          <w:tcPr>
            <w:tcW w:w="153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i/>
                <w:iCs/>
                <w:sz w:val="15"/>
                <w:szCs w:val="15"/>
              </w:rPr>
              <w:t xml:space="preserve">L. gasseri </w:t>
            </w:r>
            <w:r w:rsidRPr="00724C91">
              <w:rPr>
                <w:rFonts w:eastAsia="Calibri" w:cstheme="minorHAnsi"/>
                <w:sz w:val="15"/>
                <w:szCs w:val="15"/>
              </w:rPr>
              <w:t xml:space="preserve">+ </w:t>
            </w:r>
            <w:r w:rsidRPr="00724C91">
              <w:rPr>
                <w:rFonts w:eastAsia="Calibri" w:cstheme="minorHAnsi"/>
                <w:i/>
                <w:iCs/>
                <w:sz w:val="15"/>
                <w:szCs w:val="15"/>
              </w:rPr>
              <w:t xml:space="preserve">L. casei </w:t>
            </w:r>
            <w:r w:rsidRPr="00724C91">
              <w:rPr>
                <w:rFonts w:eastAsia="Calibri" w:cstheme="minorHAnsi"/>
                <w:sz w:val="15"/>
                <w:szCs w:val="15"/>
              </w:rPr>
              <w:t xml:space="preserve">var </w:t>
            </w:r>
            <w:r w:rsidRPr="00724C91">
              <w:rPr>
                <w:rFonts w:eastAsia="Calibri" w:cstheme="minorHAnsi"/>
                <w:i/>
                <w:iCs/>
                <w:sz w:val="15"/>
                <w:szCs w:val="15"/>
              </w:rPr>
              <w:t>rhamnosus</w:t>
            </w:r>
            <w:r w:rsidRPr="00724C91">
              <w:rPr>
                <w:rFonts w:eastAsia="Calibri" w:cstheme="minorHAnsi"/>
                <w:sz w:val="15"/>
                <w:szCs w:val="15"/>
              </w:rPr>
              <w:t xml:space="preserve"> + </w:t>
            </w:r>
            <w:r w:rsidRPr="00724C91">
              <w:rPr>
                <w:rFonts w:eastAsia="Calibri" w:cstheme="minorHAnsi"/>
                <w:i/>
                <w:iCs/>
                <w:sz w:val="15"/>
                <w:szCs w:val="15"/>
              </w:rPr>
              <w:t xml:space="preserve">L. fermentum </w:t>
            </w:r>
            <w:r w:rsidRPr="00724C91">
              <w:rPr>
                <w:rFonts w:eastAsia="Calibri" w:cstheme="minorHAnsi"/>
                <w:sz w:val="15"/>
                <w:szCs w:val="15"/>
              </w:rPr>
              <w:t>(impregnated tampons)</w:t>
            </w:r>
          </w:p>
        </w:tc>
        <w:tc>
          <w:tcPr>
            <w:tcW w:w="11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RCT: placebo control</w:t>
            </w:r>
          </w:p>
        </w:tc>
        <w:tc>
          <w:tcPr>
            <w:tcW w:w="56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Use of lactobacilli-impregnated tampons for 5 or more days during the first and second menses after clindamycin treatment was not efficacious in reducing BV recurrence (by Nugent 4-10) by the end of the two menstrual cycles (41/91) compared to placebo tampons (34/96).</w:t>
            </w:r>
          </w:p>
        </w:tc>
      </w:tr>
      <w:tr w:rsidR="00AD2736" w:rsidRPr="00724C91" w:rsidTr="00537DBF">
        <w:tc>
          <w:tcPr>
            <w:tcW w:w="900" w:type="dxa"/>
            <w:tcBorders>
              <w:top w:val="nil"/>
              <w:left w:val="nil"/>
              <w:bottom w:val="nil"/>
              <w:right w:val="nil"/>
            </w:tcBorders>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Anukam</w:t>
            </w:r>
            <w:r w:rsidRPr="00724C91">
              <w:rPr>
                <w:rFonts w:cstheme="minorHAnsi"/>
                <w:sz w:val="15"/>
                <w:szCs w:val="15"/>
                <w:vertAlign w:val="superscript"/>
              </w:rPr>
              <w:t>23</w:t>
            </w:r>
          </w:p>
          <w:p w:rsidR="000671A7" w:rsidRPr="00724C91" w:rsidRDefault="000671A7" w:rsidP="00537DBF">
            <w:pPr>
              <w:spacing w:after="0"/>
              <w:ind w:right="-120" w:hanging="20"/>
              <w:rPr>
                <w:rFonts w:eastAsia="Calibri" w:cstheme="minorHAnsi"/>
                <w:sz w:val="15"/>
                <w:szCs w:val="15"/>
              </w:rPr>
            </w:pPr>
          </w:p>
        </w:tc>
        <w:tc>
          <w:tcPr>
            <w:tcW w:w="1530" w:type="dxa"/>
            <w:tcBorders>
              <w:top w:val="nil"/>
              <w:left w:val="nil"/>
              <w:bottom w:val="nil"/>
              <w:right w:val="nil"/>
            </w:tcBorders>
            <w:hideMark/>
          </w:tcPr>
          <w:p w:rsidR="000671A7" w:rsidRPr="00724C91" w:rsidRDefault="000671A7" w:rsidP="00537DBF">
            <w:pPr>
              <w:spacing w:after="0"/>
              <w:ind w:right="-54"/>
              <w:rPr>
                <w:rFonts w:eastAsia="Calibri" w:cstheme="minorHAnsi"/>
                <w:sz w:val="15"/>
                <w:szCs w:val="15"/>
              </w:rPr>
            </w:pPr>
            <w:r w:rsidRPr="00724C91">
              <w:rPr>
                <w:rFonts w:eastAsia="Calibri" w:cstheme="minorHAnsi"/>
                <w:sz w:val="15"/>
                <w:szCs w:val="15"/>
              </w:rPr>
              <w:t xml:space="preserve">RC-14/GR-1 </w:t>
            </w:r>
            <w:r w:rsidRPr="00724C91">
              <w:rPr>
                <w:rFonts w:eastAsia="Calibri" w:cstheme="minorHAnsi"/>
                <w:i/>
                <w:iCs/>
                <w:sz w:val="15"/>
                <w:szCs w:val="15"/>
              </w:rPr>
              <w:t xml:space="preserve">(L. fermentum </w:t>
            </w:r>
            <w:r w:rsidRPr="00724C91">
              <w:rPr>
                <w:rFonts w:eastAsia="Calibri" w:cstheme="minorHAnsi"/>
                <w:sz w:val="15"/>
                <w:szCs w:val="15"/>
              </w:rPr>
              <w:t xml:space="preserve">RC-14 + </w:t>
            </w:r>
            <w:r w:rsidRPr="00724C91">
              <w:rPr>
                <w:rFonts w:eastAsia="Calibri" w:cstheme="minorHAnsi"/>
                <w:i/>
                <w:iCs/>
                <w:sz w:val="15"/>
                <w:szCs w:val="15"/>
              </w:rPr>
              <w:t>L. rhamnosus</w:t>
            </w:r>
            <w:r w:rsidRPr="00724C91">
              <w:rPr>
                <w:rFonts w:eastAsia="Calibri" w:cstheme="minorHAnsi"/>
                <w:sz w:val="15"/>
                <w:szCs w:val="15"/>
              </w:rPr>
              <w:t xml:space="preserve"> GR-1)</w:t>
            </w:r>
          </w:p>
        </w:tc>
        <w:tc>
          <w:tcPr>
            <w:tcW w:w="11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RCT: metronidazole gel control</w:t>
            </w:r>
          </w:p>
        </w:tc>
        <w:tc>
          <w:tcPr>
            <w:tcW w:w="56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5 days of GR-1+RC-14 capsules (without any antibiotic) was significantly more efficacious in curing BV (12/20 Nugent 0-3) than 5 days of metronidazole gel (6/20) when assessed directly after the intervention, and also in reducing BV recurrence (Nugent 7-10) up to 25 days post-intervention (2/17 versus 9/18, respectively).</w:t>
            </w:r>
          </w:p>
        </w:tc>
      </w:tr>
      <w:tr w:rsidR="00AD2736" w:rsidRPr="00724C91" w:rsidTr="00537DBF">
        <w:tc>
          <w:tcPr>
            <w:tcW w:w="90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Hemalatha</w:t>
            </w:r>
            <w:r w:rsidRPr="00724C91">
              <w:rPr>
                <w:rFonts w:cstheme="minorHAnsi"/>
                <w:sz w:val="15"/>
                <w:szCs w:val="15"/>
                <w:vertAlign w:val="superscript"/>
              </w:rPr>
              <w:t>24</w:t>
            </w:r>
          </w:p>
        </w:tc>
        <w:tc>
          <w:tcPr>
            <w:tcW w:w="153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Florisia (</w:t>
            </w:r>
            <w:r w:rsidRPr="00724C91">
              <w:rPr>
                <w:rFonts w:eastAsia="Calibri" w:cstheme="minorHAnsi"/>
                <w:i/>
                <w:iCs/>
                <w:sz w:val="15"/>
                <w:szCs w:val="15"/>
              </w:rPr>
              <w:t xml:space="preserve">L. brevis </w:t>
            </w:r>
            <w:r w:rsidRPr="00724C91">
              <w:rPr>
                <w:rFonts w:eastAsia="Calibri" w:cstheme="minorHAnsi"/>
                <w:sz w:val="15"/>
                <w:szCs w:val="15"/>
              </w:rPr>
              <w:t>CD2 +</w:t>
            </w:r>
            <w:r w:rsidRPr="00724C91">
              <w:rPr>
                <w:rFonts w:eastAsia="Calibri" w:cstheme="minorHAnsi"/>
                <w:i/>
                <w:iCs/>
                <w:sz w:val="15"/>
                <w:szCs w:val="15"/>
              </w:rPr>
              <w:t xml:space="preserve"> L. salivarius </w:t>
            </w:r>
            <w:r w:rsidRPr="00724C91">
              <w:rPr>
                <w:rFonts w:eastAsia="Calibri" w:cstheme="minorHAnsi"/>
                <w:sz w:val="15"/>
                <w:szCs w:val="15"/>
              </w:rPr>
              <w:t>subsp.</w:t>
            </w:r>
            <w:r w:rsidRPr="00724C91">
              <w:rPr>
                <w:rFonts w:eastAsia="Calibri" w:cstheme="minorHAnsi"/>
                <w:i/>
                <w:iCs/>
                <w:sz w:val="15"/>
                <w:szCs w:val="15"/>
              </w:rPr>
              <w:t xml:space="preserve"> salicinius</w:t>
            </w:r>
            <w:r w:rsidRPr="00724C91">
              <w:rPr>
                <w:rFonts w:eastAsia="Calibri" w:cstheme="minorHAnsi"/>
                <w:sz w:val="15"/>
                <w:szCs w:val="15"/>
              </w:rPr>
              <w:t xml:space="preserve"> + </w:t>
            </w:r>
            <w:r w:rsidRPr="00724C91">
              <w:rPr>
                <w:rFonts w:eastAsia="Calibri" w:cstheme="minorHAnsi"/>
                <w:i/>
                <w:iCs/>
                <w:sz w:val="15"/>
                <w:szCs w:val="15"/>
              </w:rPr>
              <w:t>L. plantarum</w:t>
            </w:r>
            <w:r w:rsidRPr="00724C91">
              <w:rPr>
                <w:rFonts w:eastAsia="Calibri" w:cstheme="minorHAnsi"/>
                <w:sz w:val="15"/>
                <w:szCs w:val="15"/>
              </w:rPr>
              <w:t xml:space="preserve">) </w:t>
            </w:r>
          </w:p>
        </w:tc>
        <w:tc>
          <w:tcPr>
            <w:tcW w:w="11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RCT: pH lowering tablet control</w:t>
            </w:r>
          </w:p>
        </w:tc>
        <w:tc>
          <w:tcPr>
            <w:tcW w:w="56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8 days of Florisia (without any antibiotic) was not efficacious in curing BV (by Nugent; 36/75 cured) compared to pH-lowering tablet (29/73 cured).</w:t>
            </w:r>
          </w:p>
        </w:tc>
      </w:tr>
      <w:tr w:rsidR="00AD2736" w:rsidRPr="00724C91" w:rsidTr="00537DBF">
        <w:tc>
          <w:tcPr>
            <w:tcW w:w="900" w:type="dxa"/>
            <w:tcBorders>
              <w:top w:val="nil"/>
              <w:left w:val="nil"/>
              <w:bottom w:val="nil"/>
              <w:right w:val="nil"/>
            </w:tcBorders>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Ling</w:t>
            </w:r>
            <w:r w:rsidRPr="00724C91">
              <w:rPr>
                <w:rFonts w:cstheme="minorHAnsi"/>
                <w:sz w:val="15"/>
                <w:szCs w:val="15"/>
                <w:vertAlign w:val="superscript"/>
              </w:rPr>
              <w:t>25</w:t>
            </w:r>
          </w:p>
          <w:p w:rsidR="000671A7" w:rsidRPr="00724C91" w:rsidRDefault="000671A7" w:rsidP="00537DBF">
            <w:pPr>
              <w:spacing w:after="0"/>
              <w:ind w:right="-120"/>
              <w:rPr>
                <w:rFonts w:eastAsia="Calibri" w:cstheme="minorHAnsi"/>
                <w:sz w:val="15"/>
                <w:szCs w:val="15"/>
              </w:rPr>
            </w:pPr>
          </w:p>
        </w:tc>
        <w:tc>
          <w:tcPr>
            <w:tcW w:w="1530" w:type="dxa"/>
            <w:tcBorders>
              <w:top w:val="nil"/>
              <w:left w:val="nil"/>
              <w:bottom w:val="nil"/>
              <w:right w:val="nil"/>
            </w:tcBorders>
            <w:hideMark/>
          </w:tcPr>
          <w:p w:rsidR="000671A7" w:rsidRPr="00724C91" w:rsidRDefault="000671A7" w:rsidP="00537DBF">
            <w:pPr>
              <w:spacing w:after="0"/>
              <w:rPr>
                <w:rFonts w:eastAsia="Calibri" w:cstheme="minorHAnsi"/>
                <w:b/>
                <w:sz w:val="15"/>
                <w:szCs w:val="15"/>
              </w:rPr>
            </w:pPr>
            <w:r w:rsidRPr="00724C91">
              <w:rPr>
                <w:rFonts w:eastAsia="Calibri" w:cstheme="minorHAnsi"/>
                <w:i/>
                <w:iCs/>
                <w:sz w:val="15"/>
                <w:szCs w:val="15"/>
              </w:rPr>
              <w:t xml:space="preserve">L. delbrueckii </w:t>
            </w:r>
            <w:r w:rsidRPr="00724C91">
              <w:rPr>
                <w:rFonts w:eastAsia="Calibri" w:cstheme="minorHAnsi"/>
                <w:sz w:val="15"/>
                <w:szCs w:val="15"/>
              </w:rPr>
              <w:t xml:space="preserve">subsp. </w:t>
            </w:r>
            <w:r w:rsidRPr="00724C91">
              <w:rPr>
                <w:rFonts w:eastAsia="Calibri" w:cstheme="minorHAnsi"/>
                <w:i/>
                <w:iCs/>
                <w:sz w:val="15"/>
                <w:szCs w:val="15"/>
              </w:rPr>
              <w:t>lactis</w:t>
            </w:r>
            <w:r w:rsidRPr="00724C91">
              <w:rPr>
                <w:rFonts w:eastAsia="Calibri" w:cstheme="minorHAnsi"/>
                <w:sz w:val="15"/>
                <w:szCs w:val="15"/>
              </w:rPr>
              <w:t xml:space="preserve"> DM8909</w:t>
            </w:r>
          </w:p>
        </w:tc>
        <w:tc>
          <w:tcPr>
            <w:tcW w:w="1170" w:type="dxa"/>
            <w:tcBorders>
              <w:top w:val="nil"/>
              <w:left w:val="nil"/>
              <w:bottom w:val="nil"/>
              <w:right w:val="nil"/>
            </w:tcBorders>
            <w:hideMark/>
          </w:tcPr>
          <w:p w:rsidR="000671A7" w:rsidRPr="00724C91" w:rsidRDefault="000671A7" w:rsidP="00537DBF">
            <w:pPr>
              <w:spacing w:after="0"/>
              <w:rPr>
                <w:rFonts w:eastAsia="Calibri" w:cstheme="minorHAnsi"/>
                <w:b/>
                <w:sz w:val="15"/>
                <w:szCs w:val="15"/>
              </w:rPr>
            </w:pPr>
            <w:r w:rsidRPr="00724C91">
              <w:rPr>
                <w:rFonts w:eastAsia="Calibri" w:cstheme="minorHAnsi"/>
                <w:sz w:val="15"/>
                <w:szCs w:val="15"/>
              </w:rPr>
              <w:t>RCT: metronidazole control</w:t>
            </w:r>
          </w:p>
        </w:tc>
        <w:tc>
          <w:tcPr>
            <w:tcW w:w="56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 xml:space="preserve">7 days of unnamed </w:t>
            </w:r>
            <w:r w:rsidRPr="00724C91">
              <w:rPr>
                <w:rFonts w:eastAsia="Calibri" w:cstheme="minorHAnsi"/>
                <w:i/>
                <w:sz w:val="15"/>
                <w:szCs w:val="15"/>
              </w:rPr>
              <w:t>L.</w:t>
            </w:r>
            <w:r w:rsidRPr="00724C91">
              <w:rPr>
                <w:rFonts w:eastAsia="Calibri" w:cstheme="minorHAnsi"/>
                <w:sz w:val="15"/>
                <w:szCs w:val="15"/>
              </w:rPr>
              <w:t xml:space="preserve"> </w:t>
            </w:r>
            <w:r w:rsidRPr="00724C91">
              <w:rPr>
                <w:rFonts w:eastAsia="Calibri" w:cstheme="minorHAnsi"/>
                <w:i/>
                <w:sz w:val="15"/>
                <w:szCs w:val="15"/>
              </w:rPr>
              <w:t>delbrueckii</w:t>
            </w:r>
            <w:r w:rsidRPr="00724C91">
              <w:rPr>
                <w:rFonts w:eastAsia="Calibri" w:cstheme="minorHAnsi"/>
                <w:sz w:val="15"/>
                <w:szCs w:val="15"/>
              </w:rPr>
              <w:t>-containing probiotic (without any antibiotic) was equally effective as vaginal metronidazole gel in curing BV (assessed 5 days after treatment completion; 22/25 and 25/30 cured, respectively) and was associated with a significantly lower recurrence 30 days after treatment completion than metronidazole gel (0/25 versus 5/30 recurrences). The molecular VMB data also suggest benefits of using the probiotic.</w:t>
            </w:r>
          </w:p>
        </w:tc>
      </w:tr>
      <w:tr w:rsidR="00AD2736" w:rsidRPr="00724C91" w:rsidTr="00537DBF">
        <w:tc>
          <w:tcPr>
            <w:tcW w:w="900" w:type="dxa"/>
            <w:tcBorders>
              <w:top w:val="nil"/>
              <w:left w:val="nil"/>
              <w:bottom w:val="nil"/>
              <w:right w:val="nil"/>
            </w:tcBorders>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Bisanz</w:t>
            </w:r>
            <w:r w:rsidRPr="00724C91">
              <w:rPr>
                <w:rFonts w:cstheme="minorHAnsi"/>
                <w:sz w:val="15"/>
                <w:szCs w:val="15"/>
                <w:vertAlign w:val="superscript"/>
              </w:rPr>
              <w:t>26</w:t>
            </w:r>
          </w:p>
          <w:p w:rsidR="000671A7" w:rsidRPr="00724C91" w:rsidRDefault="000671A7" w:rsidP="00537DBF">
            <w:pPr>
              <w:spacing w:after="0"/>
              <w:ind w:right="-120" w:hanging="20"/>
              <w:rPr>
                <w:rFonts w:eastAsia="Calibri" w:cstheme="minorHAnsi"/>
                <w:sz w:val="15"/>
                <w:szCs w:val="15"/>
              </w:rPr>
            </w:pPr>
          </w:p>
        </w:tc>
        <w:tc>
          <w:tcPr>
            <w:tcW w:w="1530" w:type="dxa"/>
            <w:tcBorders>
              <w:top w:val="nil"/>
              <w:left w:val="nil"/>
              <w:bottom w:val="nil"/>
              <w:right w:val="nil"/>
            </w:tcBorders>
            <w:hideMark/>
          </w:tcPr>
          <w:p w:rsidR="000671A7" w:rsidRPr="00724C91" w:rsidRDefault="000671A7" w:rsidP="00537DBF">
            <w:pPr>
              <w:spacing w:after="0"/>
              <w:rPr>
                <w:rFonts w:eastAsia="Calibri" w:cstheme="minorHAnsi"/>
                <w:b/>
                <w:sz w:val="15"/>
                <w:szCs w:val="15"/>
                <w:lang w:val="nl-NL"/>
              </w:rPr>
            </w:pPr>
            <w:r w:rsidRPr="00724C91">
              <w:rPr>
                <w:rFonts w:eastAsia="Calibri" w:cstheme="minorHAnsi"/>
                <w:sz w:val="15"/>
                <w:szCs w:val="15"/>
                <w:lang w:val="nl-NL"/>
              </w:rPr>
              <w:t>RC-14/GR-1 (</w:t>
            </w:r>
            <w:r w:rsidRPr="00724C91">
              <w:rPr>
                <w:rFonts w:eastAsia="Calibri" w:cstheme="minorHAnsi"/>
                <w:i/>
                <w:iCs/>
                <w:sz w:val="15"/>
                <w:szCs w:val="15"/>
                <w:lang w:val="nl-NL"/>
              </w:rPr>
              <w:t xml:space="preserve">L. reuteri </w:t>
            </w:r>
            <w:r w:rsidRPr="00724C91">
              <w:rPr>
                <w:rFonts w:eastAsia="Calibri" w:cstheme="minorHAnsi"/>
                <w:sz w:val="15"/>
                <w:szCs w:val="15"/>
                <w:lang w:val="nl-NL"/>
              </w:rPr>
              <w:t xml:space="preserve">RC-14 + </w:t>
            </w:r>
            <w:r w:rsidRPr="00724C91">
              <w:rPr>
                <w:rFonts w:eastAsia="Calibri" w:cstheme="minorHAnsi"/>
                <w:i/>
                <w:iCs/>
                <w:sz w:val="15"/>
                <w:szCs w:val="15"/>
                <w:lang w:val="nl-NL"/>
              </w:rPr>
              <w:t xml:space="preserve">L. rhamnosus </w:t>
            </w:r>
            <w:r w:rsidRPr="00724C91">
              <w:rPr>
                <w:rFonts w:eastAsia="Calibri" w:cstheme="minorHAnsi"/>
                <w:sz w:val="15"/>
                <w:szCs w:val="15"/>
                <w:lang w:val="nl-NL"/>
              </w:rPr>
              <w:t>GR-1)</w:t>
            </w:r>
          </w:p>
        </w:tc>
        <w:tc>
          <w:tcPr>
            <w:tcW w:w="1170" w:type="dxa"/>
            <w:tcBorders>
              <w:top w:val="nil"/>
              <w:left w:val="nil"/>
              <w:bottom w:val="nil"/>
              <w:right w:val="nil"/>
            </w:tcBorders>
            <w:hideMark/>
          </w:tcPr>
          <w:p w:rsidR="000671A7" w:rsidRPr="00724C91" w:rsidRDefault="000671A7" w:rsidP="00537DBF">
            <w:pPr>
              <w:spacing w:after="0"/>
              <w:rPr>
                <w:rFonts w:eastAsia="Calibri" w:cstheme="minorHAnsi"/>
                <w:b/>
                <w:sz w:val="15"/>
                <w:szCs w:val="15"/>
              </w:rPr>
            </w:pPr>
            <w:r w:rsidRPr="00724C91">
              <w:rPr>
                <w:rFonts w:eastAsia="Calibri" w:cstheme="minorHAnsi"/>
                <w:sz w:val="15"/>
                <w:szCs w:val="15"/>
              </w:rPr>
              <w:t>Randomised controlled cross-over trial: placebo control</w:t>
            </w:r>
          </w:p>
        </w:tc>
        <w:tc>
          <w:tcPr>
            <w:tcW w:w="56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 xml:space="preserve">In women with Nugent 4-6, 3 days of GR-1/RC-14 use (without any antibiotic) did not result in more women with Nugent score improvement compared to placebo use (2/10 and 0/10 improved one day after use, and 2/9 and 1/8 improved 8 days after use). However, the </w:t>
            </w:r>
            <w:r w:rsidRPr="00724C91">
              <w:rPr>
                <w:rFonts w:eastAsia="Calibri" w:cstheme="minorHAnsi"/>
                <w:i/>
                <w:sz w:val="15"/>
                <w:szCs w:val="15"/>
              </w:rPr>
              <w:t>Lactobacillus</w:t>
            </w:r>
            <w:r w:rsidRPr="00724C91">
              <w:rPr>
                <w:rFonts w:eastAsia="Calibri" w:cstheme="minorHAnsi"/>
                <w:sz w:val="15"/>
                <w:szCs w:val="15"/>
              </w:rPr>
              <w:t xml:space="preserve"> relative abundance was significantly increased, and </w:t>
            </w:r>
            <w:r w:rsidRPr="00724C91">
              <w:rPr>
                <w:rFonts w:eastAsia="Calibri" w:cstheme="minorHAnsi"/>
                <w:i/>
                <w:sz w:val="15"/>
                <w:szCs w:val="15"/>
              </w:rPr>
              <w:t>Atopobium</w:t>
            </w:r>
            <w:r w:rsidRPr="00724C91">
              <w:rPr>
                <w:rFonts w:eastAsia="Calibri" w:cstheme="minorHAnsi"/>
                <w:sz w:val="15"/>
                <w:szCs w:val="15"/>
              </w:rPr>
              <w:t xml:space="preserve"> relative abundance significantly decreased, one day after use.</w:t>
            </w:r>
          </w:p>
        </w:tc>
      </w:tr>
      <w:tr w:rsidR="00AD2736" w:rsidRPr="00724C91" w:rsidTr="00537DBF">
        <w:tc>
          <w:tcPr>
            <w:tcW w:w="90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Verdenelli</w:t>
            </w:r>
            <w:r w:rsidRPr="00724C91">
              <w:rPr>
                <w:rFonts w:cstheme="minorHAnsi"/>
                <w:sz w:val="15"/>
                <w:szCs w:val="15"/>
                <w:vertAlign w:val="superscript"/>
              </w:rPr>
              <w:t>27</w:t>
            </w:r>
          </w:p>
        </w:tc>
        <w:tc>
          <w:tcPr>
            <w:tcW w:w="1530" w:type="dxa"/>
            <w:tcBorders>
              <w:top w:val="nil"/>
              <w:left w:val="nil"/>
              <w:bottom w:val="nil"/>
              <w:right w:val="nil"/>
            </w:tcBorders>
            <w:hideMark/>
          </w:tcPr>
          <w:p w:rsidR="000671A7" w:rsidRPr="00724C91" w:rsidRDefault="000671A7" w:rsidP="00537DBF">
            <w:pPr>
              <w:spacing w:after="0"/>
              <w:rPr>
                <w:rFonts w:eastAsia="Calibri" w:cstheme="minorHAnsi"/>
                <w:b/>
                <w:sz w:val="15"/>
                <w:szCs w:val="15"/>
              </w:rPr>
            </w:pPr>
            <w:r w:rsidRPr="00724C91">
              <w:rPr>
                <w:rFonts w:eastAsia="Calibri" w:cstheme="minorHAnsi"/>
                <w:sz w:val="15"/>
                <w:szCs w:val="15"/>
              </w:rPr>
              <w:t>SYNBIO gin (</w:t>
            </w:r>
            <w:r w:rsidRPr="00724C91">
              <w:rPr>
                <w:rFonts w:eastAsia="Calibri" w:cstheme="minorHAnsi"/>
                <w:i/>
                <w:iCs/>
                <w:sz w:val="15"/>
                <w:szCs w:val="15"/>
              </w:rPr>
              <w:t>L. rhamnosus</w:t>
            </w:r>
            <w:r w:rsidRPr="00724C91">
              <w:rPr>
                <w:rFonts w:eastAsia="Calibri" w:cstheme="minorHAnsi"/>
                <w:sz w:val="15"/>
                <w:szCs w:val="15"/>
              </w:rPr>
              <w:t xml:space="preserve"> IMC 501 + </w:t>
            </w:r>
            <w:r w:rsidRPr="00724C91">
              <w:rPr>
                <w:rFonts w:eastAsia="Calibri" w:cstheme="minorHAnsi"/>
                <w:i/>
                <w:iCs/>
                <w:sz w:val="15"/>
                <w:szCs w:val="15"/>
              </w:rPr>
              <w:t xml:space="preserve">L. paracasei </w:t>
            </w:r>
            <w:r w:rsidRPr="00724C91">
              <w:rPr>
                <w:rFonts w:eastAsia="Calibri" w:cstheme="minorHAnsi"/>
                <w:sz w:val="15"/>
                <w:szCs w:val="15"/>
              </w:rPr>
              <w:t>IMC 502)</w:t>
            </w:r>
          </w:p>
        </w:tc>
        <w:tc>
          <w:tcPr>
            <w:tcW w:w="1170" w:type="dxa"/>
            <w:tcBorders>
              <w:top w:val="nil"/>
              <w:left w:val="nil"/>
              <w:bottom w:val="nil"/>
              <w:right w:val="nil"/>
            </w:tcBorders>
            <w:hideMark/>
          </w:tcPr>
          <w:p w:rsidR="000671A7" w:rsidRPr="00724C91" w:rsidRDefault="000671A7" w:rsidP="00537DBF">
            <w:pPr>
              <w:spacing w:after="0"/>
              <w:rPr>
                <w:rFonts w:eastAsia="Calibri" w:cstheme="minorHAnsi"/>
                <w:b/>
                <w:sz w:val="15"/>
                <w:szCs w:val="15"/>
              </w:rPr>
            </w:pPr>
            <w:r w:rsidRPr="00724C91">
              <w:rPr>
                <w:rFonts w:eastAsia="Calibri" w:cstheme="minorHAnsi"/>
                <w:sz w:val="15"/>
                <w:szCs w:val="15"/>
              </w:rPr>
              <w:t>Pre-/post-intervention study</w:t>
            </w:r>
          </w:p>
        </w:tc>
        <w:tc>
          <w:tcPr>
            <w:tcW w:w="56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 xml:space="preserve">In women with Nugent 0-6, 7 days of SYNBIO gin (without any antibiotic) resulted in a significantly higher proportion of women with Nugent 0-3 directly after therapy (28/35 versus 21/35 at baseline), and this persisted for 21 days after cessation of therapy (28/35 still had Nugent 0-3; insufficient data for McNemar testing). SYNBIO gin use also resulted in a significant increase in </w:t>
            </w:r>
            <w:r w:rsidRPr="00724C91">
              <w:rPr>
                <w:rFonts w:eastAsia="Calibri" w:cstheme="minorHAnsi"/>
                <w:i/>
                <w:sz w:val="15"/>
                <w:szCs w:val="15"/>
              </w:rPr>
              <w:t>Lactobacillus</w:t>
            </w:r>
            <w:r w:rsidRPr="00724C91">
              <w:rPr>
                <w:rFonts w:eastAsia="Calibri" w:cstheme="minorHAnsi"/>
                <w:sz w:val="15"/>
                <w:szCs w:val="15"/>
              </w:rPr>
              <w:t xml:space="preserve"> concentration (p&lt;0.01).</w:t>
            </w:r>
          </w:p>
        </w:tc>
      </w:tr>
      <w:tr w:rsidR="00AD2736" w:rsidRPr="00724C91" w:rsidTr="00537DBF">
        <w:tc>
          <w:tcPr>
            <w:tcW w:w="90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Bohbot</w:t>
            </w:r>
            <w:r w:rsidRPr="00724C91">
              <w:rPr>
                <w:rFonts w:cstheme="minorHAnsi"/>
                <w:sz w:val="15"/>
                <w:szCs w:val="15"/>
                <w:vertAlign w:val="superscript"/>
              </w:rPr>
              <w:t>28</w:t>
            </w:r>
          </w:p>
        </w:tc>
        <w:tc>
          <w:tcPr>
            <w:tcW w:w="153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Physioflor (</w:t>
            </w:r>
            <w:r w:rsidRPr="00724C91">
              <w:rPr>
                <w:rFonts w:eastAsia="Calibri" w:cstheme="minorHAnsi"/>
                <w:i/>
                <w:iCs/>
                <w:sz w:val="15"/>
                <w:szCs w:val="15"/>
              </w:rPr>
              <w:t xml:space="preserve">L. crispatus </w:t>
            </w:r>
            <w:r w:rsidRPr="00724C91">
              <w:rPr>
                <w:rFonts w:eastAsia="Calibri" w:cstheme="minorHAnsi"/>
                <w:sz w:val="15"/>
                <w:szCs w:val="15"/>
              </w:rPr>
              <w:t>IP 174178)</w:t>
            </w:r>
          </w:p>
        </w:tc>
        <w:tc>
          <w:tcPr>
            <w:tcW w:w="11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RCT: placebo control</w:t>
            </w:r>
          </w:p>
        </w:tc>
        <w:tc>
          <w:tcPr>
            <w:tcW w:w="56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Physioflor for 14 days immediately after metronidazole therapy, plus 14 days in three subsequent menstrual cycles, resulted in significantly lower BV cumulative incidence (Nugent 7-10), and time to BV recurrence, compared to placebo (8/39 and 16/39 had at least one recurrence, respectively). However, the effects disappeared 84 days after product cessation (p=0.922, absolute numbers not given).</w:t>
            </w:r>
          </w:p>
        </w:tc>
      </w:tr>
      <w:tr w:rsidR="00AD2736" w:rsidRPr="00724C91" w:rsidTr="00537DBF">
        <w:tc>
          <w:tcPr>
            <w:tcW w:w="900" w:type="dxa"/>
            <w:tcBorders>
              <w:top w:val="nil"/>
              <w:left w:val="nil"/>
              <w:bottom w:val="single" w:sz="12" w:space="0" w:color="auto"/>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Rapisarda</w:t>
            </w:r>
            <w:r w:rsidRPr="00724C91">
              <w:rPr>
                <w:rFonts w:cstheme="minorHAnsi"/>
                <w:sz w:val="15"/>
                <w:szCs w:val="15"/>
                <w:vertAlign w:val="superscript"/>
              </w:rPr>
              <w:t>29</w:t>
            </w:r>
          </w:p>
        </w:tc>
        <w:tc>
          <w:tcPr>
            <w:tcW w:w="1530" w:type="dxa"/>
            <w:tcBorders>
              <w:top w:val="nil"/>
              <w:left w:val="nil"/>
              <w:bottom w:val="single" w:sz="12" w:space="0" w:color="auto"/>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i/>
                <w:iCs/>
                <w:sz w:val="15"/>
                <w:szCs w:val="15"/>
              </w:rPr>
              <w:t xml:space="preserve">L. acidophilus </w:t>
            </w:r>
            <w:r w:rsidRPr="00724C91">
              <w:rPr>
                <w:rFonts w:eastAsia="Calibri" w:cstheme="minorHAnsi"/>
                <w:sz w:val="15"/>
                <w:szCs w:val="15"/>
              </w:rPr>
              <w:t>LA14</w:t>
            </w:r>
          </w:p>
        </w:tc>
        <w:tc>
          <w:tcPr>
            <w:tcW w:w="1170" w:type="dxa"/>
            <w:tcBorders>
              <w:top w:val="nil"/>
              <w:left w:val="nil"/>
              <w:bottom w:val="single" w:sz="12" w:space="0" w:color="auto"/>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Pre-/post-intervention study</w:t>
            </w:r>
          </w:p>
        </w:tc>
        <w:tc>
          <w:tcPr>
            <w:tcW w:w="5670" w:type="dxa"/>
            <w:tcBorders>
              <w:top w:val="nil"/>
              <w:left w:val="nil"/>
              <w:bottom w:val="single" w:sz="12" w:space="0" w:color="auto"/>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 xml:space="preserve">In women with Nugent 4-10, 14 days of </w:t>
            </w:r>
            <w:r w:rsidRPr="00724C91">
              <w:rPr>
                <w:rFonts w:eastAsia="Calibri" w:cstheme="minorHAnsi"/>
                <w:i/>
                <w:sz w:val="15"/>
                <w:szCs w:val="15"/>
              </w:rPr>
              <w:t>L. acidophilus</w:t>
            </w:r>
            <w:r w:rsidRPr="00724C91">
              <w:rPr>
                <w:rFonts w:eastAsia="Calibri" w:cstheme="minorHAnsi"/>
                <w:sz w:val="15"/>
                <w:szCs w:val="15"/>
              </w:rPr>
              <w:t xml:space="preserve"> LA14 use (without any antibiotic) resulted in 46/60 women cured (Nugent 0-3) at the end of therapy, and this persisted for 28 days after product cessation (50/60).</w:t>
            </w:r>
          </w:p>
        </w:tc>
      </w:tr>
    </w:tbl>
    <w:p w:rsidR="000671A7" w:rsidRPr="00724C91" w:rsidRDefault="000671A7" w:rsidP="000671A7">
      <w:pPr>
        <w:spacing w:after="0"/>
        <w:rPr>
          <w:rFonts w:eastAsia="Calibri" w:cstheme="minorHAnsi"/>
        </w:rPr>
      </w:pPr>
      <w:bookmarkStart w:id="1" w:name="_Hlk6996255"/>
      <w:r w:rsidRPr="00724C91">
        <w:rPr>
          <w:rFonts w:eastAsia="Calibri" w:cstheme="minorHAnsi"/>
          <w:b/>
        </w:rPr>
        <w:lastRenderedPageBreak/>
        <w:t>Table 2: Summary of VVC study results</w:t>
      </w:r>
      <w:r w:rsidRPr="00724C91">
        <w:rPr>
          <w:rFonts w:eastAsia="Calibri" w:cstheme="minorHAnsi"/>
        </w:rPr>
        <w:t xml:space="preserve">. </w:t>
      </w:r>
    </w:p>
    <w:p w:rsidR="000671A7" w:rsidRPr="00724C91" w:rsidRDefault="000671A7" w:rsidP="000671A7">
      <w:pPr>
        <w:spacing w:after="0"/>
        <w:rPr>
          <w:rFonts w:eastAsia="Calibri" w:cstheme="minorHAnsi"/>
        </w:rPr>
      </w:pPr>
      <w:r w:rsidRPr="00724C91">
        <w:rPr>
          <w:rFonts w:eastAsia="Calibri" w:cstheme="minorHAnsi"/>
          <w:i/>
        </w:rPr>
        <w:t>BV</w:t>
      </w:r>
      <w:r w:rsidRPr="00724C91">
        <w:rPr>
          <w:rFonts w:eastAsia="Calibri" w:cstheme="minorHAnsi"/>
        </w:rPr>
        <w:t xml:space="preserve"> bacterial vaginosis, </w:t>
      </w:r>
      <w:r w:rsidRPr="00724C91">
        <w:rPr>
          <w:rFonts w:eastAsia="Calibri" w:cstheme="minorHAnsi"/>
          <w:i/>
        </w:rPr>
        <w:t>UTI</w:t>
      </w:r>
      <w:r w:rsidRPr="00724C91">
        <w:rPr>
          <w:rFonts w:eastAsia="Calibri" w:cstheme="minorHAnsi"/>
        </w:rPr>
        <w:t xml:space="preserve"> urinary tract infection, </w:t>
      </w:r>
      <w:r w:rsidRPr="00724C91">
        <w:rPr>
          <w:rFonts w:eastAsia="Calibri" w:cstheme="minorHAnsi"/>
          <w:i/>
        </w:rPr>
        <w:t>VMB</w:t>
      </w:r>
      <w:r w:rsidRPr="00724C91">
        <w:rPr>
          <w:rFonts w:eastAsia="Calibri" w:cstheme="minorHAnsi"/>
        </w:rPr>
        <w:t xml:space="preserve"> vaginal microbiome, </w:t>
      </w:r>
      <w:r w:rsidRPr="00724C91">
        <w:rPr>
          <w:rFonts w:eastAsia="Calibri" w:cstheme="minorHAnsi"/>
          <w:i/>
        </w:rPr>
        <w:t>VVC</w:t>
      </w:r>
      <w:r w:rsidRPr="00724C91">
        <w:rPr>
          <w:rFonts w:eastAsia="Calibri" w:cstheme="minorHAnsi"/>
        </w:rPr>
        <w:t xml:space="preserve"> vulvovaginal candidiasis.</w:t>
      </w:r>
    </w:p>
    <w:p w:rsidR="000671A7" w:rsidRPr="00724C91" w:rsidRDefault="000671A7" w:rsidP="000671A7">
      <w:pPr>
        <w:spacing w:after="0"/>
        <w:rPr>
          <w:rFonts w:eastAsia="Calibri" w:cstheme="minorHAnsi"/>
        </w:rPr>
      </w:pPr>
      <w:r w:rsidRPr="00724C91">
        <w:rPr>
          <w:rFonts w:eastAsia="Calibri" w:cstheme="minorHAnsi"/>
        </w:rPr>
        <w:t xml:space="preserve">Main results of the studies with VVC cure and/or incidence (by culture or wet mount) endpoints. None of the studies used </w:t>
      </w:r>
      <w:r w:rsidRPr="00724C91">
        <w:rPr>
          <w:rFonts w:eastAsia="Calibri" w:cstheme="minorHAnsi"/>
          <w:i/>
        </w:rPr>
        <w:t>Candida</w:t>
      </w:r>
      <w:r w:rsidRPr="00724C91">
        <w:rPr>
          <w:rFonts w:eastAsia="Calibri" w:cstheme="minorHAnsi"/>
        </w:rPr>
        <w:t xml:space="preserve"> PCR: 12 results in 12 studies. </w:t>
      </w:r>
    </w:p>
    <w:tbl>
      <w:tblPr>
        <w:tblStyle w:val="TableGrid1"/>
        <w:tblW w:w="0" w:type="dxa"/>
        <w:tblInd w:w="-95"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070"/>
        <w:gridCol w:w="1170"/>
        <w:gridCol w:w="4860"/>
      </w:tblGrid>
      <w:tr w:rsidR="00AD2736" w:rsidRPr="00724C91" w:rsidTr="00537DBF">
        <w:trPr>
          <w:tblHeader/>
        </w:trPr>
        <w:tc>
          <w:tcPr>
            <w:tcW w:w="1080" w:type="dxa"/>
            <w:tcBorders>
              <w:top w:val="single" w:sz="12" w:space="0" w:color="auto"/>
              <w:left w:val="nil"/>
              <w:bottom w:val="single" w:sz="4" w:space="0" w:color="auto"/>
              <w:right w:val="nil"/>
            </w:tcBorders>
            <w:hideMark/>
          </w:tcPr>
          <w:bookmarkEnd w:id="1"/>
          <w:p w:rsidR="000671A7" w:rsidRPr="00724C91" w:rsidRDefault="000671A7" w:rsidP="00537DBF">
            <w:pPr>
              <w:spacing w:after="0"/>
              <w:ind w:right="-120" w:hanging="15"/>
              <w:rPr>
                <w:rFonts w:eastAsia="Calibri" w:cstheme="minorHAnsi"/>
                <w:b/>
                <w:sz w:val="15"/>
                <w:szCs w:val="15"/>
              </w:rPr>
            </w:pPr>
            <w:r w:rsidRPr="00724C91">
              <w:rPr>
                <w:rFonts w:eastAsia="Calibri" w:cstheme="minorHAnsi"/>
                <w:b/>
                <w:sz w:val="15"/>
                <w:szCs w:val="15"/>
              </w:rPr>
              <w:t>Reference</w:t>
            </w:r>
          </w:p>
        </w:tc>
        <w:tc>
          <w:tcPr>
            <w:tcW w:w="2070" w:type="dxa"/>
            <w:tcBorders>
              <w:top w:val="single" w:sz="12" w:space="0" w:color="auto"/>
              <w:left w:val="nil"/>
              <w:bottom w:val="single" w:sz="4" w:space="0" w:color="auto"/>
              <w:right w:val="nil"/>
            </w:tcBorders>
            <w:hideMark/>
          </w:tcPr>
          <w:p w:rsidR="000671A7" w:rsidRPr="00724C91" w:rsidRDefault="000671A7" w:rsidP="00537DBF">
            <w:pPr>
              <w:spacing w:after="0"/>
              <w:jc w:val="center"/>
              <w:rPr>
                <w:rFonts w:eastAsia="Calibri" w:cstheme="minorHAnsi"/>
                <w:b/>
                <w:sz w:val="15"/>
                <w:szCs w:val="15"/>
              </w:rPr>
            </w:pPr>
            <w:r w:rsidRPr="00724C91">
              <w:rPr>
                <w:rFonts w:eastAsia="Calibri" w:cstheme="minorHAnsi"/>
                <w:b/>
                <w:sz w:val="15"/>
                <w:szCs w:val="15"/>
              </w:rPr>
              <w:t>Probiotic</w:t>
            </w:r>
          </w:p>
        </w:tc>
        <w:tc>
          <w:tcPr>
            <w:tcW w:w="1170" w:type="dxa"/>
            <w:tcBorders>
              <w:top w:val="single" w:sz="12" w:space="0" w:color="auto"/>
              <w:left w:val="nil"/>
              <w:bottom w:val="single" w:sz="4" w:space="0" w:color="auto"/>
              <w:right w:val="nil"/>
            </w:tcBorders>
            <w:hideMark/>
          </w:tcPr>
          <w:p w:rsidR="000671A7" w:rsidRPr="00724C91" w:rsidRDefault="000671A7" w:rsidP="00537DBF">
            <w:pPr>
              <w:spacing w:after="0"/>
              <w:ind w:right="-110" w:hanging="109"/>
              <w:jc w:val="center"/>
              <w:rPr>
                <w:rFonts w:eastAsia="Calibri" w:cstheme="minorHAnsi"/>
                <w:b/>
                <w:sz w:val="15"/>
                <w:szCs w:val="15"/>
              </w:rPr>
            </w:pPr>
            <w:r w:rsidRPr="00724C91">
              <w:rPr>
                <w:rFonts w:eastAsia="Calibri" w:cstheme="minorHAnsi"/>
                <w:b/>
                <w:sz w:val="15"/>
                <w:szCs w:val="15"/>
              </w:rPr>
              <w:t>Study design</w:t>
            </w:r>
          </w:p>
        </w:tc>
        <w:tc>
          <w:tcPr>
            <w:tcW w:w="4860" w:type="dxa"/>
            <w:tcBorders>
              <w:top w:val="single" w:sz="12" w:space="0" w:color="auto"/>
              <w:left w:val="nil"/>
              <w:bottom w:val="single" w:sz="4" w:space="0" w:color="auto"/>
              <w:right w:val="nil"/>
            </w:tcBorders>
            <w:hideMark/>
          </w:tcPr>
          <w:p w:rsidR="000671A7" w:rsidRPr="00724C91" w:rsidRDefault="000671A7" w:rsidP="00537DBF">
            <w:pPr>
              <w:spacing w:after="0"/>
              <w:jc w:val="center"/>
              <w:rPr>
                <w:rFonts w:eastAsia="Calibri" w:cstheme="minorHAnsi"/>
                <w:b/>
                <w:sz w:val="15"/>
                <w:szCs w:val="15"/>
              </w:rPr>
            </w:pPr>
            <w:r w:rsidRPr="00724C91">
              <w:rPr>
                <w:rFonts w:eastAsia="Calibri" w:cstheme="minorHAnsi"/>
                <w:b/>
                <w:sz w:val="15"/>
                <w:szCs w:val="15"/>
              </w:rPr>
              <w:t>Results</w:t>
            </w:r>
          </w:p>
        </w:tc>
      </w:tr>
      <w:tr w:rsidR="00AD2736" w:rsidRPr="00724C91" w:rsidTr="00537DBF">
        <w:tc>
          <w:tcPr>
            <w:tcW w:w="9180" w:type="dxa"/>
            <w:gridSpan w:val="4"/>
            <w:tcBorders>
              <w:top w:val="single" w:sz="4" w:space="0" w:color="auto"/>
              <w:left w:val="nil"/>
              <w:bottom w:val="nil"/>
              <w:right w:val="nil"/>
            </w:tcBorders>
            <w:hideMark/>
          </w:tcPr>
          <w:p w:rsidR="000671A7" w:rsidRPr="00724C91" w:rsidRDefault="000671A7" w:rsidP="00537DBF">
            <w:pPr>
              <w:spacing w:after="0"/>
              <w:rPr>
                <w:rFonts w:eastAsia="Calibri" w:cstheme="minorHAnsi"/>
                <w:b/>
                <w:i/>
                <w:sz w:val="15"/>
                <w:szCs w:val="15"/>
              </w:rPr>
            </w:pPr>
            <w:r w:rsidRPr="00724C91">
              <w:rPr>
                <w:rFonts w:eastAsia="Calibri" w:cstheme="minorHAnsi"/>
                <w:b/>
                <w:i/>
                <w:sz w:val="15"/>
                <w:szCs w:val="15"/>
              </w:rPr>
              <w:t>Articles with a medium overall risk of bias</w:t>
            </w:r>
          </w:p>
        </w:tc>
      </w:tr>
      <w:tr w:rsidR="00AD2736" w:rsidRPr="00724C91" w:rsidTr="00537DBF">
        <w:trPr>
          <w:trHeight w:val="692"/>
        </w:trPr>
        <w:tc>
          <w:tcPr>
            <w:tcW w:w="108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Czaja</w:t>
            </w:r>
            <w:r w:rsidRPr="00724C91">
              <w:rPr>
                <w:rFonts w:cstheme="minorHAnsi"/>
                <w:sz w:val="15"/>
                <w:szCs w:val="15"/>
                <w:vertAlign w:val="superscript"/>
              </w:rPr>
              <w:t>30</w:t>
            </w:r>
          </w:p>
        </w:tc>
        <w:tc>
          <w:tcPr>
            <w:tcW w:w="20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i/>
                <w:iCs/>
                <w:sz w:val="15"/>
                <w:szCs w:val="15"/>
              </w:rPr>
              <w:t xml:space="preserve">L. crispatus </w:t>
            </w:r>
            <w:r w:rsidRPr="00724C91">
              <w:rPr>
                <w:rFonts w:eastAsia="Calibri" w:cstheme="minorHAnsi"/>
                <w:sz w:val="15"/>
                <w:szCs w:val="15"/>
              </w:rPr>
              <w:t>CTV-05 (not Lactin-V)</w:t>
            </w:r>
          </w:p>
        </w:tc>
        <w:tc>
          <w:tcPr>
            <w:tcW w:w="1170" w:type="dxa"/>
            <w:tcBorders>
              <w:top w:val="nil"/>
              <w:left w:val="nil"/>
              <w:bottom w:val="nil"/>
              <w:right w:val="nil"/>
            </w:tcBorders>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RCT: placebo control</w:t>
            </w:r>
          </w:p>
          <w:p w:rsidR="000671A7" w:rsidRPr="00724C91" w:rsidRDefault="000671A7" w:rsidP="00537DBF">
            <w:pPr>
              <w:spacing w:after="0"/>
              <w:rPr>
                <w:rFonts w:eastAsia="Calibri" w:cstheme="minorHAnsi"/>
                <w:sz w:val="15"/>
                <w:szCs w:val="15"/>
              </w:rPr>
            </w:pPr>
          </w:p>
        </w:tc>
        <w:tc>
          <w:tcPr>
            <w:tcW w:w="486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 xml:space="preserve">In women with a history of recurrent UTI but without current dysuria, 5 days of </w:t>
            </w:r>
            <w:r w:rsidRPr="00724C91">
              <w:rPr>
                <w:rFonts w:eastAsia="Calibri" w:cstheme="minorHAnsi"/>
                <w:i/>
                <w:sz w:val="15"/>
                <w:szCs w:val="15"/>
              </w:rPr>
              <w:t>L. crispatus</w:t>
            </w:r>
            <w:r w:rsidRPr="00724C91">
              <w:rPr>
                <w:rFonts w:eastAsia="Calibri" w:cstheme="minorHAnsi"/>
                <w:sz w:val="15"/>
                <w:szCs w:val="15"/>
              </w:rPr>
              <w:t xml:space="preserve"> CTV-05 use resulted in a similar VVC cumulative incidence (4/15) compared to placebo use (2/15) up to 25 days after cessation of use.</w:t>
            </w:r>
          </w:p>
        </w:tc>
      </w:tr>
      <w:tr w:rsidR="00AD2736" w:rsidRPr="00724C91" w:rsidTr="00537DBF">
        <w:tc>
          <w:tcPr>
            <w:tcW w:w="9180" w:type="dxa"/>
            <w:gridSpan w:val="4"/>
            <w:tcBorders>
              <w:top w:val="nil"/>
              <w:left w:val="nil"/>
              <w:bottom w:val="nil"/>
              <w:right w:val="nil"/>
            </w:tcBorders>
            <w:hideMark/>
          </w:tcPr>
          <w:p w:rsidR="000671A7" w:rsidRPr="00724C91" w:rsidRDefault="000671A7" w:rsidP="00537DBF">
            <w:pPr>
              <w:spacing w:after="0"/>
              <w:rPr>
                <w:rFonts w:eastAsia="Calibri" w:cstheme="minorHAnsi"/>
                <w:b/>
                <w:i/>
                <w:sz w:val="15"/>
                <w:szCs w:val="15"/>
              </w:rPr>
            </w:pPr>
            <w:r w:rsidRPr="00724C91">
              <w:rPr>
                <w:rFonts w:eastAsia="Calibri" w:cstheme="minorHAnsi"/>
                <w:b/>
                <w:i/>
                <w:sz w:val="15"/>
                <w:szCs w:val="15"/>
              </w:rPr>
              <w:t>Articles with a high overall risk of bias</w:t>
            </w:r>
          </w:p>
        </w:tc>
      </w:tr>
      <w:tr w:rsidR="00AD2736" w:rsidRPr="00724C91" w:rsidTr="00537DBF">
        <w:tc>
          <w:tcPr>
            <w:tcW w:w="108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Özmen</w:t>
            </w:r>
            <w:r w:rsidRPr="00724C91">
              <w:rPr>
                <w:rFonts w:cstheme="minorHAnsi"/>
                <w:sz w:val="15"/>
                <w:szCs w:val="15"/>
                <w:vertAlign w:val="superscript"/>
              </w:rPr>
              <w:t>31</w:t>
            </w:r>
          </w:p>
        </w:tc>
        <w:tc>
          <w:tcPr>
            <w:tcW w:w="20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Gynoflor (</w:t>
            </w:r>
            <w:r w:rsidRPr="00724C91">
              <w:rPr>
                <w:rFonts w:eastAsia="Calibri" w:cstheme="minorHAnsi"/>
                <w:i/>
                <w:iCs/>
                <w:sz w:val="15"/>
                <w:szCs w:val="15"/>
              </w:rPr>
              <w:t xml:space="preserve">L. acidophilus </w:t>
            </w:r>
            <w:r w:rsidRPr="00724C91">
              <w:rPr>
                <w:rFonts w:eastAsia="Calibri" w:cstheme="minorHAnsi"/>
                <w:sz w:val="15"/>
                <w:szCs w:val="15"/>
              </w:rPr>
              <w:t>KS400</w:t>
            </w:r>
            <w:r w:rsidRPr="00724C91">
              <w:rPr>
                <w:rFonts w:eastAsia="Calibri" w:cstheme="minorHAnsi"/>
                <w:i/>
                <w:iCs/>
                <w:sz w:val="15"/>
                <w:szCs w:val="15"/>
              </w:rPr>
              <w:t xml:space="preserve"> </w:t>
            </w:r>
            <w:r w:rsidRPr="00724C91">
              <w:rPr>
                <w:rFonts w:eastAsia="Calibri" w:cstheme="minorHAnsi"/>
                <w:sz w:val="15"/>
                <w:szCs w:val="15"/>
              </w:rPr>
              <w:t>+ 0.03mg oestriol)</w:t>
            </w:r>
          </w:p>
        </w:tc>
        <w:tc>
          <w:tcPr>
            <w:tcW w:w="1170" w:type="dxa"/>
            <w:tcBorders>
              <w:top w:val="nil"/>
              <w:left w:val="nil"/>
              <w:bottom w:val="nil"/>
              <w:right w:val="nil"/>
            </w:tcBorders>
            <w:hideMark/>
          </w:tcPr>
          <w:p w:rsidR="000671A7" w:rsidRPr="00724C91" w:rsidRDefault="000671A7" w:rsidP="00537DBF">
            <w:pPr>
              <w:tabs>
                <w:tab w:val="left" w:pos="790"/>
              </w:tabs>
              <w:spacing w:after="0"/>
              <w:ind w:right="-110"/>
              <w:rPr>
                <w:rFonts w:eastAsia="Calibri" w:cstheme="minorHAnsi"/>
                <w:sz w:val="15"/>
                <w:szCs w:val="15"/>
              </w:rPr>
            </w:pPr>
            <w:r w:rsidRPr="00724C91">
              <w:rPr>
                <w:rFonts w:eastAsia="Calibri" w:cstheme="minorHAnsi"/>
                <w:sz w:val="15"/>
                <w:szCs w:val="15"/>
              </w:rPr>
              <w:t>Pre-/post-intervention study in three separate, non-randomised groups</w:t>
            </w:r>
          </w:p>
        </w:tc>
        <w:tc>
          <w:tcPr>
            <w:tcW w:w="486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12 days of Gynoflor with or without metronidazole, compared to metronidazole alone (to treat BV), resulted in significantly lower cumulative VVC incidence (3/96 and 2/97, versus 14/114, respectively) in the 10-13 days after cessation of use.</w:t>
            </w:r>
          </w:p>
        </w:tc>
      </w:tr>
      <w:tr w:rsidR="00AD2736" w:rsidRPr="00724C91" w:rsidTr="00537DBF">
        <w:tc>
          <w:tcPr>
            <w:tcW w:w="108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Pirotta</w:t>
            </w:r>
            <w:r w:rsidRPr="00724C91">
              <w:rPr>
                <w:rFonts w:cstheme="minorHAnsi"/>
                <w:sz w:val="15"/>
                <w:szCs w:val="15"/>
                <w:vertAlign w:val="superscript"/>
              </w:rPr>
              <w:t>32</w:t>
            </w:r>
          </w:p>
        </w:tc>
        <w:tc>
          <w:tcPr>
            <w:tcW w:w="20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 xml:space="preserve">Femilac </w:t>
            </w:r>
            <w:r w:rsidRPr="00724C91">
              <w:rPr>
                <w:rFonts w:eastAsia="Calibri" w:cstheme="minorHAnsi"/>
                <w:i/>
                <w:iCs/>
                <w:sz w:val="15"/>
                <w:szCs w:val="15"/>
              </w:rPr>
              <w:t xml:space="preserve">(L. rhamnosus </w:t>
            </w:r>
            <w:r w:rsidRPr="00724C91">
              <w:rPr>
                <w:rFonts w:eastAsia="Calibri" w:cstheme="minorHAnsi"/>
                <w:sz w:val="15"/>
                <w:szCs w:val="15"/>
              </w:rPr>
              <w:t xml:space="preserve">+ </w:t>
            </w:r>
            <w:r w:rsidRPr="00724C91">
              <w:rPr>
                <w:rFonts w:eastAsia="Calibri" w:cstheme="minorHAnsi"/>
                <w:i/>
                <w:iCs/>
                <w:sz w:val="15"/>
                <w:szCs w:val="15"/>
              </w:rPr>
              <w:t xml:space="preserve">L. delbrueckki </w:t>
            </w:r>
            <w:r w:rsidRPr="00724C91">
              <w:rPr>
                <w:rFonts w:eastAsia="Calibri" w:cstheme="minorHAnsi"/>
                <w:sz w:val="15"/>
                <w:szCs w:val="15"/>
              </w:rPr>
              <w:t xml:space="preserve">+ </w:t>
            </w:r>
            <w:r w:rsidRPr="00724C91">
              <w:rPr>
                <w:rFonts w:eastAsia="Calibri" w:cstheme="minorHAnsi"/>
                <w:i/>
                <w:iCs/>
                <w:sz w:val="15"/>
                <w:szCs w:val="15"/>
              </w:rPr>
              <w:t xml:space="preserve">L. acidophilus </w:t>
            </w:r>
            <w:r w:rsidRPr="00724C91">
              <w:rPr>
                <w:rFonts w:eastAsia="Calibri" w:cstheme="minorHAnsi"/>
                <w:sz w:val="15"/>
                <w:szCs w:val="15"/>
              </w:rPr>
              <w:t xml:space="preserve">+ </w:t>
            </w:r>
            <w:r w:rsidRPr="00724C91">
              <w:rPr>
                <w:rFonts w:eastAsia="Calibri" w:cstheme="minorHAnsi"/>
                <w:i/>
                <w:iCs/>
                <w:sz w:val="15"/>
                <w:szCs w:val="15"/>
              </w:rPr>
              <w:t>S. thermophilus</w:t>
            </w:r>
            <w:r w:rsidRPr="00724C91">
              <w:rPr>
                <w:rFonts w:eastAsia="Calibri" w:cstheme="minorHAnsi"/>
                <w:sz w:val="15"/>
                <w:szCs w:val="15"/>
              </w:rPr>
              <w:t>)</w:t>
            </w:r>
          </w:p>
        </w:tc>
        <w:tc>
          <w:tcPr>
            <w:tcW w:w="1170" w:type="dxa"/>
            <w:tcBorders>
              <w:top w:val="nil"/>
              <w:left w:val="nil"/>
              <w:bottom w:val="nil"/>
              <w:right w:val="nil"/>
            </w:tcBorders>
            <w:hideMark/>
          </w:tcPr>
          <w:p w:rsidR="000671A7" w:rsidRPr="00724C91" w:rsidRDefault="000671A7" w:rsidP="00537DBF">
            <w:pPr>
              <w:tabs>
                <w:tab w:val="left" w:pos="790"/>
              </w:tabs>
              <w:spacing w:after="0"/>
              <w:ind w:right="-110"/>
              <w:rPr>
                <w:rFonts w:eastAsia="Calibri" w:cstheme="minorHAnsi"/>
                <w:sz w:val="15"/>
                <w:szCs w:val="15"/>
              </w:rPr>
            </w:pPr>
            <w:r w:rsidRPr="00724C91">
              <w:rPr>
                <w:rFonts w:eastAsia="Calibri" w:cstheme="minorHAnsi"/>
                <w:sz w:val="15"/>
                <w:szCs w:val="15"/>
              </w:rPr>
              <w:t>2x2 factorial design RCT: placebo control</w:t>
            </w:r>
          </w:p>
        </w:tc>
        <w:tc>
          <w:tcPr>
            <w:tcW w:w="486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10 days of Femilac during (6 days) and after (4 days) non-metronidazole antibiotic use, compared to placebo controls, was not effective in reducing VVC incidence within 18 days after cessation of Femilac use (17/59 versus 9/54, respectively).</w:t>
            </w:r>
          </w:p>
        </w:tc>
      </w:tr>
      <w:tr w:rsidR="00AD2736" w:rsidRPr="00724C91" w:rsidTr="00537DBF">
        <w:tc>
          <w:tcPr>
            <w:tcW w:w="108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Di Pierro</w:t>
            </w:r>
            <w:r w:rsidRPr="00724C91">
              <w:rPr>
                <w:rFonts w:cstheme="minorHAnsi"/>
                <w:sz w:val="15"/>
                <w:szCs w:val="15"/>
                <w:vertAlign w:val="superscript"/>
              </w:rPr>
              <w:t>33</w:t>
            </w:r>
          </w:p>
        </w:tc>
        <w:tc>
          <w:tcPr>
            <w:tcW w:w="20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 xml:space="preserve">Kramegin </w:t>
            </w:r>
            <w:r w:rsidRPr="00724C91">
              <w:rPr>
                <w:rFonts w:eastAsia="Calibri" w:cstheme="minorHAnsi"/>
                <w:i/>
                <w:iCs/>
                <w:sz w:val="15"/>
                <w:szCs w:val="15"/>
              </w:rPr>
              <w:t xml:space="preserve">(L. acidophilus </w:t>
            </w:r>
            <w:r w:rsidRPr="00724C91">
              <w:rPr>
                <w:rFonts w:eastAsia="Calibri" w:cstheme="minorHAnsi"/>
                <w:sz w:val="15"/>
                <w:szCs w:val="15"/>
              </w:rPr>
              <w:t xml:space="preserve">+ </w:t>
            </w:r>
            <w:r w:rsidRPr="00724C91">
              <w:rPr>
                <w:rFonts w:eastAsia="Calibri" w:cstheme="minorHAnsi"/>
                <w:i/>
                <w:iCs/>
                <w:sz w:val="15"/>
                <w:szCs w:val="15"/>
              </w:rPr>
              <w:t>Krameria triandra</w:t>
            </w:r>
            <w:r w:rsidRPr="00724C91">
              <w:rPr>
                <w:rFonts w:eastAsia="Calibri" w:cstheme="minorHAnsi"/>
                <w:sz w:val="15"/>
                <w:szCs w:val="15"/>
              </w:rPr>
              <w:t xml:space="preserve"> plant extract + 15mg lactic acid) </w:t>
            </w:r>
          </w:p>
        </w:tc>
        <w:tc>
          <w:tcPr>
            <w:tcW w:w="1170" w:type="dxa"/>
            <w:tcBorders>
              <w:top w:val="nil"/>
              <w:left w:val="nil"/>
              <w:bottom w:val="nil"/>
              <w:right w:val="nil"/>
            </w:tcBorders>
            <w:hideMark/>
          </w:tcPr>
          <w:p w:rsidR="000671A7" w:rsidRPr="00724C91" w:rsidRDefault="000671A7" w:rsidP="00537DBF">
            <w:pPr>
              <w:tabs>
                <w:tab w:val="left" w:pos="790"/>
              </w:tabs>
              <w:spacing w:after="0"/>
              <w:ind w:right="-110"/>
              <w:rPr>
                <w:rFonts w:eastAsia="Calibri" w:cstheme="minorHAnsi"/>
                <w:sz w:val="15"/>
                <w:szCs w:val="15"/>
              </w:rPr>
            </w:pPr>
            <w:r w:rsidRPr="00724C91">
              <w:rPr>
                <w:rFonts w:eastAsia="Calibri" w:cstheme="minorHAnsi"/>
                <w:sz w:val="15"/>
                <w:szCs w:val="15"/>
              </w:rPr>
              <w:t>Pre-/post-intervention study</w:t>
            </w:r>
          </w:p>
        </w:tc>
        <w:tc>
          <w:tcPr>
            <w:tcW w:w="486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10 days of Kramegin (without antifungal) cured 75/75 women with acute VVC, and 20/30 women with recurrent VVC (both significant compared to baseline). Cure was assessed 7 days after last administration.</w:t>
            </w:r>
          </w:p>
        </w:tc>
      </w:tr>
      <w:tr w:rsidR="00AD2736" w:rsidRPr="00724C91" w:rsidTr="00537DBF">
        <w:tc>
          <w:tcPr>
            <w:tcW w:w="108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Witt</w:t>
            </w:r>
            <w:r w:rsidRPr="00724C91">
              <w:rPr>
                <w:rFonts w:cstheme="minorHAnsi"/>
                <w:sz w:val="15"/>
                <w:szCs w:val="15"/>
                <w:vertAlign w:val="superscript"/>
              </w:rPr>
              <w:t>34</w:t>
            </w:r>
          </w:p>
        </w:tc>
        <w:tc>
          <w:tcPr>
            <w:tcW w:w="20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i/>
                <w:iCs/>
                <w:sz w:val="15"/>
                <w:szCs w:val="15"/>
              </w:rPr>
              <w:t>L. gasseri</w:t>
            </w:r>
          </w:p>
        </w:tc>
        <w:tc>
          <w:tcPr>
            <w:tcW w:w="1170" w:type="dxa"/>
            <w:tcBorders>
              <w:top w:val="nil"/>
              <w:left w:val="nil"/>
              <w:bottom w:val="nil"/>
              <w:right w:val="nil"/>
            </w:tcBorders>
            <w:hideMark/>
          </w:tcPr>
          <w:p w:rsidR="000671A7" w:rsidRPr="00724C91" w:rsidRDefault="000671A7" w:rsidP="00537DBF">
            <w:pPr>
              <w:tabs>
                <w:tab w:val="left" w:pos="790"/>
              </w:tabs>
              <w:spacing w:after="0"/>
              <w:ind w:right="-110"/>
              <w:rPr>
                <w:rFonts w:eastAsia="Calibri" w:cstheme="minorHAnsi"/>
                <w:sz w:val="15"/>
                <w:szCs w:val="15"/>
              </w:rPr>
            </w:pPr>
            <w:r w:rsidRPr="00724C91">
              <w:rPr>
                <w:rFonts w:eastAsia="Calibri" w:cstheme="minorHAnsi"/>
                <w:sz w:val="15"/>
                <w:szCs w:val="15"/>
              </w:rPr>
              <w:t>RCT: probiotic + itraconazole versus itraconazole only</w:t>
            </w:r>
          </w:p>
        </w:tc>
        <w:tc>
          <w:tcPr>
            <w:tcW w:w="486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 xml:space="preserve">In women with acute VVC and a history of recurrent VVC, after induction with itraconazole twice weekly for one month, itraconazole (once per month) with </w:t>
            </w:r>
            <w:r w:rsidRPr="00724C91">
              <w:rPr>
                <w:rFonts w:eastAsia="Calibri" w:cstheme="minorHAnsi"/>
                <w:i/>
                <w:sz w:val="15"/>
                <w:szCs w:val="15"/>
              </w:rPr>
              <w:t>L. gasseri</w:t>
            </w:r>
            <w:r w:rsidRPr="00724C91">
              <w:rPr>
                <w:rFonts w:eastAsia="Calibri" w:cstheme="minorHAnsi"/>
                <w:sz w:val="15"/>
                <w:szCs w:val="15"/>
              </w:rPr>
              <w:t xml:space="preserve"> (6 consecutive days per month) during 6 months resulted in a similar VVC recurrence rate as itraconazole (once per month) only (15/45 versus 12/31, respectively). Results were also similar 6 months after product cessation (6/25 versus 5/23, respectively).</w:t>
            </w:r>
          </w:p>
        </w:tc>
      </w:tr>
      <w:tr w:rsidR="00AD2736" w:rsidRPr="00724C91" w:rsidTr="00537DBF">
        <w:tc>
          <w:tcPr>
            <w:tcW w:w="108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Vicariotto</w:t>
            </w:r>
            <w:r w:rsidRPr="00724C91">
              <w:rPr>
                <w:rFonts w:cstheme="minorHAnsi"/>
                <w:sz w:val="15"/>
                <w:szCs w:val="15"/>
                <w:vertAlign w:val="superscript"/>
              </w:rPr>
              <w:t>35</w:t>
            </w:r>
          </w:p>
        </w:tc>
        <w:tc>
          <w:tcPr>
            <w:tcW w:w="20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ActiCand</w:t>
            </w:r>
            <w:r w:rsidRPr="00724C91">
              <w:rPr>
                <w:rFonts w:eastAsia="Calibri" w:cstheme="minorHAnsi"/>
                <w:i/>
                <w:iCs/>
                <w:sz w:val="15"/>
                <w:szCs w:val="15"/>
              </w:rPr>
              <w:t xml:space="preserve"> (L. fermentum </w:t>
            </w:r>
            <w:r w:rsidRPr="00724C91">
              <w:rPr>
                <w:rFonts w:eastAsia="Calibri" w:cstheme="minorHAnsi"/>
                <w:sz w:val="15"/>
                <w:szCs w:val="15"/>
              </w:rPr>
              <w:t xml:space="preserve">LF10 + </w:t>
            </w:r>
            <w:r w:rsidRPr="00724C91">
              <w:rPr>
                <w:rFonts w:eastAsia="Calibri" w:cstheme="minorHAnsi"/>
                <w:i/>
                <w:iCs/>
                <w:sz w:val="15"/>
                <w:szCs w:val="15"/>
              </w:rPr>
              <w:t xml:space="preserve">L. acidophilus </w:t>
            </w:r>
            <w:r w:rsidRPr="00724C91">
              <w:rPr>
                <w:rFonts w:eastAsia="Calibri" w:cstheme="minorHAnsi"/>
                <w:sz w:val="15"/>
                <w:szCs w:val="15"/>
              </w:rPr>
              <w:t>LA02)</w:t>
            </w:r>
          </w:p>
        </w:tc>
        <w:tc>
          <w:tcPr>
            <w:tcW w:w="1170" w:type="dxa"/>
            <w:tcBorders>
              <w:top w:val="nil"/>
              <w:left w:val="nil"/>
              <w:bottom w:val="nil"/>
              <w:right w:val="nil"/>
            </w:tcBorders>
            <w:hideMark/>
          </w:tcPr>
          <w:p w:rsidR="000671A7" w:rsidRPr="00724C91" w:rsidRDefault="000671A7" w:rsidP="00537DBF">
            <w:pPr>
              <w:tabs>
                <w:tab w:val="left" w:pos="790"/>
              </w:tabs>
              <w:spacing w:after="0"/>
              <w:ind w:right="-110"/>
              <w:rPr>
                <w:rFonts w:eastAsia="Calibri" w:cstheme="minorHAnsi"/>
                <w:sz w:val="15"/>
                <w:szCs w:val="15"/>
              </w:rPr>
            </w:pPr>
            <w:r w:rsidRPr="00724C91">
              <w:rPr>
                <w:rFonts w:eastAsia="Calibri" w:cstheme="minorHAnsi"/>
                <w:sz w:val="15"/>
                <w:szCs w:val="15"/>
              </w:rPr>
              <w:t>Pre-/post-intervention study</w:t>
            </w:r>
          </w:p>
        </w:tc>
        <w:tc>
          <w:tcPr>
            <w:tcW w:w="486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In women with acute VVC and a history of recurrent VVC, ActiCand (without antifungal; 7 consecutive nights, followed by 3 nights per week for 3 weeks, and one night per week for 4 weeks) resulted in a significant reduction in VVC cases to 7/30 women after cessation of therapy at Day 56.</w:t>
            </w:r>
          </w:p>
        </w:tc>
      </w:tr>
      <w:tr w:rsidR="00AD2736" w:rsidRPr="00724C91" w:rsidTr="00537DBF">
        <w:tc>
          <w:tcPr>
            <w:tcW w:w="108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De Seta</w:t>
            </w:r>
            <w:r w:rsidRPr="00724C91">
              <w:rPr>
                <w:rFonts w:cstheme="minorHAnsi"/>
                <w:sz w:val="15"/>
                <w:szCs w:val="15"/>
                <w:vertAlign w:val="superscript"/>
              </w:rPr>
              <w:t>36</w:t>
            </w:r>
          </w:p>
        </w:tc>
        <w:tc>
          <w:tcPr>
            <w:tcW w:w="20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iCs/>
                <w:sz w:val="15"/>
                <w:szCs w:val="15"/>
              </w:rPr>
              <w:t>Gyno-Canesflor (</w:t>
            </w:r>
            <w:r w:rsidRPr="00724C91">
              <w:rPr>
                <w:rFonts w:eastAsia="Calibri" w:cstheme="minorHAnsi"/>
                <w:i/>
                <w:iCs/>
                <w:sz w:val="15"/>
                <w:szCs w:val="15"/>
              </w:rPr>
              <w:t xml:space="preserve">L. plantarum </w:t>
            </w:r>
            <w:r w:rsidRPr="00724C91">
              <w:rPr>
                <w:rFonts w:eastAsia="Calibri" w:cstheme="minorHAnsi"/>
                <w:sz w:val="15"/>
                <w:szCs w:val="15"/>
              </w:rPr>
              <w:t>P17630)</w:t>
            </w:r>
          </w:p>
        </w:tc>
        <w:tc>
          <w:tcPr>
            <w:tcW w:w="1170" w:type="dxa"/>
            <w:tcBorders>
              <w:top w:val="nil"/>
              <w:left w:val="nil"/>
              <w:bottom w:val="nil"/>
              <w:right w:val="nil"/>
            </w:tcBorders>
            <w:hideMark/>
          </w:tcPr>
          <w:p w:rsidR="000671A7" w:rsidRPr="00724C91" w:rsidRDefault="000671A7" w:rsidP="00537DBF">
            <w:pPr>
              <w:tabs>
                <w:tab w:val="left" w:pos="790"/>
              </w:tabs>
              <w:spacing w:after="0"/>
              <w:ind w:right="-110"/>
              <w:rPr>
                <w:rFonts w:eastAsia="Calibri" w:cstheme="minorHAnsi"/>
                <w:sz w:val="15"/>
                <w:szCs w:val="15"/>
              </w:rPr>
            </w:pPr>
            <w:r w:rsidRPr="00724C91">
              <w:rPr>
                <w:rFonts w:eastAsia="Calibri" w:cstheme="minorHAnsi"/>
                <w:sz w:val="15"/>
                <w:szCs w:val="15"/>
              </w:rPr>
              <w:t>Non-randomised prospective cohort study</w:t>
            </w:r>
          </w:p>
        </w:tc>
        <w:tc>
          <w:tcPr>
            <w:tcW w:w="486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In women with acute VVC but no history of recurrent VVC, 34 days of Gyno-Canesflor after clotrimazole treatment, compared to placebo use, resulted in a (non-significant, Fisher's p=0.095) lower cumulative VVC incidence (1/40 versus 5/40, respectively).</w:t>
            </w:r>
          </w:p>
        </w:tc>
      </w:tr>
      <w:tr w:rsidR="00AD2736" w:rsidRPr="00724C91" w:rsidTr="00537DBF">
        <w:tc>
          <w:tcPr>
            <w:tcW w:w="108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Donders</w:t>
            </w:r>
            <w:r w:rsidRPr="00724C91">
              <w:rPr>
                <w:rFonts w:cstheme="minorHAnsi"/>
                <w:sz w:val="15"/>
                <w:szCs w:val="15"/>
                <w:vertAlign w:val="superscript"/>
              </w:rPr>
              <w:t>37</w:t>
            </w:r>
            <w:r w:rsidRPr="00724C91">
              <w:rPr>
                <w:rFonts w:eastAsia="Calibri" w:cstheme="minorHAnsi"/>
                <w:sz w:val="15"/>
                <w:szCs w:val="15"/>
              </w:rPr>
              <w:t xml:space="preserve"> &amp; Donders</w:t>
            </w:r>
            <w:r w:rsidRPr="00724C91">
              <w:rPr>
                <w:rFonts w:cstheme="minorHAnsi"/>
                <w:sz w:val="15"/>
                <w:szCs w:val="15"/>
                <w:vertAlign w:val="superscript"/>
              </w:rPr>
              <w:t>38</w:t>
            </w:r>
          </w:p>
        </w:tc>
        <w:tc>
          <w:tcPr>
            <w:tcW w:w="20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 xml:space="preserve">Gynoflor </w:t>
            </w:r>
            <w:r w:rsidRPr="00724C91">
              <w:rPr>
                <w:rFonts w:eastAsia="Calibri" w:cstheme="minorHAnsi"/>
                <w:i/>
                <w:iCs/>
                <w:sz w:val="15"/>
                <w:szCs w:val="15"/>
              </w:rPr>
              <w:t xml:space="preserve">(L. acidophilus </w:t>
            </w:r>
            <w:r w:rsidRPr="00724C91">
              <w:rPr>
                <w:rFonts w:eastAsia="Calibri" w:cstheme="minorHAnsi"/>
                <w:sz w:val="15"/>
                <w:szCs w:val="15"/>
              </w:rPr>
              <w:t>KS400 + 0.03mg oestriol)</w:t>
            </w:r>
          </w:p>
        </w:tc>
        <w:tc>
          <w:tcPr>
            <w:tcW w:w="1170" w:type="dxa"/>
            <w:tcBorders>
              <w:top w:val="nil"/>
              <w:left w:val="nil"/>
              <w:bottom w:val="nil"/>
              <w:right w:val="nil"/>
            </w:tcBorders>
            <w:hideMark/>
          </w:tcPr>
          <w:p w:rsidR="000671A7" w:rsidRPr="00724C91" w:rsidRDefault="000671A7" w:rsidP="00537DBF">
            <w:pPr>
              <w:tabs>
                <w:tab w:val="left" w:pos="790"/>
              </w:tabs>
              <w:spacing w:after="0"/>
              <w:ind w:right="-110"/>
              <w:rPr>
                <w:rFonts w:eastAsia="Calibri" w:cstheme="minorHAnsi"/>
                <w:sz w:val="15"/>
                <w:szCs w:val="15"/>
              </w:rPr>
            </w:pPr>
            <w:r w:rsidRPr="00724C91">
              <w:rPr>
                <w:rFonts w:eastAsia="Calibri" w:cstheme="minorHAnsi"/>
                <w:sz w:val="15"/>
                <w:szCs w:val="15"/>
              </w:rPr>
              <w:t>Pre-/post-intervention study</w:t>
            </w:r>
          </w:p>
        </w:tc>
        <w:tc>
          <w:tcPr>
            <w:tcW w:w="486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 xml:space="preserve">A 84-day single-arm Gynoflor treatment scheme (once daily for 4 weeks followed by thrice weekly for 8 weeks) for atrophic vaginitis in postmenopausal women with breast cancer temporarily increased asymptomatic VVC prevalence after two weeks of use (from 2/14 to 7/16) but returned to baseline values after one (3/16), two (3/16), and three (3/13) months of use.  </w:t>
            </w:r>
          </w:p>
        </w:tc>
      </w:tr>
      <w:tr w:rsidR="00AD2736" w:rsidRPr="00724C91" w:rsidTr="00537DBF">
        <w:tc>
          <w:tcPr>
            <w:tcW w:w="108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Pendharkar</w:t>
            </w:r>
          </w:p>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 Trial II</w:t>
            </w:r>
            <w:r w:rsidRPr="00724C91">
              <w:rPr>
                <w:rFonts w:cstheme="minorHAnsi"/>
                <w:sz w:val="15"/>
                <w:szCs w:val="15"/>
                <w:vertAlign w:val="superscript"/>
              </w:rPr>
              <w:t>39</w:t>
            </w:r>
          </w:p>
        </w:tc>
        <w:tc>
          <w:tcPr>
            <w:tcW w:w="20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EcoVag (</w:t>
            </w:r>
            <w:r w:rsidRPr="00724C91">
              <w:rPr>
                <w:rFonts w:eastAsia="Calibri" w:cstheme="minorHAnsi"/>
                <w:i/>
                <w:iCs/>
                <w:sz w:val="15"/>
                <w:szCs w:val="15"/>
              </w:rPr>
              <w:t>L. gasseri</w:t>
            </w:r>
            <w:r w:rsidRPr="00724C91">
              <w:rPr>
                <w:rFonts w:eastAsia="Calibri" w:cstheme="minorHAnsi"/>
                <w:sz w:val="15"/>
                <w:szCs w:val="15"/>
              </w:rPr>
              <w:t xml:space="preserve"> DSM 14869 + </w:t>
            </w:r>
            <w:r w:rsidRPr="00724C91">
              <w:rPr>
                <w:rFonts w:eastAsia="Calibri" w:cstheme="minorHAnsi"/>
                <w:i/>
                <w:iCs/>
                <w:sz w:val="15"/>
                <w:szCs w:val="15"/>
              </w:rPr>
              <w:t>L. rhamnosus</w:t>
            </w:r>
            <w:r w:rsidRPr="00724C91">
              <w:rPr>
                <w:rFonts w:eastAsia="Calibri" w:cstheme="minorHAnsi"/>
                <w:sz w:val="15"/>
                <w:szCs w:val="15"/>
              </w:rPr>
              <w:t xml:space="preserve"> DSM 14870)</w:t>
            </w:r>
          </w:p>
        </w:tc>
        <w:tc>
          <w:tcPr>
            <w:tcW w:w="1170" w:type="dxa"/>
            <w:tcBorders>
              <w:top w:val="nil"/>
              <w:left w:val="nil"/>
              <w:bottom w:val="nil"/>
              <w:right w:val="nil"/>
            </w:tcBorders>
            <w:hideMark/>
          </w:tcPr>
          <w:p w:rsidR="000671A7" w:rsidRPr="00724C91" w:rsidRDefault="000671A7" w:rsidP="00537DBF">
            <w:pPr>
              <w:spacing w:after="0"/>
              <w:ind w:right="-110"/>
              <w:rPr>
                <w:rFonts w:eastAsia="Calibri" w:cstheme="minorHAnsi"/>
                <w:sz w:val="15"/>
                <w:szCs w:val="15"/>
              </w:rPr>
            </w:pPr>
            <w:r w:rsidRPr="00724C91">
              <w:rPr>
                <w:rFonts w:eastAsia="Calibri" w:cstheme="minorHAnsi"/>
                <w:sz w:val="15"/>
                <w:szCs w:val="15"/>
              </w:rPr>
              <w:t>Non-randomised prospective cohort study</w:t>
            </w:r>
          </w:p>
        </w:tc>
        <w:tc>
          <w:tcPr>
            <w:tcW w:w="486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In women with recurrent VVC, fluconazole (7 days in cycle 1 followed by once weekly in cycles 2+3, and biweekly in cycles 4-6) with EcoVag (10 days in cycle 2, and once weekly in cycles 2-6) did not significantly improve the VVC cure fraction 6 months after treatment cessation compared to the fluconazole regimen without EcoVag (8/9 versus 7/10, respectively) but almost all women in both groups were cured.</w:t>
            </w:r>
          </w:p>
        </w:tc>
      </w:tr>
      <w:tr w:rsidR="00AD2736" w:rsidRPr="00724C91" w:rsidTr="00537DBF">
        <w:tc>
          <w:tcPr>
            <w:tcW w:w="108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Kovachev</w:t>
            </w:r>
            <w:r w:rsidRPr="00724C91">
              <w:rPr>
                <w:rFonts w:cstheme="minorHAnsi"/>
                <w:sz w:val="15"/>
                <w:szCs w:val="15"/>
                <w:vertAlign w:val="superscript"/>
              </w:rPr>
              <w:t>40</w:t>
            </w:r>
          </w:p>
        </w:tc>
        <w:tc>
          <w:tcPr>
            <w:tcW w:w="20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Lactagyn (</w:t>
            </w:r>
            <w:r w:rsidRPr="00724C91">
              <w:rPr>
                <w:rFonts w:eastAsia="Calibri" w:cstheme="minorHAnsi"/>
                <w:i/>
                <w:iCs/>
                <w:sz w:val="15"/>
                <w:szCs w:val="15"/>
              </w:rPr>
              <w:t xml:space="preserve">L. acidophilus, L. rhamnosus, S. thermophilus, L. delbrueckii </w:t>
            </w:r>
            <w:r w:rsidRPr="00724C91">
              <w:rPr>
                <w:rFonts w:eastAsia="Calibri" w:cstheme="minorHAnsi"/>
                <w:sz w:val="15"/>
                <w:szCs w:val="15"/>
              </w:rPr>
              <w:t xml:space="preserve">subsp. </w:t>
            </w:r>
            <w:r w:rsidRPr="00724C91">
              <w:rPr>
                <w:rFonts w:eastAsia="Calibri" w:cstheme="minorHAnsi"/>
                <w:i/>
                <w:iCs/>
                <w:sz w:val="15"/>
                <w:szCs w:val="15"/>
              </w:rPr>
              <w:t>bulgaricus</w:t>
            </w:r>
            <w:r w:rsidRPr="00724C91">
              <w:rPr>
                <w:rFonts w:eastAsia="Calibri" w:cstheme="minorHAnsi"/>
                <w:sz w:val="15"/>
                <w:szCs w:val="15"/>
              </w:rPr>
              <w:t>)</w:t>
            </w:r>
          </w:p>
        </w:tc>
        <w:tc>
          <w:tcPr>
            <w:tcW w:w="1170" w:type="dxa"/>
            <w:tcBorders>
              <w:top w:val="nil"/>
              <w:left w:val="nil"/>
              <w:bottom w:val="nil"/>
              <w:right w:val="nil"/>
            </w:tcBorders>
            <w:hideMark/>
          </w:tcPr>
          <w:p w:rsidR="000671A7" w:rsidRPr="00724C91" w:rsidRDefault="000671A7" w:rsidP="00537DBF">
            <w:pPr>
              <w:spacing w:after="0"/>
              <w:ind w:right="-110"/>
              <w:rPr>
                <w:rFonts w:eastAsia="Calibri" w:cstheme="minorHAnsi"/>
                <w:sz w:val="15"/>
                <w:szCs w:val="15"/>
              </w:rPr>
            </w:pPr>
            <w:r w:rsidRPr="00724C91">
              <w:rPr>
                <w:rFonts w:eastAsia="Calibri" w:cstheme="minorHAnsi"/>
                <w:sz w:val="15"/>
                <w:szCs w:val="15"/>
              </w:rPr>
              <w:t>RCT: no-intervention control</w:t>
            </w:r>
          </w:p>
        </w:tc>
        <w:tc>
          <w:tcPr>
            <w:tcW w:w="486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In women with acute VVC, antifungal treatment (fluconazole and fenticonazole) followed by 10-day Lactagyn therapy resulted in lower VVC recurrence (10/209) at the final follow-up visit 25-30 days after product cessation than antifungal treatment alone (76/207). The authors report this as two non-significant pre/post results, but these are significant when the appropriate test (McNemar) is used, and when the two groups are compared directly.</w:t>
            </w:r>
          </w:p>
        </w:tc>
      </w:tr>
      <w:tr w:rsidR="00AD2736" w:rsidRPr="00724C91" w:rsidTr="00537DBF">
        <w:tc>
          <w:tcPr>
            <w:tcW w:w="1080" w:type="dxa"/>
            <w:tcBorders>
              <w:top w:val="nil"/>
              <w:left w:val="nil"/>
              <w:bottom w:val="nil"/>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Rapisarda</w:t>
            </w:r>
            <w:r w:rsidRPr="00724C91">
              <w:rPr>
                <w:rFonts w:cstheme="minorHAnsi"/>
                <w:sz w:val="15"/>
                <w:szCs w:val="15"/>
                <w:vertAlign w:val="superscript"/>
              </w:rPr>
              <w:t>29</w:t>
            </w:r>
          </w:p>
        </w:tc>
        <w:tc>
          <w:tcPr>
            <w:tcW w:w="207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i/>
                <w:iCs/>
                <w:sz w:val="15"/>
                <w:szCs w:val="15"/>
              </w:rPr>
              <w:t xml:space="preserve">L. acidophilus </w:t>
            </w:r>
            <w:r w:rsidRPr="00724C91">
              <w:rPr>
                <w:rFonts w:eastAsia="Calibri" w:cstheme="minorHAnsi"/>
                <w:sz w:val="15"/>
                <w:szCs w:val="15"/>
              </w:rPr>
              <w:t>LA14</w:t>
            </w:r>
          </w:p>
        </w:tc>
        <w:tc>
          <w:tcPr>
            <w:tcW w:w="1170" w:type="dxa"/>
            <w:tcBorders>
              <w:top w:val="nil"/>
              <w:left w:val="nil"/>
              <w:bottom w:val="nil"/>
              <w:right w:val="nil"/>
            </w:tcBorders>
            <w:hideMark/>
          </w:tcPr>
          <w:p w:rsidR="000671A7" w:rsidRPr="00724C91" w:rsidRDefault="000671A7" w:rsidP="00537DBF">
            <w:pPr>
              <w:spacing w:after="0"/>
              <w:ind w:right="-110"/>
              <w:rPr>
                <w:rFonts w:eastAsia="Calibri" w:cstheme="minorHAnsi"/>
                <w:sz w:val="15"/>
                <w:szCs w:val="15"/>
              </w:rPr>
            </w:pPr>
            <w:r w:rsidRPr="00724C91">
              <w:rPr>
                <w:rFonts w:eastAsia="Calibri" w:cstheme="minorHAnsi"/>
                <w:sz w:val="15"/>
                <w:szCs w:val="15"/>
              </w:rPr>
              <w:t>Pre-/post-intervention study</w:t>
            </w:r>
          </w:p>
        </w:tc>
        <w:tc>
          <w:tcPr>
            <w:tcW w:w="4860" w:type="dxa"/>
            <w:tcBorders>
              <w:top w:val="nil"/>
              <w:left w:val="nil"/>
              <w:bottom w:val="nil"/>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 xml:space="preserve">In women with Nugent 4-10 and 21/60 with acute VVC, 14 days of </w:t>
            </w:r>
            <w:r w:rsidRPr="00724C91">
              <w:rPr>
                <w:rFonts w:eastAsia="Calibri" w:cstheme="minorHAnsi"/>
                <w:i/>
                <w:sz w:val="15"/>
                <w:szCs w:val="15"/>
              </w:rPr>
              <w:t>L. acidophilus</w:t>
            </w:r>
            <w:r w:rsidRPr="00724C91">
              <w:rPr>
                <w:rFonts w:eastAsia="Calibri" w:cstheme="minorHAnsi"/>
                <w:sz w:val="15"/>
                <w:szCs w:val="15"/>
              </w:rPr>
              <w:t xml:space="preserve"> LA14 without antifungals or antibiotics resulted in a significant reduction of VVC cases to 9/60 one day after cessation of use, and 6/60 4 weeks after cessation of use. Mean </w:t>
            </w:r>
            <w:r w:rsidRPr="00724C91">
              <w:rPr>
                <w:rFonts w:eastAsia="Calibri" w:cstheme="minorHAnsi"/>
                <w:i/>
                <w:sz w:val="15"/>
                <w:szCs w:val="15"/>
              </w:rPr>
              <w:t>Candida</w:t>
            </w:r>
            <w:r w:rsidRPr="00724C91">
              <w:rPr>
                <w:rFonts w:eastAsia="Calibri" w:cstheme="minorHAnsi"/>
                <w:sz w:val="15"/>
                <w:szCs w:val="15"/>
              </w:rPr>
              <w:t xml:space="preserve"> culture counts also decreased significantly.</w:t>
            </w:r>
          </w:p>
        </w:tc>
      </w:tr>
      <w:tr w:rsidR="00AD2736" w:rsidRPr="00724C91" w:rsidTr="00537DBF">
        <w:tc>
          <w:tcPr>
            <w:tcW w:w="1080" w:type="dxa"/>
            <w:tcBorders>
              <w:top w:val="nil"/>
              <w:left w:val="nil"/>
              <w:bottom w:val="single" w:sz="12" w:space="0" w:color="auto"/>
              <w:right w:val="nil"/>
            </w:tcBorders>
            <w:hideMark/>
          </w:tcPr>
          <w:p w:rsidR="000671A7" w:rsidRPr="00724C91" w:rsidRDefault="000671A7" w:rsidP="00537DBF">
            <w:pPr>
              <w:spacing w:after="0"/>
              <w:ind w:right="-120" w:hanging="20"/>
              <w:rPr>
                <w:rFonts w:eastAsia="Calibri" w:cstheme="minorHAnsi"/>
                <w:sz w:val="15"/>
                <w:szCs w:val="15"/>
              </w:rPr>
            </w:pPr>
            <w:r w:rsidRPr="00724C91">
              <w:rPr>
                <w:rFonts w:eastAsia="Calibri" w:cstheme="minorHAnsi"/>
                <w:sz w:val="15"/>
                <w:szCs w:val="15"/>
              </w:rPr>
              <w:t>Murina</w:t>
            </w:r>
            <w:r w:rsidRPr="00724C91">
              <w:rPr>
                <w:rFonts w:cstheme="minorHAnsi"/>
                <w:sz w:val="15"/>
                <w:szCs w:val="15"/>
                <w:vertAlign w:val="superscript"/>
              </w:rPr>
              <w:t>41</w:t>
            </w:r>
          </w:p>
        </w:tc>
        <w:tc>
          <w:tcPr>
            <w:tcW w:w="2070" w:type="dxa"/>
            <w:tcBorders>
              <w:top w:val="nil"/>
              <w:left w:val="nil"/>
              <w:bottom w:val="single" w:sz="12" w:space="0" w:color="auto"/>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 xml:space="preserve">Estromineral Probiogel </w:t>
            </w:r>
            <w:r w:rsidRPr="00724C91">
              <w:rPr>
                <w:rFonts w:eastAsia="Calibri" w:cstheme="minorHAnsi"/>
                <w:i/>
                <w:iCs/>
                <w:sz w:val="15"/>
                <w:szCs w:val="15"/>
              </w:rPr>
              <w:t xml:space="preserve">(L. fermentum </w:t>
            </w:r>
            <w:r w:rsidRPr="00724C91">
              <w:rPr>
                <w:rFonts w:eastAsia="Calibri" w:cstheme="minorHAnsi"/>
                <w:sz w:val="15"/>
                <w:szCs w:val="15"/>
              </w:rPr>
              <w:t xml:space="preserve">LF10 + </w:t>
            </w:r>
            <w:r w:rsidRPr="00724C91">
              <w:rPr>
                <w:rFonts w:eastAsia="Calibri" w:cstheme="minorHAnsi"/>
                <w:i/>
                <w:iCs/>
                <w:sz w:val="15"/>
                <w:szCs w:val="15"/>
              </w:rPr>
              <w:t xml:space="preserve">L. plantarum </w:t>
            </w:r>
            <w:r w:rsidRPr="00724C91">
              <w:rPr>
                <w:rFonts w:eastAsia="Calibri" w:cstheme="minorHAnsi"/>
                <w:sz w:val="15"/>
                <w:szCs w:val="15"/>
              </w:rPr>
              <w:t>LP02)</w:t>
            </w:r>
          </w:p>
        </w:tc>
        <w:tc>
          <w:tcPr>
            <w:tcW w:w="1170" w:type="dxa"/>
            <w:tcBorders>
              <w:top w:val="nil"/>
              <w:left w:val="nil"/>
              <w:bottom w:val="single" w:sz="12" w:space="0" w:color="auto"/>
              <w:right w:val="nil"/>
            </w:tcBorders>
            <w:hideMark/>
          </w:tcPr>
          <w:p w:rsidR="000671A7" w:rsidRPr="00724C91" w:rsidRDefault="000671A7" w:rsidP="00537DBF">
            <w:pPr>
              <w:spacing w:after="0"/>
              <w:ind w:right="-110"/>
              <w:rPr>
                <w:rFonts w:eastAsia="Calibri" w:cstheme="minorHAnsi"/>
                <w:sz w:val="15"/>
                <w:szCs w:val="15"/>
              </w:rPr>
            </w:pPr>
            <w:r w:rsidRPr="00724C91">
              <w:rPr>
                <w:rFonts w:eastAsia="Calibri" w:cstheme="minorHAnsi"/>
                <w:sz w:val="15"/>
                <w:szCs w:val="15"/>
              </w:rPr>
              <w:t>Pre-/post-intervention study</w:t>
            </w:r>
          </w:p>
        </w:tc>
        <w:tc>
          <w:tcPr>
            <w:tcW w:w="4860" w:type="dxa"/>
            <w:tcBorders>
              <w:top w:val="nil"/>
              <w:left w:val="nil"/>
              <w:bottom w:val="single" w:sz="12" w:space="0" w:color="auto"/>
              <w:right w:val="nil"/>
            </w:tcBorders>
            <w:hideMark/>
          </w:tcPr>
          <w:p w:rsidR="000671A7" w:rsidRPr="00724C91" w:rsidRDefault="000671A7" w:rsidP="00537DBF">
            <w:pPr>
              <w:spacing w:after="0"/>
              <w:rPr>
                <w:rFonts w:eastAsia="Calibri" w:cstheme="minorHAnsi"/>
                <w:sz w:val="15"/>
                <w:szCs w:val="15"/>
              </w:rPr>
            </w:pPr>
            <w:r w:rsidRPr="00724C91">
              <w:rPr>
                <w:rFonts w:eastAsia="Calibri" w:cstheme="minorHAnsi"/>
                <w:sz w:val="15"/>
                <w:szCs w:val="15"/>
              </w:rPr>
              <w:t>Estromineral Probiogel (without antifungal) cured 51/82 women with acute VVC and 27/27 in women with recurrent VVC between 20-30 days after therapy initiation (both significant compared to baseline), but therapy longer than the intended 6 days was required in 57.3% and 63.0% women, respectively, due to persistence of symptoms.</w:t>
            </w:r>
          </w:p>
        </w:tc>
      </w:tr>
    </w:tbl>
    <w:p w:rsidR="000671A7" w:rsidRPr="00724C91" w:rsidRDefault="000671A7" w:rsidP="000671A7">
      <w:pPr>
        <w:spacing w:after="0"/>
        <w:rPr>
          <w:rFonts w:cstheme="minorHAnsi"/>
          <w:sz w:val="16"/>
          <w:szCs w:val="16"/>
        </w:rPr>
      </w:pPr>
    </w:p>
    <w:p w:rsidR="000671A7" w:rsidRPr="00724C91" w:rsidRDefault="000671A7" w:rsidP="000671A7">
      <w:pPr>
        <w:spacing w:after="0"/>
        <w:rPr>
          <w:rFonts w:cstheme="minorHAnsi"/>
          <w:sz w:val="16"/>
          <w:szCs w:val="16"/>
        </w:rPr>
      </w:pPr>
    </w:p>
    <w:p w:rsidR="000671A7" w:rsidRPr="00724C91" w:rsidRDefault="000671A7" w:rsidP="000671A7">
      <w:pPr>
        <w:spacing w:after="0"/>
        <w:rPr>
          <w:rFonts w:cstheme="minorHAnsi"/>
          <w:sz w:val="16"/>
          <w:szCs w:val="16"/>
        </w:rPr>
      </w:pPr>
    </w:p>
    <w:p w:rsidR="000671A7" w:rsidRPr="00724C91" w:rsidRDefault="000671A7" w:rsidP="000671A7">
      <w:pPr>
        <w:spacing w:after="0"/>
        <w:rPr>
          <w:rFonts w:cstheme="minorHAnsi"/>
          <w:sz w:val="16"/>
          <w:szCs w:val="16"/>
        </w:rPr>
      </w:pPr>
    </w:p>
    <w:p w:rsidR="000671A7" w:rsidRPr="00724C91" w:rsidRDefault="000671A7" w:rsidP="000671A7">
      <w:pPr>
        <w:spacing w:after="0"/>
        <w:rPr>
          <w:rFonts w:cstheme="minorHAnsi"/>
          <w:sz w:val="16"/>
          <w:szCs w:val="16"/>
        </w:rPr>
      </w:pPr>
    </w:p>
    <w:p w:rsidR="000671A7" w:rsidRPr="00724C91" w:rsidRDefault="000671A7" w:rsidP="000671A7">
      <w:pPr>
        <w:spacing w:after="0"/>
        <w:rPr>
          <w:rFonts w:cstheme="minorHAnsi"/>
          <w:b/>
        </w:rPr>
      </w:pPr>
      <w:r w:rsidRPr="00724C91">
        <w:rPr>
          <w:rFonts w:cstheme="minorHAnsi"/>
          <w:b/>
        </w:rPr>
        <w:lastRenderedPageBreak/>
        <w:t>Table 3: Recommendations for vaginal probiotic efficacy evaluation.</w:t>
      </w:r>
    </w:p>
    <w:p w:rsidR="000671A7" w:rsidRPr="00724C91" w:rsidRDefault="000671A7" w:rsidP="000671A7">
      <w:pPr>
        <w:spacing w:after="0"/>
        <w:rPr>
          <w:rFonts w:cstheme="minorHAnsi"/>
        </w:rPr>
      </w:pPr>
      <w:r w:rsidRPr="00724C91">
        <w:rPr>
          <w:rFonts w:cstheme="minorHAnsi"/>
          <w:i/>
        </w:rPr>
        <w:t xml:space="preserve">BV </w:t>
      </w:r>
      <w:r w:rsidRPr="00724C91">
        <w:rPr>
          <w:rFonts w:cstheme="minorHAnsi"/>
        </w:rPr>
        <w:t xml:space="preserve">bacterial vaginosis, </w:t>
      </w:r>
      <w:r w:rsidRPr="00724C91">
        <w:rPr>
          <w:rFonts w:cstheme="minorHAnsi"/>
          <w:i/>
        </w:rPr>
        <w:t>VMB</w:t>
      </w:r>
      <w:r w:rsidRPr="00724C91">
        <w:rPr>
          <w:rFonts w:cstheme="minorHAnsi"/>
        </w:rPr>
        <w:t xml:space="preserve"> vaginal microbiota, </w:t>
      </w:r>
      <w:r w:rsidRPr="00724C91">
        <w:rPr>
          <w:rFonts w:cstheme="minorHAnsi"/>
          <w:i/>
        </w:rPr>
        <w:t>VVC</w:t>
      </w:r>
      <w:r w:rsidRPr="00724C91">
        <w:rPr>
          <w:rFonts w:cstheme="minorHAnsi"/>
        </w:rPr>
        <w:t xml:space="preserve"> vulvovaginal candidiasis.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581"/>
      </w:tblGrid>
      <w:tr w:rsidR="00AD2736" w:rsidRPr="00724C91" w:rsidTr="00537DBF">
        <w:tc>
          <w:tcPr>
            <w:tcW w:w="1435" w:type="dxa"/>
            <w:tcBorders>
              <w:top w:val="single" w:sz="12" w:space="0" w:color="auto"/>
              <w:left w:val="nil"/>
              <w:bottom w:val="single" w:sz="4" w:space="0" w:color="auto"/>
              <w:right w:val="nil"/>
            </w:tcBorders>
            <w:hideMark/>
          </w:tcPr>
          <w:p w:rsidR="000671A7" w:rsidRPr="00724C91" w:rsidRDefault="000671A7" w:rsidP="00537DBF">
            <w:pPr>
              <w:spacing w:after="0"/>
              <w:jc w:val="center"/>
              <w:rPr>
                <w:rFonts w:cstheme="minorHAnsi"/>
                <w:b/>
                <w:sz w:val="15"/>
                <w:szCs w:val="15"/>
                <w:lang w:val="en-US"/>
              </w:rPr>
            </w:pPr>
            <w:r w:rsidRPr="00724C91">
              <w:rPr>
                <w:rFonts w:cstheme="minorHAnsi"/>
                <w:b/>
                <w:sz w:val="15"/>
                <w:szCs w:val="15"/>
                <w:lang w:val="en-US"/>
              </w:rPr>
              <w:t>Topic</w:t>
            </w:r>
          </w:p>
        </w:tc>
        <w:tc>
          <w:tcPr>
            <w:tcW w:w="7581" w:type="dxa"/>
            <w:tcBorders>
              <w:top w:val="single" w:sz="12" w:space="0" w:color="auto"/>
              <w:left w:val="nil"/>
              <w:bottom w:val="single" w:sz="4" w:space="0" w:color="auto"/>
              <w:right w:val="nil"/>
            </w:tcBorders>
            <w:hideMark/>
          </w:tcPr>
          <w:p w:rsidR="000671A7" w:rsidRPr="00724C91" w:rsidRDefault="000671A7" w:rsidP="00537DBF">
            <w:pPr>
              <w:spacing w:after="0"/>
              <w:jc w:val="center"/>
              <w:rPr>
                <w:rFonts w:cstheme="minorHAnsi"/>
                <w:b/>
                <w:sz w:val="15"/>
                <w:szCs w:val="15"/>
                <w:lang w:val="en-US"/>
              </w:rPr>
            </w:pPr>
            <w:r w:rsidRPr="00724C91">
              <w:rPr>
                <w:rFonts w:cstheme="minorHAnsi"/>
                <w:b/>
                <w:sz w:val="15"/>
                <w:szCs w:val="15"/>
                <w:lang w:val="en-US"/>
              </w:rPr>
              <w:t>Recommendations</w:t>
            </w:r>
          </w:p>
        </w:tc>
      </w:tr>
      <w:tr w:rsidR="00AD2736" w:rsidRPr="00724C91" w:rsidTr="00537DBF">
        <w:tc>
          <w:tcPr>
            <w:tcW w:w="1435" w:type="dxa"/>
            <w:tcBorders>
              <w:top w:val="single" w:sz="4" w:space="0" w:color="auto"/>
              <w:left w:val="nil"/>
              <w:bottom w:val="nil"/>
              <w:right w:val="nil"/>
            </w:tcBorders>
            <w:hideMark/>
          </w:tcPr>
          <w:p w:rsidR="000671A7" w:rsidRPr="00724C91" w:rsidRDefault="000671A7" w:rsidP="00537DBF">
            <w:pPr>
              <w:spacing w:after="0"/>
              <w:rPr>
                <w:rFonts w:cstheme="minorHAnsi"/>
                <w:sz w:val="15"/>
                <w:szCs w:val="15"/>
                <w:lang w:val="en-US"/>
              </w:rPr>
            </w:pPr>
            <w:r w:rsidRPr="00724C91">
              <w:rPr>
                <w:rFonts w:cstheme="minorHAnsi"/>
                <w:sz w:val="15"/>
                <w:szCs w:val="15"/>
                <w:lang w:val="en-US"/>
              </w:rPr>
              <w:t>Study design, populations,  sample size</w:t>
            </w:r>
          </w:p>
        </w:tc>
        <w:tc>
          <w:tcPr>
            <w:tcW w:w="7581" w:type="dxa"/>
            <w:tcBorders>
              <w:top w:val="single" w:sz="4" w:space="0" w:color="auto"/>
              <w:left w:val="nil"/>
              <w:bottom w:val="nil"/>
              <w:right w:val="nil"/>
            </w:tcBorders>
            <w:hideMark/>
          </w:tcPr>
          <w:p w:rsidR="000671A7" w:rsidRPr="00724C91" w:rsidRDefault="000671A7" w:rsidP="000671A7">
            <w:pPr>
              <w:pStyle w:val="ListParagraph"/>
              <w:widowControl/>
              <w:numPr>
                <w:ilvl w:val="0"/>
                <w:numId w:val="1"/>
              </w:numPr>
              <w:ind w:left="217" w:hanging="220"/>
              <w:rPr>
                <w:rFonts w:cstheme="minorHAnsi"/>
                <w:sz w:val="15"/>
                <w:szCs w:val="15"/>
                <w:lang w:val="en-US"/>
              </w:rPr>
            </w:pPr>
            <w:r w:rsidRPr="00724C91">
              <w:rPr>
                <w:rFonts w:cstheme="minorHAnsi"/>
                <w:sz w:val="15"/>
                <w:szCs w:val="15"/>
                <w:lang w:val="en-US"/>
              </w:rPr>
              <w:t>Randomised placebo-controlled blinded trials are the preferred study design. Avoid pre-post studies without any parallel control groups.</w:t>
            </w:r>
          </w:p>
          <w:p w:rsidR="000671A7" w:rsidRPr="00724C91" w:rsidRDefault="000671A7" w:rsidP="000671A7">
            <w:pPr>
              <w:pStyle w:val="ListParagraph"/>
              <w:widowControl/>
              <w:numPr>
                <w:ilvl w:val="0"/>
                <w:numId w:val="1"/>
              </w:numPr>
              <w:ind w:left="217" w:hanging="220"/>
              <w:rPr>
                <w:rFonts w:cstheme="minorHAnsi"/>
                <w:sz w:val="15"/>
                <w:szCs w:val="15"/>
                <w:lang w:val="en-US"/>
              </w:rPr>
            </w:pPr>
            <w:r w:rsidRPr="00724C91">
              <w:rPr>
                <w:rFonts w:cstheme="minorHAnsi"/>
                <w:sz w:val="15"/>
                <w:szCs w:val="15"/>
                <w:lang w:val="en-US"/>
              </w:rPr>
              <w:t xml:space="preserve">Define the target population and recruitment strategy a priori. Avoid convenience samples. </w:t>
            </w:r>
          </w:p>
          <w:p w:rsidR="000671A7" w:rsidRPr="00724C91" w:rsidRDefault="000671A7" w:rsidP="000671A7">
            <w:pPr>
              <w:pStyle w:val="ListParagraph"/>
              <w:widowControl/>
              <w:numPr>
                <w:ilvl w:val="0"/>
                <w:numId w:val="1"/>
              </w:numPr>
              <w:ind w:left="217" w:hanging="220"/>
              <w:rPr>
                <w:rFonts w:cstheme="minorHAnsi"/>
                <w:sz w:val="15"/>
                <w:szCs w:val="15"/>
                <w:lang w:val="en-US"/>
              </w:rPr>
            </w:pPr>
            <w:r w:rsidRPr="00724C91">
              <w:rPr>
                <w:rFonts w:cstheme="minorHAnsi"/>
                <w:sz w:val="15"/>
                <w:szCs w:val="15"/>
                <w:lang w:val="en-US"/>
              </w:rPr>
              <w:t>Evaluate in women with and without urogenital symptoms, and in women at various levels of vaginal dysbiosis risk.</w:t>
            </w:r>
          </w:p>
          <w:p w:rsidR="000671A7" w:rsidRPr="00724C91" w:rsidRDefault="000671A7" w:rsidP="000671A7">
            <w:pPr>
              <w:pStyle w:val="ListParagraph"/>
              <w:widowControl/>
              <w:numPr>
                <w:ilvl w:val="0"/>
                <w:numId w:val="1"/>
              </w:numPr>
              <w:ind w:left="217" w:hanging="220"/>
              <w:rPr>
                <w:rFonts w:cstheme="minorHAnsi"/>
                <w:sz w:val="15"/>
                <w:szCs w:val="15"/>
                <w:lang w:val="en-US"/>
              </w:rPr>
            </w:pPr>
            <w:r w:rsidRPr="00724C91">
              <w:rPr>
                <w:rFonts w:cstheme="minorHAnsi"/>
                <w:sz w:val="15"/>
                <w:szCs w:val="15"/>
                <w:lang w:val="en-US"/>
              </w:rPr>
              <w:t xml:space="preserve">Conduct sample size calculations. Take into account that vaginal probiotic efficacy tends to have high inter-individual variability and that efficacy analyses should be controlled for known confounders such as hormonal status, menses, sexual behaviour, and presence of sexually transmitted infections. Allow for comparisons between responders and non-responders. </w:t>
            </w:r>
          </w:p>
        </w:tc>
      </w:tr>
      <w:tr w:rsidR="00AD2736" w:rsidRPr="00724C91" w:rsidTr="00537DBF">
        <w:tc>
          <w:tcPr>
            <w:tcW w:w="1435" w:type="dxa"/>
            <w:tcBorders>
              <w:top w:val="nil"/>
              <w:left w:val="nil"/>
              <w:bottom w:val="nil"/>
              <w:right w:val="nil"/>
            </w:tcBorders>
            <w:hideMark/>
          </w:tcPr>
          <w:p w:rsidR="000671A7" w:rsidRPr="00724C91" w:rsidRDefault="000671A7" w:rsidP="00537DBF">
            <w:pPr>
              <w:spacing w:after="0"/>
              <w:rPr>
                <w:rFonts w:cstheme="minorHAnsi"/>
                <w:sz w:val="15"/>
                <w:szCs w:val="15"/>
                <w:lang w:val="en-US"/>
              </w:rPr>
            </w:pPr>
            <w:r w:rsidRPr="00724C91">
              <w:rPr>
                <w:rFonts w:cstheme="minorHAnsi"/>
                <w:sz w:val="15"/>
                <w:szCs w:val="15"/>
                <w:lang w:val="en-US"/>
              </w:rPr>
              <w:t>Interventions</w:t>
            </w:r>
          </w:p>
        </w:tc>
        <w:tc>
          <w:tcPr>
            <w:tcW w:w="7581" w:type="dxa"/>
            <w:tcBorders>
              <w:top w:val="nil"/>
              <w:left w:val="nil"/>
              <w:bottom w:val="nil"/>
              <w:right w:val="nil"/>
            </w:tcBorders>
            <w:hideMark/>
          </w:tcPr>
          <w:p w:rsidR="000671A7" w:rsidRPr="00724C91" w:rsidRDefault="000671A7" w:rsidP="000671A7">
            <w:pPr>
              <w:pStyle w:val="ListParagraph"/>
              <w:widowControl/>
              <w:numPr>
                <w:ilvl w:val="0"/>
                <w:numId w:val="1"/>
              </w:numPr>
              <w:ind w:left="217" w:hanging="217"/>
              <w:rPr>
                <w:rFonts w:cstheme="minorHAnsi"/>
                <w:sz w:val="15"/>
                <w:szCs w:val="15"/>
                <w:lang w:val="en-US"/>
              </w:rPr>
            </w:pPr>
            <w:r w:rsidRPr="00724C91">
              <w:rPr>
                <w:rFonts w:cstheme="minorHAnsi"/>
                <w:sz w:val="15"/>
                <w:szCs w:val="15"/>
                <w:lang w:val="en-US"/>
              </w:rPr>
              <w:t>Consider dose per insertion, frequency of insertion, timing of insertion (also in relationship to timing of sample collection for efficacy evaluation), and how menses will be taken into account.</w:t>
            </w:r>
          </w:p>
          <w:p w:rsidR="000671A7" w:rsidRPr="00724C91" w:rsidRDefault="000671A7" w:rsidP="000671A7">
            <w:pPr>
              <w:pStyle w:val="ListParagraph"/>
              <w:widowControl/>
              <w:numPr>
                <w:ilvl w:val="0"/>
                <w:numId w:val="1"/>
              </w:numPr>
              <w:ind w:left="217" w:hanging="217"/>
              <w:rPr>
                <w:rFonts w:cstheme="minorHAnsi"/>
                <w:sz w:val="15"/>
                <w:szCs w:val="15"/>
                <w:lang w:val="en-US"/>
              </w:rPr>
            </w:pPr>
            <w:r w:rsidRPr="00724C91">
              <w:rPr>
                <w:rFonts w:cstheme="minorHAnsi"/>
                <w:sz w:val="15"/>
                <w:szCs w:val="15"/>
                <w:lang w:val="en-US"/>
              </w:rPr>
              <w:t xml:space="preserve">Provide clear use instructions, also in relation to vaginal hygiene practices and menses, and assess whether the participant understood them. Assess the participant’s ability to insert the probiotic correctly by direct observation. </w:t>
            </w:r>
          </w:p>
          <w:p w:rsidR="000671A7" w:rsidRPr="00724C91" w:rsidRDefault="000671A7" w:rsidP="000671A7">
            <w:pPr>
              <w:pStyle w:val="ListParagraph"/>
              <w:widowControl/>
              <w:numPr>
                <w:ilvl w:val="0"/>
                <w:numId w:val="1"/>
              </w:numPr>
              <w:ind w:left="217" w:hanging="217"/>
              <w:rPr>
                <w:rFonts w:cstheme="minorHAnsi"/>
                <w:sz w:val="15"/>
                <w:szCs w:val="15"/>
                <w:lang w:val="en-US"/>
              </w:rPr>
            </w:pPr>
            <w:r w:rsidRPr="00724C91">
              <w:rPr>
                <w:rFonts w:cstheme="minorHAnsi"/>
                <w:sz w:val="15"/>
                <w:szCs w:val="15"/>
                <w:lang w:val="en-US"/>
              </w:rPr>
              <w:t>Consider frequent sampling for outcome assessments. Participants could self-sample at home.</w:t>
            </w:r>
          </w:p>
          <w:p w:rsidR="000671A7" w:rsidRPr="00724C91" w:rsidRDefault="000671A7" w:rsidP="000671A7">
            <w:pPr>
              <w:pStyle w:val="ListParagraph"/>
              <w:widowControl/>
              <w:numPr>
                <w:ilvl w:val="0"/>
                <w:numId w:val="1"/>
              </w:numPr>
              <w:ind w:left="217" w:hanging="217"/>
              <w:rPr>
                <w:rFonts w:cstheme="minorHAnsi"/>
                <w:sz w:val="15"/>
                <w:szCs w:val="15"/>
                <w:lang w:val="en-US"/>
              </w:rPr>
            </w:pPr>
            <w:r w:rsidRPr="00724C91">
              <w:rPr>
                <w:rFonts w:cstheme="minorHAnsi"/>
                <w:sz w:val="15"/>
                <w:szCs w:val="15"/>
                <w:lang w:val="en-US"/>
              </w:rPr>
              <w:t xml:space="preserve">Assess adherence throughout the study, ideally not just by self-report.  </w:t>
            </w:r>
          </w:p>
        </w:tc>
      </w:tr>
      <w:tr w:rsidR="00AD2736" w:rsidRPr="00724C91" w:rsidTr="00537DBF">
        <w:tc>
          <w:tcPr>
            <w:tcW w:w="1435" w:type="dxa"/>
            <w:tcBorders>
              <w:top w:val="nil"/>
              <w:left w:val="nil"/>
              <w:bottom w:val="nil"/>
              <w:right w:val="nil"/>
            </w:tcBorders>
            <w:hideMark/>
          </w:tcPr>
          <w:p w:rsidR="000671A7" w:rsidRPr="00724C91" w:rsidRDefault="000671A7" w:rsidP="00537DBF">
            <w:pPr>
              <w:spacing w:after="0"/>
              <w:rPr>
                <w:rFonts w:cstheme="minorHAnsi"/>
                <w:sz w:val="15"/>
                <w:szCs w:val="15"/>
                <w:lang w:val="en-US"/>
              </w:rPr>
            </w:pPr>
            <w:r w:rsidRPr="00724C91">
              <w:rPr>
                <w:rFonts w:cstheme="minorHAnsi"/>
                <w:sz w:val="15"/>
                <w:szCs w:val="15"/>
                <w:lang w:val="en-US"/>
              </w:rPr>
              <w:t>Controls</w:t>
            </w:r>
          </w:p>
        </w:tc>
        <w:tc>
          <w:tcPr>
            <w:tcW w:w="7581" w:type="dxa"/>
            <w:tcBorders>
              <w:top w:val="nil"/>
              <w:left w:val="nil"/>
              <w:bottom w:val="nil"/>
              <w:right w:val="nil"/>
            </w:tcBorders>
            <w:hideMark/>
          </w:tcPr>
          <w:p w:rsidR="000671A7" w:rsidRPr="00724C91" w:rsidRDefault="000671A7" w:rsidP="000671A7">
            <w:pPr>
              <w:pStyle w:val="ListParagraph"/>
              <w:widowControl/>
              <w:numPr>
                <w:ilvl w:val="0"/>
                <w:numId w:val="1"/>
              </w:numPr>
              <w:ind w:left="217" w:hanging="217"/>
              <w:rPr>
                <w:rFonts w:cstheme="minorHAnsi"/>
                <w:sz w:val="15"/>
                <w:szCs w:val="15"/>
                <w:lang w:val="en-US"/>
              </w:rPr>
            </w:pPr>
            <w:r w:rsidRPr="00724C91">
              <w:rPr>
                <w:rFonts w:cstheme="minorHAnsi"/>
                <w:sz w:val="15"/>
                <w:szCs w:val="15"/>
                <w:lang w:val="en-US"/>
              </w:rPr>
              <w:t>A parallel placebo control group is best, but if not possible, use no-intervention controls.</w:t>
            </w:r>
          </w:p>
          <w:p w:rsidR="000671A7" w:rsidRPr="00724C91" w:rsidRDefault="000671A7" w:rsidP="000671A7">
            <w:pPr>
              <w:pStyle w:val="ListParagraph"/>
              <w:widowControl/>
              <w:numPr>
                <w:ilvl w:val="0"/>
                <w:numId w:val="1"/>
              </w:numPr>
              <w:ind w:left="217" w:hanging="217"/>
              <w:rPr>
                <w:rFonts w:cstheme="minorHAnsi"/>
                <w:sz w:val="15"/>
                <w:szCs w:val="15"/>
                <w:lang w:val="en-US"/>
              </w:rPr>
            </w:pPr>
            <w:r w:rsidRPr="00724C91">
              <w:rPr>
                <w:rFonts w:cstheme="minorHAnsi"/>
                <w:sz w:val="15"/>
                <w:szCs w:val="15"/>
                <w:lang w:val="en-US"/>
              </w:rPr>
              <w:t xml:space="preserve">In addition, consider a positive control group of women using oral or vaginal metronidazole/clindamycin for BV or an antifungal for VVC. </w:t>
            </w:r>
          </w:p>
          <w:p w:rsidR="000671A7" w:rsidRPr="00724C91" w:rsidRDefault="000671A7" w:rsidP="000671A7">
            <w:pPr>
              <w:pStyle w:val="ListParagraph"/>
              <w:widowControl/>
              <w:numPr>
                <w:ilvl w:val="0"/>
                <w:numId w:val="1"/>
              </w:numPr>
              <w:ind w:left="217" w:hanging="217"/>
              <w:rPr>
                <w:rFonts w:cstheme="minorHAnsi"/>
                <w:sz w:val="15"/>
                <w:szCs w:val="15"/>
                <w:lang w:val="en-US"/>
              </w:rPr>
            </w:pPr>
            <w:r w:rsidRPr="00724C91">
              <w:rPr>
                <w:rFonts w:cstheme="minorHAnsi"/>
                <w:sz w:val="15"/>
                <w:szCs w:val="15"/>
                <w:lang w:val="en-US"/>
              </w:rPr>
              <w:t xml:space="preserve">Blind the laboratory technicians who conduct the outcome assessments, especially when blinding of the clinicians and participants is not possible. </w:t>
            </w:r>
          </w:p>
        </w:tc>
      </w:tr>
      <w:tr w:rsidR="00AD2736" w:rsidRPr="00724C91" w:rsidTr="00537DBF">
        <w:tc>
          <w:tcPr>
            <w:tcW w:w="1435" w:type="dxa"/>
            <w:tcBorders>
              <w:top w:val="nil"/>
              <w:left w:val="nil"/>
              <w:bottom w:val="nil"/>
              <w:right w:val="nil"/>
            </w:tcBorders>
            <w:hideMark/>
          </w:tcPr>
          <w:p w:rsidR="000671A7" w:rsidRPr="00724C91" w:rsidRDefault="000671A7" w:rsidP="00537DBF">
            <w:pPr>
              <w:spacing w:after="0"/>
              <w:rPr>
                <w:rFonts w:cstheme="minorHAnsi"/>
                <w:sz w:val="15"/>
                <w:szCs w:val="15"/>
                <w:lang w:val="en-US"/>
              </w:rPr>
            </w:pPr>
            <w:r w:rsidRPr="00724C91">
              <w:rPr>
                <w:rFonts w:cstheme="minorHAnsi"/>
                <w:sz w:val="15"/>
                <w:szCs w:val="15"/>
                <w:lang w:val="en-US"/>
              </w:rPr>
              <w:t>Outcomes</w:t>
            </w:r>
          </w:p>
        </w:tc>
        <w:tc>
          <w:tcPr>
            <w:tcW w:w="7581" w:type="dxa"/>
            <w:tcBorders>
              <w:top w:val="nil"/>
              <w:left w:val="nil"/>
              <w:bottom w:val="nil"/>
              <w:right w:val="nil"/>
            </w:tcBorders>
            <w:hideMark/>
          </w:tcPr>
          <w:p w:rsidR="000671A7" w:rsidRPr="00724C91" w:rsidRDefault="000671A7" w:rsidP="000671A7">
            <w:pPr>
              <w:pStyle w:val="ListParagraph"/>
              <w:widowControl/>
              <w:numPr>
                <w:ilvl w:val="0"/>
                <w:numId w:val="1"/>
              </w:numPr>
              <w:ind w:left="217" w:hanging="217"/>
              <w:rPr>
                <w:rFonts w:cstheme="minorHAnsi"/>
                <w:sz w:val="15"/>
                <w:szCs w:val="15"/>
                <w:lang w:val="en-US"/>
              </w:rPr>
            </w:pPr>
            <w:r w:rsidRPr="00724C91">
              <w:rPr>
                <w:rFonts w:cstheme="minorHAnsi"/>
                <w:sz w:val="15"/>
                <w:szCs w:val="15"/>
                <w:lang w:val="en-US"/>
              </w:rPr>
              <w:t xml:space="preserve">Assess outcomes prior to, during, and after cessation of probiotic use in all women at all time points regardless of symptomatology. Use the same outcome assessments to determine eligibility and/or cure of the initial BV/VVC prior to initiation of probiotic use (if applicable), at the start of probiotic use, and throughout follow-up. </w:t>
            </w:r>
          </w:p>
          <w:p w:rsidR="000671A7" w:rsidRPr="00724C91" w:rsidRDefault="000671A7" w:rsidP="000671A7">
            <w:pPr>
              <w:pStyle w:val="ListParagraph"/>
              <w:widowControl/>
              <w:numPr>
                <w:ilvl w:val="0"/>
                <w:numId w:val="1"/>
              </w:numPr>
              <w:ind w:left="217" w:hanging="217"/>
              <w:rPr>
                <w:rFonts w:cstheme="minorHAnsi"/>
                <w:sz w:val="15"/>
                <w:szCs w:val="15"/>
                <w:lang w:val="en-US"/>
              </w:rPr>
            </w:pPr>
            <w:r w:rsidRPr="00724C91">
              <w:rPr>
                <w:rFonts w:cstheme="minorHAnsi"/>
                <w:sz w:val="15"/>
                <w:szCs w:val="15"/>
                <w:lang w:val="en-US"/>
              </w:rPr>
              <w:t xml:space="preserve">Use (semi-)quantitative molecular methods to differentiate between probiotic lactobacilli, autologous lactobacilli, BV anaerobes, </w:t>
            </w:r>
            <w:r w:rsidRPr="00724C91">
              <w:rPr>
                <w:rFonts w:cstheme="minorHAnsi"/>
                <w:i/>
                <w:sz w:val="15"/>
                <w:szCs w:val="15"/>
                <w:lang w:val="en-US"/>
              </w:rPr>
              <w:t>Candida</w:t>
            </w:r>
            <w:r w:rsidRPr="00724C91">
              <w:rPr>
                <w:rFonts w:cstheme="minorHAnsi"/>
                <w:sz w:val="15"/>
                <w:szCs w:val="15"/>
                <w:lang w:val="en-US"/>
              </w:rPr>
              <w:t xml:space="preserve"> species, and other organisms of interest.</w:t>
            </w:r>
          </w:p>
          <w:p w:rsidR="000671A7" w:rsidRPr="00724C91" w:rsidRDefault="000671A7" w:rsidP="000671A7">
            <w:pPr>
              <w:pStyle w:val="ListParagraph"/>
              <w:widowControl/>
              <w:numPr>
                <w:ilvl w:val="0"/>
                <w:numId w:val="1"/>
              </w:numPr>
              <w:ind w:left="217" w:hanging="217"/>
              <w:rPr>
                <w:rFonts w:cstheme="minorHAnsi"/>
                <w:sz w:val="15"/>
                <w:szCs w:val="15"/>
                <w:lang w:val="en-US"/>
              </w:rPr>
            </w:pPr>
            <w:r w:rsidRPr="00724C91">
              <w:rPr>
                <w:rFonts w:cstheme="minorHAnsi"/>
                <w:sz w:val="15"/>
                <w:szCs w:val="15"/>
                <w:lang w:val="en-US"/>
              </w:rPr>
              <w:t>In addition, use Nugent scoring and Amsel criteria to allow for comparisons with older studies and with current clinical practice.</w:t>
            </w:r>
          </w:p>
          <w:p w:rsidR="000671A7" w:rsidRPr="00724C91" w:rsidRDefault="000671A7" w:rsidP="000671A7">
            <w:pPr>
              <w:pStyle w:val="ListParagraph"/>
              <w:widowControl/>
              <w:numPr>
                <w:ilvl w:val="0"/>
                <w:numId w:val="1"/>
              </w:numPr>
              <w:ind w:left="217" w:hanging="217"/>
              <w:rPr>
                <w:rFonts w:cstheme="minorHAnsi"/>
                <w:sz w:val="15"/>
                <w:szCs w:val="15"/>
                <w:lang w:val="en-US"/>
              </w:rPr>
            </w:pPr>
            <w:r w:rsidRPr="00724C91">
              <w:rPr>
                <w:rFonts w:cstheme="minorHAnsi"/>
                <w:sz w:val="15"/>
                <w:szCs w:val="15"/>
                <w:lang w:val="en-US"/>
              </w:rPr>
              <w:t>Consider and record the timing between last probiotic insertion and sample collection for efficacy assessment.</w:t>
            </w:r>
          </w:p>
          <w:p w:rsidR="000671A7" w:rsidRPr="00724C91" w:rsidRDefault="000671A7" w:rsidP="000671A7">
            <w:pPr>
              <w:pStyle w:val="ListParagraph"/>
              <w:widowControl/>
              <w:numPr>
                <w:ilvl w:val="0"/>
                <w:numId w:val="1"/>
              </w:numPr>
              <w:ind w:left="217" w:hanging="217"/>
              <w:rPr>
                <w:rFonts w:cstheme="minorHAnsi"/>
                <w:sz w:val="15"/>
                <w:szCs w:val="15"/>
                <w:lang w:val="en-US"/>
              </w:rPr>
            </w:pPr>
            <w:r w:rsidRPr="00724C91">
              <w:rPr>
                <w:rFonts w:cstheme="minorHAnsi"/>
                <w:sz w:val="15"/>
                <w:szCs w:val="15"/>
                <w:lang w:val="en-US"/>
              </w:rPr>
              <w:t xml:space="preserve">Consider the vaginal microbiota holistically, including bacteria, yeasts, and sexually transmitted pathogens. </w:t>
            </w:r>
          </w:p>
          <w:p w:rsidR="000671A7" w:rsidRPr="00724C91" w:rsidRDefault="000671A7" w:rsidP="000671A7">
            <w:pPr>
              <w:pStyle w:val="ListParagraph"/>
              <w:widowControl/>
              <w:numPr>
                <w:ilvl w:val="0"/>
                <w:numId w:val="1"/>
              </w:numPr>
              <w:ind w:left="217" w:hanging="217"/>
              <w:rPr>
                <w:rFonts w:cstheme="minorHAnsi"/>
                <w:sz w:val="15"/>
                <w:szCs w:val="15"/>
                <w:lang w:val="en-US"/>
              </w:rPr>
            </w:pPr>
            <w:r w:rsidRPr="00724C91">
              <w:rPr>
                <w:rFonts w:cstheme="minorHAnsi"/>
                <w:sz w:val="15"/>
                <w:szCs w:val="15"/>
                <w:lang w:val="en-US"/>
              </w:rPr>
              <w:t>Always assess and report safety outcomes (adverse events).</w:t>
            </w:r>
          </w:p>
        </w:tc>
      </w:tr>
      <w:tr w:rsidR="000671A7" w:rsidRPr="00724C91" w:rsidTr="00537DBF">
        <w:tc>
          <w:tcPr>
            <w:tcW w:w="1435" w:type="dxa"/>
            <w:tcBorders>
              <w:top w:val="nil"/>
              <w:left w:val="nil"/>
              <w:bottom w:val="single" w:sz="12" w:space="0" w:color="auto"/>
              <w:right w:val="nil"/>
            </w:tcBorders>
            <w:hideMark/>
          </w:tcPr>
          <w:p w:rsidR="000671A7" w:rsidRPr="00724C91" w:rsidRDefault="000671A7" w:rsidP="00537DBF">
            <w:pPr>
              <w:spacing w:after="0"/>
              <w:rPr>
                <w:rFonts w:cstheme="minorHAnsi"/>
                <w:sz w:val="15"/>
                <w:szCs w:val="15"/>
                <w:lang w:val="en-US"/>
              </w:rPr>
            </w:pPr>
            <w:r w:rsidRPr="00724C91">
              <w:rPr>
                <w:rFonts w:cstheme="minorHAnsi"/>
                <w:sz w:val="15"/>
                <w:szCs w:val="15"/>
                <w:lang w:val="en-US"/>
              </w:rPr>
              <w:t>Results reporting</w:t>
            </w:r>
          </w:p>
        </w:tc>
        <w:tc>
          <w:tcPr>
            <w:tcW w:w="7581" w:type="dxa"/>
            <w:tcBorders>
              <w:top w:val="nil"/>
              <w:left w:val="nil"/>
              <w:bottom w:val="single" w:sz="12" w:space="0" w:color="auto"/>
              <w:right w:val="nil"/>
            </w:tcBorders>
            <w:hideMark/>
          </w:tcPr>
          <w:p w:rsidR="000671A7" w:rsidRPr="00724C91" w:rsidRDefault="000671A7" w:rsidP="000671A7">
            <w:pPr>
              <w:pStyle w:val="ListParagraph"/>
              <w:widowControl/>
              <w:numPr>
                <w:ilvl w:val="0"/>
                <w:numId w:val="1"/>
              </w:numPr>
              <w:ind w:left="217" w:hanging="217"/>
              <w:rPr>
                <w:rFonts w:cstheme="minorHAnsi"/>
                <w:sz w:val="15"/>
                <w:szCs w:val="15"/>
                <w:lang w:val="en-US"/>
              </w:rPr>
            </w:pPr>
            <w:r w:rsidRPr="00724C91">
              <w:rPr>
                <w:rFonts w:cstheme="minorHAnsi"/>
                <w:sz w:val="15"/>
                <w:szCs w:val="15"/>
                <w:lang w:val="en-US"/>
              </w:rPr>
              <w:t>Report the name and manufacturer of the vaginal probiotic that was evaluated, as well as all active ingredients, excipients, and dosing information. Explain the rationale for selecting the product and be transparent about competing interests.</w:t>
            </w:r>
          </w:p>
          <w:p w:rsidR="000671A7" w:rsidRPr="00724C91" w:rsidRDefault="000671A7" w:rsidP="000671A7">
            <w:pPr>
              <w:pStyle w:val="ListParagraph"/>
              <w:widowControl/>
              <w:numPr>
                <w:ilvl w:val="0"/>
                <w:numId w:val="1"/>
              </w:numPr>
              <w:ind w:left="217" w:hanging="217"/>
              <w:rPr>
                <w:rFonts w:cstheme="minorHAnsi"/>
                <w:sz w:val="15"/>
                <w:szCs w:val="15"/>
                <w:lang w:val="en-US"/>
              </w:rPr>
            </w:pPr>
            <w:r w:rsidRPr="00724C91">
              <w:rPr>
                <w:rFonts w:cstheme="minorHAnsi"/>
                <w:sz w:val="15"/>
                <w:szCs w:val="15"/>
                <w:lang w:val="en-US"/>
              </w:rPr>
              <w:t xml:space="preserve">Report clearly how the probiotic was meant to be used: as a main therapy to cure BV or VVC, as an adjuvant therapy to an antimicrobial therapy, or as a maintenance therapy to prevent incidence or recurrence. </w:t>
            </w:r>
          </w:p>
          <w:p w:rsidR="000671A7" w:rsidRPr="00724C91" w:rsidRDefault="000671A7" w:rsidP="000671A7">
            <w:pPr>
              <w:pStyle w:val="ListParagraph"/>
              <w:widowControl/>
              <w:numPr>
                <w:ilvl w:val="0"/>
                <w:numId w:val="1"/>
              </w:numPr>
              <w:ind w:left="217" w:hanging="217"/>
              <w:rPr>
                <w:rFonts w:cstheme="minorHAnsi"/>
                <w:sz w:val="15"/>
                <w:szCs w:val="15"/>
                <w:lang w:val="en-US"/>
              </w:rPr>
            </w:pPr>
            <w:r w:rsidRPr="00724C91">
              <w:rPr>
                <w:rFonts w:cstheme="minorHAnsi"/>
                <w:sz w:val="15"/>
                <w:szCs w:val="15"/>
                <w:lang w:val="en-US"/>
              </w:rPr>
              <w:t xml:space="preserve">Report intent-to-treat and per-protocol statistical analysis results. </w:t>
            </w:r>
          </w:p>
        </w:tc>
      </w:tr>
    </w:tbl>
    <w:p w:rsidR="000671A7" w:rsidRPr="00724C91" w:rsidRDefault="000671A7" w:rsidP="000671A7">
      <w:pPr>
        <w:spacing w:after="0"/>
        <w:rPr>
          <w:rFonts w:cstheme="minorHAnsi"/>
          <w:sz w:val="16"/>
          <w:szCs w:val="16"/>
        </w:rPr>
      </w:pPr>
    </w:p>
    <w:p w:rsidR="000671A7" w:rsidRPr="00724C91" w:rsidRDefault="000671A7" w:rsidP="000671A7">
      <w:pPr>
        <w:spacing w:after="0"/>
      </w:pPr>
    </w:p>
    <w:p w:rsidR="00BB30B1" w:rsidRPr="00AD2736" w:rsidRDefault="00BB30B1" w:rsidP="000671A7">
      <w:pPr>
        <w:widowControl w:val="0"/>
        <w:spacing w:after="0"/>
        <w:contextualSpacing/>
        <w:rPr>
          <w:rFonts w:ascii="Times New Roman" w:hAnsi="Times New Roman" w:cs="Times New Roman"/>
          <w:sz w:val="24"/>
          <w:szCs w:val="24"/>
        </w:rPr>
      </w:pPr>
    </w:p>
    <w:sectPr w:rsidR="00BB30B1" w:rsidRPr="00AD2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17BE6"/>
    <w:multiLevelType w:val="hybridMultilevel"/>
    <w:tmpl w:val="EA72C8BA"/>
    <w:lvl w:ilvl="0" w:tplc="7382E0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A7"/>
    <w:rsid w:val="000671A7"/>
    <w:rsid w:val="00724C91"/>
    <w:rsid w:val="008237FC"/>
    <w:rsid w:val="00AD2736"/>
    <w:rsid w:val="00BB3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A3FE"/>
  <w15:chartTrackingRefBased/>
  <w15:docId w15:val="{26C11D2C-6CCA-4C48-B3CE-CB068160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1A7"/>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1A7"/>
    <w:pPr>
      <w:widowControl w:val="0"/>
      <w:spacing w:after="0"/>
      <w:ind w:left="720"/>
      <w:contextualSpacing/>
    </w:pPr>
  </w:style>
  <w:style w:type="paragraph" w:styleId="Bibliography">
    <w:name w:val="Bibliography"/>
    <w:basedOn w:val="Normal"/>
    <w:next w:val="Normal"/>
    <w:uiPriority w:val="37"/>
    <w:unhideWhenUsed/>
    <w:rsid w:val="000671A7"/>
    <w:pPr>
      <w:tabs>
        <w:tab w:val="left" w:pos="504"/>
      </w:tabs>
      <w:spacing w:after="240"/>
      <w:ind w:left="504" w:hanging="504"/>
    </w:pPr>
  </w:style>
  <w:style w:type="table" w:customStyle="1" w:styleId="TableGrid1">
    <w:name w:val="Table Grid1"/>
    <w:basedOn w:val="TableNormal"/>
    <w:next w:val="TableGrid"/>
    <w:uiPriority w:val="39"/>
    <w:rsid w:val="000671A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67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Wijgert, Janneke</dc:creator>
  <cp:keywords/>
  <dc:description/>
  <cp:lastModifiedBy>van de Wijgert, Janneke</cp:lastModifiedBy>
  <cp:revision>4</cp:revision>
  <dcterms:created xsi:type="dcterms:W3CDTF">2019-05-31T10:34:00Z</dcterms:created>
  <dcterms:modified xsi:type="dcterms:W3CDTF">2019-07-31T11:21:00Z</dcterms:modified>
</cp:coreProperties>
</file>