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A7" w:rsidRPr="00724C91" w:rsidRDefault="000671A7" w:rsidP="000671A7">
      <w:pPr>
        <w:pStyle w:val="Bibliography"/>
        <w:spacing w:after="0"/>
        <w:rPr>
          <w:rFonts w:ascii="Times New Roman" w:hAnsi="Times New Roman" w:cs="Times New Roman"/>
        </w:rPr>
      </w:pPr>
      <w:bookmarkStart w:id="0" w:name="_GoBack"/>
      <w:bookmarkEnd w:id="0"/>
      <w:r w:rsidRPr="00724C91">
        <w:rPr>
          <w:rFonts w:eastAsia="Calibri" w:cstheme="minorHAnsi"/>
          <w:b/>
        </w:rPr>
        <w:t>Table 1: Summary of BV/VMB study results</w:t>
      </w:r>
      <w:r w:rsidRPr="00724C91">
        <w:rPr>
          <w:rFonts w:eastAsia="Calibri" w:cstheme="minorHAnsi"/>
        </w:rPr>
        <w:t xml:space="preserve">. </w:t>
      </w:r>
    </w:p>
    <w:p w:rsidR="000671A7" w:rsidRPr="00724C91" w:rsidRDefault="000671A7" w:rsidP="000671A7">
      <w:pPr>
        <w:spacing w:after="0"/>
        <w:rPr>
          <w:rFonts w:eastAsia="Calibri" w:cstheme="minorHAnsi"/>
        </w:rPr>
      </w:pPr>
      <w:r w:rsidRPr="00724C91">
        <w:rPr>
          <w:rFonts w:eastAsia="Calibri" w:cstheme="minorHAnsi"/>
          <w:i/>
        </w:rPr>
        <w:t>BV</w:t>
      </w:r>
      <w:r w:rsidRPr="00724C91">
        <w:rPr>
          <w:rFonts w:eastAsia="Calibri" w:cstheme="minorHAnsi"/>
        </w:rPr>
        <w:t xml:space="preserve"> bacterial vaginosis, </w:t>
      </w:r>
      <w:r w:rsidRPr="00724C91">
        <w:rPr>
          <w:rFonts w:eastAsia="Calibri" w:cstheme="minorHAnsi"/>
          <w:i/>
        </w:rPr>
        <w:t>PY</w:t>
      </w:r>
      <w:r w:rsidRPr="00724C91">
        <w:rPr>
          <w:rFonts w:eastAsia="Calibri" w:cstheme="minorHAnsi"/>
        </w:rPr>
        <w:t xml:space="preserve"> person-years at risk, </w:t>
      </w:r>
      <w:r w:rsidRPr="00724C91">
        <w:rPr>
          <w:rFonts w:eastAsia="Calibri" w:cstheme="minorHAnsi"/>
          <w:i/>
        </w:rPr>
        <w:t>RCT</w:t>
      </w:r>
      <w:r w:rsidRPr="00724C91">
        <w:rPr>
          <w:rFonts w:eastAsia="Calibri" w:cstheme="minorHAnsi"/>
        </w:rPr>
        <w:t xml:space="preserve"> randomised controlled trial, </w:t>
      </w:r>
      <w:r w:rsidRPr="00724C91">
        <w:rPr>
          <w:rFonts w:eastAsia="Calibri" w:cstheme="minorHAnsi"/>
          <w:i/>
        </w:rPr>
        <w:t>VMB</w:t>
      </w:r>
      <w:r w:rsidRPr="00724C91">
        <w:rPr>
          <w:rFonts w:eastAsia="Calibri" w:cstheme="minorHAnsi"/>
        </w:rPr>
        <w:t xml:space="preserve"> vaginal microbiota.</w:t>
      </w:r>
    </w:p>
    <w:p w:rsidR="000671A7" w:rsidRPr="00724C91" w:rsidRDefault="000671A7" w:rsidP="000671A7">
      <w:pPr>
        <w:spacing w:after="0"/>
        <w:rPr>
          <w:rFonts w:eastAsia="Calibri" w:cstheme="minorHAnsi"/>
        </w:rPr>
      </w:pPr>
      <w:r w:rsidRPr="00724C91">
        <w:rPr>
          <w:rFonts w:eastAsia="Calibri" w:cstheme="minorHAnsi"/>
        </w:rPr>
        <w:t>Main results of studies with BV cure and/or recurrence (by Nugent or Ison-Hay scoring of Gram stains) and/or molecular VMB composition endpoints: 14 results in 13 studies.</w:t>
      </w:r>
    </w:p>
    <w:tbl>
      <w:tblPr>
        <w:tblStyle w:val="TableGrid1"/>
        <w:tblW w:w="0" w:type="dxa"/>
        <w:tblInd w:w="-18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530"/>
        <w:gridCol w:w="1170"/>
        <w:gridCol w:w="5670"/>
      </w:tblGrid>
      <w:tr w:rsidR="00AD2736" w:rsidRPr="00724C91" w:rsidTr="00537DBF">
        <w:trPr>
          <w:tblHeader/>
        </w:trPr>
        <w:tc>
          <w:tcPr>
            <w:tcW w:w="900" w:type="dxa"/>
            <w:tcBorders>
              <w:top w:val="single" w:sz="12" w:space="0" w:color="auto"/>
              <w:left w:val="nil"/>
              <w:bottom w:val="single" w:sz="4" w:space="0" w:color="auto"/>
              <w:right w:val="nil"/>
            </w:tcBorders>
            <w:hideMark/>
          </w:tcPr>
          <w:p w:rsidR="000671A7" w:rsidRPr="00724C91" w:rsidRDefault="000671A7" w:rsidP="00537DBF">
            <w:pPr>
              <w:spacing w:after="0"/>
              <w:ind w:right="-20" w:hanging="20"/>
              <w:jc w:val="center"/>
              <w:rPr>
                <w:rFonts w:eastAsia="Calibri" w:cstheme="minorHAnsi"/>
                <w:b/>
                <w:sz w:val="15"/>
                <w:szCs w:val="15"/>
              </w:rPr>
            </w:pPr>
            <w:r w:rsidRPr="00724C91">
              <w:rPr>
                <w:rFonts w:eastAsia="Calibri" w:cstheme="minorHAnsi"/>
                <w:b/>
                <w:sz w:val="15"/>
                <w:szCs w:val="15"/>
              </w:rPr>
              <w:t>Reference</w:t>
            </w:r>
          </w:p>
        </w:tc>
        <w:tc>
          <w:tcPr>
            <w:tcW w:w="1530"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eastAsia="Calibri" w:cstheme="minorHAnsi"/>
                <w:b/>
                <w:sz w:val="15"/>
                <w:szCs w:val="15"/>
              </w:rPr>
            </w:pPr>
            <w:r w:rsidRPr="00724C91">
              <w:rPr>
                <w:rFonts w:eastAsia="Calibri" w:cstheme="minorHAnsi"/>
                <w:b/>
                <w:sz w:val="15"/>
                <w:szCs w:val="15"/>
              </w:rPr>
              <w:t>Probiotic</w:t>
            </w:r>
          </w:p>
        </w:tc>
        <w:tc>
          <w:tcPr>
            <w:tcW w:w="1170"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eastAsia="Calibri" w:cstheme="minorHAnsi"/>
                <w:b/>
                <w:sz w:val="15"/>
                <w:szCs w:val="15"/>
              </w:rPr>
            </w:pPr>
            <w:r w:rsidRPr="00724C91">
              <w:rPr>
                <w:rFonts w:eastAsia="Calibri" w:cstheme="minorHAnsi"/>
                <w:b/>
                <w:sz w:val="15"/>
                <w:szCs w:val="15"/>
              </w:rPr>
              <w:t>Study design</w:t>
            </w:r>
          </w:p>
        </w:tc>
        <w:tc>
          <w:tcPr>
            <w:tcW w:w="5670"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eastAsia="Calibri" w:cstheme="minorHAnsi"/>
                <w:b/>
                <w:sz w:val="15"/>
                <w:szCs w:val="15"/>
              </w:rPr>
            </w:pPr>
            <w:r w:rsidRPr="00724C91">
              <w:rPr>
                <w:rFonts w:eastAsia="Calibri" w:cstheme="minorHAnsi"/>
                <w:b/>
                <w:sz w:val="15"/>
                <w:szCs w:val="15"/>
              </w:rPr>
              <w:t>Results</w:t>
            </w:r>
          </w:p>
        </w:tc>
      </w:tr>
      <w:tr w:rsidR="00AD2736" w:rsidRPr="00724C91" w:rsidTr="00537DBF">
        <w:tc>
          <w:tcPr>
            <w:tcW w:w="9270" w:type="dxa"/>
            <w:gridSpan w:val="4"/>
            <w:tcBorders>
              <w:top w:val="single" w:sz="4" w:space="0" w:color="auto"/>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b/>
                <w:i/>
                <w:sz w:val="15"/>
                <w:szCs w:val="15"/>
              </w:rPr>
              <w:t>Articles with a medium overall risk of bias</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Larsson</w:t>
            </w:r>
            <w:r w:rsidRPr="00724C91">
              <w:rPr>
                <w:rFonts w:cstheme="minorHAnsi"/>
                <w:sz w:val="15"/>
                <w:szCs w:val="15"/>
                <w:vertAlign w:val="superscript"/>
              </w:rPr>
              <w:t>18</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EcoVag (</w:t>
            </w:r>
            <w:r w:rsidRPr="00724C91">
              <w:rPr>
                <w:rFonts w:eastAsia="Calibri" w:cstheme="minorHAnsi"/>
                <w:i/>
                <w:sz w:val="15"/>
                <w:szCs w:val="15"/>
              </w:rPr>
              <w:t>L. gasseri</w:t>
            </w:r>
            <w:r w:rsidRPr="00724C91">
              <w:rPr>
                <w:rFonts w:eastAsia="Calibri" w:cstheme="minorHAnsi"/>
                <w:sz w:val="15"/>
                <w:szCs w:val="15"/>
              </w:rPr>
              <w:t xml:space="preserve"> EB01-DSM 14869 + </w:t>
            </w:r>
            <w:r w:rsidRPr="00724C91">
              <w:rPr>
                <w:rFonts w:eastAsia="Calibri" w:cstheme="minorHAnsi"/>
                <w:i/>
                <w:sz w:val="15"/>
                <w:szCs w:val="15"/>
              </w:rPr>
              <w:t>L. rhamnosus</w:t>
            </w:r>
            <w:r w:rsidRPr="00724C91">
              <w:rPr>
                <w:rFonts w:eastAsia="Calibri" w:cstheme="minorHAnsi"/>
                <w:sz w:val="15"/>
                <w:szCs w:val="15"/>
              </w:rPr>
              <w:t xml:space="preserve"> Lbp PB01-DSM 14870)</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placebo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10 days of EcoVag after clindamycin did not improve BV cure (by Ison-Hay; 32/50 cured) compared to placebo (37/50 cured) but significantly reduced the cumulative incidence of BV/intermediate microbiota within 4 menstrual cycles when used for 10 days after each menses (13/37 versus 21/39 incident cases, respectively).</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Petricevic</w:t>
            </w:r>
            <w:r w:rsidRPr="00724C91">
              <w:rPr>
                <w:rFonts w:cstheme="minorHAnsi"/>
                <w:sz w:val="15"/>
                <w:szCs w:val="15"/>
                <w:vertAlign w:val="superscript"/>
              </w:rPr>
              <w:t>19</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Gynophilus (</w:t>
            </w:r>
            <w:r w:rsidRPr="00724C91">
              <w:rPr>
                <w:rFonts w:eastAsia="Calibri" w:cstheme="minorHAnsi"/>
                <w:i/>
                <w:sz w:val="15"/>
                <w:szCs w:val="15"/>
              </w:rPr>
              <w:t>L. casei rhamnosus</w:t>
            </w:r>
            <w:r w:rsidRPr="00724C91">
              <w:rPr>
                <w:rFonts w:eastAsia="Calibri" w:cstheme="minorHAnsi"/>
                <w:sz w:val="15"/>
                <w:szCs w:val="15"/>
              </w:rPr>
              <w:t xml:space="preserve"> Lcr35)</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no-intervention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7 days of Gynophilus after clindamycin resulted in significantly improved BV cure (by Nugent 0-3) compared to women receiving clindamycin only (69/83 versus 31/88, respectively) assessed 5 weeks after cessation of the intervention period.</w:t>
            </w:r>
          </w:p>
        </w:tc>
      </w:tr>
      <w:tr w:rsidR="00AD2736" w:rsidRPr="00724C91" w:rsidTr="00537DBF">
        <w:tc>
          <w:tcPr>
            <w:tcW w:w="900" w:type="dxa"/>
            <w:tcBorders>
              <w:top w:val="nil"/>
              <w:left w:val="nil"/>
              <w:bottom w:val="nil"/>
              <w:right w:val="nil"/>
            </w:tcBorders>
            <w:hideMark/>
          </w:tcPr>
          <w:p w:rsidR="000671A7" w:rsidRPr="00724C91" w:rsidRDefault="000671A7" w:rsidP="00537DBF">
            <w:pPr>
              <w:tabs>
                <w:tab w:val="left" w:pos="623"/>
              </w:tabs>
              <w:spacing w:after="0"/>
              <w:ind w:right="-120" w:hanging="20"/>
              <w:rPr>
                <w:rFonts w:eastAsia="Calibri" w:cstheme="minorHAnsi"/>
                <w:sz w:val="15"/>
                <w:szCs w:val="15"/>
              </w:rPr>
            </w:pPr>
            <w:r w:rsidRPr="00724C91">
              <w:rPr>
                <w:rFonts w:eastAsia="Calibri" w:cstheme="minorHAnsi"/>
                <w:sz w:val="15"/>
                <w:szCs w:val="15"/>
              </w:rPr>
              <w:t>Mastro-</w:t>
            </w:r>
          </w:p>
          <w:p w:rsidR="000671A7" w:rsidRPr="00724C91" w:rsidRDefault="000671A7" w:rsidP="00537DBF">
            <w:pPr>
              <w:tabs>
                <w:tab w:val="left" w:pos="623"/>
              </w:tabs>
              <w:spacing w:after="0"/>
              <w:ind w:right="-120" w:hanging="20"/>
              <w:rPr>
                <w:rFonts w:eastAsia="Calibri" w:cstheme="minorHAnsi"/>
                <w:sz w:val="15"/>
                <w:szCs w:val="15"/>
              </w:rPr>
            </w:pPr>
            <w:r w:rsidRPr="00724C91">
              <w:rPr>
                <w:rFonts w:eastAsia="Calibri" w:cstheme="minorHAnsi"/>
                <w:sz w:val="15"/>
                <w:szCs w:val="15"/>
              </w:rPr>
              <w:t>marino</w:t>
            </w:r>
            <w:r w:rsidRPr="00724C91">
              <w:rPr>
                <w:rFonts w:cstheme="minorHAnsi"/>
                <w:sz w:val="15"/>
                <w:szCs w:val="15"/>
                <w:vertAlign w:val="superscript"/>
              </w:rPr>
              <w:t>20</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Florisia</w:t>
            </w:r>
            <w:r w:rsidRPr="00724C91">
              <w:rPr>
                <w:rFonts w:eastAsia="Calibri" w:cstheme="minorHAnsi"/>
                <w:i/>
                <w:iCs/>
                <w:sz w:val="15"/>
                <w:szCs w:val="15"/>
              </w:rPr>
              <w:t xml:space="preserve"> (L. brevis </w:t>
            </w:r>
            <w:r w:rsidRPr="00724C91">
              <w:rPr>
                <w:rFonts w:eastAsia="Calibri" w:cstheme="minorHAnsi"/>
                <w:sz w:val="15"/>
                <w:szCs w:val="15"/>
              </w:rPr>
              <w:t xml:space="preserve">CD2 + </w:t>
            </w:r>
            <w:r w:rsidRPr="00724C91">
              <w:rPr>
                <w:rFonts w:eastAsia="Calibri" w:cstheme="minorHAnsi"/>
                <w:i/>
                <w:iCs/>
                <w:sz w:val="15"/>
                <w:szCs w:val="15"/>
              </w:rPr>
              <w:t xml:space="preserve">L. salivarius </w:t>
            </w:r>
            <w:r w:rsidRPr="00724C91">
              <w:rPr>
                <w:rFonts w:eastAsia="Calibri" w:cstheme="minorHAnsi"/>
                <w:sz w:val="15"/>
                <w:szCs w:val="15"/>
              </w:rPr>
              <w:t>subsp. s</w:t>
            </w:r>
            <w:r w:rsidRPr="00724C91">
              <w:rPr>
                <w:rFonts w:eastAsia="Calibri" w:cstheme="minorHAnsi"/>
                <w:i/>
                <w:iCs/>
                <w:sz w:val="15"/>
                <w:szCs w:val="15"/>
              </w:rPr>
              <w:t xml:space="preserve">alicinius </w:t>
            </w:r>
            <w:r w:rsidRPr="00724C91">
              <w:rPr>
                <w:rFonts w:eastAsia="Calibri" w:cstheme="minorHAnsi"/>
                <w:sz w:val="15"/>
                <w:szCs w:val="15"/>
              </w:rPr>
              <w:t xml:space="preserve">FV2 + </w:t>
            </w:r>
            <w:r w:rsidRPr="00724C91">
              <w:rPr>
                <w:rFonts w:eastAsia="Calibri" w:cstheme="minorHAnsi"/>
                <w:i/>
                <w:iCs/>
                <w:sz w:val="15"/>
                <w:szCs w:val="15"/>
              </w:rPr>
              <w:t xml:space="preserve">L. plantarum </w:t>
            </w:r>
            <w:r w:rsidRPr="00724C91">
              <w:rPr>
                <w:rFonts w:eastAsia="Calibri" w:cstheme="minorHAnsi"/>
                <w:sz w:val="15"/>
                <w:szCs w:val="15"/>
              </w:rPr>
              <w:t>FV9)</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placebo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7 days of Florisia (without any antibiotic) was significantly more efficacious in curing BV (15/18 Nugent 0-3, 3/18 Nugent 4-6) than placebo (2/16 Nugent 4-6; 14/16 persistent Nugent 7-10) and was associated with significantly lower BV (Nugent 7-10) cumulative incidence in the 2 weeks after Florisia cessation (7/18 and 13/16, respectively).</w:t>
            </w:r>
          </w:p>
        </w:tc>
      </w:tr>
      <w:tr w:rsidR="00AD2736" w:rsidRPr="00724C91" w:rsidTr="00537DBF">
        <w:tc>
          <w:tcPr>
            <w:tcW w:w="900" w:type="dxa"/>
            <w:tcBorders>
              <w:top w:val="nil"/>
              <w:left w:val="nil"/>
              <w:bottom w:val="nil"/>
              <w:right w:val="nil"/>
            </w:tcBorders>
            <w:hideMark/>
          </w:tcPr>
          <w:p w:rsidR="000671A7" w:rsidRPr="00724C91" w:rsidRDefault="000671A7" w:rsidP="00537DBF">
            <w:pPr>
              <w:tabs>
                <w:tab w:val="left" w:pos="0"/>
              </w:tabs>
              <w:spacing w:after="0"/>
              <w:ind w:right="-120" w:hanging="20"/>
              <w:rPr>
                <w:rFonts w:eastAsia="Calibri" w:cstheme="minorHAnsi"/>
                <w:sz w:val="15"/>
                <w:szCs w:val="15"/>
              </w:rPr>
            </w:pPr>
            <w:r w:rsidRPr="00724C91">
              <w:rPr>
                <w:rFonts w:eastAsia="Calibri" w:cstheme="minorHAnsi"/>
                <w:sz w:val="15"/>
                <w:szCs w:val="15"/>
              </w:rPr>
              <w:tab/>
              <w:t>Bradhaw</w:t>
            </w:r>
            <w:r w:rsidRPr="00724C91">
              <w:rPr>
                <w:rFonts w:cstheme="minorHAnsi"/>
                <w:sz w:val="15"/>
                <w:szCs w:val="15"/>
                <w:vertAlign w:val="superscript"/>
              </w:rPr>
              <w:t>21</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Gynoflor</w:t>
            </w:r>
            <w:r w:rsidRPr="00724C91">
              <w:rPr>
                <w:rFonts w:eastAsia="Calibri" w:cstheme="minorHAnsi"/>
                <w:i/>
                <w:iCs/>
                <w:sz w:val="15"/>
                <w:szCs w:val="15"/>
              </w:rPr>
              <w:t xml:space="preserve"> (L. acidophilus </w:t>
            </w:r>
            <w:r w:rsidRPr="00724C91">
              <w:rPr>
                <w:rFonts w:eastAsia="Calibri" w:cstheme="minorHAnsi"/>
                <w:sz w:val="15"/>
                <w:szCs w:val="15"/>
              </w:rPr>
              <w:t>KS400 + 0.03mg oestriol)</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placebo and clindamycin cream controls</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12 days of Gynoflor after oral metronidazole treatment for BV (Nugent 7-10) resulted in a borderline (p=0.13) lower BV recurrence (9/133) at Month 1 compared to 12 days of placebo (13/135) but higher compared to 7 days of vaginal clindamycin (5/140). At Month 6, BV recurrence was comparable between the three arms (37/133, 36/135, and 42/140, respectively).</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 xml:space="preserve">van de </w:t>
            </w:r>
          </w:p>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Wijgert</w:t>
            </w:r>
            <w:r w:rsidRPr="00724C91">
              <w:rPr>
                <w:rFonts w:cstheme="minorHAnsi"/>
                <w:sz w:val="15"/>
                <w:szCs w:val="15"/>
                <w:vertAlign w:val="superscript"/>
              </w:rPr>
              <w:t>10</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Ecologic Femi+ (</w:t>
            </w:r>
            <w:r w:rsidRPr="00724C91">
              <w:rPr>
                <w:rFonts w:eastAsia="Calibri" w:cstheme="minorHAnsi"/>
                <w:i/>
                <w:iCs/>
                <w:sz w:val="15"/>
                <w:szCs w:val="15"/>
              </w:rPr>
              <w:t xml:space="preserve">B. bifidum </w:t>
            </w:r>
            <w:r w:rsidRPr="00724C91">
              <w:rPr>
                <w:rFonts w:eastAsia="Calibri" w:cstheme="minorHAnsi"/>
                <w:sz w:val="15"/>
                <w:szCs w:val="15"/>
              </w:rPr>
              <w:t xml:space="preserve">W28 + </w:t>
            </w:r>
            <w:r w:rsidRPr="00724C91">
              <w:rPr>
                <w:rFonts w:eastAsia="Calibri" w:cstheme="minorHAnsi"/>
                <w:i/>
                <w:iCs/>
                <w:sz w:val="15"/>
                <w:szCs w:val="15"/>
              </w:rPr>
              <w:t xml:space="preserve">L. acidophilus </w:t>
            </w:r>
            <w:r w:rsidRPr="00724C91">
              <w:rPr>
                <w:rFonts w:eastAsia="Calibri" w:cstheme="minorHAnsi"/>
                <w:sz w:val="15"/>
                <w:szCs w:val="15"/>
              </w:rPr>
              <w:t xml:space="preserve">W70 + </w:t>
            </w:r>
            <w:r w:rsidRPr="00724C91">
              <w:rPr>
                <w:rFonts w:eastAsia="Calibri" w:cstheme="minorHAnsi"/>
                <w:i/>
                <w:iCs/>
                <w:sz w:val="15"/>
                <w:szCs w:val="15"/>
              </w:rPr>
              <w:t xml:space="preserve">L. helveticus </w:t>
            </w:r>
            <w:r w:rsidRPr="00724C91">
              <w:rPr>
                <w:rFonts w:eastAsia="Calibri" w:cstheme="minorHAnsi"/>
                <w:sz w:val="15"/>
                <w:szCs w:val="15"/>
              </w:rPr>
              <w:t xml:space="preserve">W74 + </w:t>
            </w:r>
            <w:r w:rsidRPr="00724C91">
              <w:rPr>
                <w:rFonts w:eastAsia="Calibri" w:cstheme="minorHAnsi"/>
                <w:i/>
                <w:iCs/>
                <w:sz w:val="15"/>
                <w:szCs w:val="15"/>
              </w:rPr>
              <w:t xml:space="preserve">L. brevis </w:t>
            </w:r>
            <w:r w:rsidRPr="00724C91">
              <w:rPr>
                <w:rFonts w:eastAsia="Calibri" w:cstheme="minorHAnsi"/>
                <w:sz w:val="15"/>
                <w:szCs w:val="15"/>
              </w:rPr>
              <w:t xml:space="preserve">W63 + </w:t>
            </w:r>
            <w:r w:rsidRPr="00724C91">
              <w:rPr>
                <w:rFonts w:eastAsia="Calibri" w:cstheme="minorHAnsi"/>
                <w:i/>
                <w:iCs/>
                <w:sz w:val="15"/>
                <w:szCs w:val="15"/>
              </w:rPr>
              <w:t>L. plantarum</w:t>
            </w:r>
            <w:r w:rsidRPr="00724C91">
              <w:rPr>
                <w:rFonts w:eastAsia="Calibri" w:cstheme="minorHAnsi"/>
                <w:sz w:val="15"/>
                <w:szCs w:val="15"/>
              </w:rPr>
              <w:t xml:space="preserve"> W21 + </w:t>
            </w:r>
            <w:r w:rsidRPr="00724C91">
              <w:rPr>
                <w:rFonts w:eastAsia="Calibri" w:cstheme="minorHAnsi"/>
                <w:i/>
                <w:iCs/>
                <w:sz w:val="15"/>
                <w:szCs w:val="15"/>
              </w:rPr>
              <w:t xml:space="preserve">L. salivarius </w:t>
            </w:r>
            <w:r w:rsidRPr="00724C91">
              <w:rPr>
                <w:rFonts w:eastAsia="Calibri" w:cstheme="minorHAnsi"/>
                <w:sz w:val="15"/>
                <w:szCs w:val="15"/>
              </w:rPr>
              <w:t>W24)</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no-intervention and oral metronidazole controls</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Intermittent Ecologic Femi+ use after oral metronidazole BV treatment resulted in significantly lower BV (Nugent 7-10) recurrence than no-intervention (incidence 3.58/PY versus 10.18/PY, respectively), and significantly reduced BV-anaerobes concentration by sequencing, during the 2 months of use, but the effect disappeared by 4 months after cessation of use.</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Van de Wijgert</w:t>
            </w:r>
            <w:r w:rsidRPr="00724C91">
              <w:rPr>
                <w:rFonts w:cstheme="minorHAnsi"/>
                <w:sz w:val="15"/>
                <w:szCs w:val="15"/>
                <w:vertAlign w:val="superscript"/>
              </w:rPr>
              <w:t>10</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Gynophilus LP (</w:t>
            </w:r>
            <w:r w:rsidRPr="00724C91">
              <w:rPr>
                <w:rFonts w:eastAsia="Calibri" w:cstheme="minorHAnsi"/>
                <w:i/>
                <w:iCs/>
                <w:sz w:val="15"/>
                <w:szCs w:val="15"/>
              </w:rPr>
              <w:t xml:space="preserve">L. rhamnosus </w:t>
            </w:r>
            <w:r w:rsidRPr="00724C91">
              <w:rPr>
                <w:rFonts w:eastAsia="Calibri" w:cstheme="minorHAnsi"/>
                <w:sz w:val="15"/>
                <w:szCs w:val="15"/>
              </w:rPr>
              <w:t xml:space="preserve">Lcr35 </w:t>
            </w:r>
            <w:r w:rsidRPr="00724C91">
              <w:rPr>
                <w:rFonts w:eastAsia="Calibri" w:cstheme="minorHAnsi"/>
                <w:i/>
                <w:sz w:val="15"/>
                <w:szCs w:val="15"/>
              </w:rPr>
              <w:t>regenerans</w:t>
            </w:r>
            <w:r w:rsidRPr="00724C91">
              <w:rPr>
                <w:rFonts w:eastAsia="Calibri" w:cstheme="minorHAnsi"/>
                <w:sz w:val="15"/>
                <w:szCs w:val="15"/>
              </w:rPr>
              <w:t>)</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no-intervention and oral metronidazole controls</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Intermittent Gynophilus LP use after oral metronidazole BV treatment resulted in a non-significant lower BV (Nugent 7-10) recurrence than controls (incidence 5.36/PY), and non-significantly reduced BV-anaerobes concentration by sequencing, during the 2 months of use, but the effect disappeared by 4 months after cessation of use.</w:t>
            </w:r>
          </w:p>
        </w:tc>
      </w:tr>
      <w:tr w:rsidR="00AD2736" w:rsidRPr="00724C91" w:rsidTr="00537DBF">
        <w:tc>
          <w:tcPr>
            <w:tcW w:w="9270" w:type="dxa"/>
            <w:gridSpan w:val="4"/>
            <w:tcBorders>
              <w:top w:val="nil"/>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b/>
                <w:i/>
                <w:sz w:val="15"/>
                <w:szCs w:val="15"/>
              </w:rPr>
              <w:t>Articles with a high overall risk of bias</w:t>
            </w:r>
          </w:p>
        </w:tc>
      </w:tr>
      <w:tr w:rsidR="00AD2736" w:rsidRPr="00724C91" w:rsidTr="00537DBF">
        <w:tc>
          <w:tcPr>
            <w:tcW w:w="900" w:type="dxa"/>
            <w:tcBorders>
              <w:top w:val="nil"/>
              <w:left w:val="nil"/>
              <w:bottom w:val="nil"/>
              <w:right w:val="nil"/>
            </w:tcBorders>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Eriksson</w:t>
            </w:r>
            <w:r w:rsidRPr="00724C91">
              <w:rPr>
                <w:rFonts w:cstheme="minorHAnsi"/>
                <w:sz w:val="15"/>
                <w:szCs w:val="15"/>
                <w:vertAlign w:val="superscript"/>
              </w:rPr>
              <w:t>22</w:t>
            </w:r>
          </w:p>
          <w:p w:rsidR="000671A7" w:rsidRPr="00724C91" w:rsidRDefault="000671A7" w:rsidP="00537DBF">
            <w:pPr>
              <w:spacing w:after="0"/>
              <w:ind w:right="-120" w:hanging="20"/>
              <w:rPr>
                <w:rFonts w:eastAsia="Calibri" w:cstheme="minorHAnsi"/>
                <w:sz w:val="15"/>
                <w:szCs w:val="15"/>
              </w:rPr>
            </w:pP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i/>
                <w:iCs/>
                <w:sz w:val="15"/>
                <w:szCs w:val="15"/>
              </w:rPr>
              <w:t xml:space="preserve">L. gasseri </w:t>
            </w:r>
            <w:r w:rsidRPr="00724C91">
              <w:rPr>
                <w:rFonts w:eastAsia="Calibri" w:cstheme="minorHAnsi"/>
                <w:sz w:val="15"/>
                <w:szCs w:val="15"/>
              </w:rPr>
              <w:t xml:space="preserve">+ </w:t>
            </w:r>
            <w:r w:rsidRPr="00724C91">
              <w:rPr>
                <w:rFonts w:eastAsia="Calibri" w:cstheme="minorHAnsi"/>
                <w:i/>
                <w:iCs/>
                <w:sz w:val="15"/>
                <w:szCs w:val="15"/>
              </w:rPr>
              <w:t xml:space="preserve">L. casei </w:t>
            </w:r>
            <w:r w:rsidRPr="00724C91">
              <w:rPr>
                <w:rFonts w:eastAsia="Calibri" w:cstheme="minorHAnsi"/>
                <w:sz w:val="15"/>
                <w:szCs w:val="15"/>
              </w:rPr>
              <w:t xml:space="preserve">var </w:t>
            </w:r>
            <w:r w:rsidRPr="00724C91">
              <w:rPr>
                <w:rFonts w:eastAsia="Calibri" w:cstheme="minorHAnsi"/>
                <w:i/>
                <w:iCs/>
                <w:sz w:val="15"/>
                <w:szCs w:val="15"/>
              </w:rPr>
              <w:t>rhamnosus</w:t>
            </w:r>
            <w:r w:rsidRPr="00724C91">
              <w:rPr>
                <w:rFonts w:eastAsia="Calibri" w:cstheme="minorHAnsi"/>
                <w:sz w:val="15"/>
                <w:szCs w:val="15"/>
              </w:rPr>
              <w:t xml:space="preserve"> + </w:t>
            </w:r>
            <w:r w:rsidRPr="00724C91">
              <w:rPr>
                <w:rFonts w:eastAsia="Calibri" w:cstheme="minorHAnsi"/>
                <w:i/>
                <w:iCs/>
                <w:sz w:val="15"/>
                <w:szCs w:val="15"/>
              </w:rPr>
              <w:t xml:space="preserve">L. fermentum </w:t>
            </w:r>
            <w:r w:rsidRPr="00724C91">
              <w:rPr>
                <w:rFonts w:eastAsia="Calibri" w:cstheme="minorHAnsi"/>
                <w:sz w:val="15"/>
                <w:szCs w:val="15"/>
              </w:rPr>
              <w:t>(impregnated tampons)</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placebo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Use of lactobacilli-impregnated tampons for 5 or more days during the first and second menses after clindamycin treatment was not efficacious in reducing BV recurrence (by Nugent 4-10) by the end of the two menstrual cycles (41/91) compared to placebo tampons (34/96).</w:t>
            </w:r>
          </w:p>
        </w:tc>
      </w:tr>
      <w:tr w:rsidR="00AD2736" w:rsidRPr="00724C91" w:rsidTr="00537DBF">
        <w:tc>
          <w:tcPr>
            <w:tcW w:w="900" w:type="dxa"/>
            <w:tcBorders>
              <w:top w:val="nil"/>
              <w:left w:val="nil"/>
              <w:bottom w:val="nil"/>
              <w:right w:val="nil"/>
            </w:tcBorders>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Anukam</w:t>
            </w:r>
            <w:r w:rsidRPr="00724C91">
              <w:rPr>
                <w:rFonts w:cstheme="minorHAnsi"/>
                <w:sz w:val="15"/>
                <w:szCs w:val="15"/>
                <w:vertAlign w:val="superscript"/>
              </w:rPr>
              <w:t>23</w:t>
            </w:r>
          </w:p>
          <w:p w:rsidR="000671A7" w:rsidRPr="00724C91" w:rsidRDefault="000671A7" w:rsidP="00537DBF">
            <w:pPr>
              <w:spacing w:after="0"/>
              <w:ind w:right="-120" w:hanging="20"/>
              <w:rPr>
                <w:rFonts w:eastAsia="Calibri" w:cstheme="minorHAnsi"/>
                <w:sz w:val="15"/>
                <w:szCs w:val="15"/>
              </w:rPr>
            </w:pPr>
          </w:p>
        </w:tc>
        <w:tc>
          <w:tcPr>
            <w:tcW w:w="1530" w:type="dxa"/>
            <w:tcBorders>
              <w:top w:val="nil"/>
              <w:left w:val="nil"/>
              <w:bottom w:val="nil"/>
              <w:right w:val="nil"/>
            </w:tcBorders>
            <w:hideMark/>
          </w:tcPr>
          <w:p w:rsidR="000671A7" w:rsidRPr="00724C91" w:rsidRDefault="000671A7" w:rsidP="00537DBF">
            <w:pPr>
              <w:spacing w:after="0"/>
              <w:ind w:right="-54"/>
              <w:rPr>
                <w:rFonts w:eastAsia="Calibri" w:cstheme="minorHAnsi"/>
                <w:sz w:val="15"/>
                <w:szCs w:val="15"/>
              </w:rPr>
            </w:pPr>
            <w:r w:rsidRPr="00724C91">
              <w:rPr>
                <w:rFonts w:eastAsia="Calibri" w:cstheme="minorHAnsi"/>
                <w:sz w:val="15"/>
                <w:szCs w:val="15"/>
              </w:rPr>
              <w:t xml:space="preserve">RC-14/GR-1 </w:t>
            </w:r>
            <w:r w:rsidRPr="00724C91">
              <w:rPr>
                <w:rFonts w:eastAsia="Calibri" w:cstheme="minorHAnsi"/>
                <w:i/>
                <w:iCs/>
                <w:sz w:val="15"/>
                <w:szCs w:val="15"/>
              </w:rPr>
              <w:t xml:space="preserve">(L. fermentum </w:t>
            </w:r>
            <w:r w:rsidRPr="00724C91">
              <w:rPr>
                <w:rFonts w:eastAsia="Calibri" w:cstheme="minorHAnsi"/>
                <w:sz w:val="15"/>
                <w:szCs w:val="15"/>
              </w:rPr>
              <w:t xml:space="preserve">RC-14 + </w:t>
            </w:r>
            <w:r w:rsidRPr="00724C91">
              <w:rPr>
                <w:rFonts w:eastAsia="Calibri" w:cstheme="minorHAnsi"/>
                <w:i/>
                <w:iCs/>
                <w:sz w:val="15"/>
                <w:szCs w:val="15"/>
              </w:rPr>
              <w:t>L. rhamnosus</w:t>
            </w:r>
            <w:r w:rsidRPr="00724C91">
              <w:rPr>
                <w:rFonts w:eastAsia="Calibri" w:cstheme="minorHAnsi"/>
                <w:sz w:val="15"/>
                <w:szCs w:val="15"/>
              </w:rPr>
              <w:t xml:space="preserve"> GR-1)</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metronidazole gel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5 days of GR-1+RC-14 capsules (without any antibiotic) was significantly more efficacious in curing BV (12/20 Nugent 0-3) than 5 days of metronidazole gel (6/20) when assessed directly after the intervention, and also in reducing BV recurrence (Nugent 7-10) up to 25 days post-intervention (2/17 versus 9/18, respectively).</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Hemalatha</w:t>
            </w:r>
            <w:r w:rsidRPr="00724C91">
              <w:rPr>
                <w:rFonts w:cstheme="minorHAnsi"/>
                <w:sz w:val="15"/>
                <w:szCs w:val="15"/>
                <w:vertAlign w:val="superscript"/>
              </w:rPr>
              <w:t>24</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Florisia (</w:t>
            </w:r>
            <w:r w:rsidRPr="00724C91">
              <w:rPr>
                <w:rFonts w:eastAsia="Calibri" w:cstheme="minorHAnsi"/>
                <w:i/>
                <w:iCs/>
                <w:sz w:val="15"/>
                <w:szCs w:val="15"/>
              </w:rPr>
              <w:t xml:space="preserve">L. brevis </w:t>
            </w:r>
            <w:r w:rsidRPr="00724C91">
              <w:rPr>
                <w:rFonts w:eastAsia="Calibri" w:cstheme="minorHAnsi"/>
                <w:sz w:val="15"/>
                <w:szCs w:val="15"/>
              </w:rPr>
              <w:t>CD2 +</w:t>
            </w:r>
            <w:r w:rsidRPr="00724C91">
              <w:rPr>
                <w:rFonts w:eastAsia="Calibri" w:cstheme="minorHAnsi"/>
                <w:i/>
                <w:iCs/>
                <w:sz w:val="15"/>
                <w:szCs w:val="15"/>
              </w:rPr>
              <w:t xml:space="preserve"> L. salivarius </w:t>
            </w:r>
            <w:r w:rsidRPr="00724C91">
              <w:rPr>
                <w:rFonts w:eastAsia="Calibri" w:cstheme="minorHAnsi"/>
                <w:sz w:val="15"/>
                <w:szCs w:val="15"/>
              </w:rPr>
              <w:t>subsp.</w:t>
            </w:r>
            <w:r w:rsidRPr="00724C91">
              <w:rPr>
                <w:rFonts w:eastAsia="Calibri" w:cstheme="minorHAnsi"/>
                <w:i/>
                <w:iCs/>
                <w:sz w:val="15"/>
                <w:szCs w:val="15"/>
              </w:rPr>
              <w:t xml:space="preserve"> salicinius</w:t>
            </w:r>
            <w:r w:rsidRPr="00724C91">
              <w:rPr>
                <w:rFonts w:eastAsia="Calibri" w:cstheme="minorHAnsi"/>
                <w:sz w:val="15"/>
                <w:szCs w:val="15"/>
              </w:rPr>
              <w:t xml:space="preserve"> + </w:t>
            </w:r>
            <w:r w:rsidRPr="00724C91">
              <w:rPr>
                <w:rFonts w:eastAsia="Calibri" w:cstheme="minorHAnsi"/>
                <w:i/>
                <w:iCs/>
                <w:sz w:val="15"/>
                <w:szCs w:val="15"/>
              </w:rPr>
              <w:t>L. plantarum</w:t>
            </w:r>
            <w:r w:rsidRPr="00724C91">
              <w:rPr>
                <w:rFonts w:eastAsia="Calibri" w:cstheme="minorHAnsi"/>
                <w:sz w:val="15"/>
                <w:szCs w:val="15"/>
              </w:rPr>
              <w:t xml:space="preserve">) </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pH lowering tablet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8 days of Florisia (without any antibiotic) was not efficacious in curing BV (by Nugent; 36/75 cured) compared to pH-lowering tablet (29/73 cured).</w:t>
            </w:r>
          </w:p>
        </w:tc>
      </w:tr>
      <w:tr w:rsidR="00AD2736" w:rsidRPr="00724C91" w:rsidTr="00537DBF">
        <w:tc>
          <w:tcPr>
            <w:tcW w:w="900" w:type="dxa"/>
            <w:tcBorders>
              <w:top w:val="nil"/>
              <w:left w:val="nil"/>
              <w:bottom w:val="nil"/>
              <w:right w:val="nil"/>
            </w:tcBorders>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Ling</w:t>
            </w:r>
            <w:r w:rsidRPr="00724C91">
              <w:rPr>
                <w:rFonts w:cstheme="minorHAnsi"/>
                <w:sz w:val="15"/>
                <w:szCs w:val="15"/>
                <w:vertAlign w:val="superscript"/>
              </w:rPr>
              <w:t>25</w:t>
            </w:r>
          </w:p>
          <w:p w:rsidR="000671A7" w:rsidRPr="00724C91" w:rsidRDefault="000671A7" w:rsidP="00537DBF">
            <w:pPr>
              <w:spacing w:after="0"/>
              <w:ind w:right="-120"/>
              <w:rPr>
                <w:rFonts w:eastAsia="Calibri" w:cstheme="minorHAnsi"/>
                <w:sz w:val="15"/>
                <w:szCs w:val="15"/>
              </w:rPr>
            </w:pP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i/>
                <w:iCs/>
                <w:sz w:val="15"/>
                <w:szCs w:val="15"/>
              </w:rPr>
              <w:t xml:space="preserve">L. delbrueckii </w:t>
            </w:r>
            <w:r w:rsidRPr="00724C91">
              <w:rPr>
                <w:rFonts w:eastAsia="Calibri" w:cstheme="minorHAnsi"/>
                <w:sz w:val="15"/>
                <w:szCs w:val="15"/>
              </w:rPr>
              <w:t xml:space="preserve">subsp. </w:t>
            </w:r>
            <w:r w:rsidRPr="00724C91">
              <w:rPr>
                <w:rFonts w:eastAsia="Calibri" w:cstheme="minorHAnsi"/>
                <w:i/>
                <w:iCs/>
                <w:sz w:val="15"/>
                <w:szCs w:val="15"/>
              </w:rPr>
              <w:t>lactis</w:t>
            </w:r>
            <w:r w:rsidRPr="00724C91">
              <w:rPr>
                <w:rFonts w:eastAsia="Calibri" w:cstheme="minorHAnsi"/>
                <w:sz w:val="15"/>
                <w:szCs w:val="15"/>
              </w:rPr>
              <w:t xml:space="preserve"> DM8909</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sz w:val="15"/>
                <w:szCs w:val="15"/>
              </w:rPr>
              <w:t>RCT: metronidazole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7 days of unnamed </w:t>
            </w:r>
            <w:r w:rsidRPr="00724C91">
              <w:rPr>
                <w:rFonts w:eastAsia="Calibri" w:cstheme="minorHAnsi"/>
                <w:i/>
                <w:sz w:val="15"/>
                <w:szCs w:val="15"/>
              </w:rPr>
              <w:t>L.</w:t>
            </w:r>
            <w:r w:rsidRPr="00724C91">
              <w:rPr>
                <w:rFonts w:eastAsia="Calibri" w:cstheme="minorHAnsi"/>
                <w:sz w:val="15"/>
                <w:szCs w:val="15"/>
              </w:rPr>
              <w:t xml:space="preserve"> </w:t>
            </w:r>
            <w:r w:rsidRPr="00724C91">
              <w:rPr>
                <w:rFonts w:eastAsia="Calibri" w:cstheme="minorHAnsi"/>
                <w:i/>
                <w:sz w:val="15"/>
                <w:szCs w:val="15"/>
              </w:rPr>
              <w:t>delbrueckii</w:t>
            </w:r>
            <w:r w:rsidRPr="00724C91">
              <w:rPr>
                <w:rFonts w:eastAsia="Calibri" w:cstheme="minorHAnsi"/>
                <w:sz w:val="15"/>
                <w:szCs w:val="15"/>
              </w:rPr>
              <w:t>-containing probiotic (without any antibiotic) was equally effective as vaginal metronidazole gel in curing BV (assessed 5 days after treatment completion; 22/25 and 25/30 cured, respectively) and was associated with a significantly lower recurrence 30 days after treatment completion than metronidazole gel (0/25 versus 5/30 recurrences). The molecular VMB data also suggest benefits of using the probiotic.</w:t>
            </w:r>
          </w:p>
        </w:tc>
      </w:tr>
      <w:tr w:rsidR="00AD2736" w:rsidRPr="00724C91" w:rsidTr="00537DBF">
        <w:tc>
          <w:tcPr>
            <w:tcW w:w="900" w:type="dxa"/>
            <w:tcBorders>
              <w:top w:val="nil"/>
              <w:left w:val="nil"/>
              <w:bottom w:val="nil"/>
              <w:right w:val="nil"/>
            </w:tcBorders>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Bisanz</w:t>
            </w:r>
            <w:r w:rsidRPr="00724C91">
              <w:rPr>
                <w:rFonts w:cstheme="minorHAnsi"/>
                <w:sz w:val="15"/>
                <w:szCs w:val="15"/>
                <w:vertAlign w:val="superscript"/>
              </w:rPr>
              <w:t>26</w:t>
            </w:r>
          </w:p>
          <w:p w:rsidR="000671A7" w:rsidRPr="00724C91" w:rsidRDefault="000671A7" w:rsidP="00537DBF">
            <w:pPr>
              <w:spacing w:after="0"/>
              <w:ind w:right="-120" w:hanging="20"/>
              <w:rPr>
                <w:rFonts w:eastAsia="Calibri" w:cstheme="minorHAnsi"/>
                <w:sz w:val="15"/>
                <w:szCs w:val="15"/>
              </w:rPr>
            </w:pP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b/>
                <w:sz w:val="15"/>
                <w:szCs w:val="15"/>
                <w:lang w:val="nl-NL"/>
              </w:rPr>
            </w:pPr>
            <w:r w:rsidRPr="00724C91">
              <w:rPr>
                <w:rFonts w:eastAsia="Calibri" w:cstheme="minorHAnsi"/>
                <w:sz w:val="15"/>
                <w:szCs w:val="15"/>
                <w:lang w:val="nl-NL"/>
              </w:rPr>
              <w:t>RC-14/GR-1 (</w:t>
            </w:r>
            <w:r w:rsidRPr="00724C91">
              <w:rPr>
                <w:rFonts w:eastAsia="Calibri" w:cstheme="minorHAnsi"/>
                <w:i/>
                <w:iCs/>
                <w:sz w:val="15"/>
                <w:szCs w:val="15"/>
                <w:lang w:val="nl-NL"/>
              </w:rPr>
              <w:t xml:space="preserve">L. reuteri </w:t>
            </w:r>
            <w:r w:rsidRPr="00724C91">
              <w:rPr>
                <w:rFonts w:eastAsia="Calibri" w:cstheme="minorHAnsi"/>
                <w:sz w:val="15"/>
                <w:szCs w:val="15"/>
                <w:lang w:val="nl-NL"/>
              </w:rPr>
              <w:t xml:space="preserve">RC-14 + </w:t>
            </w:r>
            <w:r w:rsidRPr="00724C91">
              <w:rPr>
                <w:rFonts w:eastAsia="Calibri" w:cstheme="minorHAnsi"/>
                <w:i/>
                <w:iCs/>
                <w:sz w:val="15"/>
                <w:szCs w:val="15"/>
                <w:lang w:val="nl-NL"/>
              </w:rPr>
              <w:t xml:space="preserve">L. rhamnosus </w:t>
            </w:r>
            <w:r w:rsidRPr="00724C91">
              <w:rPr>
                <w:rFonts w:eastAsia="Calibri" w:cstheme="minorHAnsi"/>
                <w:sz w:val="15"/>
                <w:szCs w:val="15"/>
                <w:lang w:val="nl-NL"/>
              </w:rPr>
              <w:t>GR-1)</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sz w:val="15"/>
                <w:szCs w:val="15"/>
              </w:rPr>
              <w:t>Randomised controlled cross-over trial: placebo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In women with Nugent 4-6, 3 days of GR-1/RC-14 use (without any antibiotic) did not result in more women with Nugent score improvement compared to placebo use (2/10 and 0/10 improved one day after use, and 2/9 and 1/8 improved 8 days after use). However, the </w:t>
            </w:r>
            <w:r w:rsidRPr="00724C91">
              <w:rPr>
                <w:rFonts w:eastAsia="Calibri" w:cstheme="minorHAnsi"/>
                <w:i/>
                <w:sz w:val="15"/>
                <w:szCs w:val="15"/>
              </w:rPr>
              <w:t>Lactobacillus</w:t>
            </w:r>
            <w:r w:rsidRPr="00724C91">
              <w:rPr>
                <w:rFonts w:eastAsia="Calibri" w:cstheme="minorHAnsi"/>
                <w:sz w:val="15"/>
                <w:szCs w:val="15"/>
              </w:rPr>
              <w:t xml:space="preserve"> relative abundance was significantly increased, and </w:t>
            </w:r>
            <w:r w:rsidRPr="00724C91">
              <w:rPr>
                <w:rFonts w:eastAsia="Calibri" w:cstheme="minorHAnsi"/>
                <w:i/>
                <w:sz w:val="15"/>
                <w:szCs w:val="15"/>
              </w:rPr>
              <w:t>Atopobium</w:t>
            </w:r>
            <w:r w:rsidRPr="00724C91">
              <w:rPr>
                <w:rFonts w:eastAsia="Calibri" w:cstheme="minorHAnsi"/>
                <w:sz w:val="15"/>
                <w:szCs w:val="15"/>
              </w:rPr>
              <w:t xml:space="preserve"> relative abundance significantly decreased, one day after use.</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Verdenelli</w:t>
            </w:r>
            <w:r w:rsidRPr="00724C91">
              <w:rPr>
                <w:rFonts w:cstheme="minorHAnsi"/>
                <w:sz w:val="15"/>
                <w:szCs w:val="15"/>
                <w:vertAlign w:val="superscript"/>
              </w:rPr>
              <w:t>27</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sz w:val="15"/>
                <w:szCs w:val="15"/>
              </w:rPr>
              <w:t>SYNBIO gin (</w:t>
            </w:r>
            <w:r w:rsidRPr="00724C91">
              <w:rPr>
                <w:rFonts w:eastAsia="Calibri" w:cstheme="minorHAnsi"/>
                <w:i/>
                <w:iCs/>
                <w:sz w:val="15"/>
                <w:szCs w:val="15"/>
              </w:rPr>
              <w:t>L. rhamnosus</w:t>
            </w:r>
            <w:r w:rsidRPr="00724C91">
              <w:rPr>
                <w:rFonts w:eastAsia="Calibri" w:cstheme="minorHAnsi"/>
                <w:sz w:val="15"/>
                <w:szCs w:val="15"/>
              </w:rPr>
              <w:t xml:space="preserve"> IMC 501 + </w:t>
            </w:r>
            <w:r w:rsidRPr="00724C91">
              <w:rPr>
                <w:rFonts w:eastAsia="Calibri" w:cstheme="minorHAnsi"/>
                <w:i/>
                <w:iCs/>
                <w:sz w:val="15"/>
                <w:szCs w:val="15"/>
              </w:rPr>
              <w:t xml:space="preserve">L. paracasei </w:t>
            </w:r>
            <w:r w:rsidRPr="00724C91">
              <w:rPr>
                <w:rFonts w:eastAsia="Calibri" w:cstheme="minorHAnsi"/>
                <w:sz w:val="15"/>
                <w:szCs w:val="15"/>
              </w:rPr>
              <w:t>IMC 502)</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b/>
                <w:sz w:val="15"/>
                <w:szCs w:val="15"/>
              </w:rPr>
            </w:pPr>
            <w:r w:rsidRPr="00724C91">
              <w:rPr>
                <w:rFonts w:eastAsia="Calibri" w:cstheme="minorHAnsi"/>
                <w:sz w:val="15"/>
                <w:szCs w:val="15"/>
              </w:rPr>
              <w:t>Pre-/post-intervention study</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In women with Nugent 0-6, 7 days of SYNBIO gin (without any antibiotic) resulted in a significantly higher proportion of women with Nugent 0-3 directly after therapy (28/35 versus 21/35 at baseline), and this persisted for 21 days after cessation of therapy (28/35 still had Nugent 0-3; insufficient data for McNemar testing). SYNBIO gin use also resulted in a significant increase in </w:t>
            </w:r>
            <w:r w:rsidRPr="00724C91">
              <w:rPr>
                <w:rFonts w:eastAsia="Calibri" w:cstheme="minorHAnsi"/>
                <w:i/>
                <w:sz w:val="15"/>
                <w:szCs w:val="15"/>
              </w:rPr>
              <w:t>Lactobacillus</w:t>
            </w:r>
            <w:r w:rsidRPr="00724C91">
              <w:rPr>
                <w:rFonts w:eastAsia="Calibri" w:cstheme="minorHAnsi"/>
                <w:sz w:val="15"/>
                <w:szCs w:val="15"/>
              </w:rPr>
              <w:t xml:space="preserve"> concentration (p&lt;0.01).</w:t>
            </w:r>
          </w:p>
        </w:tc>
      </w:tr>
      <w:tr w:rsidR="00AD2736" w:rsidRPr="00724C91" w:rsidTr="00537DBF">
        <w:tc>
          <w:tcPr>
            <w:tcW w:w="90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Bohbot</w:t>
            </w:r>
            <w:r w:rsidRPr="00724C91">
              <w:rPr>
                <w:rFonts w:cstheme="minorHAnsi"/>
                <w:sz w:val="15"/>
                <w:szCs w:val="15"/>
                <w:vertAlign w:val="superscript"/>
              </w:rPr>
              <w:t>28</w:t>
            </w:r>
          </w:p>
        </w:tc>
        <w:tc>
          <w:tcPr>
            <w:tcW w:w="153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Physioflor (</w:t>
            </w:r>
            <w:r w:rsidRPr="00724C91">
              <w:rPr>
                <w:rFonts w:eastAsia="Calibri" w:cstheme="minorHAnsi"/>
                <w:i/>
                <w:iCs/>
                <w:sz w:val="15"/>
                <w:szCs w:val="15"/>
              </w:rPr>
              <w:t xml:space="preserve">L. crispatus </w:t>
            </w:r>
            <w:r w:rsidRPr="00724C91">
              <w:rPr>
                <w:rFonts w:eastAsia="Calibri" w:cstheme="minorHAnsi"/>
                <w:sz w:val="15"/>
                <w:szCs w:val="15"/>
              </w:rPr>
              <w:t>IP 174178)</w:t>
            </w:r>
          </w:p>
        </w:tc>
        <w:tc>
          <w:tcPr>
            <w:tcW w:w="11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placebo control</w:t>
            </w:r>
          </w:p>
        </w:tc>
        <w:tc>
          <w:tcPr>
            <w:tcW w:w="56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Physioflor for 14 days immediately after metronidazole therapy, plus 14 days in three subsequent menstrual cycles, resulted in significantly lower BV cumulative incidence (Nugent 7-10), and time to BV recurrence, compared to placebo (8/39 and 16/39 had at least one recurrence, respectively). However, the effects disappeared 84 days after product cessation (p=0.922, absolute numbers not given).</w:t>
            </w:r>
          </w:p>
        </w:tc>
      </w:tr>
      <w:tr w:rsidR="00AD2736" w:rsidRPr="00724C91" w:rsidTr="00537DBF">
        <w:tc>
          <w:tcPr>
            <w:tcW w:w="900" w:type="dxa"/>
            <w:tcBorders>
              <w:top w:val="nil"/>
              <w:left w:val="nil"/>
              <w:bottom w:val="single" w:sz="12" w:space="0" w:color="auto"/>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Rapisarda</w:t>
            </w:r>
            <w:r w:rsidRPr="00724C91">
              <w:rPr>
                <w:rFonts w:cstheme="minorHAnsi"/>
                <w:sz w:val="15"/>
                <w:szCs w:val="15"/>
                <w:vertAlign w:val="superscript"/>
              </w:rPr>
              <w:t>29</w:t>
            </w:r>
          </w:p>
        </w:tc>
        <w:tc>
          <w:tcPr>
            <w:tcW w:w="1530" w:type="dxa"/>
            <w:tcBorders>
              <w:top w:val="nil"/>
              <w:left w:val="nil"/>
              <w:bottom w:val="single" w:sz="12" w:space="0" w:color="auto"/>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i/>
                <w:iCs/>
                <w:sz w:val="15"/>
                <w:szCs w:val="15"/>
              </w:rPr>
              <w:t xml:space="preserve">L. acidophilus </w:t>
            </w:r>
            <w:r w:rsidRPr="00724C91">
              <w:rPr>
                <w:rFonts w:eastAsia="Calibri" w:cstheme="minorHAnsi"/>
                <w:sz w:val="15"/>
                <w:szCs w:val="15"/>
              </w:rPr>
              <w:t>LA14</w:t>
            </w:r>
          </w:p>
        </w:tc>
        <w:tc>
          <w:tcPr>
            <w:tcW w:w="1170" w:type="dxa"/>
            <w:tcBorders>
              <w:top w:val="nil"/>
              <w:left w:val="nil"/>
              <w:bottom w:val="single" w:sz="12" w:space="0" w:color="auto"/>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Pre-/post-intervention study</w:t>
            </w:r>
          </w:p>
        </w:tc>
        <w:tc>
          <w:tcPr>
            <w:tcW w:w="5670" w:type="dxa"/>
            <w:tcBorders>
              <w:top w:val="nil"/>
              <w:left w:val="nil"/>
              <w:bottom w:val="single" w:sz="12" w:space="0" w:color="auto"/>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In women with Nugent 4-10, 14 days of </w:t>
            </w:r>
            <w:r w:rsidRPr="00724C91">
              <w:rPr>
                <w:rFonts w:eastAsia="Calibri" w:cstheme="minorHAnsi"/>
                <w:i/>
                <w:sz w:val="15"/>
                <w:szCs w:val="15"/>
              </w:rPr>
              <w:t>L. acidophilus</w:t>
            </w:r>
            <w:r w:rsidRPr="00724C91">
              <w:rPr>
                <w:rFonts w:eastAsia="Calibri" w:cstheme="minorHAnsi"/>
                <w:sz w:val="15"/>
                <w:szCs w:val="15"/>
              </w:rPr>
              <w:t xml:space="preserve"> LA14 use (without any antibiotic) resulted in 46/60 women cured (Nugent 0-3) at the end of therapy, and this persisted for 28 days after product cessation (50/60).</w:t>
            </w:r>
          </w:p>
        </w:tc>
      </w:tr>
    </w:tbl>
    <w:p w:rsidR="000671A7" w:rsidRPr="00724C91" w:rsidRDefault="000671A7" w:rsidP="000671A7">
      <w:pPr>
        <w:spacing w:after="0"/>
        <w:rPr>
          <w:rFonts w:eastAsia="Calibri" w:cstheme="minorHAnsi"/>
        </w:rPr>
      </w:pPr>
      <w:bookmarkStart w:id="1" w:name="_Hlk6996255"/>
      <w:r w:rsidRPr="00724C91">
        <w:rPr>
          <w:rFonts w:eastAsia="Calibri" w:cstheme="minorHAnsi"/>
          <w:b/>
        </w:rPr>
        <w:lastRenderedPageBreak/>
        <w:t>Table 2: Summary of VVC study results</w:t>
      </w:r>
      <w:r w:rsidRPr="00724C91">
        <w:rPr>
          <w:rFonts w:eastAsia="Calibri" w:cstheme="minorHAnsi"/>
        </w:rPr>
        <w:t xml:space="preserve">. </w:t>
      </w:r>
    </w:p>
    <w:p w:rsidR="000671A7" w:rsidRPr="00724C91" w:rsidRDefault="000671A7" w:rsidP="000671A7">
      <w:pPr>
        <w:spacing w:after="0"/>
        <w:rPr>
          <w:rFonts w:eastAsia="Calibri" w:cstheme="minorHAnsi"/>
        </w:rPr>
      </w:pPr>
      <w:r w:rsidRPr="00724C91">
        <w:rPr>
          <w:rFonts w:eastAsia="Calibri" w:cstheme="minorHAnsi"/>
          <w:i/>
        </w:rPr>
        <w:t>BV</w:t>
      </w:r>
      <w:r w:rsidRPr="00724C91">
        <w:rPr>
          <w:rFonts w:eastAsia="Calibri" w:cstheme="minorHAnsi"/>
        </w:rPr>
        <w:t xml:space="preserve"> bacterial vaginosis, </w:t>
      </w:r>
      <w:r w:rsidRPr="00724C91">
        <w:rPr>
          <w:rFonts w:eastAsia="Calibri" w:cstheme="minorHAnsi"/>
          <w:i/>
        </w:rPr>
        <w:t>UTI</w:t>
      </w:r>
      <w:r w:rsidRPr="00724C91">
        <w:rPr>
          <w:rFonts w:eastAsia="Calibri" w:cstheme="minorHAnsi"/>
        </w:rPr>
        <w:t xml:space="preserve"> urinary tract infection, </w:t>
      </w:r>
      <w:r w:rsidRPr="00724C91">
        <w:rPr>
          <w:rFonts w:eastAsia="Calibri" w:cstheme="minorHAnsi"/>
          <w:i/>
        </w:rPr>
        <w:t>VMB</w:t>
      </w:r>
      <w:r w:rsidRPr="00724C91">
        <w:rPr>
          <w:rFonts w:eastAsia="Calibri" w:cstheme="minorHAnsi"/>
        </w:rPr>
        <w:t xml:space="preserve"> vaginal microbiome, </w:t>
      </w:r>
      <w:r w:rsidRPr="00724C91">
        <w:rPr>
          <w:rFonts w:eastAsia="Calibri" w:cstheme="minorHAnsi"/>
          <w:i/>
        </w:rPr>
        <w:t>VVC</w:t>
      </w:r>
      <w:r w:rsidRPr="00724C91">
        <w:rPr>
          <w:rFonts w:eastAsia="Calibri" w:cstheme="minorHAnsi"/>
        </w:rPr>
        <w:t xml:space="preserve"> vulvovaginal candidiasis.</w:t>
      </w:r>
    </w:p>
    <w:p w:rsidR="000671A7" w:rsidRPr="00724C91" w:rsidRDefault="000671A7" w:rsidP="000671A7">
      <w:pPr>
        <w:spacing w:after="0"/>
        <w:rPr>
          <w:rFonts w:eastAsia="Calibri" w:cstheme="minorHAnsi"/>
        </w:rPr>
      </w:pPr>
      <w:r w:rsidRPr="00724C91">
        <w:rPr>
          <w:rFonts w:eastAsia="Calibri" w:cstheme="minorHAnsi"/>
        </w:rPr>
        <w:t xml:space="preserve">Main results of the studies with VVC cure and/or incidence (by culture or wet mount) endpoints. None of the studies used </w:t>
      </w:r>
      <w:r w:rsidRPr="00724C91">
        <w:rPr>
          <w:rFonts w:eastAsia="Calibri" w:cstheme="minorHAnsi"/>
          <w:i/>
        </w:rPr>
        <w:t>Candida</w:t>
      </w:r>
      <w:r w:rsidRPr="00724C91">
        <w:rPr>
          <w:rFonts w:eastAsia="Calibri" w:cstheme="minorHAnsi"/>
        </w:rPr>
        <w:t xml:space="preserve"> PCR: 12 results in 12 studies. </w:t>
      </w:r>
    </w:p>
    <w:tbl>
      <w:tblPr>
        <w:tblStyle w:val="TableGrid1"/>
        <w:tblW w:w="0" w:type="dxa"/>
        <w:tblInd w:w="-9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070"/>
        <w:gridCol w:w="1170"/>
        <w:gridCol w:w="4860"/>
      </w:tblGrid>
      <w:tr w:rsidR="00AD2736" w:rsidRPr="00724C91" w:rsidTr="00537DBF">
        <w:trPr>
          <w:tblHeader/>
        </w:trPr>
        <w:tc>
          <w:tcPr>
            <w:tcW w:w="1080" w:type="dxa"/>
            <w:tcBorders>
              <w:top w:val="single" w:sz="12" w:space="0" w:color="auto"/>
              <w:left w:val="nil"/>
              <w:bottom w:val="single" w:sz="4" w:space="0" w:color="auto"/>
              <w:right w:val="nil"/>
            </w:tcBorders>
            <w:hideMark/>
          </w:tcPr>
          <w:bookmarkEnd w:id="1"/>
          <w:p w:rsidR="000671A7" w:rsidRPr="00724C91" w:rsidRDefault="000671A7" w:rsidP="00537DBF">
            <w:pPr>
              <w:spacing w:after="0"/>
              <w:ind w:right="-120" w:hanging="15"/>
              <w:rPr>
                <w:rFonts w:eastAsia="Calibri" w:cstheme="minorHAnsi"/>
                <w:b/>
                <w:sz w:val="15"/>
                <w:szCs w:val="15"/>
              </w:rPr>
            </w:pPr>
            <w:r w:rsidRPr="00724C91">
              <w:rPr>
                <w:rFonts w:eastAsia="Calibri" w:cstheme="minorHAnsi"/>
                <w:b/>
                <w:sz w:val="15"/>
                <w:szCs w:val="15"/>
              </w:rPr>
              <w:t>Reference</w:t>
            </w:r>
          </w:p>
        </w:tc>
        <w:tc>
          <w:tcPr>
            <w:tcW w:w="2070"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eastAsia="Calibri" w:cstheme="minorHAnsi"/>
                <w:b/>
                <w:sz w:val="15"/>
                <w:szCs w:val="15"/>
              </w:rPr>
            </w:pPr>
            <w:r w:rsidRPr="00724C91">
              <w:rPr>
                <w:rFonts w:eastAsia="Calibri" w:cstheme="minorHAnsi"/>
                <w:b/>
                <w:sz w:val="15"/>
                <w:szCs w:val="15"/>
              </w:rPr>
              <w:t>Probiotic</w:t>
            </w:r>
          </w:p>
        </w:tc>
        <w:tc>
          <w:tcPr>
            <w:tcW w:w="1170" w:type="dxa"/>
            <w:tcBorders>
              <w:top w:val="single" w:sz="12" w:space="0" w:color="auto"/>
              <w:left w:val="nil"/>
              <w:bottom w:val="single" w:sz="4" w:space="0" w:color="auto"/>
              <w:right w:val="nil"/>
            </w:tcBorders>
            <w:hideMark/>
          </w:tcPr>
          <w:p w:rsidR="000671A7" w:rsidRPr="00724C91" w:rsidRDefault="000671A7" w:rsidP="00537DBF">
            <w:pPr>
              <w:spacing w:after="0"/>
              <w:ind w:right="-110" w:hanging="109"/>
              <w:jc w:val="center"/>
              <w:rPr>
                <w:rFonts w:eastAsia="Calibri" w:cstheme="minorHAnsi"/>
                <w:b/>
                <w:sz w:val="15"/>
                <w:szCs w:val="15"/>
              </w:rPr>
            </w:pPr>
            <w:r w:rsidRPr="00724C91">
              <w:rPr>
                <w:rFonts w:eastAsia="Calibri" w:cstheme="minorHAnsi"/>
                <w:b/>
                <w:sz w:val="15"/>
                <w:szCs w:val="15"/>
              </w:rPr>
              <w:t>Study design</w:t>
            </w:r>
          </w:p>
        </w:tc>
        <w:tc>
          <w:tcPr>
            <w:tcW w:w="4860"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eastAsia="Calibri" w:cstheme="minorHAnsi"/>
                <w:b/>
                <w:sz w:val="15"/>
                <w:szCs w:val="15"/>
              </w:rPr>
            </w:pPr>
            <w:r w:rsidRPr="00724C91">
              <w:rPr>
                <w:rFonts w:eastAsia="Calibri" w:cstheme="minorHAnsi"/>
                <w:b/>
                <w:sz w:val="15"/>
                <w:szCs w:val="15"/>
              </w:rPr>
              <w:t>Results</w:t>
            </w:r>
          </w:p>
        </w:tc>
      </w:tr>
      <w:tr w:rsidR="00AD2736" w:rsidRPr="00724C91" w:rsidTr="00537DBF">
        <w:tc>
          <w:tcPr>
            <w:tcW w:w="9180" w:type="dxa"/>
            <w:gridSpan w:val="4"/>
            <w:tcBorders>
              <w:top w:val="single" w:sz="4" w:space="0" w:color="auto"/>
              <w:left w:val="nil"/>
              <w:bottom w:val="nil"/>
              <w:right w:val="nil"/>
            </w:tcBorders>
            <w:hideMark/>
          </w:tcPr>
          <w:p w:rsidR="000671A7" w:rsidRPr="00724C91" w:rsidRDefault="000671A7" w:rsidP="00537DBF">
            <w:pPr>
              <w:spacing w:after="0"/>
              <w:rPr>
                <w:rFonts w:eastAsia="Calibri" w:cstheme="minorHAnsi"/>
                <w:b/>
                <w:i/>
                <w:sz w:val="15"/>
                <w:szCs w:val="15"/>
              </w:rPr>
            </w:pPr>
            <w:r w:rsidRPr="00724C91">
              <w:rPr>
                <w:rFonts w:eastAsia="Calibri" w:cstheme="minorHAnsi"/>
                <w:b/>
                <w:i/>
                <w:sz w:val="15"/>
                <w:szCs w:val="15"/>
              </w:rPr>
              <w:t>Articles with a medium overall risk of bias</w:t>
            </w:r>
          </w:p>
        </w:tc>
      </w:tr>
      <w:tr w:rsidR="00AD2736" w:rsidRPr="00724C91" w:rsidTr="00537DBF">
        <w:trPr>
          <w:trHeight w:val="692"/>
        </w:trPr>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Czaja</w:t>
            </w:r>
            <w:r w:rsidRPr="00724C91">
              <w:rPr>
                <w:rFonts w:cstheme="minorHAnsi"/>
                <w:sz w:val="15"/>
                <w:szCs w:val="15"/>
                <w:vertAlign w:val="superscript"/>
              </w:rPr>
              <w:t>30</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i/>
                <w:iCs/>
                <w:sz w:val="15"/>
                <w:szCs w:val="15"/>
              </w:rPr>
              <w:t xml:space="preserve">L. crispatus </w:t>
            </w:r>
            <w:r w:rsidRPr="00724C91">
              <w:rPr>
                <w:rFonts w:eastAsia="Calibri" w:cstheme="minorHAnsi"/>
                <w:sz w:val="15"/>
                <w:szCs w:val="15"/>
              </w:rPr>
              <w:t>CTV-05 (not Lactin-V)</w:t>
            </w:r>
          </w:p>
        </w:tc>
        <w:tc>
          <w:tcPr>
            <w:tcW w:w="1170" w:type="dxa"/>
            <w:tcBorders>
              <w:top w:val="nil"/>
              <w:left w:val="nil"/>
              <w:bottom w:val="nil"/>
              <w:right w:val="nil"/>
            </w:tcBorders>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RCT: placebo control</w:t>
            </w:r>
          </w:p>
          <w:p w:rsidR="000671A7" w:rsidRPr="00724C91" w:rsidRDefault="000671A7" w:rsidP="00537DBF">
            <w:pPr>
              <w:spacing w:after="0"/>
              <w:rPr>
                <w:rFonts w:eastAsia="Calibri" w:cstheme="minorHAnsi"/>
                <w:sz w:val="15"/>
                <w:szCs w:val="15"/>
              </w:rPr>
            </w:pP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In women with a history of recurrent UTI but without current dysuria, 5 days of </w:t>
            </w:r>
            <w:r w:rsidRPr="00724C91">
              <w:rPr>
                <w:rFonts w:eastAsia="Calibri" w:cstheme="minorHAnsi"/>
                <w:i/>
                <w:sz w:val="15"/>
                <w:szCs w:val="15"/>
              </w:rPr>
              <w:t>L. crispatus</w:t>
            </w:r>
            <w:r w:rsidRPr="00724C91">
              <w:rPr>
                <w:rFonts w:eastAsia="Calibri" w:cstheme="minorHAnsi"/>
                <w:sz w:val="15"/>
                <w:szCs w:val="15"/>
              </w:rPr>
              <w:t xml:space="preserve"> CTV-05 use resulted in a similar VVC cumulative incidence (4/15) compared to placebo use (2/15) up to 25 days after cessation of use.</w:t>
            </w:r>
          </w:p>
        </w:tc>
      </w:tr>
      <w:tr w:rsidR="00AD2736" w:rsidRPr="00724C91" w:rsidTr="00537DBF">
        <w:tc>
          <w:tcPr>
            <w:tcW w:w="9180" w:type="dxa"/>
            <w:gridSpan w:val="4"/>
            <w:tcBorders>
              <w:top w:val="nil"/>
              <w:left w:val="nil"/>
              <w:bottom w:val="nil"/>
              <w:right w:val="nil"/>
            </w:tcBorders>
            <w:hideMark/>
          </w:tcPr>
          <w:p w:rsidR="000671A7" w:rsidRPr="00724C91" w:rsidRDefault="000671A7" w:rsidP="00537DBF">
            <w:pPr>
              <w:spacing w:after="0"/>
              <w:rPr>
                <w:rFonts w:eastAsia="Calibri" w:cstheme="minorHAnsi"/>
                <w:b/>
                <w:i/>
                <w:sz w:val="15"/>
                <w:szCs w:val="15"/>
              </w:rPr>
            </w:pPr>
            <w:r w:rsidRPr="00724C91">
              <w:rPr>
                <w:rFonts w:eastAsia="Calibri" w:cstheme="minorHAnsi"/>
                <w:b/>
                <w:i/>
                <w:sz w:val="15"/>
                <w:szCs w:val="15"/>
              </w:rPr>
              <w:t>Articles with a high overall risk of bias</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Özmen</w:t>
            </w:r>
            <w:r w:rsidRPr="00724C91">
              <w:rPr>
                <w:rFonts w:cstheme="minorHAnsi"/>
                <w:sz w:val="15"/>
                <w:szCs w:val="15"/>
                <w:vertAlign w:val="superscript"/>
              </w:rPr>
              <w:t>31</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Gynoflor (</w:t>
            </w:r>
            <w:r w:rsidRPr="00724C91">
              <w:rPr>
                <w:rFonts w:eastAsia="Calibri" w:cstheme="minorHAnsi"/>
                <w:i/>
                <w:iCs/>
                <w:sz w:val="15"/>
                <w:szCs w:val="15"/>
              </w:rPr>
              <w:t xml:space="preserve">L. acidophilus </w:t>
            </w:r>
            <w:r w:rsidRPr="00724C91">
              <w:rPr>
                <w:rFonts w:eastAsia="Calibri" w:cstheme="minorHAnsi"/>
                <w:sz w:val="15"/>
                <w:szCs w:val="15"/>
              </w:rPr>
              <w:t>KS400</w:t>
            </w:r>
            <w:r w:rsidRPr="00724C91">
              <w:rPr>
                <w:rFonts w:eastAsia="Calibri" w:cstheme="minorHAnsi"/>
                <w:i/>
                <w:iCs/>
                <w:sz w:val="15"/>
                <w:szCs w:val="15"/>
              </w:rPr>
              <w:t xml:space="preserve"> </w:t>
            </w:r>
            <w:r w:rsidRPr="00724C91">
              <w:rPr>
                <w:rFonts w:eastAsia="Calibri" w:cstheme="minorHAnsi"/>
                <w:sz w:val="15"/>
                <w:szCs w:val="15"/>
              </w:rPr>
              <w:t>+ 0.03mg oestriol)</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Pre-/post-intervention study in three separate, non-randomised groups</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12 days of Gynoflor with or without metronidazole, compared to metronidazole alone (to treat BV), resulted in significantly lower cumulative VVC incidence (3/96 and 2/97, versus 14/114, respectively) in the 10-13 days after cessation of use.</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Pirotta</w:t>
            </w:r>
            <w:r w:rsidRPr="00724C91">
              <w:rPr>
                <w:rFonts w:cstheme="minorHAnsi"/>
                <w:sz w:val="15"/>
                <w:szCs w:val="15"/>
                <w:vertAlign w:val="superscript"/>
              </w:rPr>
              <w:t>32</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Femilac </w:t>
            </w:r>
            <w:r w:rsidRPr="00724C91">
              <w:rPr>
                <w:rFonts w:eastAsia="Calibri" w:cstheme="minorHAnsi"/>
                <w:i/>
                <w:iCs/>
                <w:sz w:val="15"/>
                <w:szCs w:val="15"/>
              </w:rPr>
              <w:t xml:space="preserve">(L. rhamnosus </w:t>
            </w:r>
            <w:r w:rsidRPr="00724C91">
              <w:rPr>
                <w:rFonts w:eastAsia="Calibri" w:cstheme="minorHAnsi"/>
                <w:sz w:val="15"/>
                <w:szCs w:val="15"/>
              </w:rPr>
              <w:t xml:space="preserve">+ </w:t>
            </w:r>
            <w:r w:rsidRPr="00724C91">
              <w:rPr>
                <w:rFonts w:eastAsia="Calibri" w:cstheme="minorHAnsi"/>
                <w:i/>
                <w:iCs/>
                <w:sz w:val="15"/>
                <w:szCs w:val="15"/>
              </w:rPr>
              <w:t xml:space="preserve">L. delbrueckki </w:t>
            </w:r>
            <w:r w:rsidRPr="00724C91">
              <w:rPr>
                <w:rFonts w:eastAsia="Calibri" w:cstheme="minorHAnsi"/>
                <w:sz w:val="15"/>
                <w:szCs w:val="15"/>
              </w:rPr>
              <w:t xml:space="preserve">+ </w:t>
            </w:r>
            <w:r w:rsidRPr="00724C91">
              <w:rPr>
                <w:rFonts w:eastAsia="Calibri" w:cstheme="minorHAnsi"/>
                <w:i/>
                <w:iCs/>
                <w:sz w:val="15"/>
                <w:szCs w:val="15"/>
              </w:rPr>
              <w:t xml:space="preserve">L. acidophilus </w:t>
            </w:r>
            <w:r w:rsidRPr="00724C91">
              <w:rPr>
                <w:rFonts w:eastAsia="Calibri" w:cstheme="minorHAnsi"/>
                <w:sz w:val="15"/>
                <w:szCs w:val="15"/>
              </w:rPr>
              <w:t xml:space="preserve">+ </w:t>
            </w:r>
            <w:r w:rsidRPr="00724C91">
              <w:rPr>
                <w:rFonts w:eastAsia="Calibri" w:cstheme="minorHAnsi"/>
                <w:i/>
                <w:iCs/>
                <w:sz w:val="15"/>
                <w:szCs w:val="15"/>
              </w:rPr>
              <w:t>S. thermophilus</w:t>
            </w:r>
            <w:r w:rsidRPr="00724C91">
              <w:rPr>
                <w:rFonts w:eastAsia="Calibri" w:cstheme="minorHAnsi"/>
                <w:sz w:val="15"/>
                <w:szCs w:val="15"/>
              </w:rPr>
              <w:t>)</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2x2 factorial design RCT: placebo control</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10 days of Femilac during (6 days) and after (4 days) non-metronidazole antibiotic use, compared to placebo controls, was not effective in reducing VVC incidence within 18 days after cessation of Femilac use (17/59 versus 9/54, respectively).</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Di Pierro</w:t>
            </w:r>
            <w:r w:rsidRPr="00724C91">
              <w:rPr>
                <w:rFonts w:cstheme="minorHAnsi"/>
                <w:sz w:val="15"/>
                <w:szCs w:val="15"/>
                <w:vertAlign w:val="superscript"/>
              </w:rPr>
              <w:t>33</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Kramegin </w:t>
            </w:r>
            <w:r w:rsidRPr="00724C91">
              <w:rPr>
                <w:rFonts w:eastAsia="Calibri" w:cstheme="minorHAnsi"/>
                <w:i/>
                <w:iCs/>
                <w:sz w:val="15"/>
                <w:szCs w:val="15"/>
              </w:rPr>
              <w:t xml:space="preserve">(L. acidophilus </w:t>
            </w:r>
            <w:r w:rsidRPr="00724C91">
              <w:rPr>
                <w:rFonts w:eastAsia="Calibri" w:cstheme="minorHAnsi"/>
                <w:sz w:val="15"/>
                <w:szCs w:val="15"/>
              </w:rPr>
              <w:t xml:space="preserve">+ </w:t>
            </w:r>
            <w:r w:rsidRPr="00724C91">
              <w:rPr>
                <w:rFonts w:eastAsia="Calibri" w:cstheme="minorHAnsi"/>
                <w:i/>
                <w:iCs/>
                <w:sz w:val="15"/>
                <w:szCs w:val="15"/>
              </w:rPr>
              <w:t>Krameria triandra</w:t>
            </w:r>
            <w:r w:rsidRPr="00724C91">
              <w:rPr>
                <w:rFonts w:eastAsia="Calibri" w:cstheme="minorHAnsi"/>
                <w:sz w:val="15"/>
                <w:szCs w:val="15"/>
              </w:rPr>
              <w:t xml:space="preserve"> plant extract + 15mg lactic acid) </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Pre-/post-intervention study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10 days of Kramegin (without antifungal) cured 75/75 women with acute VVC, and 20/30 women with recurrent VVC (both significant compared to baseline). Cure was assessed 7 days after last administration.</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Witt</w:t>
            </w:r>
            <w:r w:rsidRPr="00724C91">
              <w:rPr>
                <w:rFonts w:cstheme="minorHAnsi"/>
                <w:sz w:val="15"/>
                <w:szCs w:val="15"/>
                <w:vertAlign w:val="superscript"/>
              </w:rPr>
              <w:t>34</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i/>
                <w:iCs/>
                <w:sz w:val="15"/>
                <w:szCs w:val="15"/>
              </w:rPr>
              <w:t>L. gasseri</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RCT: probiotic + itraconazole versus itraconazole only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In women with acute VVC and a history of recurrent VVC, after induction with itraconazole twice weekly for one month, itraconazole (once per month) with </w:t>
            </w:r>
            <w:r w:rsidRPr="00724C91">
              <w:rPr>
                <w:rFonts w:eastAsia="Calibri" w:cstheme="minorHAnsi"/>
                <w:i/>
                <w:sz w:val="15"/>
                <w:szCs w:val="15"/>
              </w:rPr>
              <w:t>L. gasseri</w:t>
            </w:r>
            <w:r w:rsidRPr="00724C91">
              <w:rPr>
                <w:rFonts w:eastAsia="Calibri" w:cstheme="minorHAnsi"/>
                <w:sz w:val="15"/>
                <w:szCs w:val="15"/>
              </w:rPr>
              <w:t xml:space="preserve"> (6 consecutive days per month) during 6 months resulted in a similar VVC recurrence rate as itraconazole (once per month) only (15/45 versus 12/31, respectively). Results were also similar 6 months after product cessation (6/25 versus 5/23, respectively).</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Vicariotto</w:t>
            </w:r>
            <w:r w:rsidRPr="00724C91">
              <w:rPr>
                <w:rFonts w:cstheme="minorHAnsi"/>
                <w:sz w:val="15"/>
                <w:szCs w:val="15"/>
                <w:vertAlign w:val="superscript"/>
              </w:rPr>
              <w:t>35</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ActiCand</w:t>
            </w:r>
            <w:r w:rsidRPr="00724C91">
              <w:rPr>
                <w:rFonts w:eastAsia="Calibri" w:cstheme="minorHAnsi"/>
                <w:i/>
                <w:iCs/>
                <w:sz w:val="15"/>
                <w:szCs w:val="15"/>
              </w:rPr>
              <w:t xml:space="preserve"> (L. fermentum </w:t>
            </w:r>
            <w:r w:rsidRPr="00724C91">
              <w:rPr>
                <w:rFonts w:eastAsia="Calibri" w:cstheme="minorHAnsi"/>
                <w:sz w:val="15"/>
                <w:szCs w:val="15"/>
              </w:rPr>
              <w:t xml:space="preserve">LF10 + </w:t>
            </w:r>
            <w:r w:rsidRPr="00724C91">
              <w:rPr>
                <w:rFonts w:eastAsia="Calibri" w:cstheme="minorHAnsi"/>
                <w:i/>
                <w:iCs/>
                <w:sz w:val="15"/>
                <w:szCs w:val="15"/>
              </w:rPr>
              <w:t xml:space="preserve">L. acidophilus </w:t>
            </w:r>
            <w:r w:rsidRPr="00724C91">
              <w:rPr>
                <w:rFonts w:eastAsia="Calibri" w:cstheme="minorHAnsi"/>
                <w:sz w:val="15"/>
                <w:szCs w:val="15"/>
              </w:rPr>
              <w:t>LA02)</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Pre-/post-intervention study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In women with acute VVC and a history of recurrent VVC, ActiCand (without antifungal; 7 consecutive nights, followed by 3 nights per week for 3 weeks, and one night per week for 4 weeks) resulted in a significant reduction in VVC cases to 7/30 women after cessation of therapy at Day 56.</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De Seta</w:t>
            </w:r>
            <w:r w:rsidRPr="00724C91">
              <w:rPr>
                <w:rFonts w:cstheme="minorHAnsi"/>
                <w:sz w:val="15"/>
                <w:szCs w:val="15"/>
                <w:vertAlign w:val="superscript"/>
              </w:rPr>
              <w:t>36</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iCs/>
                <w:sz w:val="15"/>
                <w:szCs w:val="15"/>
              </w:rPr>
              <w:t>Gyno-Canesflor (</w:t>
            </w:r>
            <w:r w:rsidRPr="00724C91">
              <w:rPr>
                <w:rFonts w:eastAsia="Calibri" w:cstheme="minorHAnsi"/>
                <w:i/>
                <w:iCs/>
                <w:sz w:val="15"/>
                <w:szCs w:val="15"/>
              </w:rPr>
              <w:t xml:space="preserve">L. plantarum </w:t>
            </w:r>
            <w:r w:rsidRPr="00724C91">
              <w:rPr>
                <w:rFonts w:eastAsia="Calibri" w:cstheme="minorHAnsi"/>
                <w:sz w:val="15"/>
                <w:szCs w:val="15"/>
              </w:rPr>
              <w:t>P17630)</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Non-randomised prospective cohort study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In women with acute VVC but no history of recurrent VVC, 34 days of Gyno-Canesflor after clotrimazole treatment, compared to placebo use, resulted in a (non-significant, Fisher's p=0.095) lower cumulative VVC incidence (1/40 versus 5/40, respectively).</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Donders</w:t>
            </w:r>
            <w:r w:rsidRPr="00724C91">
              <w:rPr>
                <w:rFonts w:cstheme="minorHAnsi"/>
                <w:sz w:val="15"/>
                <w:szCs w:val="15"/>
                <w:vertAlign w:val="superscript"/>
              </w:rPr>
              <w:t>37</w:t>
            </w:r>
            <w:r w:rsidRPr="00724C91">
              <w:rPr>
                <w:rFonts w:eastAsia="Calibri" w:cstheme="minorHAnsi"/>
                <w:sz w:val="15"/>
                <w:szCs w:val="15"/>
              </w:rPr>
              <w:t xml:space="preserve"> &amp; Donders</w:t>
            </w:r>
            <w:r w:rsidRPr="00724C91">
              <w:rPr>
                <w:rFonts w:cstheme="minorHAnsi"/>
                <w:sz w:val="15"/>
                <w:szCs w:val="15"/>
                <w:vertAlign w:val="superscript"/>
              </w:rPr>
              <w:t>38</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Gynoflor </w:t>
            </w:r>
            <w:r w:rsidRPr="00724C91">
              <w:rPr>
                <w:rFonts w:eastAsia="Calibri" w:cstheme="minorHAnsi"/>
                <w:i/>
                <w:iCs/>
                <w:sz w:val="15"/>
                <w:szCs w:val="15"/>
              </w:rPr>
              <w:t xml:space="preserve">(L. acidophilus </w:t>
            </w:r>
            <w:r w:rsidRPr="00724C91">
              <w:rPr>
                <w:rFonts w:eastAsia="Calibri" w:cstheme="minorHAnsi"/>
                <w:sz w:val="15"/>
                <w:szCs w:val="15"/>
              </w:rPr>
              <w:t>KS400 + 0.03mg oestriol)</w:t>
            </w:r>
          </w:p>
        </w:tc>
        <w:tc>
          <w:tcPr>
            <w:tcW w:w="1170" w:type="dxa"/>
            <w:tcBorders>
              <w:top w:val="nil"/>
              <w:left w:val="nil"/>
              <w:bottom w:val="nil"/>
              <w:right w:val="nil"/>
            </w:tcBorders>
            <w:hideMark/>
          </w:tcPr>
          <w:p w:rsidR="000671A7" w:rsidRPr="00724C91" w:rsidRDefault="000671A7" w:rsidP="00537DBF">
            <w:pPr>
              <w:tabs>
                <w:tab w:val="left" w:pos="790"/>
              </w:tabs>
              <w:spacing w:after="0"/>
              <w:ind w:right="-110"/>
              <w:rPr>
                <w:rFonts w:eastAsia="Calibri" w:cstheme="minorHAnsi"/>
                <w:sz w:val="15"/>
                <w:szCs w:val="15"/>
              </w:rPr>
            </w:pPr>
            <w:r w:rsidRPr="00724C91">
              <w:rPr>
                <w:rFonts w:eastAsia="Calibri" w:cstheme="minorHAnsi"/>
                <w:sz w:val="15"/>
                <w:szCs w:val="15"/>
              </w:rPr>
              <w:t>Pre-/post-intervention study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A 84-day single-arm Gynoflor treatment scheme (once daily for 4 weeks followed by thrice weekly for 8 weeks) for atrophic vaginitis in postmenopausal women with breast cancer temporarily increased asymptomatic VVC prevalence after two weeks of use (from 2/14 to 7/16) but returned to baseline values after one (3/16), two (3/16), and three (3/13) months of use.  </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Pendharkar</w:t>
            </w:r>
          </w:p>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 Trial II</w:t>
            </w:r>
            <w:r w:rsidRPr="00724C91">
              <w:rPr>
                <w:rFonts w:cstheme="minorHAnsi"/>
                <w:sz w:val="15"/>
                <w:szCs w:val="15"/>
                <w:vertAlign w:val="superscript"/>
              </w:rPr>
              <w:t>39</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EcoVag (</w:t>
            </w:r>
            <w:r w:rsidRPr="00724C91">
              <w:rPr>
                <w:rFonts w:eastAsia="Calibri" w:cstheme="minorHAnsi"/>
                <w:i/>
                <w:iCs/>
                <w:sz w:val="15"/>
                <w:szCs w:val="15"/>
              </w:rPr>
              <w:t>L. gasseri</w:t>
            </w:r>
            <w:r w:rsidRPr="00724C91">
              <w:rPr>
                <w:rFonts w:eastAsia="Calibri" w:cstheme="minorHAnsi"/>
                <w:sz w:val="15"/>
                <w:szCs w:val="15"/>
              </w:rPr>
              <w:t xml:space="preserve"> DSM 14869 + </w:t>
            </w:r>
            <w:r w:rsidRPr="00724C91">
              <w:rPr>
                <w:rFonts w:eastAsia="Calibri" w:cstheme="minorHAnsi"/>
                <w:i/>
                <w:iCs/>
                <w:sz w:val="15"/>
                <w:szCs w:val="15"/>
              </w:rPr>
              <w:t>L. rhamnosus</w:t>
            </w:r>
            <w:r w:rsidRPr="00724C91">
              <w:rPr>
                <w:rFonts w:eastAsia="Calibri" w:cstheme="minorHAnsi"/>
                <w:sz w:val="15"/>
                <w:szCs w:val="15"/>
              </w:rPr>
              <w:t xml:space="preserve"> DSM 14870)</w:t>
            </w:r>
          </w:p>
        </w:tc>
        <w:tc>
          <w:tcPr>
            <w:tcW w:w="1170" w:type="dxa"/>
            <w:tcBorders>
              <w:top w:val="nil"/>
              <w:left w:val="nil"/>
              <w:bottom w:val="nil"/>
              <w:right w:val="nil"/>
            </w:tcBorders>
            <w:hideMark/>
          </w:tcPr>
          <w:p w:rsidR="000671A7" w:rsidRPr="00724C91" w:rsidRDefault="000671A7" w:rsidP="00537DBF">
            <w:pPr>
              <w:spacing w:after="0"/>
              <w:ind w:right="-110"/>
              <w:rPr>
                <w:rFonts w:eastAsia="Calibri" w:cstheme="minorHAnsi"/>
                <w:sz w:val="15"/>
                <w:szCs w:val="15"/>
              </w:rPr>
            </w:pPr>
            <w:r w:rsidRPr="00724C91">
              <w:rPr>
                <w:rFonts w:eastAsia="Calibri" w:cstheme="minorHAnsi"/>
                <w:sz w:val="15"/>
                <w:szCs w:val="15"/>
              </w:rPr>
              <w:t>Non-randomised prospective cohort study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In women with recurrent VVC, fluconazole (7 days in cycle 1 followed by once weekly in cycles 2+3, and biweekly in cycles 4-6) with EcoVag (10 days in cycle 2, and once weekly in cycles 2-6) did not significantly improve the VVC cure fraction 6 months after treatment cessation compared to the fluconazole regimen without EcoVag (8/9 versus 7/10, respectively) but almost all women in both groups were cured.</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Kovachev</w:t>
            </w:r>
            <w:r w:rsidRPr="00724C91">
              <w:rPr>
                <w:rFonts w:cstheme="minorHAnsi"/>
                <w:sz w:val="15"/>
                <w:szCs w:val="15"/>
                <w:vertAlign w:val="superscript"/>
              </w:rPr>
              <w:t>40</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Lactagyn (</w:t>
            </w:r>
            <w:r w:rsidRPr="00724C91">
              <w:rPr>
                <w:rFonts w:eastAsia="Calibri" w:cstheme="minorHAnsi"/>
                <w:i/>
                <w:iCs/>
                <w:sz w:val="15"/>
                <w:szCs w:val="15"/>
              </w:rPr>
              <w:t xml:space="preserve">L. acidophilus, L. rhamnosus, S. thermophilus, L. delbrueckii </w:t>
            </w:r>
            <w:r w:rsidRPr="00724C91">
              <w:rPr>
                <w:rFonts w:eastAsia="Calibri" w:cstheme="minorHAnsi"/>
                <w:sz w:val="15"/>
                <w:szCs w:val="15"/>
              </w:rPr>
              <w:t xml:space="preserve">subsp. </w:t>
            </w:r>
            <w:r w:rsidRPr="00724C91">
              <w:rPr>
                <w:rFonts w:eastAsia="Calibri" w:cstheme="minorHAnsi"/>
                <w:i/>
                <w:iCs/>
                <w:sz w:val="15"/>
                <w:szCs w:val="15"/>
              </w:rPr>
              <w:t>bulgaricus</w:t>
            </w:r>
            <w:r w:rsidRPr="00724C91">
              <w:rPr>
                <w:rFonts w:eastAsia="Calibri" w:cstheme="minorHAnsi"/>
                <w:sz w:val="15"/>
                <w:szCs w:val="15"/>
              </w:rPr>
              <w:t>)</w:t>
            </w:r>
          </w:p>
        </w:tc>
        <w:tc>
          <w:tcPr>
            <w:tcW w:w="1170" w:type="dxa"/>
            <w:tcBorders>
              <w:top w:val="nil"/>
              <w:left w:val="nil"/>
              <w:bottom w:val="nil"/>
              <w:right w:val="nil"/>
            </w:tcBorders>
            <w:hideMark/>
          </w:tcPr>
          <w:p w:rsidR="000671A7" w:rsidRPr="00724C91" w:rsidRDefault="000671A7" w:rsidP="00537DBF">
            <w:pPr>
              <w:spacing w:after="0"/>
              <w:ind w:right="-110"/>
              <w:rPr>
                <w:rFonts w:eastAsia="Calibri" w:cstheme="minorHAnsi"/>
                <w:sz w:val="15"/>
                <w:szCs w:val="15"/>
              </w:rPr>
            </w:pPr>
            <w:r w:rsidRPr="00724C91">
              <w:rPr>
                <w:rFonts w:eastAsia="Calibri" w:cstheme="minorHAnsi"/>
                <w:sz w:val="15"/>
                <w:szCs w:val="15"/>
              </w:rPr>
              <w:t>RCT: no-intervention control</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In women with acute VVC, antifungal treatment (fluconazole and fenticonazole) followed by 10-day Lactagyn therapy resulted in lower VVC recurrence (10/209) at the final follow-up visit 25-30 days after product cessation than antifungal treatment alone (76/207). The authors report this as two non-significant pre/post results, but these are significant when the appropriate test (McNemar) is used, and when the two groups are compared directly.</w:t>
            </w:r>
          </w:p>
        </w:tc>
      </w:tr>
      <w:tr w:rsidR="00AD2736" w:rsidRPr="00724C91" w:rsidTr="00537DBF">
        <w:tc>
          <w:tcPr>
            <w:tcW w:w="1080" w:type="dxa"/>
            <w:tcBorders>
              <w:top w:val="nil"/>
              <w:left w:val="nil"/>
              <w:bottom w:val="nil"/>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Rapisarda</w:t>
            </w:r>
            <w:r w:rsidRPr="00724C91">
              <w:rPr>
                <w:rFonts w:cstheme="minorHAnsi"/>
                <w:sz w:val="15"/>
                <w:szCs w:val="15"/>
                <w:vertAlign w:val="superscript"/>
              </w:rPr>
              <w:t>29</w:t>
            </w:r>
          </w:p>
        </w:tc>
        <w:tc>
          <w:tcPr>
            <w:tcW w:w="207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i/>
                <w:iCs/>
                <w:sz w:val="15"/>
                <w:szCs w:val="15"/>
              </w:rPr>
              <w:t xml:space="preserve">L. acidophilus </w:t>
            </w:r>
            <w:r w:rsidRPr="00724C91">
              <w:rPr>
                <w:rFonts w:eastAsia="Calibri" w:cstheme="minorHAnsi"/>
                <w:sz w:val="15"/>
                <w:szCs w:val="15"/>
              </w:rPr>
              <w:t>LA14</w:t>
            </w:r>
          </w:p>
        </w:tc>
        <w:tc>
          <w:tcPr>
            <w:tcW w:w="1170" w:type="dxa"/>
            <w:tcBorders>
              <w:top w:val="nil"/>
              <w:left w:val="nil"/>
              <w:bottom w:val="nil"/>
              <w:right w:val="nil"/>
            </w:tcBorders>
            <w:hideMark/>
          </w:tcPr>
          <w:p w:rsidR="000671A7" w:rsidRPr="00724C91" w:rsidRDefault="000671A7" w:rsidP="00537DBF">
            <w:pPr>
              <w:spacing w:after="0"/>
              <w:ind w:right="-110"/>
              <w:rPr>
                <w:rFonts w:eastAsia="Calibri" w:cstheme="minorHAnsi"/>
                <w:sz w:val="15"/>
                <w:szCs w:val="15"/>
              </w:rPr>
            </w:pPr>
            <w:r w:rsidRPr="00724C91">
              <w:rPr>
                <w:rFonts w:eastAsia="Calibri" w:cstheme="minorHAnsi"/>
                <w:sz w:val="15"/>
                <w:szCs w:val="15"/>
              </w:rPr>
              <w:t>Pre-/post-intervention study</w:t>
            </w:r>
          </w:p>
        </w:tc>
        <w:tc>
          <w:tcPr>
            <w:tcW w:w="4860" w:type="dxa"/>
            <w:tcBorders>
              <w:top w:val="nil"/>
              <w:left w:val="nil"/>
              <w:bottom w:val="nil"/>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In women with Nugent 4-10 and 21/60 with acute VVC, 14 days of </w:t>
            </w:r>
            <w:r w:rsidRPr="00724C91">
              <w:rPr>
                <w:rFonts w:eastAsia="Calibri" w:cstheme="minorHAnsi"/>
                <w:i/>
                <w:sz w:val="15"/>
                <w:szCs w:val="15"/>
              </w:rPr>
              <w:t>L. acidophilus</w:t>
            </w:r>
            <w:r w:rsidRPr="00724C91">
              <w:rPr>
                <w:rFonts w:eastAsia="Calibri" w:cstheme="minorHAnsi"/>
                <w:sz w:val="15"/>
                <w:szCs w:val="15"/>
              </w:rPr>
              <w:t xml:space="preserve"> LA14 without antifungals or antibiotics resulted in a significant reduction of VVC cases to 9/60 one day after cessation of use, and 6/60 4 weeks after cessation of use. Mean </w:t>
            </w:r>
            <w:r w:rsidRPr="00724C91">
              <w:rPr>
                <w:rFonts w:eastAsia="Calibri" w:cstheme="minorHAnsi"/>
                <w:i/>
                <w:sz w:val="15"/>
                <w:szCs w:val="15"/>
              </w:rPr>
              <w:t>Candida</w:t>
            </w:r>
            <w:r w:rsidRPr="00724C91">
              <w:rPr>
                <w:rFonts w:eastAsia="Calibri" w:cstheme="minorHAnsi"/>
                <w:sz w:val="15"/>
                <w:szCs w:val="15"/>
              </w:rPr>
              <w:t xml:space="preserve"> culture counts also decreased significantly.</w:t>
            </w:r>
          </w:p>
        </w:tc>
      </w:tr>
      <w:tr w:rsidR="00AD2736" w:rsidRPr="00724C91" w:rsidTr="00537DBF">
        <w:tc>
          <w:tcPr>
            <w:tcW w:w="1080" w:type="dxa"/>
            <w:tcBorders>
              <w:top w:val="nil"/>
              <w:left w:val="nil"/>
              <w:bottom w:val="single" w:sz="12" w:space="0" w:color="auto"/>
              <w:right w:val="nil"/>
            </w:tcBorders>
            <w:hideMark/>
          </w:tcPr>
          <w:p w:rsidR="000671A7" w:rsidRPr="00724C91" w:rsidRDefault="000671A7" w:rsidP="00537DBF">
            <w:pPr>
              <w:spacing w:after="0"/>
              <w:ind w:right="-120" w:hanging="20"/>
              <w:rPr>
                <w:rFonts w:eastAsia="Calibri" w:cstheme="minorHAnsi"/>
                <w:sz w:val="15"/>
                <w:szCs w:val="15"/>
              </w:rPr>
            </w:pPr>
            <w:r w:rsidRPr="00724C91">
              <w:rPr>
                <w:rFonts w:eastAsia="Calibri" w:cstheme="minorHAnsi"/>
                <w:sz w:val="15"/>
                <w:szCs w:val="15"/>
              </w:rPr>
              <w:t>Murina</w:t>
            </w:r>
            <w:r w:rsidRPr="00724C91">
              <w:rPr>
                <w:rFonts w:cstheme="minorHAnsi"/>
                <w:sz w:val="15"/>
                <w:szCs w:val="15"/>
                <w:vertAlign w:val="superscript"/>
              </w:rPr>
              <w:t>41</w:t>
            </w:r>
          </w:p>
        </w:tc>
        <w:tc>
          <w:tcPr>
            <w:tcW w:w="2070" w:type="dxa"/>
            <w:tcBorders>
              <w:top w:val="nil"/>
              <w:left w:val="nil"/>
              <w:bottom w:val="single" w:sz="12" w:space="0" w:color="auto"/>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 xml:space="preserve">Estromineral Probiogel </w:t>
            </w:r>
            <w:r w:rsidRPr="00724C91">
              <w:rPr>
                <w:rFonts w:eastAsia="Calibri" w:cstheme="minorHAnsi"/>
                <w:i/>
                <w:iCs/>
                <w:sz w:val="15"/>
                <w:szCs w:val="15"/>
              </w:rPr>
              <w:t xml:space="preserve">(L. fermentum </w:t>
            </w:r>
            <w:r w:rsidRPr="00724C91">
              <w:rPr>
                <w:rFonts w:eastAsia="Calibri" w:cstheme="minorHAnsi"/>
                <w:sz w:val="15"/>
                <w:szCs w:val="15"/>
              </w:rPr>
              <w:t xml:space="preserve">LF10 + </w:t>
            </w:r>
            <w:r w:rsidRPr="00724C91">
              <w:rPr>
                <w:rFonts w:eastAsia="Calibri" w:cstheme="minorHAnsi"/>
                <w:i/>
                <w:iCs/>
                <w:sz w:val="15"/>
                <w:szCs w:val="15"/>
              </w:rPr>
              <w:t xml:space="preserve">L. plantarum </w:t>
            </w:r>
            <w:r w:rsidRPr="00724C91">
              <w:rPr>
                <w:rFonts w:eastAsia="Calibri" w:cstheme="minorHAnsi"/>
                <w:sz w:val="15"/>
                <w:szCs w:val="15"/>
              </w:rPr>
              <w:t>LP02)</w:t>
            </w:r>
          </w:p>
        </w:tc>
        <w:tc>
          <w:tcPr>
            <w:tcW w:w="1170" w:type="dxa"/>
            <w:tcBorders>
              <w:top w:val="nil"/>
              <w:left w:val="nil"/>
              <w:bottom w:val="single" w:sz="12" w:space="0" w:color="auto"/>
              <w:right w:val="nil"/>
            </w:tcBorders>
            <w:hideMark/>
          </w:tcPr>
          <w:p w:rsidR="000671A7" w:rsidRPr="00724C91" w:rsidRDefault="000671A7" w:rsidP="00537DBF">
            <w:pPr>
              <w:spacing w:after="0"/>
              <w:ind w:right="-110"/>
              <w:rPr>
                <w:rFonts w:eastAsia="Calibri" w:cstheme="minorHAnsi"/>
                <w:sz w:val="15"/>
                <w:szCs w:val="15"/>
              </w:rPr>
            </w:pPr>
            <w:r w:rsidRPr="00724C91">
              <w:rPr>
                <w:rFonts w:eastAsia="Calibri" w:cstheme="minorHAnsi"/>
                <w:sz w:val="15"/>
                <w:szCs w:val="15"/>
              </w:rPr>
              <w:t>Pre-/post-intervention study</w:t>
            </w:r>
          </w:p>
        </w:tc>
        <w:tc>
          <w:tcPr>
            <w:tcW w:w="4860" w:type="dxa"/>
            <w:tcBorders>
              <w:top w:val="nil"/>
              <w:left w:val="nil"/>
              <w:bottom w:val="single" w:sz="12" w:space="0" w:color="auto"/>
              <w:right w:val="nil"/>
            </w:tcBorders>
            <w:hideMark/>
          </w:tcPr>
          <w:p w:rsidR="000671A7" w:rsidRPr="00724C91" w:rsidRDefault="000671A7" w:rsidP="00537DBF">
            <w:pPr>
              <w:spacing w:after="0"/>
              <w:rPr>
                <w:rFonts w:eastAsia="Calibri" w:cstheme="minorHAnsi"/>
                <w:sz w:val="15"/>
                <w:szCs w:val="15"/>
              </w:rPr>
            </w:pPr>
            <w:r w:rsidRPr="00724C91">
              <w:rPr>
                <w:rFonts w:eastAsia="Calibri" w:cstheme="minorHAnsi"/>
                <w:sz w:val="15"/>
                <w:szCs w:val="15"/>
              </w:rPr>
              <w:t>Estromineral Probiogel (without antifungal) cured 51/82 women with acute VVC and 27/27 in women with recurrent VVC between 20-30 days after therapy initiation (both significant compared to baseline), but therapy longer than the intended 6 days was required in 57.3% and 63.0% women, respectively, due to persistence of symptoms.</w:t>
            </w:r>
          </w:p>
        </w:tc>
      </w:tr>
    </w:tbl>
    <w:p w:rsidR="000671A7" w:rsidRPr="00724C91" w:rsidRDefault="000671A7" w:rsidP="000671A7">
      <w:pPr>
        <w:spacing w:after="0"/>
        <w:rPr>
          <w:rFonts w:cstheme="minorHAnsi"/>
          <w:sz w:val="16"/>
          <w:szCs w:val="16"/>
        </w:rPr>
      </w:pPr>
    </w:p>
    <w:p w:rsidR="000671A7" w:rsidRPr="00724C91" w:rsidRDefault="000671A7" w:rsidP="000671A7">
      <w:pPr>
        <w:spacing w:after="0"/>
        <w:rPr>
          <w:rFonts w:cstheme="minorHAnsi"/>
          <w:sz w:val="16"/>
          <w:szCs w:val="16"/>
        </w:rPr>
      </w:pPr>
    </w:p>
    <w:p w:rsidR="000671A7" w:rsidRPr="00724C91" w:rsidRDefault="000671A7" w:rsidP="000671A7">
      <w:pPr>
        <w:spacing w:after="0"/>
        <w:rPr>
          <w:rFonts w:cstheme="minorHAnsi"/>
          <w:sz w:val="16"/>
          <w:szCs w:val="16"/>
        </w:rPr>
      </w:pPr>
    </w:p>
    <w:p w:rsidR="000671A7" w:rsidRPr="00724C91" w:rsidRDefault="000671A7" w:rsidP="000671A7">
      <w:pPr>
        <w:spacing w:after="0"/>
        <w:rPr>
          <w:rFonts w:cstheme="minorHAnsi"/>
          <w:sz w:val="16"/>
          <w:szCs w:val="16"/>
        </w:rPr>
      </w:pPr>
    </w:p>
    <w:p w:rsidR="000671A7" w:rsidRPr="00724C91" w:rsidRDefault="000671A7" w:rsidP="000671A7">
      <w:pPr>
        <w:spacing w:after="0"/>
        <w:rPr>
          <w:rFonts w:cstheme="minorHAnsi"/>
          <w:sz w:val="16"/>
          <w:szCs w:val="16"/>
        </w:rPr>
      </w:pPr>
    </w:p>
    <w:p w:rsidR="000671A7" w:rsidRPr="00724C91" w:rsidRDefault="000671A7" w:rsidP="000671A7">
      <w:pPr>
        <w:spacing w:after="0"/>
        <w:rPr>
          <w:rFonts w:cstheme="minorHAnsi"/>
          <w:b/>
        </w:rPr>
      </w:pPr>
      <w:r w:rsidRPr="00724C91">
        <w:rPr>
          <w:rFonts w:cstheme="minorHAnsi"/>
          <w:b/>
        </w:rPr>
        <w:lastRenderedPageBreak/>
        <w:t>Table 3: Recommendations for vaginal probiotic efficacy evaluation.</w:t>
      </w:r>
    </w:p>
    <w:p w:rsidR="000671A7" w:rsidRPr="00724C91" w:rsidRDefault="000671A7" w:rsidP="000671A7">
      <w:pPr>
        <w:spacing w:after="0"/>
        <w:rPr>
          <w:rFonts w:cstheme="minorHAnsi"/>
        </w:rPr>
      </w:pPr>
      <w:r w:rsidRPr="00724C91">
        <w:rPr>
          <w:rFonts w:cstheme="minorHAnsi"/>
          <w:i/>
        </w:rPr>
        <w:t xml:space="preserve">BV </w:t>
      </w:r>
      <w:r w:rsidRPr="00724C91">
        <w:rPr>
          <w:rFonts w:cstheme="minorHAnsi"/>
        </w:rPr>
        <w:t xml:space="preserve">bacterial vaginosis, </w:t>
      </w:r>
      <w:r w:rsidRPr="00724C91">
        <w:rPr>
          <w:rFonts w:cstheme="minorHAnsi"/>
          <w:i/>
        </w:rPr>
        <w:t>VMB</w:t>
      </w:r>
      <w:r w:rsidRPr="00724C91">
        <w:rPr>
          <w:rFonts w:cstheme="minorHAnsi"/>
        </w:rPr>
        <w:t xml:space="preserve"> vaginal microbiota, </w:t>
      </w:r>
      <w:r w:rsidRPr="00724C91">
        <w:rPr>
          <w:rFonts w:cstheme="minorHAnsi"/>
          <w:i/>
        </w:rPr>
        <w:t>VVC</w:t>
      </w:r>
      <w:r w:rsidRPr="00724C91">
        <w:rPr>
          <w:rFonts w:cstheme="minorHAnsi"/>
        </w:rPr>
        <w:t xml:space="preserve"> vulvovaginal candidiasis.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581"/>
      </w:tblGrid>
      <w:tr w:rsidR="00AD2736" w:rsidRPr="00724C91" w:rsidTr="00537DBF">
        <w:tc>
          <w:tcPr>
            <w:tcW w:w="1435"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cstheme="minorHAnsi"/>
                <w:b/>
                <w:sz w:val="15"/>
                <w:szCs w:val="15"/>
                <w:lang w:val="en-US"/>
              </w:rPr>
            </w:pPr>
            <w:r w:rsidRPr="00724C91">
              <w:rPr>
                <w:rFonts w:cstheme="minorHAnsi"/>
                <w:b/>
                <w:sz w:val="15"/>
                <w:szCs w:val="15"/>
                <w:lang w:val="en-US"/>
              </w:rPr>
              <w:t>Topic</w:t>
            </w:r>
          </w:p>
        </w:tc>
        <w:tc>
          <w:tcPr>
            <w:tcW w:w="7581" w:type="dxa"/>
            <w:tcBorders>
              <w:top w:val="single" w:sz="12" w:space="0" w:color="auto"/>
              <w:left w:val="nil"/>
              <w:bottom w:val="single" w:sz="4" w:space="0" w:color="auto"/>
              <w:right w:val="nil"/>
            </w:tcBorders>
            <w:hideMark/>
          </w:tcPr>
          <w:p w:rsidR="000671A7" w:rsidRPr="00724C91" w:rsidRDefault="000671A7" w:rsidP="00537DBF">
            <w:pPr>
              <w:spacing w:after="0"/>
              <w:jc w:val="center"/>
              <w:rPr>
                <w:rFonts w:cstheme="minorHAnsi"/>
                <w:b/>
                <w:sz w:val="15"/>
                <w:szCs w:val="15"/>
                <w:lang w:val="en-US"/>
              </w:rPr>
            </w:pPr>
            <w:r w:rsidRPr="00724C91">
              <w:rPr>
                <w:rFonts w:cstheme="minorHAnsi"/>
                <w:b/>
                <w:sz w:val="15"/>
                <w:szCs w:val="15"/>
                <w:lang w:val="en-US"/>
              </w:rPr>
              <w:t>Recommendations</w:t>
            </w:r>
          </w:p>
        </w:tc>
      </w:tr>
      <w:tr w:rsidR="00AD2736" w:rsidRPr="00724C91" w:rsidTr="00537DBF">
        <w:tc>
          <w:tcPr>
            <w:tcW w:w="1435" w:type="dxa"/>
            <w:tcBorders>
              <w:top w:val="single" w:sz="4" w:space="0" w:color="auto"/>
              <w:left w:val="nil"/>
              <w:bottom w:val="nil"/>
              <w:right w:val="nil"/>
            </w:tcBorders>
            <w:hideMark/>
          </w:tcPr>
          <w:p w:rsidR="000671A7" w:rsidRPr="00724C91" w:rsidRDefault="000671A7" w:rsidP="00537DBF">
            <w:pPr>
              <w:spacing w:after="0"/>
              <w:rPr>
                <w:rFonts w:cstheme="minorHAnsi"/>
                <w:sz w:val="15"/>
                <w:szCs w:val="15"/>
                <w:lang w:val="en-US"/>
              </w:rPr>
            </w:pPr>
            <w:r w:rsidRPr="00724C91">
              <w:rPr>
                <w:rFonts w:cstheme="minorHAnsi"/>
                <w:sz w:val="15"/>
                <w:szCs w:val="15"/>
                <w:lang w:val="en-US"/>
              </w:rPr>
              <w:t>Study design, populations,  sample size</w:t>
            </w:r>
          </w:p>
        </w:tc>
        <w:tc>
          <w:tcPr>
            <w:tcW w:w="7581" w:type="dxa"/>
            <w:tcBorders>
              <w:top w:val="single" w:sz="4" w:space="0" w:color="auto"/>
              <w:left w:val="nil"/>
              <w:bottom w:val="nil"/>
              <w:right w:val="nil"/>
            </w:tcBorders>
            <w:hideMark/>
          </w:tcPr>
          <w:p w:rsidR="000671A7" w:rsidRPr="00724C91" w:rsidRDefault="000671A7" w:rsidP="000671A7">
            <w:pPr>
              <w:pStyle w:val="ListParagraph"/>
              <w:widowControl/>
              <w:numPr>
                <w:ilvl w:val="0"/>
                <w:numId w:val="1"/>
              </w:numPr>
              <w:ind w:left="217" w:hanging="220"/>
              <w:rPr>
                <w:rFonts w:cstheme="minorHAnsi"/>
                <w:sz w:val="15"/>
                <w:szCs w:val="15"/>
                <w:lang w:val="en-US"/>
              </w:rPr>
            </w:pPr>
            <w:r w:rsidRPr="00724C91">
              <w:rPr>
                <w:rFonts w:cstheme="minorHAnsi"/>
                <w:sz w:val="15"/>
                <w:szCs w:val="15"/>
                <w:lang w:val="en-US"/>
              </w:rPr>
              <w:t>Randomised placebo-controlled blinded trials are the preferred study design. Avoid pre-post studies without any parallel control groups.</w:t>
            </w:r>
          </w:p>
          <w:p w:rsidR="000671A7" w:rsidRPr="00724C91" w:rsidRDefault="000671A7" w:rsidP="000671A7">
            <w:pPr>
              <w:pStyle w:val="ListParagraph"/>
              <w:widowControl/>
              <w:numPr>
                <w:ilvl w:val="0"/>
                <w:numId w:val="1"/>
              </w:numPr>
              <w:ind w:left="217" w:hanging="220"/>
              <w:rPr>
                <w:rFonts w:cstheme="minorHAnsi"/>
                <w:sz w:val="15"/>
                <w:szCs w:val="15"/>
                <w:lang w:val="en-US"/>
              </w:rPr>
            </w:pPr>
            <w:r w:rsidRPr="00724C91">
              <w:rPr>
                <w:rFonts w:cstheme="minorHAnsi"/>
                <w:sz w:val="15"/>
                <w:szCs w:val="15"/>
                <w:lang w:val="en-US"/>
              </w:rPr>
              <w:t xml:space="preserve">Define the target population and recruitment strategy a priori. Avoid convenience samples. </w:t>
            </w:r>
          </w:p>
          <w:p w:rsidR="000671A7" w:rsidRPr="00724C91" w:rsidRDefault="000671A7" w:rsidP="000671A7">
            <w:pPr>
              <w:pStyle w:val="ListParagraph"/>
              <w:widowControl/>
              <w:numPr>
                <w:ilvl w:val="0"/>
                <w:numId w:val="1"/>
              </w:numPr>
              <w:ind w:left="217" w:hanging="220"/>
              <w:rPr>
                <w:rFonts w:cstheme="minorHAnsi"/>
                <w:sz w:val="15"/>
                <w:szCs w:val="15"/>
                <w:lang w:val="en-US"/>
              </w:rPr>
            </w:pPr>
            <w:r w:rsidRPr="00724C91">
              <w:rPr>
                <w:rFonts w:cstheme="minorHAnsi"/>
                <w:sz w:val="15"/>
                <w:szCs w:val="15"/>
                <w:lang w:val="en-US"/>
              </w:rPr>
              <w:t>Evaluate in women with and without urogenital symptoms, and in women at various levels of vaginal dysbiosis risk.</w:t>
            </w:r>
          </w:p>
          <w:p w:rsidR="000671A7" w:rsidRPr="00724C91" w:rsidRDefault="000671A7" w:rsidP="000671A7">
            <w:pPr>
              <w:pStyle w:val="ListParagraph"/>
              <w:widowControl/>
              <w:numPr>
                <w:ilvl w:val="0"/>
                <w:numId w:val="1"/>
              </w:numPr>
              <w:ind w:left="217" w:hanging="220"/>
              <w:rPr>
                <w:rFonts w:cstheme="minorHAnsi"/>
                <w:sz w:val="15"/>
                <w:szCs w:val="15"/>
                <w:lang w:val="en-US"/>
              </w:rPr>
            </w:pPr>
            <w:r w:rsidRPr="00724C91">
              <w:rPr>
                <w:rFonts w:cstheme="minorHAnsi"/>
                <w:sz w:val="15"/>
                <w:szCs w:val="15"/>
                <w:lang w:val="en-US"/>
              </w:rPr>
              <w:t xml:space="preserve">Conduct sample size calculations. Take into account that vaginal probiotic efficacy tends to have high inter-individual variability and that efficacy analyses should be controlled for known confounders such as hormonal status, menses, sexual behaviour, and presence of sexually transmitted infections. Allow for comparisons between responders and non-responders. </w:t>
            </w:r>
          </w:p>
        </w:tc>
      </w:tr>
      <w:tr w:rsidR="00AD2736" w:rsidRPr="00724C91" w:rsidTr="00537DBF">
        <w:tc>
          <w:tcPr>
            <w:tcW w:w="1435" w:type="dxa"/>
            <w:tcBorders>
              <w:top w:val="nil"/>
              <w:left w:val="nil"/>
              <w:bottom w:val="nil"/>
              <w:right w:val="nil"/>
            </w:tcBorders>
            <w:hideMark/>
          </w:tcPr>
          <w:p w:rsidR="000671A7" w:rsidRPr="00724C91" w:rsidRDefault="000671A7" w:rsidP="00537DBF">
            <w:pPr>
              <w:spacing w:after="0"/>
              <w:rPr>
                <w:rFonts w:cstheme="minorHAnsi"/>
                <w:sz w:val="15"/>
                <w:szCs w:val="15"/>
                <w:lang w:val="en-US"/>
              </w:rPr>
            </w:pPr>
            <w:r w:rsidRPr="00724C91">
              <w:rPr>
                <w:rFonts w:cstheme="minorHAnsi"/>
                <w:sz w:val="15"/>
                <w:szCs w:val="15"/>
                <w:lang w:val="en-US"/>
              </w:rPr>
              <w:t>Interventions</w:t>
            </w:r>
          </w:p>
        </w:tc>
        <w:tc>
          <w:tcPr>
            <w:tcW w:w="7581" w:type="dxa"/>
            <w:tcBorders>
              <w:top w:val="nil"/>
              <w:left w:val="nil"/>
              <w:bottom w:val="nil"/>
              <w:right w:val="nil"/>
            </w:tcBorders>
            <w:hideMark/>
          </w:tcPr>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Consider dose per insertion, frequency of insertion, timing of insertion (also in relationship to timing of sample collection for efficacy evaluation), and how menses will be taken into account.</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Provide clear use instructions, also in relation to vaginal hygiene practices and menses, and assess whether the participant understood them. Assess the participant’s ability to insert the probiotic correctly by direct observation. </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Consider frequent sampling for outcome assessments. Participants could self-sample at home.</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Assess adherence throughout the study, ideally not just by self-report.  </w:t>
            </w:r>
          </w:p>
        </w:tc>
      </w:tr>
      <w:tr w:rsidR="00AD2736" w:rsidRPr="00724C91" w:rsidTr="00537DBF">
        <w:tc>
          <w:tcPr>
            <w:tcW w:w="1435" w:type="dxa"/>
            <w:tcBorders>
              <w:top w:val="nil"/>
              <w:left w:val="nil"/>
              <w:bottom w:val="nil"/>
              <w:right w:val="nil"/>
            </w:tcBorders>
            <w:hideMark/>
          </w:tcPr>
          <w:p w:rsidR="000671A7" w:rsidRPr="00724C91" w:rsidRDefault="000671A7" w:rsidP="00537DBF">
            <w:pPr>
              <w:spacing w:after="0"/>
              <w:rPr>
                <w:rFonts w:cstheme="minorHAnsi"/>
                <w:sz w:val="15"/>
                <w:szCs w:val="15"/>
                <w:lang w:val="en-US"/>
              </w:rPr>
            </w:pPr>
            <w:r w:rsidRPr="00724C91">
              <w:rPr>
                <w:rFonts w:cstheme="minorHAnsi"/>
                <w:sz w:val="15"/>
                <w:szCs w:val="15"/>
                <w:lang w:val="en-US"/>
              </w:rPr>
              <w:t>Controls</w:t>
            </w:r>
          </w:p>
        </w:tc>
        <w:tc>
          <w:tcPr>
            <w:tcW w:w="7581" w:type="dxa"/>
            <w:tcBorders>
              <w:top w:val="nil"/>
              <w:left w:val="nil"/>
              <w:bottom w:val="nil"/>
              <w:right w:val="nil"/>
            </w:tcBorders>
            <w:hideMark/>
          </w:tcPr>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A parallel placebo control group is best, but if not possible, use no-intervention controls.</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In addition, consider a positive control group of women using oral or vaginal metronidazole/clindamycin for BV or an antifungal for VVC. </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Blind the laboratory technicians who conduct the outcome assessments, especially when blinding of the clinicians and participants is not possible. </w:t>
            </w:r>
          </w:p>
        </w:tc>
      </w:tr>
      <w:tr w:rsidR="00AD2736" w:rsidRPr="00724C91" w:rsidTr="00537DBF">
        <w:tc>
          <w:tcPr>
            <w:tcW w:w="1435" w:type="dxa"/>
            <w:tcBorders>
              <w:top w:val="nil"/>
              <w:left w:val="nil"/>
              <w:bottom w:val="nil"/>
              <w:right w:val="nil"/>
            </w:tcBorders>
            <w:hideMark/>
          </w:tcPr>
          <w:p w:rsidR="000671A7" w:rsidRPr="00724C91" w:rsidRDefault="000671A7" w:rsidP="00537DBF">
            <w:pPr>
              <w:spacing w:after="0"/>
              <w:rPr>
                <w:rFonts w:cstheme="minorHAnsi"/>
                <w:sz w:val="15"/>
                <w:szCs w:val="15"/>
                <w:lang w:val="en-US"/>
              </w:rPr>
            </w:pPr>
            <w:r w:rsidRPr="00724C91">
              <w:rPr>
                <w:rFonts w:cstheme="minorHAnsi"/>
                <w:sz w:val="15"/>
                <w:szCs w:val="15"/>
                <w:lang w:val="en-US"/>
              </w:rPr>
              <w:t>Outcomes</w:t>
            </w:r>
          </w:p>
        </w:tc>
        <w:tc>
          <w:tcPr>
            <w:tcW w:w="7581" w:type="dxa"/>
            <w:tcBorders>
              <w:top w:val="nil"/>
              <w:left w:val="nil"/>
              <w:bottom w:val="nil"/>
              <w:right w:val="nil"/>
            </w:tcBorders>
            <w:hideMark/>
          </w:tcPr>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Assess outcomes prior to, during, and after cessation of probiotic use in all women at all time points regardless of symptomatology. Use the same outcome assessments to determine eligibility and/or cure of the initial BV/VVC prior to initiation of probiotic use (if applicable), at the start of probiotic use, and throughout follow-up. </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Use (semi-)quantitative molecular methods to differentiate between probiotic lactobacilli, autologous lactobacilli, BV anaerobes, </w:t>
            </w:r>
            <w:r w:rsidRPr="00724C91">
              <w:rPr>
                <w:rFonts w:cstheme="minorHAnsi"/>
                <w:i/>
                <w:sz w:val="15"/>
                <w:szCs w:val="15"/>
                <w:lang w:val="en-US"/>
              </w:rPr>
              <w:t>Candida</w:t>
            </w:r>
            <w:r w:rsidRPr="00724C91">
              <w:rPr>
                <w:rFonts w:cstheme="minorHAnsi"/>
                <w:sz w:val="15"/>
                <w:szCs w:val="15"/>
                <w:lang w:val="en-US"/>
              </w:rPr>
              <w:t xml:space="preserve"> species, and other organisms of interest.</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In addition, use Nugent scoring and Amsel criteria to allow for comparisons with older studies and with current clinical practice.</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Consider and record the timing between last probiotic insertion and sample collection for efficacy assessment.</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Consider the vaginal microbiota holistically, including bacteria, yeasts, and sexually transmitted pathogens. </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Always assess and report safety outcomes (adverse events).</w:t>
            </w:r>
          </w:p>
        </w:tc>
      </w:tr>
      <w:tr w:rsidR="000671A7" w:rsidRPr="00724C91" w:rsidTr="00537DBF">
        <w:tc>
          <w:tcPr>
            <w:tcW w:w="1435" w:type="dxa"/>
            <w:tcBorders>
              <w:top w:val="nil"/>
              <w:left w:val="nil"/>
              <w:bottom w:val="single" w:sz="12" w:space="0" w:color="auto"/>
              <w:right w:val="nil"/>
            </w:tcBorders>
            <w:hideMark/>
          </w:tcPr>
          <w:p w:rsidR="000671A7" w:rsidRPr="00724C91" w:rsidRDefault="000671A7" w:rsidP="00537DBF">
            <w:pPr>
              <w:spacing w:after="0"/>
              <w:rPr>
                <w:rFonts w:cstheme="minorHAnsi"/>
                <w:sz w:val="15"/>
                <w:szCs w:val="15"/>
                <w:lang w:val="en-US"/>
              </w:rPr>
            </w:pPr>
            <w:r w:rsidRPr="00724C91">
              <w:rPr>
                <w:rFonts w:cstheme="minorHAnsi"/>
                <w:sz w:val="15"/>
                <w:szCs w:val="15"/>
                <w:lang w:val="en-US"/>
              </w:rPr>
              <w:t>Results reporting</w:t>
            </w:r>
          </w:p>
        </w:tc>
        <w:tc>
          <w:tcPr>
            <w:tcW w:w="7581" w:type="dxa"/>
            <w:tcBorders>
              <w:top w:val="nil"/>
              <w:left w:val="nil"/>
              <w:bottom w:val="single" w:sz="12" w:space="0" w:color="auto"/>
              <w:right w:val="nil"/>
            </w:tcBorders>
            <w:hideMark/>
          </w:tcPr>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Report the name and manufacturer of the vaginal probiotic that was evaluated, as well as all active ingredients, excipients, and dosing information. Explain the rationale for selecting the product and be transparent about competing interests.</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Report clearly how the probiotic was meant to be used: as a main therapy to cure BV or VVC, as an adjuvant therapy to an antimicrobial therapy, or as a maintenance therapy to prevent incidence or recurrence. </w:t>
            </w:r>
          </w:p>
          <w:p w:rsidR="000671A7" w:rsidRPr="00724C91" w:rsidRDefault="000671A7" w:rsidP="000671A7">
            <w:pPr>
              <w:pStyle w:val="ListParagraph"/>
              <w:widowControl/>
              <w:numPr>
                <w:ilvl w:val="0"/>
                <w:numId w:val="1"/>
              </w:numPr>
              <w:ind w:left="217" w:hanging="217"/>
              <w:rPr>
                <w:rFonts w:cstheme="minorHAnsi"/>
                <w:sz w:val="15"/>
                <w:szCs w:val="15"/>
                <w:lang w:val="en-US"/>
              </w:rPr>
            </w:pPr>
            <w:r w:rsidRPr="00724C91">
              <w:rPr>
                <w:rFonts w:cstheme="minorHAnsi"/>
                <w:sz w:val="15"/>
                <w:szCs w:val="15"/>
                <w:lang w:val="en-US"/>
              </w:rPr>
              <w:t xml:space="preserve">Report intent-to-treat and per-protocol statistical analysis results. </w:t>
            </w:r>
          </w:p>
        </w:tc>
      </w:tr>
    </w:tbl>
    <w:p w:rsidR="000671A7" w:rsidRPr="00724C91" w:rsidRDefault="000671A7" w:rsidP="000671A7">
      <w:pPr>
        <w:spacing w:after="0"/>
        <w:rPr>
          <w:rFonts w:cstheme="minorHAnsi"/>
          <w:sz w:val="16"/>
          <w:szCs w:val="16"/>
        </w:rPr>
      </w:pPr>
    </w:p>
    <w:p w:rsidR="000671A7" w:rsidRPr="00724C91" w:rsidRDefault="000671A7" w:rsidP="000671A7">
      <w:pPr>
        <w:spacing w:after="0"/>
      </w:pPr>
    </w:p>
    <w:p w:rsidR="00BB30B1" w:rsidRPr="00AD2736" w:rsidRDefault="00BB30B1" w:rsidP="000671A7">
      <w:pPr>
        <w:widowControl w:val="0"/>
        <w:spacing w:after="0"/>
        <w:contextualSpacing/>
        <w:rPr>
          <w:rFonts w:ascii="Times New Roman" w:hAnsi="Times New Roman" w:cs="Times New Roman"/>
          <w:sz w:val="24"/>
          <w:szCs w:val="24"/>
        </w:rPr>
      </w:pPr>
    </w:p>
    <w:sectPr w:rsidR="00BB30B1" w:rsidRPr="00AD2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17BE6"/>
    <w:multiLevelType w:val="hybridMultilevel"/>
    <w:tmpl w:val="EA72C8BA"/>
    <w:lvl w:ilvl="0" w:tplc="7382E0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A7"/>
    <w:rsid w:val="000671A7"/>
    <w:rsid w:val="00724C91"/>
    <w:rsid w:val="008237FC"/>
    <w:rsid w:val="00AD2736"/>
    <w:rsid w:val="00BB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A3FE"/>
  <w15:chartTrackingRefBased/>
  <w15:docId w15:val="{26C11D2C-6CCA-4C48-B3CE-CB068160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A7"/>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A7"/>
    <w:pPr>
      <w:widowControl w:val="0"/>
      <w:spacing w:after="0"/>
      <w:ind w:left="720"/>
      <w:contextualSpacing/>
    </w:pPr>
  </w:style>
  <w:style w:type="paragraph" w:styleId="Bibliography">
    <w:name w:val="Bibliography"/>
    <w:basedOn w:val="Normal"/>
    <w:next w:val="Normal"/>
    <w:uiPriority w:val="37"/>
    <w:unhideWhenUsed/>
    <w:rsid w:val="000671A7"/>
    <w:pPr>
      <w:tabs>
        <w:tab w:val="left" w:pos="504"/>
      </w:tabs>
      <w:spacing w:after="240"/>
      <w:ind w:left="504" w:hanging="504"/>
    </w:pPr>
  </w:style>
  <w:style w:type="table" w:customStyle="1" w:styleId="TableGrid1">
    <w:name w:val="Table Grid1"/>
    <w:basedOn w:val="TableNormal"/>
    <w:next w:val="TableGrid"/>
    <w:uiPriority w:val="39"/>
    <w:rsid w:val="000671A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7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Wijgert, Janneke</dc:creator>
  <cp:keywords/>
  <dc:description/>
  <cp:lastModifiedBy>van de Wijgert, Janneke</cp:lastModifiedBy>
  <cp:revision>4</cp:revision>
  <dcterms:created xsi:type="dcterms:W3CDTF">2019-05-31T10:34:00Z</dcterms:created>
  <dcterms:modified xsi:type="dcterms:W3CDTF">2019-07-31T11:21:00Z</dcterms:modified>
</cp:coreProperties>
</file>