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6AA" w:rsidRPr="00361D8E" w:rsidRDefault="00681D9A" w:rsidP="00544FDE">
      <w:pPr>
        <w:pStyle w:val="Title"/>
        <w:rPr>
          <w:rFonts w:asciiTheme="minorHAnsi" w:hAnsiTheme="minorHAnsi" w:cstheme="minorHAnsi"/>
          <w:b/>
          <w:color w:val="auto"/>
          <w:sz w:val="42"/>
          <w:szCs w:val="42"/>
        </w:rPr>
      </w:pPr>
      <w:r w:rsidRPr="00361D8E">
        <w:rPr>
          <w:rFonts w:asciiTheme="minorHAnsi" w:hAnsiTheme="minorHAnsi" w:cstheme="minorHAnsi"/>
          <w:b/>
          <w:color w:val="auto"/>
          <w:sz w:val="42"/>
          <w:szCs w:val="42"/>
        </w:rPr>
        <w:t xml:space="preserve">The Great War, Military Recruitment and </w:t>
      </w:r>
      <w:r w:rsidR="005A3D1B" w:rsidRPr="00361D8E">
        <w:rPr>
          <w:rFonts w:asciiTheme="minorHAnsi" w:hAnsiTheme="minorHAnsi" w:cstheme="minorHAnsi"/>
          <w:b/>
          <w:color w:val="auto"/>
          <w:sz w:val="42"/>
          <w:szCs w:val="42"/>
        </w:rPr>
        <w:t xml:space="preserve">the </w:t>
      </w:r>
      <w:r w:rsidRPr="00361D8E">
        <w:rPr>
          <w:rFonts w:asciiTheme="minorHAnsi" w:hAnsiTheme="minorHAnsi" w:cstheme="minorHAnsi"/>
          <w:b/>
          <w:color w:val="auto"/>
          <w:sz w:val="42"/>
          <w:szCs w:val="42"/>
        </w:rPr>
        <w:t>Public Relations</w:t>
      </w:r>
      <w:r w:rsidR="005A3D1B" w:rsidRPr="00361D8E">
        <w:rPr>
          <w:rFonts w:asciiTheme="minorHAnsi" w:hAnsiTheme="minorHAnsi" w:cstheme="minorHAnsi"/>
          <w:b/>
          <w:color w:val="auto"/>
          <w:sz w:val="42"/>
          <w:szCs w:val="42"/>
        </w:rPr>
        <w:t xml:space="preserve"> Work of </w:t>
      </w:r>
      <w:r w:rsidRPr="00361D8E">
        <w:rPr>
          <w:rFonts w:asciiTheme="minorHAnsi" w:hAnsiTheme="minorHAnsi" w:cstheme="minorHAnsi"/>
          <w:b/>
          <w:color w:val="auto"/>
          <w:sz w:val="42"/>
          <w:szCs w:val="42"/>
        </w:rPr>
        <w:t xml:space="preserve">the </w:t>
      </w:r>
      <w:r w:rsidR="00CA66AA" w:rsidRPr="00361D8E">
        <w:rPr>
          <w:rFonts w:asciiTheme="minorHAnsi" w:hAnsiTheme="minorHAnsi" w:cstheme="minorHAnsi"/>
          <w:b/>
          <w:color w:val="auto"/>
          <w:sz w:val="42"/>
          <w:szCs w:val="42"/>
        </w:rPr>
        <w:t>Parliamentary Recruiting Committee</w:t>
      </w:r>
      <w:r w:rsidRPr="00361D8E">
        <w:rPr>
          <w:rFonts w:asciiTheme="minorHAnsi" w:hAnsiTheme="minorHAnsi" w:cstheme="minorHAnsi"/>
          <w:b/>
          <w:color w:val="auto"/>
          <w:sz w:val="42"/>
          <w:szCs w:val="42"/>
        </w:rPr>
        <w:t>, 1914-1</w:t>
      </w:r>
      <w:r w:rsidR="0072621C" w:rsidRPr="00361D8E">
        <w:rPr>
          <w:rFonts w:asciiTheme="minorHAnsi" w:hAnsiTheme="minorHAnsi" w:cstheme="minorHAnsi"/>
          <w:b/>
          <w:color w:val="auto"/>
          <w:sz w:val="42"/>
          <w:szCs w:val="42"/>
        </w:rPr>
        <w:t>5</w:t>
      </w:r>
    </w:p>
    <w:p w:rsidR="00066F5C" w:rsidRPr="00361D8E" w:rsidRDefault="00CA66AA" w:rsidP="0075133F">
      <w:pPr>
        <w:spacing w:before="120"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 xml:space="preserve">When Britain declared war on Germany on </w:t>
      </w:r>
      <w:r w:rsidR="00873388" w:rsidRPr="00361D8E">
        <w:rPr>
          <w:rFonts w:asciiTheme="minorHAnsi" w:hAnsiTheme="minorHAnsi" w:cstheme="minorHAnsi"/>
          <w:sz w:val="24"/>
          <w:szCs w:val="24"/>
        </w:rPr>
        <w:t xml:space="preserve">4 </w:t>
      </w:r>
      <w:r w:rsidRPr="00361D8E">
        <w:rPr>
          <w:rFonts w:asciiTheme="minorHAnsi" w:hAnsiTheme="minorHAnsi" w:cstheme="minorHAnsi"/>
          <w:sz w:val="24"/>
          <w:szCs w:val="24"/>
        </w:rPr>
        <w:t>August 1914, a ‘rising tide of patriotism’ swept through the country</w:t>
      </w:r>
      <w:r w:rsidR="0062749F" w:rsidRPr="00361D8E">
        <w:rPr>
          <w:rFonts w:asciiTheme="minorHAnsi" w:hAnsiTheme="minorHAnsi" w:cstheme="minorHAnsi"/>
          <w:sz w:val="24"/>
          <w:szCs w:val="24"/>
        </w:rPr>
        <w:t xml:space="preserve"> (Simkins, 2007: 49)</w:t>
      </w:r>
      <w:r w:rsidRPr="00361D8E">
        <w:rPr>
          <w:rFonts w:asciiTheme="minorHAnsi" w:hAnsiTheme="minorHAnsi" w:cstheme="minorHAnsi"/>
          <w:sz w:val="24"/>
          <w:szCs w:val="24"/>
        </w:rPr>
        <w:t>.</w:t>
      </w:r>
      <w:r w:rsidR="00066F5C" w:rsidRPr="00361D8E">
        <w:rPr>
          <w:rFonts w:asciiTheme="minorHAnsi" w:hAnsiTheme="minorHAnsi" w:cstheme="minorHAnsi"/>
          <w:sz w:val="24"/>
          <w:szCs w:val="24"/>
        </w:rPr>
        <w:t xml:space="preserve"> Crowds that had gathered outside the Foreign Office responded to the announcement with ‘loud cheering’ and ‘patriotic demonstrations’ which, according to a report in the </w:t>
      </w:r>
      <w:r w:rsidR="00066F5C" w:rsidRPr="00361D8E">
        <w:rPr>
          <w:rFonts w:asciiTheme="minorHAnsi" w:hAnsiTheme="minorHAnsi" w:cstheme="minorHAnsi"/>
          <w:i/>
          <w:sz w:val="24"/>
          <w:szCs w:val="24"/>
        </w:rPr>
        <w:t>Times</w:t>
      </w:r>
      <w:r w:rsidR="006661B0" w:rsidRPr="00361D8E">
        <w:rPr>
          <w:rFonts w:asciiTheme="minorHAnsi" w:hAnsiTheme="minorHAnsi" w:cstheme="minorHAnsi"/>
          <w:sz w:val="24"/>
          <w:szCs w:val="24"/>
        </w:rPr>
        <w:t xml:space="preserve"> (5 August, 1914: 2),</w:t>
      </w:r>
      <w:r w:rsidR="0062749F" w:rsidRPr="00361D8E">
        <w:rPr>
          <w:rFonts w:asciiTheme="minorHAnsi" w:hAnsiTheme="minorHAnsi" w:cstheme="minorHAnsi"/>
          <w:sz w:val="24"/>
          <w:szCs w:val="24"/>
        </w:rPr>
        <w:t xml:space="preserve"> </w:t>
      </w:r>
      <w:r w:rsidR="00066F5C" w:rsidRPr="00361D8E">
        <w:rPr>
          <w:rFonts w:asciiTheme="minorHAnsi" w:hAnsiTheme="minorHAnsi" w:cstheme="minorHAnsi"/>
          <w:sz w:val="24"/>
          <w:szCs w:val="24"/>
        </w:rPr>
        <w:t>‘continued until an early hour [</w:t>
      </w:r>
      <w:r w:rsidR="00E4575A" w:rsidRPr="00361D8E">
        <w:rPr>
          <w:rFonts w:asciiTheme="minorHAnsi" w:hAnsiTheme="minorHAnsi" w:cstheme="minorHAnsi"/>
          <w:sz w:val="24"/>
          <w:szCs w:val="24"/>
        </w:rPr>
        <w:t>of</w:t>
      </w:r>
      <w:r w:rsidR="00066F5C" w:rsidRPr="00361D8E">
        <w:rPr>
          <w:rFonts w:asciiTheme="minorHAnsi" w:hAnsiTheme="minorHAnsi" w:cstheme="minorHAnsi"/>
          <w:sz w:val="24"/>
          <w:szCs w:val="24"/>
        </w:rPr>
        <w:t xml:space="preserve"> the] morning’, and the outburst of popular enthusiasm extended well beyond the capital to the northern and western reaches of the British Isles. Within a matter of days, several authors had begun to draft </w:t>
      </w:r>
      <w:r w:rsidR="006661B0" w:rsidRPr="00361D8E">
        <w:rPr>
          <w:rFonts w:asciiTheme="minorHAnsi" w:hAnsiTheme="minorHAnsi" w:cstheme="minorHAnsi"/>
          <w:sz w:val="24"/>
          <w:szCs w:val="24"/>
        </w:rPr>
        <w:t xml:space="preserve">premature </w:t>
      </w:r>
      <w:r w:rsidR="00066F5C" w:rsidRPr="00361D8E">
        <w:rPr>
          <w:rFonts w:asciiTheme="minorHAnsi" w:hAnsiTheme="minorHAnsi" w:cstheme="minorHAnsi"/>
          <w:sz w:val="24"/>
          <w:szCs w:val="24"/>
        </w:rPr>
        <w:t xml:space="preserve">‘histories’ of the war </w:t>
      </w:r>
      <w:r w:rsidR="0062749F" w:rsidRPr="00361D8E">
        <w:rPr>
          <w:rFonts w:asciiTheme="minorHAnsi" w:hAnsiTheme="minorHAnsi" w:cstheme="minorHAnsi"/>
          <w:sz w:val="24"/>
          <w:szCs w:val="24"/>
        </w:rPr>
        <w:t>that</w:t>
      </w:r>
      <w:r w:rsidR="00066F5C" w:rsidRPr="00361D8E">
        <w:rPr>
          <w:rFonts w:asciiTheme="minorHAnsi" w:hAnsiTheme="minorHAnsi" w:cstheme="minorHAnsi"/>
          <w:sz w:val="24"/>
          <w:szCs w:val="24"/>
        </w:rPr>
        <w:t xml:space="preserve"> sought to justify and vindicate Britain’s role in it</w:t>
      </w:r>
      <w:r w:rsidR="0062749F" w:rsidRPr="00361D8E">
        <w:rPr>
          <w:rFonts w:asciiTheme="minorHAnsi" w:hAnsiTheme="minorHAnsi" w:cstheme="minorHAnsi"/>
          <w:sz w:val="24"/>
          <w:szCs w:val="24"/>
        </w:rPr>
        <w:t xml:space="preserve"> (Paris, 2000: 111)</w:t>
      </w:r>
      <w:r w:rsidR="00066F5C" w:rsidRPr="00361D8E">
        <w:rPr>
          <w:rFonts w:asciiTheme="minorHAnsi" w:hAnsiTheme="minorHAnsi" w:cstheme="minorHAnsi"/>
          <w:sz w:val="24"/>
          <w:szCs w:val="24"/>
        </w:rPr>
        <w:t xml:space="preserve">, and by the end of the month more than a hundred thousand men had demonstrated their commitment to the </w:t>
      </w:r>
      <w:r w:rsidR="0062749F" w:rsidRPr="00361D8E">
        <w:rPr>
          <w:rFonts w:asciiTheme="minorHAnsi" w:hAnsiTheme="minorHAnsi" w:cstheme="minorHAnsi"/>
          <w:sz w:val="24"/>
          <w:szCs w:val="24"/>
        </w:rPr>
        <w:t>conflict</w:t>
      </w:r>
      <w:r w:rsidR="00066F5C" w:rsidRPr="00361D8E">
        <w:rPr>
          <w:rFonts w:asciiTheme="minorHAnsi" w:hAnsiTheme="minorHAnsi" w:cstheme="minorHAnsi"/>
          <w:sz w:val="24"/>
          <w:szCs w:val="24"/>
        </w:rPr>
        <w:t xml:space="preserve"> by enlisting in the first of the New Armies </w:t>
      </w:r>
      <w:r w:rsidR="005A3D1B" w:rsidRPr="00361D8E">
        <w:rPr>
          <w:rFonts w:asciiTheme="minorHAnsi" w:hAnsiTheme="minorHAnsi" w:cstheme="minorHAnsi"/>
          <w:sz w:val="24"/>
          <w:szCs w:val="24"/>
        </w:rPr>
        <w:t>created</w:t>
      </w:r>
      <w:r w:rsidR="00066F5C" w:rsidRPr="00361D8E">
        <w:rPr>
          <w:rFonts w:asciiTheme="minorHAnsi" w:hAnsiTheme="minorHAnsi" w:cstheme="minorHAnsi"/>
          <w:sz w:val="24"/>
          <w:szCs w:val="24"/>
        </w:rPr>
        <w:t xml:space="preserve"> by the Liberal government of Herbert Henry Asquith.</w:t>
      </w:r>
    </w:p>
    <w:p w:rsidR="00BC6CE5" w:rsidRPr="00361D8E" w:rsidRDefault="000E3C82" w:rsidP="0075133F">
      <w:pPr>
        <w:spacing w:before="120" w:after="120" w:line="360" w:lineRule="auto"/>
        <w:jc w:val="both"/>
        <w:rPr>
          <w:rFonts w:asciiTheme="minorHAnsi" w:hAnsiTheme="minorHAnsi" w:cstheme="minorHAnsi"/>
          <w:sz w:val="24"/>
          <w:szCs w:val="25"/>
        </w:rPr>
      </w:pPr>
      <w:r w:rsidRPr="00361D8E">
        <w:rPr>
          <w:rFonts w:asciiTheme="minorHAnsi" w:hAnsiTheme="minorHAnsi" w:cstheme="minorHAnsi"/>
          <w:sz w:val="24"/>
          <w:szCs w:val="25"/>
        </w:rPr>
        <w:t>When</w:t>
      </w:r>
      <w:r w:rsidR="00066F5C" w:rsidRPr="00361D8E">
        <w:rPr>
          <w:rFonts w:asciiTheme="minorHAnsi" w:hAnsiTheme="minorHAnsi" w:cstheme="minorHAnsi"/>
          <w:sz w:val="24"/>
          <w:szCs w:val="25"/>
        </w:rPr>
        <w:t xml:space="preserve"> conscription </w:t>
      </w:r>
      <w:r w:rsidRPr="00361D8E">
        <w:rPr>
          <w:rFonts w:asciiTheme="minorHAnsi" w:hAnsiTheme="minorHAnsi" w:cstheme="minorHAnsi"/>
          <w:sz w:val="24"/>
          <w:szCs w:val="25"/>
        </w:rPr>
        <w:t>was</w:t>
      </w:r>
      <w:r w:rsidR="00066F5C" w:rsidRPr="00361D8E">
        <w:rPr>
          <w:rFonts w:asciiTheme="minorHAnsi" w:hAnsiTheme="minorHAnsi" w:cstheme="minorHAnsi"/>
          <w:sz w:val="24"/>
          <w:szCs w:val="25"/>
        </w:rPr>
        <w:t xml:space="preserve"> enforced a little over a year later, just shy of </w:t>
      </w:r>
      <w:r w:rsidR="00842CCA" w:rsidRPr="00361D8E">
        <w:rPr>
          <w:rFonts w:asciiTheme="minorHAnsi" w:hAnsiTheme="minorHAnsi" w:cstheme="minorHAnsi"/>
          <w:sz w:val="24"/>
          <w:szCs w:val="25"/>
        </w:rPr>
        <w:t xml:space="preserve">two-and-a-half </w:t>
      </w:r>
      <w:r w:rsidR="00066F5C" w:rsidRPr="00361D8E">
        <w:rPr>
          <w:rFonts w:asciiTheme="minorHAnsi" w:hAnsiTheme="minorHAnsi" w:cstheme="minorHAnsi"/>
          <w:sz w:val="24"/>
          <w:szCs w:val="25"/>
        </w:rPr>
        <w:t>million men had volunteered to serve in the fighting forces</w:t>
      </w:r>
      <w:r w:rsidR="00EC72C2" w:rsidRPr="00361D8E">
        <w:rPr>
          <w:rFonts w:asciiTheme="minorHAnsi" w:hAnsiTheme="minorHAnsi" w:cstheme="minorHAnsi"/>
          <w:sz w:val="24"/>
          <w:szCs w:val="25"/>
        </w:rPr>
        <w:t xml:space="preserve">, joining not only through the central machinery erected by the War Office but </w:t>
      </w:r>
      <w:r w:rsidR="008E0DC7" w:rsidRPr="00361D8E">
        <w:rPr>
          <w:rFonts w:asciiTheme="minorHAnsi" w:hAnsiTheme="minorHAnsi" w:cstheme="minorHAnsi"/>
          <w:sz w:val="24"/>
          <w:szCs w:val="25"/>
        </w:rPr>
        <w:t>via</w:t>
      </w:r>
      <w:r w:rsidR="00EC72C2" w:rsidRPr="00361D8E">
        <w:rPr>
          <w:rFonts w:asciiTheme="minorHAnsi" w:hAnsiTheme="minorHAnsi" w:cstheme="minorHAnsi"/>
          <w:sz w:val="24"/>
          <w:szCs w:val="25"/>
        </w:rPr>
        <w:t xml:space="preserve"> Territorial Force County Associations and Pals Battalions raised by local authorities, industrialists and committees of private citizens </w:t>
      </w:r>
      <w:r w:rsidR="00090EC8" w:rsidRPr="00361D8E">
        <w:rPr>
          <w:rFonts w:asciiTheme="minorHAnsi" w:hAnsiTheme="minorHAnsi" w:cstheme="minorHAnsi"/>
          <w:sz w:val="24"/>
          <w:szCs w:val="25"/>
        </w:rPr>
        <w:t xml:space="preserve">as well </w:t>
      </w:r>
      <w:r w:rsidR="00EC72C2" w:rsidRPr="00361D8E">
        <w:rPr>
          <w:rFonts w:asciiTheme="minorHAnsi" w:hAnsiTheme="minorHAnsi" w:cstheme="minorHAnsi"/>
          <w:sz w:val="24"/>
          <w:szCs w:val="25"/>
        </w:rPr>
        <w:t>(Simkins, 2007: 79; Holmes, 2004: 137)</w:t>
      </w:r>
      <w:r w:rsidR="00066F5C" w:rsidRPr="00361D8E">
        <w:rPr>
          <w:rFonts w:asciiTheme="minorHAnsi" w:hAnsiTheme="minorHAnsi" w:cstheme="minorHAnsi"/>
          <w:sz w:val="24"/>
          <w:szCs w:val="25"/>
        </w:rPr>
        <w:t>. Their reasons for doing so have formed the basis of countless studies, with some historians suggesting that a widespread pre-war belief in the ‘impending, inevitable conflict of nations’ helped to lay the ground for 1914-18</w:t>
      </w:r>
      <w:r w:rsidR="0062749F" w:rsidRPr="00361D8E">
        <w:rPr>
          <w:rFonts w:asciiTheme="minorHAnsi" w:hAnsiTheme="minorHAnsi" w:cstheme="minorHAnsi"/>
          <w:sz w:val="24"/>
          <w:szCs w:val="25"/>
        </w:rPr>
        <w:t xml:space="preserve"> (Bond, 1998: 72</w:t>
      </w:r>
      <w:r w:rsidR="0075133F" w:rsidRPr="00361D8E">
        <w:rPr>
          <w:rFonts w:asciiTheme="minorHAnsi" w:hAnsiTheme="minorHAnsi" w:cstheme="minorHAnsi"/>
          <w:sz w:val="24"/>
          <w:szCs w:val="25"/>
        </w:rPr>
        <w:t>; see also Paris, 2000: 83-109</w:t>
      </w:r>
      <w:r w:rsidR="0062749F" w:rsidRPr="00361D8E">
        <w:rPr>
          <w:rFonts w:asciiTheme="minorHAnsi" w:hAnsiTheme="minorHAnsi" w:cstheme="minorHAnsi"/>
          <w:sz w:val="24"/>
          <w:szCs w:val="25"/>
        </w:rPr>
        <w:t>)</w:t>
      </w:r>
      <w:r w:rsidR="00066F5C" w:rsidRPr="00361D8E">
        <w:rPr>
          <w:rFonts w:asciiTheme="minorHAnsi" w:hAnsiTheme="minorHAnsi" w:cstheme="minorHAnsi"/>
          <w:sz w:val="24"/>
          <w:szCs w:val="25"/>
        </w:rPr>
        <w:t xml:space="preserve"> and others drawing attention to the myriad attempts by official and unofficial propagandists alike to </w:t>
      </w:r>
      <w:r w:rsidR="00AC6A5B" w:rsidRPr="00361D8E">
        <w:rPr>
          <w:rFonts w:asciiTheme="minorHAnsi" w:hAnsiTheme="minorHAnsi" w:cstheme="minorHAnsi"/>
          <w:sz w:val="24"/>
          <w:szCs w:val="25"/>
        </w:rPr>
        <w:t>coerce</w:t>
      </w:r>
      <w:r w:rsidR="00066F5C" w:rsidRPr="00361D8E">
        <w:rPr>
          <w:rFonts w:asciiTheme="minorHAnsi" w:hAnsiTheme="minorHAnsi" w:cstheme="minorHAnsi"/>
          <w:sz w:val="24"/>
          <w:szCs w:val="25"/>
        </w:rPr>
        <w:t xml:space="preserve"> ordinary citizens </w:t>
      </w:r>
      <w:r w:rsidR="00AC6A5B" w:rsidRPr="00361D8E">
        <w:rPr>
          <w:rFonts w:asciiTheme="minorHAnsi" w:hAnsiTheme="minorHAnsi" w:cstheme="minorHAnsi"/>
          <w:sz w:val="24"/>
          <w:szCs w:val="25"/>
        </w:rPr>
        <w:t>in</w:t>
      </w:r>
      <w:r w:rsidR="00066F5C" w:rsidRPr="00361D8E">
        <w:rPr>
          <w:rFonts w:asciiTheme="minorHAnsi" w:hAnsiTheme="minorHAnsi" w:cstheme="minorHAnsi"/>
          <w:sz w:val="24"/>
          <w:szCs w:val="25"/>
        </w:rPr>
        <w:t>to support</w:t>
      </w:r>
      <w:r w:rsidR="00AC6A5B" w:rsidRPr="00361D8E">
        <w:rPr>
          <w:rFonts w:asciiTheme="minorHAnsi" w:hAnsiTheme="minorHAnsi" w:cstheme="minorHAnsi"/>
          <w:sz w:val="24"/>
          <w:szCs w:val="25"/>
        </w:rPr>
        <w:t>ing</w:t>
      </w:r>
      <w:r w:rsidR="00066F5C" w:rsidRPr="00361D8E">
        <w:rPr>
          <w:rFonts w:asciiTheme="minorHAnsi" w:hAnsiTheme="minorHAnsi" w:cstheme="minorHAnsi"/>
          <w:sz w:val="24"/>
          <w:szCs w:val="25"/>
        </w:rPr>
        <w:t xml:space="preserve"> the war</w:t>
      </w:r>
      <w:r w:rsidR="0062749F" w:rsidRPr="00361D8E">
        <w:rPr>
          <w:rFonts w:asciiTheme="minorHAnsi" w:hAnsiTheme="minorHAnsi" w:cstheme="minorHAnsi"/>
          <w:sz w:val="24"/>
          <w:szCs w:val="25"/>
        </w:rPr>
        <w:t xml:space="preserve"> (Haste, 1977; Buitenhuis, 1989; </w:t>
      </w:r>
      <w:r w:rsidR="00065C79" w:rsidRPr="00361D8E">
        <w:rPr>
          <w:rFonts w:asciiTheme="minorHAnsi" w:hAnsiTheme="minorHAnsi" w:cstheme="minorHAnsi"/>
          <w:sz w:val="24"/>
          <w:szCs w:val="25"/>
        </w:rPr>
        <w:t>Messinger, 1992</w:t>
      </w:r>
      <w:r w:rsidR="00F22F13" w:rsidRPr="00361D8E">
        <w:rPr>
          <w:rFonts w:asciiTheme="minorHAnsi" w:hAnsiTheme="minorHAnsi" w:cstheme="minorHAnsi"/>
          <w:sz w:val="24"/>
          <w:szCs w:val="25"/>
        </w:rPr>
        <w:t xml:space="preserve">; </w:t>
      </w:r>
      <w:r w:rsidR="00BC6CE5" w:rsidRPr="00361D8E">
        <w:rPr>
          <w:rFonts w:asciiTheme="minorHAnsi" w:hAnsiTheme="minorHAnsi" w:cstheme="minorHAnsi"/>
          <w:sz w:val="24"/>
          <w:szCs w:val="25"/>
        </w:rPr>
        <w:t xml:space="preserve">Monger, 2012; </w:t>
      </w:r>
      <w:r w:rsidR="0036632C" w:rsidRPr="00361D8E">
        <w:rPr>
          <w:rFonts w:asciiTheme="minorHAnsi" w:hAnsiTheme="minorHAnsi" w:cstheme="minorHAnsi"/>
          <w:sz w:val="24"/>
          <w:szCs w:val="25"/>
        </w:rPr>
        <w:t>Green, 2014</w:t>
      </w:r>
      <w:r w:rsidR="00A326B3" w:rsidRPr="00361D8E">
        <w:rPr>
          <w:rFonts w:asciiTheme="minorHAnsi" w:hAnsiTheme="minorHAnsi" w:cstheme="minorHAnsi"/>
          <w:sz w:val="24"/>
          <w:szCs w:val="25"/>
        </w:rPr>
        <w:t>)</w:t>
      </w:r>
      <w:r w:rsidR="00066F5C" w:rsidRPr="00361D8E">
        <w:rPr>
          <w:rFonts w:asciiTheme="minorHAnsi" w:hAnsiTheme="minorHAnsi" w:cstheme="minorHAnsi"/>
          <w:sz w:val="24"/>
          <w:szCs w:val="25"/>
        </w:rPr>
        <w:t xml:space="preserve">. </w:t>
      </w:r>
    </w:p>
    <w:p w:rsidR="00EC72C2" w:rsidRPr="00361D8E" w:rsidRDefault="00066F5C" w:rsidP="0075133F">
      <w:pPr>
        <w:spacing w:before="120" w:after="120" w:line="360" w:lineRule="auto"/>
        <w:jc w:val="both"/>
        <w:rPr>
          <w:rFonts w:asciiTheme="minorHAnsi" w:hAnsiTheme="minorHAnsi" w:cstheme="minorHAnsi"/>
          <w:sz w:val="24"/>
          <w:szCs w:val="24"/>
        </w:rPr>
      </w:pPr>
      <w:r w:rsidRPr="00361D8E">
        <w:rPr>
          <w:rFonts w:asciiTheme="minorHAnsi" w:hAnsiTheme="minorHAnsi" w:cstheme="minorHAnsi"/>
          <w:sz w:val="24"/>
          <w:szCs w:val="25"/>
        </w:rPr>
        <w:t xml:space="preserve">Given the </w:t>
      </w:r>
      <w:r w:rsidR="00873388" w:rsidRPr="00361D8E">
        <w:rPr>
          <w:rFonts w:asciiTheme="minorHAnsi" w:hAnsiTheme="minorHAnsi" w:cstheme="minorHAnsi"/>
          <w:sz w:val="24"/>
          <w:szCs w:val="25"/>
        </w:rPr>
        <w:t>breadth</w:t>
      </w:r>
      <w:r w:rsidRPr="00361D8E">
        <w:rPr>
          <w:rFonts w:asciiTheme="minorHAnsi" w:hAnsiTheme="minorHAnsi" w:cstheme="minorHAnsi"/>
          <w:sz w:val="24"/>
          <w:szCs w:val="25"/>
        </w:rPr>
        <w:t xml:space="preserve"> of wartime propaganda, it is not hard to see why a </w:t>
      </w:r>
      <w:r w:rsidR="00F51ADB" w:rsidRPr="00361D8E">
        <w:rPr>
          <w:rFonts w:asciiTheme="minorHAnsi" w:hAnsiTheme="minorHAnsi" w:cstheme="minorHAnsi"/>
          <w:sz w:val="24"/>
          <w:szCs w:val="25"/>
        </w:rPr>
        <w:t>correlation</w:t>
      </w:r>
      <w:r w:rsidRPr="00361D8E">
        <w:rPr>
          <w:rFonts w:asciiTheme="minorHAnsi" w:hAnsiTheme="minorHAnsi" w:cstheme="minorHAnsi"/>
          <w:sz w:val="24"/>
          <w:szCs w:val="25"/>
        </w:rPr>
        <w:t xml:space="preserve"> has been drawn between the culture of ‘w</w:t>
      </w:r>
      <w:r w:rsidR="00F51ADB" w:rsidRPr="00361D8E">
        <w:rPr>
          <w:rFonts w:asciiTheme="minorHAnsi" w:hAnsiTheme="minorHAnsi" w:cstheme="minorHAnsi"/>
          <w:sz w:val="24"/>
          <w:szCs w:val="25"/>
        </w:rPr>
        <w:t xml:space="preserve">ar enthusiasm’ that apparently </w:t>
      </w:r>
      <w:r w:rsidR="001343F4" w:rsidRPr="00361D8E">
        <w:rPr>
          <w:rFonts w:asciiTheme="minorHAnsi" w:hAnsiTheme="minorHAnsi" w:cstheme="minorHAnsi"/>
          <w:sz w:val="24"/>
          <w:szCs w:val="25"/>
        </w:rPr>
        <w:t>existed</w:t>
      </w:r>
      <w:r w:rsidRPr="00361D8E">
        <w:rPr>
          <w:rFonts w:asciiTheme="minorHAnsi" w:hAnsiTheme="minorHAnsi" w:cstheme="minorHAnsi"/>
          <w:sz w:val="24"/>
          <w:szCs w:val="25"/>
        </w:rPr>
        <w:t xml:space="preserve"> in Britain in the early stages of the </w:t>
      </w:r>
      <w:r w:rsidR="007A7F0B" w:rsidRPr="00361D8E">
        <w:rPr>
          <w:rFonts w:asciiTheme="minorHAnsi" w:hAnsiTheme="minorHAnsi" w:cstheme="minorHAnsi"/>
          <w:sz w:val="24"/>
          <w:szCs w:val="25"/>
        </w:rPr>
        <w:t>conflict</w:t>
      </w:r>
      <w:r w:rsidRPr="00361D8E">
        <w:rPr>
          <w:rFonts w:asciiTheme="minorHAnsi" w:hAnsiTheme="minorHAnsi" w:cstheme="minorHAnsi"/>
          <w:sz w:val="24"/>
          <w:szCs w:val="25"/>
        </w:rPr>
        <w:t xml:space="preserve"> and the institutions that </w:t>
      </w:r>
      <w:r w:rsidR="0036632C" w:rsidRPr="00361D8E">
        <w:rPr>
          <w:rFonts w:asciiTheme="minorHAnsi" w:hAnsiTheme="minorHAnsi" w:cstheme="minorHAnsi"/>
          <w:sz w:val="24"/>
          <w:szCs w:val="25"/>
        </w:rPr>
        <w:t>were</w:t>
      </w:r>
      <w:r w:rsidRPr="00361D8E">
        <w:rPr>
          <w:rFonts w:asciiTheme="minorHAnsi" w:hAnsiTheme="minorHAnsi" w:cstheme="minorHAnsi"/>
          <w:sz w:val="24"/>
          <w:szCs w:val="25"/>
        </w:rPr>
        <w:t xml:space="preserve"> formed to</w:t>
      </w:r>
      <w:r w:rsidR="0036632C" w:rsidRPr="00361D8E">
        <w:rPr>
          <w:rFonts w:asciiTheme="minorHAnsi" w:hAnsiTheme="minorHAnsi" w:cstheme="minorHAnsi"/>
          <w:sz w:val="24"/>
          <w:szCs w:val="25"/>
        </w:rPr>
        <w:t xml:space="preserve"> </w:t>
      </w:r>
      <w:r w:rsidR="00EC502D" w:rsidRPr="00361D8E">
        <w:rPr>
          <w:rFonts w:asciiTheme="minorHAnsi" w:hAnsiTheme="minorHAnsi" w:cstheme="minorHAnsi"/>
          <w:sz w:val="24"/>
          <w:szCs w:val="25"/>
        </w:rPr>
        <w:t xml:space="preserve">help </w:t>
      </w:r>
      <w:r w:rsidRPr="00361D8E">
        <w:rPr>
          <w:rFonts w:asciiTheme="minorHAnsi" w:hAnsiTheme="minorHAnsi" w:cstheme="minorHAnsi"/>
          <w:sz w:val="24"/>
          <w:szCs w:val="25"/>
        </w:rPr>
        <w:t>cultivate and sustain such</w:t>
      </w:r>
      <w:r w:rsidR="00ED316C" w:rsidRPr="00361D8E">
        <w:rPr>
          <w:rFonts w:asciiTheme="minorHAnsi" w:hAnsiTheme="minorHAnsi" w:cstheme="minorHAnsi"/>
          <w:sz w:val="24"/>
          <w:szCs w:val="25"/>
        </w:rPr>
        <w:t xml:space="preserve"> </w:t>
      </w:r>
      <w:r w:rsidR="001B5F7F" w:rsidRPr="00361D8E">
        <w:rPr>
          <w:rFonts w:asciiTheme="minorHAnsi" w:hAnsiTheme="minorHAnsi" w:cstheme="minorHAnsi"/>
          <w:sz w:val="24"/>
          <w:szCs w:val="25"/>
        </w:rPr>
        <w:t>enthusiasm</w:t>
      </w:r>
      <w:r w:rsidRPr="00361D8E">
        <w:rPr>
          <w:rFonts w:asciiTheme="minorHAnsi" w:hAnsiTheme="minorHAnsi" w:cstheme="minorHAnsi"/>
          <w:sz w:val="24"/>
          <w:szCs w:val="25"/>
        </w:rPr>
        <w:t xml:space="preserve">. Between August 1914 and </w:t>
      </w:r>
      <w:r w:rsidR="00F51ADB" w:rsidRPr="00361D8E">
        <w:rPr>
          <w:rFonts w:asciiTheme="minorHAnsi" w:hAnsiTheme="minorHAnsi" w:cstheme="minorHAnsi"/>
          <w:sz w:val="24"/>
          <w:szCs w:val="25"/>
        </w:rPr>
        <w:t>February</w:t>
      </w:r>
      <w:r w:rsidRPr="00361D8E">
        <w:rPr>
          <w:rFonts w:asciiTheme="minorHAnsi" w:hAnsiTheme="minorHAnsi" w:cstheme="minorHAnsi"/>
          <w:sz w:val="24"/>
          <w:szCs w:val="25"/>
        </w:rPr>
        <w:t xml:space="preserve"> 1918, </w:t>
      </w:r>
      <w:r w:rsidR="00EC72C2" w:rsidRPr="00361D8E">
        <w:rPr>
          <w:rFonts w:asciiTheme="minorHAnsi" w:hAnsiTheme="minorHAnsi" w:cstheme="minorHAnsi"/>
          <w:sz w:val="24"/>
          <w:szCs w:val="25"/>
        </w:rPr>
        <w:t xml:space="preserve">five major propaganda agencies were set up to increase public support for the war, with one of those bodies, the Parliamentary </w:t>
      </w:r>
      <w:r w:rsidR="00EC72C2" w:rsidRPr="00361D8E">
        <w:rPr>
          <w:rFonts w:asciiTheme="minorHAnsi" w:hAnsiTheme="minorHAnsi" w:cstheme="minorHAnsi"/>
          <w:sz w:val="24"/>
          <w:szCs w:val="24"/>
        </w:rPr>
        <w:t xml:space="preserve">Recruiting Committee, established with the express purpose of </w:t>
      </w:r>
      <w:r w:rsidR="00544FDE" w:rsidRPr="00361D8E">
        <w:rPr>
          <w:rFonts w:asciiTheme="minorHAnsi" w:hAnsiTheme="minorHAnsi" w:cstheme="minorHAnsi"/>
          <w:sz w:val="24"/>
          <w:szCs w:val="24"/>
        </w:rPr>
        <w:t xml:space="preserve">boosting </w:t>
      </w:r>
      <w:r w:rsidR="008E0DC7" w:rsidRPr="00361D8E">
        <w:rPr>
          <w:rFonts w:asciiTheme="minorHAnsi" w:hAnsiTheme="minorHAnsi" w:cstheme="minorHAnsi"/>
          <w:sz w:val="24"/>
          <w:szCs w:val="24"/>
        </w:rPr>
        <w:t xml:space="preserve">military </w:t>
      </w:r>
      <w:r w:rsidR="00AC6A5B" w:rsidRPr="00361D8E">
        <w:rPr>
          <w:rFonts w:asciiTheme="minorHAnsi" w:hAnsiTheme="minorHAnsi" w:cstheme="minorHAnsi"/>
          <w:sz w:val="24"/>
          <w:szCs w:val="24"/>
        </w:rPr>
        <w:t>recruit</w:t>
      </w:r>
      <w:r w:rsidR="008E0DC7" w:rsidRPr="00361D8E">
        <w:rPr>
          <w:rFonts w:asciiTheme="minorHAnsi" w:hAnsiTheme="minorHAnsi" w:cstheme="minorHAnsi"/>
          <w:sz w:val="24"/>
          <w:szCs w:val="24"/>
        </w:rPr>
        <w:t>ment</w:t>
      </w:r>
      <w:r w:rsidR="00EC72C2" w:rsidRPr="00361D8E">
        <w:rPr>
          <w:rFonts w:asciiTheme="minorHAnsi" w:hAnsiTheme="minorHAnsi" w:cstheme="minorHAnsi"/>
          <w:sz w:val="24"/>
          <w:szCs w:val="24"/>
        </w:rPr>
        <w:t>.</w:t>
      </w:r>
      <w:r w:rsidR="00EC72C2" w:rsidRPr="00361D8E">
        <w:rPr>
          <w:rStyle w:val="EndnoteReference"/>
          <w:rFonts w:asciiTheme="minorHAnsi" w:hAnsiTheme="minorHAnsi" w:cstheme="minorHAnsi"/>
          <w:sz w:val="24"/>
          <w:szCs w:val="24"/>
        </w:rPr>
        <w:endnoteReference w:id="1"/>
      </w:r>
    </w:p>
    <w:p w:rsidR="00F9421A" w:rsidRPr="00361D8E" w:rsidRDefault="00F9421A" w:rsidP="0075133F">
      <w:pPr>
        <w:spacing w:before="120" w:after="120" w:line="360" w:lineRule="auto"/>
        <w:jc w:val="both"/>
        <w:rPr>
          <w:rFonts w:asciiTheme="minorHAnsi" w:hAnsiTheme="minorHAnsi" w:cstheme="minorHAnsi"/>
          <w:sz w:val="24"/>
          <w:szCs w:val="24"/>
        </w:rPr>
      </w:pPr>
      <w:r w:rsidRPr="00361D8E">
        <w:rPr>
          <w:rFonts w:asciiTheme="minorHAnsi" w:hAnsiTheme="minorHAnsi" w:cstheme="minorHAnsi"/>
          <w:sz w:val="24"/>
          <w:szCs w:val="25"/>
        </w:rPr>
        <w:lastRenderedPageBreak/>
        <w:t xml:space="preserve">Though it campaigned for less than two years, the Parliamentary Recruiting Committee </w:t>
      </w:r>
      <w:r w:rsidR="00EC72C2" w:rsidRPr="00361D8E">
        <w:rPr>
          <w:rFonts w:asciiTheme="minorHAnsi" w:hAnsiTheme="minorHAnsi" w:cstheme="minorHAnsi"/>
          <w:sz w:val="24"/>
          <w:szCs w:val="24"/>
        </w:rPr>
        <w:t>claim</w:t>
      </w:r>
      <w:r w:rsidR="00127905" w:rsidRPr="00361D8E">
        <w:rPr>
          <w:rFonts w:asciiTheme="minorHAnsi" w:hAnsiTheme="minorHAnsi" w:cstheme="minorHAnsi"/>
          <w:sz w:val="24"/>
          <w:szCs w:val="24"/>
        </w:rPr>
        <w:t>ed responsibility for an astonishing quantity of promotion</w:t>
      </w:r>
      <w:r w:rsidR="00544FDE" w:rsidRPr="00361D8E">
        <w:rPr>
          <w:rFonts w:asciiTheme="minorHAnsi" w:hAnsiTheme="minorHAnsi" w:cstheme="minorHAnsi"/>
          <w:sz w:val="24"/>
          <w:szCs w:val="24"/>
        </w:rPr>
        <w:t xml:space="preserve">, which apparently </w:t>
      </w:r>
      <w:r w:rsidR="00090EC8" w:rsidRPr="00361D8E">
        <w:rPr>
          <w:rFonts w:asciiTheme="minorHAnsi" w:hAnsiTheme="minorHAnsi" w:cstheme="minorHAnsi"/>
          <w:sz w:val="24"/>
          <w:szCs w:val="24"/>
        </w:rPr>
        <w:t>amounted to</w:t>
      </w:r>
      <w:r w:rsidR="00127905" w:rsidRPr="00361D8E">
        <w:rPr>
          <w:rFonts w:asciiTheme="minorHAnsi" w:hAnsiTheme="minorHAnsi" w:cstheme="minorHAnsi"/>
          <w:sz w:val="24"/>
          <w:szCs w:val="24"/>
        </w:rPr>
        <w:t xml:space="preserve"> </w:t>
      </w:r>
      <w:r w:rsidRPr="00361D8E">
        <w:rPr>
          <w:rFonts w:asciiTheme="minorHAnsi" w:hAnsiTheme="minorHAnsi" w:cstheme="minorHAnsi"/>
          <w:sz w:val="24"/>
          <w:szCs w:val="25"/>
        </w:rPr>
        <w:t>54,260,500 posters, leaflets and other printed ephemera</w:t>
      </w:r>
      <w:r w:rsidR="00127905" w:rsidRPr="00361D8E">
        <w:rPr>
          <w:rFonts w:asciiTheme="minorHAnsi" w:hAnsiTheme="minorHAnsi" w:cstheme="minorHAnsi"/>
          <w:sz w:val="24"/>
          <w:szCs w:val="25"/>
        </w:rPr>
        <w:t xml:space="preserve">, </w:t>
      </w:r>
      <w:r w:rsidRPr="00361D8E">
        <w:rPr>
          <w:rFonts w:asciiTheme="minorHAnsi" w:hAnsiTheme="minorHAnsi" w:cstheme="minorHAnsi"/>
          <w:sz w:val="24"/>
          <w:szCs w:val="25"/>
        </w:rPr>
        <w:t xml:space="preserve">12,705 public meetings, 21,400 speeches and a range of </w:t>
      </w:r>
      <w:r w:rsidR="00544FDE" w:rsidRPr="00361D8E">
        <w:rPr>
          <w:rFonts w:asciiTheme="minorHAnsi" w:hAnsiTheme="minorHAnsi" w:cstheme="minorHAnsi"/>
          <w:sz w:val="24"/>
          <w:szCs w:val="25"/>
        </w:rPr>
        <w:t>one-off</w:t>
      </w:r>
      <w:r w:rsidRPr="00361D8E">
        <w:rPr>
          <w:rFonts w:asciiTheme="minorHAnsi" w:hAnsiTheme="minorHAnsi" w:cstheme="minorHAnsi"/>
          <w:sz w:val="24"/>
          <w:szCs w:val="25"/>
        </w:rPr>
        <w:t xml:space="preserve"> events and spectacles (WO</w:t>
      </w:r>
      <w:r w:rsidR="005F3244">
        <w:rPr>
          <w:rFonts w:asciiTheme="minorHAnsi" w:hAnsiTheme="minorHAnsi" w:cstheme="minorHAnsi"/>
          <w:sz w:val="24"/>
          <w:szCs w:val="25"/>
        </w:rPr>
        <w:t xml:space="preserve"> </w:t>
      </w:r>
      <w:r w:rsidRPr="00361D8E">
        <w:rPr>
          <w:rFonts w:asciiTheme="minorHAnsi" w:hAnsiTheme="minorHAnsi" w:cstheme="minorHAnsi"/>
          <w:sz w:val="24"/>
          <w:szCs w:val="25"/>
        </w:rPr>
        <w:t>106/367).</w:t>
      </w:r>
      <w:r w:rsidR="00E61839" w:rsidRPr="00E61839">
        <w:rPr>
          <w:rStyle w:val="EndnoteReference"/>
          <w:rFonts w:asciiTheme="minorHAnsi" w:hAnsiTheme="minorHAnsi" w:cstheme="minorHAnsi"/>
          <w:color w:val="C00000"/>
          <w:sz w:val="24"/>
          <w:szCs w:val="25"/>
        </w:rPr>
        <w:endnoteReference w:id="2"/>
      </w:r>
      <w:r w:rsidRPr="00361D8E">
        <w:rPr>
          <w:rFonts w:asciiTheme="minorHAnsi" w:hAnsiTheme="minorHAnsi" w:cstheme="minorHAnsi"/>
          <w:sz w:val="24"/>
          <w:szCs w:val="25"/>
        </w:rPr>
        <w:t xml:space="preserve"> </w:t>
      </w:r>
      <w:r w:rsidRPr="00361D8E">
        <w:rPr>
          <w:rFonts w:asciiTheme="minorHAnsi" w:hAnsiTheme="minorHAnsi" w:cstheme="minorHAnsi"/>
          <w:sz w:val="24"/>
          <w:szCs w:val="24"/>
        </w:rPr>
        <w:t>Roy Douglas (1970), Phillip Dutton (1989), Nicholas Hiley (1997) and James Aulich</w:t>
      </w:r>
      <w:r w:rsidRPr="00361D8E">
        <w:rPr>
          <w:rFonts w:asciiTheme="minorHAnsi" w:hAnsiTheme="minorHAnsi" w:cstheme="minorHAnsi"/>
          <w:sz w:val="24"/>
          <w:szCs w:val="25"/>
        </w:rPr>
        <w:t xml:space="preserve"> (2007) have explored different </w:t>
      </w:r>
      <w:r w:rsidRPr="00361D8E">
        <w:rPr>
          <w:rFonts w:asciiTheme="minorHAnsi" w:hAnsiTheme="minorHAnsi" w:cstheme="minorHAnsi"/>
          <w:sz w:val="24"/>
          <w:szCs w:val="24"/>
        </w:rPr>
        <w:t xml:space="preserve">aspects of the Committee’s work in recent years, </w:t>
      </w:r>
      <w:r w:rsidR="008E0DC7" w:rsidRPr="00361D8E">
        <w:rPr>
          <w:rFonts w:asciiTheme="minorHAnsi" w:hAnsiTheme="minorHAnsi" w:cstheme="minorHAnsi"/>
          <w:sz w:val="24"/>
          <w:szCs w:val="24"/>
        </w:rPr>
        <w:t>with</w:t>
      </w:r>
      <w:r w:rsidRPr="00361D8E">
        <w:rPr>
          <w:rFonts w:asciiTheme="minorHAnsi" w:hAnsiTheme="minorHAnsi" w:cstheme="minorHAnsi"/>
          <w:sz w:val="24"/>
          <w:szCs w:val="24"/>
        </w:rPr>
        <w:t xml:space="preserve"> t</w:t>
      </w:r>
      <w:r w:rsidRPr="00361D8E">
        <w:rPr>
          <w:rFonts w:asciiTheme="minorHAnsi" w:hAnsiTheme="minorHAnsi" w:cstheme="minorHAnsi"/>
          <w:sz w:val="24"/>
          <w:szCs w:val="25"/>
        </w:rPr>
        <w:t>he cultural historian Jay Winter (1998: 216) describ</w:t>
      </w:r>
      <w:r w:rsidR="008E0DC7" w:rsidRPr="00361D8E">
        <w:rPr>
          <w:rFonts w:asciiTheme="minorHAnsi" w:hAnsiTheme="minorHAnsi" w:cstheme="minorHAnsi"/>
          <w:sz w:val="24"/>
          <w:szCs w:val="25"/>
        </w:rPr>
        <w:t>ing</w:t>
      </w:r>
      <w:r w:rsidRPr="00361D8E">
        <w:rPr>
          <w:rFonts w:asciiTheme="minorHAnsi" w:hAnsiTheme="minorHAnsi" w:cstheme="minorHAnsi"/>
          <w:sz w:val="24"/>
          <w:szCs w:val="25"/>
        </w:rPr>
        <w:t xml:space="preserve"> its campaign as </w:t>
      </w:r>
      <w:r w:rsidRPr="00361D8E">
        <w:rPr>
          <w:rFonts w:asciiTheme="minorHAnsi" w:hAnsiTheme="minorHAnsi" w:cstheme="minorHAnsi"/>
          <w:sz w:val="24"/>
          <w:szCs w:val="24"/>
        </w:rPr>
        <w:t xml:space="preserve">the ‘most spectacular’ ever witnessed on British soil. Passing references to the organisation have also appeared in major </w:t>
      </w:r>
      <w:r w:rsidR="0075133F" w:rsidRPr="00361D8E">
        <w:rPr>
          <w:rFonts w:asciiTheme="minorHAnsi" w:hAnsiTheme="minorHAnsi" w:cstheme="minorHAnsi"/>
          <w:sz w:val="24"/>
          <w:szCs w:val="24"/>
        </w:rPr>
        <w:t xml:space="preserve">social </w:t>
      </w:r>
      <w:r w:rsidRPr="00361D8E">
        <w:rPr>
          <w:rFonts w:asciiTheme="minorHAnsi" w:hAnsiTheme="minorHAnsi" w:cstheme="minorHAnsi"/>
          <w:sz w:val="24"/>
          <w:szCs w:val="24"/>
        </w:rPr>
        <w:t xml:space="preserve">histories of the period, such as Nicoletta Gullace’s </w:t>
      </w:r>
      <w:r w:rsidRPr="00361D8E">
        <w:rPr>
          <w:rFonts w:asciiTheme="minorHAnsi" w:hAnsiTheme="minorHAnsi" w:cstheme="minorHAnsi"/>
          <w:i/>
          <w:sz w:val="24"/>
          <w:szCs w:val="24"/>
        </w:rPr>
        <w:t>The Blood of Our Sons</w:t>
      </w:r>
      <w:r w:rsidRPr="00361D8E">
        <w:rPr>
          <w:rFonts w:asciiTheme="minorHAnsi" w:hAnsiTheme="minorHAnsi" w:cstheme="minorHAnsi"/>
          <w:sz w:val="24"/>
          <w:szCs w:val="24"/>
        </w:rPr>
        <w:t xml:space="preserve"> (2002), but some areas remain unexplored. Most of the existing commentary has focused on the posters produced by the Committee, which in turn has diverted attention from other forms of promotion, and no study has explored those aspects of the campaign that might be considered today </w:t>
      </w:r>
      <w:r w:rsidR="00AC6A5B" w:rsidRPr="00361D8E">
        <w:rPr>
          <w:rFonts w:asciiTheme="minorHAnsi" w:hAnsiTheme="minorHAnsi" w:cstheme="minorHAnsi"/>
          <w:sz w:val="24"/>
          <w:szCs w:val="24"/>
        </w:rPr>
        <w:t>(</w:t>
      </w:r>
      <w:r w:rsidRPr="00361D8E">
        <w:rPr>
          <w:rFonts w:asciiTheme="minorHAnsi" w:hAnsiTheme="minorHAnsi" w:cstheme="minorHAnsi"/>
          <w:sz w:val="24"/>
          <w:szCs w:val="24"/>
        </w:rPr>
        <w:t>but were not known at the time</w:t>
      </w:r>
      <w:r w:rsidR="00AC6A5B" w:rsidRPr="00361D8E">
        <w:rPr>
          <w:rFonts w:asciiTheme="minorHAnsi" w:hAnsiTheme="minorHAnsi" w:cstheme="minorHAnsi"/>
          <w:sz w:val="24"/>
          <w:szCs w:val="24"/>
        </w:rPr>
        <w:t>)</w:t>
      </w:r>
      <w:r w:rsidRPr="00361D8E">
        <w:rPr>
          <w:rFonts w:asciiTheme="minorHAnsi" w:hAnsiTheme="minorHAnsi" w:cstheme="minorHAnsi"/>
          <w:sz w:val="24"/>
          <w:szCs w:val="24"/>
        </w:rPr>
        <w:t xml:space="preserve"> as a form of public relations.</w:t>
      </w:r>
    </w:p>
    <w:p w:rsidR="00E07F52" w:rsidRPr="00361D8E" w:rsidRDefault="00DA440A" w:rsidP="0075133F">
      <w:pPr>
        <w:spacing w:before="120"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 xml:space="preserve">The absence of a dedicated historical critique of the public relations work of the Parliamentary Recruiting Committee is surprising when </w:t>
      </w:r>
      <w:r w:rsidR="00090EC8" w:rsidRPr="00361D8E">
        <w:rPr>
          <w:rFonts w:asciiTheme="minorHAnsi" w:hAnsiTheme="minorHAnsi" w:cstheme="minorHAnsi"/>
          <w:sz w:val="24"/>
          <w:szCs w:val="24"/>
        </w:rPr>
        <w:t xml:space="preserve">placed in the context of </w:t>
      </w:r>
      <w:r w:rsidR="00904E0B" w:rsidRPr="00361D8E">
        <w:rPr>
          <w:rFonts w:asciiTheme="minorHAnsi" w:hAnsiTheme="minorHAnsi" w:cstheme="minorHAnsi"/>
          <w:sz w:val="24"/>
          <w:szCs w:val="24"/>
        </w:rPr>
        <w:t xml:space="preserve">scholarly developments </w:t>
      </w:r>
      <w:r w:rsidR="00544FDE" w:rsidRPr="00361D8E">
        <w:rPr>
          <w:rFonts w:asciiTheme="minorHAnsi" w:hAnsiTheme="minorHAnsi" w:cstheme="minorHAnsi"/>
          <w:sz w:val="24"/>
          <w:szCs w:val="24"/>
        </w:rPr>
        <w:t>elsewhere</w:t>
      </w:r>
      <w:r w:rsidR="00904E0B" w:rsidRPr="00361D8E">
        <w:rPr>
          <w:rFonts w:asciiTheme="minorHAnsi" w:hAnsiTheme="minorHAnsi" w:cstheme="minorHAnsi"/>
          <w:sz w:val="24"/>
          <w:szCs w:val="24"/>
        </w:rPr>
        <w:t xml:space="preserve">. </w:t>
      </w:r>
      <w:r w:rsidR="00E07F52" w:rsidRPr="00361D8E">
        <w:rPr>
          <w:rFonts w:asciiTheme="minorHAnsi" w:hAnsiTheme="minorHAnsi" w:cstheme="minorHAnsi"/>
          <w:sz w:val="24"/>
          <w:szCs w:val="24"/>
        </w:rPr>
        <w:t xml:space="preserve">In recent years, a number of </w:t>
      </w:r>
      <w:r w:rsidR="00904E0B" w:rsidRPr="00361D8E">
        <w:rPr>
          <w:rFonts w:asciiTheme="minorHAnsi" w:hAnsiTheme="minorHAnsi" w:cstheme="minorHAnsi"/>
          <w:sz w:val="24"/>
          <w:szCs w:val="24"/>
        </w:rPr>
        <w:t>author</w:t>
      </w:r>
      <w:r w:rsidR="00E07F52" w:rsidRPr="00361D8E">
        <w:rPr>
          <w:rFonts w:asciiTheme="minorHAnsi" w:hAnsiTheme="minorHAnsi" w:cstheme="minorHAnsi"/>
          <w:sz w:val="24"/>
          <w:szCs w:val="24"/>
        </w:rPr>
        <w:t>s have probe</w:t>
      </w:r>
      <w:r w:rsidR="00904E0B" w:rsidRPr="00361D8E">
        <w:rPr>
          <w:rFonts w:asciiTheme="minorHAnsi" w:hAnsiTheme="minorHAnsi" w:cstheme="minorHAnsi"/>
          <w:sz w:val="24"/>
          <w:szCs w:val="24"/>
        </w:rPr>
        <w:t>d</w:t>
      </w:r>
      <w:r w:rsidR="00E07F52" w:rsidRPr="00361D8E">
        <w:rPr>
          <w:rFonts w:asciiTheme="minorHAnsi" w:hAnsiTheme="minorHAnsi" w:cstheme="minorHAnsi"/>
          <w:sz w:val="24"/>
          <w:szCs w:val="24"/>
        </w:rPr>
        <w:t xml:space="preserve"> the origins of public relations in </w:t>
      </w:r>
      <w:r w:rsidR="00904E0B" w:rsidRPr="00361D8E">
        <w:rPr>
          <w:rFonts w:asciiTheme="minorHAnsi" w:hAnsiTheme="minorHAnsi" w:cstheme="minorHAnsi"/>
          <w:sz w:val="24"/>
          <w:szCs w:val="24"/>
        </w:rPr>
        <w:t>multiple countries</w:t>
      </w:r>
      <w:r w:rsidR="00E07F52" w:rsidRPr="00361D8E">
        <w:rPr>
          <w:rFonts w:asciiTheme="minorHAnsi" w:hAnsiTheme="minorHAnsi" w:cstheme="minorHAnsi"/>
          <w:sz w:val="24"/>
          <w:szCs w:val="24"/>
        </w:rPr>
        <w:t xml:space="preserve">, with the United States and Germany </w:t>
      </w:r>
      <w:r w:rsidR="00E4575A" w:rsidRPr="00361D8E">
        <w:rPr>
          <w:rFonts w:asciiTheme="minorHAnsi" w:hAnsiTheme="minorHAnsi" w:cstheme="minorHAnsi"/>
          <w:sz w:val="24"/>
          <w:szCs w:val="24"/>
        </w:rPr>
        <w:t>attracting</w:t>
      </w:r>
      <w:r w:rsidR="00E07F52" w:rsidRPr="00361D8E">
        <w:rPr>
          <w:rFonts w:asciiTheme="minorHAnsi" w:hAnsiTheme="minorHAnsi" w:cstheme="minorHAnsi"/>
          <w:sz w:val="24"/>
          <w:szCs w:val="24"/>
        </w:rPr>
        <w:t xml:space="preserve"> particular attention (</w:t>
      </w:r>
      <w:r w:rsidR="00090EC8" w:rsidRPr="00361D8E">
        <w:rPr>
          <w:rFonts w:asciiTheme="minorHAnsi" w:hAnsiTheme="minorHAnsi" w:cstheme="minorHAnsi"/>
          <w:sz w:val="24"/>
          <w:szCs w:val="24"/>
        </w:rPr>
        <w:t xml:space="preserve">for reviews of the literature </w:t>
      </w:r>
      <w:r w:rsidR="00544FDE" w:rsidRPr="00361D8E">
        <w:rPr>
          <w:rFonts w:asciiTheme="minorHAnsi" w:hAnsiTheme="minorHAnsi" w:cstheme="minorHAnsi"/>
          <w:sz w:val="24"/>
          <w:szCs w:val="24"/>
        </w:rPr>
        <w:t xml:space="preserve">see </w:t>
      </w:r>
      <w:proofErr w:type="spellStart"/>
      <w:r w:rsidR="00544FDE" w:rsidRPr="00361D8E">
        <w:rPr>
          <w:rFonts w:asciiTheme="minorHAnsi" w:hAnsiTheme="minorHAnsi" w:cstheme="minorHAnsi"/>
          <w:sz w:val="24"/>
          <w:szCs w:val="24"/>
        </w:rPr>
        <w:t>Vos</w:t>
      </w:r>
      <w:proofErr w:type="spellEnd"/>
      <w:r w:rsidR="00544FDE" w:rsidRPr="00361D8E">
        <w:rPr>
          <w:rFonts w:asciiTheme="minorHAnsi" w:hAnsiTheme="minorHAnsi" w:cstheme="minorHAnsi"/>
          <w:sz w:val="24"/>
          <w:szCs w:val="24"/>
        </w:rPr>
        <w:t xml:space="preserve">, 2011 and </w:t>
      </w:r>
      <w:r w:rsidR="00E07F52" w:rsidRPr="00361D8E">
        <w:rPr>
          <w:rFonts w:asciiTheme="minorHAnsi" w:hAnsiTheme="minorHAnsi" w:cstheme="minorHAnsi"/>
          <w:sz w:val="24"/>
          <w:szCs w:val="24"/>
        </w:rPr>
        <w:t>Raaz an</w:t>
      </w:r>
      <w:r w:rsidR="00904E0B" w:rsidRPr="00361D8E">
        <w:rPr>
          <w:rFonts w:asciiTheme="minorHAnsi" w:hAnsiTheme="minorHAnsi" w:cstheme="minorHAnsi"/>
          <w:sz w:val="24"/>
          <w:szCs w:val="24"/>
        </w:rPr>
        <w:t xml:space="preserve">d Wehmeier, 2011). In Germany – </w:t>
      </w:r>
      <w:r w:rsidR="00E07F52" w:rsidRPr="00361D8E">
        <w:rPr>
          <w:rFonts w:asciiTheme="minorHAnsi" w:hAnsiTheme="minorHAnsi" w:cstheme="minorHAnsi"/>
          <w:sz w:val="24"/>
          <w:szCs w:val="24"/>
        </w:rPr>
        <w:t>as in the U</w:t>
      </w:r>
      <w:r w:rsidR="00544FDE" w:rsidRPr="00361D8E">
        <w:rPr>
          <w:rFonts w:asciiTheme="minorHAnsi" w:hAnsiTheme="minorHAnsi" w:cstheme="minorHAnsi"/>
          <w:sz w:val="24"/>
          <w:szCs w:val="24"/>
        </w:rPr>
        <w:t xml:space="preserve">nited </w:t>
      </w:r>
      <w:r w:rsidR="00904E0B" w:rsidRPr="00361D8E">
        <w:rPr>
          <w:rFonts w:asciiTheme="minorHAnsi" w:hAnsiTheme="minorHAnsi" w:cstheme="minorHAnsi"/>
          <w:sz w:val="24"/>
          <w:szCs w:val="24"/>
        </w:rPr>
        <w:t>K</w:t>
      </w:r>
      <w:r w:rsidR="00544FDE" w:rsidRPr="00361D8E">
        <w:rPr>
          <w:rFonts w:asciiTheme="minorHAnsi" w:hAnsiTheme="minorHAnsi" w:cstheme="minorHAnsi"/>
          <w:sz w:val="24"/>
          <w:szCs w:val="24"/>
        </w:rPr>
        <w:t>ingdom</w:t>
      </w:r>
      <w:r w:rsidR="00904E0B" w:rsidRPr="00361D8E">
        <w:rPr>
          <w:rFonts w:asciiTheme="minorHAnsi" w:hAnsiTheme="minorHAnsi" w:cstheme="minorHAnsi"/>
          <w:sz w:val="24"/>
          <w:szCs w:val="24"/>
        </w:rPr>
        <w:t xml:space="preserve"> –</w:t>
      </w:r>
      <w:r w:rsidR="00E07F52" w:rsidRPr="00361D8E">
        <w:rPr>
          <w:rFonts w:asciiTheme="minorHAnsi" w:hAnsiTheme="minorHAnsi" w:cstheme="minorHAnsi"/>
          <w:sz w:val="24"/>
          <w:szCs w:val="24"/>
        </w:rPr>
        <w:t xml:space="preserve"> public relations was once seen as an American import, but that view has been challenged by observers of the nineteenth century domestic scene (Puchan, 2006; Bentele and Seiffert, 2012</w:t>
      </w:r>
      <w:r w:rsidR="00904E0B" w:rsidRPr="00361D8E">
        <w:rPr>
          <w:rFonts w:asciiTheme="minorHAnsi" w:hAnsiTheme="minorHAnsi" w:cstheme="minorHAnsi"/>
          <w:sz w:val="24"/>
          <w:szCs w:val="24"/>
        </w:rPr>
        <w:t>; Bentele, 2015</w:t>
      </w:r>
      <w:r w:rsidR="00E07F52" w:rsidRPr="00361D8E">
        <w:rPr>
          <w:rFonts w:asciiTheme="minorHAnsi" w:hAnsiTheme="minorHAnsi" w:cstheme="minorHAnsi"/>
          <w:sz w:val="24"/>
          <w:szCs w:val="24"/>
        </w:rPr>
        <w:t xml:space="preserve">). In the US, Olasky (1985: 5) has drawn attention to </w:t>
      </w:r>
      <w:r w:rsidR="00904E0B" w:rsidRPr="00361D8E">
        <w:rPr>
          <w:rFonts w:asciiTheme="minorHAnsi" w:hAnsiTheme="minorHAnsi" w:cstheme="minorHAnsi"/>
          <w:sz w:val="24"/>
          <w:szCs w:val="24"/>
        </w:rPr>
        <w:t xml:space="preserve">what he calls </w:t>
      </w:r>
      <w:r w:rsidR="00E07F52" w:rsidRPr="00361D8E">
        <w:rPr>
          <w:rFonts w:asciiTheme="minorHAnsi" w:hAnsiTheme="minorHAnsi" w:cstheme="minorHAnsi"/>
          <w:sz w:val="24"/>
          <w:szCs w:val="24"/>
        </w:rPr>
        <w:t>‘citizen public relations practitioners’ who draft</w:t>
      </w:r>
      <w:r w:rsidR="007174E5" w:rsidRPr="00361D8E">
        <w:rPr>
          <w:rFonts w:asciiTheme="minorHAnsi" w:hAnsiTheme="minorHAnsi" w:cstheme="minorHAnsi"/>
          <w:sz w:val="24"/>
          <w:szCs w:val="24"/>
        </w:rPr>
        <w:t>ed</w:t>
      </w:r>
      <w:r w:rsidR="00E07F52" w:rsidRPr="00361D8E">
        <w:rPr>
          <w:rFonts w:asciiTheme="minorHAnsi" w:hAnsiTheme="minorHAnsi" w:cstheme="minorHAnsi"/>
          <w:sz w:val="24"/>
          <w:szCs w:val="24"/>
        </w:rPr>
        <w:t xml:space="preserve"> speeches, liais</w:t>
      </w:r>
      <w:r w:rsidR="007174E5" w:rsidRPr="00361D8E">
        <w:rPr>
          <w:rFonts w:asciiTheme="minorHAnsi" w:hAnsiTheme="minorHAnsi" w:cstheme="minorHAnsi"/>
          <w:sz w:val="24"/>
          <w:szCs w:val="24"/>
        </w:rPr>
        <w:t>ed</w:t>
      </w:r>
      <w:r w:rsidR="00E07F52" w:rsidRPr="00361D8E">
        <w:rPr>
          <w:rFonts w:asciiTheme="minorHAnsi" w:hAnsiTheme="minorHAnsi" w:cstheme="minorHAnsi"/>
          <w:sz w:val="24"/>
          <w:szCs w:val="24"/>
        </w:rPr>
        <w:t xml:space="preserve"> with the press</w:t>
      </w:r>
      <w:r w:rsidR="007174E5" w:rsidRPr="00361D8E">
        <w:rPr>
          <w:rFonts w:asciiTheme="minorHAnsi" w:hAnsiTheme="minorHAnsi" w:cstheme="minorHAnsi"/>
          <w:sz w:val="24"/>
          <w:szCs w:val="24"/>
        </w:rPr>
        <w:t>,</w:t>
      </w:r>
      <w:r w:rsidR="00E07F52" w:rsidRPr="00361D8E">
        <w:rPr>
          <w:rFonts w:asciiTheme="minorHAnsi" w:hAnsiTheme="minorHAnsi" w:cstheme="minorHAnsi"/>
          <w:sz w:val="24"/>
          <w:szCs w:val="24"/>
        </w:rPr>
        <w:t xml:space="preserve"> publish</w:t>
      </w:r>
      <w:r w:rsidR="007174E5" w:rsidRPr="00361D8E">
        <w:rPr>
          <w:rFonts w:asciiTheme="minorHAnsi" w:hAnsiTheme="minorHAnsi" w:cstheme="minorHAnsi"/>
          <w:sz w:val="24"/>
          <w:szCs w:val="24"/>
        </w:rPr>
        <w:t>ed</w:t>
      </w:r>
      <w:r w:rsidR="00E07F52" w:rsidRPr="00361D8E">
        <w:rPr>
          <w:rFonts w:asciiTheme="minorHAnsi" w:hAnsiTheme="minorHAnsi" w:cstheme="minorHAnsi"/>
          <w:sz w:val="24"/>
          <w:szCs w:val="24"/>
        </w:rPr>
        <w:t xml:space="preserve"> brochures </w:t>
      </w:r>
      <w:r w:rsidR="007174E5" w:rsidRPr="00361D8E">
        <w:rPr>
          <w:rFonts w:asciiTheme="minorHAnsi" w:hAnsiTheme="minorHAnsi" w:cstheme="minorHAnsi"/>
          <w:sz w:val="24"/>
          <w:szCs w:val="24"/>
        </w:rPr>
        <w:t xml:space="preserve">and sought to divine </w:t>
      </w:r>
      <w:r w:rsidR="00544FDE" w:rsidRPr="00361D8E">
        <w:rPr>
          <w:rFonts w:asciiTheme="minorHAnsi" w:hAnsiTheme="minorHAnsi" w:cstheme="minorHAnsi"/>
          <w:sz w:val="24"/>
          <w:szCs w:val="24"/>
        </w:rPr>
        <w:t>mass</w:t>
      </w:r>
      <w:r w:rsidR="007174E5" w:rsidRPr="00361D8E">
        <w:rPr>
          <w:rFonts w:asciiTheme="minorHAnsi" w:hAnsiTheme="minorHAnsi" w:cstheme="minorHAnsi"/>
          <w:sz w:val="24"/>
          <w:szCs w:val="24"/>
        </w:rPr>
        <w:t xml:space="preserve"> opinion through informal enquiries </w:t>
      </w:r>
      <w:r w:rsidR="00544FDE" w:rsidRPr="00361D8E">
        <w:rPr>
          <w:rFonts w:asciiTheme="minorHAnsi" w:hAnsiTheme="minorHAnsi" w:cstheme="minorHAnsi"/>
          <w:sz w:val="24"/>
          <w:szCs w:val="24"/>
        </w:rPr>
        <w:t xml:space="preserve">with the public </w:t>
      </w:r>
      <w:r w:rsidR="007174E5" w:rsidRPr="00361D8E">
        <w:rPr>
          <w:rFonts w:asciiTheme="minorHAnsi" w:hAnsiTheme="minorHAnsi" w:cstheme="minorHAnsi"/>
          <w:sz w:val="24"/>
          <w:szCs w:val="24"/>
        </w:rPr>
        <w:t>in the</w:t>
      </w:r>
      <w:r w:rsidR="008E0DC7" w:rsidRPr="00361D8E">
        <w:rPr>
          <w:rFonts w:asciiTheme="minorHAnsi" w:hAnsiTheme="minorHAnsi" w:cstheme="minorHAnsi"/>
          <w:sz w:val="24"/>
          <w:szCs w:val="24"/>
        </w:rPr>
        <w:t xml:space="preserve"> 1800s</w:t>
      </w:r>
      <w:r w:rsidR="007174E5" w:rsidRPr="00361D8E">
        <w:rPr>
          <w:rFonts w:asciiTheme="minorHAnsi" w:hAnsiTheme="minorHAnsi" w:cstheme="minorHAnsi"/>
          <w:sz w:val="24"/>
          <w:szCs w:val="24"/>
        </w:rPr>
        <w:t xml:space="preserve"> </w:t>
      </w:r>
      <w:r w:rsidR="00E07F52" w:rsidRPr="00361D8E">
        <w:rPr>
          <w:rFonts w:asciiTheme="minorHAnsi" w:hAnsiTheme="minorHAnsi" w:cstheme="minorHAnsi"/>
          <w:sz w:val="24"/>
          <w:szCs w:val="24"/>
        </w:rPr>
        <w:t xml:space="preserve">(see also Hiebert, 1993; Myers, 2014). </w:t>
      </w:r>
    </w:p>
    <w:p w:rsidR="00E07F52" w:rsidRPr="00361D8E" w:rsidRDefault="00E07F52" w:rsidP="0075133F">
      <w:pPr>
        <w:spacing w:before="120"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 xml:space="preserve">Within this literature, the </w:t>
      </w:r>
      <w:r w:rsidR="00AC6A5B" w:rsidRPr="00361D8E">
        <w:rPr>
          <w:rFonts w:asciiTheme="minorHAnsi" w:hAnsiTheme="minorHAnsi" w:cstheme="minorHAnsi"/>
          <w:sz w:val="24"/>
          <w:szCs w:val="24"/>
        </w:rPr>
        <w:t>Great</w:t>
      </w:r>
      <w:r w:rsidRPr="00361D8E">
        <w:rPr>
          <w:rFonts w:asciiTheme="minorHAnsi" w:hAnsiTheme="minorHAnsi" w:cstheme="minorHAnsi"/>
          <w:sz w:val="24"/>
          <w:szCs w:val="24"/>
        </w:rPr>
        <w:t xml:space="preserve"> War has tended to be </w:t>
      </w:r>
      <w:r w:rsidR="008E0DC7" w:rsidRPr="00361D8E">
        <w:rPr>
          <w:rFonts w:asciiTheme="minorHAnsi" w:hAnsiTheme="minorHAnsi" w:cstheme="minorHAnsi"/>
          <w:sz w:val="24"/>
          <w:szCs w:val="24"/>
        </w:rPr>
        <w:t>regarded</w:t>
      </w:r>
      <w:r w:rsidRPr="00361D8E">
        <w:rPr>
          <w:rFonts w:asciiTheme="minorHAnsi" w:hAnsiTheme="minorHAnsi" w:cstheme="minorHAnsi"/>
          <w:sz w:val="24"/>
          <w:szCs w:val="24"/>
        </w:rPr>
        <w:t xml:space="preserve"> as a milestone in the development of public relations. New organisations, such as the German War Press Office and the American Committee on Public Information, have been treated as case studies of modern public relations practice</w:t>
      </w:r>
      <w:r w:rsidR="0075133F" w:rsidRPr="00361D8E">
        <w:rPr>
          <w:rFonts w:asciiTheme="minorHAnsi" w:hAnsiTheme="minorHAnsi" w:cstheme="minorHAnsi"/>
          <w:sz w:val="24"/>
          <w:szCs w:val="24"/>
        </w:rPr>
        <w:t xml:space="preserve">, </w:t>
      </w:r>
      <w:r w:rsidRPr="00361D8E">
        <w:rPr>
          <w:rFonts w:asciiTheme="minorHAnsi" w:hAnsiTheme="minorHAnsi" w:cstheme="minorHAnsi"/>
          <w:sz w:val="24"/>
          <w:szCs w:val="24"/>
        </w:rPr>
        <w:t xml:space="preserve">although no equivalent work has been done on the Parliamentary Recruiting Committee. In Britain, public relations is generally </w:t>
      </w:r>
      <w:r w:rsidR="00AC6A5B" w:rsidRPr="00361D8E">
        <w:rPr>
          <w:rFonts w:asciiTheme="minorHAnsi" w:hAnsiTheme="minorHAnsi" w:cstheme="minorHAnsi"/>
          <w:sz w:val="24"/>
          <w:szCs w:val="24"/>
        </w:rPr>
        <w:t>seen to have emerged</w:t>
      </w:r>
      <w:r w:rsidRPr="00361D8E">
        <w:rPr>
          <w:rFonts w:asciiTheme="minorHAnsi" w:hAnsiTheme="minorHAnsi" w:cstheme="minorHAnsi"/>
          <w:sz w:val="24"/>
          <w:szCs w:val="24"/>
        </w:rPr>
        <w:t xml:space="preserve"> </w:t>
      </w:r>
      <w:r w:rsidR="00544FDE" w:rsidRPr="00361D8E">
        <w:rPr>
          <w:rFonts w:asciiTheme="minorHAnsi" w:hAnsiTheme="minorHAnsi" w:cstheme="minorHAnsi"/>
          <w:sz w:val="24"/>
          <w:szCs w:val="24"/>
        </w:rPr>
        <w:t>with</w:t>
      </w:r>
      <w:r w:rsidR="008E0DC7" w:rsidRPr="00361D8E">
        <w:rPr>
          <w:rFonts w:asciiTheme="minorHAnsi" w:hAnsiTheme="minorHAnsi" w:cstheme="minorHAnsi"/>
          <w:sz w:val="24"/>
          <w:szCs w:val="24"/>
        </w:rPr>
        <w:t xml:space="preserve">in the Civil Service </w:t>
      </w:r>
      <w:r w:rsidR="00974140" w:rsidRPr="00361D8E">
        <w:rPr>
          <w:rFonts w:asciiTheme="minorHAnsi" w:hAnsiTheme="minorHAnsi" w:cstheme="minorHAnsi"/>
          <w:sz w:val="24"/>
          <w:szCs w:val="24"/>
        </w:rPr>
        <w:t xml:space="preserve">in the 1920s </w:t>
      </w:r>
      <w:r w:rsidRPr="00361D8E">
        <w:rPr>
          <w:rFonts w:asciiTheme="minorHAnsi" w:hAnsiTheme="minorHAnsi" w:cstheme="minorHAnsi"/>
          <w:sz w:val="24"/>
          <w:szCs w:val="24"/>
        </w:rPr>
        <w:t xml:space="preserve">(see L’Etang, 1998, 2006, 2013; Anthony, 2012), but there are striking similarities between the work </w:t>
      </w:r>
      <w:r w:rsidRPr="00361D8E">
        <w:rPr>
          <w:rFonts w:asciiTheme="minorHAnsi" w:hAnsiTheme="minorHAnsi" w:cstheme="minorHAnsi"/>
          <w:sz w:val="24"/>
          <w:szCs w:val="24"/>
        </w:rPr>
        <w:lastRenderedPageBreak/>
        <w:t>of the Parliamentary Recruiting Committee and its American and German counterparts. All three organisations sought to establish links with major news outlets, engage the public through meetings, speeches and other events, and proactively respond to fluctuations in public opinion.</w:t>
      </w:r>
      <w:r w:rsidR="0075133F" w:rsidRPr="00361D8E">
        <w:rPr>
          <w:rFonts w:asciiTheme="minorHAnsi" w:hAnsiTheme="minorHAnsi" w:cstheme="minorHAnsi"/>
          <w:sz w:val="24"/>
          <w:szCs w:val="24"/>
        </w:rPr>
        <w:t xml:space="preserve"> All three </w:t>
      </w:r>
      <w:r w:rsidR="00974140" w:rsidRPr="00361D8E">
        <w:rPr>
          <w:rFonts w:asciiTheme="minorHAnsi" w:hAnsiTheme="minorHAnsi" w:cstheme="minorHAnsi"/>
          <w:sz w:val="24"/>
          <w:szCs w:val="24"/>
        </w:rPr>
        <w:t>bodie</w:t>
      </w:r>
      <w:r w:rsidR="009D607C" w:rsidRPr="00361D8E">
        <w:rPr>
          <w:rFonts w:asciiTheme="minorHAnsi" w:hAnsiTheme="minorHAnsi" w:cstheme="minorHAnsi"/>
          <w:sz w:val="24"/>
          <w:szCs w:val="24"/>
        </w:rPr>
        <w:t>s</w:t>
      </w:r>
      <w:r w:rsidR="0075133F" w:rsidRPr="00361D8E">
        <w:rPr>
          <w:rFonts w:asciiTheme="minorHAnsi" w:hAnsiTheme="minorHAnsi" w:cstheme="minorHAnsi"/>
          <w:sz w:val="24"/>
          <w:szCs w:val="24"/>
        </w:rPr>
        <w:t xml:space="preserve"> were ultimately concerned with improving relationships between the </w:t>
      </w:r>
      <w:r w:rsidR="00AC6A5B" w:rsidRPr="00361D8E">
        <w:rPr>
          <w:rFonts w:asciiTheme="minorHAnsi" w:hAnsiTheme="minorHAnsi" w:cstheme="minorHAnsi"/>
          <w:sz w:val="24"/>
          <w:szCs w:val="24"/>
        </w:rPr>
        <w:t>state</w:t>
      </w:r>
      <w:r w:rsidR="0075133F" w:rsidRPr="00361D8E">
        <w:rPr>
          <w:rFonts w:asciiTheme="minorHAnsi" w:hAnsiTheme="minorHAnsi" w:cstheme="minorHAnsi"/>
          <w:sz w:val="24"/>
          <w:szCs w:val="24"/>
        </w:rPr>
        <w:t xml:space="preserve">, the </w:t>
      </w:r>
      <w:r w:rsidR="00974140" w:rsidRPr="00361D8E">
        <w:rPr>
          <w:rFonts w:asciiTheme="minorHAnsi" w:hAnsiTheme="minorHAnsi" w:cstheme="minorHAnsi"/>
          <w:sz w:val="24"/>
          <w:szCs w:val="24"/>
        </w:rPr>
        <w:t>military</w:t>
      </w:r>
      <w:r w:rsidR="0075133F" w:rsidRPr="00361D8E">
        <w:rPr>
          <w:rFonts w:asciiTheme="minorHAnsi" w:hAnsiTheme="minorHAnsi" w:cstheme="minorHAnsi"/>
          <w:sz w:val="24"/>
          <w:szCs w:val="24"/>
        </w:rPr>
        <w:t xml:space="preserve"> and civil society</w:t>
      </w:r>
      <w:r w:rsidR="00AC6A5B" w:rsidRPr="00361D8E">
        <w:rPr>
          <w:rFonts w:asciiTheme="minorHAnsi" w:hAnsiTheme="minorHAnsi" w:cstheme="minorHAnsi"/>
          <w:sz w:val="24"/>
          <w:szCs w:val="24"/>
        </w:rPr>
        <w:t>.</w:t>
      </w:r>
    </w:p>
    <w:p w:rsidR="00E07F52" w:rsidRPr="00361D8E" w:rsidRDefault="004B69A9" w:rsidP="00615C3E">
      <w:pPr>
        <w:spacing w:before="120"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In what follows,</w:t>
      </w:r>
      <w:r w:rsidR="00215AC6" w:rsidRPr="00361D8E">
        <w:rPr>
          <w:rFonts w:asciiTheme="minorHAnsi" w:hAnsiTheme="minorHAnsi" w:cstheme="minorHAnsi"/>
          <w:sz w:val="24"/>
          <w:szCs w:val="24"/>
        </w:rPr>
        <w:t xml:space="preserve"> a case</w:t>
      </w:r>
      <w:r w:rsidR="00F9421A" w:rsidRPr="00361D8E">
        <w:rPr>
          <w:rFonts w:asciiTheme="minorHAnsi" w:hAnsiTheme="minorHAnsi" w:cstheme="minorHAnsi"/>
          <w:sz w:val="24"/>
          <w:szCs w:val="24"/>
        </w:rPr>
        <w:t xml:space="preserve"> </w:t>
      </w:r>
      <w:r w:rsidRPr="00361D8E">
        <w:rPr>
          <w:rFonts w:asciiTheme="minorHAnsi" w:hAnsiTheme="minorHAnsi" w:cstheme="minorHAnsi"/>
          <w:sz w:val="24"/>
          <w:szCs w:val="24"/>
        </w:rPr>
        <w:t xml:space="preserve">is made </w:t>
      </w:r>
      <w:r w:rsidR="00F9421A" w:rsidRPr="00361D8E">
        <w:rPr>
          <w:rFonts w:asciiTheme="minorHAnsi" w:hAnsiTheme="minorHAnsi" w:cstheme="minorHAnsi"/>
          <w:sz w:val="24"/>
          <w:szCs w:val="24"/>
        </w:rPr>
        <w:t xml:space="preserve">for an understanding of the Parliamentary Recruiting Committee as an early public relations </w:t>
      </w:r>
      <w:r w:rsidR="00361D8E" w:rsidRPr="00361D8E">
        <w:rPr>
          <w:rFonts w:asciiTheme="minorHAnsi" w:hAnsiTheme="minorHAnsi" w:cstheme="minorHAnsi"/>
          <w:color w:val="C00000"/>
          <w:sz w:val="24"/>
          <w:szCs w:val="24"/>
        </w:rPr>
        <w:t>organisation</w:t>
      </w:r>
      <w:r w:rsidR="00F9421A" w:rsidRPr="00361D8E">
        <w:rPr>
          <w:rFonts w:asciiTheme="minorHAnsi" w:hAnsiTheme="minorHAnsi" w:cstheme="minorHAnsi"/>
          <w:sz w:val="24"/>
          <w:szCs w:val="24"/>
        </w:rPr>
        <w:t>.</w:t>
      </w:r>
      <w:r w:rsidR="00615C3E" w:rsidRPr="00361D8E">
        <w:rPr>
          <w:rFonts w:asciiTheme="minorHAnsi" w:hAnsiTheme="minorHAnsi" w:cstheme="minorHAnsi"/>
          <w:sz w:val="24"/>
          <w:szCs w:val="24"/>
        </w:rPr>
        <w:t xml:space="preserve"> Though it was not described as such and although there was no recognised public relations industry in Britain at the time, I </w:t>
      </w:r>
      <w:r w:rsidR="00F9421A" w:rsidRPr="00361D8E">
        <w:rPr>
          <w:rFonts w:asciiTheme="minorHAnsi" w:hAnsiTheme="minorHAnsi" w:cstheme="minorHAnsi"/>
          <w:sz w:val="24"/>
          <w:szCs w:val="24"/>
        </w:rPr>
        <w:t xml:space="preserve">argue that the Committee possessed some of the features, and embodied much of the spirit, of later ventures in the field. </w:t>
      </w:r>
      <w:r w:rsidR="00601398" w:rsidRPr="00361D8E">
        <w:rPr>
          <w:rFonts w:asciiTheme="minorHAnsi" w:hAnsiTheme="minorHAnsi" w:cstheme="minorHAnsi"/>
          <w:sz w:val="24"/>
          <w:szCs w:val="24"/>
        </w:rPr>
        <w:t xml:space="preserve">Using a broad array of communications channels </w:t>
      </w:r>
      <w:r w:rsidR="00904E0B" w:rsidRPr="00361D8E">
        <w:rPr>
          <w:rFonts w:asciiTheme="minorHAnsi" w:hAnsiTheme="minorHAnsi" w:cstheme="minorHAnsi"/>
          <w:sz w:val="24"/>
          <w:szCs w:val="24"/>
        </w:rPr>
        <w:t>and</w:t>
      </w:r>
      <w:r w:rsidR="00601398" w:rsidRPr="00361D8E">
        <w:rPr>
          <w:rFonts w:asciiTheme="minorHAnsi" w:hAnsiTheme="minorHAnsi" w:cstheme="minorHAnsi"/>
          <w:sz w:val="24"/>
          <w:szCs w:val="24"/>
        </w:rPr>
        <w:t xml:space="preserve"> techniques, recruiters demonstrated a clear sense of how to promote enlistment and did so with a degree of creativity and skill that is seldom recognised in </w:t>
      </w:r>
      <w:r w:rsidR="00090EC8" w:rsidRPr="00361D8E">
        <w:rPr>
          <w:rFonts w:asciiTheme="minorHAnsi" w:hAnsiTheme="minorHAnsi" w:cstheme="minorHAnsi"/>
          <w:sz w:val="24"/>
          <w:szCs w:val="24"/>
        </w:rPr>
        <w:t xml:space="preserve">the </w:t>
      </w:r>
      <w:r w:rsidR="00601398" w:rsidRPr="00361D8E">
        <w:rPr>
          <w:rFonts w:asciiTheme="minorHAnsi" w:hAnsiTheme="minorHAnsi" w:cstheme="minorHAnsi"/>
          <w:sz w:val="24"/>
          <w:szCs w:val="24"/>
        </w:rPr>
        <w:t xml:space="preserve">literature </w:t>
      </w:r>
      <w:r w:rsidR="0069796A" w:rsidRPr="00361D8E">
        <w:rPr>
          <w:rFonts w:asciiTheme="minorHAnsi" w:hAnsiTheme="minorHAnsi" w:cstheme="minorHAnsi"/>
          <w:sz w:val="24"/>
          <w:szCs w:val="24"/>
        </w:rPr>
        <w:t>on</w:t>
      </w:r>
      <w:r w:rsidR="00601398" w:rsidRPr="00361D8E">
        <w:rPr>
          <w:rFonts w:asciiTheme="minorHAnsi" w:hAnsiTheme="minorHAnsi" w:cstheme="minorHAnsi"/>
          <w:sz w:val="24"/>
          <w:szCs w:val="24"/>
        </w:rPr>
        <w:t xml:space="preserve"> Great War propaganda. The conventional view of the latter was that it was crude and simplistic (see Robertson, 2014, for a critique of this interpretation)</w:t>
      </w:r>
      <w:r w:rsidR="00215AC6" w:rsidRPr="00361D8E">
        <w:rPr>
          <w:rFonts w:asciiTheme="minorHAnsi" w:hAnsiTheme="minorHAnsi" w:cstheme="minorHAnsi"/>
          <w:sz w:val="24"/>
          <w:szCs w:val="24"/>
        </w:rPr>
        <w:t xml:space="preserve">, </w:t>
      </w:r>
      <w:r w:rsidR="00601398" w:rsidRPr="00361D8E">
        <w:rPr>
          <w:rFonts w:asciiTheme="minorHAnsi" w:hAnsiTheme="minorHAnsi" w:cstheme="minorHAnsi"/>
          <w:sz w:val="24"/>
          <w:szCs w:val="24"/>
        </w:rPr>
        <w:t>but the evidence presented here suggests a more complex picture, with recruiters not simply trying to coerce audiences but attempting to engage them in dialogue and conversation as well. Their work raises important questions about the history of public relations in Britain</w:t>
      </w:r>
      <w:r w:rsidRPr="00361D8E">
        <w:rPr>
          <w:rFonts w:asciiTheme="minorHAnsi" w:hAnsiTheme="minorHAnsi" w:cstheme="minorHAnsi"/>
          <w:sz w:val="24"/>
          <w:szCs w:val="24"/>
        </w:rPr>
        <w:t xml:space="preserve">, which in some accounts </w:t>
      </w:r>
      <w:r w:rsidR="00090EC8" w:rsidRPr="00361D8E">
        <w:rPr>
          <w:rFonts w:asciiTheme="minorHAnsi" w:hAnsiTheme="minorHAnsi" w:cstheme="minorHAnsi"/>
          <w:sz w:val="24"/>
          <w:szCs w:val="24"/>
        </w:rPr>
        <w:t xml:space="preserve">is defined in opposition to </w:t>
      </w:r>
      <w:r w:rsidRPr="00361D8E">
        <w:rPr>
          <w:rFonts w:asciiTheme="minorHAnsi" w:hAnsiTheme="minorHAnsi" w:cstheme="minorHAnsi"/>
          <w:sz w:val="24"/>
          <w:szCs w:val="24"/>
        </w:rPr>
        <w:t>propaganda (Anthony, 2012</w:t>
      </w:r>
      <w:r w:rsidR="00090EC8" w:rsidRPr="00361D8E">
        <w:rPr>
          <w:rFonts w:asciiTheme="minorHAnsi" w:hAnsiTheme="minorHAnsi" w:cstheme="minorHAnsi"/>
          <w:sz w:val="24"/>
          <w:szCs w:val="24"/>
        </w:rPr>
        <w:t>: 1</w:t>
      </w:r>
      <w:r w:rsidRPr="00361D8E">
        <w:rPr>
          <w:rFonts w:asciiTheme="minorHAnsi" w:hAnsiTheme="minorHAnsi" w:cstheme="minorHAnsi"/>
          <w:sz w:val="24"/>
          <w:szCs w:val="24"/>
        </w:rPr>
        <w:t>), and can also demonstrate</w:t>
      </w:r>
      <w:r w:rsidR="00215AC6" w:rsidRPr="00361D8E">
        <w:rPr>
          <w:rFonts w:asciiTheme="minorHAnsi" w:hAnsiTheme="minorHAnsi" w:cstheme="minorHAnsi"/>
          <w:sz w:val="24"/>
          <w:szCs w:val="24"/>
        </w:rPr>
        <w:t xml:space="preserve"> that developments within Britain mirrored those </w:t>
      </w:r>
      <w:r w:rsidR="00090EC8" w:rsidRPr="00361D8E">
        <w:rPr>
          <w:rFonts w:asciiTheme="minorHAnsi" w:hAnsiTheme="minorHAnsi" w:cstheme="minorHAnsi"/>
          <w:sz w:val="24"/>
          <w:szCs w:val="24"/>
        </w:rPr>
        <w:t>within</w:t>
      </w:r>
      <w:r w:rsidR="00215AC6" w:rsidRPr="00361D8E">
        <w:rPr>
          <w:rFonts w:asciiTheme="minorHAnsi" w:hAnsiTheme="minorHAnsi" w:cstheme="minorHAnsi"/>
          <w:sz w:val="24"/>
          <w:szCs w:val="24"/>
        </w:rPr>
        <w:t xml:space="preserve"> other combatant nations</w:t>
      </w:r>
      <w:r w:rsidR="009B671C" w:rsidRPr="00361D8E">
        <w:rPr>
          <w:rFonts w:asciiTheme="minorHAnsi" w:hAnsiTheme="minorHAnsi" w:cstheme="minorHAnsi"/>
          <w:sz w:val="24"/>
          <w:szCs w:val="24"/>
        </w:rPr>
        <w:t>.</w:t>
      </w:r>
      <w:r w:rsidR="00215AC6" w:rsidRPr="00361D8E">
        <w:rPr>
          <w:rFonts w:asciiTheme="minorHAnsi" w:hAnsiTheme="minorHAnsi" w:cstheme="minorHAnsi"/>
          <w:sz w:val="24"/>
          <w:szCs w:val="24"/>
        </w:rPr>
        <w:t xml:space="preserve"> </w:t>
      </w:r>
      <w:r w:rsidR="007B140C" w:rsidRPr="00361D8E">
        <w:rPr>
          <w:rFonts w:asciiTheme="minorHAnsi" w:hAnsiTheme="minorHAnsi" w:cstheme="minorHAnsi"/>
          <w:sz w:val="24"/>
          <w:szCs w:val="24"/>
        </w:rPr>
        <w:t xml:space="preserve"> </w:t>
      </w:r>
    </w:p>
    <w:p w:rsidR="00E07F52" w:rsidRPr="00361D8E" w:rsidRDefault="00FB2F26" w:rsidP="00E07F52">
      <w:pPr>
        <w:spacing w:before="240" w:after="0" w:line="276" w:lineRule="auto"/>
        <w:jc w:val="both"/>
        <w:rPr>
          <w:rFonts w:asciiTheme="minorHAnsi" w:hAnsiTheme="minorHAnsi" w:cstheme="minorHAnsi"/>
          <w:b/>
          <w:sz w:val="28"/>
          <w:szCs w:val="24"/>
        </w:rPr>
      </w:pPr>
      <w:r w:rsidRPr="00361D8E">
        <w:rPr>
          <w:rFonts w:asciiTheme="minorHAnsi" w:hAnsiTheme="minorHAnsi" w:cstheme="minorHAnsi"/>
          <w:b/>
          <w:sz w:val="28"/>
          <w:szCs w:val="24"/>
        </w:rPr>
        <w:t>Historicis</w:t>
      </w:r>
      <w:r w:rsidR="005E76C3" w:rsidRPr="00361D8E">
        <w:rPr>
          <w:rFonts w:asciiTheme="minorHAnsi" w:hAnsiTheme="minorHAnsi" w:cstheme="minorHAnsi"/>
          <w:b/>
          <w:sz w:val="28"/>
          <w:szCs w:val="24"/>
        </w:rPr>
        <w:t xml:space="preserve">ing </w:t>
      </w:r>
      <w:r w:rsidR="00C1510C" w:rsidRPr="00361D8E">
        <w:rPr>
          <w:rFonts w:asciiTheme="minorHAnsi" w:hAnsiTheme="minorHAnsi" w:cstheme="minorHAnsi"/>
          <w:b/>
          <w:sz w:val="28"/>
          <w:szCs w:val="24"/>
        </w:rPr>
        <w:t>Public Relations</w:t>
      </w:r>
      <w:r w:rsidRPr="00361D8E">
        <w:rPr>
          <w:rFonts w:asciiTheme="minorHAnsi" w:hAnsiTheme="minorHAnsi" w:cstheme="minorHAnsi"/>
          <w:b/>
          <w:sz w:val="28"/>
          <w:szCs w:val="24"/>
        </w:rPr>
        <w:t xml:space="preserve"> in Britain</w:t>
      </w:r>
      <w:r w:rsidR="00C1510C" w:rsidRPr="00361D8E">
        <w:rPr>
          <w:rFonts w:asciiTheme="minorHAnsi" w:hAnsiTheme="minorHAnsi" w:cstheme="minorHAnsi"/>
          <w:b/>
          <w:sz w:val="28"/>
          <w:szCs w:val="24"/>
        </w:rPr>
        <w:t xml:space="preserve"> </w:t>
      </w:r>
    </w:p>
    <w:p w:rsidR="00E07F52" w:rsidRPr="00361D8E" w:rsidRDefault="00E07F52" w:rsidP="00E07F52">
      <w:pPr>
        <w:spacing w:before="120"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As Jacquie L’Etang (2006: 25) has noted, all historians of public relations face the problem of ‘exactly where to begin’, with one option being to concentrate on the period when the term ‘public relations’ was first used and another to identify the essential elements of the practice as they emerged over the course of time. Gunter Bentele (</w:t>
      </w:r>
      <w:r w:rsidR="00A40B62" w:rsidRPr="00361D8E">
        <w:rPr>
          <w:rFonts w:asciiTheme="minorHAnsi" w:hAnsiTheme="minorHAnsi" w:cstheme="minorHAnsi"/>
          <w:sz w:val="24"/>
          <w:szCs w:val="24"/>
        </w:rPr>
        <w:t xml:space="preserve">2015; </w:t>
      </w:r>
      <w:r w:rsidRPr="00361D8E">
        <w:rPr>
          <w:rFonts w:asciiTheme="minorHAnsi" w:hAnsiTheme="minorHAnsi" w:cstheme="minorHAnsi"/>
          <w:sz w:val="24"/>
          <w:szCs w:val="24"/>
        </w:rPr>
        <w:t xml:space="preserve">see </w:t>
      </w:r>
      <w:r w:rsidR="00A40B62" w:rsidRPr="00361D8E">
        <w:rPr>
          <w:rFonts w:asciiTheme="minorHAnsi" w:hAnsiTheme="minorHAnsi" w:cstheme="minorHAnsi"/>
          <w:sz w:val="24"/>
          <w:szCs w:val="24"/>
        </w:rPr>
        <w:t xml:space="preserve">also </w:t>
      </w:r>
      <w:r w:rsidRPr="00361D8E">
        <w:rPr>
          <w:rFonts w:asciiTheme="minorHAnsi" w:hAnsiTheme="minorHAnsi" w:cstheme="minorHAnsi"/>
          <w:sz w:val="24"/>
          <w:szCs w:val="24"/>
        </w:rPr>
        <w:t xml:space="preserve">Raaz and Wehmeier, 2011: 271) has made a similar distinction between the study of individual public relations techniques and the broader ‘social system’ </w:t>
      </w:r>
      <w:r w:rsidR="00A40B62" w:rsidRPr="00361D8E">
        <w:rPr>
          <w:rFonts w:asciiTheme="minorHAnsi" w:hAnsiTheme="minorHAnsi" w:cstheme="minorHAnsi"/>
          <w:sz w:val="24"/>
          <w:szCs w:val="24"/>
        </w:rPr>
        <w:t xml:space="preserve">of public relations </w:t>
      </w:r>
      <w:r w:rsidR="00090EC8" w:rsidRPr="00361D8E">
        <w:rPr>
          <w:rFonts w:asciiTheme="minorHAnsi" w:hAnsiTheme="minorHAnsi" w:cstheme="minorHAnsi"/>
          <w:sz w:val="24"/>
          <w:szCs w:val="24"/>
        </w:rPr>
        <w:t>which</w:t>
      </w:r>
      <w:r w:rsidR="004548FE" w:rsidRPr="004548FE">
        <w:rPr>
          <w:rFonts w:asciiTheme="minorHAnsi" w:hAnsiTheme="minorHAnsi" w:cstheme="minorHAnsi"/>
          <w:color w:val="FF0000"/>
          <w:sz w:val="24"/>
          <w:szCs w:val="24"/>
        </w:rPr>
        <w:t>,</w:t>
      </w:r>
      <w:r w:rsidR="00A40B62" w:rsidRPr="004548FE">
        <w:rPr>
          <w:rFonts w:asciiTheme="minorHAnsi" w:hAnsiTheme="minorHAnsi" w:cstheme="minorHAnsi"/>
          <w:color w:val="FF0000"/>
          <w:sz w:val="24"/>
          <w:szCs w:val="24"/>
        </w:rPr>
        <w:t xml:space="preserve"> </w:t>
      </w:r>
      <w:r w:rsidR="007D5A8F" w:rsidRPr="004548FE">
        <w:rPr>
          <w:rFonts w:asciiTheme="minorHAnsi" w:hAnsiTheme="minorHAnsi" w:cstheme="minorHAnsi"/>
          <w:color w:val="FF0000"/>
          <w:sz w:val="24"/>
          <w:szCs w:val="24"/>
        </w:rPr>
        <w:t>he claims</w:t>
      </w:r>
      <w:r w:rsidR="004548FE" w:rsidRPr="004548FE">
        <w:rPr>
          <w:rFonts w:asciiTheme="minorHAnsi" w:hAnsiTheme="minorHAnsi" w:cstheme="minorHAnsi"/>
          <w:color w:val="FF0000"/>
          <w:sz w:val="24"/>
          <w:szCs w:val="24"/>
        </w:rPr>
        <w:t>,</w:t>
      </w:r>
      <w:r w:rsidR="007D5A8F" w:rsidRPr="00361D8E">
        <w:rPr>
          <w:rFonts w:asciiTheme="minorHAnsi" w:hAnsiTheme="minorHAnsi" w:cstheme="minorHAnsi"/>
          <w:sz w:val="24"/>
          <w:szCs w:val="24"/>
        </w:rPr>
        <w:t xml:space="preserve"> </w:t>
      </w:r>
      <w:r w:rsidR="00A40B62" w:rsidRPr="00361D8E">
        <w:rPr>
          <w:rFonts w:asciiTheme="minorHAnsi" w:hAnsiTheme="minorHAnsi" w:cstheme="minorHAnsi"/>
          <w:sz w:val="24"/>
          <w:szCs w:val="24"/>
        </w:rPr>
        <w:t>emerged in the postwar era</w:t>
      </w:r>
      <w:r w:rsidR="004548FE" w:rsidRPr="004548FE">
        <w:rPr>
          <w:rFonts w:asciiTheme="minorHAnsi" w:hAnsiTheme="minorHAnsi" w:cstheme="minorHAnsi"/>
          <w:color w:val="FF0000"/>
          <w:sz w:val="24"/>
          <w:szCs w:val="24"/>
        </w:rPr>
        <w:t>.</w:t>
      </w:r>
      <w:r w:rsidR="007B140C" w:rsidRPr="004548FE">
        <w:rPr>
          <w:rFonts w:asciiTheme="minorHAnsi" w:hAnsiTheme="minorHAnsi" w:cstheme="minorHAnsi"/>
          <w:color w:val="FF0000"/>
          <w:sz w:val="24"/>
          <w:szCs w:val="24"/>
        </w:rPr>
        <w:t xml:space="preserve"> </w:t>
      </w:r>
      <w:r w:rsidR="004548FE" w:rsidRPr="004548FE">
        <w:rPr>
          <w:rFonts w:asciiTheme="minorHAnsi" w:hAnsiTheme="minorHAnsi" w:cstheme="minorHAnsi"/>
          <w:color w:val="FF0000"/>
          <w:sz w:val="24"/>
          <w:szCs w:val="24"/>
        </w:rPr>
        <w:t>E</w:t>
      </w:r>
      <w:r w:rsidR="007D5A8F" w:rsidRPr="004548FE">
        <w:rPr>
          <w:rFonts w:asciiTheme="minorHAnsi" w:hAnsiTheme="minorHAnsi" w:cstheme="minorHAnsi"/>
          <w:color w:val="FF0000"/>
          <w:sz w:val="24"/>
          <w:szCs w:val="24"/>
        </w:rPr>
        <w:t>arly</w:t>
      </w:r>
      <w:r w:rsidR="007D5A8F" w:rsidRPr="00361D8E">
        <w:rPr>
          <w:rFonts w:asciiTheme="minorHAnsi" w:hAnsiTheme="minorHAnsi" w:cstheme="minorHAnsi"/>
          <w:sz w:val="24"/>
          <w:szCs w:val="24"/>
        </w:rPr>
        <w:t xml:space="preserve"> practitioners in Britain, Germany and the United States </w:t>
      </w:r>
      <w:r w:rsidR="00574091" w:rsidRPr="00574091">
        <w:rPr>
          <w:rFonts w:asciiTheme="minorHAnsi" w:hAnsiTheme="minorHAnsi" w:cstheme="minorHAnsi"/>
          <w:color w:val="FF0000"/>
          <w:sz w:val="24"/>
          <w:szCs w:val="24"/>
        </w:rPr>
        <w:t>also</w:t>
      </w:r>
      <w:r w:rsidR="00574091">
        <w:rPr>
          <w:rFonts w:asciiTheme="minorHAnsi" w:hAnsiTheme="minorHAnsi" w:cstheme="minorHAnsi"/>
          <w:sz w:val="24"/>
          <w:szCs w:val="24"/>
        </w:rPr>
        <w:t xml:space="preserve"> </w:t>
      </w:r>
      <w:r w:rsidR="007D5A8F" w:rsidRPr="00361D8E">
        <w:rPr>
          <w:rFonts w:asciiTheme="minorHAnsi" w:hAnsiTheme="minorHAnsi" w:cstheme="minorHAnsi"/>
          <w:sz w:val="24"/>
          <w:szCs w:val="24"/>
        </w:rPr>
        <w:t xml:space="preserve">developed their own definitions for </w:t>
      </w:r>
      <w:r w:rsidR="00090EC8" w:rsidRPr="00361D8E">
        <w:rPr>
          <w:rFonts w:asciiTheme="minorHAnsi" w:hAnsiTheme="minorHAnsi" w:cstheme="minorHAnsi"/>
          <w:sz w:val="24"/>
          <w:szCs w:val="24"/>
        </w:rPr>
        <w:t>the profession</w:t>
      </w:r>
      <w:r w:rsidR="007D5A8F" w:rsidRPr="00361D8E">
        <w:rPr>
          <w:rFonts w:asciiTheme="minorHAnsi" w:hAnsiTheme="minorHAnsi" w:cstheme="minorHAnsi"/>
          <w:sz w:val="24"/>
          <w:szCs w:val="24"/>
        </w:rPr>
        <w:t xml:space="preserve"> and their own timelines for its emergence. In the 1920s, </w:t>
      </w:r>
      <w:r w:rsidR="00090EC8" w:rsidRPr="00361D8E">
        <w:rPr>
          <w:rFonts w:asciiTheme="minorHAnsi" w:hAnsiTheme="minorHAnsi" w:cstheme="minorHAnsi"/>
          <w:sz w:val="24"/>
          <w:szCs w:val="24"/>
        </w:rPr>
        <w:t xml:space="preserve">for instance, </w:t>
      </w:r>
      <w:r w:rsidR="007D5A8F" w:rsidRPr="00361D8E">
        <w:rPr>
          <w:rFonts w:asciiTheme="minorHAnsi" w:hAnsiTheme="minorHAnsi" w:cstheme="minorHAnsi"/>
          <w:sz w:val="24"/>
          <w:szCs w:val="24"/>
        </w:rPr>
        <w:t xml:space="preserve">the Institute of Public Administration, a British civil service organisation, </w:t>
      </w:r>
      <w:r w:rsidR="007D5A8F" w:rsidRPr="004548FE">
        <w:rPr>
          <w:rFonts w:asciiTheme="minorHAnsi" w:hAnsiTheme="minorHAnsi" w:cstheme="minorHAnsi"/>
          <w:color w:val="FF0000"/>
          <w:sz w:val="24"/>
          <w:szCs w:val="24"/>
        </w:rPr>
        <w:t>define</w:t>
      </w:r>
      <w:r w:rsidR="004548FE" w:rsidRPr="004548FE">
        <w:rPr>
          <w:rFonts w:asciiTheme="minorHAnsi" w:hAnsiTheme="minorHAnsi" w:cstheme="minorHAnsi"/>
          <w:color w:val="FF0000"/>
          <w:sz w:val="24"/>
          <w:szCs w:val="24"/>
        </w:rPr>
        <w:t>d</w:t>
      </w:r>
      <w:r w:rsidR="007D5A8F" w:rsidRPr="00361D8E">
        <w:rPr>
          <w:rFonts w:asciiTheme="minorHAnsi" w:hAnsiTheme="minorHAnsi" w:cstheme="minorHAnsi"/>
          <w:sz w:val="24"/>
          <w:szCs w:val="24"/>
        </w:rPr>
        <w:t xml:space="preserve"> public relations as the </w:t>
      </w:r>
      <w:r w:rsidR="00787052" w:rsidRPr="00361D8E">
        <w:rPr>
          <w:rFonts w:asciiTheme="minorHAnsi" w:hAnsiTheme="minorHAnsi" w:cstheme="minorHAnsi"/>
          <w:sz w:val="24"/>
          <w:szCs w:val="24"/>
        </w:rPr>
        <w:t xml:space="preserve">‘exchange of information to improve relationships’ </w:t>
      </w:r>
      <w:r w:rsidR="00787052" w:rsidRPr="00361D8E">
        <w:rPr>
          <w:rFonts w:asciiTheme="minorHAnsi" w:hAnsiTheme="minorHAnsi" w:cstheme="minorHAnsi"/>
          <w:sz w:val="24"/>
          <w:szCs w:val="24"/>
        </w:rPr>
        <w:lastRenderedPageBreak/>
        <w:t>between organisations and people,</w:t>
      </w:r>
      <w:r w:rsidR="007D5A8F" w:rsidRPr="00361D8E">
        <w:rPr>
          <w:rFonts w:asciiTheme="minorHAnsi" w:hAnsiTheme="minorHAnsi" w:cstheme="minorHAnsi"/>
          <w:sz w:val="24"/>
          <w:szCs w:val="24"/>
        </w:rPr>
        <w:t xml:space="preserve"> contrasting this with</w:t>
      </w:r>
      <w:r w:rsidR="00787052" w:rsidRPr="00361D8E">
        <w:rPr>
          <w:rFonts w:asciiTheme="minorHAnsi" w:hAnsiTheme="minorHAnsi" w:cstheme="minorHAnsi"/>
          <w:sz w:val="24"/>
          <w:szCs w:val="24"/>
        </w:rPr>
        <w:t xml:space="preserve"> </w:t>
      </w:r>
      <w:r w:rsidRPr="00361D8E">
        <w:rPr>
          <w:rFonts w:asciiTheme="minorHAnsi" w:hAnsiTheme="minorHAnsi" w:cstheme="minorHAnsi"/>
          <w:sz w:val="24"/>
          <w:szCs w:val="24"/>
        </w:rPr>
        <w:t>publicity (the ‘supply of information through specific media’), salesmanship (‘promotion’) and intelligence (</w:t>
      </w:r>
      <w:r w:rsidR="007D5A8F" w:rsidRPr="00361D8E">
        <w:rPr>
          <w:rFonts w:asciiTheme="minorHAnsi" w:hAnsiTheme="minorHAnsi" w:cstheme="minorHAnsi"/>
          <w:sz w:val="24"/>
          <w:szCs w:val="24"/>
        </w:rPr>
        <w:t>‘</w:t>
      </w:r>
      <w:r w:rsidR="00787052" w:rsidRPr="00361D8E">
        <w:rPr>
          <w:rFonts w:asciiTheme="minorHAnsi" w:hAnsiTheme="minorHAnsi" w:cstheme="minorHAnsi"/>
          <w:sz w:val="24"/>
          <w:szCs w:val="24"/>
        </w:rPr>
        <w:t xml:space="preserve">information </w:t>
      </w:r>
      <w:r w:rsidR="007D5A8F" w:rsidRPr="00361D8E">
        <w:rPr>
          <w:rFonts w:asciiTheme="minorHAnsi" w:hAnsiTheme="minorHAnsi" w:cstheme="minorHAnsi"/>
          <w:sz w:val="24"/>
          <w:szCs w:val="24"/>
        </w:rPr>
        <w:t xml:space="preserve">management’ </w:t>
      </w:r>
      <w:r w:rsidR="00090EC8" w:rsidRPr="00361D8E">
        <w:rPr>
          <w:rFonts w:asciiTheme="minorHAnsi" w:hAnsiTheme="minorHAnsi" w:cstheme="minorHAnsi"/>
          <w:sz w:val="24"/>
          <w:szCs w:val="24"/>
        </w:rPr>
        <w:t>or</w:t>
      </w:r>
      <w:r w:rsidR="007D5A8F" w:rsidRPr="00361D8E">
        <w:rPr>
          <w:rFonts w:asciiTheme="minorHAnsi" w:hAnsiTheme="minorHAnsi" w:cstheme="minorHAnsi"/>
          <w:sz w:val="24"/>
          <w:szCs w:val="24"/>
        </w:rPr>
        <w:t xml:space="preserve"> </w:t>
      </w:r>
      <w:r w:rsidR="00787052" w:rsidRPr="00361D8E">
        <w:rPr>
          <w:rFonts w:asciiTheme="minorHAnsi" w:hAnsiTheme="minorHAnsi" w:cstheme="minorHAnsi"/>
          <w:sz w:val="24"/>
          <w:szCs w:val="24"/>
        </w:rPr>
        <w:t>gathering</w:t>
      </w:r>
      <w:r w:rsidRPr="00361D8E">
        <w:rPr>
          <w:rFonts w:asciiTheme="minorHAnsi" w:hAnsiTheme="minorHAnsi" w:cstheme="minorHAnsi"/>
          <w:sz w:val="24"/>
          <w:szCs w:val="24"/>
        </w:rPr>
        <w:t>) (</w:t>
      </w:r>
      <w:r w:rsidR="007D5A8F" w:rsidRPr="00361D8E">
        <w:rPr>
          <w:rFonts w:asciiTheme="minorHAnsi" w:hAnsiTheme="minorHAnsi" w:cstheme="minorHAnsi"/>
          <w:sz w:val="24"/>
          <w:szCs w:val="24"/>
        </w:rPr>
        <w:t xml:space="preserve">see </w:t>
      </w:r>
      <w:r w:rsidRPr="00361D8E">
        <w:rPr>
          <w:rFonts w:asciiTheme="minorHAnsi" w:hAnsiTheme="minorHAnsi" w:cstheme="minorHAnsi"/>
          <w:sz w:val="24"/>
          <w:szCs w:val="24"/>
        </w:rPr>
        <w:t>L’Etang, 20</w:t>
      </w:r>
      <w:r w:rsidR="00787052" w:rsidRPr="00361D8E">
        <w:rPr>
          <w:rFonts w:asciiTheme="minorHAnsi" w:hAnsiTheme="minorHAnsi" w:cstheme="minorHAnsi"/>
          <w:sz w:val="24"/>
          <w:szCs w:val="24"/>
        </w:rPr>
        <w:t>13</w:t>
      </w:r>
      <w:r w:rsidRPr="00361D8E">
        <w:rPr>
          <w:rFonts w:asciiTheme="minorHAnsi" w:hAnsiTheme="minorHAnsi" w:cstheme="minorHAnsi"/>
          <w:sz w:val="24"/>
          <w:szCs w:val="24"/>
        </w:rPr>
        <w:t xml:space="preserve">: </w:t>
      </w:r>
      <w:r w:rsidR="00787052" w:rsidRPr="00361D8E">
        <w:rPr>
          <w:rFonts w:asciiTheme="minorHAnsi" w:hAnsiTheme="minorHAnsi" w:cstheme="minorHAnsi"/>
          <w:sz w:val="24"/>
          <w:szCs w:val="24"/>
        </w:rPr>
        <w:t>24-6</w:t>
      </w:r>
      <w:r w:rsidRPr="00361D8E">
        <w:rPr>
          <w:rFonts w:asciiTheme="minorHAnsi" w:hAnsiTheme="minorHAnsi" w:cstheme="minorHAnsi"/>
          <w:sz w:val="24"/>
          <w:szCs w:val="24"/>
        </w:rPr>
        <w:t xml:space="preserve">). </w:t>
      </w:r>
    </w:p>
    <w:p w:rsidR="000A219B" w:rsidRPr="00361D8E" w:rsidRDefault="00E07F52" w:rsidP="00E07F52">
      <w:pPr>
        <w:spacing w:before="120"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 xml:space="preserve">What makes the Parliamentary Recruiting Committee interesting as a case </w:t>
      </w:r>
      <w:r w:rsidR="004548FE" w:rsidRPr="00361D8E">
        <w:rPr>
          <w:rFonts w:asciiTheme="minorHAnsi" w:hAnsiTheme="minorHAnsi" w:cstheme="minorHAnsi"/>
          <w:sz w:val="24"/>
          <w:szCs w:val="24"/>
        </w:rPr>
        <w:t>study</w:t>
      </w:r>
      <w:r w:rsidR="002F30EE" w:rsidRPr="00361D8E">
        <w:rPr>
          <w:rFonts w:asciiTheme="minorHAnsi" w:hAnsiTheme="minorHAnsi" w:cstheme="minorHAnsi"/>
          <w:sz w:val="24"/>
          <w:szCs w:val="24"/>
        </w:rPr>
        <w:t xml:space="preserve"> </w:t>
      </w:r>
      <w:r w:rsidRPr="00361D8E">
        <w:rPr>
          <w:rFonts w:asciiTheme="minorHAnsi" w:hAnsiTheme="minorHAnsi" w:cstheme="minorHAnsi"/>
          <w:sz w:val="24"/>
          <w:szCs w:val="24"/>
        </w:rPr>
        <w:t xml:space="preserve">is the fact that it appears to have engaged in all of these activities </w:t>
      </w:r>
      <w:r w:rsidRPr="00361D8E">
        <w:rPr>
          <w:rFonts w:asciiTheme="minorHAnsi" w:hAnsiTheme="minorHAnsi" w:cstheme="minorHAnsi"/>
          <w:i/>
          <w:sz w:val="24"/>
          <w:szCs w:val="24"/>
        </w:rPr>
        <w:t>simultaneously</w:t>
      </w:r>
      <w:r w:rsidRPr="00361D8E">
        <w:rPr>
          <w:rFonts w:asciiTheme="minorHAnsi" w:hAnsiTheme="minorHAnsi" w:cstheme="minorHAnsi"/>
          <w:sz w:val="24"/>
          <w:szCs w:val="24"/>
        </w:rPr>
        <w:t xml:space="preserve">. Though it contained a Publications Sub-Department that produced posters and other </w:t>
      </w:r>
      <w:r w:rsidR="007D5A8F" w:rsidRPr="00361D8E">
        <w:rPr>
          <w:rFonts w:asciiTheme="minorHAnsi" w:hAnsiTheme="minorHAnsi" w:cstheme="minorHAnsi"/>
          <w:sz w:val="24"/>
          <w:szCs w:val="24"/>
        </w:rPr>
        <w:t>forms of ‘salesmanship’</w:t>
      </w:r>
      <w:r w:rsidRPr="00361D8E">
        <w:rPr>
          <w:rFonts w:asciiTheme="minorHAnsi" w:hAnsiTheme="minorHAnsi" w:cstheme="minorHAnsi"/>
          <w:sz w:val="24"/>
          <w:szCs w:val="24"/>
        </w:rPr>
        <w:t xml:space="preserve">, the Committee also possessed a Householders Return and Information Sub-Department that gathered information on the public through </w:t>
      </w:r>
      <w:r w:rsidR="004548FE" w:rsidRPr="004548FE">
        <w:rPr>
          <w:rFonts w:asciiTheme="minorHAnsi" w:hAnsiTheme="minorHAnsi" w:cstheme="minorHAnsi"/>
          <w:color w:val="FF0000"/>
          <w:sz w:val="24"/>
          <w:szCs w:val="24"/>
        </w:rPr>
        <w:t>a process of</w:t>
      </w:r>
      <w:r w:rsidR="004548FE">
        <w:rPr>
          <w:rFonts w:asciiTheme="minorHAnsi" w:hAnsiTheme="minorHAnsi" w:cstheme="minorHAnsi"/>
          <w:sz w:val="24"/>
          <w:szCs w:val="24"/>
        </w:rPr>
        <w:t xml:space="preserve"> </w:t>
      </w:r>
      <w:r w:rsidRPr="00361D8E">
        <w:rPr>
          <w:rFonts w:asciiTheme="minorHAnsi" w:hAnsiTheme="minorHAnsi" w:cstheme="minorHAnsi"/>
          <w:sz w:val="24"/>
          <w:szCs w:val="24"/>
        </w:rPr>
        <w:t xml:space="preserve">postal and personal canvassing, a Publicity Sub-Department that kept the press informed of recruiting activities and tried to influence media coverage of them, and a Meetings Sub-Department that was responsible for </w:t>
      </w:r>
      <w:r w:rsidR="000A219B" w:rsidRPr="00361D8E">
        <w:rPr>
          <w:rFonts w:asciiTheme="minorHAnsi" w:hAnsiTheme="minorHAnsi" w:cstheme="minorHAnsi"/>
          <w:sz w:val="24"/>
          <w:szCs w:val="24"/>
        </w:rPr>
        <w:t>an ostensibly</w:t>
      </w:r>
      <w:r w:rsidRPr="00361D8E">
        <w:rPr>
          <w:rFonts w:asciiTheme="minorHAnsi" w:hAnsiTheme="minorHAnsi" w:cstheme="minorHAnsi"/>
          <w:sz w:val="24"/>
          <w:szCs w:val="24"/>
        </w:rPr>
        <w:t xml:space="preserve"> ‘systematic campaign’ of public spectacles and events (WO</w:t>
      </w:r>
      <w:r w:rsidR="005F3244">
        <w:rPr>
          <w:rFonts w:asciiTheme="minorHAnsi" w:hAnsiTheme="minorHAnsi" w:cstheme="minorHAnsi"/>
          <w:sz w:val="24"/>
          <w:szCs w:val="24"/>
        </w:rPr>
        <w:t xml:space="preserve"> </w:t>
      </w:r>
      <w:r w:rsidRPr="00361D8E">
        <w:rPr>
          <w:rFonts w:asciiTheme="minorHAnsi" w:hAnsiTheme="minorHAnsi" w:cstheme="minorHAnsi"/>
          <w:sz w:val="24"/>
          <w:szCs w:val="24"/>
        </w:rPr>
        <w:t>106/367: March 1916).</w:t>
      </w:r>
      <w:r w:rsidR="00090EC8" w:rsidRPr="00361D8E">
        <w:rPr>
          <w:rFonts w:asciiTheme="minorHAnsi" w:hAnsiTheme="minorHAnsi" w:cstheme="minorHAnsi"/>
          <w:sz w:val="24"/>
          <w:szCs w:val="24"/>
        </w:rPr>
        <w:t xml:space="preserve"> As a coordinating body designed to serve the military establishment, the Committee was also driven by a desire to improve relations between the state and the public.</w:t>
      </w:r>
    </w:p>
    <w:p w:rsidR="00E07F52" w:rsidRPr="00361D8E" w:rsidRDefault="007D5A8F" w:rsidP="00E07F52">
      <w:pPr>
        <w:spacing w:before="120"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By bringing together these techniques, it could be argued that the Parliamentary Recruiting Committee anticipated the development of public relations</w:t>
      </w:r>
      <w:r w:rsidR="00FB2F26" w:rsidRPr="00361D8E">
        <w:rPr>
          <w:rFonts w:asciiTheme="minorHAnsi" w:hAnsiTheme="minorHAnsi" w:cstheme="minorHAnsi"/>
          <w:sz w:val="24"/>
          <w:szCs w:val="24"/>
        </w:rPr>
        <w:t xml:space="preserve"> in Britain</w:t>
      </w:r>
      <w:r w:rsidRPr="00361D8E">
        <w:rPr>
          <w:rFonts w:asciiTheme="minorHAnsi" w:hAnsiTheme="minorHAnsi" w:cstheme="minorHAnsi"/>
          <w:sz w:val="24"/>
          <w:szCs w:val="24"/>
        </w:rPr>
        <w:t>. Yet</w:t>
      </w:r>
      <w:r w:rsidR="00E07F52" w:rsidRPr="00361D8E">
        <w:rPr>
          <w:rFonts w:asciiTheme="minorHAnsi" w:hAnsiTheme="minorHAnsi" w:cstheme="minorHAnsi"/>
          <w:sz w:val="24"/>
          <w:szCs w:val="24"/>
        </w:rPr>
        <w:t xml:space="preserve"> </w:t>
      </w:r>
      <w:r w:rsidR="00FB2F26" w:rsidRPr="00361D8E">
        <w:rPr>
          <w:rFonts w:asciiTheme="minorHAnsi" w:hAnsiTheme="minorHAnsi" w:cstheme="minorHAnsi"/>
          <w:sz w:val="24"/>
          <w:szCs w:val="24"/>
        </w:rPr>
        <w:t>no references to the Committee can be found in the major histories of the profession.</w:t>
      </w:r>
      <w:r w:rsidR="00E07F52" w:rsidRPr="00361D8E">
        <w:rPr>
          <w:rFonts w:asciiTheme="minorHAnsi" w:hAnsiTheme="minorHAnsi" w:cstheme="minorHAnsi"/>
          <w:sz w:val="24"/>
          <w:szCs w:val="24"/>
        </w:rPr>
        <w:t xml:space="preserve"> </w:t>
      </w:r>
      <w:r w:rsidR="00FB2F26" w:rsidRPr="00361D8E">
        <w:rPr>
          <w:rFonts w:asciiTheme="minorHAnsi" w:hAnsiTheme="minorHAnsi" w:cstheme="minorHAnsi"/>
          <w:sz w:val="24"/>
          <w:szCs w:val="24"/>
        </w:rPr>
        <w:t xml:space="preserve">Accounts of the Committee, for their part, tend to </w:t>
      </w:r>
      <w:r w:rsidRPr="00361D8E">
        <w:rPr>
          <w:rFonts w:asciiTheme="minorHAnsi" w:hAnsiTheme="minorHAnsi" w:cstheme="minorHAnsi"/>
          <w:sz w:val="24"/>
          <w:szCs w:val="24"/>
        </w:rPr>
        <w:t xml:space="preserve">focus rather narrowly on the </w:t>
      </w:r>
      <w:r w:rsidR="00E07F52" w:rsidRPr="00361D8E">
        <w:rPr>
          <w:rFonts w:asciiTheme="minorHAnsi" w:hAnsiTheme="minorHAnsi" w:cstheme="minorHAnsi"/>
          <w:sz w:val="24"/>
          <w:szCs w:val="24"/>
        </w:rPr>
        <w:t xml:space="preserve">work of its Publications </w:t>
      </w:r>
      <w:proofErr w:type="gramStart"/>
      <w:r w:rsidR="00E07F52" w:rsidRPr="00361D8E">
        <w:rPr>
          <w:rFonts w:asciiTheme="minorHAnsi" w:hAnsiTheme="minorHAnsi" w:cstheme="minorHAnsi"/>
          <w:sz w:val="24"/>
          <w:szCs w:val="24"/>
        </w:rPr>
        <w:t>Sub-Department,</w:t>
      </w:r>
      <w:proofErr w:type="gramEnd"/>
      <w:r w:rsidR="00E07F52" w:rsidRPr="00361D8E">
        <w:rPr>
          <w:rFonts w:asciiTheme="minorHAnsi" w:hAnsiTheme="minorHAnsi" w:cstheme="minorHAnsi"/>
          <w:sz w:val="24"/>
          <w:szCs w:val="24"/>
        </w:rPr>
        <w:t xml:space="preserve"> </w:t>
      </w:r>
      <w:r w:rsidR="00FB2F26" w:rsidRPr="00361D8E">
        <w:rPr>
          <w:rFonts w:asciiTheme="minorHAnsi" w:hAnsiTheme="minorHAnsi" w:cstheme="minorHAnsi"/>
          <w:sz w:val="24"/>
          <w:szCs w:val="24"/>
        </w:rPr>
        <w:t xml:space="preserve">and on its posters in particular, </w:t>
      </w:r>
      <w:r w:rsidR="00E07F52" w:rsidRPr="00361D8E">
        <w:rPr>
          <w:rFonts w:asciiTheme="minorHAnsi" w:hAnsiTheme="minorHAnsi" w:cstheme="minorHAnsi"/>
          <w:sz w:val="24"/>
          <w:szCs w:val="24"/>
        </w:rPr>
        <w:t xml:space="preserve">with only Douglas (1970) considering other aspects of the </w:t>
      </w:r>
      <w:r w:rsidRPr="00361D8E">
        <w:rPr>
          <w:rFonts w:asciiTheme="minorHAnsi" w:hAnsiTheme="minorHAnsi" w:cstheme="minorHAnsi"/>
          <w:sz w:val="24"/>
          <w:szCs w:val="24"/>
        </w:rPr>
        <w:t xml:space="preserve">recruiting </w:t>
      </w:r>
      <w:r w:rsidR="00E07F52" w:rsidRPr="00361D8E">
        <w:rPr>
          <w:rFonts w:asciiTheme="minorHAnsi" w:hAnsiTheme="minorHAnsi" w:cstheme="minorHAnsi"/>
          <w:sz w:val="24"/>
          <w:szCs w:val="24"/>
        </w:rPr>
        <w:t xml:space="preserve">campaign in serious detail. However, while Douglas (1970: 569-71) dedicates an entire section of his paper to meetings, he nevertheless devotes much of the ensuing space to a discussion of enrolment rates, and although he does say that meetings were ‘evidently considered...to be of substantial importance as a means of recruitment’ no attempt is made to explore how these meetings were organised and what recruiters themselves believed they would achieve through the organisation of meetings. </w:t>
      </w:r>
    </w:p>
    <w:p w:rsidR="00E07F52" w:rsidRPr="00361D8E" w:rsidRDefault="00E07F52" w:rsidP="00E07F52">
      <w:pPr>
        <w:spacing w:before="120"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 xml:space="preserve">Similar shortcomings are evident in </w:t>
      </w:r>
      <w:r w:rsidR="005614AD" w:rsidRPr="00361D8E">
        <w:rPr>
          <w:rFonts w:asciiTheme="minorHAnsi" w:hAnsiTheme="minorHAnsi" w:cstheme="minorHAnsi"/>
          <w:sz w:val="24"/>
          <w:szCs w:val="24"/>
        </w:rPr>
        <w:t>his</w:t>
      </w:r>
      <w:r w:rsidRPr="00361D8E">
        <w:rPr>
          <w:rFonts w:asciiTheme="minorHAnsi" w:hAnsiTheme="minorHAnsi" w:cstheme="minorHAnsi"/>
          <w:sz w:val="24"/>
          <w:szCs w:val="24"/>
        </w:rPr>
        <w:t xml:space="preserve"> discussion of </w:t>
      </w:r>
      <w:r w:rsidR="007D5A8F" w:rsidRPr="00361D8E">
        <w:rPr>
          <w:rFonts w:asciiTheme="minorHAnsi" w:hAnsiTheme="minorHAnsi" w:cstheme="minorHAnsi"/>
          <w:sz w:val="24"/>
          <w:szCs w:val="24"/>
        </w:rPr>
        <w:t>recruiters’ relationship</w:t>
      </w:r>
      <w:r w:rsidR="00EA59EE" w:rsidRPr="00361D8E">
        <w:rPr>
          <w:rFonts w:asciiTheme="minorHAnsi" w:hAnsiTheme="minorHAnsi" w:cstheme="minorHAnsi"/>
          <w:sz w:val="24"/>
          <w:szCs w:val="24"/>
        </w:rPr>
        <w:t>s</w:t>
      </w:r>
      <w:r w:rsidR="007D5A8F" w:rsidRPr="00361D8E">
        <w:rPr>
          <w:rFonts w:asciiTheme="minorHAnsi" w:hAnsiTheme="minorHAnsi" w:cstheme="minorHAnsi"/>
          <w:sz w:val="24"/>
          <w:szCs w:val="24"/>
        </w:rPr>
        <w:t xml:space="preserve"> to journalists</w:t>
      </w:r>
      <w:r w:rsidRPr="00361D8E">
        <w:rPr>
          <w:rFonts w:asciiTheme="minorHAnsi" w:hAnsiTheme="minorHAnsi" w:cstheme="minorHAnsi"/>
          <w:sz w:val="24"/>
          <w:szCs w:val="24"/>
        </w:rPr>
        <w:t xml:space="preserve">, although it is worth noting that Douglas does not </w:t>
      </w:r>
      <w:r w:rsidR="00EA59EE" w:rsidRPr="00361D8E">
        <w:rPr>
          <w:rFonts w:asciiTheme="minorHAnsi" w:hAnsiTheme="minorHAnsi" w:cstheme="minorHAnsi"/>
          <w:sz w:val="24"/>
          <w:szCs w:val="24"/>
        </w:rPr>
        <w:t xml:space="preserve">profess an interest in the Committee’s relationship to the history of public relations or </w:t>
      </w:r>
      <w:r w:rsidRPr="00361D8E">
        <w:rPr>
          <w:rFonts w:asciiTheme="minorHAnsi" w:hAnsiTheme="minorHAnsi" w:cstheme="minorHAnsi"/>
          <w:sz w:val="24"/>
          <w:szCs w:val="24"/>
        </w:rPr>
        <w:t xml:space="preserve">appear to have had access to </w:t>
      </w:r>
      <w:r w:rsidR="00181F40" w:rsidRPr="00361D8E">
        <w:rPr>
          <w:rFonts w:asciiTheme="minorHAnsi" w:hAnsiTheme="minorHAnsi" w:cstheme="minorHAnsi"/>
          <w:sz w:val="24"/>
          <w:szCs w:val="24"/>
        </w:rPr>
        <w:t xml:space="preserve">the official </w:t>
      </w:r>
      <w:r w:rsidRPr="00361D8E">
        <w:rPr>
          <w:rFonts w:asciiTheme="minorHAnsi" w:hAnsiTheme="minorHAnsi" w:cstheme="minorHAnsi"/>
          <w:sz w:val="24"/>
          <w:szCs w:val="24"/>
        </w:rPr>
        <w:t>records</w:t>
      </w:r>
      <w:r w:rsidR="00181F40" w:rsidRPr="00361D8E">
        <w:rPr>
          <w:rFonts w:asciiTheme="minorHAnsi" w:hAnsiTheme="minorHAnsi" w:cstheme="minorHAnsi"/>
          <w:sz w:val="24"/>
          <w:szCs w:val="24"/>
        </w:rPr>
        <w:t xml:space="preserve"> stored in the National Archives (WO</w:t>
      </w:r>
      <w:r w:rsidR="005F3244">
        <w:rPr>
          <w:rFonts w:asciiTheme="minorHAnsi" w:hAnsiTheme="minorHAnsi" w:cstheme="minorHAnsi"/>
          <w:sz w:val="24"/>
          <w:szCs w:val="24"/>
        </w:rPr>
        <w:t xml:space="preserve"> </w:t>
      </w:r>
      <w:r w:rsidR="00181F40" w:rsidRPr="00361D8E">
        <w:rPr>
          <w:rFonts w:asciiTheme="minorHAnsi" w:hAnsiTheme="minorHAnsi" w:cstheme="minorHAnsi"/>
          <w:sz w:val="24"/>
          <w:szCs w:val="24"/>
        </w:rPr>
        <w:t>106/166 and WO</w:t>
      </w:r>
      <w:r w:rsidR="005F3244">
        <w:rPr>
          <w:rFonts w:asciiTheme="minorHAnsi" w:hAnsiTheme="minorHAnsi" w:cstheme="minorHAnsi"/>
          <w:sz w:val="24"/>
          <w:szCs w:val="24"/>
        </w:rPr>
        <w:t xml:space="preserve"> </w:t>
      </w:r>
      <w:r w:rsidR="00181F40" w:rsidRPr="00361D8E">
        <w:rPr>
          <w:rFonts w:asciiTheme="minorHAnsi" w:hAnsiTheme="minorHAnsi" w:cstheme="minorHAnsi"/>
          <w:sz w:val="24"/>
          <w:szCs w:val="24"/>
        </w:rPr>
        <w:t>106/367)</w:t>
      </w:r>
      <w:r w:rsidRPr="00361D8E">
        <w:rPr>
          <w:rFonts w:asciiTheme="minorHAnsi" w:hAnsiTheme="minorHAnsi" w:cstheme="minorHAnsi"/>
          <w:sz w:val="24"/>
          <w:szCs w:val="24"/>
        </w:rPr>
        <w:t>.</w:t>
      </w:r>
      <w:r w:rsidR="00EA59EE" w:rsidRPr="00361D8E">
        <w:rPr>
          <w:rFonts w:asciiTheme="minorHAnsi" w:hAnsiTheme="minorHAnsi" w:cstheme="minorHAnsi"/>
          <w:sz w:val="24"/>
          <w:szCs w:val="24"/>
        </w:rPr>
        <w:t xml:space="preserve"> The latter files</w:t>
      </w:r>
      <w:r w:rsidR="00181F40" w:rsidRPr="00361D8E">
        <w:rPr>
          <w:rFonts w:asciiTheme="minorHAnsi" w:hAnsiTheme="minorHAnsi" w:cstheme="minorHAnsi"/>
          <w:sz w:val="24"/>
          <w:szCs w:val="24"/>
        </w:rPr>
        <w:t>, consisting of a series of reports and summaries written by recruiters</w:t>
      </w:r>
      <w:r w:rsidR="00FB2F26" w:rsidRPr="00361D8E">
        <w:rPr>
          <w:rFonts w:asciiTheme="minorHAnsi" w:hAnsiTheme="minorHAnsi" w:cstheme="minorHAnsi"/>
          <w:sz w:val="24"/>
          <w:szCs w:val="24"/>
        </w:rPr>
        <w:t xml:space="preserve"> during the war</w:t>
      </w:r>
      <w:r w:rsidR="00181F40" w:rsidRPr="00361D8E">
        <w:rPr>
          <w:rFonts w:asciiTheme="minorHAnsi" w:hAnsiTheme="minorHAnsi" w:cstheme="minorHAnsi"/>
          <w:sz w:val="24"/>
          <w:szCs w:val="24"/>
        </w:rPr>
        <w:t xml:space="preserve">, </w:t>
      </w:r>
      <w:r w:rsidR="00EA59EE" w:rsidRPr="00361D8E">
        <w:rPr>
          <w:rFonts w:asciiTheme="minorHAnsi" w:hAnsiTheme="minorHAnsi" w:cstheme="minorHAnsi"/>
          <w:sz w:val="24"/>
          <w:szCs w:val="24"/>
        </w:rPr>
        <w:t xml:space="preserve">provide </w:t>
      </w:r>
      <w:r w:rsidR="004548FE">
        <w:rPr>
          <w:rFonts w:asciiTheme="minorHAnsi" w:hAnsiTheme="minorHAnsi" w:cstheme="minorHAnsi"/>
          <w:sz w:val="24"/>
          <w:szCs w:val="24"/>
        </w:rPr>
        <w:t xml:space="preserve">a </w:t>
      </w:r>
      <w:r w:rsidR="00FB2F26" w:rsidRPr="00361D8E">
        <w:rPr>
          <w:rFonts w:asciiTheme="minorHAnsi" w:hAnsiTheme="minorHAnsi" w:cstheme="minorHAnsi"/>
          <w:sz w:val="24"/>
          <w:szCs w:val="24"/>
        </w:rPr>
        <w:t>valuable</w:t>
      </w:r>
      <w:r w:rsidR="00EA59EE" w:rsidRPr="00361D8E">
        <w:rPr>
          <w:rFonts w:asciiTheme="minorHAnsi" w:hAnsiTheme="minorHAnsi" w:cstheme="minorHAnsi"/>
          <w:sz w:val="24"/>
          <w:szCs w:val="24"/>
        </w:rPr>
        <w:t xml:space="preserve"> </w:t>
      </w:r>
      <w:r w:rsidR="000B3BEC" w:rsidRPr="00361D8E">
        <w:rPr>
          <w:rFonts w:asciiTheme="minorHAnsi" w:hAnsiTheme="minorHAnsi" w:cstheme="minorHAnsi"/>
          <w:sz w:val="24"/>
          <w:szCs w:val="24"/>
        </w:rPr>
        <w:t>in</w:t>
      </w:r>
      <w:r w:rsidR="004548FE">
        <w:rPr>
          <w:rFonts w:asciiTheme="minorHAnsi" w:hAnsiTheme="minorHAnsi" w:cstheme="minorHAnsi"/>
          <w:sz w:val="24"/>
          <w:szCs w:val="24"/>
        </w:rPr>
        <w:t>sight</w:t>
      </w:r>
      <w:r w:rsidR="000B3BEC" w:rsidRPr="00361D8E">
        <w:rPr>
          <w:rFonts w:asciiTheme="minorHAnsi" w:hAnsiTheme="minorHAnsi" w:cstheme="minorHAnsi"/>
          <w:sz w:val="24"/>
          <w:szCs w:val="24"/>
        </w:rPr>
        <w:t xml:space="preserve"> </w:t>
      </w:r>
      <w:r w:rsidR="00FB2F26" w:rsidRPr="00361D8E">
        <w:rPr>
          <w:rFonts w:asciiTheme="minorHAnsi" w:hAnsiTheme="minorHAnsi" w:cstheme="minorHAnsi"/>
          <w:sz w:val="24"/>
          <w:szCs w:val="24"/>
        </w:rPr>
        <w:t>into</w:t>
      </w:r>
      <w:r w:rsidR="00EA59EE" w:rsidRPr="00361D8E">
        <w:rPr>
          <w:rFonts w:asciiTheme="minorHAnsi" w:hAnsiTheme="minorHAnsi" w:cstheme="minorHAnsi"/>
          <w:sz w:val="24"/>
          <w:szCs w:val="24"/>
        </w:rPr>
        <w:t xml:space="preserve"> the </w:t>
      </w:r>
      <w:r w:rsidR="00181F40" w:rsidRPr="00361D8E">
        <w:rPr>
          <w:rFonts w:asciiTheme="minorHAnsi" w:hAnsiTheme="minorHAnsi" w:cstheme="minorHAnsi"/>
          <w:sz w:val="24"/>
          <w:szCs w:val="24"/>
        </w:rPr>
        <w:t xml:space="preserve">design and prosecution of the </w:t>
      </w:r>
      <w:r w:rsidR="00EA59EE" w:rsidRPr="00361D8E">
        <w:rPr>
          <w:rFonts w:asciiTheme="minorHAnsi" w:hAnsiTheme="minorHAnsi" w:cstheme="minorHAnsi"/>
          <w:sz w:val="24"/>
          <w:szCs w:val="24"/>
        </w:rPr>
        <w:t>recruit</w:t>
      </w:r>
      <w:r w:rsidR="00181F40" w:rsidRPr="00361D8E">
        <w:rPr>
          <w:rFonts w:asciiTheme="minorHAnsi" w:hAnsiTheme="minorHAnsi" w:cstheme="minorHAnsi"/>
          <w:sz w:val="24"/>
          <w:szCs w:val="24"/>
        </w:rPr>
        <w:t>ing</w:t>
      </w:r>
      <w:r w:rsidR="00EA59EE" w:rsidRPr="00361D8E">
        <w:rPr>
          <w:rFonts w:asciiTheme="minorHAnsi" w:hAnsiTheme="minorHAnsi" w:cstheme="minorHAnsi"/>
          <w:sz w:val="24"/>
          <w:szCs w:val="24"/>
        </w:rPr>
        <w:t xml:space="preserve"> campaign</w:t>
      </w:r>
      <w:r w:rsidR="00181F40" w:rsidRPr="00361D8E">
        <w:rPr>
          <w:rFonts w:asciiTheme="minorHAnsi" w:hAnsiTheme="minorHAnsi" w:cstheme="minorHAnsi"/>
          <w:sz w:val="24"/>
          <w:szCs w:val="24"/>
        </w:rPr>
        <w:t xml:space="preserve"> and</w:t>
      </w:r>
      <w:r w:rsidR="000B3BEC" w:rsidRPr="00361D8E">
        <w:rPr>
          <w:rFonts w:asciiTheme="minorHAnsi" w:hAnsiTheme="minorHAnsi" w:cstheme="minorHAnsi"/>
          <w:sz w:val="24"/>
          <w:szCs w:val="24"/>
        </w:rPr>
        <w:t xml:space="preserve"> form the basis of th</w:t>
      </w:r>
      <w:r w:rsidR="00181F40" w:rsidRPr="00361D8E">
        <w:rPr>
          <w:rFonts w:asciiTheme="minorHAnsi" w:hAnsiTheme="minorHAnsi" w:cstheme="minorHAnsi"/>
          <w:sz w:val="24"/>
          <w:szCs w:val="24"/>
        </w:rPr>
        <w:t>e argument presented here.</w:t>
      </w:r>
    </w:p>
    <w:p w:rsidR="00E07F52" w:rsidRPr="00361D8E" w:rsidRDefault="00E07F52" w:rsidP="00E07F52">
      <w:pPr>
        <w:spacing w:before="240" w:after="0" w:line="360" w:lineRule="auto"/>
        <w:jc w:val="both"/>
        <w:rPr>
          <w:rFonts w:asciiTheme="minorHAnsi" w:hAnsiTheme="minorHAnsi" w:cstheme="minorHAnsi"/>
          <w:b/>
          <w:sz w:val="28"/>
          <w:szCs w:val="24"/>
        </w:rPr>
      </w:pPr>
      <w:r w:rsidRPr="00361D8E">
        <w:rPr>
          <w:rFonts w:asciiTheme="minorHAnsi" w:hAnsiTheme="minorHAnsi" w:cstheme="minorHAnsi"/>
          <w:b/>
          <w:sz w:val="28"/>
          <w:szCs w:val="24"/>
        </w:rPr>
        <w:lastRenderedPageBreak/>
        <w:t>The Origins of the Parliamentary Recruiting Committee</w:t>
      </w:r>
    </w:p>
    <w:p w:rsidR="000A219B" w:rsidRPr="00361D8E" w:rsidRDefault="000A219B" w:rsidP="00C1510C">
      <w:pPr>
        <w:spacing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Set up on 31 August 1914, the Parliamentary Recruiting Committee was actually the first official propaganda agency to operate in Britain during the war, and though it was wound up quickly at the close of 1915 it was used as a blueprint for the National War Aims Committee, a propaganda agency set up to combat pacifism and civil disorder in 1917 (Monger, 2012)</w:t>
      </w:r>
      <w:r w:rsidR="00E4575A" w:rsidRPr="00361D8E">
        <w:rPr>
          <w:rFonts w:asciiTheme="minorHAnsi" w:hAnsiTheme="minorHAnsi" w:cstheme="minorHAnsi"/>
          <w:sz w:val="24"/>
          <w:szCs w:val="24"/>
        </w:rPr>
        <w:t>,</w:t>
      </w:r>
      <w:r w:rsidRPr="00361D8E">
        <w:rPr>
          <w:rFonts w:asciiTheme="minorHAnsi" w:hAnsiTheme="minorHAnsi" w:cstheme="minorHAnsi"/>
          <w:sz w:val="24"/>
          <w:szCs w:val="24"/>
        </w:rPr>
        <w:t xml:space="preserve"> and possibly also for the Central National Service Committee</w:t>
      </w:r>
      <w:r w:rsidR="00AA13E1" w:rsidRPr="00361D8E">
        <w:rPr>
          <w:rFonts w:asciiTheme="minorHAnsi" w:hAnsiTheme="minorHAnsi" w:cstheme="minorHAnsi"/>
          <w:sz w:val="24"/>
          <w:szCs w:val="24"/>
        </w:rPr>
        <w:t>, a</w:t>
      </w:r>
      <w:r w:rsidR="00FB2F26" w:rsidRPr="00361D8E">
        <w:rPr>
          <w:rFonts w:asciiTheme="minorHAnsi" w:hAnsiTheme="minorHAnsi" w:cstheme="minorHAnsi"/>
          <w:sz w:val="24"/>
          <w:szCs w:val="24"/>
        </w:rPr>
        <w:t xml:space="preserve"> separate</w:t>
      </w:r>
      <w:r w:rsidR="00AA13E1" w:rsidRPr="00361D8E">
        <w:rPr>
          <w:rFonts w:asciiTheme="minorHAnsi" w:hAnsiTheme="minorHAnsi" w:cstheme="minorHAnsi"/>
          <w:sz w:val="24"/>
          <w:szCs w:val="24"/>
        </w:rPr>
        <w:t xml:space="preserve"> recruiting body</w:t>
      </w:r>
      <w:r w:rsidRPr="00361D8E">
        <w:rPr>
          <w:rFonts w:asciiTheme="minorHAnsi" w:hAnsiTheme="minorHAnsi" w:cstheme="minorHAnsi"/>
          <w:sz w:val="24"/>
          <w:szCs w:val="24"/>
        </w:rPr>
        <w:t xml:space="preserve"> created on the eve of the Second World War to boost enlistment for civil defence</w:t>
      </w:r>
      <w:r w:rsidR="00E4575A" w:rsidRPr="00361D8E">
        <w:rPr>
          <w:rFonts w:asciiTheme="minorHAnsi" w:hAnsiTheme="minorHAnsi" w:cstheme="minorHAnsi"/>
          <w:sz w:val="24"/>
          <w:szCs w:val="24"/>
        </w:rPr>
        <w:t>,</w:t>
      </w:r>
      <w:r w:rsidRPr="00361D8E">
        <w:rPr>
          <w:rFonts w:asciiTheme="minorHAnsi" w:hAnsiTheme="minorHAnsi" w:cstheme="minorHAnsi"/>
          <w:sz w:val="24"/>
          <w:szCs w:val="24"/>
        </w:rPr>
        <w:t xml:space="preserve"> auxiliary and reserve forces (Maartens, 2015). </w:t>
      </w:r>
    </w:p>
    <w:p w:rsidR="000A219B" w:rsidRPr="00361D8E" w:rsidRDefault="000A219B" w:rsidP="00C1510C">
      <w:pPr>
        <w:spacing w:before="120"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The utility, or rather perceived utility, of the Parliamentary Recruiting Committee owed something to its ability to operate on a local, regional and national level, and to draw on existing political, commercial and voluntary actors to help fashion recruiting appeals. The Parliamentary Recruiting Committee was not, as a matter of fact, a single committee but a series of committ</w:t>
      </w:r>
      <w:r w:rsidRPr="00361D8E">
        <w:rPr>
          <w:rFonts w:asciiTheme="minorHAnsi" w:hAnsiTheme="minorHAnsi" w:cstheme="minorHAnsi"/>
          <w:i/>
          <w:sz w:val="24"/>
          <w:szCs w:val="24"/>
        </w:rPr>
        <w:t>ees</w:t>
      </w:r>
      <w:r w:rsidRPr="00361D8E">
        <w:rPr>
          <w:rFonts w:asciiTheme="minorHAnsi" w:hAnsiTheme="minorHAnsi" w:cstheme="minorHAnsi"/>
          <w:sz w:val="24"/>
          <w:szCs w:val="24"/>
        </w:rPr>
        <w:t xml:space="preserve"> that operated in every borough and county</w:t>
      </w:r>
      <w:r w:rsidR="0049708E" w:rsidRPr="00361D8E">
        <w:rPr>
          <w:rFonts w:asciiTheme="minorHAnsi" w:hAnsiTheme="minorHAnsi" w:cstheme="minorHAnsi"/>
          <w:sz w:val="24"/>
          <w:szCs w:val="24"/>
        </w:rPr>
        <w:t xml:space="preserve"> borough in England and Wales</w:t>
      </w:r>
      <w:r w:rsidRPr="00361D8E">
        <w:rPr>
          <w:rFonts w:asciiTheme="minorHAnsi" w:hAnsiTheme="minorHAnsi" w:cstheme="minorHAnsi"/>
          <w:sz w:val="24"/>
          <w:szCs w:val="24"/>
        </w:rPr>
        <w:t xml:space="preserve"> and whose work was closely monitored and overseen by a central steering committee based in London. According to R. H. Davies, a Treasury mandarin who acted as the clerk to the central Committee, the need to encourage corps of recruiters in local areas was recognised immediately.  </w:t>
      </w:r>
    </w:p>
    <w:p w:rsidR="000A219B" w:rsidRPr="00361D8E" w:rsidRDefault="000A219B" w:rsidP="00C1510C">
      <w:pPr>
        <w:spacing w:before="120" w:after="240" w:line="276" w:lineRule="auto"/>
        <w:ind w:left="720"/>
        <w:jc w:val="both"/>
        <w:rPr>
          <w:rFonts w:asciiTheme="minorHAnsi" w:hAnsiTheme="minorHAnsi" w:cstheme="minorHAnsi"/>
          <w:sz w:val="24"/>
          <w:szCs w:val="24"/>
        </w:rPr>
      </w:pPr>
      <w:r w:rsidRPr="00361D8E">
        <w:rPr>
          <w:rFonts w:asciiTheme="minorHAnsi" w:hAnsiTheme="minorHAnsi" w:cstheme="minorHAnsi"/>
          <w:sz w:val="24"/>
          <w:szCs w:val="24"/>
        </w:rPr>
        <w:t>Communications were sent forthwith to Peers and Members of Parliament inviting their co-operation, and letters were dispatched by the Chief Whips [of the Liberal and Unionist parties]</w:t>
      </w:r>
      <w:r w:rsidRPr="00361D8E">
        <w:rPr>
          <w:rFonts w:asciiTheme="minorHAnsi" w:hAnsiTheme="minorHAnsi" w:cstheme="minorHAnsi"/>
          <w:sz w:val="24"/>
          <w:szCs w:val="24"/>
          <w:vertAlign w:val="superscript"/>
        </w:rPr>
        <w:endnoteReference w:id="3"/>
      </w:r>
      <w:r w:rsidRPr="00361D8E">
        <w:rPr>
          <w:rFonts w:asciiTheme="minorHAnsi" w:hAnsiTheme="minorHAnsi" w:cstheme="minorHAnsi"/>
          <w:sz w:val="24"/>
          <w:szCs w:val="24"/>
        </w:rPr>
        <w:t xml:space="preserve"> to Party Agents urging them to unite and form a Joint Committee in each constituency for the purpose of obtaining Recruits by the holding of meetings and other forms of propaganda. (WO</w:t>
      </w:r>
      <w:r w:rsidR="005F3244">
        <w:rPr>
          <w:rFonts w:asciiTheme="minorHAnsi" w:hAnsiTheme="minorHAnsi" w:cstheme="minorHAnsi"/>
          <w:sz w:val="24"/>
          <w:szCs w:val="24"/>
        </w:rPr>
        <w:t xml:space="preserve"> </w:t>
      </w:r>
      <w:r w:rsidRPr="00361D8E">
        <w:rPr>
          <w:rFonts w:asciiTheme="minorHAnsi" w:hAnsiTheme="minorHAnsi" w:cstheme="minorHAnsi"/>
          <w:sz w:val="24"/>
          <w:szCs w:val="24"/>
        </w:rPr>
        <w:t>106/367: A)</w:t>
      </w:r>
    </w:p>
    <w:p w:rsidR="000A219B" w:rsidRPr="00361D8E" w:rsidRDefault="000A219B" w:rsidP="00C1510C">
      <w:pPr>
        <w:spacing w:before="120"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These Joint Committees, referred to variously in official files as ‘Parliamentary Recruiting Committees’, ‘Parliamentary and Joint Labour Recruiting Committees’ or simply ‘Recruiting Committees’, were vital to the implementation of the campaign. Staffed by Lord-Lieutenants, Lord Mayors, Mayors, counsellors, party agents and parliamentary representatives, as many as 463 may have been set up in the opening stages of the war (WO 1</w:t>
      </w:r>
      <w:r w:rsidR="005F3244">
        <w:rPr>
          <w:rFonts w:asciiTheme="minorHAnsi" w:hAnsiTheme="minorHAnsi" w:cstheme="minorHAnsi"/>
          <w:sz w:val="24"/>
          <w:szCs w:val="24"/>
        </w:rPr>
        <w:t>0</w:t>
      </w:r>
      <w:r w:rsidRPr="00361D8E">
        <w:rPr>
          <w:rFonts w:asciiTheme="minorHAnsi" w:hAnsiTheme="minorHAnsi" w:cstheme="minorHAnsi"/>
          <w:sz w:val="24"/>
          <w:szCs w:val="24"/>
        </w:rPr>
        <w:t xml:space="preserve">6/367: March 1916), a remarkable feat that </w:t>
      </w:r>
      <w:r w:rsidR="004548FE" w:rsidRPr="004548FE">
        <w:rPr>
          <w:rFonts w:asciiTheme="minorHAnsi" w:hAnsiTheme="minorHAnsi" w:cstheme="minorHAnsi"/>
          <w:color w:val="FF0000"/>
          <w:sz w:val="24"/>
          <w:szCs w:val="24"/>
        </w:rPr>
        <w:t>may</w:t>
      </w:r>
      <w:r w:rsidRPr="00361D8E">
        <w:rPr>
          <w:rFonts w:asciiTheme="minorHAnsi" w:hAnsiTheme="minorHAnsi" w:cstheme="minorHAnsi"/>
          <w:sz w:val="24"/>
          <w:szCs w:val="24"/>
        </w:rPr>
        <w:t xml:space="preserve"> explain the enormous quantities of promotion mentioned at the outset of this paper. </w:t>
      </w:r>
    </w:p>
    <w:p w:rsidR="000A219B" w:rsidRPr="00361D8E" w:rsidRDefault="0049708E" w:rsidP="00C1510C">
      <w:pPr>
        <w:spacing w:before="120"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Nevertheless, w</w:t>
      </w:r>
      <w:r w:rsidR="000A219B" w:rsidRPr="00361D8E">
        <w:rPr>
          <w:rFonts w:asciiTheme="minorHAnsi" w:hAnsiTheme="minorHAnsi" w:cstheme="minorHAnsi"/>
          <w:sz w:val="24"/>
          <w:szCs w:val="24"/>
        </w:rPr>
        <w:t xml:space="preserve">hile the value of Joint Committees appears to have been recognised by politicians and civil servants in the wartime and interwar years, historians since then have devoted little space to their work. Though he dedicates an entire section of his article to the subject of local recruitment, Douglas (1970: </w:t>
      </w:r>
      <w:r w:rsidR="00D131D8" w:rsidRPr="00361D8E">
        <w:rPr>
          <w:rFonts w:asciiTheme="minorHAnsi" w:hAnsiTheme="minorHAnsi" w:cstheme="minorHAnsi"/>
          <w:sz w:val="24"/>
          <w:szCs w:val="24"/>
        </w:rPr>
        <w:t>569-71</w:t>
      </w:r>
      <w:r w:rsidR="000A219B" w:rsidRPr="00361D8E">
        <w:rPr>
          <w:rFonts w:asciiTheme="minorHAnsi" w:hAnsiTheme="minorHAnsi" w:cstheme="minorHAnsi"/>
          <w:sz w:val="24"/>
          <w:szCs w:val="24"/>
        </w:rPr>
        <w:t xml:space="preserve">) focuses </w:t>
      </w:r>
      <w:r w:rsidR="000A219B" w:rsidRPr="00361D8E">
        <w:rPr>
          <w:rFonts w:asciiTheme="minorHAnsi" w:hAnsiTheme="minorHAnsi" w:cstheme="minorHAnsi"/>
          <w:sz w:val="24"/>
          <w:szCs w:val="24"/>
        </w:rPr>
        <w:lastRenderedPageBreak/>
        <w:t xml:space="preserve">predominantly on the canvassing associated with the Householders Return, while Dutton (1989: </w:t>
      </w:r>
      <w:r w:rsidR="00D131D8" w:rsidRPr="00361D8E">
        <w:rPr>
          <w:rFonts w:asciiTheme="minorHAnsi" w:hAnsiTheme="minorHAnsi" w:cstheme="minorHAnsi"/>
          <w:sz w:val="24"/>
          <w:szCs w:val="24"/>
        </w:rPr>
        <w:t>44-5</w:t>
      </w:r>
      <w:r w:rsidR="000A219B" w:rsidRPr="00361D8E">
        <w:rPr>
          <w:rFonts w:asciiTheme="minorHAnsi" w:hAnsiTheme="minorHAnsi" w:cstheme="minorHAnsi"/>
          <w:sz w:val="24"/>
          <w:szCs w:val="24"/>
        </w:rPr>
        <w:t xml:space="preserve">) for </w:t>
      </w:r>
      <w:r w:rsidR="00D131D8" w:rsidRPr="00361D8E">
        <w:rPr>
          <w:rFonts w:asciiTheme="minorHAnsi" w:hAnsiTheme="minorHAnsi" w:cstheme="minorHAnsi"/>
          <w:sz w:val="24"/>
          <w:szCs w:val="24"/>
        </w:rPr>
        <w:t>his</w:t>
      </w:r>
      <w:r w:rsidR="000A219B" w:rsidRPr="00361D8E">
        <w:rPr>
          <w:rFonts w:asciiTheme="minorHAnsi" w:hAnsiTheme="minorHAnsi" w:cstheme="minorHAnsi"/>
          <w:sz w:val="24"/>
          <w:szCs w:val="24"/>
        </w:rPr>
        <w:t xml:space="preserve"> part mention</w:t>
      </w:r>
      <w:r w:rsidR="00D131D8" w:rsidRPr="00361D8E">
        <w:rPr>
          <w:rFonts w:asciiTheme="minorHAnsi" w:hAnsiTheme="minorHAnsi" w:cstheme="minorHAnsi"/>
          <w:sz w:val="24"/>
          <w:szCs w:val="24"/>
        </w:rPr>
        <w:t>s</w:t>
      </w:r>
      <w:r w:rsidR="000A219B" w:rsidRPr="00361D8E">
        <w:rPr>
          <w:rFonts w:asciiTheme="minorHAnsi" w:hAnsiTheme="minorHAnsi" w:cstheme="minorHAnsi"/>
          <w:sz w:val="24"/>
          <w:szCs w:val="24"/>
        </w:rPr>
        <w:t xml:space="preserve"> but </w:t>
      </w:r>
      <w:r w:rsidR="00D131D8" w:rsidRPr="00361D8E">
        <w:rPr>
          <w:rFonts w:asciiTheme="minorHAnsi" w:hAnsiTheme="minorHAnsi" w:cstheme="minorHAnsi"/>
          <w:sz w:val="24"/>
          <w:szCs w:val="24"/>
        </w:rPr>
        <w:t xml:space="preserve">does </w:t>
      </w:r>
      <w:r w:rsidR="000A219B" w:rsidRPr="00361D8E">
        <w:rPr>
          <w:rFonts w:asciiTheme="minorHAnsi" w:hAnsiTheme="minorHAnsi" w:cstheme="minorHAnsi"/>
          <w:sz w:val="24"/>
          <w:szCs w:val="24"/>
        </w:rPr>
        <w:t xml:space="preserve">not elaborate on the work of local parliamentary recruiting committees. Haste (1977: </w:t>
      </w:r>
      <w:r w:rsidR="002D7A0E" w:rsidRPr="00361D8E">
        <w:rPr>
          <w:rFonts w:asciiTheme="minorHAnsi" w:hAnsiTheme="minorHAnsi" w:cstheme="minorHAnsi"/>
          <w:sz w:val="24"/>
          <w:szCs w:val="24"/>
        </w:rPr>
        <w:t>53</w:t>
      </w:r>
      <w:r w:rsidR="000A219B" w:rsidRPr="00361D8E">
        <w:rPr>
          <w:rFonts w:asciiTheme="minorHAnsi" w:hAnsiTheme="minorHAnsi" w:cstheme="minorHAnsi"/>
          <w:sz w:val="24"/>
          <w:szCs w:val="24"/>
        </w:rPr>
        <w:t>) briefly alludes to the importance of these organisations in a chapter on mobilisation, but the bulk of her commentary</w:t>
      </w:r>
      <w:r w:rsidR="004548FE">
        <w:rPr>
          <w:rFonts w:asciiTheme="minorHAnsi" w:hAnsiTheme="minorHAnsi" w:cstheme="minorHAnsi"/>
          <w:sz w:val="24"/>
          <w:szCs w:val="24"/>
        </w:rPr>
        <w:t xml:space="preserve"> (</w:t>
      </w:r>
      <w:r w:rsidR="000A219B" w:rsidRPr="00361D8E">
        <w:rPr>
          <w:rFonts w:asciiTheme="minorHAnsi" w:hAnsiTheme="minorHAnsi" w:cstheme="minorHAnsi"/>
          <w:sz w:val="24"/>
          <w:szCs w:val="24"/>
        </w:rPr>
        <w:t>in keeping with other studies</w:t>
      </w:r>
      <w:r w:rsidR="004548FE">
        <w:rPr>
          <w:rFonts w:asciiTheme="minorHAnsi" w:hAnsiTheme="minorHAnsi" w:cstheme="minorHAnsi"/>
          <w:sz w:val="24"/>
          <w:szCs w:val="24"/>
        </w:rPr>
        <w:t>)</w:t>
      </w:r>
      <w:r w:rsidR="000A219B" w:rsidRPr="00361D8E">
        <w:rPr>
          <w:rFonts w:asciiTheme="minorHAnsi" w:hAnsiTheme="minorHAnsi" w:cstheme="minorHAnsi"/>
          <w:sz w:val="24"/>
          <w:szCs w:val="24"/>
        </w:rPr>
        <w:t xml:space="preserve"> concerns the central Committee and not its regional offshoots. In some accounts, indeed, a reluctance to engage with the work of Joint Committees has left the impression that the Parliamentary Recruiting Committee was a single organisation (see, for example, Gullace, 2002). </w:t>
      </w:r>
    </w:p>
    <w:p w:rsidR="000A219B" w:rsidRPr="00361D8E" w:rsidRDefault="000A219B" w:rsidP="00C1510C">
      <w:pPr>
        <w:spacing w:before="120"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Such interpretations downplay the significance of local organisations to the recruiting campaign and their contribution to the development of recruiting exhortations. Though they operated in a narrow sphere of influence, Joint Committees were responsible for the organisation of public meetings in town halls, libraries and other public places, the distribution of posters and leaflets that had been designed centrally, and the establishment of relationships with the local and provincial press. Bringing the subject of military service to every town, village and city in the United Kingdom, they were controlled by individuals who had some tangible connection to the areas in which they operated, boasting a degree of autonomy that has only recently been recognised in the historiography. As Bonnie White has noted, the</w:t>
      </w:r>
    </w:p>
    <w:p w:rsidR="000A219B" w:rsidRPr="00361D8E" w:rsidRDefault="000A219B" w:rsidP="00C1510C">
      <w:pPr>
        <w:spacing w:before="120" w:after="240" w:line="276" w:lineRule="auto"/>
        <w:ind w:left="720"/>
        <w:jc w:val="both"/>
        <w:rPr>
          <w:rFonts w:asciiTheme="minorHAnsi" w:hAnsiTheme="minorHAnsi" w:cstheme="minorHAnsi"/>
          <w:sz w:val="24"/>
          <w:szCs w:val="24"/>
        </w:rPr>
      </w:pPr>
      <w:r w:rsidRPr="00361D8E">
        <w:rPr>
          <w:rFonts w:asciiTheme="minorHAnsi" w:hAnsiTheme="minorHAnsi" w:cstheme="minorHAnsi"/>
          <w:sz w:val="24"/>
          <w:szCs w:val="24"/>
        </w:rPr>
        <w:t>national picture, with regard to recruiting and enlistment, needs to be re-evaluated within the context of competing loyalties and identities, and [historians] must take into consideration the nuances and localisms that shaped wartime experiences at county and community levels. (2009: 666)</w:t>
      </w:r>
    </w:p>
    <w:p w:rsidR="000A219B" w:rsidRPr="00361D8E" w:rsidRDefault="000A219B" w:rsidP="00C1510C">
      <w:pPr>
        <w:spacing w:before="120"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 xml:space="preserve">Such nuances and localisms shared an uneasy relationship with the ‘national’ appeals developed by the central committee in Westminster. Tactics that had proven successful in some parts of the country, such as sending recruiting agents to the houses of young men at dinner-time, did not appear to work in others, and local committees were forced to adapt their strategies accordingly. They were also expected to liaise with the various unofficial recruiting bodies that operated in Britain at the time. The National Service League, Pals Battalions and Order of the White Feather, each of which has been subject to a detailed case study analysis in recent years (see Adams, 1985; Simkins, 2007; Gullace, 1997), carried out their own private recruiting campaigns, and to make matters more complicated the War Office also </w:t>
      </w:r>
      <w:r w:rsidRPr="00361D8E">
        <w:rPr>
          <w:rFonts w:asciiTheme="minorHAnsi" w:hAnsiTheme="minorHAnsi" w:cstheme="minorHAnsi"/>
          <w:sz w:val="24"/>
          <w:szCs w:val="24"/>
        </w:rPr>
        <w:lastRenderedPageBreak/>
        <w:t>employed a commercial advertising agency, the Caxtons Publishing House, to organise a major newspaper campaign on its behalf in 1914 (Hiley, 1987).</w:t>
      </w:r>
    </w:p>
    <w:p w:rsidR="0096120B" w:rsidRPr="003F4714" w:rsidRDefault="00E07F52" w:rsidP="0096120B">
      <w:pPr>
        <w:spacing w:before="120" w:after="120" w:line="360" w:lineRule="auto"/>
        <w:jc w:val="both"/>
        <w:rPr>
          <w:rFonts w:asciiTheme="minorHAnsi" w:hAnsiTheme="minorHAnsi" w:cstheme="minorHAnsi"/>
          <w:color w:val="C00000"/>
          <w:sz w:val="24"/>
          <w:szCs w:val="24"/>
          <w:vertAlign w:val="superscript"/>
        </w:rPr>
      </w:pPr>
      <w:r w:rsidRPr="00361D8E">
        <w:rPr>
          <w:rFonts w:asciiTheme="minorHAnsi" w:hAnsiTheme="minorHAnsi" w:cstheme="minorHAnsi"/>
          <w:sz w:val="24"/>
          <w:szCs w:val="24"/>
        </w:rPr>
        <w:t>By bringing together political</w:t>
      </w:r>
      <w:r w:rsidR="00F44303" w:rsidRPr="00361D8E">
        <w:rPr>
          <w:rFonts w:asciiTheme="minorHAnsi" w:hAnsiTheme="minorHAnsi" w:cstheme="minorHAnsi"/>
          <w:sz w:val="24"/>
          <w:szCs w:val="24"/>
        </w:rPr>
        <w:t xml:space="preserve">, </w:t>
      </w:r>
      <w:r w:rsidRPr="00361D8E">
        <w:rPr>
          <w:rFonts w:asciiTheme="minorHAnsi" w:hAnsiTheme="minorHAnsi" w:cstheme="minorHAnsi"/>
          <w:sz w:val="24"/>
          <w:szCs w:val="24"/>
        </w:rPr>
        <w:t xml:space="preserve">commercial </w:t>
      </w:r>
      <w:r w:rsidR="00F44303" w:rsidRPr="00361D8E">
        <w:rPr>
          <w:rFonts w:asciiTheme="minorHAnsi" w:hAnsiTheme="minorHAnsi" w:cstheme="minorHAnsi"/>
          <w:sz w:val="24"/>
          <w:szCs w:val="24"/>
        </w:rPr>
        <w:t xml:space="preserve">and voluntary </w:t>
      </w:r>
      <w:r w:rsidRPr="00361D8E">
        <w:rPr>
          <w:rFonts w:asciiTheme="minorHAnsi" w:hAnsiTheme="minorHAnsi" w:cstheme="minorHAnsi"/>
          <w:sz w:val="24"/>
          <w:szCs w:val="24"/>
        </w:rPr>
        <w:t xml:space="preserve">actors, the Parliamentary Recruiting Committee </w:t>
      </w:r>
      <w:r w:rsidR="00FB2F26" w:rsidRPr="00361D8E">
        <w:rPr>
          <w:rFonts w:asciiTheme="minorHAnsi" w:hAnsiTheme="minorHAnsi" w:cstheme="minorHAnsi"/>
          <w:sz w:val="24"/>
          <w:szCs w:val="24"/>
        </w:rPr>
        <w:t xml:space="preserve">appeared to </w:t>
      </w:r>
      <w:r w:rsidR="00122954" w:rsidRPr="00361D8E">
        <w:rPr>
          <w:rFonts w:asciiTheme="minorHAnsi" w:hAnsiTheme="minorHAnsi" w:cstheme="minorHAnsi"/>
          <w:sz w:val="24"/>
          <w:szCs w:val="24"/>
        </w:rPr>
        <w:t>reflect</w:t>
      </w:r>
      <w:r w:rsidR="00FB2F26" w:rsidRPr="00361D8E">
        <w:rPr>
          <w:rFonts w:asciiTheme="minorHAnsi" w:hAnsiTheme="minorHAnsi" w:cstheme="minorHAnsi"/>
          <w:sz w:val="24"/>
          <w:szCs w:val="24"/>
        </w:rPr>
        <w:t xml:space="preserve"> </w:t>
      </w:r>
      <w:r w:rsidR="00F44303" w:rsidRPr="00361D8E">
        <w:rPr>
          <w:rFonts w:asciiTheme="minorHAnsi" w:hAnsiTheme="minorHAnsi" w:cstheme="minorHAnsi"/>
          <w:sz w:val="24"/>
          <w:szCs w:val="24"/>
        </w:rPr>
        <w:t>the</w:t>
      </w:r>
      <w:r w:rsidR="00376E74" w:rsidRPr="00361D8E">
        <w:rPr>
          <w:rFonts w:asciiTheme="minorHAnsi" w:hAnsiTheme="minorHAnsi" w:cstheme="minorHAnsi"/>
          <w:sz w:val="24"/>
          <w:szCs w:val="24"/>
        </w:rPr>
        <w:t xml:space="preserve"> </w:t>
      </w:r>
      <w:r w:rsidR="0001477B" w:rsidRPr="00361D8E">
        <w:rPr>
          <w:rFonts w:asciiTheme="minorHAnsi" w:hAnsiTheme="minorHAnsi" w:cstheme="minorHAnsi"/>
          <w:sz w:val="24"/>
          <w:szCs w:val="24"/>
        </w:rPr>
        <w:t xml:space="preserve">main </w:t>
      </w:r>
      <w:r w:rsidR="00376E74" w:rsidRPr="00361D8E">
        <w:rPr>
          <w:rFonts w:asciiTheme="minorHAnsi" w:hAnsiTheme="minorHAnsi" w:cstheme="minorHAnsi"/>
          <w:sz w:val="24"/>
          <w:szCs w:val="24"/>
        </w:rPr>
        <w:t xml:space="preserve">influences on the development of public relations </w:t>
      </w:r>
      <w:r w:rsidR="0001477B" w:rsidRPr="00361D8E">
        <w:rPr>
          <w:rFonts w:asciiTheme="minorHAnsi" w:hAnsiTheme="minorHAnsi" w:cstheme="minorHAnsi"/>
          <w:sz w:val="24"/>
          <w:szCs w:val="24"/>
        </w:rPr>
        <w:t xml:space="preserve">more broadly </w:t>
      </w:r>
      <w:r w:rsidR="00376E74" w:rsidRPr="00361D8E">
        <w:rPr>
          <w:rFonts w:asciiTheme="minorHAnsi" w:hAnsiTheme="minorHAnsi" w:cstheme="minorHAnsi"/>
          <w:sz w:val="24"/>
          <w:szCs w:val="24"/>
        </w:rPr>
        <w:t xml:space="preserve">in Britain </w:t>
      </w:r>
      <w:r w:rsidR="0001477B" w:rsidRPr="00361D8E">
        <w:rPr>
          <w:rFonts w:asciiTheme="minorHAnsi" w:hAnsiTheme="minorHAnsi" w:cstheme="minorHAnsi"/>
          <w:sz w:val="24"/>
          <w:szCs w:val="24"/>
        </w:rPr>
        <w:t xml:space="preserve">(see </w:t>
      </w:r>
      <w:r w:rsidR="00376E74" w:rsidRPr="00361D8E">
        <w:rPr>
          <w:rFonts w:asciiTheme="minorHAnsi" w:hAnsiTheme="minorHAnsi" w:cstheme="minorHAnsi"/>
          <w:sz w:val="24"/>
          <w:szCs w:val="24"/>
        </w:rPr>
        <w:t>L’Etang</w:t>
      </w:r>
      <w:r w:rsidR="0001477B" w:rsidRPr="00361D8E">
        <w:rPr>
          <w:rFonts w:asciiTheme="minorHAnsi" w:hAnsiTheme="minorHAnsi" w:cstheme="minorHAnsi"/>
          <w:sz w:val="24"/>
          <w:szCs w:val="24"/>
        </w:rPr>
        <w:t xml:space="preserve">, </w:t>
      </w:r>
      <w:r w:rsidR="00376E74" w:rsidRPr="00361D8E">
        <w:rPr>
          <w:rFonts w:asciiTheme="minorHAnsi" w:hAnsiTheme="minorHAnsi" w:cstheme="minorHAnsi"/>
          <w:sz w:val="24"/>
          <w:szCs w:val="24"/>
        </w:rPr>
        <w:t>199</w:t>
      </w:r>
      <w:r w:rsidR="00FE233D" w:rsidRPr="00361D8E">
        <w:rPr>
          <w:rFonts w:asciiTheme="minorHAnsi" w:hAnsiTheme="minorHAnsi" w:cstheme="minorHAnsi"/>
          <w:sz w:val="24"/>
          <w:szCs w:val="24"/>
        </w:rPr>
        <w:t>8</w:t>
      </w:r>
      <w:r w:rsidR="00376E74" w:rsidRPr="00361D8E">
        <w:rPr>
          <w:rFonts w:asciiTheme="minorHAnsi" w:hAnsiTheme="minorHAnsi" w:cstheme="minorHAnsi"/>
          <w:sz w:val="24"/>
          <w:szCs w:val="24"/>
        </w:rPr>
        <w:t>, 2006, 2013). Though</w:t>
      </w:r>
      <w:r w:rsidR="00FC291E">
        <w:rPr>
          <w:rFonts w:asciiTheme="minorHAnsi" w:hAnsiTheme="minorHAnsi" w:cstheme="minorHAnsi"/>
          <w:sz w:val="24"/>
          <w:szCs w:val="24"/>
        </w:rPr>
        <w:t xml:space="preserve"> </w:t>
      </w:r>
      <w:r w:rsidR="00FC291E" w:rsidRPr="00FC291E">
        <w:rPr>
          <w:rFonts w:asciiTheme="minorHAnsi" w:hAnsiTheme="minorHAnsi" w:cstheme="minorHAnsi"/>
          <w:color w:val="C00000"/>
          <w:sz w:val="24"/>
          <w:szCs w:val="24"/>
        </w:rPr>
        <w:t xml:space="preserve">accounts of the Committee </w:t>
      </w:r>
      <w:r w:rsidR="00FC291E">
        <w:rPr>
          <w:rFonts w:asciiTheme="minorHAnsi" w:hAnsiTheme="minorHAnsi" w:cstheme="minorHAnsi"/>
          <w:sz w:val="24"/>
          <w:szCs w:val="24"/>
        </w:rPr>
        <w:t xml:space="preserve">have </w:t>
      </w:r>
      <w:r w:rsidR="004548FE" w:rsidRPr="004548FE">
        <w:rPr>
          <w:rFonts w:asciiTheme="minorHAnsi" w:hAnsiTheme="minorHAnsi" w:cstheme="minorHAnsi"/>
          <w:color w:val="FF0000"/>
          <w:sz w:val="24"/>
          <w:szCs w:val="24"/>
        </w:rPr>
        <w:t>often</w:t>
      </w:r>
      <w:r w:rsidR="00376E74" w:rsidRPr="004548FE">
        <w:rPr>
          <w:rFonts w:asciiTheme="minorHAnsi" w:hAnsiTheme="minorHAnsi" w:cstheme="minorHAnsi"/>
          <w:color w:val="FF0000"/>
          <w:sz w:val="24"/>
          <w:szCs w:val="24"/>
        </w:rPr>
        <w:t xml:space="preserve"> </w:t>
      </w:r>
      <w:r w:rsidR="00FC291E" w:rsidRPr="004548FE">
        <w:rPr>
          <w:rFonts w:asciiTheme="minorHAnsi" w:hAnsiTheme="minorHAnsi" w:cstheme="minorHAnsi"/>
          <w:color w:val="FF0000"/>
          <w:sz w:val="24"/>
          <w:szCs w:val="24"/>
        </w:rPr>
        <w:t>portray</w:t>
      </w:r>
      <w:r w:rsidR="004548FE" w:rsidRPr="004548FE">
        <w:rPr>
          <w:rFonts w:asciiTheme="minorHAnsi" w:hAnsiTheme="minorHAnsi" w:cstheme="minorHAnsi"/>
          <w:color w:val="FF0000"/>
          <w:sz w:val="24"/>
          <w:szCs w:val="24"/>
        </w:rPr>
        <w:t>ed</w:t>
      </w:r>
      <w:r w:rsidR="0049708E" w:rsidRPr="00361D8E">
        <w:rPr>
          <w:rFonts w:asciiTheme="minorHAnsi" w:hAnsiTheme="minorHAnsi" w:cstheme="minorHAnsi"/>
          <w:sz w:val="24"/>
          <w:szCs w:val="24"/>
        </w:rPr>
        <w:t xml:space="preserve"> it</w:t>
      </w:r>
      <w:r w:rsidR="00376E74" w:rsidRPr="00361D8E">
        <w:rPr>
          <w:rFonts w:asciiTheme="minorHAnsi" w:hAnsiTheme="minorHAnsi" w:cstheme="minorHAnsi"/>
          <w:sz w:val="24"/>
          <w:szCs w:val="24"/>
        </w:rPr>
        <w:t xml:space="preserve"> as a purveyor of </w:t>
      </w:r>
      <w:r w:rsidR="003F4714">
        <w:rPr>
          <w:rFonts w:asciiTheme="minorHAnsi" w:hAnsiTheme="minorHAnsi" w:cstheme="minorHAnsi"/>
          <w:sz w:val="24"/>
          <w:szCs w:val="24"/>
        </w:rPr>
        <w:t xml:space="preserve">crude </w:t>
      </w:r>
      <w:r w:rsidR="00376E74" w:rsidRPr="00361D8E">
        <w:rPr>
          <w:rFonts w:asciiTheme="minorHAnsi" w:hAnsiTheme="minorHAnsi" w:cstheme="minorHAnsi"/>
          <w:sz w:val="24"/>
          <w:szCs w:val="24"/>
        </w:rPr>
        <w:t>propaganda</w:t>
      </w:r>
      <w:r w:rsidR="003F4714">
        <w:rPr>
          <w:rFonts w:asciiTheme="minorHAnsi" w:hAnsiTheme="minorHAnsi" w:cstheme="minorHAnsi"/>
          <w:sz w:val="24"/>
          <w:szCs w:val="24"/>
        </w:rPr>
        <w:t xml:space="preserve"> </w:t>
      </w:r>
      <w:r w:rsidR="003F4714" w:rsidRPr="003F4714">
        <w:rPr>
          <w:rFonts w:asciiTheme="minorHAnsi" w:hAnsiTheme="minorHAnsi" w:cstheme="minorHAnsi"/>
          <w:color w:val="FF0000"/>
          <w:sz w:val="24"/>
          <w:szCs w:val="24"/>
        </w:rPr>
        <w:t>(see, for example, Hiley, 1997)</w:t>
      </w:r>
      <w:r w:rsidR="00FC291E">
        <w:rPr>
          <w:rFonts w:asciiTheme="minorHAnsi" w:hAnsiTheme="minorHAnsi" w:cstheme="minorHAnsi"/>
          <w:sz w:val="24"/>
          <w:szCs w:val="24"/>
        </w:rPr>
        <w:t>,</w:t>
      </w:r>
      <w:r w:rsidR="00AE7FBE">
        <w:rPr>
          <w:rFonts w:asciiTheme="minorHAnsi" w:hAnsiTheme="minorHAnsi" w:cstheme="minorHAnsi"/>
          <w:sz w:val="24"/>
          <w:szCs w:val="24"/>
        </w:rPr>
        <w:t xml:space="preserve"> </w:t>
      </w:r>
      <w:r w:rsidR="00FD16AE" w:rsidRPr="00361D8E">
        <w:rPr>
          <w:rFonts w:asciiTheme="minorHAnsi" w:hAnsiTheme="minorHAnsi" w:cstheme="minorHAnsi"/>
          <w:sz w:val="24"/>
          <w:szCs w:val="24"/>
        </w:rPr>
        <w:t>parts of its work were</w:t>
      </w:r>
      <w:r w:rsidR="00122954" w:rsidRPr="00361D8E">
        <w:rPr>
          <w:rFonts w:asciiTheme="minorHAnsi" w:hAnsiTheme="minorHAnsi" w:cstheme="minorHAnsi"/>
          <w:sz w:val="24"/>
          <w:szCs w:val="24"/>
        </w:rPr>
        <w:t xml:space="preserve"> more closely aligned to the modern disciplines of </w:t>
      </w:r>
      <w:r w:rsidR="0049708E" w:rsidRPr="00361D8E">
        <w:rPr>
          <w:rFonts w:asciiTheme="minorHAnsi" w:hAnsiTheme="minorHAnsi" w:cstheme="minorHAnsi"/>
          <w:sz w:val="24"/>
          <w:szCs w:val="24"/>
        </w:rPr>
        <w:t>media relations</w:t>
      </w:r>
      <w:r w:rsidR="00122954" w:rsidRPr="00361D8E">
        <w:rPr>
          <w:rFonts w:asciiTheme="minorHAnsi" w:hAnsiTheme="minorHAnsi" w:cstheme="minorHAnsi"/>
          <w:sz w:val="24"/>
          <w:szCs w:val="24"/>
        </w:rPr>
        <w:t xml:space="preserve"> and reputation management.</w:t>
      </w:r>
      <w:r w:rsidR="003F4714" w:rsidRPr="00773325">
        <w:rPr>
          <w:rStyle w:val="EndnoteReference"/>
          <w:rFonts w:asciiTheme="minorHAnsi" w:hAnsiTheme="minorHAnsi" w:cstheme="minorHAnsi"/>
          <w:color w:val="C00000"/>
          <w:sz w:val="24"/>
          <w:szCs w:val="24"/>
        </w:rPr>
        <w:endnoteReference w:id="4"/>
      </w:r>
      <w:r w:rsidR="00122954" w:rsidRPr="00361D8E">
        <w:rPr>
          <w:rFonts w:asciiTheme="minorHAnsi" w:hAnsiTheme="minorHAnsi" w:cstheme="minorHAnsi"/>
          <w:sz w:val="24"/>
          <w:szCs w:val="24"/>
        </w:rPr>
        <w:t xml:space="preserve"> </w:t>
      </w:r>
      <w:r w:rsidR="0096120B" w:rsidRPr="00361D8E">
        <w:rPr>
          <w:rFonts w:asciiTheme="minorHAnsi" w:hAnsiTheme="minorHAnsi" w:cstheme="minorHAnsi"/>
          <w:sz w:val="24"/>
          <w:szCs w:val="24"/>
        </w:rPr>
        <w:t>Envisaged as a ‘channel for a full expression of [political and social] harmony’ in Britain (WO</w:t>
      </w:r>
      <w:r w:rsidR="005F3244">
        <w:rPr>
          <w:rFonts w:asciiTheme="minorHAnsi" w:hAnsiTheme="minorHAnsi" w:cstheme="minorHAnsi"/>
          <w:sz w:val="24"/>
          <w:szCs w:val="24"/>
        </w:rPr>
        <w:t xml:space="preserve"> </w:t>
      </w:r>
      <w:r w:rsidR="0096120B" w:rsidRPr="00361D8E">
        <w:rPr>
          <w:rFonts w:asciiTheme="minorHAnsi" w:hAnsiTheme="minorHAnsi" w:cstheme="minorHAnsi"/>
          <w:sz w:val="24"/>
          <w:szCs w:val="24"/>
        </w:rPr>
        <w:t xml:space="preserve">106/367: A), the Committee was demonstrably concerned with improving relationships between the War Office, </w:t>
      </w:r>
      <w:r w:rsidR="0096120B" w:rsidRPr="00773325">
        <w:rPr>
          <w:rFonts w:asciiTheme="minorHAnsi" w:hAnsiTheme="minorHAnsi" w:cstheme="minorHAnsi"/>
          <w:color w:val="C00000"/>
          <w:sz w:val="24"/>
          <w:szCs w:val="24"/>
        </w:rPr>
        <w:t xml:space="preserve">regional </w:t>
      </w:r>
      <w:r w:rsidR="0096120B" w:rsidRPr="00361D8E">
        <w:rPr>
          <w:rFonts w:asciiTheme="minorHAnsi" w:hAnsiTheme="minorHAnsi" w:cstheme="minorHAnsi"/>
          <w:sz w:val="24"/>
          <w:szCs w:val="24"/>
        </w:rPr>
        <w:t>recruiting authorities and the general public</w:t>
      </w:r>
      <w:r w:rsidR="00340896" w:rsidRPr="00340896">
        <w:rPr>
          <w:rFonts w:asciiTheme="minorHAnsi" w:hAnsiTheme="minorHAnsi" w:cstheme="minorHAnsi"/>
          <w:color w:val="C00000"/>
          <w:sz w:val="24"/>
          <w:szCs w:val="24"/>
        </w:rPr>
        <w:t xml:space="preserve">. </w:t>
      </w:r>
      <w:r w:rsidR="003F4714">
        <w:rPr>
          <w:rFonts w:asciiTheme="minorHAnsi" w:hAnsiTheme="minorHAnsi" w:cstheme="minorHAnsi"/>
          <w:color w:val="C00000"/>
          <w:sz w:val="24"/>
          <w:szCs w:val="24"/>
        </w:rPr>
        <w:t>With</w:t>
      </w:r>
      <w:r w:rsidR="0096120B" w:rsidRPr="00340896">
        <w:rPr>
          <w:rFonts w:asciiTheme="minorHAnsi" w:hAnsiTheme="minorHAnsi" w:cstheme="minorHAnsi"/>
          <w:color w:val="C00000"/>
          <w:sz w:val="24"/>
          <w:szCs w:val="24"/>
        </w:rPr>
        <w:t xml:space="preserve"> </w:t>
      </w:r>
      <w:r w:rsidR="0096120B" w:rsidRPr="0096120B">
        <w:rPr>
          <w:rFonts w:asciiTheme="minorHAnsi" w:hAnsiTheme="minorHAnsi" w:cstheme="minorHAnsi"/>
          <w:color w:val="C00000"/>
          <w:sz w:val="24"/>
          <w:szCs w:val="24"/>
        </w:rPr>
        <w:t xml:space="preserve">instructions </w:t>
      </w:r>
      <w:r w:rsidR="0096120B" w:rsidRPr="0096120B">
        <w:rPr>
          <w:rFonts w:asciiTheme="minorHAnsi" w:hAnsiTheme="minorHAnsi" w:cstheme="minorHAnsi"/>
          <w:color w:val="000000" w:themeColor="text1"/>
          <w:sz w:val="24"/>
          <w:szCs w:val="24"/>
        </w:rPr>
        <w:t xml:space="preserve">to </w:t>
      </w:r>
      <w:r w:rsidR="0096120B" w:rsidRPr="00361D8E">
        <w:rPr>
          <w:rFonts w:asciiTheme="minorHAnsi" w:hAnsiTheme="minorHAnsi" w:cstheme="minorHAnsi"/>
          <w:sz w:val="24"/>
          <w:szCs w:val="24"/>
        </w:rPr>
        <w:t xml:space="preserve">‘keep closely in touch with the chief industries of </w:t>
      </w:r>
      <w:proofErr w:type="gramStart"/>
      <w:r w:rsidR="0096120B" w:rsidRPr="00361D8E">
        <w:rPr>
          <w:rFonts w:asciiTheme="minorHAnsi" w:hAnsiTheme="minorHAnsi" w:cstheme="minorHAnsi"/>
          <w:sz w:val="24"/>
          <w:szCs w:val="24"/>
        </w:rPr>
        <w:t>the</w:t>
      </w:r>
      <w:r w:rsidR="0096120B" w:rsidRPr="002C5117">
        <w:rPr>
          <w:rFonts w:asciiTheme="minorHAnsi" w:hAnsiTheme="minorHAnsi" w:cstheme="minorHAnsi"/>
          <w:color w:val="C00000"/>
          <w:sz w:val="24"/>
          <w:szCs w:val="24"/>
        </w:rPr>
        <w:t>[</w:t>
      </w:r>
      <w:proofErr w:type="spellStart"/>
      <w:proofErr w:type="gramEnd"/>
      <w:r w:rsidR="0096120B" w:rsidRPr="002C5117">
        <w:rPr>
          <w:rFonts w:asciiTheme="minorHAnsi" w:hAnsiTheme="minorHAnsi" w:cstheme="minorHAnsi"/>
          <w:color w:val="C00000"/>
          <w:sz w:val="24"/>
          <w:szCs w:val="24"/>
        </w:rPr>
        <w:t>ir</w:t>
      </w:r>
      <w:proofErr w:type="spellEnd"/>
      <w:r w:rsidR="0096120B" w:rsidRPr="002C5117">
        <w:rPr>
          <w:rFonts w:asciiTheme="minorHAnsi" w:hAnsiTheme="minorHAnsi" w:cstheme="minorHAnsi"/>
          <w:color w:val="C00000"/>
          <w:sz w:val="24"/>
          <w:szCs w:val="24"/>
        </w:rPr>
        <w:t>]</w:t>
      </w:r>
      <w:r w:rsidR="0096120B" w:rsidRPr="00361D8E">
        <w:rPr>
          <w:rFonts w:asciiTheme="minorHAnsi" w:hAnsiTheme="minorHAnsi" w:cstheme="minorHAnsi"/>
          <w:sz w:val="24"/>
          <w:szCs w:val="24"/>
        </w:rPr>
        <w:t xml:space="preserve"> locality’, </w:t>
      </w:r>
      <w:r w:rsidR="00340896" w:rsidRPr="00340896">
        <w:rPr>
          <w:rFonts w:asciiTheme="minorHAnsi" w:hAnsiTheme="minorHAnsi" w:cstheme="minorHAnsi"/>
          <w:color w:val="C00000"/>
          <w:sz w:val="24"/>
          <w:szCs w:val="24"/>
        </w:rPr>
        <w:t>recruiters were urged to</w:t>
      </w:r>
      <w:r w:rsidR="00340896">
        <w:rPr>
          <w:rFonts w:asciiTheme="minorHAnsi" w:hAnsiTheme="minorHAnsi" w:cstheme="minorHAnsi"/>
          <w:sz w:val="24"/>
          <w:szCs w:val="24"/>
        </w:rPr>
        <w:t xml:space="preserve"> </w:t>
      </w:r>
      <w:r w:rsidR="0096120B" w:rsidRPr="00361D8E">
        <w:rPr>
          <w:rFonts w:asciiTheme="minorHAnsi" w:hAnsiTheme="minorHAnsi" w:cstheme="minorHAnsi"/>
          <w:sz w:val="24"/>
          <w:szCs w:val="24"/>
        </w:rPr>
        <w:t>seek support from ‘representatives of industry’ to encourage men to relinquish civilian posts</w:t>
      </w:r>
      <w:r w:rsidR="0096120B" w:rsidRPr="0096120B">
        <w:rPr>
          <w:rFonts w:asciiTheme="minorHAnsi" w:hAnsiTheme="minorHAnsi" w:cstheme="minorHAnsi"/>
          <w:sz w:val="24"/>
          <w:szCs w:val="24"/>
        </w:rPr>
        <w:t xml:space="preserve"> in favour of </w:t>
      </w:r>
      <w:r w:rsidR="0096120B" w:rsidRPr="00361D8E">
        <w:rPr>
          <w:rFonts w:asciiTheme="minorHAnsi" w:hAnsiTheme="minorHAnsi" w:cstheme="minorHAnsi"/>
          <w:sz w:val="24"/>
          <w:szCs w:val="24"/>
        </w:rPr>
        <w:t xml:space="preserve">military </w:t>
      </w:r>
      <w:r w:rsidR="003F4714">
        <w:rPr>
          <w:rFonts w:asciiTheme="minorHAnsi" w:hAnsiTheme="minorHAnsi" w:cstheme="minorHAnsi"/>
          <w:sz w:val="24"/>
          <w:szCs w:val="24"/>
        </w:rPr>
        <w:t>service</w:t>
      </w:r>
      <w:r w:rsidR="001648C2">
        <w:rPr>
          <w:rFonts w:asciiTheme="minorHAnsi" w:hAnsiTheme="minorHAnsi" w:cstheme="minorHAnsi"/>
          <w:sz w:val="24"/>
          <w:szCs w:val="24"/>
        </w:rPr>
        <w:t>,</w:t>
      </w:r>
      <w:r w:rsidR="0096120B" w:rsidRPr="00361D8E">
        <w:rPr>
          <w:rFonts w:asciiTheme="minorHAnsi" w:hAnsiTheme="minorHAnsi" w:cstheme="minorHAnsi"/>
          <w:sz w:val="24"/>
          <w:szCs w:val="24"/>
        </w:rPr>
        <w:t xml:space="preserve"> and </w:t>
      </w:r>
      <w:r w:rsidR="00340896" w:rsidRPr="00340896">
        <w:rPr>
          <w:rFonts w:asciiTheme="minorHAnsi" w:hAnsiTheme="minorHAnsi" w:cstheme="minorHAnsi"/>
          <w:color w:val="C00000"/>
          <w:sz w:val="24"/>
          <w:szCs w:val="24"/>
        </w:rPr>
        <w:t xml:space="preserve">to </w:t>
      </w:r>
      <w:r w:rsidR="0096120B" w:rsidRPr="00361D8E">
        <w:rPr>
          <w:rFonts w:asciiTheme="minorHAnsi" w:hAnsiTheme="minorHAnsi" w:cstheme="minorHAnsi"/>
          <w:sz w:val="24"/>
          <w:szCs w:val="24"/>
        </w:rPr>
        <w:t>make productive use of the</w:t>
      </w:r>
      <w:r w:rsidR="0096120B">
        <w:rPr>
          <w:rFonts w:asciiTheme="minorHAnsi" w:hAnsiTheme="minorHAnsi" w:cstheme="minorHAnsi"/>
          <w:sz w:val="24"/>
          <w:szCs w:val="24"/>
        </w:rPr>
        <w:t xml:space="preserve"> </w:t>
      </w:r>
      <w:r w:rsidR="0096120B" w:rsidRPr="00361D8E">
        <w:rPr>
          <w:rFonts w:asciiTheme="minorHAnsi" w:hAnsiTheme="minorHAnsi" w:cstheme="minorHAnsi"/>
          <w:sz w:val="24"/>
          <w:szCs w:val="24"/>
        </w:rPr>
        <w:t>media while doing so (WO</w:t>
      </w:r>
      <w:r w:rsidR="005F3244">
        <w:rPr>
          <w:rFonts w:asciiTheme="minorHAnsi" w:hAnsiTheme="minorHAnsi" w:cstheme="minorHAnsi"/>
          <w:sz w:val="24"/>
          <w:szCs w:val="24"/>
        </w:rPr>
        <w:t xml:space="preserve"> </w:t>
      </w:r>
      <w:r w:rsidR="0096120B" w:rsidRPr="00361D8E">
        <w:rPr>
          <w:rFonts w:asciiTheme="minorHAnsi" w:hAnsiTheme="minorHAnsi" w:cstheme="minorHAnsi"/>
          <w:sz w:val="24"/>
          <w:szCs w:val="24"/>
        </w:rPr>
        <w:t>106/366: 24 November 1915 and 18 December 1915).</w:t>
      </w:r>
      <w:r w:rsidR="0096120B">
        <w:rPr>
          <w:rFonts w:asciiTheme="minorHAnsi" w:hAnsiTheme="minorHAnsi" w:cstheme="minorHAnsi"/>
          <w:sz w:val="24"/>
          <w:szCs w:val="24"/>
        </w:rPr>
        <w:t xml:space="preserve"> </w:t>
      </w:r>
      <w:r w:rsidR="0096120B" w:rsidRPr="00361D8E">
        <w:rPr>
          <w:rFonts w:asciiTheme="minorHAnsi" w:hAnsiTheme="minorHAnsi" w:cstheme="minorHAnsi"/>
          <w:sz w:val="24"/>
          <w:szCs w:val="24"/>
        </w:rPr>
        <w:t xml:space="preserve">How they sought to achieve this, and what challenges they faced </w:t>
      </w:r>
      <w:r w:rsidR="003F4714" w:rsidRPr="003F4714">
        <w:rPr>
          <w:rFonts w:asciiTheme="minorHAnsi" w:hAnsiTheme="minorHAnsi" w:cstheme="minorHAnsi"/>
          <w:color w:val="FF0000"/>
          <w:sz w:val="24"/>
          <w:szCs w:val="24"/>
        </w:rPr>
        <w:t xml:space="preserve">while </w:t>
      </w:r>
      <w:r w:rsidR="00773325" w:rsidRPr="003F4714">
        <w:rPr>
          <w:rFonts w:asciiTheme="minorHAnsi" w:hAnsiTheme="minorHAnsi" w:cstheme="minorHAnsi"/>
          <w:color w:val="FF0000"/>
          <w:sz w:val="24"/>
          <w:szCs w:val="24"/>
        </w:rPr>
        <w:t>or</w:t>
      </w:r>
      <w:r w:rsidR="00773325" w:rsidRPr="00773325">
        <w:rPr>
          <w:rFonts w:asciiTheme="minorHAnsi" w:hAnsiTheme="minorHAnsi" w:cstheme="minorHAnsi"/>
          <w:color w:val="C00000"/>
          <w:sz w:val="24"/>
          <w:szCs w:val="24"/>
        </w:rPr>
        <w:t xml:space="preserve">ganising </w:t>
      </w:r>
      <w:r w:rsidR="003F4714">
        <w:rPr>
          <w:rFonts w:asciiTheme="minorHAnsi" w:hAnsiTheme="minorHAnsi" w:cstheme="minorHAnsi"/>
          <w:color w:val="C00000"/>
          <w:sz w:val="24"/>
          <w:szCs w:val="24"/>
        </w:rPr>
        <w:t>the</w:t>
      </w:r>
      <w:r w:rsidR="00773325">
        <w:rPr>
          <w:rFonts w:asciiTheme="minorHAnsi" w:hAnsiTheme="minorHAnsi" w:cstheme="minorHAnsi"/>
          <w:color w:val="C00000"/>
          <w:sz w:val="24"/>
          <w:szCs w:val="24"/>
        </w:rPr>
        <w:t xml:space="preserve"> </w:t>
      </w:r>
      <w:r w:rsidR="001648C2">
        <w:rPr>
          <w:rFonts w:asciiTheme="minorHAnsi" w:hAnsiTheme="minorHAnsi" w:cstheme="minorHAnsi"/>
          <w:color w:val="C00000"/>
          <w:sz w:val="24"/>
          <w:szCs w:val="24"/>
        </w:rPr>
        <w:t>campaign</w:t>
      </w:r>
      <w:r w:rsidR="0096120B" w:rsidRPr="00361D8E">
        <w:rPr>
          <w:rFonts w:asciiTheme="minorHAnsi" w:hAnsiTheme="minorHAnsi" w:cstheme="minorHAnsi"/>
          <w:sz w:val="24"/>
          <w:szCs w:val="24"/>
        </w:rPr>
        <w:t>, will be the subject</w:t>
      </w:r>
      <w:r w:rsidR="0096120B">
        <w:rPr>
          <w:rFonts w:asciiTheme="minorHAnsi" w:hAnsiTheme="minorHAnsi" w:cstheme="minorHAnsi"/>
          <w:sz w:val="24"/>
          <w:szCs w:val="24"/>
        </w:rPr>
        <w:t xml:space="preserve"> of the remainder of this paper. </w:t>
      </w:r>
      <w:r w:rsidR="0096120B" w:rsidRPr="00361D8E">
        <w:rPr>
          <w:rFonts w:asciiTheme="minorHAnsi" w:hAnsiTheme="minorHAnsi" w:cstheme="minorHAnsi"/>
          <w:sz w:val="24"/>
          <w:szCs w:val="24"/>
        </w:rPr>
        <w:t xml:space="preserve"> </w:t>
      </w:r>
    </w:p>
    <w:p w:rsidR="00F44303" w:rsidRPr="00361D8E" w:rsidRDefault="00F44303" w:rsidP="00F44303">
      <w:pPr>
        <w:spacing w:before="240" w:after="0" w:line="360" w:lineRule="auto"/>
        <w:jc w:val="both"/>
        <w:rPr>
          <w:rFonts w:asciiTheme="minorHAnsi" w:hAnsiTheme="minorHAnsi" w:cstheme="minorHAnsi"/>
          <w:b/>
          <w:sz w:val="28"/>
          <w:szCs w:val="24"/>
        </w:rPr>
      </w:pPr>
      <w:r w:rsidRPr="00361D8E">
        <w:rPr>
          <w:rFonts w:asciiTheme="minorHAnsi" w:hAnsiTheme="minorHAnsi" w:cstheme="minorHAnsi"/>
          <w:b/>
          <w:sz w:val="28"/>
          <w:szCs w:val="24"/>
        </w:rPr>
        <w:t xml:space="preserve">Selling the Services: Public Relations and Military Recruitment </w:t>
      </w:r>
    </w:p>
    <w:p w:rsidR="00F44303" w:rsidRPr="00361D8E" w:rsidRDefault="00F44303" w:rsidP="00F44303">
      <w:pPr>
        <w:spacing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 xml:space="preserve">In a letter to the British Museum sent some years after the war, Davies claimed that the Parliamentary Recruiting Committee represented a ‘remarkable and spontaneous display of British patriotism at a time of extreme peril to the nation’ (cited in Dutton, 1989: 45). A different picture emerges in files held in the National Archives which portray the Committee as a meticulously planned and well-organised institution whose </w:t>
      </w:r>
      <w:r w:rsidRPr="00361D8E">
        <w:rPr>
          <w:rFonts w:asciiTheme="minorHAnsi" w:hAnsiTheme="minorHAnsi" w:cstheme="minorHAnsi"/>
          <w:i/>
          <w:sz w:val="24"/>
          <w:szCs w:val="24"/>
        </w:rPr>
        <w:t>raison d'être</w:t>
      </w:r>
      <w:r w:rsidRPr="00361D8E">
        <w:rPr>
          <w:rFonts w:asciiTheme="minorHAnsi" w:hAnsiTheme="minorHAnsi" w:cstheme="minorHAnsi"/>
          <w:sz w:val="24"/>
          <w:szCs w:val="24"/>
        </w:rPr>
        <w:t xml:space="preserve"> of boosting recruitment to the armed forces rested on an ability to create and sustain the very patriotism Davies mentioned. As its Clerk, Davies had been privy to the gradual evolution of the Committee from the preliminary meetings held in August 1914 to its demise in 1916, and he claimed in a summary recorded in official files that its work began slowly rather than with rapidity and haste. </w:t>
      </w:r>
    </w:p>
    <w:p w:rsidR="00F44303" w:rsidRPr="00361D8E" w:rsidRDefault="00F44303" w:rsidP="00F44303">
      <w:pPr>
        <w:spacing w:before="120" w:after="240" w:line="276" w:lineRule="auto"/>
        <w:ind w:left="720"/>
        <w:jc w:val="both"/>
        <w:rPr>
          <w:rFonts w:asciiTheme="minorHAnsi" w:hAnsiTheme="minorHAnsi" w:cstheme="minorHAnsi"/>
          <w:sz w:val="24"/>
          <w:szCs w:val="24"/>
        </w:rPr>
      </w:pPr>
      <w:r w:rsidRPr="00361D8E">
        <w:rPr>
          <w:rFonts w:asciiTheme="minorHAnsi" w:hAnsiTheme="minorHAnsi" w:cstheme="minorHAnsi"/>
          <w:sz w:val="24"/>
          <w:szCs w:val="24"/>
        </w:rPr>
        <w:t xml:space="preserve">Owing the brisk recruiting that [was] obtained in the early days of the War, the Committee for the time being adjusted its efforts to the local demands and refrained from initiating forthwith any special plan of campaign. Working on this modest basis, the Committee, during the first two months of its existence, </w:t>
      </w:r>
      <w:r w:rsidRPr="00361D8E">
        <w:rPr>
          <w:rFonts w:asciiTheme="minorHAnsi" w:hAnsiTheme="minorHAnsi" w:cstheme="minorHAnsi"/>
          <w:sz w:val="24"/>
          <w:szCs w:val="24"/>
        </w:rPr>
        <w:lastRenderedPageBreak/>
        <w:t>arranged speakers for some 800 meetings, and distributed over four million leaflets in response to applications. (WO</w:t>
      </w:r>
      <w:r w:rsidR="005F3244">
        <w:rPr>
          <w:rFonts w:asciiTheme="minorHAnsi" w:hAnsiTheme="minorHAnsi" w:cstheme="minorHAnsi"/>
          <w:sz w:val="24"/>
          <w:szCs w:val="24"/>
        </w:rPr>
        <w:t xml:space="preserve"> </w:t>
      </w:r>
      <w:r w:rsidRPr="00361D8E">
        <w:rPr>
          <w:rFonts w:asciiTheme="minorHAnsi" w:hAnsiTheme="minorHAnsi" w:cstheme="minorHAnsi"/>
          <w:sz w:val="24"/>
          <w:szCs w:val="24"/>
        </w:rPr>
        <w:t xml:space="preserve">106/367: B)  </w:t>
      </w:r>
    </w:p>
    <w:p w:rsidR="00251691" w:rsidRPr="00361D8E" w:rsidRDefault="00F44303" w:rsidP="00F44303">
      <w:pPr>
        <w:spacing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That the organisation of 800 meetings and delivery of four million leaflets could be considered ‘modest’ is a measure of the scale of the Parliamentary Recruiting Committee’s work, and demonstrates why it has been credited with organising the largest advertising and public relations campaign in twentieth century Britain</w:t>
      </w:r>
      <w:r w:rsidR="00251691" w:rsidRPr="00361D8E">
        <w:rPr>
          <w:rFonts w:asciiTheme="minorHAnsi" w:hAnsiTheme="minorHAnsi" w:cstheme="minorHAnsi"/>
          <w:sz w:val="24"/>
          <w:szCs w:val="24"/>
        </w:rPr>
        <w:t xml:space="preserve"> (Winter, 1998: 216). </w:t>
      </w:r>
      <w:r w:rsidRPr="00361D8E">
        <w:rPr>
          <w:rFonts w:asciiTheme="minorHAnsi" w:hAnsiTheme="minorHAnsi" w:cstheme="minorHAnsi"/>
          <w:sz w:val="24"/>
          <w:szCs w:val="24"/>
        </w:rPr>
        <w:t xml:space="preserve">Yet it also </w:t>
      </w:r>
      <w:r w:rsidR="00251691" w:rsidRPr="00361D8E">
        <w:rPr>
          <w:rFonts w:asciiTheme="minorHAnsi" w:hAnsiTheme="minorHAnsi" w:cstheme="minorHAnsi"/>
          <w:sz w:val="24"/>
          <w:szCs w:val="24"/>
        </w:rPr>
        <w:t xml:space="preserve">provides an insight into the mindset and promotional </w:t>
      </w:r>
      <w:r w:rsidR="00251691" w:rsidRPr="00574091">
        <w:rPr>
          <w:rFonts w:asciiTheme="minorHAnsi" w:hAnsiTheme="minorHAnsi" w:cstheme="minorHAnsi"/>
          <w:color w:val="FF0000"/>
          <w:sz w:val="24"/>
          <w:szCs w:val="24"/>
        </w:rPr>
        <w:t>strateg</w:t>
      </w:r>
      <w:r w:rsidR="00574091" w:rsidRPr="00574091">
        <w:rPr>
          <w:rFonts w:asciiTheme="minorHAnsi" w:hAnsiTheme="minorHAnsi" w:cstheme="minorHAnsi"/>
          <w:color w:val="FF0000"/>
          <w:sz w:val="24"/>
          <w:szCs w:val="24"/>
        </w:rPr>
        <w:t>ies</w:t>
      </w:r>
      <w:r w:rsidR="00251691" w:rsidRPr="00361D8E">
        <w:rPr>
          <w:rFonts w:asciiTheme="minorHAnsi" w:hAnsiTheme="minorHAnsi" w:cstheme="minorHAnsi"/>
          <w:sz w:val="24"/>
          <w:szCs w:val="24"/>
        </w:rPr>
        <w:t xml:space="preserve"> of recruiters, who </w:t>
      </w:r>
      <w:r w:rsidR="00574091" w:rsidRPr="00574091">
        <w:rPr>
          <w:rFonts w:asciiTheme="minorHAnsi" w:hAnsiTheme="minorHAnsi" w:cstheme="minorHAnsi"/>
          <w:color w:val="FF0000"/>
          <w:sz w:val="24"/>
          <w:szCs w:val="24"/>
        </w:rPr>
        <w:t xml:space="preserve">appeared to </w:t>
      </w:r>
      <w:r w:rsidR="00251691" w:rsidRPr="00574091">
        <w:rPr>
          <w:rFonts w:asciiTheme="minorHAnsi" w:hAnsiTheme="minorHAnsi" w:cstheme="minorHAnsi"/>
          <w:color w:val="FF0000"/>
          <w:sz w:val="24"/>
          <w:szCs w:val="24"/>
        </w:rPr>
        <w:t>believe</w:t>
      </w:r>
      <w:r w:rsidR="00574091" w:rsidRPr="00574091">
        <w:rPr>
          <w:rFonts w:asciiTheme="minorHAnsi" w:hAnsiTheme="minorHAnsi" w:cstheme="minorHAnsi"/>
          <w:color w:val="FF0000"/>
          <w:sz w:val="24"/>
          <w:szCs w:val="24"/>
        </w:rPr>
        <w:t xml:space="preserve"> that</w:t>
      </w:r>
      <w:r w:rsidR="00251691" w:rsidRPr="00361D8E">
        <w:rPr>
          <w:rFonts w:asciiTheme="minorHAnsi" w:hAnsiTheme="minorHAnsi" w:cstheme="minorHAnsi"/>
          <w:sz w:val="24"/>
          <w:szCs w:val="24"/>
        </w:rPr>
        <w:t xml:space="preserve"> </w:t>
      </w:r>
      <w:r w:rsidR="00721E44" w:rsidRPr="00361D8E">
        <w:rPr>
          <w:rFonts w:asciiTheme="minorHAnsi" w:hAnsiTheme="minorHAnsi" w:cstheme="minorHAnsi"/>
          <w:sz w:val="24"/>
          <w:szCs w:val="24"/>
        </w:rPr>
        <w:t>the most effective way to convince men to join up was to bombard them with exhortations and appeals</w:t>
      </w:r>
      <w:r w:rsidRPr="00361D8E">
        <w:rPr>
          <w:rFonts w:asciiTheme="minorHAnsi" w:hAnsiTheme="minorHAnsi" w:cstheme="minorHAnsi"/>
          <w:sz w:val="24"/>
          <w:szCs w:val="24"/>
        </w:rPr>
        <w:t>.</w:t>
      </w:r>
    </w:p>
    <w:p w:rsidR="00190FF7" w:rsidRPr="00361D8E" w:rsidRDefault="00190FF7" w:rsidP="00190FF7">
      <w:pPr>
        <w:spacing w:before="120"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 xml:space="preserve">Here it is probably worth noting that the Parliamentary Recruiting Committee was not the first </w:t>
      </w:r>
      <w:r w:rsidR="00574091" w:rsidRPr="00574091">
        <w:rPr>
          <w:rFonts w:asciiTheme="minorHAnsi" w:hAnsiTheme="minorHAnsi" w:cstheme="minorHAnsi"/>
          <w:color w:val="FF0000"/>
          <w:sz w:val="24"/>
          <w:szCs w:val="24"/>
        </w:rPr>
        <w:t>government</w:t>
      </w:r>
      <w:r w:rsidRPr="00574091">
        <w:rPr>
          <w:rFonts w:asciiTheme="minorHAnsi" w:hAnsiTheme="minorHAnsi" w:cstheme="minorHAnsi"/>
          <w:color w:val="FF0000"/>
          <w:sz w:val="24"/>
          <w:szCs w:val="24"/>
        </w:rPr>
        <w:t xml:space="preserve"> </w:t>
      </w:r>
      <w:r w:rsidRPr="00361D8E">
        <w:rPr>
          <w:rFonts w:asciiTheme="minorHAnsi" w:hAnsiTheme="minorHAnsi" w:cstheme="minorHAnsi"/>
          <w:sz w:val="24"/>
          <w:szCs w:val="24"/>
        </w:rPr>
        <w:t xml:space="preserve">organisation to engage in </w:t>
      </w:r>
      <w:r w:rsidR="00FD7C61" w:rsidRPr="00361D8E">
        <w:rPr>
          <w:rFonts w:asciiTheme="minorHAnsi" w:hAnsiTheme="minorHAnsi" w:cstheme="minorHAnsi"/>
          <w:sz w:val="24"/>
          <w:szCs w:val="24"/>
        </w:rPr>
        <w:t>sustained promotional activities</w:t>
      </w:r>
      <w:r w:rsidRPr="00361D8E">
        <w:rPr>
          <w:rFonts w:asciiTheme="minorHAnsi" w:hAnsiTheme="minorHAnsi" w:cstheme="minorHAnsi"/>
          <w:sz w:val="24"/>
          <w:szCs w:val="24"/>
        </w:rPr>
        <w:t xml:space="preserve">. The Post Office, often regarded as a pioneer of </w:t>
      </w:r>
      <w:r w:rsidR="00574091" w:rsidRPr="00574091">
        <w:rPr>
          <w:rFonts w:asciiTheme="minorHAnsi" w:hAnsiTheme="minorHAnsi" w:cstheme="minorHAnsi"/>
          <w:color w:val="FF0000"/>
          <w:sz w:val="24"/>
          <w:szCs w:val="24"/>
        </w:rPr>
        <w:t>official</w:t>
      </w:r>
      <w:r w:rsidRPr="00574091">
        <w:rPr>
          <w:rFonts w:asciiTheme="minorHAnsi" w:hAnsiTheme="minorHAnsi" w:cstheme="minorHAnsi"/>
          <w:color w:val="FF0000"/>
          <w:sz w:val="24"/>
          <w:szCs w:val="24"/>
        </w:rPr>
        <w:t xml:space="preserve"> </w:t>
      </w:r>
      <w:r w:rsidRPr="00361D8E">
        <w:rPr>
          <w:rFonts w:asciiTheme="minorHAnsi" w:hAnsiTheme="minorHAnsi" w:cstheme="minorHAnsi"/>
          <w:sz w:val="24"/>
          <w:szCs w:val="24"/>
        </w:rPr>
        <w:t xml:space="preserve">communications (Nottage, 1959; Gregory, 2012: 369), had organised a major leafleting campaign as early as 1876, while specific pieces of legislation like the reform of landholding had also been endorsed with meetings, speeches and an attempt to curry favour with the editors of the </w:t>
      </w:r>
      <w:r w:rsidRPr="00361D8E">
        <w:rPr>
          <w:rFonts w:asciiTheme="minorHAnsi" w:hAnsiTheme="minorHAnsi" w:cstheme="minorHAnsi"/>
          <w:i/>
          <w:sz w:val="24"/>
          <w:szCs w:val="24"/>
        </w:rPr>
        <w:t>Manchester Guardian</w:t>
      </w:r>
      <w:r w:rsidRPr="00361D8E">
        <w:rPr>
          <w:rFonts w:asciiTheme="minorHAnsi" w:hAnsiTheme="minorHAnsi" w:cstheme="minorHAnsi"/>
          <w:sz w:val="24"/>
          <w:szCs w:val="24"/>
        </w:rPr>
        <w:t xml:space="preserve"> and the </w:t>
      </w:r>
      <w:r w:rsidRPr="00361D8E">
        <w:rPr>
          <w:rFonts w:asciiTheme="minorHAnsi" w:hAnsiTheme="minorHAnsi" w:cstheme="minorHAnsi"/>
          <w:i/>
          <w:sz w:val="24"/>
          <w:szCs w:val="24"/>
        </w:rPr>
        <w:t>News of the World</w:t>
      </w:r>
      <w:r w:rsidRPr="00361D8E">
        <w:rPr>
          <w:rFonts w:asciiTheme="minorHAnsi" w:hAnsiTheme="minorHAnsi" w:cstheme="minorHAnsi"/>
          <w:sz w:val="24"/>
          <w:szCs w:val="24"/>
        </w:rPr>
        <w:t xml:space="preserve"> </w:t>
      </w:r>
      <w:r w:rsidR="00FD7C61" w:rsidRPr="00361D8E">
        <w:rPr>
          <w:rFonts w:asciiTheme="minorHAnsi" w:hAnsiTheme="minorHAnsi" w:cstheme="minorHAnsi"/>
          <w:sz w:val="24"/>
          <w:szCs w:val="24"/>
        </w:rPr>
        <w:t xml:space="preserve">in 1913 </w:t>
      </w:r>
      <w:r w:rsidRPr="00361D8E">
        <w:rPr>
          <w:rFonts w:asciiTheme="minorHAnsi" w:hAnsiTheme="minorHAnsi" w:cstheme="minorHAnsi"/>
          <w:sz w:val="24"/>
          <w:szCs w:val="24"/>
        </w:rPr>
        <w:t xml:space="preserve">(Gilbert, 1979: 125). Nor was </w:t>
      </w:r>
      <w:r w:rsidR="001100B3" w:rsidRPr="00361D8E">
        <w:rPr>
          <w:rFonts w:asciiTheme="minorHAnsi" w:hAnsiTheme="minorHAnsi" w:cstheme="minorHAnsi"/>
          <w:sz w:val="24"/>
          <w:szCs w:val="24"/>
        </w:rPr>
        <w:t>the Committee</w:t>
      </w:r>
      <w:r w:rsidRPr="00361D8E">
        <w:rPr>
          <w:rFonts w:asciiTheme="minorHAnsi" w:hAnsiTheme="minorHAnsi" w:cstheme="minorHAnsi"/>
          <w:sz w:val="24"/>
          <w:szCs w:val="24"/>
        </w:rPr>
        <w:t xml:space="preserve"> the first </w:t>
      </w:r>
      <w:r w:rsidR="00FD7C61" w:rsidRPr="00361D8E">
        <w:rPr>
          <w:rFonts w:asciiTheme="minorHAnsi" w:hAnsiTheme="minorHAnsi" w:cstheme="minorHAnsi"/>
          <w:sz w:val="24"/>
          <w:szCs w:val="24"/>
        </w:rPr>
        <w:t>body</w:t>
      </w:r>
      <w:r w:rsidRPr="00361D8E">
        <w:rPr>
          <w:rFonts w:asciiTheme="minorHAnsi" w:hAnsiTheme="minorHAnsi" w:cstheme="minorHAnsi"/>
          <w:sz w:val="24"/>
          <w:szCs w:val="24"/>
        </w:rPr>
        <w:t xml:space="preserve"> to use </w:t>
      </w:r>
      <w:r w:rsidR="001100B3" w:rsidRPr="00361D8E">
        <w:rPr>
          <w:rFonts w:asciiTheme="minorHAnsi" w:hAnsiTheme="minorHAnsi" w:cstheme="minorHAnsi"/>
          <w:sz w:val="24"/>
          <w:szCs w:val="24"/>
        </w:rPr>
        <w:t>persuasive</w:t>
      </w:r>
      <w:r w:rsidRPr="00361D8E">
        <w:rPr>
          <w:rFonts w:asciiTheme="minorHAnsi" w:hAnsiTheme="minorHAnsi" w:cstheme="minorHAnsi"/>
          <w:sz w:val="24"/>
          <w:szCs w:val="24"/>
        </w:rPr>
        <w:t xml:space="preserve"> techniques to promote military recruitment. In his classic account of </w:t>
      </w:r>
      <w:r w:rsidR="007E7A07" w:rsidRPr="00361D8E">
        <w:rPr>
          <w:rFonts w:asciiTheme="minorHAnsi" w:hAnsiTheme="minorHAnsi" w:cstheme="minorHAnsi"/>
          <w:sz w:val="24"/>
          <w:szCs w:val="24"/>
        </w:rPr>
        <w:t xml:space="preserve">Boer War </w:t>
      </w:r>
      <w:r w:rsidRPr="00361D8E">
        <w:rPr>
          <w:rFonts w:asciiTheme="minorHAnsi" w:hAnsiTheme="minorHAnsi" w:cstheme="minorHAnsi"/>
          <w:sz w:val="24"/>
          <w:szCs w:val="24"/>
        </w:rPr>
        <w:t xml:space="preserve">jingoism, J. A. Hobson (1901 [2012]) described the </w:t>
      </w:r>
      <w:r w:rsidR="0004137E" w:rsidRPr="00361D8E">
        <w:rPr>
          <w:rFonts w:asciiTheme="minorHAnsi" w:hAnsiTheme="minorHAnsi" w:cstheme="minorHAnsi"/>
          <w:sz w:val="24"/>
          <w:szCs w:val="24"/>
        </w:rPr>
        <w:t>use</w:t>
      </w:r>
      <w:r w:rsidRPr="00361D8E">
        <w:rPr>
          <w:rFonts w:asciiTheme="minorHAnsi" w:hAnsiTheme="minorHAnsi" w:cstheme="minorHAnsi"/>
          <w:sz w:val="24"/>
          <w:szCs w:val="24"/>
        </w:rPr>
        <w:t xml:space="preserve"> of similar </w:t>
      </w:r>
      <w:r w:rsidR="0004137E" w:rsidRPr="00361D8E">
        <w:rPr>
          <w:rFonts w:asciiTheme="minorHAnsi" w:hAnsiTheme="minorHAnsi" w:cstheme="minorHAnsi"/>
          <w:sz w:val="24"/>
          <w:szCs w:val="24"/>
        </w:rPr>
        <w:t>tactics</w:t>
      </w:r>
      <w:r w:rsidRPr="00361D8E">
        <w:rPr>
          <w:rFonts w:asciiTheme="minorHAnsi" w:hAnsiTheme="minorHAnsi" w:cstheme="minorHAnsi"/>
          <w:sz w:val="24"/>
          <w:szCs w:val="24"/>
        </w:rPr>
        <w:t xml:space="preserve"> </w:t>
      </w:r>
      <w:r w:rsidR="0004137E" w:rsidRPr="00361D8E">
        <w:rPr>
          <w:rFonts w:asciiTheme="minorHAnsi" w:hAnsiTheme="minorHAnsi" w:cstheme="minorHAnsi"/>
          <w:sz w:val="24"/>
          <w:szCs w:val="24"/>
        </w:rPr>
        <w:t xml:space="preserve">to </w:t>
      </w:r>
      <w:r w:rsidR="0004137E" w:rsidRPr="00C100E4">
        <w:rPr>
          <w:rFonts w:asciiTheme="minorHAnsi" w:hAnsiTheme="minorHAnsi" w:cstheme="minorHAnsi"/>
          <w:color w:val="FF0000"/>
          <w:sz w:val="24"/>
          <w:szCs w:val="24"/>
        </w:rPr>
        <w:t xml:space="preserve">drum up </w:t>
      </w:r>
      <w:r w:rsidR="00C100E4" w:rsidRPr="00C100E4">
        <w:rPr>
          <w:rFonts w:asciiTheme="minorHAnsi" w:hAnsiTheme="minorHAnsi" w:cstheme="minorHAnsi"/>
          <w:color w:val="FF0000"/>
          <w:sz w:val="24"/>
          <w:szCs w:val="24"/>
        </w:rPr>
        <w:t>war</w:t>
      </w:r>
      <w:r w:rsidR="007E7A07" w:rsidRPr="00C100E4">
        <w:rPr>
          <w:rFonts w:asciiTheme="minorHAnsi" w:hAnsiTheme="minorHAnsi" w:cstheme="minorHAnsi"/>
          <w:color w:val="FF0000"/>
          <w:sz w:val="24"/>
          <w:szCs w:val="24"/>
        </w:rPr>
        <w:t xml:space="preserve"> </w:t>
      </w:r>
      <w:r w:rsidR="0004137E" w:rsidRPr="00C100E4">
        <w:rPr>
          <w:rFonts w:asciiTheme="minorHAnsi" w:hAnsiTheme="minorHAnsi" w:cstheme="minorHAnsi"/>
          <w:color w:val="FF0000"/>
          <w:sz w:val="24"/>
          <w:szCs w:val="24"/>
        </w:rPr>
        <w:t>enthusiasm</w:t>
      </w:r>
      <w:r w:rsidR="00C100E4" w:rsidRPr="00C100E4">
        <w:rPr>
          <w:rFonts w:asciiTheme="minorHAnsi" w:hAnsiTheme="minorHAnsi" w:cstheme="minorHAnsi"/>
          <w:color w:val="FF0000"/>
          <w:sz w:val="24"/>
          <w:szCs w:val="24"/>
        </w:rPr>
        <w:t xml:space="preserve"> in Britain</w:t>
      </w:r>
      <w:r w:rsidRPr="00361D8E">
        <w:rPr>
          <w:rFonts w:asciiTheme="minorHAnsi" w:hAnsiTheme="minorHAnsi" w:cstheme="minorHAnsi"/>
          <w:sz w:val="24"/>
          <w:szCs w:val="24"/>
        </w:rPr>
        <w:t xml:space="preserve">. </w:t>
      </w:r>
    </w:p>
    <w:p w:rsidR="00971250" w:rsidRPr="00361D8E" w:rsidRDefault="00190FF7" w:rsidP="00503E9F">
      <w:pPr>
        <w:spacing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Where the Committee did differ from its historical antecedents, however, was in the scale of its operations and in the fact that it</w:t>
      </w:r>
      <w:r w:rsidR="001100B3" w:rsidRPr="00361D8E">
        <w:rPr>
          <w:rFonts w:asciiTheme="minorHAnsi" w:hAnsiTheme="minorHAnsi" w:cstheme="minorHAnsi"/>
          <w:sz w:val="24"/>
          <w:szCs w:val="24"/>
        </w:rPr>
        <w:t xml:space="preserve"> seemed to</w:t>
      </w:r>
      <w:r w:rsidRPr="00361D8E">
        <w:rPr>
          <w:rFonts w:asciiTheme="minorHAnsi" w:hAnsiTheme="minorHAnsi" w:cstheme="minorHAnsi"/>
          <w:sz w:val="24"/>
          <w:szCs w:val="24"/>
        </w:rPr>
        <w:t xml:space="preserve"> </w:t>
      </w:r>
      <w:r w:rsidR="001100B3" w:rsidRPr="00361D8E">
        <w:rPr>
          <w:rFonts w:asciiTheme="minorHAnsi" w:hAnsiTheme="minorHAnsi" w:cstheme="minorHAnsi"/>
          <w:sz w:val="24"/>
          <w:szCs w:val="24"/>
        </w:rPr>
        <w:t>bring together so many disparate forms of promotion</w:t>
      </w:r>
      <w:r w:rsidR="00503E9F" w:rsidRPr="00361D8E">
        <w:rPr>
          <w:rFonts w:asciiTheme="minorHAnsi" w:hAnsiTheme="minorHAnsi" w:cstheme="minorHAnsi"/>
          <w:sz w:val="24"/>
          <w:szCs w:val="24"/>
        </w:rPr>
        <w:t xml:space="preserve"> under the same roof</w:t>
      </w:r>
      <w:r w:rsidR="001100B3" w:rsidRPr="00361D8E">
        <w:rPr>
          <w:rFonts w:asciiTheme="minorHAnsi" w:hAnsiTheme="minorHAnsi" w:cstheme="minorHAnsi"/>
          <w:sz w:val="24"/>
          <w:szCs w:val="24"/>
        </w:rPr>
        <w:t xml:space="preserve">. </w:t>
      </w:r>
      <w:r w:rsidR="00503E9F" w:rsidRPr="00361D8E">
        <w:rPr>
          <w:rFonts w:asciiTheme="minorHAnsi" w:hAnsiTheme="minorHAnsi" w:cstheme="minorHAnsi"/>
          <w:sz w:val="24"/>
          <w:szCs w:val="24"/>
        </w:rPr>
        <w:t>While its poster</w:t>
      </w:r>
      <w:r w:rsidR="00971250" w:rsidRPr="00361D8E">
        <w:rPr>
          <w:rFonts w:asciiTheme="minorHAnsi" w:hAnsiTheme="minorHAnsi" w:cstheme="minorHAnsi"/>
          <w:sz w:val="24"/>
          <w:szCs w:val="24"/>
        </w:rPr>
        <w:t xml:space="preserve"> work</w:t>
      </w:r>
      <w:r w:rsidR="00503E9F" w:rsidRPr="00361D8E">
        <w:rPr>
          <w:rFonts w:asciiTheme="minorHAnsi" w:hAnsiTheme="minorHAnsi" w:cstheme="minorHAnsi"/>
          <w:sz w:val="24"/>
          <w:szCs w:val="24"/>
        </w:rPr>
        <w:t xml:space="preserve"> clearly owe</w:t>
      </w:r>
      <w:r w:rsidR="00971250" w:rsidRPr="00361D8E">
        <w:rPr>
          <w:rFonts w:asciiTheme="minorHAnsi" w:hAnsiTheme="minorHAnsi" w:cstheme="minorHAnsi"/>
          <w:sz w:val="24"/>
          <w:szCs w:val="24"/>
        </w:rPr>
        <w:t>d</w:t>
      </w:r>
      <w:r w:rsidR="00503E9F" w:rsidRPr="00361D8E">
        <w:rPr>
          <w:rFonts w:asciiTheme="minorHAnsi" w:hAnsiTheme="minorHAnsi" w:cstheme="minorHAnsi"/>
          <w:sz w:val="24"/>
          <w:szCs w:val="24"/>
        </w:rPr>
        <w:t xml:space="preserve"> </w:t>
      </w:r>
      <w:r w:rsidR="00CD264B" w:rsidRPr="00361D8E">
        <w:rPr>
          <w:rFonts w:asciiTheme="minorHAnsi" w:hAnsiTheme="minorHAnsi" w:cstheme="minorHAnsi"/>
          <w:sz w:val="24"/>
          <w:szCs w:val="24"/>
        </w:rPr>
        <w:t>something</w:t>
      </w:r>
      <w:r w:rsidR="00503E9F" w:rsidRPr="00361D8E">
        <w:rPr>
          <w:rFonts w:asciiTheme="minorHAnsi" w:hAnsiTheme="minorHAnsi" w:cstheme="minorHAnsi"/>
          <w:sz w:val="24"/>
          <w:szCs w:val="24"/>
        </w:rPr>
        <w:t xml:space="preserve"> to the </w:t>
      </w:r>
      <w:r w:rsidR="001100B3" w:rsidRPr="00361D8E">
        <w:rPr>
          <w:rFonts w:asciiTheme="minorHAnsi" w:hAnsiTheme="minorHAnsi" w:cstheme="minorHAnsi"/>
          <w:sz w:val="24"/>
          <w:szCs w:val="24"/>
        </w:rPr>
        <w:t>world of commercial advertising</w:t>
      </w:r>
      <w:r w:rsidR="00503E9F" w:rsidRPr="00361D8E">
        <w:rPr>
          <w:rFonts w:asciiTheme="minorHAnsi" w:hAnsiTheme="minorHAnsi" w:cstheme="minorHAnsi"/>
          <w:sz w:val="24"/>
          <w:szCs w:val="24"/>
        </w:rPr>
        <w:t xml:space="preserve">, </w:t>
      </w:r>
      <w:r w:rsidR="00CD264B" w:rsidRPr="00361D8E">
        <w:rPr>
          <w:rFonts w:asciiTheme="minorHAnsi" w:hAnsiTheme="minorHAnsi" w:cstheme="minorHAnsi"/>
          <w:sz w:val="24"/>
          <w:szCs w:val="24"/>
        </w:rPr>
        <w:t xml:space="preserve">the organisation of </w:t>
      </w:r>
      <w:r w:rsidR="00503E9F" w:rsidRPr="00361D8E">
        <w:rPr>
          <w:rFonts w:asciiTheme="minorHAnsi" w:hAnsiTheme="minorHAnsi" w:cstheme="minorHAnsi"/>
          <w:sz w:val="24"/>
          <w:szCs w:val="24"/>
        </w:rPr>
        <w:t>meetings, speeches</w:t>
      </w:r>
      <w:r w:rsidR="00971250" w:rsidRPr="00361D8E">
        <w:rPr>
          <w:rFonts w:asciiTheme="minorHAnsi" w:hAnsiTheme="minorHAnsi" w:cstheme="minorHAnsi"/>
          <w:sz w:val="24"/>
          <w:szCs w:val="24"/>
        </w:rPr>
        <w:t xml:space="preserve"> and canvassing</w:t>
      </w:r>
      <w:r w:rsidR="00503E9F" w:rsidRPr="00361D8E">
        <w:rPr>
          <w:rFonts w:asciiTheme="minorHAnsi" w:hAnsiTheme="minorHAnsi" w:cstheme="minorHAnsi"/>
          <w:sz w:val="24"/>
          <w:szCs w:val="24"/>
        </w:rPr>
        <w:t xml:space="preserve"> appear</w:t>
      </w:r>
      <w:r w:rsidR="00CD264B" w:rsidRPr="00361D8E">
        <w:rPr>
          <w:rFonts w:asciiTheme="minorHAnsi" w:hAnsiTheme="minorHAnsi" w:cstheme="minorHAnsi"/>
          <w:sz w:val="24"/>
          <w:szCs w:val="24"/>
        </w:rPr>
        <w:t>s</w:t>
      </w:r>
      <w:r w:rsidR="00503E9F" w:rsidRPr="00361D8E">
        <w:rPr>
          <w:rFonts w:asciiTheme="minorHAnsi" w:hAnsiTheme="minorHAnsi" w:cstheme="minorHAnsi"/>
          <w:sz w:val="24"/>
          <w:szCs w:val="24"/>
        </w:rPr>
        <w:t xml:space="preserve"> to </w:t>
      </w:r>
      <w:r w:rsidR="00CD264B" w:rsidRPr="00361D8E">
        <w:rPr>
          <w:rFonts w:asciiTheme="minorHAnsi" w:hAnsiTheme="minorHAnsi" w:cstheme="minorHAnsi"/>
          <w:sz w:val="24"/>
          <w:szCs w:val="24"/>
        </w:rPr>
        <w:t xml:space="preserve">have </w:t>
      </w:r>
      <w:r w:rsidR="00503E9F" w:rsidRPr="00361D8E">
        <w:rPr>
          <w:rFonts w:asciiTheme="minorHAnsi" w:hAnsiTheme="minorHAnsi" w:cstheme="minorHAnsi"/>
          <w:sz w:val="24"/>
          <w:szCs w:val="24"/>
        </w:rPr>
        <w:t>be</w:t>
      </w:r>
      <w:r w:rsidR="00CD264B" w:rsidRPr="00361D8E">
        <w:rPr>
          <w:rFonts w:asciiTheme="minorHAnsi" w:hAnsiTheme="minorHAnsi" w:cstheme="minorHAnsi"/>
          <w:sz w:val="24"/>
          <w:szCs w:val="24"/>
        </w:rPr>
        <w:t>en</w:t>
      </w:r>
      <w:r w:rsidR="00503E9F" w:rsidRPr="00361D8E">
        <w:rPr>
          <w:rFonts w:asciiTheme="minorHAnsi" w:hAnsiTheme="minorHAnsi" w:cstheme="minorHAnsi"/>
          <w:sz w:val="24"/>
          <w:szCs w:val="24"/>
        </w:rPr>
        <w:t xml:space="preserve"> rooted in the art of political campaigning. These influences were reflected in the composition of </w:t>
      </w:r>
      <w:r w:rsidR="00CD264B" w:rsidRPr="00361D8E">
        <w:rPr>
          <w:rFonts w:asciiTheme="minorHAnsi" w:hAnsiTheme="minorHAnsi" w:cstheme="minorHAnsi"/>
          <w:sz w:val="24"/>
          <w:szCs w:val="24"/>
        </w:rPr>
        <w:t>each Sub-Department</w:t>
      </w:r>
      <w:r w:rsidR="00503E9F" w:rsidRPr="00361D8E">
        <w:rPr>
          <w:rFonts w:asciiTheme="minorHAnsi" w:hAnsiTheme="minorHAnsi" w:cstheme="minorHAnsi"/>
          <w:sz w:val="24"/>
          <w:szCs w:val="24"/>
        </w:rPr>
        <w:t xml:space="preserve">. </w:t>
      </w:r>
      <w:r w:rsidR="00F44303" w:rsidRPr="00361D8E">
        <w:rPr>
          <w:rFonts w:asciiTheme="minorHAnsi" w:hAnsiTheme="minorHAnsi" w:cstheme="minorHAnsi"/>
          <w:sz w:val="24"/>
          <w:szCs w:val="24"/>
        </w:rPr>
        <w:t xml:space="preserve">Malcolm (later Sir) Fraser, a press officer for the Unionist Party, and Charles Geake, his Liberal counterpart, were assigned to the Publicity Sub-Department in London, while local party agents </w:t>
      </w:r>
      <w:r w:rsidR="00971250" w:rsidRPr="00361D8E">
        <w:rPr>
          <w:rFonts w:asciiTheme="minorHAnsi" w:hAnsiTheme="minorHAnsi" w:cstheme="minorHAnsi"/>
          <w:sz w:val="24"/>
          <w:szCs w:val="24"/>
        </w:rPr>
        <w:t>who had valuable election</w:t>
      </w:r>
      <w:r w:rsidR="007E7A07" w:rsidRPr="00361D8E">
        <w:rPr>
          <w:rFonts w:asciiTheme="minorHAnsi" w:hAnsiTheme="minorHAnsi" w:cstheme="minorHAnsi"/>
          <w:sz w:val="24"/>
          <w:szCs w:val="24"/>
        </w:rPr>
        <w:t xml:space="preserve"> campaign</w:t>
      </w:r>
      <w:r w:rsidR="00971250" w:rsidRPr="00361D8E">
        <w:rPr>
          <w:rFonts w:asciiTheme="minorHAnsi" w:hAnsiTheme="minorHAnsi" w:cstheme="minorHAnsi"/>
          <w:sz w:val="24"/>
          <w:szCs w:val="24"/>
        </w:rPr>
        <w:t xml:space="preserve"> experience </w:t>
      </w:r>
      <w:r w:rsidR="00F44303" w:rsidRPr="00361D8E">
        <w:rPr>
          <w:rFonts w:asciiTheme="minorHAnsi" w:hAnsiTheme="minorHAnsi" w:cstheme="minorHAnsi"/>
          <w:sz w:val="24"/>
          <w:szCs w:val="24"/>
        </w:rPr>
        <w:t xml:space="preserve">were chosen to act as Honorary Secretaries of many Joint Committees. </w:t>
      </w:r>
    </w:p>
    <w:p w:rsidR="00F44303" w:rsidRPr="00361D8E" w:rsidRDefault="00F44303" w:rsidP="00503E9F">
      <w:pPr>
        <w:spacing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 xml:space="preserve">The influx of political campaigners into the ranks of the Parliamentary Recruiting Committee changed the way in which it went about its work and may explain why </w:t>
      </w:r>
      <w:r w:rsidR="00971250" w:rsidRPr="00361D8E">
        <w:rPr>
          <w:rFonts w:asciiTheme="minorHAnsi" w:hAnsiTheme="minorHAnsi" w:cstheme="minorHAnsi"/>
          <w:sz w:val="24"/>
          <w:szCs w:val="24"/>
        </w:rPr>
        <w:t>the central Committee was sub</w:t>
      </w:r>
      <w:r w:rsidRPr="00361D8E">
        <w:rPr>
          <w:rFonts w:asciiTheme="minorHAnsi" w:hAnsiTheme="minorHAnsi" w:cstheme="minorHAnsi"/>
          <w:sz w:val="24"/>
          <w:szCs w:val="24"/>
        </w:rPr>
        <w:t xml:space="preserve">divided into four </w:t>
      </w:r>
      <w:r w:rsidR="00971250" w:rsidRPr="00361D8E">
        <w:rPr>
          <w:rFonts w:asciiTheme="minorHAnsi" w:hAnsiTheme="minorHAnsi" w:cstheme="minorHAnsi"/>
          <w:sz w:val="24"/>
          <w:szCs w:val="24"/>
        </w:rPr>
        <w:t>Sub-Departments</w:t>
      </w:r>
      <w:r w:rsidRPr="00361D8E">
        <w:rPr>
          <w:rFonts w:asciiTheme="minorHAnsi" w:hAnsiTheme="minorHAnsi" w:cstheme="minorHAnsi"/>
          <w:sz w:val="24"/>
          <w:szCs w:val="24"/>
        </w:rPr>
        <w:t>.</w:t>
      </w:r>
      <w:r w:rsidR="007E7A07" w:rsidRPr="00361D8E">
        <w:rPr>
          <w:rStyle w:val="EndnoteReference"/>
          <w:rFonts w:asciiTheme="minorHAnsi" w:hAnsiTheme="minorHAnsi" w:cstheme="minorHAnsi"/>
          <w:sz w:val="24"/>
          <w:szCs w:val="24"/>
        </w:rPr>
        <w:endnoteReference w:id="5"/>
      </w:r>
      <w:r w:rsidRPr="00361D8E">
        <w:rPr>
          <w:rFonts w:asciiTheme="minorHAnsi" w:hAnsiTheme="minorHAnsi" w:cstheme="minorHAnsi"/>
          <w:sz w:val="24"/>
          <w:szCs w:val="24"/>
        </w:rPr>
        <w:t xml:space="preserve"> </w:t>
      </w:r>
      <w:r w:rsidR="00971250" w:rsidRPr="00361D8E">
        <w:rPr>
          <w:rFonts w:asciiTheme="minorHAnsi" w:hAnsiTheme="minorHAnsi" w:cstheme="minorHAnsi"/>
          <w:sz w:val="24"/>
          <w:szCs w:val="24"/>
        </w:rPr>
        <w:t>B</w:t>
      </w:r>
      <w:r w:rsidRPr="00361D8E">
        <w:rPr>
          <w:rFonts w:asciiTheme="minorHAnsi" w:hAnsiTheme="minorHAnsi" w:cstheme="minorHAnsi"/>
          <w:sz w:val="24"/>
          <w:szCs w:val="24"/>
        </w:rPr>
        <w:t xml:space="preserve">efore the Parliamentary Recruiting Committee had established a Publicity </w:t>
      </w:r>
      <w:r w:rsidR="007E7A07" w:rsidRPr="00361D8E">
        <w:rPr>
          <w:rFonts w:asciiTheme="minorHAnsi" w:hAnsiTheme="minorHAnsi" w:cstheme="minorHAnsi"/>
          <w:sz w:val="24"/>
          <w:szCs w:val="24"/>
        </w:rPr>
        <w:t>and</w:t>
      </w:r>
      <w:r w:rsidRPr="00361D8E">
        <w:rPr>
          <w:rFonts w:asciiTheme="minorHAnsi" w:hAnsiTheme="minorHAnsi" w:cstheme="minorHAnsi"/>
          <w:sz w:val="24"/>
          <w:szCs w:val="24"/>
        </w:rPr>
        <w:t xml:space="preserve"> Meetings Sub</w:t>
      </w:r>
      <w:r w:rsidR="0074537A" w:rsidRPr="00361D8E">
        <w:rPr>
          <w:rFonts w:asciiTheme="minorHAnsi" w:hAnsiTheme="minorHAnsi" w:cstheme="minorHAnsi"/>
          <w:sz w:val="24"/>
          <w:szCs w:val="24"/>
        </w:rPr>
        <w:t>-</w:t>
      </w:r>
      <w:r w:rsidR="0074537A" w:rsidRPr="00361D8E">
        <w:rPr>
          <w:rFonts w:asciiTheme="minorHAnsi" w:hAnsiTheme="minorHAnsi" w:cstheme="minorHAnsi"/>
          <w:sz w:val="24"/>
          <w:szCs w:val="24"/>
        </w:rPr>
        <w:lastRenderedPageBreak/>
        <w:t>Department, the Unionist Party</w:t>
      </w:r>
      <w:r w:rsidRPr="00361D8E">
        <w:rPr>
          <w:rFonts w:asciiTheme="minorHAnsi" w:hAnsiTheme="minorHAnsi" w:cstheme="minorHAnsi"/>
          <w:sz w:val="24"/>
          <w:szCs w:val="24"/>
        </w:rPr>
        <w:t xml:space="preserve"> had created a Press Bureau and a department dedicated solely to political speeches (L’Etang, 20</w:t>
      </w:r>
      <w:r w:rsidR="00971250" w:rsidRPr="00361D8E">
        <w:rPr>
          <w:rFonts w:asciiTheme="minorHAnsi" w:hAnsiTheme="minorHAnsi" w:cstheme="minorHAnsi"/>
          <w:sz w:val="24"/>
          <w:szCs w:val="24"/>
        </w:rPr>
        <w:t>13</w:t>
      </w:r>
      <w:r w:rsidRPr="00361D8E">
        <w:rPr>
          <w:rFonts w:asciiTheme="minorHAnsi" w:hAnsiTheme="minorHAnsi" w:cstheme="minorHAnsi"/>
          <w:sz w:val="24"/>
          <w:szCs w:val="24"/>
        </w:rPr>
        <w:t xml:space="preserve">: 50 and Monger, 2012: 30), </w:t>
      </w:r>
      <w:r w:rsidR="007E7A07" w:rsidRPr="00361D8E">
        <w:rPr>
          <w:rFonts w:asciiTheme="minorHAnsi" w:hAnsiTheme="minorHAnsi" w:cstheme="minorHAnsi"/>
          <w:sz w:val="24"/>
          <w:szCs w:val="24"/>
        </w:rPr>
        <w:t xml:space="preserve">lending credence to </w:t>
      </w:r>
      <w:r w:rsidR="0074537A" w:rsidRPr="00361D8E">
        <w:rPr>
          <w:rFonts w:asciiTheme="minorHAnsi" w:hAnsiTheme="minorHAnsi" w:cstheme="minorHAnsi"/>
          <w:sz w:val="24"/>
          <w:szCs w:val="24"/>
        </w:rPr>
        <w:t>the idea, put forward by</w:t>
      </w:r>
      <w:r w:rsidR="00971250" w:rsidRPr="00361D8E">
        <w:rPr>
          <w:rFonts w:asciiTheme="minorHAnsi" w:hAnsiTheme="minorHAnsi" w:cstheme="minorHAnsi"/>
          <w:sz w:val="24"/>
          <w:szCs w:val="24"/>
        </w:rPr>
        <w:t xml:space="preserve"> Douglas (1970: 566) and Haste (1977: 53)</w:t>
      </w:r>
      <w:r w:rsidR="007E7A07" w:rsidRPr="00361D8E">
        <w:rPr>
          <w:rFonts w:asciiTheme="minorHAnsi" w:hAnsiTheme="minorHAnsi" w:cstheme="minorHAnsi"/>
          <w:sz w:val="24"/>
          <w:szCs w:val="24"/>
        </w:rPr>
        <w:t>, that the Committee grew out of the campaign networks of the political parties</w:t>
      </w:r>
      <w:r w:rsidRPr="00361D8E">
        <w:rPr>
          <w:rFonts w:asciiTheme="minorHAnsi" w:hAnsiTheme="minorHAnsi" w:cstheme="minorHAnsi"/>
          <w:sz w:val="24"/>
          <w:szCs w:val="24"/>
        </w:rPr>
        <w:t>.</w:t>
      </w:r>
    </w:p>
    <w:p w:rsidR="00F44303" w:rsidRPr="00361D8E" w:rsidRDefault="00F44303" w:rsidP="00F44303">
      <w:pPr>
        <w:spacing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 xml:space="preserve">The parallel between campaigning for troops and campaigning for votes was made repeatedly clear to recruiters, who were instructed to </w:t>
      </w:r>
      <w:r w:rsidRPr="00361D8E">
        <w:rPr>
          <w:rFonts w:asciiTheme="minorHAnsi" w:hAnsiTheme="minorHAnsi" w:cstheme="minorHAnsi"/>
          <w:sz w:val="24"/>
        </w:rPr>
        <w:t xml:space="preserve">approach their work </w:t>
      </w:r>
      <w:r w:rsidRPr="00361D8E">
        <w:rPr>
          <w:rFonts w:asciiTheme="minorHAnsi" w:hAnsiTheme="minorHAnsi" w:cstheme="minorHAnsi"/>
          <w:sz w:val="24"/>
          <w:szCs w:val="24"/>
        </w:rPr>
        <w:t xml:space="preserve">with ‘[all] the intensity of a General Election and in such a complete manner that no man shall say thereafter, “I did not know it was I who was needed”’ (WO 106/367: 15 October 1915). </w:t>
      </w:r>
      <w:r w:rsidR="00CD264B" w:rsidRPr="00361D8E">
        <w:rPr>
          <w:rFonts w:asciiTheme="minorHAnsi" w:hAnsiTheme="minorHAnsi" w:cstheme="minorHAnsi"/>
          <w:sz w:val="24"/>
          <w:szCs w:val="24"/>
        </w:rPr>
        <w:t>Yet e</w:t>
      </w:r>
      <w:r w:rsidRPr="00361D8E">
        <w:rPr>
          <w:rFonts w:asciiTheme="minorHAnsi" w:hAnsiTheme="minorHAnsi" w:cstheme="minorHAnsi"/>
          <w:sz w:val="24"/>
          <w:szCs w:val="24"/>
        </w:rPr>
        <w:t xml:space="preserve">ach Sub-Department appears to have been given a degree of autonomy to determine how to go about achieving this </w:t>
      </w:r>
      <w:r w:rsidR="005C4EC9" w:rsidRPr="005C4EC9">
        <w:rPr>
          <w:rFonts w:asciiTheme="minorHAnsi" w:hAnsiTheme="minorHAnsi" w:cstheme="minorHAnsi"/>
          <w:color w:val="FF0000"/>
          <w:sz w:val="24"/>
          <w:szCs w:val="24"/>
        </w:rPr>
        <w:t>goal</w:t>
      </w:r>
      <w:r w:rsidRPr="00361D8E">
        <w:rPr>
          <w:rFonts w:asciiTheme="minorHAnsi" w:hAnsiTheme="minorHAnsi" w:cstheme="minorHAnsi"/>
          <w:sz w:val="24"/>
          <w:szCs w:val="24"/>
        </w:rPr>
        <w:t>. The Publications Sub-Department, for instance, may have been based in the offices and warehouses of the Liberal Publication Department, but it employed commercial printing houses to develop posters, used private artists to design the actual appeals, and insisted that all promotional materials were approved by Fraser, Geake or another official assigned to the Committee prior to publication (WO</w:t>
      </w:r>
      <w:r w:rsidR="005F3244">
        <w:rPr>
          <w:rFonts w:asciiTheme="minorHAnsi" w:hAnsiTheme="minorHAnsi" w:cstheme="minorHAnsi"/>
          <w:sz w:val="24"/>
          <w:szCs w:val="24"/>
        </w:rPr>
        <w:t xml:space="preserve"> </w:t>
      </w:r>
      <w:r w:rsidRPr="00361D8E">
        <w:rPr>
          <w:rFonts w:asciiTheme="minorHAnsi" w:hAnsiTheme="minorHAnsi" w:cstheme="minorHAnsi"/>
          <w:sz w:val="24"/>
          <w:szCs w:val="24"/>
        </w:rPr>
        <w:t xml:space="preserve">106/367: </w:t>
      </w:r>
      <w:r w:rsidR="005F3244">
        <w:rPr>
          <w:rFonts w:asciiTheme="minorHAnsi" w:hAnsiTheme="minorHAnsi" w:cstheme="minorHAnsi"/>
          <w:sz w:val="24"/>
          <w:szCs w:val="24"/>
        </w:rPr>
        <w:t>C</w:t>
      </w:r>
      <w:r w:rsidRPr="00361D8E">
        <w:rPr>
          <w:rFonts w:asciiTheme="minorHAnsi" w:hAnsiTheme="minorHAnsi" w:cstheme="minorHAnsi"/>
          <w:sz w:val="24"/>
          <w:szCs w:val="24"/>
        </w:rPr>
        <w:t xml:space="preserve">). To complicate matters further, the Sub-Department also appears to have commissioned certain designs from His Majesty’s Stationary Office, suggesting a complex chain of production involving interaction between official and unofficial actors at various stages. </w:t>
      </w:r>
    </w:p>
    <w:p w:rsidR="00F44303" w:rsidRPr="00361D8E" w:rsidRDefault="00F44303" w:rsidP="00F44303">
      <w:pPr>
        <w:spacing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While the expertise of commercial advertisers was put to use in the production of recruiting posters, the work of the Meetings Sub-Department drew heavily on existing political networks and pr</w:t>
      </w:r>
      <w:r w:rsidR="00CD264B" w:rsidRPr="00361D8E">
        <w:rPr>
          <w:rFonts w:asciiTheme="minorHAnsi" w:hAnsiTheme="minorHAnsi" w:cstheme="minorHAnsi"/>
          <w:sz w:val="24"/>
          <w:szCs w:val="24"/>
        </w:rPr>
        <w:t>a</w:t>
      </w:r>
      <w:r w:rsidRPr="00361D8E">
        <w:rPr>
          <w:rFonts w:asciiTheme="minorHAnsi" w:hAnsiTheme="minorHAnsi" w:cstheme="minorHAnsi"/>
          <w:sz w:val="24"/>
          <w:szCs w:val="24"/>
        </w:rPr>
        <w:t xml:space="preserve">ctices. Staffed by a mixture of politicians and campaigners from the major political parties, it was tasked with securing ‘qualified speakers who could be relied upon to address public meetings both large and small to explain the nation’s needs’. MPs, Peers, parliamentary candidates and ‘distinguished men in many walks of life’ were considered most qualified for the task, </w:t>
      </w:r>
      <w:r w:rsidR="00CD264B" w:rsidRPr="00361D8E">
        <w:rPr>
          <w:rFonts w:asciiTheme="minorHAnsi" w:hAnsiTheme="minorHAnsi" w:cstheme="minorHAnsi"/>
          <w:sz w:val="24"/>
          <w:szCs w:val="24"/>
        </w:rPr>
        <w:t>with</w:t>
      </w:r>
      <w:r w:rsidRPr="00361D8E">
        <w:rPr>
          <w:rFonts w:asciiTheme="minorHAnsi" w:hAnsiTheme="minorHAnsi" w:cstheme="minorHAnsi"/>
          <w:sz w:val="24"/>
          <w:szCs w:val="24"/>
        </w:rPr>
        <w:t xml:space="preserve"> more than 150 speakers apparently </w:t>
      </w:r>
      <w:r w:rsidR="00CD264B" w:rsidRPr="00361D8E">
        <w:rPr>
          <w:rFonts w:asciiTheme="minorHAnsi" w:hAnsiTheme="minorHAnsi" w:cstheme="minorHAnsi"/>
          <w:sz w:val="24"/>
          <w:szCs w:val="24"/>
        </w:rPr>
        <w:t>involved</w:t>
      </w:r>
      <w:r w:rsidR="005C4EC9">
        <w:rPr>
          <w:rFonts w:asciiTheme="minorHAnsi" w:hAnsiTheme="minorHAnsi" w:cstheme="minorHAnsi"/>
          <w:sz w:val="24"/>
          <w:szCs w:val="24"/>
        </w:rPr>
        <w:t xml:space="preserve"> </w:t>
      </w:r>
      <w:r w:rsidR="005C4EC9" w:rsidRPr="005C4EC9">
        <w:rPr>
          <w:rFonts w:asciiTheme="minorHAnsi" w:hAnsiTheme="minorHAnsi" w:cstheme="minorHAnsi"/>
          <w:color w:val="FF0000"/>
          <w:sz w:val="24"/>
          <w:szCs w:val="24"/>
        </w:rPr>
        <w:t>in the campaign</w:t>
      </w:r>
      <w:r w:rsidRPr="00361D8E">
        <w:rPr>
          <w:rFonts w:asciiTheme="minorHAnsi" w:hAnsiTheme="minorHAnsi" w:cstheme="minorHAnsi"/>
          <w:sz w:val="24"/>
          <w:szCs w:val="24"/>
        </w:rPr>
        <w:t xml:space="preserve">. As elsewhere, the approach </w:t>
      </w:r>
      <w:r w:rsidR="00CD264B" w:rsidRPr="00361D8E">
        <w:rPr>
          <w:rFonts w:asciiTheme="minorHAnsi" w:hAnsiTheme="minorHAnsi" w:cstheme="minorHAnsi"/>
          <w:sz w:val="24"/>
          <w:szCs w:val="24"/>
        </w:rPr>
        <w:t xml:space="preserve">of </w:t>
      </w:r>
      <w:r w:rsidRPr="00361D8E">
        <w:rPr>
          <w:rFonts w:asciiTheme="minorHAnsi" w:hAnsiTheme="minorHAnsi" w:cstheme="minorHAnsi"/>
          <w:sz w:val="24"/>
          <w:szCs w:val="24"/>
        </w:rPr>
        <w:t>the Sub-Department to recruitment was modelled on ‘lines similar to those adopted by the various parties at a contested Parliamentary Election’. The central Committee in London compiled a roster of speakers and the Honorary Secretary of local committees (in almost all cases a party agent) requested speakers as and when the need arose. The Meetings Sub-Department thus had, in the words of one official, the</w:t>
      </w:r>
    </w:p>
    <w:p w:rsidR="00F44303" w:rsidRPr="00361D8E" w:rsidRDefault="00F44303" w:rsidP="00F44303">
      <w:pPr>
        <w:spacing w:after="240" w:line="276" w:lineRule="auto"/>
        <w:ind w:left="720"/>
        <w:jc w:val="both"/>
        <w:rPr>
          <w:rFonts w:asciiTheme="minorHAnsi" w:hAnsiTheme="minorHAnsi" w:cstheme="minorHAnsi"/>
          <w:sz w:val="24"/>
          <w:szCs w:val="24"/>
        </w:rPr>
      </w:pPr>
      <w:proofErr w:type="gramStart"/>
      <w:r w:rsidRPr="00361D8E">
        <w:rPr>
          <w:rFonts w:asciiTheme="minorHAnsi" w:hAnsiTheme="minorHAnsi" w:cstheme="minorHAnsi"/>
          <w:sz w:val="24"/>
          <w:szCs w:val="24"/>
        </w:rPr>
        <w:t>inestimable</w:t>
      </w:r>
      <w:proofErr w:type="gramEnd"/>
      <w:r w:rsidRPr="00361D8E">
        <w:rPr>
          <w:rFonts w:asciiTheme="minorHAnsi" w:hAnsiTheme="minorHAnsi" w:cstheme="minorHAnsi"/>
          <w:sz w:val="24"/>
          <w:szCs w:val="24"/>
        </w:rPr>
        <w:t xml:space="preserve"> advantage of dealing with gentlemen who were not only experienced in every phase of propaganda work, but with whom members of </w:t>
      </w:r>
      <w:r w:rsidRPr="00361D8E">
        <w:rPr>
          <w:rFonts w:asciiTheme="minorHAnsi" w:hAnsiTheme="minorHAnsi" w:cstheme="minorHAnsi"/>
          <w:sz w:val="24"/>
          <w:szCs w:val="24"/>
        </w:rPr>
        <w:lastRenderedPageBreak/>
        <w:t>the Sub-Department had been personally associated in important activities previous to the war. (WO</w:t>
      </w:r>
      <w:r w:rsidR="005F3244">
        <w:rPr>
          <w:rFonts w:asciiTheme="minorHAnsi" w:hAnsiTheme="minorHAnsi" w:cstheme="minorHAnsi"/>
          <w:sz w:val="24"/>
          <w:szCs w:val="24"/>
        </w:rPr>
        <w:t xml:space="preserve"> </w:t>
      </w:r>
      <w:r w:rsidRPr="00361D8E">
        <w:rPr>
          <w:rFonts w:asciiTheme="minorHAnsi" w:hAnsiTheme="minorHAnsi" w:cstheme="minorHAnsi"/>
          <w:sz w:val="24"/>
          <w:szCs w:val="24"/>
        </w:rPr>
        <w:t>106/367: March 1916)</w:t>
      </w:r>
    </w:p>
    <w:p w:rsidR="00F44303" w:rsidRPr="00361D8E" w:rsidRDefault="00F44303" w:rsidP="00F44303">
      <w:pPr>
        <w:spacing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 xml:space="preserve">At the beginning of the campaign, the Meetings Sub-Department appeared to take a fairly relaxed view towards recruitment, arranging meetings and providing speakers only when asked to </w:t>
      </w:r>
      <w:r w:rsidR="00702F85" w:rsidRPr="00361D8E">
        <w:rPr>
          <w:rFonts w:asciiTheme="minorHAnsi" w:hAnsiTheme="minorHAnsi" w:cstheme="minorHAnsi"/>
          <w:sz w:val="24"/>
          <w:szCs w:val="24"/>
        </w:rPr>
        <w:t xml:space="preserve">do </w:t>
      </w:r>
      <w:r w:rsidRPr="00361D8E">
        <w:rPr>
          <w:rFonts w:asciiTheme="minorHAnsi" w:hAnsiTheme="minorHAnsi" w:cstheme="minorHAnsi"/>
          <w:sz w:val="24"/>
          <w:szCs w:val="24"/>
        </w:rPr>
        <w:t>so by a local committee. However, in response to a request from the War Office a ‘continuous campaign’ was soon put in place, announced by a letter sent to all local committees in England and Wales. Continuous campaigning necessitated not only the organisation of meetings</w:t>
      </w:r>
      <w:r w:rsidR="006A479C" w:rsidRPr="00361D8E">
        <w:rPr>
          <w:rFonts w:asciiTheme="minorHAnsi" w:hAnsiTheme="minorHAnsi" w:cstheme="minorHAnsi"/>
          <w:sz w:val="24"/>
          <w:szCs w:val="24"/>
        </w:rPr>
        <w:t xml:space="preserve"> (</w:t>
      </w:r>
      <w:r w:rsidRPr="00361D8E">
        <w:rPr>
          <w:rFonts w:asciiTheme="minorHAnsi" w:hAnsiTheme="minorHAnsi" w:cstheme="minorHAnsi"/>
          <w:sz w:val="24"/>
          <w:szCs w:val="24"/>
        </w:rPr>
        <w:t xml:space="preserve">typically held in town halls, libraries and other </w:t>
      </w:r>
      <w:r w:rsidR="005C4EC9" w:rsidRPr="005C4EC9">
        <w:rPr>
          <w:rFonts w:asciiTheme="minorHAnsi" w:hAnsiTheme="minorHAnsi" w:cstheme="minorHAnsi"/>
          <w:sz w:val="24"/>
          <w:szCs w:val="24"/>
        </w:rPr>
        <w:t>public</w:t>
      </w:r>
      <w:r w:rsidRPr="00361D8E">
        <w:rPr>
          <w:rFonts w:asciiTheme="minorHAnsi" w:hAnsiTheme="minorHAnsi" w:cstheme="minorHAnsi"/>
          <w:sz w:val="24"/>
          <w:szCs w:val="24"/>
        </w:rPr>
        <w:t xml:space="preserve"> buildings</w:t>
      </w:r>
      <w:r w:rsidR="006A479C" w:rsidRPr="00361D8E">
        <w:rPr>
          <w:rFonts w:asciiTheme="minorHAnsi" w:hAnsiTheme="minorHAnsi" w:cstheme="minorHAnsi"/>
          <w:sz w:val="24"/>
          <w:szCs w:val="24"/>
        </w:rPr>
        <w:t>),</w:t>
      </w:r>
      <w:r w:rsidRPr="00361D8E">
        <w:rPr>
          <w:rFonts w:asciiTheme="minorHAnsi" w:hAnsiTheme="minorHAnsi" w:cstheme="minorHAnsi"/>
          <w:sz w:val="24"/>
          <w:szCs w:val="24"/>
        </w:rPr>
        <w:t xml:space="preserve"> but the distribution of pamphlets and posters, talks at cinemas, music halls and theatres, and magic lantern lectures as well. </w:t>
      </w:r>
    </w:p>
    <w:p w:rsidR="007672F8" w:rsidRPr="00361D8E" w:rsidRDefault="007672F8" w:rsidP="00702F85">
      <w:pPr>
        <w:spacing w:after="240" w:line="276" w:lineRule="auto"/>
        <w:ind w:left="720"/>
        <w:jc w:val="both"/>
        <w:rPr>
          <w:rFonts w:asciiTheme="minorHAnsi" w:hAnsiTheme="minorHAnsi" w:cstheme="minorHAnsi"/>
          <w:sz w:val="24"/>
          <w:szCs w:val="24"/>
        </w:rPr>
      </w:pPr>
      <w:r w:rsidRPr="00361D8E">
        <w:rPr>
          <w:rFonts w:asciiTheme="minorHAnsi" w:hAnsiTheme="minorHAnsi" w:cstheme="minorHAnsi"/>
          <w:sz w:val="24"/>
          <w:szCs w:val="24"/>
        </w:rPr>
        <w:t xml:space="preserve">Each Local Committee was requested to arrange for several big public meetings in their large halls, smaller meetings were to be held in every ward of the borough or parish of the country, while a systematic </w:t>
      </w:r>
      <w:r w:rsidR="00391745" w:rsidRPr="00361D8E">
        <w:rPr>
          <w:rFonts w:asciiTheme="minorHAnsi" w:hAnsiTheme="minorHAnsi" w:cstheme="minorHAnsi"/>
          <w:sz w:val="24"/>
          <w:szCs w:val="24"/>
        </w:rPr>
        <w:t xml:space="preserve">distribution of literature and a wide display of posters was provided for. It was also decided to make special efforts to </w:t>
      </w:r>
      <w:r w:rsidR="00CD264B" w:rsidRPr="00361D8E">
        <w:rPr>
          <w:rFonts w:asciiTheme="minorHAnsi" w:hAnsiTheme="minorHAnsi" w:cstheme="minorHAnsi"/>
          <w:sz w:val="24"/>
          <w:szCs w:val="24"/>
        </w:rPr>
        <w:t>r</w:t>
      </w:r>
      <w:r w:rsidR="00391745" w:rsidRPr="00361D8E">
        <w:rPr>
          <w:rFonts w:asciiTheme="minorHAnsi" w:hAnsiTheme="minorHAnsi" w:cstheme="minorHAnsi"/>
          <w:sz w:val="24"/>
          <w:szCs w:val="24"/>
        </w:rPr>
        <w:t>each those who do not usually attend public meetings and who might purposely avoid recruiting meetings. (WO</w:t>
      </w:r>
      <w:r w:rsidR="005F3244">
        <w:rPr>
          <w:rFonts w:asciiTheme="minorHAnsi" w:hAnsiTheme="minorHAnsi" w:cstheme="minorHAnsi"/>
          <w:sz w:val="24"/>
          <w:szCs w:val="24"/>
        </w:rPr>
        <w:t xml:space="preserve"> </w:t>
      </w:r>
      <w:r w:rsidR="00391745" w:rsidRPr="00361D8E">
        <w:rPr>
          <w:rFonts w:asciiTheme="minorHAnsi" w:hAnsiTheme="minorHAnsi" w:cstheme="minorHAnsi"/>
          <w:sz w:val="24"/>
          <w:szCs w:val="24"/>
        </w:rPr>
        <w:t xml:space="preserve">106/367: March 1916) </w:t>
      </w:r>
    </w:p>
    <w:p w:rsidR="00F44303" w:rsidRPr="00361D8E" w:rsidRDefault="00F44303" w:rsidP="00F44303">
      <w:pPr>
        <w:spacing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By January 1915, recruitment work had picked up pace and new methods of promotion began to be introduced</w:t>
      </w:r>
      <w:r w:rsidR="00CD6351" w:rsidRPr="00361D8E">
        <w:rPr>
          <w:rFonts w:asciiTheme="minorHAnsi" w:hAnsiTheme="minorHAnsi" w:cstheme="minorHAnsi"/>
          <w:sz w:val="24"/>
          <w:szCs w:val="24"/>
        </w:rPr>
        <w:t xml:space="preserve"> which emphasised pageantry and a sense of public spectacle</w:t>
      </w:r>
      <w:r w:rsidRPr="00361D8E">
        <w:rPr>
          <w:rFonts w:asciiTheme="minorHAnsi" w:hAnsiTheme="minorHAnsi" w:cstheme="minorHAnsi"/>
          <w:sz w:val="24"/>
          <w:szCs w:val="24"/>
        </w:rPr>
        <w:t>. Extensive outdoor gatherings were organised in major metropolitan areas, with large platforms erected in market squares and other open spaces. Mobile recruiting platforms towed by cars and trams draped in ‘brilliantly decorated and illuminated’ recruiting imagery crisscrossed city centres. Military motorcades flanked by martial bands, troops and wagons were sent on pre-determined ‘route marches’, and a special ‘Highland Pipe Band’ travelled to more than three hundred towns, cities and villages across the country. Finally, a number of unspecified ‘war films’ were also screened (WO</w:t>
      </w:r>
      <w:r w:rsidR="005F3244">
        <w:rPr>
          <w:rFonts w:asciiTheme="minorHAnsi" w:hAnsiTheme="minorHAnsi" w:cstheme="minorHAnsi"/>
          <w:sz w:val="24"/>
          <w:szCs w:val="24"/>
        </w:rPr>
        <w:t xml:space="preserve"> </w:t>
      </w:r>
      <w:r w:rsidRPr="00361D8E">
        <w:rPr>
          <w:rFonts w:asciiTheme="minorHAnsi" w:hAnsiTheme="minorHAnsi" w:cstheme="minorHAnsi"/>
          <w:sz w:val="24"/>
          <w:szCs w:val="24"/>
        </w:rPr>
        <w:t>106/367: March 1916).</w:t>
      </w:r>
      <w:r w:rsidR="00B103D1" w:rsidRPr="00361D8E">
        <w:rPr>
          <w:rFonts w:asciiTheme="minorHAnsi" w:hAnsiTheme="minorHAnsi" w:cstheme="minorHAnsi"/>
          <w:sz w:val="24"/>
          <w:szCs w:val="24"/>
        </w:rPr>
        <w:t xml:space="preserve"> </w:t>
      </w:r>
      <w:r w:rsidR="005C4EC9" w:rsidRPr="005C4EC9">
        <w:rPr>
          <w:rFonts w:asciiTheme="minorHAnsi" w:hAnsiTheme="minorHAnsi" w:cstheme="minorHAnsi"/>
          <w:color w:val="C00000"/>
          <w:sz w:val="24"/>
          <w:szCs w:val="24"/>
        </w:rPr>
        <w:t xml:space="preserve">The use of music and bands, </w:t>
      </w:r>
      <w:r w:rsidR="00CD6351" w:rsidRPr="005C4EC9">
        <w:rPr>
          <w:rFonts w:asciiTheme="minorHAnsi" w:hAnsiTheme="minorHAnsi" w:cstheme="minorHAnsi"/>
          <w:color w:val="C00000"/>
          <w:sz w:val="24"/>
          <w:szCs w:val="24"/>
        </w:rPr>
        <w:t xml:space="preserve">one official </w:t>
      </w:r>
      <w:r w:rsidR="005C4EC9" w:rsidRPr="005C4EC9">
        <w:rPr>
          <w:rFonts w:asciiTheme="minorHAnsi" w:hAnsiTheme="minorHAnsi" w:cstheme="minorHAnsi"/>
          <w:color w:val="C00000"/>
          <w:sz w:val="24"/>
          <w:szCs w:val="24"/>
        </w:rPr>
        <w:t>said</w:t>
      </w:r>
      <w:r w:rsidR="00CD6351" w:rsidRPr="005C4EC9">
        <w:rPr>
          <w:rFonts w:asciiTheme="minorHAnsi" w:hAnsiTheme="minorHAnsi" w:cstheme="minorHAnsi"/>
          <w:color w:val="C00000"/>
          <w:sz w:val="24"/>
          <w:szCs w:val="24"/>
        </w:rPr>
        <w:t>,</w:t>
      </w:r>
      <w:r w:rsidR="00CD6351" w:rsidRPr="00361D8E">
        <w:rPr>
          <w:rFonts w:asciiTheme="minorHAnsi" w:hAnsiTheme="minorHAnsi" w:cstheme="minorHAnsi"/>
          <w:sz w:val="24"/>
          <w:szCs w:val="24"/>
        </w:rPr>
        <w:t xml:space="preserve"> </w:t>
      </w:r>
    </w:p>
    <w:p w:rsidR="002F56E5" w:rsidRPr="00361D8E" w:rsidRDefault="002F56E5" w:rsidP="002F56E5">
      <w:pPr>
        <w:spacing w:after="240" w:line="276" w:lineRule="auto"/>
        <w:ind w:left="720"/>
        <w:jc w:val="both"/>
        <w:rPr>
          <w:rFonts w:asciiTheme="minorHAnsi" w:hAnsiTheme="minorHAnsi" w:cstheme="minorHAnsi"/>
          <w:sz w:val="24"/>
          <w:szCs w:val="24"/>
        </w:rPr>
      </w:pPr>
      <w:proofErr w:type="gramStart"/>
      <w:r w:rsidRPr="00361D8E">
        <w:rPr>
          <w:rFonts w:asciiTheme="minorHAnsi" w:hAnsiTheme="minorHAnsi" w:cstheme="minorHAnsi"/>
          <w:sz w:val="24"/>
          <w:szCs w:val="24"/>
        </w:rPr>
        <w:t>formed</w:t>
      </w:r>
      <w:proofErr w:type="gramEnd"/>
      <w:r w:rsidRPr="00361D8E">
        <w:rPr>
          <w:rFonts w:asciiTheme="minorHAnsi" w:hAnsiTheme="minorHAnsi" w:cstheme="minorHAnsi"/>
          <w:sz w:val="24"/>
          <w:szCs w:val="24"/>
        </w:rPr>
        <w:t xml:space="preserve"> an attractive feature at [recruiting] meetings and great crowds gathered. Recruiting officers, medical officers and magistrates were in attendance to enrol recruits on the spot; and on the same day or the day following, the new recruits were marched off to the station or to the depot, headed by military bands playing patriotic stirs. (WO</w:t>
      </w:r>
      <w:r w:rsidR="005F3244">
        <w:rPr>
          <w:rFonts w:asciiTheme="minorHAnsi" w:hAnsiTheme="minorHAnsi" w:cstheme="minorHAnsi"/>
          <w:sz w:val="24"/>
          <w:szCs w:val="24"/>
        </w:rPr>
        <w:t xml:space="preserve"> </w:t>
      </w:r>
      <w:r w:rsidRPr="00361D8E">
        <w:rPr>
          <w:rFonts w:asciiTheme="minorHAnsi" w:hAnsiTheme="minorHAnsi" w:cstheme="minorHAnsi"/>
          <w:sz w:val="24"/>
          <w:szCs w:val="24"/>
        </w:rPr>
        <w:t>106/367: March 1916)</w:t>
      </w:r>
    </w:p>
    <w:p w:rsidR="00F44303" w:rsidRPr="00361D8E" w:rsidRDefault="00F44303" w:rsidP="00F44303">
      <w:pPr>
        <w:spacing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 xml:space="preserve">It should be clear from this list that the work of the Meetings Sub-Department involved more than just dry congregations of village notables and recruiting officers. Meetings, in the sense in which recruiters understood them, comprised a wide range </w:t>
      </w:r>
      <w:r w:rsidRPr="00361D8E">
        <w:rPr>
          <w:rFonts w:asciiTheme="minorHAnsi" w:hAnsiTheme="minorHAnsi" w:cstheme="minorHAnsi"/>
          <w:sz w:val="24"/>
          <w:szCs w:val="24"/>
        </w:rPr>
        <w:lastRenderedPageBreak/>
        <w:t xml:space="preserve">of </w:t>
      </w:r>
      <w:r w:rsidR="005C4EC9" w:rsidRPr="005C4EC9">
        <w:rPr>
          <w:rFonts w:asciiTheme="minorHAnsi" w:hAnsiTheme="minorHAnsi" w:cstheme="minorHAnsi"/>
          <w:color w:val="C00000"/>
          <w:sz w:val="24"/>
          <w:szCs w:val="24"/>
        </w:rPr>
        <w:t>activities</w:t>
      </w:r>
      <w:r w:rsidRPr="005C4EC9">
        <w:rPr>
          <w:rFonts w:asciiTheme="minorHAnsi" w:hAnsiTheme="minorHAnsi" w:cstheme="minorHAnsi"/>
          <w:color w:val="C00000"/>
          <w:sz w:val="24"/>
          <w:szCs w:val="24"/>
        </w:rPr>
        <w:t xml:space="preserve"> </w:t>
      </w:r>
      <w:r w:rsidRPr="00361D8E">
        <w:rPr>
          <w:rFonts w:asciiTheme="minorHAnsi" w:hAnsiTheme="minorHAnsi" w:cstheme="minorHAnsi"/>
          <w:sz w:val="24"/>
          <w:szCs w:val="24"/>
        </w:rPr>
        <w:t xml:space="preserve">and spectacles that were designed to drum up enthusiasm for the war and support for the armed forces. Whether recruiters were successful in achieving these aims </w:t>
      </w:r>
      <w:r w:rsidR="002F56E5" w:rsidRPr="00361D8E">
        <w:rPr>
          <w:rFonts w:asciiTheme="minorHAnsi" w:hAnsiTheme="minorHAnsi" w:cstheme="minorHAnsi"/>
          <w:sz w:val="24"/>
          <w:szCs w:val="24"/>
        </w:rPr>
        <w:t>remains open to debate (see below)</w:t>
      </w:r>
      <w:r w:rsidRPr="00361D8E">
        <w:rPr>
          <w:rFonts w:asciiTheme="minorHAnsi" w:hAnsiTheme="minorHAnsi" w:cstheme="minorHAnsi"/>
          <w:sz w:val="24"/>
          <w:szCs w:val="24"/>
        </w:rPr>
        <w:t>, although officials connected to the Parliamentary Recruiting</w:t>
      </w:r>
      <w:r w:rsidR="002F56E5" w:rsidRPr="00361D8E">
        <w:rPr>
          <w:rFonts w:asciiTheme="minorHAnsi" w:hAnsiTheme="minorHAnsi" w:cstheme="minorHAnsi"/>
          <w:sz w:val="24"/>
          <w:szCs w:val="24"/>
        </w:rPr>
        <w:t xml:space="preserve"> Committee certainly professed </w:t>
      </w:r>
      <w:r w:rsidRPr="00361D8E">
        <w:rPr>
          <w:rFonts w:asciiTheme="minorHAnsi" w:hAnsiTheme="minorHAnsi" w:cstheme="minorHAnsi"/>
          <w:sz w:val="24"/>
          <w:szCs w:val="24"/>
        </w:rPr>
        <w:t>faith in the efficacy of their appeals. Stressing the ‘</w:t>
      </w:r>
      <w:r w:rsidR="002F56E5" w:rsidRPr="00361D8E">
        <w:rPr>
          <w:rFonts w:asciiTheme="minorHAnsi" w:hAnsiTheme="minorHAnsi" w:cstheme="minorHAnsi"/>
          <w:sz w:val="24"/>
          <w:szCs w:val="24"/>
        </w:rPr>
        <w:t xml:space="preserve">brilliant </w:t>
      </w:r>
      <w:r w:rsidRPr="00361D8E">
        <w:rPr>
          <w:rFonts w:asciiTheme="minorHAnsi" w:hAnsiTheme="minorHAnsi" w:cstheme="minorHAnsi"/>
          <w:sz w:val="24"/>
          <w:szCs w:val="24"/>
        </w:rPr>
        <w:t>success’ of the campaign, they drew a direct correlation between the voluntary recruiting effort and enrolment rates, as if one had</w:t>
      </w:r>
      <w:r w:rsidR="002F56E5" w:rsidRPr="00361D8E">
        <w:rPr>
          <w:rFonts w:asciiTheme="minorHAnsi" w:hAnsiTheme="minorHAnsi" w:cstheme="minorHAnsi"/>
          <w:sz w:val="24"/>
          <w:szCs w:val="24"/>
        </w:rPr>
        <w:t xml:space="preserve"> simply</w:t>
      </w:r>
      <w:r w:rsidRPr="00361D8E">
        <w:rPr>
          <w:rFonts w:asciiTheme="minorHAnsi" w:hAnsiTheme="minorHAnsi" w:cstheme="minorHAnsi"/>
          <w:sz w:val="24"/>
          <w:szCs w:val="24"/>
        </w:rPr>
        <w:t xml:space="preserve"> caused the other. As the staff of the Meetings Sub-Department suggested in a summary of a special recruiting drive organised in London in April 1915: </w:t>
      </w:r>
    </w:p>
    <w:p w:rsidR="00F44303" w:rsidRPr="00361D8E" w:rsidRDefault="00F44303" w:rsidP="00F44303">
      <w:pPr>
        <w:spacing w:after="240" w:line="276" w:lineRule="auto"/>
        <w:ind w:left="720"/>
        <w:jc w:val="both"/>
        <w:rPr>
          <w:rFonts w:asciiTheme="minorHAnsi" w:hAnsiTheme="minorHAnsi" w:cstheme="minorHAnsi"/>
          <w:sz w:val="24"/>
          <w:szCs w:val="24"/>
        </w:rPr>
      </w:pPr>
      <w:r w:rsidRPr="00361D8E">
        <w:rPr>
          <w:rFonts w:asciiTheme="minorHAnsi" w:hAnsiTheme="minorHAnsi" w:cstheme="minorHAnsi"/>
          <w:sz w:val="24"/>
          <w:szCs w:val="24"/>
        </w:rPr>
        <w:t xml:space="preserve">It was impossible either to deny or ignore the evidence which the recruitment offices provided. London was ringing with appeals, [and] meetings were held morning, noon and night in the 59 constituencies of Greater London. In the parks and open spaces, in workshops and factories, in theatres, music halls and cinemas, wherever the united experience of the three party organisations showed that crowds large or small could be gathered together, </w:t>
      </w:r>
      <w:proofErr w:type="spellStart"/>
      <w:r w:rsidRPr="00361D8E">
        <w:rPr>
          <w:rFonts w:asciiTheme="minorHAnsi" w:hAnsiTheme="minorHAnsi" w:cstheme="minorHAnsi"/>
          <w:sz w:val="24"/>
          <w:szCs w:val="24"/>
        </w:rPr>
        <w:t>there</w:t>
      </w:r>
      <w:proofErr w:type="spellEnd"/>
      <w:r w:rsidRPr="00361D8E">
        <w:rPr>
          <w:rFonts w:asciiTheme="minorHAnsi" w:hAnsiTheme="minorHAnsi" w:cstheme="minorHAnsi"/>
          <w:sz w:val="24"/>
          <w:szCs w:val="24"/>
        </w:rPr>
        <w:t xml:space="preserve"> meetings were held. (WO</w:t>
      </w:r>
      <w:r w:rsidR="005F3244">
        <w:rPr>
          <w:rFonts w:asciiTheme="minorHAnsi" w:hAnsiTheme="minorHAnsi" w:cstheme="minorHAnsi"/>
          <w:sz w:val="24"/>
          <w:szCs w:val="24"/>
        </w:rPr>
        <w:t xml:space="preserve"> </w:t>
      </w:r>
      <w:r w:rsidRPr="00361D8E">
        <w:rPr>
          <w:rFonts w:asciiTheme="minorHAnsi" w:hAnsiTheme="minorHAnsi" w:cstheme="minorHAnsi"/>
          <w:sz w:val="24"/>
          <w:szCs w:val="24"/>
        </w:rPr>
        <w:t xml:space="preserve">106/367: March 1916) </w:t>
      </w:r>
    </w:p>
    <w:p w:rsidR="00B442D1" w:rsidRPr="00361D8E" w:rsidRDefault="002F56E5" w:rsidP="00CD6351">
      <w:pPr>
        <w:spacing w:after="120" w:line="360" w:lineRule="auto"/>
        <w:jc w:val="both"/>
        <w:rPr>
          <w:rFonts w:asciiTheme="minorHAnsi" w:hAnsiTheme="minorHAnsi" w:cstheme="minorHAnsi"/>
          <w:sz w:val="24"/>
        </w:rPr>
      </w:pPr>
      <w:r w:rsidRPr="00361D8E">
        <w:rPr>
          <w:rFonts w:asciiTheme="minorHAnsi" w:hAnsiTheme="minorHAnsi" w:cstheme="minorHAnsi"/>
          <w:sz w:val="24"/>
        </w:rPr>
        <w:t xml:space="preserve">In official files recruiters left a clear sense that </w:t>
      </w:r>
      <w:r w:rsidR="00F44303" w:rsidRPr="00361D8E">
        <w:rPr>
          <w:rFonts w:asciiTheme="minorHAnsi" w:hAnsiTheme="minorHAnsi" w:cstheme="minorHAnsi"/>
          <w:sz w:val="24"/>
        </w:rPr>
        <w:t xml:space="preserve">civilians </w:t>
      </w:r>
      <w:r w:rsidR="00CD6351" w:rsidRPr="00361D8E">
        <w:rPr>
          <w:rFonts w:asciiTheme="minorHAnsi" w:hAnsiTheme="minorHAnsi" w:cstheme="minorHAnsi"/>
          <w:sz w:val="24"/>
        </w:rPr>
        <w:t>were</w:t>
      </w:r>
      <w:r w:rsidR="00F44303" w:rsidRPr="00361D8E">
        <w:rPr>
          <w:rFonts w:asciiTheme="minorHAnsi" w:hAnsiTheme="minorHAnsi" w:cstheme="minorHAnsi"/>
          <w:sz w:val="24"/>
        </w:rPr>
        <w:t xml:space="preserve"> passive recipients of official </w:t>
      </w:r>
      <w:r w:rsidR="00CD6351" w:rsidRPr="00361D8E">
        <w:rPr>
          <w:rFonts w:asciiTheme="minorHAnsi" w:hAnsiTheme="minorHAnsi" w:cstheme="minorHAnsi"/>
          <w:sz w:val="24"/>
        </w:rPr>
        <w:t>appeals</w:t>
      </w:r>
      <w:r w:rsidRPr="00361D8E">
        <w:rPr>
          <w:rFonts w:asciiTheme="minorHAnsi" w:hAnsiTheme="minorHAnsi" w:cstheme="minorHAnsi"/>
          <w:sz w:val="24"/>
        </w:rPr>
        <w:t xml:space="preserve"> and exhortations</w:t>
      </w:r>
      <w:r w:rsidR="00F44303" w:rsidRPr="00361D8E">
        <w:rPr>
          <w:rFonts w:asciiTheme="minorHAnsi" w:hAnsiTheme="minorHAnsi" w:cstheme="minorHAnsi"/>
          <w:sz w:val="24"/>
        </w:rPr>
        <w:t xml:space="preserve">, </w:t>
      </w:r>
      <w:r w:rsidRPr="00361D8E">
        <w:rPr>
          <w:rFonts w:asciiTheme="minorHAnsi" w:hAnsiTheme="minorHAnsi" w:cstheme="minorHAnsi"/>
          <w:sz w:val="24"/>
        </w:rPr>
        <w:t xml:space="preserve">a belief that reflected prevailing attitudes towards mass audiences in the early years of the twentieth century </w:t>
      </w:r>
      <w:r w:rsidR="00CD6351" w:rsidRPr="00361D8E">
        <w:rPr>
          <w:rFonts w:asciiTheme="minorHAnsi" w:hAnsiTheme="minorHAnsi" w:cstheme="minorHAnsi"/>
          <w:sz w:val="24"/>
        </w:rPr>
        <w:t xml:space="preserve">and the power of propaganda </w:t>
      </w:r>
      <w:r w:rsidR="0074537A" w:rsidRPr="00361D8E">
        <w:rPr>
          <w:rFonts w:asciiTheme="minorHAnsi" w:hAnsiTheme="minorHAnsi" w:cstheme="minorHAnsi"/>
          <w:sz w:val="24"/>
        </w:rPr>
        <w:t>over them</w:t>
      </w:r>
      <w:r w:rsidR="00CD6351" w:rsidRPr="00361D8E">
        <w:rPr>
          <w:rFonts w:asciiTheme="minorHAnsi" w:hAnsiTheme="minorHAnsi" w:cstheme="minorHAnsi"/>
          <w:sz w:val="24"/>
        </w:rPr>
        <w:t xml:space="preserve"> </w:t>
      </w:r>
      <w:r w:rsidRPr="00361D8E">
        <w:rPr>
          <w:rFonts w:asciiTheme="minorHAnsi" w:hAnsiTheme="minorHAnsi" w:cstheme="minorHAnsi"/>
          <w:sz w:val="24"/>
        </w:rPr>
        <w:t>(</w:t>
      </w:r>
      <w:r w:rsidR="00CD6351" w:rsidRPr="00361D8E">
        <w:rPr>
          <w:rFonts w:asciiTheme="minorHAnsi" w:hAnsiTheme="minorHAnsi" w:cstheme="minorHAnsi"/>
          <w:sz w:val="24"/>
        </w:rPr>
        <w:t>Gullace, 2011</w:t>
      </w:r>
      <w:r w:rsidRPr="00361D8E">
        <w:rPr>
          <w:rFonts w:asciiTheme="minorHAnsi" w:hAnsiTheme="minorHAnsi" w:cstheme="minorHAnsi"/>
          <w:sz w:val="24"/>
        </w:rPr>
        <w:t xml:space="preserve">). </w:t>
      </w:r>
      <w:r w:rsidR="00CD6351" w:rsidRPr="00361D8E">
        <w:rPr>
          <w:rFonts w:asciiTheme="minorHAnsi" w:hAnsiTheme="minorHAnsi" w:cstheme="minorHAnsi"/>
          <w:sz w:val="24"/>
        </w:rPr>
        <w:t>For this reason one could be forgiven</w:t>
      </w:r>
      <w:r w:rsidRPr="00361D8E">
        <w:rPr>
          <w:rFonts w:asciiTheme="minorHAnsi" w:hAnsiTheme="minorHAnsi" w:cstheme="minorHAnsi"/>
          <w:sz w:val="24"/>
        </w:rPr>
        <w:t xml:space="preserve"> for </w:t>
      </w:r>
      <w:r w:rsidR="00F44303" w:rsidRPr="00361D8E">
        <w:rPr>
          <w:rFonts w:asciiTheme="minorHAnsi" w:hAnsiTheme="minorHAnsi" w:cstheme="minorHAnsi"/>
          <w:sz w:val="24"/>
        </w:rPr>
        <w:t>thinking that recruiters made no attempt to analyse and interpret public opinion,</w:t>
      </w:r>
      <w:r w:rsidRPr="00361D8E">
        <w:rPr>
          <w:rFonts w:asciiTheme="minorHAnsi" w:hAnsiTheme="minorHAnsi" w:cstheme="minorHAnsi"/>
          <w:sz w:val="24"/>
        </w:rPr>
        <w:t xml:space="preserve"> but</w:t>
      </w:r>
      <w:r w:rsidR="00F44303" w:rsidRPr="00361D8E">
        <w:rPr>
          <w:rFonts w:asciiTheme="minorHAnsi" w:hAnsiTheme="minorHAnsi" w:cstheme="minorHAnsi"/>
          <w:sz w:val="24"/>
        </w:rPr>
        <w:t xml:space="preserve"> measurement and evaluation were embedded into the campaign.</w:t>
      </w:r>
    </w:p>
    <w:p w:rsidR="00B442D1" w:rsidRPr="00361D8E" w:rsidRDefault="00B442D1" w:rsidP="00B442D1">
      <w:pPr>
        <w:spacing w:after="240" w:line="276" w:lineRule="auto"/>
        <w:ind w:left="720"/>
        <w:jc w:val="both"/>
        <w:rPr>
          <w:rFonts w:asciiTheme="minorHAnsi" w:hAnsiTheme="minorHAnsi" w:cstheme="minorHAnsi"/>
          <w:sz w:val="24"/>
        </w:rPr>
      </w:pPr>
      <w:r w:rsidRPr="00361D8E">
        <w:rPr>
          <w:rFonts w:asciiTheme="minorHAnsi" w:hAnsiTheme="minorHAnsi" w:cstheme="minorHAnsi"/>
          <w:sz w:val="24"/>
          <w:szCs w:val="24"/>
        </w:rPr>
        <w:t>As the campaign proceeded, experience showed that the best result of the work was sometimes lost owing to lengthy speeches, the prolongation of meetings beyond reasonable hours, the absence of facilities for enrolling recruits during the meetings, and the desire of numerous local gentlemen to take a large share in the gatherings. To meet these difficulties, the Sub-Department drew up and issued a series of directions for the conduct of meetings which enabled the local organisers to arrange a limited programme calculated to produce the most recruits. (WO</w:t>
      </w:r>
      <w:r w:rsidR="005F3244">
        <w:rPr>
          <w:rFonts w:asciiTheme="minorHAnsi" w:hAnsiTheme="minorHAnsi" w:cstheme="minorHAnsi"/>
          <w:sz w:val="24"/>
          <w:szCs w:val="24"/>
        </w:rPr>
        <w:t xml:space="preserve"> </w:t>
      </w:r>
      <w:r w:rsidRPr="00361D8E">
        <w:rPr>
          <w:rFonts w:asciiTheme="minorHAnsi" w:hAnsiTheme="minorHAnsi" w:cstheme="minorHAnsi"/>
          <w:sz w:val="24"/>
          <w:szCs w:val="24"/>
        </w:rPr>
        <w:t>106/367: March 1916)</w:t>
      </w:r>
      <w:r w:rsidR="00F44303" w:rsidRPr="00361D8E">
        <w:rPr>
          <w:rFonts w:asciiTheme="minorHAnsi" w:hAnsiTheme="minorHAnsi" w:cstheme="minorHAnsi"/>
          <w:sz w:val="24"/>
        </w:rPr>
        <w:t xml:space="preserve"> </w:t>
      </w:r>
    </w:p>
    <w:p w:rsidR="00F44303" w:rsidRPr="00361D8E" w:rsidRDefault="00DD0BE1" w:rsidP="002F56E5">
      <w:pPr>
        <w:spacing w:line="360" w:lineRule="auto"/>
        <w:jc w:val="both"/>
        <w:rPr>
          <w:rFonts w:asciiTheme="minorHAnsi" w:hAnsiTheme="minorHAnsi" w:cstheme="minorHAnsi"/>
          <w:sz w:val="24"/>
        </w:rPr>
      </w:pPr>
      <w:r>
        <w:rPr>
          <w:rFonts w:asciiTheme="minorHAnsi" w:hAnsiTheme="minorHAnsi" w:cstheme="minorHAnsi"/>
          <w:color w:val="C00000"/>
          <w:sz w:val="24"/>
        </w:rPr>
        <w:t>The development</w:t>
      </w:r>
      <w:r w:rsidR="00A97425" w:rsidRPr="00A97425">
        <w:rPr>
          <w:rFonts w:asciiTheme="minorHAnsi" w:hAnsiTheme="minorHAnsi" w:cstheme="minorHAnsi"/>
          <w:color w:val="C00000"/>
          <w:sz w:val="24"/>
        </w:rPr>
        <w:t xml:space="preserve"> </w:t>
      </w:r>
      <w:r>
        <w:rPr>
          <w:rFonts w:asciiTheme="minorHAnsi" w:hAnsiTheme="minorHAnsi" w:cstheme="minorHAnsi"/>
          <w:color w:val="C00000"/>
          <w:sz w:val="24"/>
        </w:rPr>
        <w:t xml:space="preserve">of </w:t>
      </w:r>
      <w:r w:rsidR="00A97425" w:rsidRPr="00A97425">
        <w:rPr>
          <w:rFonts w:asciiTheme="minorHAnsi" w:hAnsiTheme="minorHAnsi" w:cstheme="minorHAnsi"/>
          <w:color w:val="C00000"/>
          <w:sz w:val="24"/>
        </w:rPr>
        <w:t xml:space="preserve">guidelines </w:t>
      </w:r>
      <w:r w:rsidR="00CD6351" w:rsidRPr="00A97425">
        <w:rPr>
          <w:rFonts w:asciiTheme="minorHAnsi" w:hAnsiTheme="minorHAnsi" w:cstheme="minorHAnsi"/>
          <w:color w:val="C00000"/>
          <w:sz w:val="24"/>
        </w:rPr>
        <w:t>w</w:t>
      </w:r>
      <w:r>
        <w:rPr>
          <w:rFonts w:asciiTheme="minorHAnsi" w:hAnsiTheme="minorHAnsi" w:cstheme="minorHAnsi"/>
          <w:color w:val="C00000"/>
          <w:sz w:val="24"/>
        </w:rPr>
        <w:t>as</w:t>
      </w:r>
      <w:r w:rsidR="00CD6351" w:rsidRPr="00361D8E">
        <w:rPr>
          <w:rFonts w:asciiTheme="minorHAnsi" w:hAnsiTheme="minorHAnsi" w:cstheme="minorHAnsi"/>
          <w:sz w:val="24"/>
        </w:rPr>
        <w:t xml:space="preserve"> not the only attempt to proactively respond to fluctuations in public opinion. </w:t>
      </w:r>
      <w:r w:rsidR="00F44303" w:rsidRPr="00361D8E">
        <w:rPr>
          <w:rFonts w:asciiTheme="minorHAnsi" w:hAnsiTheme="minorHAnsi" w:cstheme="minorHAnsi"/>
          <w:sz w:val="24"/>
        </w:rPr>
        <w:t xml:space="preserve">In February 1915, the Meetings Sub-Department contacted all 463 local committees with the intention of determining the ‘number of recruiting meetings held, the character of </w:t>
      </w:r>
      <w:proofErr w:type="spellStart"/>
      <w:r w:rsidR="00F44303" w:rsidRPr="00361D8E">
        <w:rPr>
          <w:rFonts w:asciiTheme="minorHAnsi" w:hAnsiTheme="minorHAnsi" w:cstheme="minorHAnsi"/>
          <w:sz w:val="24"/>
        </w:rPr>
        <w:t>th</w:t>
      </w:r>
      <w:proofErr w:type="spellEnd"/>
      <w:r w:rsidR="00F44303" w:rsidRPr="00361D8E">
        <w:rPr>
          <w:rFonts w:asciiTheme="minorHAnsi" w:hAnsiTheme="minorHAnsi" w:cstheme="minorHAnsi"/>
          <w:sz w:val="24"/>
        </w:rPr>
        <w:t>[</w:t>
      </w:r>
      <w:proofErr w:type="spellStart"/>
      <w:r w:rsidR="00F44303" w:rsidRPr="00361D8E">
        <w:rPr>
          <w:rFonts w:asciiTheme="minorHAnsi" w:hAnsiTheme="minorHAnsi" w:cstheme="minorHAnsi"/>
          <w:sz w:val="24"/>
        </w:rPr>
        <w:t>os</w:t>
      </w:r>
      <w:proofErr w:type="spellEnd"/>
      <w:r w:rsidR="00F44303" w:rsidRPr="00361D8E">
        <w:rPr>
          <w:rFonts w:asciiTheme="minorHAnsi" w:hAnsiTheme="minorHAnsi" w:cstheme="minorHAnsi"/>
          <w:sz w:val="24"/>
        </w:rPr>
        <w:t xml:space="preserve">]e meetings…the estimated number of recruits obtained, the special local conditions favourable or unfavourable to recruiting, and fresh suggestions for future efforts’. The results of this consultation, </w:t>
      </w:r>
      <w:r w:rsidR="00F44303" w:rsidRPr="00DD0BE1">
        <w:rPr>
          <w:rFonts w:asciiTheme="minorHAnsi" w:hAnsiTheme="minorHAnsi" w:cstheme="minorHAnsi"/>
          <w:color w:val="C00000"/>
          <w:sz w:val="24"/>
        </w:rPr>
        <w:t>indicat</w:t>
      </w:r>
      <w:r w:rsidRPr="00DD0BE1">
        <w:rPr>
          <w:rFonts w:asciiTheme="minorHAnsi" w:hAnsiTheme="minorHAnsi" w:cstheme="minorHAnsi"/>
          <w:color w:val="C00000"/>
          <w:sz w:val="24"/>
        </w:rPr>
        <w:t>ing</w:t>
      </w:r>
      <w:r w:rsidR="00F44303" w:rsidRPr="00DD0BE1">
        <w:rPr>
          <w:rFonts w:asciiTheme="minorHAnsi" w:hAnsiTheme="minorHAnsi" w:cstheme="minorHAnsi"/>
          <w:color w:val="C00000"/>
          <w:sz w:val="24"/>
        </w:rPr>
        <w:t xml:space="preserve"> </w:t>
      </w:r>
      <w:r w:rsidRPr="00DD0BE1">
        <w:rPr>
          <w:rFonts w:asciiTheme="minorHAnsi" w:hAnsiTheme="minorHAnsi" w:cstheme="minorHAnsi"/>
          <w:color w:val="C00000"/>
          <w:sz w:val="24"/>
        </w:rPr>
        <w:lastRenderedPageBreak/>
        <w:t>that</w:t>
      </w:r>
      <w:r w:rsidR="00F44303" w:rsidRPr="00361D8E">
        <w:rPr>
          <w:rFonts w:asciiTheme="minorHAnsi" w:hAnsiTheme="minorHAnsi" w:cstheme="minorHAnsi"/>
          <w:sz w:val="24"/>
        </w:rPr>
        <w:t xml:space="preserve"> certain areas in the United Kingdom were ‘almost oblivious of the true nature of the war’, were </w:t>
      </w:r>
      <w:r w:rsidRPr="00DD0BE1">
        <w:rPr>
          <w:rFonts w:asciiTheme="minorHAnsi" w:hAnsiTheme="minorHAnsi" w:cstheme="minorHAnsi"/>
          <w:color w:val="C00000"/>
          <w:sz w:val="24"/>
        </w:rPr>
        <w:t xml:space="preserve">relayed to officials in London </w:t>
      </w:r>
      <w:r>
        <w:rPr>
          <w:rFonts w:asciiTheme="minorHAnsi" w:hAnsiTheme="minorHAnsi" w:cstheme="minorHAnsi"/>
          <w:color w:val="C00000"/>
          <w:sz w:val="24"/>
        </w:rPr>
        <w:t>and</w:t>
      </w:r>
      <w:r>
        <w:rPr>
          <w:rFonts w:asciiTheme="minorHAnsi" w:hAnsiTheme="minorHAnsi" w:cstheme="minorHAnsi"/>
          <w:sz w:val="24"/>
        </w:rPr>
        <w:t xml:space="preserve"> </w:t>
      </w:r>
      <w:r w:rsidR="00F44303" w:rsidRPr="00361D8E">
        <w:rPr>
          <w:rFonts w:asciiTheme="minorHAnsi" w:hAnsiTheme="minorHAnsi" w:cstheme="minorHAnsi"/>
          <w:sz w:val="24"/>
        </w:rPr>
        <w:t>used to plan subsequent activities, including the outdoor events described above (WO</w:t>
      </w:r>
      <w:r w:rsidR="005F3244">
        <w:rPr>
          <w:rFonts w:asciiTheme="minorHAnsi" w:hAnsiTheme="minorHAnsi" w:cstheme="minorHAnsi"/>
          <w:sz w:val="24"/>
        </w:rPr>
        <w:t xml:space="preserve"> </w:t>
      </w:r>
      <w:r w:rsidR="00F44303" w:rsidRPr="00361D8E">
        <w:rPr>
          <w:rFonts w:asciiTheme="minorHAnsi" w:hAnsiTheme="minorHAnsi" w:cstheme="minorHAnsi"/>
          <w:sz w:val="24"/>
          <w:szCs w:val="24"/>
        </w:rPr>
        <w:t>106/367: March 1916).</w:t>
      </w:r>
    </w:p>
    <w:p w:rsidR="00F44303" w:rsidRPr="00361D8E" w:rsidRDefault="00F44303" w:rsidP="00F44303">
      <w:pPr>
        <w:spacing w:line="360" w:lineRule="auto"/>
        <w:jc w:val="both"/>
        <w:rPr>
          <w:rFonts w:asciiTheme="minorHAnsi" w:hAnsiTheme="minorHAnsi" w:cstheme="minorHAnsi"/>
          <w:sz w:val="24"/>
          <w:szCs w:val="24"/>
        </w:rPr>
      </w:pPr>
      <w:r w:rsidRPr="00361D8E">
        <w:rPr>
          <w:rFonts w:asciiTheme="minorHAnsi" w:hAnsiTheme="minorHAnsi" w:cstheme="minorHAnsi"/>
          <w:sz w:val="24"/>
        </w:rPr>
        <w:t>Another, much larger attempt at gauging public opinion had been carried out earlier under the aegis of the Householders Return and Information Sub-Department. A brainchild of the Liberal campaigner Sir Jesse Herbert, this Sub-Department was tasked with determining precisely how many men would be willing to enlist and where these individuals resided in the United Kingdom (Dutton, 1989: 59). It did so by sending a form to all households in the country that included a ‘return’ which encouraged every male respondent to state his willingness to serve alongside his name, address and occupation. A pamphlet entitled ‘Advantages of the Army’ and a letter signed by the Presidents of the Parliamentary Recruiting Committee were included with the form, suggesting this was not an impartial attempt at information gathering, and responses were sorted by an estimated 2,000 volunteers in London</w:t>
      </w:r>
      <w:r w:rsidRPr="00361D8E">
        <w:rPr>
          <w:rFonts w:asciiTheme="minorHAnsi" w:hAnsiTheme="minorHAnsi" w:cstheme="minorHAnsi"/>
          <w:sz w:val="24"/>
          <w:szCs w:val="24"/>
        </w:rPr>
        <w:t xml:space="preserve">. </w:t>
      </w:r>
    </w:p>
    <w:p w:rsidR="00F44303" w:rsidRPr="00361D8E" w:rsidRDefault="00F44303" w:rsidP="00F44303">
      <w:pPr>
        <w:spacing w:line="360" w:lineRule="auto"/>
        <w:jc w:val="both"/>
        <w:rPr>
          <w:rFonts w:asciiTheme="minorHAnsi" w:hAnsiTheme="minorHAnsi" w:cstheme="minorHAnsi"/>
          <w:sz w:val="24"/>
        </w:rPr>
      </w:pPr>
      <w:r w:rsidRPr="00361D8E">
        <w:rPr>
          <w:rFonts w:asciiTheme="minorHAnsi" w:hAnsiTheme="minorHAnsi" w:cstheme="minorHAnsi"/>
          <w:sz w:val="24"/>
          <w:szCs w:val="24"/>
        </w:rPr>
        <w:t xml:space="preserve">Armed with the names and addresses of men </w:t>
      </w:r>
      <w:r w:rsidRPr="00361D8E">
        <w:rPr>
          <w:rFonts w:asciiTheme="minorHAnsi" w:hAnsiTheme="minorHAnsi" w:cstheme="minorHAnsi"/>
          <w:sz w:val="24"/>
        </w:rPr>
        <w:t>eager to join up, military authorities simply had to call on those men who had responded positively to the request. However, a section of the form also allowed respondents to make ‘queries’ of recruiters which, in the words of one official, ‘brought to light various matters which were retarding recruiting’ (WO</w:t>
      </w:r>
      <w:r w:rsidR="005F3244">
        <w:rPr>
          <w:rFonts w:asciiTheme="minorHAnsi" w:hAnsiTheme="minorHAnsi" w:cstheme="minorHAnsi"/>
          <w:sz w:val="24"/>
        </w:rPr>
        <w:t xml:space="preserve"> </w:t>
      </w:r>
      <w:r w:rsidRPr="00361D8E">
        <w:rPr>
          <w:rFonts w:asciiTheme="minorHAnsi" w:hAnsiTheme="minorHAnsi" w:cstheme="minorHAnsi"/>
          <w:sz w:val="24"/>
          <w:szCs w:val="24"/>
        </w:rPr>
        <w:t xml:space="preserve">106/367: </w:t>
      </w:r>
      <w:r w:rsidR="00E61839" w:rsidRPr="00E61839">
        <w:rPr>
          <w:rFonts w:asciiTheme="minorHAnsi" w:hAnsiTheme="minorHAnsi" w:cstheme="minorHAnsi"/>
          <w:color w:val="C00000"/>
          <w:sz w:val="24"/>
          <w:szCs w:val="24"/>
        </w:rPr>
        <w:t>A</w:t>
      </w:r>
      <w:r w:rsidRPr="00361D8E">
        <w:rPr>
          <w:rFonts w:asciiTheme="minorHAnsi" w:hAnsiTheme="minorHAnsi" w:cstheme="minorHAnsi"/>
          <w:sz w:val="24"/>
          <w:szCs w:val="24"/>
        </w:rPr>
        <w:t xml:space="preserve">) </w:t>
      </w:r>
      <w:r w:rsidRPr="00361D8E">
        <w:rPr>
          <w:rFonts w:asciiTheme="minorHAnsi" w:hAnsiTheme="minorHAnsi" w:cstheme="minorHAnsi"/>
          <w:sz w:val="24"/>
        </w:rPr>
        <w:t xml:space="preserve">and </w:t>
      </w:r>
      <w:r w:rsidRPr="00361D8E">
        <w:rPr>
          <w:rFonts w:asciiTheme="minorHAnsi" w:hAnsiTheme="minorHAnsi" w:cstheme="minorHAnsi"/>
          <w:sz w:val="24"/>
          <w:szCs w:val="24"/>
        </w:rPr>
        <w:t xml:space="preserve">provided an opportunity for those </w:t>
      </w:r>
      <w:r w:rsidRPr="00361D8E">
        <w:rPr>
          <w:rFonts w:asciiTheme="minorHAnsi" w:hAnsiTheme="minorHAnsi" w:cstheme="minorHAnsi"/>
          <w:i/>
          <w:sz w:val="24"/>
          <w:szCs w:val="24"/>
        </w:rPr>
        <w:t>unwilling</w:t>
      </w:r>
      <w:r w:rsidRPr="00361D8E">
        <w:rPr>
          <w:rFonts w:asciiTheme="minorHAnsi" w:hAnsiTheme="minorHAnsi" w:cstheme="minorHAnsi"/>
          <w:sz w:val="24"/>
          <w:szCs w:val="24"/>
        </w:rPr>
        <w:t xml:space="preserve"> to serve to justify their </w:t>
      </w:r>
      <w:r w:rsidR="00DD0BE1" w:rsidRPr="00DD0BE1">
        <w:rPr>
          <w:rFonts w:asciiTheme="minorHAnsi" w:hAnsiTheme="minorHAnsi" w:cstheme="minorHAnsi"/>
          <w:color w:val="C00000"/>
          <w:sz w:val="24"/>
        </w:rPr>
        <w:t xml:space="preserve">position </w:t>
      </w:r>
      <w:r w:rsidRPr="00361D8E">
        <w:rPr>
          <w:rFonts w:asciiTheme="minorHAnsi" w:hAnsiTheme="minorHAnsi" w:cstheme="minorHAnsi"/>
          <w:sz w:val="24"/>
        </w:rPr>
        <w:t>to the authorities</w:t>
      </w:r>
      <w:r w:rsidRPr="00361D8E">
        <w:rPr>
          <w:rFonts w:asciiTheme="minorHAnsi" w:hAnsiTheme="minorHAnsi" w:cstheme="minorHAnsi"/>
          <w:sz w:val="24"/>
          <w:szCs w:val="24"/>
        </w:rPr>
        <w:t xml:space="preserve">. </w:t>
      </w:r>
    </w:p>
    <w:p w:rsidR="00F44303" w:rsidRPr="00361D8E" w:rsidRDefault="00F44303" w:rsidP="00F44303">
      <w:pPr>
        <w:spacing w:after="240" w:line="276" w:lineRule="auto"/>
        <w:ind w:left="720"/>
        <w:jc w:val="both"/>
        <w:rPr>
          <w:rFonts w:asciiTheme="minorHAnsi" w:hAnsiTheme="minorHAnsi" w:cstheme="minorHAnsi"/>
          <w:sz w:val="24"/>
          <w:szCs w:val="24"/>
        </w:rPr>
      </w:pPr>
      <w:r w:rsidRPr="00361D8E">
        <w:rPr>
          <w:rFonts w:asciiTheme="minorHAnsi" w:hAnsiTheme="minorHAnsi" w:cstheme="minorHAnsi"/>
          <w:sz w:val="24"/>
          <w:szCs w:val="24"/>
        </w:rPr>
        <w:t xml:space="preserve">One man said he was suffering from ‘Fiscal Decay’; another from ‘Various Veighns’ and a third could not enlist but could ‘sell new laid eggs to the Government at 3/- per </w:t>
      </w:r>
      <w:proofErr w:type="gramStart"/>
      <w:r w:rsidRPr="00361D8E">
        <w:rPr>
          <w:rFonts w:asciiTheme="minorHAnsi" w:hAnsiTheme="minorHAnsi" w:cstheme="minorHAnsi"/>
          <w:sz w:val="24"/>
          <w:szCs w:val="24"/>
        </w:rPr>
        <w:t>dozen’!...</w:t>
      </w:r>
      <w:proofErr w:type="gramEnd"/>
      <w:r w:rsidRPr="00361D8E">
        <w:rPr>
          <w:rFonts w:asciiTheme="minorHAnsi" w:hAnsiTheme="minorHAnsi" w:cstheme="minorHAnsi"/>
          <w:sz w:val="24"/>
          <w:szCs w:val="24"/>
        </w:rPr>
        <w:t xml:space="preserve"> A dwarf wrote asking to be enlisted as a “Mascot” whilst quite a number sent long poetic effusions which they were anxious to have published. (WO</w:t>
      </w:r>
      <w:r w:rsidR="005F3244">
        <w:rPr>
          <w:rFonts w:asciiTheme="minorHAnsi" w:hAnsiTheme="minorHAnsi" w:cstheme="minorHAnsi"/>
          <w:sz w:val="24"/>
          <w:szCs w:val="24"/>
        </w:rPr>
        <w:t xml:space="preserve"> </w:t>
      </w:r>
      <w:r w:rsidRPr="00361D8E">
        <w:rPr>
          <w:rFonts w:asciiTheme="minorHAnsi" w:hAnsiTheme="minorHAnsi" w:cstheme="minorHAnsi"/>
          <w:sz w:val="24"/>
          <w:szCs w:val="24"/>
        </w:rPr>
        <w:t xml:space="preserve">106/367: </w:t>
      </w:r>
      <w:r w:rsidR="00E61839" w:rsidRPr="00E61839">
        <w:rPr>
          <w:rFonts w:asciiTheme="minorHAnsi" w:hAnsiTheme="minorHAnsi" w:cstheme="minorHAnsi"/>
          <w:color w:val="C00000"/>
          <w:sz w:val="24"/>
          <w:szCs w:val="24"/>
        </w:rPr>
        <w:t>D</w:t>
      </w:r>
      <w:r w:rsidRPr="00361D8E">
        <w:rPr>
          <w:rFonts w:asciiTheme="minorHAnsi" w:hAnsiTheme="minorHAnsi" w:cstheme="minorHAnsi"/>
          <w:sz w:val="24"/>
          <w:szCs w:val="24"/>
        </w:rPr>
        <w:t xml:space="preserve">)  </w:t>
      </w:r>
    </w:p>
    <w:p w:rsidR="00F44303" w:rsidRPr="00361D8E" w:rsidRDefault="00F44303" w:rsidP="00F44303">
      <w:pPr>
        <w:spacing w:line="360" w:lineRule="auto"/>
        <w:jc w:val="both"/>
        <w:rPr>
          <w:rFonts w:asciiTheme="minorHAnsi" w:hAnsiTheme="minorHAnsi" w:cstheme="minorHAnsi"/>
          <w:sz w:val="24"/>
          <w:szCs w:val="24"/>
        </w:rPr>
      </w:pPr>
      <w:r w:rsidRPr="00361D8E">
        <w:rPr>
          <w:rFonts w:asciiTheme="minorHAnsi" w:hAnsiTheme="minorHAnsi" w:cstheme="minorHAnsi"/>
          <w:sz w:val="24"/>
        </w:rPr>
        <w:t xml:space="preserve">As the flood of volunteers to recruiting depots receded into a trickle, more desperate measures to secure manpower for the armed forces were taken. The National Registration Act, passed in Parliament in July 1915, empowered local authorities to gather particulars on every man, woman and child living in the United Kingdom, and by August a National Register had been compiled which was used as a basis for a final voluntary recruiting drive in November. </w:t>
      </w:r>
      <w:r w:rsidRPr="00361D8E">
        <w:rPr>
          <w:rFonts w:asciiTheme="minorHAnsi" w:hAnsiTheme="minorHAnsi" w:cstheme="minorHAnsi"/>
          <w:sz w:val="24"/>
          <w:szCs w:val="24"/>
        </w:rPr>
        <w:t>Spearheaded by the Conservative peer Lord Derby, the ‘group system’ of voluntary enlistment, as it became known,</w:t>
      </w:r>
      <w:r w:rsidRPr="00361D8E">
        <w:rPr>
          <w:rStyle w:val="EndnoteReference"/>
          <w:rFonts w:asciiTheme="minorHAnsi" w:hAnsiTheme="minorHAnsi" w:cstheme="minorHAnsi"/>
          <w:sz w:val="24"/>
          <w:szCs w:val="24"/>
        </w:rPr>
        <w:endnoteReference w:id="6"/>
      </w:r>
      <w:r w:rsidRPr="00361D8E">
        <w:rPr>
          <w:rFonts w:asciiTheme="minorHAnsi" w:hAnsiTheme="minorHAnsi" w:cstheme="minorHAnsi"/>
          <w:sz w:val="24"/>
          <w:szCs w:val="24"/>
        </w:rPr>
        <w:t xml:space="preserve"> encouraged men to ‘pledge allegiance’ to the country in a manner similar to the </w:t>
      </w:r>
      <w:r w:rsidRPr="00361D8E">
        <w:rPr>
          <w:rFonts w:asciiTheme="minorHAnsi" w:hAnsiTheme="minorHAnsi" w:cstheme="minorHAnsi"/>
          <w:sz w:val="24"/>
          <w:szCs w:val="24"/>
        </w:rPr>
        <w:lastRenderedPageBreak/>
        <w:t xml:space="preserve">Householders Return. However, unlike the </w:t>
      </w:r>
      <w:r w:rsidR="00B442D1" w:rsidRPr="00361D8E">
        <w:rPr>
          <w:rFonts w:asciiTheme="minorHAnsi" w:hAnsiTheme="minorHAnsi" w:cstheme="minorHAnsi"/>
          <w:sz w:val="24"/>
          <w:szCs w:val="24"/>
        </w:rPr>
        <w:t>return</w:t>
      </w:r>
      <w:r w:rsidRPr="00361D8E">
        <w:rPr>
          <w:rFonts w:asciiTheme="minorHAnsi" w:hAnsiTheme="minorHAnsi" w:cstheme="minorHAnsi"/>
          <w:sz w:val="24"/>
          <w:szCs w:val="24"/>
        </w:rPr>
        <w:t xml:space="preserve"> it involved door-to-door canvassing rather than postal communication, with canvassers given detailed instructions on how to ‘put before [men] plainly and politely the need of the Country’.  </w:t>
      </w:r>
    </w:p>
    <w:p w:rsidR="00F44303" w:rsidRPr="00361D8E" w:rsidRDefault="00F44303" w:rsidP="00F44303">
      <w:pPr>
        <w:spacing w:after="240" w:line="276" w:lineRule="auto"/>
        <w:ind w:left="720"/>
        <w:jc w:val="both"/>
        <w:rPr>
          <w:rFonts w:asciiTheme="minorHAnsi" w:hAnsiTheme="minorHAnsi" w:cstheme="minorHAnsi"/>
          <w:sz w:val="24"/>
          <w:szCs w:val="24"/>
        </w:rPr>
      </w:pPr>
      <w:r w:rsidRPr="00361D8E">
        <w:rPr>
          <w:rFonts w:asciiTheme="minorHAnsi" w:hAnsiTheme="minorHAnsi" w:cstheme="minorHAnsi"/>
          <w:sz w:val="24"/>
          <w:szCs w:val="24"/>
        </w:rPr>
        <w:t xml:space="preserve">Do not bully or threaten. If he agrees, give him all the necessary information as to where and how he may enlist. If he hesitates or refuses, try to find out what are his reasons. Note these carefully. Ascertain whether his difficulties or objections can be removed by furnishing him with information on any specific point...or by some possible action with his employer or relations. </w:t>
      </w:r>
      <w:r w:rsidR="005F3244">
        <w:rPr>
          <w:rFonts w:asciiTheme="minorHAnsi" w:hAnsiTheme="minorHAnsi" w:cstheme="minorHAnsi"/>
          <w:sz w:val="24"/>
          <w:szCs w:val="24"/>
        </w:rPr>
        <w:t xml:space="preserve"> </w:t>
      </w:r>
      <w:r w:rsidRPr="00361D8E">
        <w:rPr>
          <w:rFonts w:asciiTheme="minorHAnsi" w:hAnsiTheme="minorHAnsi" w:cstheme="minorHAnsi"/>
          <w:sz w:val="24"/>
          <w:szCs w:val="24"/>
        </w:rPr>
        <w:t>(WO</w:t>
      </w:r>
      <w:r w:rsidR="005F3244">
        <w:rPr>
          <w:rFonts w:asciiTheme="minorHAnsi" w:hAnsiTheme="minorHAnsi" w:cstheme="minorHAnsi"/>
          <w:sz w:val="24"/>
          <w:szCs w:val="24"/>
        </w:rPr>
        <w:t xml:space="preserve"> </w:t>
      </w:r>
      <w:r w:rsidRPr="00361D8E">
        <w:rPr>
          <w:rFonts w:asciiTheme="minorHAnsi" w:hAnsiTheme="minorHAnsi" w:cstheme="minorHAnsi"/>
          <w:sz w:val="24"/>
          <w:szCs w:val="24"/>
        </w:rPr>
        <w:t xml:space="preserve">106/367: </w:t>
      </w:r>
      <w:r w:rsidR="00E61839" w:rsidRPr="00E61839">
        <w:rPr>
          <w:rFonts w:asciiTheme="minorHAnsi" w:hAnsiTheme="minorHAnsi" w:cstheme="minorHAnsi"/>
          <w:color w:val="C00000"/>
          <w:sz w:val="24"/>
          <w:szCs w:val="24"/>
        </w:rPr>
        <w:t>E</w:t>
      </w:r>
      <w:r w:rsidRPr="00361D8E">
        <w:rPr>
          <w:rFonts w:asciiTheme="minorHAnsi" w:hAnsiTheme="minorHAnsi" w:cstheme="minorHAnsi"/>
          <w:sz w:val="24"/>
          <w:szCs w:val="24"/>
        </w:rPr>
        <w:t>)</w:t>
      </w:r>
    </w:p>
    <w:p w:rsidR="00F44303" w:rsidRPr="00361D8E" w:rsidRDefault="00F44303" w:rsidP="00F44303">
      <w:pPr>
        <w:spacing w:line="360" w:lineRule="auto"/>
        <w:jc w:val="both"/>
        <w:rPr>
          <w:rFonts w:asciiTheme="minorHAnsi" w:hAnsiTheme="minorHAnsi" w:cstheme="minorHAnsi"/>
          <w:sz w:val="24"/>
          <w:szCs w:val="24"/>
        </w:rPr>
      </w:pPr>
      <w:r w:rsidRPr="00361D8E">
        <w:rPr>
          <w:rFonts w:asciiTheme="minorHAnsi" w:hAnsiTheme="minorHAnsi" w:cstheme="minorHAnsi"/>
          <w:sz w:val="24"/>
          <w:szCs w:val="24"/>
        </w:rPr>
        <w:t>A great deal has been written about the many underhanded attempts to coerce men into joining the New Armies in the early stages of the war</w:t>
      </w:r>
      <w:r w:rsidR="00B442D1" w:rsidRPr="00361D8E">
        <w:rPr>
          <w:rFonts w:asciiTheme="minorHAnsi" w:hAnsiTheme="minorHAnsi" w:cstheme="minorHAnsi"/>
          <w:sz w:val="24"/>
          <w:szCs w:val="24"/>
        </w:rPr>
        <w:t xml:space="preserve"> (Marwick, 1976; Adams, 1985; Dutton, 1989; Gullace, 1997; Hiley, 1997; Green, 2014)</w:t>
      </w:r>
      <w:r w:rsidRPr="00361D8E">
        <w:rPr>
          <w:rFonts w:asciiTheme="minorHAnsi" w:hAnsiTheme="minorHAnsi" w:cstheme="minorHAnsi"/>
          <w:sz w:val="24"/>
          <w:szCs w:val="24"/>
        </w:rPr>
        <w:t xml:space="preserve"> and the Parliamentary Recruiting Committee does not appear to have been blameless in this regard. According to its own records, it arranged a series of conferences with major employers in towns and cities </w:t>
      </w:r>
      <w:r w:rsidRPr="004B5DDF">
        <w:rPr>
          <w:rFonts w:asciiTheme="minorHAnsi" w:hAnsiTheme="minorHAnsi" w:cstheme="minorHAnsi"/>
          <w:color w:val="C00000"/>
          <w:sz w:val="24"/>
          <w:szCs w:val="24"/>
        </w:rPr>
        <w:t xml:space="preserve">with </w:t>
      </w:r>
      <w:r w:rsidR="004B5DDF" w:rsidRPr="004B5DDF">
        <w:rPr>
          <w:rFonts w:asciiTheme="minorHAnsi" w:hAnsiTheme="minorHAnsi" w:cstheme="minorHAnsi"/>
          <w:color w:val="C00000"/>
          <w:sz w:val="24"/>
          <w:szCs w:val="24"/>
        </w:rPr>
        <w:t>the intention of</w:t>
      </w:r>
      <w:r w:rsidRPr="00361D8E">
        <w:rPr>
          <w:rFonts w:asciiTheme="minorHAnsi" w:hAnsiTheme="minorHAnsi" w:cstheme="minorHAnsi"/>
          <w:sz w:val="24"/>
          <w:szCs w:val="24"/>
        </w:rPr>
        <w:t xml:space="preserve"> ‘</w:t>
      </w:r>
      <w:proofErr w:type="spellStart"/>
      <w:r w:rsidRPr="00361D8E">
        <w:rPr>
          <w:rFonts w:asciiTheme="minorHAnsi" w:hAnsiTheme="minorHAnsi" w:cstheme="minorHAnsi"/>
          <w:sz w:val="24"/>
          <w:szCs w:val="24"/>
        </w:rPr>
        <w:t>liberat</w:t>
      </w:r>
      <w:proofErr w:type="spellEnd"/>
      <w:r w:rsidR="004B5DDF" w:rsidRPr="004B5DDF">
        <w:rPr>
          <w:rFonts w:asciiTheme="minorHAnsi" w:hAnsiTheme="minorHAnsi" w:cstheme="minorHAnsi"/>
          <w:color w:val="C00000"/>
          <w:sz w:val="24"/>
          <w:szCs w:val="24"/>
        </w:rPr>
        <w:t>[</w:t>
      </w:r>
      <w:proofErr w:type="spellStart"/>
      <w:r w:rsidR="004B5DDF" w:rsidRPr="004B5DDF">
        <w:rPr>
          <w:rFonts w:asciiTheme="minorHAnsi" w:hAnsiTheme="minorHAnsi" w:cstheme="minorHAnsi"/>
          <w:color w:val="C00000"/>
          <w:sz w:val="24"/>
          <w:szCs w:val="24"/>
        </w:rPr>
        <w:t>ing</w:t>
      </w:r>
      <w:proofErr w:type="spellEnd"/>
      <w:r w:rsidR="004B5DDF" w:rsidRPr="004B5DDF">
        <w:rPr>
          <w:rFonts w:asciiTheme="minorHAnsi" w:hAnsiTheme="minorHAnsi" w:cstheme="minorHAnsi"/>
          <w:color w:val="C00000"/>
          <w:sz w:val="24"/>
          <w:szCs w:val="24"/>
        </w:rPr>
        <w:t>]</w:t>
      </w:r>
      <w:r w:rsidRPr="00361D8E">
        <w:rPr>
          <w:rFonts w:asciiTheme="minorHAnsi" w:hAnsiTheme="minorHAnsi" w:cstheme="minorHAnsi"/>
          <w:sz w:val="24"/>
          <w:szCs w:val="24"/>
        </w:rPr>
        <w:t>’ men from civilian employment (WO</w:t>
      </w:r>
      <w:r w:rsidR="005F3244">
        <w:rPr>
          <w:rFonts w:asciiTheme="minorHAnsi" w:hAnsiTheme="minorHAnsi" w:cstheme="minorHAnsi"/>
          <w:sz w:val="24"/>
          <w:szCs w:val="24"/>
        </w:rPr>
        <w:t xml:space="preserve"> </w:t>
      </w:r>
      <w:r w:rsidRPr="00361D8E">
        <w:rPr>
          <w:rFonts w:asciiTheme="minorHAnsi" w:hAnsiTheme="minorHAnsi" w:cstheme="minorHAnsi"/>
          <w:sz w:val="24"/>
          <w:szCs w:val="24"/>
        </w:rPr>
        <w:t>106/367: March 1916). Other, more subtle attempts to pressurise men into joining up were carried out by the Publicity Sub-Department, a body tasked with keeping the press ‘informed’ of the activities of the Committee</w:t>
      </w:r>
      <w:r w:rsidR="004B5DDF">
        <w:rPr>
          <w:rFonts w:asciiTheme="minorHAnsi" w:hAnsiTheme="minorHAnsi" w:cstheme="minorHAnsi"/>
          <w:sz w:val="24"/>
          <w:szCs w:val="24"/>
        </w:rPr>
        <w:t>,</w:t>
      </w:r>
      <w:r w:rsidRPr="00361D8E">
        <w:rPr>
          <w:rFonts w:asciiTheme="minorHAnsi" w:hAnsiTheme="minorHAnsi" w:cstheme="minorHAnsi"/>
          <w:sz w:val="24"/>
          <w:szCs w:val="24"/>
        </w:rPr>
        <w:t xml:space="preserve"> which recorded</w:t>
      </w:r>
    </w:p>
    <w:p w:rsidR="00F44303" w:rsidRPr="00361D8E" w:rsidRDefault="00F44303" w:rsidP="00F44303">
      <w:pPr>
        <w:spacing w:after="240" w:line="276" w:lineRule="auto"/>
        <w:ind w:left="720"/>
        <w:jc w:val="both"/>
        <w:rPr>
          <w:rFonts w:asciiTheme="minorHAnsi" w:hAnsiTheme="minorHAnsi" w:cstheme="minorHAnsi"/>
          <w:sz w:val="24"/>
          <w:szCs w:val="24"/>
        </w:rPr>
      </w:pPr>
      <w:proofErr w:type="gramStart"/>
      <w:r w:rsidRPr="00361D8E">
        <w:rPr>
          <w:rFonts w:asciiTheme="minorHAnsi" w:hAnsiTheme="minorHAnsi" w:cstheme="minorHAnsi"/>
          <w:sz w:val="24"/>
          <w:szCs w:val="24"/>
        </w:rPr>
        <w:t>especial</w:t>
      </w:r>
      <w:proofErr w:type="gramEnd"/>
      <w:r w:rsidRPr="00361D8E">
        <w:rPr>
          <w:rFonts w:asciiTheme="minorHAnsi" w:hAnsiTheme="minorHAnsi" w:cstheme="minorHAnsi"/>
          <w:sz w:val="24"/>
          <w:szCs w:val="24"/>
        </w:rPr>
        <w:t xml:space="preserve"> thanks…to  the hundreds of daily and weekly newspapers throughout the county who, according to the request of the Sub-Department, continuously placed valuable space at the disposal of the Department, and warmly espoused the recruiting campaign in their Editorial columns. (WO</w:t>
      </w:r>
      <w:r w:rsidR="005F3244">
        <w:rPr>
          <w:rFonts w:asciiTheme="minorHAnsi" w:hAnsiTheme="minorHAnsi" w:cstheme="minorHAnsi"/>
          <w:sz w:val="24"/>
          <w:szCs w:val="24"/>
        </w:rPr>
        <w:t xml:space="preserve"> </w:t>
      </w:r>
      <w:r w:rsidRPr="00361D8E">
        <w:rPr>
          <w:rFonts w:asciiTheme="minorHAnsi" w:hAnsiTheme="minorHAnsi" w:cstheme="minorHAnsi"/>
          <w:sz w:val="24"/>
          <w:szCs w:val="24"/>
        </w:rPr>
        <w:t xml:space="preserve">106/367: </w:t>
      </w:r>
      <w:r w:rsidR="00E61839" w:rsidRPr="00E61839">
        <w:rPr>
          <w:rFonts w:asciiTheme="minorHAnsi" w:hAnsiTheme="minorHAnsi" w:cstheme="minorHAnsi"/>
          <w:color w:val="C00000"/>
          <w:sz w:val="24"/>
          <w:szCs w:val="24"/>
        </w:rPr>
        <w:t>F</w:t>
      </w:r>
      <w:r w:rsidRPr="00361D8E">
        <w:rPr>
          <w:rFonts w:asciiTheme="minorHAnsi" w:hAnsiTheme="minorHAnsi" w:cstheme="minorHAnsi"/>
          <w:sz w:val="24"/>
          <w:szCs w:val="24"/>
        </w:rPr>
        <w:t xml:space="preserve">) </w:t>
      </w:r>
    </w:p>
    <w:p w:rsidR="000E36EB" w:rsidRPr="00361D8E" w:rsidRDefault="00F44303" w:rsidP="00F44303">
      <w:pPr>
        <w:spacing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 xml:space="preserve">There can be little doubt that the majority of British newspapers enthusiastically supported the voluntary recruiting effort until the first stirrings of dissent began to materialise in 1915. Even the stridently anti-war </w:t>
      </w:r>
      <w:r w:rsidRPr="00361D8E">
        <w:rPr>
          <w:rFonts w:asciiTheme="minorHAnsi" w:hAnsiTheme="minorHAnsi" w:cstheme="minorHAnsi"/>
          <w:i/>
          <w:sz w:val="24"/>
          <w:szCs w:val="24"/>
        </w:rPr>
        <w:t>Manchester Guardian</w:t>
      </w:r>
      <w:r w:rsidRPr="00361D8E">
        <w:rPr>
          <w:rFonts w:asciiTheme="minorHAnsi" w:hAnsiTheme="minorHAnsi" w:cstheme="minorHAnsi"/>
          <w:sz w:val="24"/>
          <w:szCs w:val="24"/>
        </w:rPr>
        <w:t xml:space="preserve"> reversed its editorial position on the war a couple of days after </w:t>
      </w:r>
      <w:r w:rsidRPr="004B5DDF">
        <w:rPr>
          <w:rFonts w:asciiTheme="minorHAnsi" w:hAnsiTheme="minorHAnsi" w:cstheme="minorHAnsi"/>
          <w:color w:val="C00000"/>
          <w:sz w:val="24"/>
          <w:szCs w:val="24"/>
        </w:rPr>
        <w:t>it</w:t>
      </w:r>
      <w:r w:rsidR="004B5DDF" w:rsidRPr="004B5DDF">
        <w:rPr>
          <w:rFonts w:asciiTheme="minorHAnsi" w:hAnsiTheme="minorHAnsi" w:cstheme="minorHAnsi"/>
          <w:color w:val="C00000"/>
          <w:sz w:val="24"/>
          <w:szCs w:val="24"/>
        </w:rPr>
        <w:t xml:space="preserve"> wa</w:t>
      </w:r>
      <w:r w:rsidRPr="004B5DDF">
        <w:rPr>
          <w:rFonts w:asciiTheme="minorHAnsi" w:hAnsiTheme="minorHAnsi" w:cstheme="minorHAnsi"/>
          <w:color w:val="C00000"/>
          <w:sz w:val="24"/>
          <w:szCs w:val="24"/>
        </w:rPr>
        <w:t>s declar</w:t>
      </w:r>
      <w:r w:rsidR="004B5DDF" w:rsidRPr="004B5DDF">
        <w:rPr>
          <w:rFonts w:asciiTheme="minorHAnsi" w:hAnsiTheme="minorHAnsi" w:cstheme="minorHAnsi"/>
          <w:color w:val="C00000"/>
          <w:sz w:val="24"/>
          <w:szCs w:val="24"/>
        </w:rPr>
        <w:t>ed</w:t>
      </w:r>
      <w:r w:rsidRPr="00361D8E">
        <w:rPr>
          <w:rFonts w:asciiTheme="minorHAnsi" w:hAnsiTheme="minorHAnsi" w:cstheme="minorHAnsi"/>
          <w:sz w:val="24"/>
          <w:szCs w:val="24"/>
        </w:rPr>
        <w:t xml:space="preserve">, with only the </w:t>
      </w:r>
      <w:r w:rsidRPr="00361D8E">
        <w:rPr>
          <w:rFonts w:asciiTheme="minorHAnsi" w:hAnsiTheme="minorHAnsi" w:cstheme="minorHAnsi"/>
          <w:i/>
          <w:sz w:val="24"/>
          <w:szCs w:val="24"/>
        </w:rPr>
        <w:t>Daily Herald</w:t>
      </w:r>
      <w:r w:rsidRPr="00361D8E">
        <w:rPr>
          <w:rFonts w:asciiTheme="minorHAnsi" w:hAnsiTheme="minorHAnsi" w:cstheme="minorHAnsi"/>
          <w:sz w:val="24"/>
          <w:szCs w:val="24"/>
        </w:rPr>
        <w:t xml:space="preserve">, predecessor to the </w:t>
      </w:r>
      <w:r w:rsidRPr="00361D8E">
        <w:rPr>
          <w:rFonts w:asciiTheme="minorHAnsi" w:hAnsiTheme="minorHAnsi" w:cstheme="minorHAnsi"/>
          <w:i/>
          <w:sz w:val="24"/>
          <w:szCs w:val="24"/>
        </w:rPr>
        <w:t>Sun</w:t>
      </w:r>
      <w:r w:rsidRPr="00361D8E">
        <w:rPr>
          <w:rFonts w:asciiTheme="minorHAnsi" w:hAnsiTheme="minorHAnsi" w:cstheme="minorHAnsi"/>
          <w:sz w:val="24"/>
          <w:szCs w:val="24"/>
        </w:rPr>
        <w:t xml:space="preserve">, and </w:t>
      </w:r>
      <w:r w:rsidRPr="00361D8E">
        <w:rPr>
          <w:rFonts w:asciiTheme="minorHAnsi" w:hAnsiTheme="minorHAnsi" w:cstheme="minorHAnsi"/>
          <w:i/>
          <w:sz w:val="24"/>
          <w:szCs w:val="24"/>
        </w:rPr>
        <w:t>Labour Leader</w:t>
      </w:r>
      <w:r w:rsidRPr="00361D8E">
        <w:rPr>
          <w:rFonts w:asciiTheme="minorHAnsi" w:hAnsiTheme="minorHAnsi" w:cstheme="minorHAnsi"/>
          <w:sz w:val="24"/>
          <w:szCs w:val="24"/>
        </w:rPr>
        <w:t xml:space="preserve">, </w:t>
      </w:r>
      <w:r w:rsidR="004B5DDF">
        <w:rPr>
          <w:rFonts w:asciiTheme="minorHAnsi" w:hAnsiTheme="minorHAnsi" w:cstheme="minorHAnsi"/>
          <w:sz w:val="24"/>
          <w:szCs w:val="24"/>
        </w:rPr>
        <w:t xml:space="preserve">a </w:t>
      </w:r>
      <w:r w:rsidRPr="00361D8E">
        <w:rPr>
          <w:rFonts w:asciiTheme="minorHAnsi" w:hAnsiTheme="minorHAnsi" w:cstheme="minorHAnsi"/>
          <w:sz w:val="24"/>
          <w:szCs w:val="24"/>
        </w:rPr>
        <w:t xml:space="preserve">small-circulation socialist daily, voicing opposition. Nevertheless, it is not easy to determine whether the positive coverage recruitment received in the press was the result of external political pressure, or whether it was in fact a reflection of pre-existing bellicosity on the part of the fourth estate. The records of the Publicity Sub-Department do not list the names of any journalists, editors or proprietors who ‘warmly espoused’ the recruiting campaign, and the identity of any collaborators remains a mystery. </w:t>
      </w:r>
    </w:p>
    <w:p w:rsidR="00F44303" w:rsidRPr="00361D8E" w:rsidRDefault="00F44303" w:rsidP="00F44303">
      <w:pPr>
        <w:spacing w:after="120" w:line="360" w:lineRule="auto"/>
        <w:jc w:val="both"/>
        <w:rPr>
          <w:rFonts w:asciiTheme="minorHAnsi" w:hAnsiTheme="minorHAnsi" w:cstheme="minorHAnsi"/>
          <w:sz w:val="24"/>
        </w:rPr>
      </w:pPr>
      <w:r w:rsidRPr="00361D8E">
        <w:rPr>
          <w:rFonts w:asciiTheme="minorHAnsi" w:hAnsiTheme="minorHAnsi" w:cstheme="minorHAnsi"/>
          <w:sz w:val="24"/>
          <w:szCs w:val="24"/>
        </w:rPr>
        <w:lastRenderedPageBreak/>
        <w:t>One possible</w:t>
      </w:r>
      <w:r w:rsidRPr="00361D8E">
        <w:rPr>
          <w:rFonts w:asciiTheme="minorHAnsi" w:hAnsiTheme="minorHAnsi" w:cstheme="minorHAnsi"/>
          <w:sz w:val="24"/>
        </w:rPr>
        <w:t xml:space="preserve"> explanation, mentioned in Mick Temple’s (2008: 31) account of the period, is that the prevalence of ‘jingoistic propaganda’ in Britain made opposition to the war a form of ‘commercial suicide for newspapers’; support for recruiting, in this sense, reflected the attitudes of </w:t>
      </w:r>
      <w:r w:rsidRPr="00361D8E">
        <w:rPr>
          <w:rFonts w:asciiTheme="minorHAnsi" w:hAnsiTheme="minorHAnsi" w:cstheme="minorHAnsi"/>
          <w:i/>
          <w:sz w:val="24"/>
        </w:rPr>
        <w:t>readers</w:t>
      </w:r>
      <w:r w:rsidRPr="00361D8E">
        <w:rPr>
          <w:rFonts w:asciiTheme="minorHAnsi" w:hAnsiTheme="minorHAnsi" w:cstheme="minorHAnsi"/>
          <w:sz w:val="24"/>
        </w:rPr>
        <w:t>, not the state. Another explanation is that collusion between the state and the press extended to the upper echelons of British society, with newspaper proprietors not only actively co</w:t>
      </w:r>
      <w:r w:rsidR="001E6EE1" w:rsidRPr="00361D8E">
        <w:rPr>
          <w:rFonts w:asciiTheme="minorHAnsi" w:hAnsiTheme="minorHAnsi" w:cstheme="minorHAnsi"/>
          <w:sz w:val="24"/>
        </w:rPr>
        <w:t>urted before and during the war</w:t>
      </w:r>
      <w:r w:rsidRPr="00361D8E">
        <w:rPr>
          <w:rFonts w:asciiTheme="minorHAnsi" w:hAnsiTheme="minorHAnsi" w:cstheme="minorHAnsi"/>
          <w:sz w:val="24"/>
        </w:rPr>
        <w:t xml:space="preserve"> but given senior positions in David Lloyd George’s government as well.</w:t>
      </w:r>
      <w:r w:rsidRPr="001648C2">
        <w:rPr>
          <w:rStyle w:val="EndnoteReference"/>
          <w:rFonts w:asciiTheme="minorHAnsi" w:hAnsiTheme="minorHAnsi" w:cstheme="minorHAnsi"/>
          <w:color w:val="FF0000"/>
          <w:sz w:val="24"/>
        </w:rPr>
        <w:endnoteReference w:id="7"/>
      </w:r>
      <w:r w:rsidRPr="001648C2">
        <w:rPr>
          <w:rFonts w:asciiTheme="minorHAnsi" w:hAnsiTheme="minorHAnsi" w:cstheme="minorHAnsi"/>
          <w:color w:val="FF0000"/>
          <w:sz w:val="24"/>
        </w:rPr>
        <w:t xml:space="preserve"> </w:t>
      </w:r>
    </w:p>
    <w:p w:rsidR="00F9421A" w:rsidRPr="00361D8E" w:rsidRDefault="00EB76BD" w:rsidP="00040E22">
      <w:pPr>
        <w:spacing w:before="240" w:after="0" w:line="276" w:lineRule="auto"/>
        <w:rPr>
          <w:rFonts w:asciiTheme="minorHAnsi" w:hAnsiTheme="minorHAnsi" w:cstheme="minorHAnsi"/>
          <w:b/>
          <w:sz w:val="28"/>
          <w:szCs w:val="24"/>
        </w:rPr>
      </w:pPr>
      <w:r w:rsidRPr="00361D8E">
        <w:rPr>
          <w:rFonts w:asciiTheme="minorHAnsi" w:hAnsiTheme="minorHAnsi" w:cstheme="minorHAnsi"/>
          <w:b/>
          <w:sz w:val="28"/>
          <w:szCs w:val="24"/>
        </w:rPr>
        <w:t>Wartime Mobilisation</w:t>
      </w:r>
      <w:r w:rsidR="00053A99" w:rsidRPr="00361D8E">
        <w:rPr>
          <w:rFonts w:asciiTheme="minorHAnsi" w:hAnsiTheme="minorHAnsi" w:cstheme="minorHAnsi"/>
          <w:b/>
          <w:sz w:val="28"/>
          <w:szCs w:val="24"/>
        </w:rPr>
        <w:t xml:space="preserve"> and the Home Front</w:t>
      </w:r>
    </w:p>
    <w:p w:rsidR="00BD07CF" w:rsidRPr="00361D8E" w:rsidRDefault="00053A99" w:rsidP="00BD07CF">
      <w:pPr>
        <w:spacing w:before="120"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Given the extent of the Parliamentary Recruiting Committee’s work, it is worth considering what impact</w:t>
      </w:r>
      <w:r w:rsidR="00040E22" w:rsidRPr="00361D8E">
        <w:rPr>
          <w:rFonts w:asciiTheme="minorHAnsi" w:hAnsiTheme="minorHAnsi" w:cstheme="minorHAnsi"/>
          <w:sz w:val="24"/>
          <w:szCs w:val="24"/>
        </w:rPr>
        <w:t>,</w:t>
      </w:r>
      <w:r w:rsidRPr="00361D8E">
        <w:rPr>
          <w:rFonts w:asciiTheme="minorHAnsi" w:hAnsiTheme="minorHAnsi" w:cstheme="minorHAnsi"/>
          <w:sz w:val="24"/>
          <w:szCs w:val="24"/>
        </w:rPr>
        <w:t xml:space="preserve"> if any</w:t>
      </w:r>
      <w:r w:rsidR="00040E22" w:rsidRPr="00361D8E">
        <w:rPr>
          <w:rFonts w:asciiTheme="minorHAnsi" w:hAnsiTheme="minorHAnsi" w:cstheme="minorHAnsi"/>
          <w:sz w:val="24"/>
          <w:szCs w:val="24"/>
        </w:rPr>
        <w:t>,</w:t>
      </w:r>
      <w:r w:rsidRPr="00361D8E">
        <w:rPr>
          <w:rFonts w:asciiTheme="minorHAnsi" w:hAnsiTheme="minorHAnsi" w:cstheme="minorHAnsi"/>
          <w:sz w:val="24"/>
          <w:szCs w:val="24"/>
        </w:rPr>
        <w:t xml:space="preserve"> it had on wartime </w:t>
      </w:r>
      <w:r w:rsidR="00C96C9B" w:rsidRPr="00361D8E">
        <w:rPr>
          <w:rFonts w:asciiTheme="minorHAnsi" w:hAnsiTheme="minorHAnsi" w:cstheme="minorHAnsi"/>
          <w:sz w:val="24"/>
          <w:szCs w:val="24"/>
        </w:rPr>
        <w:t xml:space="preserve">feeling </w:t>
      </w:r>
      <w:r w:rsidRPr="00361D8E">
        <w:rPr>
          <w:rFonts w:asciiTheme="minorHAnsi" w:hAnsiTheme="minorHAnsi" w:cstheme="minorHAnsi"/>
          <w:sz w:val="24"/>
          <w:szCs w:val="24"/>
        </w:rPr>
        <w:t>and</w:t>
      </w:r>
      <w:r w:rsidR="00C96C9B" w:rsidRPr="00361D8E">
        <w:rPr>
          <w:rFonts w:asciiTheme="minorHAnsi" w:hAnsiTheme="minorHAnsi" w:cstheme="minorHAnsi"/>
          <w:sz w:val="24"/>
          <w:szCs w:val="24"/>
        </w:rPr>
        <w:t xml:space="preserve"> sentiment</w:t>
      </w:r>
      <w:r w:rsidRPr="00361D8E">
        <w:rPr>
          <w:rFonts w:asciiTheme="minorHAnsi" w:hAnsiTheme="minorHAnsi" w:cstheme="minorHAnsi"/>
          <w:sz w:val="24"/>
          <w:szCs w:val="24"/>
        </w:rPr>
        <w:t>. A belief in the persuasive power of recruiting appeals and the mass media that carried them became a defining motif of interwar commentary on Great War propaganda, inspiring what may have been the first academic studies of the media in Britain, Germany and the United States (for a discussion of this literatur</w:t>
      </w:r>
      <w:r w:rsidR="00CB7D1C" w:rsidRPr="00361D8E">
        <w:rPr>
          <w:rFonts w:asciiTheme="minorHAnsi" w:hAnsiTheme="minorHAnsi" w:cstheme="minorHAnsi"/>
          <w:sz w:val="24"/>
          <w:szCs w:val="24"/>
        </w:rPr>
        <w:t>e</w:t>
      </w:r>
      <w:r w:rsidR="004B5DDF">
        <w:rPr>
          <w:rFonts w:asciiTheme="minorHAnsi" w:hAnsiTheme="minorHAnsi" w:cstheme="minorHAnsi"/>
          <w:sz w:val="24"/>
          <w:szCs w:val="24"/>
        </w:rPr>
        <w:t>,</w:t>
      </w:r>
      <w:r w:rsidRPr="00361D8E">
        <w:rPr>
          <w:rFonts w:asciiTheme="minorHAnsi" w:hAnsiTheme="minorHAnsi" w:cstheme="minorHAnsi"/>
          <w:sz w:val="24"/>
          <w:szCs w:val="24"/>
        </w:rPr>
        <w:t xml:space="preserve"> see Gullace, 2011). Yet </w:t>
      </w:r>
      <w:r w:rsidR="00BD07CF" w:rsidRPr="00361D8E">
        <w:rPr>
          <w:rFonts w:asciiTheme="minorHAnsi" w:hAnsiTheme="minorHAnsi" w:cstheme="minorHAnsi"/>
          <w:sz w:val="24"/>
          <w:szCs w:val="24"/>
        </w:rPr>
        <w:t>since the 19</w:t>
      </w:r>
      <w:r w:rsidR="00C96C9B" w:rsidRPr="00361D8E">
        <w:rPr>
          <w:rFonts w:asciiTheme="minorHAnsi" w:hAnsiTheme="minorHAnsi" w:cstheme="minorHAnsi"/>
          <w:sz w:val="24"/>
          <w:szCs w:val="24"/>
        </w:rPr>
        <w:t>8</w:t>
      </w:r>
      <w:r w:rsidR="00BD07CF" w:rsidRPr="00361D8E">
        <w:rPr>
          <w:rFonts w:asciiTheme="minorHAnsi" w:hAnsiTheme="minorHAnsi" w:cstheme="minorHAnsi"/>
          <w:sz w:val="24"/>
          <w:szCs w:val="24"/>
        </w:rPr>
        <w:t>0s historians of First World War propaganda have tended to place less stock in the power of governments to shape and mould public opinion</w:t>
      </w:r>
      <w:r w:rsidR="00C96C9B" w:rsidRPr="00361D8E">
        <w:rPr>
          <w:rFonts w:asciiTheme="minorHAnsi" w:hAnsiTheme="minorHAnsi" w:cstheme="minorHAnsi"/>
          <w:sz w:val="24"/>
          <w:szCs w:val="24"/>
        </w:rPr>
        <w:t xml:space="preserve">, preferring rather to emphasise broader </w:t>
      </w:r>
      <w:r w:rsidR="002917CE" w:rsidRPr="00361D8E">
        <w:rPr>
          <w:rFonts w:asciiTheme="minorHAnsi" w:hAnsiTheme="minorHAnsi" w:cstheme="minorHAnsi"/>
          <w:sz w:val="24"/>
          <w:szCs w:val="24"/>
        </w:rPr>
        <w:t>economic, demographic and institutional factors (Dewey, 1984)</w:t>
      </w:r>
      <w:r w:rsidR="00BD07CF" w:rsidRPr="00361D8E">
        <w:rPr>
          <w:rFonts w:asciiTheme="minorHAnsi" w:hAnsiTheme="minorHAnsi" w:cstheme="minorHAnsi"/>
          <w:sz w:val="24"/>
          <w:szCs w:val="24"/>
        </w:rPr>
        <w:t xml:space="preserve">. </w:t>
      </w:r>
      <w:r w:rsidR="00C96C9B" w:rsidRPr="00361D8E">
        <w:rPr>
          <w:rFonts w:asciiTheme="minorHAnsi" w:hAnsiTheme="minorHAnsi" w:cstheme="minorHAnsi"/>
          <w:sz w:val="24"/>
          <w:szCs w:val="24"/>
        </w:rPr>
        <w:t xml:space="preserve">In his discussion of the Committee, </w:t>
      </w:r>
      <w:r w:rsidR="00BD07CF" w:rsidRPr="00361D8E">
        <w:rPr>
          <w:rFonts w:asciiTheme="minorHAnsi" w:hAnsiTheme="minorHAnsi" w:cstheme="minorHAnsi"/>
          <w:sz w:val="24"/>
          <w:szCs w:val="24"/>
        </w:rPr>
        <w:t>Hiley (1997: 47)</w:t>
      </w:r>
      <w:r w:rsidR="00C96C9B" w:rsidRPr="00361D8E">
        <w:rPr>
          <w:rFonts w:asciiTheme="minorHAnsi" w:hAnsiTheme="minorHAnsi" w:cstheme="minorHAnsi"/>
          <w:sz w:val="24"/>
          <w:szCs w:val="24"/>
        </w:rPr>
        <w:t>, for instance,</w:t>
      </w:r>
      <w:r w:rsidR="00BD07CF" w:rsidRPr="00361D8E">
        <w:rPr>
          <w:rFonts w:asciiTheme="minorHAnsi" w:hAnsiTheme="minorHAnsi" w:cstheme="minorHAnsi"/>
          <w:sz w:val="24"/>
          <w:szCs w:val="24"/>
        </w:rPr>
        <w:t xml:space="preserve"> has claimed that many of</w:t>
      </w:r>
      <w:r w:rsidR="00C96C9B" w:rsidRPr="00361D8E">
        <w:rPr>
          <w:rFonts w:asciiTheme="minorHAnsi" w:hAnsiTheme="minorHAnsi" w:cstheme="minorHAnsi"/>
          <w:sz w:val="24"/>
          <w:szCs w:val="24"/>
        </w:rPr>
        <w:t xml:space="preserve"> its</w:t>
      </w:r>
      <w:r w:rsidR="00BD07CF" w:rsidRPr="00361D8E">
        <w:rPr>
          <w:rFonts w:asciiTheme="minorHAnsi" w:hAnsiTheme="minorHAnsi" w:cstheme="minorHAnsi"/>
          <w:sz w:val="24"/>
          <w:szCs w:val="24"/>
        </w:rPr>
        <w:t xml:space="preserve"> most notorious recruiting poster</w:t>
      </w:r>
      <w:r w:rsidR="00C96C9B" w:rsidRPr="00361D8E">
        <w:rPr>
          <w:rFonts w:asciiTheme="minorHAnsi" w:hAnsiTheme="minorHAnsi" w:cstheme="minorHAnsi"/>
          <w:sz w:val="24"/>
          <w:szCs w:val="24"/>
        </w:rPr>
        <w:t>s</w:t>
      </w:r>
      <w:r w:rsidR="00BD07CF" w:rsidRPr="00361D8E">
        <w:rPr>
          <w:rFonts w:asciiTheme="minorHAnsi" w:hAnsiTheme="minorHAnsi" w:cstheme="minorHAnsi"/>
          <w:sz w:val="24"/>
          <w:szCs w:val="24"/>
        </w:rPr>
        <w:t xml:space="preserve">, such as </w:t>
      </w:r>
      <w:proofErr w:type="spellStart"/>
      <w:r w:rsidR="00BD07CF" w:rsidRPr="00361D8E">
        <w:rPr>
          <w:rFonts w:asciiTheme="minorHAnsi" w:hAnsiTheme="minorHAnsi" w:cstheme="minorHAnsi"/>
          <w:sz w:val="24"/>
          <w:szCs w:val="24"/>
        </w:rPr>
        <w:t>Saville</w:t>
      </w:r>
      <w:proofErr w:type="spellEnd"/>
      <w:r w:rsidR="00BD07CF" w:rsidRPr="00361D8E">
        <w:rPr>
          <w:rFonts w:asciiTheme="minorHAnsi" w:hAnsiTheme="minorHAnsi" w:cstheme="minorHAnsi"/>
          <w:sz w:val="24"/>
          <w:szCs w:val="24"/>
        </w:rPr>
        <w:t xml:space="preserve"> Lumley’s ‘Daddy, what did YOU do in the Great War?</w:t>
      </w:r>
      <w:proofErr w:type="gramStart"/>
      <w:r w:rsidR="00BD07CF" w:rsidRPr="00361D8E">
        <w:rPr>
          <w:rFonts w:asciiTheme="minorHAnsi" w:hAnsiTheme="minorHAnsi" w:cstheme="minorHAnsi"/>
          <w:sz w:val="24"/>
          <w:szCs w:val="24"/>
        </w:rPr>
        <w:t>’,</w:t>
      </w:r>
      <w:proofErr w:type="gramEnd"/>
      <w:r w:rsidR="00BD07CF" w:rsidRPr="00361D8E">
        <w:rPr>
          <w:rFonts w:asciiTheme="minorHAnsi" w:hAnsiTheme="minorHAnsi" w:cstheme="minorHAnsi"/>
          <w:sz w:val="24"/>
          <w:szCs w:val="24"/>
        </w:rPr>
        <w:t xml:space="preserve"> were not accepted but ‘widely resented’ by the majority of Britons. Some well-known recruiting slogans were also appropriated by soldiers and used in distinctly unpatriotic ways – </w:t>
      </w:r>
      <w:r w:rsidR="00C96C9B" w:rsidRPr="00361D8E">
        <w:rPr>
          <w:rFonts w:asciiTheme="minorHAnsi" w:hAnsiTheme="minorHAnsi" w:cstheme="minorHAnsi"/>
          <w:sz w:val="24"/>
          <w:szCs w:val="24"/>
        </w:rPr>
        <w:t xml:space="preserve">such </w:t>
      </w:r>
      <w:r w:rsidR="00BD07CF" w:rsidRPr="00361D8E">
        <w:rPr>
          <w:rFonts w:asciiTheme="minorHAnsi" w:hAnsiTheme="minorHAnsi" w:cstheme="minorHAnsi"/>
          <w:sz w:val="24"/>
          <w:szCs w:val="24"/>
        </w:rPr>
        <w:t>as when ‘your country needs you’ was used ironically to denote a</w:t>
      </w:r>
      <w:r w:rsidR="00C96C9B" w:rsidRPr="00361D8E">
        <w:rPr>
          <w:rFonts w:asciiTheme="minorHAnsi" w:hAnsiTheme="minorHAnsi" w:cstheme="minorHAnsi"/>
          <w:sz w:val="24"/>
          <w:szCs w:val="24"/>
        </w:rPr>
        <w:t xml:space="preserve"> particularly</w:t>
      </w:r>
      <w:r w:rsidR="00BD07CF" w:rsidRPr="00361D8E">
        <w:rPr>
          <w:rFonts w:asciiTheme="minorHAnsi" w:hAnsiTheme="minorHAnsi" w:cstheme="minorHAnsi"/>
          <w:sz w:val="24"/>
          <w:szCs w:val="24"/>
        </w:rPr>
        <w:t xml:space="preserve"> unpleasant job on the front line.</w:t>
      </w:r>
      <w:r w:rsidR="00BD07CF" w:rsidRPr="00361D8E">
        <w:rPr>
          <w:rStyle w:val="EndnoteReference"/>
          <w:rFonts w:asciiTheme="minorHAnsi" w:hAnsiTheme="minorHAnsi" w:cstheme="minorHAnsi"/>
          <w:sz w:val="24"/>
          <w:szCs w:val="24"/>
        </w:rPr>
        <w:endnoteReference w:id="8"/>
      </w:r>
    </w:p>
    <w:p w:rsidR="00BD07CF" w:rsidRPr="00361D8E" w:rsidRDefault="00BD07CF" w:rsidP="00BD07CF">
      <w:pPr>
        <w:spacing w:before="120"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 xml:space="preserve">As Simkins (2007: 49-78) has saliently shown, </w:t>
      </w:r>
      <w:r w:rsidR="00B97EEC" w:rsidRPr="00361D8E">
        <w:rPr>
          <w:rFonts w:asciiTheme="minorHAnsi" w:hAnsiTheme="minorHAnsi" w:cstheme="minorHAnsi"/>
          <w:sz w:val="24"/>
          <w:szCs w:val="24"/>
        </w:rPr>
        <w:t>moreover</w:t>
      </w:r>
      <w:r w:rsidRPr="00361D8E">
        <w:rPr>
          <w:rFonts w:asciiTheme="minorHAnsi" w:hAnsiTheme="minorHAnsi" w:cstheme="minorHAnsi"/>
          <w:sz w:val="24"/>
          <w:szCs w:val="24"/>
        </w:rPr>
        <w:t xml:space="preserve">, the period in which most men enlisted was actually a time in which both official and unofficial recruiters were </w:t>
      </w:r>
      <w:r w:rsidRPr="00361D8E">
        <w:rPr>
          <w:rFonts w:asciiTheme="minorHAnsi" w:hAnsiTheme="minorHAnsi" w:cstheme="minorHAnsi"/>
          <w:i/>
          <w:sz w:val="24"/>
          <w:szCs w:val="24"/>
        </w:rPr>
        <w:t>least active</w:t>
      </w:r>
      <w:r w:rsidRPr="00361D8E">
        <w:rPr>
          <w:rFonts w:asciiTheme="minorHAnsi" w:hAnsiTheme="minorHAnsi" w:cstheme="minorHAnsi"/>
          <w:sz w:val="24"/>
          <w:szCs w:val="24"/>
        </w:rPr>
        <w:t>. It was only after enrolment rates had begun to decline that steps were taken to ratchet up propaganda, suggesting that the campaign for new recruits did not trigger war enthusiasm but was rather an attempt to reverse a decline in it.</w:t>
      </w:r>
    </w:p>
    <w:p w:rsidR="00B476A1" w:rsidRPr="00361D8E" w:rsidRDefault="00BD07CF" w:rsidP="00BD07CF">
      <w:pPr>
        <w:spacing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 xml:space="preserve">The introduction of conscription in 1916, the final nail in the coffin of the voluntary system, </w:t>
      </w:r>
      <w:r w:rsidR="00B97EEC" w:rsidRPr="00361D8E">
        <w:rPr>
          <w:rFonts w:asciiTheme="minorHAnsi" w:hAnsiTheme="minorHAnsi" w:cstheme="minorHAnsi"/>
          <w:sz w:val="24"/>
          <w:szCs w:val="24"/>
        </w:rPr>
        <w:t>has even been</w:t>
      </w:r>
      <w:r w:rsidRPr="00361D8E">
        <w:rPr>
          <w:rFonts w:asciiTheme="minorHAnsi" w:hAnsiTheme="minorHAnsi" w:cstheme="minorHAnsi"/>
          <w:sz w:val="24"/>
          <w:szCs w:val="24"/>
        </w:rPr>
        <w:t xml:space="preserve"> interpreted as evidence of the ‘failure’ of the official recruiting campaign</w:t>
      </w:r>
      <w:r w:rsidR="003379AD" w:rsidRPr="00361D8E">
        <w:rPr>
          <w:rFonts w:asciiTheme="minorHAnsi" w:hAnsiTheme="minorHAnsi" w:cstheme="minorHAnsi"/>
          <w:sz w:val="24"/>
          <w:szCs w:val="24"/>
        </w:rPr>
        <w:t xml:space="preserve"> (Lloyd, 2002: 60)</w:t>
      </w:r>
      <w:r w:rsidRPr="00361D8E">
        <w:rPr>
          <w:rFonts w:asciiTheme="minorHAnsi" w:hAnsiTheme="minorHAnsi" w:cstheme="minorHAnsi"/>
          <w:sz w:val="24"/>
          <w:szCs w:val="24"/>
        </w:rPr>
        <w:t xml:space="preserve">. However, as David Silbey (2004: 27) has noted, enrolment rates during the period of voluntary service were actually the ‘highest in </w:t>
      </w:r>
      <w:r w:rsidRPr="00361D8E">
        <w:rPr>
          <w:rFonts w:asciiTheme="minorHAnsi" w:hAnsiTheme="minorHAnsi" w:cstheme="minorHAnsi"/>
          <w:sz w:val="24"/>
          <w:szCs w:val="24"/>
        </w:rPr>
        <w:lastRenderedPageBreak/>
        <w:t xml:space="preserve">British history’, with more men enlisting in the seventeen months that elapsed from August 1914 than in the remaining thirty-four months of the war. Voluntary service, in </w:t>
      </w:r>
      <w:r w:rsidR="003379AD" w:rsidRPr="00361D8E">
        <w:rPr>
          <w:rFonts w:asciiTheme="minorHAnsi" w:hAnsiTheme="minorHAnsi" w:cstheme="minorHAnsi"/>
          <w:sz w:val="24"/>
          <w:szCs w:val="24"/>
        </w:rPr>
        <w:t>other words</w:t>
      </w:r>
      <w:r w:rsidRPr="00361D8E">
        <w:rPr>
          <w:rFonts w:asciiTheme="minorHAnsi" w:hAnsiTheme="minorHAnsi" w:cstheme="minorHAnsi"/>
          <w:sz w:val="24"/>
          <w:szCs w:val="24"/>
        </w:rPr>
        <w:t>, was twice as effective at generating manpower as conscription, and although official records indicate a gradual de</w:t>
      </w:r>
      <w:r w:rsidR="003379AD" w:rsidRPr="00361D8E">
        <w:rPr>
          <w:rFonts w:asciiTheme="minorHAnsi" w:hAnsiTheme="minorHAnsi" w:cstheme="minorHAnsi"/>
          <w:sz w:val="24"/>
          <w:szCs w:val="24"/>
        </w:rPr>
        <w:t>cline</w:t>
      </w:r>
      <w:r w:rsidRPr="00361D8E">
        <w:rPr>
          <w:rFonts w:asciiTheme="minorHAnsi" w:hAnsiTheme="minorHAnsi" w:cstheme="minorHAnsi"/>
          <w:sz w:val="24"/>
          <w:szCs w:val="24"/>
        </w:rPr>
        <w:t xml:space="preserve"> in enrolment in 1915 </w:t>
      </w:r>
      <w:r w:rsidR="00D90A24" w:rsidRPr="00361D8E">
        <w:rPr>
          <w:rFonts w:asciiTheme="minorHAnsi" w:hAnsiTheme="minorHAnsi" w:cstheme="minorHAnsi"/>
          <w:sz w:val="24"/>
          <w:szCs w:val="24"/>
        </w:rPr>
        <w:t>such a decline</w:t>
      </w:r>
      <w:r w:rsidRPr="00361D8E">
        <w:rPr>
          <w:rFonts w:asciiTheme="minorHAnsi" w:hAnsiTheme="minorHAnsi" w:cstheme="minorHAnsi"/>
          <w:sz w:val="24"/>
          <w:szCs w:val="24"/>
        </w:rPr>
        <w:t xml:space="preserve"> </w:t>
      </w:r>
      <w:r w:rsidR="00D90A24" w:rsidRPr="00361D8E">
        <w:rPr>
          <w:rFonts w:asciiTheme="minorHAnsi" w:hAnsiTheme="minorHAnsi" w:cstheme="minorHAnsi"/>
          <w:sz w:val="24"/>
          <w:szCs w:val="24"/>
        </w:rPr>
        <w:t>may have been steeper and more sudden</w:t>
      </w:r>
      <w:r w:rsidRPr="00361D8E">
        <w:rPr>
          <w:rFonts w:asciiTheme="minorHAnsi" w:hAnsiTheme="minorHAnsi" w:cstheme="minorHAnsi"/>
          <w:sz w:val="24"/>
          <w:szCs w:val="24"/>
        </w:rPr>
        <w:t xml:space="preserve"> </w:t>
      </w:r>
      <w:r w:rsidR="003379AD" w:rsidRPr="00361D8E">
        <w:rPr>
          <w:rFonts w:asciiTheme="minorHAnsi" w:hAnsiTheme="minorHAnsi" w:cstheme="minorHAnsi"/>
          <w:sz w:val="24"/>
          <w:szCs w:val="24"/>
        </w:rPr>
        <w:t xml:space="preserve">in </w:t>
      </w:r>
      <w:r w:rsidR="00D90A24" w:rsidRPr="00361D8E">
        <w:rPr>
          <w:rFonts w:asciiTheme="minorHAnsi" w:hAnsiTheme="minorHAnsi" w:cstheme="minorHAnsi"/>
          <w:sz w:val="24"/>
          <w:szCs w:val="24"/>
        </w:rPr>
        <w:t>the absence of</w:t>
      </w:r>
      <w:r w:rsidR="003379AD" w:rsidRPr="00361D8E">
        <w:rPr>
          <w:rFonts w:asciiTheme="minorHAnsi" w:hAnsiTheme="minorHAnsi" w:cstheme="minorHAnsi"/>
          <w:sz w:val="24"/>
          <w:szCs w:val="24"/>
        </w:rPr>
        <w:t xml:space="preserve"> </w:t>
      </w:r>
      <w:r w:rsidRPr="00361D8E">
        <w:rPr>
          <w:rFonts w:asciiTheme="minorHAnsi" w:hAnsiTheme="minorHAnsi" w:cstheme="minorHAnsi"/>
          <w:sz w:val="24"/>
          <w:szCs w:val="24"/>
        </w:rPr>
        <w:t>promot</w:t>
      </w:r>
      <w:r w:rsidR="003379AD" w:rsidRPr="00361D8E">
        <w:rPr>
          <w:rFonts w:asciiTheme="minorHAnsi" w:hAnsiTheme="minorHAnsi" w:cstheme="minorHAnsi"/>
          <w:sz w:val="24"/>
          <w:szCs w:val="24"/>
        </w:rPr>
        <w:t>ion</w:t>
      </w:r>
      <w:r w:rsidRPr="00361D8E">
        <w:rPr>
          <w:rFonts w:asciiTheme="minorHAnsi" w:hAnsiTheme="minorHAnsi" w:cstheme="minorHAnsi"/>
          <w:sz w:val="24"/>
          <w:szCs w:val="24"/>
        </w:rPr>
        <w:t>.</w:t>
      </w:r>
    </w:p>
    <w:p w:rsidR="003379AD" w:rsidRPr="00361D8E" w:rsidRDefault="003379AD" w:rsidP="003379AD">
      <w:pPr>
        <w:spacing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 xml:space="preserve">Accounts of the recruiting campaign written by contemporary soldiers and observers also indicate that organisations like the Parliamentary Recruiting Committee left a lasting impression on the wartime home front. </w:t>
      </w:r>
      <w:r w:rsidR="00D90A24" w:rsidRPr="00361D8E">
        <w:rPr>
          <w:rFonts w:asciiTheme="minorHAnsi" w:hAnsiTheme="minorHAnsi" w:cstheme="minorHAnsi"/>
          <w:sz w:val="24"/>
          <w:szCs w:val="24"/>
        </w:rPr>
        <w:t xml:space="preserve">In 1918, the soldier and scholar </w:t>
      </w:r>
      <w:r w:rsidRPr="00361D8E">
        <w:rPr>
          <w:rFonts w:asciiTheme="minorHAnsi" w:hAnsiTheme="minorHAnsi" w:cstheme="minorHAnsi"/>
          <w:sz w:val="24"/>
          <w:szCs w:val="24"/>
        </w:rPr>
        <w:t>Basil Williams remarked on the degree to which the call to arms transcended the many social, economic and geographic divides that had characterised Britain at the time.</w:t>
      </w:r>
    </w:p>
    <w:p w:rsidR="003379AD" w:rsidRPr="00361D8E" w:rsidRDefault="003379AD" w:rsidP="003379AD">
      <w:pPr>
        <w:spacing w:before="120" w:after="240" w:line="276" w:lineRule="auto"/>
        <w:ind w:left="720"/>
        <w:jc w:val="both"/>
        <w:rPr>
          <w:rFonts w:asciiTheme="minorHAnsi" w:hAnsiTheme="minorHAnsi" w:cstheme="minorHAnsi"/>
          <w:sz w:val="24"/>
          <w:szCs w:val="24"/>
        </w:rPr>
      </w:pPr>
      <w:r w:rsidRPr="00361D8E">
        <w:rPr>
          <w:rFonts w:asciiTheme="minorHAnsi" w:hAnsiTheme="minorHAnsi" w:cstheme="minorHAnsi"/>
          <w:sz w:val="24"/>
          <w:szCs w:val="24"/>
        </w:rPr>
        <w:t xml:space="preserve">Men of all classes, married and single, childless and with families, rich and poor, barristers, peers’ sons, artists, schoolmasters, working men, parsons and loafers, crowded into the recruiting offices and sometimes had to wait patiently for a whole day in the broiling sun of that August week before their turn came… Many were the motives that no doubt led men to enlist, “patriotism, ambition, personal courage, love of adventure, want of employment, or convenience”, as Lincoln ticked them off fifty years ago. But in most parts the guiding motive was as it was expressed in Lancashire… “I cannot stand this any longer, and must go out”.  (1918: 6-7) </w:t>
      </w:r>
    </w:p>
    <w:p w:rsidR="003379AD" w:rsidRPr="00361D8E" w:rsidRDefault="002917CE" w:rsidP="003379AD">
      <w:pPr>
        <w:spacing w:after="0" w:line="360" w:lineRule="auto"/>
        <w:jc w:val="both"/>
        <w:rPr>
          <w:rFonts w:asciiTheme="minorHAnsi" w:hAnsiTheme="minorHAnsi" w:cstheme="minorHAnsi"/>
          <w:sz w:val="24"/>
          <w:szCs w:val="24"/>
        </w:rPr>
      </w:pPr>
      <w:r w:rsidRPr="00361D8E">
        <w:rPr>
          <w:rFonts w:asciiTheme="minorHAnsi" w:hAnsiTheme="minorHAnsi" w:cstheme="minorHAnsi"/>
          <w:sz w:val="24"/>
          <w:szCs w:val="24"/>
        </w:rPr>
        <w:t>William’s sentiments were echoed by George Coppard, an infantryman in the Royal West Surrey Regiment who</w:t>
      </w:r>
      <w:r w:rsidR="001F0966" w:rsidRPr="001F0966">
        <w:rPr>
          <w:rFonts w:asciiTheme="minorHAnsi" w:hAnsiTheme="minorHAnsi" w:cstheme="minorHAnsi"/>
          <w:sz w:val="24"/>
          <w:szCs w:val="24"/>
        </w:rPr>
        <w:t xml:space="preserve"> </w:t>
      </w:r>
      <w:r w:rsidR="001F0966" w:rsidRPr="001F0966">
        <w:rPr>
          <w:rFonts w:asciiTheme="minorHAnsi" w:hAnsiTheme="minorHAnsi" w:cstheme="minorHAnsi"/>
          <w:color w:val="C00000"/>
          <w:sz w:val="24"/>
          <w:szCs w:val="24"/>
        </w:rPr>
        <w:t>described the influence recruiting promotion had on him as a teenager</w:t>
      </w:r>
      <w:r w:rsidRPr="00361D8E">
        <w:rPr>
          <w:rFonts w:asciiTheme="minorHAnsi" w:hAnsiTheme="minorHAnsi" w:cstheme="minorHAnsi"/>
          <w:sz w:val="24"/>
          <w:szCs w:val="24"/>
        </w:rPr>
        <w:t xml:space="preserve"> i</w:t>
      </w:r>
      <w:r w:rsidR="003379AD" w:rsidRPr="00361D8E">
        <w:rPr>
          <w:rFonts w:asciiTheme="minorHAnsi" w:hAnsiTheme="minorHAnsi" w:cstheme="minorHAnsi"/>
          <w:sz w:val="24"/>
          <w:szCs w:val="24"/>
        </w:rPr>
        <w:t xml:space="preserve">n a well-known memoir published </w:t>
      </w:r>
      <w:proofErr w:type="spellStart"/>
      <w:r w:rsidR="003379AD" w:rsidRPr="00361D8E">
        <w:rPr>
          <w:rFonts w:asciiTheme="minorHAnsi" w:hAnsiTheme="minorHAnsi" w:cstheme="minorHAnsi"/>
          <w:sz w:val="24"/>
          <w:szCs w:val="24"/>
        </w:rPr>
        <w:t>some time</w:t>
      </w:r>
      <w:proofErr w:type="spellEnd"/>
      <w:r w:rsidR="003379AD" w:rsidRPr="00361D8E">
        <w:rPr>
          <w:rFonts w:asciiTheme="minorHAnsi" w:hAnsiTheme="minorHAnsi" w:cstheme="minorHAnsi"/>
          <w:sz w:val="24"/>
          <w:szCs w:val="24"/>
        </w:rPr>
        <w:t xml:space="preserve"> after the First World War.  </w:t>
      </w:r>
    </w:p>
    <w:p w:rsidR="003379AD" w:rsidRPr="00361D8E" w:rsidRDefault="003379AD" w:rsidP="003379AD">
      <w:pPr>
        <w:spacing w:before="120" w:after="240" w:line="276" w:lineRule="auto"/>
        <w:ind w:left="720"/>
        <w:jc w:val="both"/>
        <w:rPr>
          <w:rFonts w:asciiTheme="minorHAnsi" w:hAnsiTheme="minorHAnsi" w:cstheme="minorHAnsi"/>
          <w:sz w:val="24"/>
          <w:szCs w:val="24"/>
        </w:rPr>
      </w:pPr>
      <w:r w:rsidRPr="00361D8E">
        <w:rPr>
          <w:rFonts w:asciiTheme="minorHAnsi" w:hAnsiTheme="minorHAnsi" w:cstheme="minorHAnsi"/>
          <w:sz w:val="24"/>
          <w:szCs w:val="24"/>
        </w:rPr>
        <w:t>Rumours of war broke out and I began to be interested in the Territorials… News placards screamed out at every street corner, and military bands blared out their martial music in the main streets of Croydon. This was too much for me to resist, and as if</w:t>
      </w:r>
      <w:r w:rsidRPr="00361D8E">
        <w:rPr>
          <w:rFonts w:asciiTheme="minorHAnsi" w:hAnsiTheme="minorHAnsi" w:cstheme="minorHAnsi"/>
          <w:i/>
          <w:sz w:val="24"/>
          <w:szCs w:val="24"/>
        </w:rPr>
        <w:t xml:space="preserve"> drawn by a magnet I knew I had to enlist straight away</w:t>
      </w:r>
      <w:r w:rsidRPr="00361D8E">
        <w:rPr>
          <w:rFonts w:asciiTheme="minorHAnsi" w:hAnsiTheme="minorHAnsi" w:cstheme="minorHAnsi"/>
          <w:sz w:val="24"/>
          <w:szCs w:val="24"/>
        </w:rPr>
        <w:t>. (1969: 1; emphasis added)</w:t>
      </w:r>
    </w:p>
    <w:p w:rsidR="00C66D82" w:rsidRPr="00361D8E" w:rsidRDefault="00053A99" w:rsidP="007C49DC">
      <w:pPr>
        <w:spacing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 xml:space="preserve">Such accounts may </w:t>
      </w:r>
      <w:r w:rsidR="002917CE" w:rsidRPr="00361D8E">
        <w:rPr>
          <w:rFonts w:asciiTheme="minorHAnsi" w:hAnsiTheme="minorHAnsi" w:cstheme="minorHAnsi"/>
          <w:sz w:val="24"/>
          <w:szCs w:val="24"/>
        </w:rPr>
        <w:t xml:space="preserve">run against the grain of </w:t>
      </w:r>
      <w:r w:rsidR="00C82F9F" w:rsidRPr="00361D8E">
        <w:rPr>
          <w:rFonts w:asciiTheme="minorHAnsi" w:hAnsiTheme="minorHAnsi" w:cstheme="minorHAnsi"/>
          <w:sz w:val="24"/>
          <w:szCs w:val="24"/>
        </w:rPr>
        <w:t>contemporary scholarship</w:t>
      </w:r>
      <w:r w:rsidR="002917CE" w:rsidRPr="00361D8E">
        <w:rPr>
          <w:rFonts w:asciiTheme="minorHAnsi" w:hAnsiTheme="minorHAnsi" w:cstheme="minorHAnsi"/>
          <w:sz w:val="24"/>
          <w:szCs w:val="24"/>
        </w:rPr>
        <w:t xml:space="preserve">, </w:t>
      </w:r>
      <w:r w:rsidRPr="00361D8E">
        <w:rPr>
          <w:rFonts w:asciiTheme="minorHAnsi" w:hAnsiTheme="minorHAnsi" w:cstheme="minorHAnsi"/>
          <w:sz w:val="24"/>
          <w:szCs w:val="24"/>
        </w:rPr>
        <w:t xml:space="preserve">but they seem more attuned to the fact that </w:t>
      </w:r>
      <w:r w:rsidR="00152FB8" w:rsidRPr="00361D8E">
        <w:rPr>
          <w:rFonts w:asciiTheme="minorHAnsi" w:hAnsiTheme="minorHAnsi" w:cstheme="minorHAnsi"/>
          <w:sz w:val="24"/>
          <w:szCs w:val="24"/>
        </w:rPr>
        <w:t xml:space="preserve">the official </w:t>
      </w:r>
      <w:r w:rsidRPr="00361D8E">
        <w:rPr>
          <w:rFonts w:asciiTheme="minorHAnsi" w:hAnsiTheme="minorHAnsi" w:cstheme="minorHAnsi"/>
          <w:sz w:val="24"/>
          <w:szCs w:val="24"/>
        </w:rPr>
        <w:t xml:space="preserve">recruiting </w:t>
      </w:r>
      <w:r w:rsidR="00152FB8" w:rsidRPr="00361D8E">
        <w:rPr>
          <w:rFonts w:asciiTheme="minorHAnsi" w:hAnsiTheme="minorHAnsi" w:cstheme="minorHAnsi"/>
          <w:sz w:val="24"/>
          <w:szCs w:val="24"/>
        </w:rPr>
        <w:t>campaign entailed</w:t>
      </w:r>
      <w:r w:rsidR="003A31DE" w:rsidRPr="00361D8E">
        <w:rPr>
          <w:rFonts w:asciiTheme="minorHAnsi" w:hAnsiTheme="minorHAnsi" w:cstheme="minorHAnsi"/>
          <w:sz w:val="24"/>
          <w:szCs w:val="24"/>
        </w:rPr>
        <w:t xml:space="preserve"> </w:t>
      </w:r>
      <w:r w:rsidRPr="00361D8E">
        <w:rPr>
          <w:rFonts w:asciiTheme="minorHAnsi" w:hAnsiTheme="minorHAnsi" w:cstheme="minorHAnsi"/>
          <w:sz w:val="24"/>
          <w:szCs w:val="24"/>
        </w:rPr>
        <w:t xml:space="preserve">more than just the production </w:t>
      </w:r>
      <w:r w:rsidR="0077001B" w:rsidRPr="00361D8E">
        <w:rPr>
          <w:rFonts w:asciiTheme="minorHAnsi" w:hAnsiTheme="minorHAnsi" w:cstheme="minorHAnsi"/>
          <w:sz w:val="24"/>
          <w:szCs w:val="24"/>
        </w:rPr>
        <w:t xml:space="preserve">and distribution </w:t>
      </w:r>
      <w:r w:rsidRPr="00361D8E">
        <w:rPr>
          <w:rFonts w:asciiTheme="minorHAnsi" w:hAnsiTheme="minorHAnsi" w:cstheme="minorHAnsi"/>
          <w:sz w:val="24"/>
          <w:szCs w:val="24"/>
        </w:rPr>
        <w:t>of posters</w:t>
      </w:r>
      <w:r w:rsidR="00BF273B" w:rsidRPr="00361D8E">
        <w:rPr>
          <w:rFonts w:asciiTheme="minorHAnsi" w:hAnsiTheme="minorHAnsi" w:cstheme="minorHAnsi"/>
          <w:sz w:val="24"/>
          <w:szCs w:val="24"/>
        </w:rPr>
        <w:t xml:space="preserve"> and other printed ephemera</w:t>
      </w:r>
      <w:r w:rsidRPr="00361D8E">
        <w:rPr>
          <w:rFonts w:asciiTheme="minorHAnsi" w:hAnsiTheme="minorHAnsi" w:cstheme="minorHAnsi"/>
          <w:sz w:val="24"/>
          <w:szCs w:val="24"/>
        </w:rPr>
        <w:t>.</w:t>
      </w:r>
      <w:r w:rsidR="00152FB8" w:rsidRPr="00361D8E">
        <w:rPr>
          <w:rStyle w:val="EndnoteReference"/>
          <w:rFonts w:asciiTheme="minorHAnsi" w:hAnsiTheme="minorHAnsi" w:cstheme="minorHAnsi"/>
          <w:sz w:val="24"/>
          <w:szCs w:val="24"/>
        </w:rPr>
        <w:endnoteReference w:id="9"/>
      </w:r>
      <w:r w:rsidRPr="00361D8E">
        <w:rPr>
          <w:rFonts w:asciiTheme="minorHAnsi" w:hAnsiTheme="minorHAnsi" w:cstheme="minorHAnsi"/>
          <w:sz w:val="24"/>
          <w:szCs w:val="24"/>
        </w:rPr>
        <w:t xml:space="preserve"> </w:t>
      </w:r>
      <w:r w:rsidR="00D90A24" w:rsidRPr="00361D8E">
        <w:rPr>
          <w:rFonts w:asciiTheme="minorHAnsi" w:hAnsiTheme="minorHAnsi" w:cstheme="minorHAnsi"/>
          <w:sz w:val="24"/>
          <w:szCs w:val="24"/>
        </w:rPr>
        <w:t xml:space="preserve">Recruiters recognised the value of speaking to and engaging with the public directly, and though there can be no doubt that posters occupied a central place in the recruiting drive, they were only part of a broader array of promotional techniques and strategies which have </w:t>
      </w:r>
      <w:r w:rsidR="001F0966">
        <w:rPr>
          <w:rFonts w:asciiTheme="minorHAnsi" w:hAnsiTheme="minorHAnsi" w:cstheme="minorHAnsi"/>
          <w:sz w:val="24"/>
          <w:szCs w:val="24"/>
        </w:rPr>
        <w:t xml:space="preserve">tended to </w:t>
      </w:r>
      <w:r w:rsidR="00D90A24" w:rsidRPr="00361D8E">
        <w:rPr>
          <w:rFonts w:asciiTheme="minorHAnsi" w:hAnsiTheme="minorHAnsi" w:cstheme="minorHAnsi"/>
          <w:sz w:val="24"/>
          <w:szCs w:val="24"/>
        </w:rPr>
        <w:t xml:space="preserve">receive only passing attention in the literature. </w:t>
      </w:r>
    </w:p>
    <w:p w:rsidR="00451C1E" w:rsidRPr="00361D8E" w:rsidRDefault="00451C1E" w:rsidP="00451C1E">
      <w:pPr>
        <w:spacing w:before="240" w:after="0" w:line="360" w:lineRule="auto"/>
        <w:jc w:val="both"/>
        <w:rPr>
          <w:rFonts w:asciiTheme="minorHAnsi" w:hAnsiTheme="minorHAnsi" w:cstheme="minorHAnsi"/>
          <w:b/>
          <w:sz w:val="28"/>
          <w:szCs w:val="24"/>
        </w:rPr>
      </w:pPr>
      <w:r w:rsidRPr="00361D8E">
        <w:rPr>
          <w:rFonts w:asciiTheme="minorHAnsi" w:hAnsiTheme="minorHAnsi" w:cstheme="minorHAnsi"/>
          <w:b/>
          <w:sz w:val="28"/>
          <w:szCs w:val="24"/>
        </w:rPr>
        <w:lastRenderedPageBreak/>
        <w:t>Conclusion</w:t>
      </w:r>
    </w:p>
    <w:p w:rsidR="008C23E8" w:rsidRPr="00361D8E" w:rsidRDefault="00C82F9F" w:rsidP="00C82F9F">
      <w:pPr>
        <w:spacing w:after="120" w:line="360" w:lineRule="auto"/>
        <w:jc w:val="both"/>
        <w:rPr>
          <w:rFonts w:asciiTheme="minorHAnsi" w:hAnsiTheme="minorHAnsi" w:cstheme="minorHAnsi"/>
          <w:sz w:val="24"/>
          <w:szCs w:val="24"/>
        </w:rPr>
      </w:pPr>
      <w:r w:rsidRPr="00361D8E">
        <w:rPr>
          <w:rFonts w:asciiTheme="minorHAnsi" w:hAnsiTheme="minorHAnsi" w:cstheme="minorHAnsi"/>
          <w:sz w:val="24"/>
          <w:szCs w:val="24"/>
        </w:rPr>
        <w:t xml:space="preserve">In assessing the contribution of the Parliamentary Recruiting Committee to the wartime home front, we might argue, therefore, that it helped to sustain the </w:t>
      </w:r>
      <w:r w:rsidR="00BF273B" w:rsidRPr="00361D8E">
        <w:rPr>
          <w:rFonts w:asciiTheme="minorHAnsi" w:hAnsiTheme="minorHAnsi" w:cstheme="minorHAnsi"/>
          <w:sz w:val="24"/>
          <w:szCs w:val="24"/>
        </w:rPr>
        <w:t>culture of war enthusiasm</w:t>
      </w:r>
      <w:r w:rsidR="009B2CAA" w:rsidRPr="00361D8E">
        <w:rPr>
          <w:rFonts w:asciiTheme="minorHAnsi" w:hAnsiTheme="minorHAnsi" w:cstheme="minorHAnsi"/>
          <w:sz w:val="24"/>
          <w:szCs w:val="24"/>
        </w:rPr>
        <w:t xml:space="preserve"> </w:t>
      </w:r>
      <w:r w:rsidR="00152FB8" w:rsidRPr="00361D8E">
        <w:rPr>
          <w:rFonts w:asciiTheme="minorHAnsi" w:hAnsiTheme="minorHAnsi" w:cstheme="minorHAnsi"/>
          <w:sz w:val="24"/>
          <w:szCs w:val="24"/>
        </w:rPr>
        <w:t xml:space="preserve">apparently </w:t>
      </w:r>
      <w:r w:rsidR="009B2CAA" w:rsidRPr="00361D8E">
        <w:rPr>
          <w:rFonts w:asciiTheme="minorHAnsi" w:hAnsiTheme="minorHAnsi" w:cstheme="minorHAnsi"/>
          <w:sz w:val="24"/>
          <w:szCs w:val="24"/>
        </w:rPr>
        <w:t xml:space="preserve">witnessed in Britain in the early stages of the </w:t>
      </w:r>
      <w:r w:rsidR="005F2D7E" w:rsidRPr="00361D8E">
        <w:rPr>
          <w:rFonts w:asciiTheme="minorHAnsi" w:hAnsiTheme="minorHAnsi" w:cstheme="minorHAnsi"/>
          <w:sz w:val="24"/>
          <w:szCs w:val="24"/>
        </w:rPr>
        <w:t>conflict</w:t>
      </w:r>
      <w:r w:rsidR="009B2CAA" w:rsidRPr="00361D8E">
        <w:rPr>
          <w:rFonts w:asciiTheme="minorHAnsi" w:hAnsiTheme="minorHAnsi" w:cstheme="minorHAnsi"/>
          <w:sz w:val="24"/>
          <w:szCs w:val="24"/>
        </w:rPr>
        <w:t xml:space="preserve">. </w:t>
      </w:r>
      <w:r w:rsidR="00BF273B" w:rsidRPr="00361D8E">
        <w:rPr>
          <w:rFonts w:asciiTheme="minorHAnsi" w:hAnsiTheme="minorHAnsi" w:cstheme="minorHAnsi"/>
          <w:sz w:val="24"/>
          <w:szCs w:val="24"/>
        </w:rPr>
        <w:t>However,</w:t>
      </w:r>
      <w:r w:rsidR="009B2CAA" w:rsidRPr="00361D8E">
        <w:rPr>
          <w:rFonts w:asciiTheme="minorHAnsi" w:hAnsiTheme="minorHAnsi" w:cstheme="minorHAnsi"/>
          <w:sz w:val="24"/>
          <w:szCs w:val="24"/>
        </w:rPr>
        <w:t xml:space="preserve"> </w:t>
      </w:r>
      <w:r w:rsidR="00BF273B" w:rsidRPr="00361D8E">
        <w:rPr>
          <w:rFonts w:asciiTheme="minorHAnsi" w:hAnsiTheme="minorHAnsi" w:cstheme="minorHAnsi"/>
          <w:sz w:val="24"/>
          <w:szCs w:val="24"/>
        </w:rPr>
        <w:t xml:space="preserve">it is </w:t>
      </w:r>
      <w:r w:rsidR="005F2D7E" w:rsidRPr="00361D8E">
        <w:rPr>
          <w:rFonts w:asciiTheme="minorHAnsi" w:hAnsiTheme="minorHAnsi" w:cstheme="minorHAnsi"/>
          <w:sz w:val="24"/>
          <w:szCs w:val="24"/>
        </w:rPr>
        <w:t>equally</w:t>
      </w:r>
      <w:r w:rsidR="00BF273B" w:rsidRPr="00361D8E">
        <w:rPr>
          <w:rFonts w:asciiTheme="minorHAnsi" w:hAnsiTheme="minorHAnsi" w:cstheme="minorHAnsi"/>
          <w:sz w:val="24"/>
          <w:szCs w:val="24"/>
        </w:rPr>
        <w:t xml:space="preserve"> important to recognise </w:t>
      </w:r>
      <w:r w:rsidR="009B2CAA" w:rsidRPr="00361D8E">
        <w:rPr>
          <w:rFonts w:asciiTheme="minorHAnsi" w:hAnsiTheme="minorHAnsi" w:cstheme="minorHAnsi"/>
          <w:sz w:val="24"/>
          <w:szCs w:val="24"/>
        </w:rPr>
        <w:t xml:space="preserve">the </w:t>
      </w:r>
      <w:r w:rsidR="00BF273B" w:rsidRPr="00361D8E">
        <w:rPr>
          <w:rFonts w:asciiTheme="minorHAnsi" w:hAnsiTheme="minorHAnsi" w:cstheme="minorHAnsi"/>
          <w:sz w:val="24"/>
          <w:szCs w:val="24"/>
        </w:rPr>
        <w:t xml:space="preserve">role </w:t>
      </w:r>
      <w:r w:rsidR="00501A5F" w:rsidRPr="00361D8E">
        <w:rPr>
          <w:rFonts w:asciiTheme="minorHAnsi" w:hAnsiTheme="minorHAnsi" w:cstheme="minorHAnsi"/>
          <w:sz w:val="24"/>
          <w:szCs w:val="24"/>
        </w:rPr>
        <w:t xml:space="preserve">that </w:t>
      </w:r>
      <w:r w:rsidR="00BF273B" w:rsidRPr="00361D8E">
        <w:rPr>
          <w:rFonts w:asciiTheme="minorHAnsi" w:hAnsiTheme="minorHAnsi" w:cstheme="minorHAnsi"/>
          <w:sz w:val="24"/>
          <w:szCs w:val="24"/>
        </w:rPr>
        <w:t xml:space="preserve">the </w:t>
      </w:r>
      <w:r w:rsidR="009B2CAA" w:rsidRPr="00361D8E">
        <w:rPr>
          <w:rFonts w:asciiTheme="minorHAnsi" w:hAnsiTheme="minorHAnsi" w:cstheme="minorHAnsi"/>
          <w:sz w:val="24"/>
          <w:szCs w:val="24"/>
        </w:rPr>
        <w:t>Committee</w:t>
      </w:r>
      <w:r w:rsidR="00BF273B" w:rsidRPr="00361D8E">
        <w:rPr>
          <w:rFonts w:asciiTheme="minorHAnsi" w:hAnsiTheme="minorHAnsi" w:cstheme="minorHAnsi"/>
          <w:sz w:val="24"/>
          <w:szCs w:val="24"/>
        </w:rPr>
        <w:t xml:space="preserve"> played in the broader </w:t>
      </w:r>
      <w:r w:rsidR="005F2D7E" w:rsidRPr="00361D8E">
        <w:rPr>
          <w:rFonts w:asciiTheme="minorHAnsi" w:hAnsiTheme="minorHAnsi" w:cstheme="minorHAnsi"/>
          <w:sz w:val="24"/>
          <w:szCs w:val="24"/>
        </w:rPr>
        <w:t>contours</w:t>
      </w:r>
      <w:r w:rsidR="00BF273B" w:rsidRPr="00361D8E">
        <w:rPr>
          <w:rFonts w:asciiTheme="minorHAnsi" w:hAnsiTheme="minorHAnsi" w:cstheme="minorHAnsi"/>
          <w:sz w:val="24"/>
          <w:szCs w:val="24"/>
        </w:rPr>
        <w:t xml:space="preserve"> of public relations</w:t>
      </w:r>
      <w:r w:rsidR="005F2D7E" w:rsidRPr="00361D8E">
        <w:rPr>
          <w:rFonts w:asciiTheme="minorHAnsi" w:hAnsiTheme="minorHAnsi" w:cstheme="minorHAnsi"/>
          <w:sz w:val="24"/>
          <w:szCs w:val="24"/>
        </w:rPr>
        <w:t xml:space="preserve"> history</w:t>
      </w:r>
      <w:r w:rsidR="00BF273B" w:rsidRPr="00361D8E">
        <w:rPr>
          <w:rFonts w:asciiTheme="minorHAnsi" w:hAnsiTheme="minorHAnsi" w:cstheme="minorHAnsi"/>
          <w:sz w:val="24"/>
          <w:szCs w:val="24"/>
        </w:rPr>
        <w:t xml:space="preserve">. Much of the Committee’s work, such as the </w:t>
      </w:r>
      <w:r w:rsidR="008C23E8" w:rsidRPr="00361D8E">
        <w:rPr>
          <w:rFonts w:asciiTheme="minorHAnsi" w:hAnsiTheme="minorHAnsi" w:cstheme="minorHAnsi"/>
          <w:sz w:val="24"/>
          <w:szCs w:val="24"/>
        </w:rPr>
        <w:t xml:space="preserve">information gathering </w:t>
      </w:r>
      <w:r w:rsidR="00BF273B" w:rsidRPr="00361D8E">
        <w:rPr>
          <w:rFonts w:asciiTheme="minorHAnsi" w:hAnsiTheme="minorHAnsi" w:cstheme="minorHAnsi"/>
          <w:sz w:val="24"/>
          <w:szCs w:val="24"/>
        </w:rPr>
        <w:t xml:space="preserve">associated with the Householders Return and the </w:t>
      </w:r>
      <w:r w:rsidR="003B3E66" w:rsidRPr="003B3E66">
        <w:rPr>
          <w:rFonts w:asciiTheme="minorHAnsi" w:hAnsiTheme="minorHAnsi" w:cstheme="minorHAnsi"/>
          <w:color w:val="FF0000"/>
          <w:sz w:val="24"/>
          <w:szCs w:val="24"/>
        </w:rPr>
        <w:t xml:space="preserve">Publicity Sub-Department’s </w:t>
      </w:r>
      <w:r w:rsidR="00BF273B" w:rsidRPr="003B3E66">
        <w:rPr>
          <w:rFonts w:asciiTheme="minorHAnsi" w:hAnsiTheme="minorHAnsi" w:cstheme="minorHAnsi"/>
          <w:color w:val="FF0000"/>
          <w:sz w:val="24"/>
          <w:szCs w:val="24"/>
        </w:rPr>
        <w:t>attempt</w:t>
      </w:r>
      <w:r w:rsidR="00BF273B" w:rsidRPr="00361D8E">
        <w:rPr>
          <w:rFonts w:asciiTheme="minorHAnsi" w:hAnsiTheme="minorHAnsi" w:cstheme="minorHAnsi"/>
          <w:sz w:val="24"/>
          <w:szCs w:val="24"/>
        </w:rPr>
        <w:t xml:space="preserve"> to feed positive stories to the press, would </w:t>
      </w:r>
      <w:r w:rsidR="005F2D7E" w:rsidRPr="00361D8E">
        <w:rPr>
          <w:rFonts w:asciiTheme="minorHAnsi" w:hAnsiTheme="minorHAnsi" w:cstheme="minorHAnsi"/>
          <w:sz w:val="24"/>
          <w:szCs w:val="24"/>
        </w:rPr>
        <w:t xml:space="preserve">later </w:t>
      </w:r>
      <w:r w:rsidR="00BF273B" w:rsidRPr="00361D8E">
        <w:rPr>
          <w:rFonts w:asciiTheme="minorHAnsi" w:hAnsiTheme="minorHAnsi" w:cstheme="minorHAnsi"/>
          <w:sz w:val="24"/>
          <w:szCs w:val="24"/>
        </w:rPr>
        <w:t xml:space="preserve">be regarded </w:t>
      </w:r>
      <w:r w:rsidR="005F2D7E" w:rsidRPr="00361D8E">
        <w:rPr>
          <w:rFonts w:asciiTheme="minorHAnsi" w:hAnsiTheme="minorHAnsi" w:cstheme="minorHAnsi"/>
          <w:sz w:val="24"/>
          <w:szCs w:val="24"/>
        </w:rPr>
        <w:t>as staples of the public relations profession</w:t>
      </w:r>
      <w:r w:rsidR="00BF273B" w:rsidRPr="00361D8E">
        <w:rPr>
          <w:rFonts w:asciiTheme="minorHAnsi" w:hAnsiTheme="minorHAnsi" w:cstheme="minorHAnsi"/>
          <w:sz w:val="24"/>
          <w:szCs w:val="24"/>
        </w:rPr>
        <w:t xml:space="preserve">. </w:t>
      </w:r>
      <w:r w:rsidR="005F2D7E" w:rsidRPr="00361D8E">
        <w:rPr>
          <w:rFonts w:asciiTheme="minorHAnsi" w:hAnsiTheme="minorHAnsi" w:cstheme="minorHAnsi"/>
          <w:sz w:val="24"/>
          <w:szCs w:val="24"/>
        </w:rPr>
        <w:t xml:space="preserve">Its coordinating role and apparent </w:t>
      </w:r>
      <w:r w:rsidR="003B3E66" w:rsidRPr="003B3E66">
        <w:rPr>
          <w:rFonts w:asciiTheme="minorHAnsi" w:hAnsiTheme="minorHAnsi" w:cstheme="minorHAnsi"/>
          <w:color w:val="FF0000"/>
          <w:sz w:val="24"/>
          <w:szCs w:val="24"/>
        </w:rPr>
        <w:t>commitment to</w:t>
      </w:r>
      <w:r w:rsidR="005F2D7E" w:rsidRPr="00361D8E">
        <w:rPr>
          <w:rFonts w:asciiTheme="minorHAnsi" w:hAnsiTheme="minorHAnsi" w:cstheme="minorHAnsi"/>
          <w:sz w:val="24"/>
          <w:szCs w:val="24"/>
        </w:rPr>
        <w:t xml:space="preserve"> acting as a ‘channel for a full expression of harmony’ in Britain (WO</w:t>
      </w:r>
      <w:r w:rsidR="005F3244">
        <w:rPr>
          <w:rFonts w:asciiTheme="minorHAnsi" w:hAnsiTheme="minorHAnsi" w:cstheme="minorHAnsi"/>
          <w:sz w:val="24"/>
          <w:szCs w:val="24"/>
        </w:rPr>
        <w:t xml:space="preserve"> </w:t>
      </w:r>
      <w:r w:rsidR="005F2D7E" w:rsidRPr="00361D8E">
        <w:rPr>
          <w:rFonts w:asciiTheme="minorHAnsi" w:hAnsiTheme="minorHAnsi" w:cstheme="minorHAnsi"/>
          <w:sz w:val="24"/>
          <w:szCs w:val="24"/>
        </w:rPr>
        <w:t>106/367: A) also chime</w:t>
      </w:r>
      <w:r w:rsidR="00152FB8" w:rsidRPr="00361D8E">
        <w:rPr>
          <w:rFonts w:asciiTheme="minorHAnsi" w:hAnsiTheme="minorHAnsi" w:cstheme="minorHAnsi"/>
          <w:sz w:val="24"/>
          <w:szCs w:val="24"/>
        </w:rPr>
        <w:t>s</w:t>
      </w:r>
      <w:r w:rsidR="005F2D7E" w:rsidRPr="00361D8E">
        <w:rPr>
          <w:rFonts w:asciiTheme="minorHAnsi" w:hAnsiTheme="minorHAnsi" w:cstheme="minorHAnsi"/>
          <w:sz w:val="24"/>
          <w:szCs w:val="24"/>
        </w:rPr>
        <w:t xml:space="preserve"> with </w:t>
      </w:r>
      <w:r w:rsidR="00507A4F" w:rsidRPr="00361D8E">
        <w:rPr>
          <w:rFonts w:asciiTheme="minorHAnsi" w:hAnsiTheme="minorHAnsi" w:cstheme="minorHAnsi"/>
          <w:sz w:val="24"/>
          <w:szCs w:val="24"/>
        </w:rPr>
        <w:t>some</w:t>
      </w:r>
      <w:r w:rsidR="005F2D7E" w:rsidRPr="00361D8E">
        <w:rPr>
          <w:rFonts w:asciiTheme="minorHAnsi" w:hAnsiTheme="minorHAnsi" w:cstheme="minorHAnsi"/>
          <w:sz w:val="24"/>
          <w:szCs w:val="24"/>
        </w:rPr>
        <w:t xml:space="preserve"> contemporary definitions, such as </w:t>
      </w:r>
      <w:r w:rsidR="008C23E8" w:rsidRPr="00361D8E">
        <w:rPr>
          <w:rFonts w:asciiTheme="minorHAnsi" w:hAnsiTheme="minorHAnsi" w:cstheme="minorHAnsi"/>
          <w:sz w:val="24"/>
          <w:szCs w:val="24"/>
        </w:rPr>
        <w:t>L’Etang’s (2013: 2)</w:t>
      </w:r>
      <w:r w:rsidR="005F2D7E" w:rsidRPr="00361D8E">
        <w:rPr>
          <w:rFonts w:asciiTheme="minorHAnsi" w:hAnsiTheme="minorHAnsi" w:cstheme="minorHAnsi"/>
          <w:sz w:val="24"/>
          <w:szCs w:val="24"/>
        </w:rPr>
        <w:t xml:space="preserve"> notion of public relations as </w:t>
      </w:r>
      <w:r w:rsidR="008C23E8" w:rsidRPr="00361D8E">
        <w:rPr>
          <w:rFonts w:asciiTheme="minorHAnsi" w:hAnsiTheme="minorHAnsi" w:cstheme="minorHAnsi"/>
          <w:sz w:val="24"/>
          <w:szCs w:val="24"/>
        </w:rPr>
        <w:t>a</w:t>
      </w:r>
      <w:r w:rsidR="005F2D7E" w:rsidRPr="00361D8E">
        <w:rPr>
          <w:rFonts w:asciiTheme="minorHAnsi" w:hAnsiTheme="minorHAnsi" w:cstheme="minorHAnsi"/>
          <w:sz w:val="24"/>
          <w:szCs w:val="24"/>
        </w:rPr>
        <w:t xml:space="preserve"> ‘practice of presenting the public face of an organisation’</w:t>
      </w:r>
      <w:r w:rsidR="008C23E8" w:rsidRPr="00361D8E">
        <w:rPr>
          <w:rFonts w:asciiTheme="minorHAnsi" w:hAnsiTheme="minorHAnsi" w:cstheme="minorHAnsi"/>
          <w:sz w:val="24"/>
          <w:szCs w:val="24"/>
        </w:rPr>
        <w:t xml:space="preserve"> (</w:t>
      </w:r>
      <w:r w:rsidR="005F2D7E" w:rsidRPr="00361D8E">
        <w:rPr>
          <w:rFonts w:asciiTheme="minorHAnsi" w:hAnsiTheme="minorHAnsi" w:cstheme="minorHAnsi"/>
          <w:sz w:val="24"/>
          <w:szCs w:val="24"/>
        </w:rPr>
        <w:t xml:space="preserve">in this case the </w:t>
      </w:r>
      <w:r w:rsidR="008C23E8" w:rsidRPr="00361D8E">
        <w:rPr>
          <w:rFonts w:asciiTheme="minorHAnsi" w:hAnsiTheme="minorHAnsi" w:cstheme="minorHAnsi"/>
          <w:sz w:val="24"/>
          <w:szCs w:val="24"/>
        </w:rPr>
        <w:t>War Office), articulating its aims and objectives</w:t>
      </w:r>
      <w:r w:rsidR="003B3E66">
        <w:rPr>
          <w:rFonts w:asciiTheme="minorHAnsi" w:hAnsiTheme="minorHAnsi" w:cstheme="minorHAnsi"/>
          <w:sz w:val="24"/>
          <w:szCs w:val="24"/>
        </w:rPr>
        <w:t>,</w:t>
      </w:r>
      <w:r w:rsidR="00152FB8" w:rsidRPr="00361D8E">
        <w:rPr>
          <w:rFonts w:asciiTheme="minorHAnsi" w:hAnsiTheme="minorHAnsi" w:cstheme="minorHAnsi"/>
          <w:sz w:val="24"/>
          <w:szCs w:val="24"/>
        </w:rPr>
        <w:t xml:space="preserve"> and</w:t>
      </w:r>
      <w:r w:rsidR="008C23E8" w:rsidRPr="00361D8E">
        <w:rPr>
          <w:rFonts w:asciiTheme="minorHAnsi" w:hAnsiTheme="minorHAnsi" w:cstheme="minorHAnsi"/>
          <w:sz w:val="24"/>
          <w:szCs w:val="24"/>
        </w:rPr>
        <w:t xml:space="preserve"> providing an ‘official organisational view on issues of relevance to it’</w:t>
      </w:r>
      <w:r w:rsidR="005F2D7E" w:rsidRPr="00361D8E">
        <w:rPr>
          <w:rFonts w:asciiTheme="minorHAnsi" w:hAnsiTheme="minorHAnsi" w:cstheme="minorHAnsi"/>
          <w:sz w:val="24"/>
          <w:szCs w:val="24"/>
        </w:rPr>
        <w:t xml:space="preserve">. </w:t>
      </w:r>
    </w:p>
    <w:p w:rsidR="00DE2587" w:rsidRDefault="008C23E8" w:rsidP="00543D2F">
      <w:pPr>
        <w:spacing w:after="120" w:line="360" w:lineRule="auto"/>
        <w:jc w:val="both"/>
        <w:rPr>
          <w:b/>
          <w:sz w:val="28"/>
          <w:szCs w:val="24"/>
        </w:rPr>
      </w:pPr>
      <w:r w:rsidRPr="00361D8E">
        <w:rPr>
          <w:rFonts w:asciiTheme="minorHAnsi" w:hAnsiTheme="minorHAnsi" w:cstheme="minorHAnsi"/>
          <w:sz w:val="24"/>
          <w:szCs w:val="24"/>
        </w:rPr>
        <w:t>In this sense, the record of the Parliamentary Recruiting Committee challenges the prevailing view that public relations in Britain emerged during</w:t>
      </w:r>
      <w:r w:rsidR="00BF273B" w:rsidRPr="00361D8E">
        <w:rPr>
          <w:rFonts w:asciiTheme="minorHAnsi" w:hAnsiTheme="minorHAnsi" w:cstheme="minorHAnsi"/>
          <w:sz w:val="24"/>
          <w:szCs w:val="24"/>
        </w:rPr>
        <w:t xml:space="preserve"> the interwar years (L’Etang, 199</w:t>
      </w:r>
      <w:r w:rsidR="00FE233D" w:rsidRPr="00361D8E">
        <w:rPr>
          <w:rFonts w:asciiTheme="minorHAnsi" w:hAnsiTheme="minorHAnsi" w:cstheme="minorHAnsi"/>
          <w:sz w:val="24"/>
          <w:szCs w:val="24"/>
        </w:rPr>
        <w:t>8</w:t>
      </w:r>
      <w:r w:rsidR="00BF273B" w:rsidRPr="00361D8E">
        <w:rPr>
          <w:rFonts w:asciiTheme="minorHAnsi" w:hAnsiTheme="minorHAnsi" w:cstheme="minorHAnsi"/>
          <w:sz w:val="24"/>
          <w:szCs w:val="24"/>
        </w:rPr>
        <w:t>, 2006, 2013; Anthony, 2012)</w:t>
      </w:r>
      <w:r w:rsidR="005F2D7E" w:rsidRPr="00361D8E">
        <w:rPr>
          <w:rFonts w:asciiTheme="minorHAnsi" w:hAnsiTheme="minorHAnsi" w:cstheme="minorHAnsi"/>
          <w:sz w:val="24"/>
          <w:szCs w:val="24"/>
        </w:rPr>
        <w:t>.</w:t>
      </w:r>
      <w:r w:rsidR="00501A5F" w:rsidRPr="00361D8E">
        <w:rPr>
          <w:rFonts w:asciiTheme="minorHAnsi" w:hAnsiTheme="minorHAnsi" w:cstheme="minorHAnsi"/>
          <w:sz w:val="24"/>
          <w:szCs w:val="24"/>
        </w:rPr>
        <w:t xml:space="preserve"> </w:t>
      </w:r>
      <w:r w:rsidRPr="00361D8E">
        <w:rPr>
          <w:rFonts w:asciiTheme="minorHAnsi" w:hAnsiTheme="minorHAnsi" w:cstheme="minorHAnsi"/>
          <w:sz w:val="24"/>
          <w:szCs w:val="24"/>
        </w:rPr>
        <w:t xml:space="preserve">Yet it also </w:t>
      </w:r>
      <w:r w:rsidR="00D37CE7" w:rsidRPr="00361D8E">
        <w:rPr>
          <w:rFonts w:asciiTheme="minorHAnsi" w:hAnsiTheme="minorHAnsi" w:cstheme="minorHAnsi"/>
          <w:sz w:val="24"/>
          <w:szCs w:val="24"/>
        </w:rPr>
        <w:t>highlights</w:t>
      </w:r>
      <w:r w:rsidRPr="00361D8E">
        <w:rPr>
          <w:rFonts w:asciiTheme="minorHAnsi" w:hAnsiTheme="minorHAnsi" w:cstheme="minorHAnsi"/>
          <w:sz w:val="24"/>
          <w:szCs w:val="24"/>
        </w:rPr>
        <w:t xml:space="preserve"> th</w:t>
      </w:r>
      <w:r w:rsidR="00152FB8" w:rsidRPr="00361D8E">
        <w:rPr>
          <w:rFonts w:asciiTheme="minorHAnsi" w:hAnsiTheme="minorHAnsi" w:cstheme="minorHAnsi"/>
          <w:sz w:val="24"/>
          <w:szCs w:val="24"/>
        </w:rPr>
        <w:t>e extent to which</w:t>
      </w:r>
      <w:r w:rsidRPr="00361D8E">
        <w:rPr>
          <w:rFonts w:asciiTheme="minorHAnsi" w:hAnsiTheme="minorHAnsi" w:cstheme="minorHAnsi"/>
          <w:sz w:val="24"/>
          <w:szCs w:val="24"/>
        </w:rPr>
        <w:t xml:space="preserve"> </w:t>
      </w:r>
      <w:r w:rsidR="00152FB8" w:rsidRPr="00361D8E">
        <w:rPr>
          <w:rFonts w:asciiTheme="minorHAnsi" w:hAnsiTheme="minorHAnsi" w:cstheme="minorHAnsi"/>
          <w:sz w:val="24"/>
          <w:szCs w:val="24"/>
        </w:rPr>
        <w:t>public relations, as it later came to be known and understood, was enmeshed with other forms of promotion in the early years of the twentieth century</w:t>
      </w:r>
      <w:r w:rsidR="00071332" w:rsidRPr="00361D8E">
        <w:rPr>
          <w:rFonts w:asciiTheme="minorHAnsi" w:hAnsiTheme="minorHAnsi" w:cstheme="minorHAnsi"/>
          <w:sz w:val="24"/>
          <w:szCs w:val="24"/>
        </w:rPr>
        <w:t xml:space="preserve">. Many of the techniques used by the Committee appear to have been developed </w:t>
      </w:r>
      <w:r w:rsidR="00501A5F" w:rsidRPr="00361D8E">
        <w:rPr>
          <w:rFonts w:asciiTheme="minorHAnsi" w:hAnsiTheme="minorHAnsi" w:cstheme="minorHAnsi"/>
          <w:sz w:val="24"/>
          <w:szCs w:val="24"/>
        </w:rPr>
        <w:t xml:space="preserve">by commercial advertisers and political campaigners </w:t>
      </w:r>
      <w:r w:rsidR="00DF0E8F">
        <w:rPr>
          <w:rFonts w:asciiTheme="minorHAnsi" w:hAnsiTheme="minorHAnsi" w:cstheme="minorHAnsi"/>
          <w:sz w:val="24"/>
          <w:szCs w:val="24"/>
        </w:rPr>
        <w:t xml:space="preserve">in the </w:t>
      </w:r>
      <w:r w:rsidR="00DF0E8F" w:rsidRPr="001F0966">
        <w:rPr>
          <w:rFonts w:asciiTheme="minorHAnsi" w:hAnsiTheme="minorHAnsi" w:cstheme="minorHAnsi"/>
          <w:color w:val="C00000"/>
          <w:sz w:val="24"/>
          <w:szCs w:val="24"/>
        </w:rPr>
        <w:t>pre-war</w:t>
      </w:r>
      <w:r w:rsidR="00071332" w:rsidRPr="001F0966">
        <w:rPr>
          <w:rFonts w:asciiTheme="minorHAnsi" w:hAnsiTheme="minorHAnsi" w:cstheme="minorHAnsi"/>
          <w:color w:val="C00000"/>
          <w:sz w:val="24"/>
          <w:szCs w:val="24"/>
        </w:rPr>
        <w:t xml:space="preserve"> </w:t>
      </w:r>
      <w:r w:rsidR="00071332" w:rsidRPr="00361D8E">
        <w:rPr>
          <w:rFonts w:asciiTheme="minorHAnsi" w:hAnsiTheme="minorHAnsi" w:cstheme="minorHAnsi"/>
          <w:sz w:val="24"/>
          <w:szCs w:val="24"/>
        </w:rPr>
        <w:t xml:space="preserve">era, and this raises important questions about the origins </w:t>
      </w:r>
      <w:r w:rsidR="00D37CE7" w:rsidRPr="00361D8E">
        <w:rPr>
          <w:rFonts w:asciiTheme="minorHAnsi" w:hAnsiTheme="minorHAnsi" w:cstheme="minorHAnsi"/>
          <w:sz w:val="24"/>
          <w:szCs w:val="24"/>
        </w:rPr>
        <w:t>of PR in Britain</w:t>
      </w:r>
      <w:r w:rsidR="00501A5F" w:rsidRPr="00361D8E">
        <w:rPr>
          <w:rFonts w:asciiTheme="minorHAnsi" w:hAnsiTheme="minorHAnsi" w:cstheme="minorHAnsi"/>
          <w:sz w:val="24"/>
          <w:szCs w:val="24"/>
        </w:rPr>
        <w:t xml:space="preserve">. </w:t>
      </w:r>
      <w:r w:rsidR="00152FB8" w:rsidRPr="00361D8E">
        <w:rPr>
          <w:rFonts w:asciiTheme="minorHAnsi" w:hAnsiTheme="minorHAnsi" w:cstheme="minorHAnsi"/>
          <w:sz w:val="24"/>
          <w:szCs w:val="24"/>
        </w:rPr>
        <w:t xml:space="preserve">The </w:t>
      </w:r>
      <w:r w:rsidR="00D37CE7" w:rsidRPr="00361D8E">
        <w:rPr>
          <w:rFonts w:asciiTheme="minorHAnsi" w:hAnsiTheme="minorHAnsi" w:cstheme="minorHAnsi"/>
          <w:sz w:val="24"/>
          <w:szCs w:val="24"/>
        </w:rPr>
        <w:t xml:space="preserve">fact that the </w:t>
      </w:r>
      <w:r w:rsidR="00152FB8" w:rsidRPr="00361D8E">
        <w:rPr>
          <w:rFonts w:asciiTheme="minorHAnsi" w:hAnsiTheme="minorHAnsi" w:cstheme="minorHAnsi"/>
          <w:sz w:val="24"/>
          <w:szCs w:val="24"/>
        </w:rPr>
        <w:t xml:space="preserve">Committee </w:t>
      </w:r>
      <w:r w:rsidR="00D37CE7" w:rsidRPr="00361D8E">
        <w:rPr>
          <w:rFonts w:asciiTheme="minorHAnsi" w:hAnsiTheme="minorHAnsi" w:cstheme="minorHAnsi"/>
          <w:sz w:val="24"/>
          <w:szCs w:val="24"/>
        </w:rPr>
        <w:t>appeared to share</w:t>
      </w:r>
      <w:r w:rsidR="00501A5F" w:rsidRPr="00361D8E">
        <w:rPr>
          <w:rFonts w:asciiTheme="minorHAnsi" w:hAnsiTheme="minorHAnsi" w:cstheme="minorHAnsi"/>
          <w:sz w:val="24"/>
          <w:szCs w:val="24"/>
        </w:rPr>
        <w:t xml:space="preserve"> </w:t>
      </w:r>
      <w:r w:rsidR="00071332" w:rsidRPr="00361D8E">
        <w:rPr>
          <w:rFonts w:asciiTheme="minorHAnsi" w:hAnsiTheme="minorHAnsi" w:cstheme="minorHAnsi"/>
          <w:sz w:val="24"/>
          <w:szCs w:val="24"/>
        </w:rPr>
        <w:t>something in common</w:t>
      </w:r>
      <w:r w:rsidR="00543D2F" w:rsidRPr="00361D8E">
        <w:rPr>
          <w:rFonts w:asciiTheme="minorHAnsi" w:hAnsiTheme="minorHAnsi" w:cstheme="minorHAnsi"/>
          <w:sz w:val="24"/>
          <w:szCs w:val="24"/>
        </w:rPr>
        <w:t xml:space="preserve"> with </w:t>
      </w:r>
      <w:r w:rsidR="00501A5F" w:rsidRPr="00361D8E">
        <w:rPr>
          <w:rFonts w:asciiTheme="minorHAnsi" w:hAnsiTheme="minorHAnsi" w:cstheme="minorHAnsi"/>
          <w:sz w:val="24"/>
          <w:szCs w:val="24"/>
        </w:rPr>
        <w:t xml:space="preserve">the </w:t>
      </w:r>
      <w:r w:rsidR="00A36190" w:rsidRPr="00361D8E">
        <w:rPr>
          <w:rFonts w:asciiTheme="minorHAnsi" w:hAnsiTheme="minorHAnsi" w:cstheme="minorHAnsi"/>
          <w:sz w:val="24"/>
          <w:szCs w:val="24"/>
        </w:rPr>
        <w:t>German</w:t>
      </w:r>
      <w:r w:rsidR="00501A5F" w:rsidRPr="00361D8E">
        <w:rPr>
          <w:rFonts w:asciiTheme="minorHAnsi" w:hAnsiTheme="minorHAnsi" w:cstheme="minorHAnsi"/>
          <w:sz w:val="24"/>
          <w:szCs w:val="24"/>
        </w:rPr>
        <w:t xml:space="preserve"> War Press Office and American Committee on Public Information</w:t>
      </w:r>
      <w:r w:rsidR="00D37CE7" w:rsidRPr="00361D8E">
        <w:rPr>
          <w:rFonts w:asciiTheme="minorHAnsi" w:hAnsiTheme="minorHAnsi" w:cstheme="minorHAnsi"/>
          <w:sz w:val="24"/>
          <w:szCs w:val="24"/>
        </w:rPr>
        <w:t xml:space="preserve">, </w:t>
      </w:r>
      <w:r w:rsidR="00447072">
        <w:rPr>
          <w:rFonts w:asciiTheme="minorHAnsi" w:hAnsiTheme="minorHAnsi" w:cstheme="minorHAnsi"/>
          <w:color w:val="C00000"/>
          <w:sz w:val="24"/>
          <w:szCs w:val="24"/>
        </w:rPr>
        <w:t>on the other hand</w:t>
      </w:r>
      <w:r w:rsidR="00D37CE7" w:rsidRPr="00361D8E">
        <w:rPr>
          <w:rFonts w:asciiTheme="minorHAnsi" w:hAnsiTheme="minorHAnsi" w:cstheme="minorHAnsi"/>
          <w:sz w:val="24"/>
          <w:szCs w:val="24"/>
        </w:rPr>
        <w:t xml:space="preserve">, indicates that there is something important about the </w:t>
      </w:r>
      <w:r w:rsidR="00447072" w:rsidRPr="00447072">
        <w:rPr>
          <w:rFonts w:asciiTheme="minorHAnsi" w:hAnsiTheme="minorHAnsi" w:cstheme="minorHAnsi"/>
          <w:sz w:val="24"/>
          <w:szCs w:val="24"/>
        </w:rPr>
        <w:t>relationship</w:t>
      </w:r>
      <w:r w:rsidR="00500BAC" w:rsidRPr="00361D8E">
        <w:rPr>
          <w:rFonts w:asciiTheme="minorHAnsi" w:hAnsiTheme="minorHAnsi" w:cstheme="minorHAnsi"/>
          <w:sz w:val="24"/>
          <w:szCs w:val="24"/>
        </w:rPr>
        <w:t xml:space="preserve"> </w:t>
      </w:r>
      <w:r w:rsidR="00D37CE7" w:rsidRPr="00361D8E">
        <w:rPr>
          <w:rFonts w:asciiTheme="minorHAnsi" w:hAnsiTheme="minorHAnsi" w:cstheme="minorHAnsi"/>
          <w:sz w:val="24"/>
          <w:szCs w:val="24"/>
        </w:rPr>
        <w:t xml:space="preserve">between </w:t>
      </w:r>
      <w:r w:rsidR="003B3E66" w:rsidRPr="003B3E66">
        <w:rPr>
          <w:rFonts w:asciiTheme="minorHAnsi" w:hAnsiTheme="minorHAnsi" w:cstheme="minorHAnsi"/>
          <w:color w:val="FF0000"/>
          <w:sz w:val="24"/>
          <w:szCs w:val="24"/>
        </w:rPr>
        <w:t xml:space="preserve">modern </w:t>
      </w:r>
      <w:r w:rsidR="00D37CE7" w:rsidRPr="00361D8E">
        <w:rPr>
          <w:rFonts w:asciiTheme="minorHAnsi" w:hAnsiTheme="minorHAnsi" w:cstheme="minorHAnsi"/>
          <w:sz w:val="24"/>
          <w:szCs w:val="24"/>
        </w:rPr>
        <w:t>warfare and public relations</w:t>
      </w:r>
      <w:r w:rsidR="00501A5F" w:rsidRPr="00361D8E">
        <w:rPr>
          <w:rFonts w:asciiTheme="minorHAnsi" w:hAnsiTheme="minorHAnsi" w:cstheme="minorHAnsi"/>
          <w:sz w:val="24"/>
          <w:szCs w:val="24"/>
        </w:rPr>
        <w:t xml:space="preserve">. </w:t>
      </w:r>
      <w:r w:rsidR="001F0966">
        <w:rPr>
          <w:rFonts w:asciiTheme="minorHAnsi" w:hAnsiTheme="minorHAnsi" w:cstheme="minorHAnsi"/>
          <w:color w:val="FF0000"/>
          <w:sz w:val="24"/>
          <w:szCs w:val="24"/>
        </w:rPr>
        <w:t>In Germany</w:t>
      </w:r>
      <w:r w:rsidR="00447072" w:rsidRPr="00447072">
        <w:rPr>
          <w:rFonts w:asciiTheme="minorHAnsi" w:hAnsiTheme="minorHAnsi" w:cstheme="minorHAnsi"/>
          <w:color w:val="FF0000"/>
          <w:sz w:val="24"/>
          <w:szCs w:val="24"/>
        </w:rPr>
        <w:t xml:space="preserve"> </w:t>
      </w:r>
      <w:r w:rsidR="00447072">
        <w:rPr>
          <w:rFonts w:asciiTheme="minorHAnsi" w:hAnsiTheme="minorHAnsi" w:cstheme="minorHAnsi"/>
          <w:color w:val="FF0000"/>
          <w:sz w:val="24"/>
          <w:szCs w:val="24"/>
        </w:rPr>
        <w:t>in 1914</w:t>
      </w:r>
      <w:r w:rsidR="001F0966">
        <w:rPr>
          <w:rFonts w:asciiTheme="minorHAnsi" w:hAnsiTheme="minorHAnsi" w:cstheme="minorHAnsi"/>
          <w:color w:val="FF0000"/>
          <w:sz w:val="24"/>
          <w:szCs w:val="24"/>
        </w:rPr>
        <w:t xml:space="preserve">, for instance, the creation of a War Press Office </w:t>
      </w:r>
      <w:r w:rsidR="00500BAC">
        <w:rPr>
          <w:rFonts w:asciiTheme="minorHAnsi" w:hAnsiTheme="minorHAnsi" w:cstheme="minorHAnsi"/>
          <w:color w:val="FF0000"/>
          <w:sz w:val="24"/>
          <w:szCs w:val="24"/>
        </w:rPr>
        <w:t>marked</w:t>
      </w:r>
      <w:r w:rsidR="001F0966">
        <w:rPr>
          <w:rFonts w:asciiTheme="minorHAnsi" w:hAnsiTheme="minorHAnsi" w:cstheme="minorHAnsi"/>
          <w:color w:val="FF0000"/>
          <w:sz w:val="24"/>
          <w:szCs w:val="24"/>
        </w:rPr>
        <w:t xml:space="preserve"> a</w:t>
      </w:r>
      <w:r w:rsidR="001F0966" w:rsidRPr="00D045A1">
        <w:rPr>
          <w:color w:val="FF0000"/>
          <w:sz w:val="24"/>
        </w:rPr>
        <w:t xml:space="preserve"> shift ‘from direct control to a more subtle influence on the press’</w:t>
      </w:r>
      <w:r w:rsidR="001F0966">
        <w:rPr>
          <w:color w:val="FF0000"/>
          <w:sz w:val="24"/>
        </w:rPr>
        <w:t xml:space="preserve"> (</w:t>
      </w:r>
      <w:r w:rsidR="001F0966" w:rsidRPr="00504305">
        <w:rPr>
          <w:color w:val="FF0000"/>
          <w:sz w:val="24"/>
        </w:rPr>
        <w:t>Bentele</w:t>
      </w:r>
      <w:r w:rsidR="001F0966">
        <w:rPr>
          <w:color w:val="FF0000"/>
          <w:sz w:val="24"/>
        </w:rPr>
        <w:t xml:space="preserve"> and </w:t>
      </w:r>
      <w:r w:rsidR="001F0966" w:rsidRPr="00504305">
        <w:rPr>
          <w:color w:val="FF0000"/>
          <w:sz w:val="24"/>
        </w:rPr>
        <w:t>Seiffert</w:t>
      </w:r>
      <w:r w:rsidR="001F0966">
        <w:rPr>
          <w:color w:val="FF0000"/>
          <w:sz w:val="24"/>
        </w:rPr>
        <w:t>, 2012: 127) and eventually to concerted attempts to influence visual culture, music and theatre</w:t>
      </w:r>
      <w:r w:rsidR="001F0966" w:rsidRPr="00D045A1">
        <w:rPr>
          <w:color w:val="FF0000"/>
          <w:sz w:val="24"/>
        </w:rPr>
        <w:t>.</w:t>
      </w:r>
      <w:r w:rsidR="001F0966">
        <w:rPr>
          <w:color w:val="FF0000"/>
          <w:sz w:val="24"/>
        </w:rPr>
        <w:t xml:space="preserve"> </w:t>
      </w:r>
      <w:r w:rsidR="001F0966" w:rsidRPr="001F0966">
        <w:rPr>
          <w:rFonts w:asciiTheme="minorHAnsi" w:hAnsiTheme="minorHAnsi" w:cstheme="minorHAnsi"/>
          <w:color w:val="C00000"/>
          <w:sz w:val="24"/>
          <w:szCs w:val="24"/>
        </w:rPr>
        <w:t xml:space="preserve">When the </w:t>
      </w:r>
      <w:r w:rsidR="003259A5" w:rsidRPr="001F0966">
        <w:rPr>
          <w:rFonts w:asciiTheme="minorHAnsi" w:hAnsiTheme="minorHAnsi" w:cstheme="minorHAnsi"/>
          <w:color w:val="C00000"/>
          <w:sz w:val="24"/>
          <w:szCs w:val="24"/>
        </w:rPr>
        <w:t>U</w:t>
      </w:r>
      <w:r w:rsidR="003259A5" w:rsidRPr="003259A5">
        <w:rPr>
          <w:rFonts w:asciiTheme="minorHAnsi" w:hAnsiTheme="minorHAnsi" w:cstheme="minorHAnsi"/>
          <w:color w:val="FF0000"/>
          <w:sz w:val="24"/>
          <w:szCs w:val="24"/>
        </w:rPr>
        <w:t>nited States</w:t>
      </w:r>
      <w:r w:rsidR="001F0966">
        <w:rPr>
          <w:rFonts w:asciiTheme="minorHAnsi" w:hAnsiTheme="minorHAnsi" w:cstheme="minorHAnsi"/>
          <w:color w:val="FF0000"/>
          <w:sz w:val="24"/>
          <w:szCs w:val="24"/>
        </w:rPr>
        <w:t xml:space="preserve"> joined the war in 1917, </w:t>
      </w:r>
      <w:r w:rsidR="00185B4B">
        <w:rPr>
          <w:rFonts w:asciiTheme="minorHAnsi" w:hAnsiTheme="minorHAnsi" w:cstheme="minorHAnsi"/>
          <w:color w:val="FF0000"/>
          <w:sz w:val="24"/>
          <w:szCs w:val="24"/>
        </w:rPr>
        <w:t>a</w:t>
      </w:r>
      <w:r w:rsidR="003259A5">
        <w:rPr>
          <w:rFonts w:asciiTheme="minorHAnsi" w:hAnsiTheme="minorHAnsi" w:cstheme="minorHAnsi"/>
          <w:color w:val="FF0000"/>
          <w:sz w:val="24"/>
          <w:szCs w:val="24"/>
        </w:rPr>
        <w:t xml:space="preserve"> major public speaking campaign </w:t>
      </w:r>
      <w:r w:rsidR="00DF0E8F">
        <w:rPr>
          <w:rFonts w:asciiTheme="minorHAnsi" w:hAnsiTheme="minorHAnsi" w:cstheme="minorHAnsi"/>
          <w:color w:val="FF0000"/>
          <w:sz w:val="24"/>
          <w:szCs w:val="24"/>
        </w:rPr>
        <w:t>or</w:t>
      </w:r>
      <w:r w:rsidR="00D045A1">
        <w:rPr>
          <w:rFonts w:asciiTheme="minorHAnsi" w:hAnsiTheme="minorHAnsi" w:cstheme="minorHAnsi"/>
          <w:color w:val="FF0000"/>
          <w:sz w:val="24"/>
          <w:szCs w:val="24"/>
        </w:rPr>
        <w:t xml:space="preserve">chestrated </w:t>
      </w:r>
      <w:r w:rsidR="003B3E66">
        <w:rPr>
          <w:rFonts w:asciiTheme="minorHAnsi" w:hAnsiTheme="minorHAnsi" w:cstheme="minorHAnsi"/>
          <w:color w:val="FF0000"/>
          <w:sz w:val="24"/>
          <w:szCs w:val="24"/>
        </w:rPr>
        <w:t>by the</w:t>
      </w:r>
      <w:r w:rsidR="00D045A1">
        <w:rPr>
          <w:rFonts w:asciiTheme="minorHAnsi" w:hAnsiTheme="minorHAnsi" w:cstheme="minorHAnsi"/>
          <w:color w:val="FF0000"/>
          <w:sz w:val="24"/>
          <w:szCs w:val="24"/>
        </w:rPr>
        <w:t xml:space="preserve"> </w:t>
      </w:r>
      <w:r w:rsidR="003259A5">
        <w:rPr>
          <w:rFonts w:asciiTheme="minorHAnsi" w:hAnsiTheme="minorHAnsi" w:cstheme="minorHAnsi"/>
          <w:color w:val="FF0000"/>
          <w:sz w:val="24"/>
          <w:szCs w:val="24"/>
        </w:rPr>
        <w:t>so-called ‘Four Minute Men’</w:t>
      </w:r>
      <w:r w:rsidR="001F0966">
        <w:rPr>
          <w:rFonts w:asciiTheme="minorHAnsi" w:hAnsiTheme="minorHAnsi" w:cstheme="minorHAnsi"/>
          <w:color w:val="FF0000"/>
          <w:sz w:val="24"/>
          <w:szCs w:val="24"/>
        </w:rPr>
        <w:t xml:space="preserve"> was combined with</w:t>
      </w:r>
      <w:r w:rsidR="00185B4B">
        <w:rPr>
          <w:rFonts w:asciiTheme="minorHAnsi" w:hAnsiTheme="minorHAnsi" w:cstheme="minorHAnsi"/>
          <w:color w:val="FF0000"/>
          <w:sz w:val="24"/>
          <w:szCs w:val="24"/>
        </w:rPr>
        <w:t xml:space="preserve"> poster, cartoon</w:t>
      </w:r>
      <w:r w:rsidR="00D045A1">
        <w:rPr>
          <w:rFonts w:asciiTheme="minorHAnsi" w:hAnsiTheme="minorHAnsi" w:cstheme="minorHAnsi"/>
          <w:color w:val="FF0000"/>
          <w:sz w:val="24"/>
          <w:szCs w:val="24"/>
        </w:rPr>
        <w:t xml:space="preserve">, film and </w:t>
      </w:r>
      <w:r w:rsidR="001F0966">
        <w:rPr>
          <w:rFonts w:asciiTheme="minorHAnsi" w:hAnsiTheme="minorHAnsi" w:cstheme="minorHAnsi"/>
          <w:color w:val="FF0000"/>
          <w:sz w:val="24"/>
          <w:szCs w:val="24"/>
        </w:rPr>
        <w:t>newspaper appeals</w:t>
      </w:r>
      <w:r w:rsidR="00185B4B">
        <w:rPr>
          <w:rFonts w:asciiTheme="minorHAnsi" w:hAnsiTheme="minorHAnsi" w:cstheme="minorHAnsi"/>
          <w:color w:val="FF0000"/>
          <w:sz w:val="24"/>
          <w:szCs w:val="24"/>
        </w:rPr>
        <w:t xml:space="preserve"> (see </w:t>
      </w:r>
      <w:proofErr w:type="spellStart"/>
      <w:r w:rsidR="00185B4B">
        <w:rPr>
          <w:rFonts w:asciiTheme="minorHAnsi" w:hAnsiTheme="minorHAnsi" w:cstheme="minorHAnsi"/>
          <w:color w:val="FF0000"/>
          <w:sz w:val="24"/>
          <w:szCs w:val="24"/>
        </w:rPr>
        <w:t>Ewen</w:t>
      </w:r>
      <w:proofErr w:type="spellEnd"/>
      <w:r w:rsidR="00185B4B">
        <w:rPr>
          <w:rFonts w:asciiTheme="minorHAnsi" w:hAnsiTheme="minorHAnsi" w:cstheme="minorHAnsi"/>
          <w:color w:val="FF0000"/>
          <w:sz w:val="24"/>
          <w:szCs w:val="24"/>
        </w:rPr>
        <w:t>, 1996</w:t>
      </w:r>
      <w:r w:rsidR="003B3E66">
        <w:rPr>
          <w:rFonts w:asciiTheme="minorHAnsi" w:hAnsiTheme="minorHAnsi" w:cstheme="minorHAnsi"/>
          <w:color w:val="FF0000"/>
          <w:sz w:val="24"/>
          <w:szCs w:val="24"/>
        </w:rPr>
        <w:t xml:space="preserve">: </w:t>
      </w:r>
      <w:proofErr w:type="spellStart"/>
      <w:r w:rsidR="003B3E66">
        <w:rPr>
          <w:rFonts w:asciiTheme="minorHAnsi" w:hAnsiTheme="minorHAnsi" w:cstheme="minorHAnsi"/>
          <w:color w:val="FF0000"/>
          <w:sz w:val="24"/>
          <w:szCs w:val="24"/>
        </w:rPr>
        <w:t>ch.</w:t>
      </w:r>
      <w:proofErr w:type="spellEnd"/>
      <w:r w:rsidR="003B3E66">
        <w:rPr>
          <w:rFonts w:asciiTheme="minorHAnsi" w:hAnsiTheme="minorHAnsi" w:cstheme="minorHAnsi"/>
          <w:color w:val="FF0000"/>
          <w:sz w:val="24"/>
          <w:szCs w:val="24"/>
        </w:rPr>
        <w:t xml:space="preserve"> 6</w:t>
      </w:r>
      <w:r w:rsidR="00185B4B">
        <w:rPr>
          <w:rFonts w:asciiTheme="minorHAnsi" w:hAnsiTheme="minorHAnsi" w:cstheme="minorHAnsi"/>
          <w:color w:val="FF0000"/>
          <w:sz w:val="24"/>
          <w:szCs w:val="24"/>
        </w:rPr>
        <w:t xml:space="preserve">). </w:t>
      </w:r>
      <w:r w:rsidR="00292102">
        <w:rPr>
          <w:rFonts w:asciiTheme="minorHAnsi" w:hAnsiTheme="minorHAnsi" w:cstheme="minorHAnsi"/>
          <w:color w:val="FF0000"/>
          <w:sz w:val="24"/>
          <w:szCs w:val="24"/>
        </w:rPr>
        <w:t xml:space="preserve">Since </w:t>
      </w:r>
      <w:r w:rsidR="00500BAC">
        <w:rPr>
          <w:rFonts w:asciiTheme="minorHAnsi" w:hAnsiTheme="minorHAnsi" w:cstheme="minorHAnsi"/>
          <w:color w:val="FF0000"/>
          <w:sz w:val="24"/>
          <w:szCs w:val="24"/>
        </w:rPr>
        <w:t>these bodies have been credited with transforming public relations</w:t>
      </w:r>
      <w:r w:rsidR="00447072">
        <w:rPr>
          <w:rFonts w:asciiTheme="minorHAnsi" w:hAnsiTheme="minorHAnsi" w:cstheme="minorHAnsi"/>
          <w:color w:val="FF0000"/>
          <w:sz w:val="24"/>
          <w:szCs w:val="24"/>
        </w:rPr>
        <w:t xml:space="preserve"> in their respective countries</w:t>
      </w:r>
      <w:r w:rsidR="00500BAC">
        <w:rPr>
          <w:rFonts w:asciiTheme="minorHAnsi" w:hAnsiTheme="minorHAnsi" w:cstheme="minorHAnsi"/>
          <w:color w:val="FF0000"/>
          <w:sz w:val="24"/>
          <w:szCs w:val="24"/>
        </w:rPr>
        <w:t xml:space="preserve">, </w:t>
      </w:r>
      <w:r w:rsidR="00292102" w:rsidRPr="00292102">
        <w:rPr>
          <w:rFonts w:asciiTheme="minorHAnsi" w:hAnsiTheme="minorHAnsi" w:cstheme="minorHAnsi"/>
          <w:color w:val="C00000"/>
          <w:sz w:val="24"/>
          <w:szCs w:val="24"/>
        </w:rPr>
        <w:t xml:space="preserve">it is high time </w:t>
      </w:r>
      <w:r w:rsidR="00447072">
        <w:rPr>
          <w:rFonts w:asciiTheme="minorHAnsi" w:hAnsiTheme="minorHAnsi" w:cstheme="minorHAnsi"/>
          <w:color w:val="C00000"/>
          <w:sz w:val="24"/>
          <w:szCs w:val="24"/>
        </w:rPr>
        <w:t xml:space="preserve">that </w:t>
      </w:r>
      <w:r w:rsidR="00292102" w:rsidRPr="00292102">
        <w:rPr>
          <w:rFonts w:asciiTheme="minorHAnsi" w:hAnsiTheme="minorHAnsi" w:cstheme="minorHAnsi"/>
          <w:color w:val="C00000"/>
          <w:sz w:val="24"/>
          <w:szCs w:val="24"/>
        </w:rPr>
        <w:t xml:space="preserve">the </w:t>
      </w:r>
      <w:r w:rsidR="00D37CE7" w:rsidRPr="00292102">
        <w:rPr>
          <w:rFonts w:asciiTheme="minorHAnsi" w:hAnsiTheme="minorHAnsi" w:cstheme="minorHAnsi"/>
          <w:color w:val="C00000"/>
          <w:sz w:val="24"/>
          <w:szCs w:val="24"/>
        </w:rPr>
        <w:t>Parliamentary Recruiting Committee</w:t>
      </w:r>
      <w:r w:rsidR="00500BAC">
        <w:rPr>
          <w:rFonts w:asciiTheme="minorHAnsi" w:hAnsiTheme="minorHAnsi" w:cstheme="minorHAnsi"/>
          <w:color w:val="C00000"/>
          <w:sz w:val="24"/>
          <w:szCs w:val="24"/>
        </w:rPr>
        <w:t xml:space="preserve"> </w:t>
      </w:r>
      <w:r w:rsidR="00447072">
        <w:rPr>
          <w:rFonts w:asciiTheme="minorHAnsi" w:hAnsiTheme="minorHAnsi" w:cstheme="minorHAnsi"/>
          <w:color w:val="C00000"/>
          <w:sz w:val="24"/>
          <w:szCs w:val="24"/>
        </w:rPr>
        <w:t>recived</w:t>
      </w:r>
      <w:r w:rsidR="00500BAC">
        <w:rPr>
          <w:rFonts w:asciiTheme="minorHAnsi" w:hAnsiTheme="minorHAnsi" w:cstheme="minorHAnsi"/>
          <w:color w:val="C00000"/>
          <w:sz w:val="24"/>
          <w:szCs w:val="24"/>
        </w:rPr>
        <w:t xml:space="preserve"> </w:t>
      </w:r>
      <w:r w:rsidR="00447072">
        <w:rPr>
          <w:rFonts w:asciiTheme="minorHAnsi" w:hAnsiTheme="minorHAnsi" w:cstheme="minorHAnsi"/>
          <w:color w:val="C00000"/>
          <w:sz w:val="24"/>
          <w:szCs w:val="24"/>
        </w:rPr>
        <w:t>similar</w:t>
      </w:r>
      <w:r w:rsidR="00500BAC">
        <w:rPr>
          <w:rFonts w:asciiTheme="minorHAnsi" w:hAnsiTheme="minorHAnsi" w:cstheme="minorHAnsi"/>
          <w:color w:val="C00000"/>
          <w:sz w:val="24"/>
          <w:szCs w:val="24"/>
        </w:rPr>
        <w:t xml:space="preserve"> recognition</w:t>
      </w:r>
      <w:r w:rsidR="00D37CE7" w:rsidRPr="00292102">
        <w:rPr>
          <w:rFonts w:asciiTheme="minorHAnsi" w:hAnsiTheme="minorHAnsi" w:cstheme="minorHAnsi"/>
          <w:color w:val="C00000"/>
          <w:sz w:val="24"/>
          <w:szCs w:val="24"/>
        </w:rPr>
        <w:t>.</w:t>
      </w:r>
      <w:r w:rsidR="00DE2587">
        <w:rPr>
          <w:b/>
          <w:sz w:val="28"/>
          <w:szCs w:val="24"/>
        </w:rPr>
        <w:br w:type="page"/>
      </w:r>
    </w:p>
    <w:p w:rsidR="002C1364" w:rsidRPr="003F5807" w:rsidRDefault="00F9421A" w:rsidP="00F9421A">
      <w:pPr>
        <w:spacing w:after="0" w:line="360" w:lineRule="auto"/>
        <w:jc w:val="both"/>
        <w:rPr>
          <w:sz w:val="28"/>
          <w:szCs w:val="24"/>
        </w:rPr>
      </w:pPr>
      <w:r w:rsidRPr="003F5807">
        <w:rPr>
          <w:b/>
          <w:sz w:val="28"/>
          <w:szCs w:val="24"/>
        </w:rPr>
        <w:lastRenderedPageBreak/>
        <w:t>Notes</w:t>
      </w:r>
    </w:p>
    <w:sectPr w:rsidR="002C1364" w:rsidRPr="003F5807" w:rsidSect="0024372E">
      <w:endnotePr>
        <w:numFmt w:val="decimal"/>
      </w:endnotePr>
      <w:pgSz w:w="11906" w:h="16838"/>
      <w:pgMar w:top="1440" w:right="137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D8C" w:rsidRDefault="00566D8C" w:rsidP="00CA66AA">
      <w:pPr>
        <w:spacing w:after="0" w:line="240" w:lineRule="auto"/>
      </w:pPr>
      <w:r>
        <w:separator/>
      </w:r>
    </w:p>
  </w:endnote>
  <w:endnote w:type="continuationSeparator" w:id="0">
    <w:p w:rsidR="00566D8C" w:rsidRDefault="00566D8C" w:rsidP="00CA66AA">
      <w:pPr>
        <w:spacing w:after="0" w:line="240" w:lineRule="auto"/>
      </w:pPr>
      <w:r>
        <w:continuationSeparator/>
      </w:r>
    </w:p>
  </w:endnote>
  <w:endnote w:id="1">
    <w:p w:rsidR="00EC72C2" w:rsidRPr="00E61839" w:rsidRDefault="00EC72C2" w:rsidP="00773325">
      <w:pPr>
        <w:pStyle w:val="EndnoteText"/>
        <w:jc w:val="both"/>
        <w:rPr>
          <w:rFonts w:ascii="Arial" w:hAnsi="Arial" w:cs="Arial"/>
          <w:sz w:val="24"/>
          <w:szCs w:val="24"/>
        </w:rPr>
      </w:pPr>
      <w:r w:rsidRPr="00773325">
        <w:rPr>
          <w:rStyle w:val="EndnoteReference"/>
          <w:rFonts w:ascii="Arial" w:hAnsi="Arial" w:cs="Arial"/>
          <w:sz w:val="24"/>
          <w:szCs w:val="24"/>
          <w:vertAlign w:val="baseline"/>
        </w:rPr>
        <w:endnoteRef/>
      </w:r>
      <w:r w:rsidRPr="00773325">
        <w:rPr>
          <w:rFonts w:ascii="Arial" w:hAnsi="Arial" w:cs="Arial"/>
          <w:sz w:val="24"/>
          <w:szCs w:val="24"/>
        </w:rPr>
        <w:t xml:space="preserve">   The remaining institutions were, in order of their creation, the War Propaganda Bureau, the National War Aims Committee and the Department (and later Ministry) of </w:t>
      </w:r>
      <w:r w:rsidRPr="00E61839">
        <w:rPr>
          <w:rFonts w:ascii="Arial" w:hAnsi="Arial" w:cs="Arial"/>
          <w:sz w:val="24"/>
          <w:szCs w:val="24"/>
        </w:rPr>
        <w:t xml:space="preserve">Information. See Haste (1977) and Messinger (1992) for a review of their work.  </w:t>
      </w:r>
    </w:p>
  </w:endnote>
  <w:endnote w:id="2">
    <w:p w:rsidR="00E61839" w:rsidRPr="00E61839" w:rsidRDefault="00E61839">
      <w:pPr>
        <w:pStyle w:val="EndnoteText"/>
        <w:rPr>
          <w:color w:val="C00000"/>
          <w:sz w:val="24"/>
          <w:szCs w:val="24"/>
        </w:rPr>
      </w:pPr>
      <w:r w:rsidRPr="00E61839">
        <w:rPr>
          <w:rStyle w:val="EndnoteReference"/>
          <w:color w:val="C00000"/>
          <w:sz w:val="24"/>
          <w:szCs w:val="24"/>
          <w:vertAlign w:val="baseline"/>
        </w:rPr>
        <w:endnoteRef/>
      </w:r>
      <w:r w:rsidRPr="00E61839">
        <w:rPr>
          <w:color w:val="C00000"/>
          <w:sz w:val="24"/>
          <w:szCs w:val="24"/>
        </w:rPr>
        <w:t xml:space="preserve">     All references containing the </w:t>
      </w:r>
      <w:r w:rsidR="007C693E">
        <w:rPr>
          <w:color w:val="C00000"/>
          <w:sz w:val="24"/>
          <w:szCs w:val="24"/>
        </w:rPr>
        <w:t>‘</w:t>
      </w:r>
      <w:r w:rsidRPr="00E61839">
        <w:rPr>
          <w:color w:val="C00000"/>
          <w:sz w:val="24"/>
          <w:szCs w:val="24"/>
        </w:rPr>
        <w:t>WO</w:t>
      </w:r>
      <w:r w:rsidR="007C693E">
        <w:rPr>
          <w:color w:val="C00000"/>
          <w:sz w:val="24"/>
          <w:szCs w:val="24"/>
        </w:rPr>
        <w:t>’</w:t>
      </w:r>
      <w:r w:rsidRPr="00E61839">
        <w:rPr>
          <w:color w:val="C00000"/>
          <w:sz w:val="24"/>
          <w:szCs w:val="24"/>
        </w:rPr>
        <w:t xml:space="preserve"> prefix refer to documents accessed from The National Archives.</w:t>
      </w:r>
      <w:r w:rsidR="003F4714">
        <w:rPr>
          <w:color w:val="C00000"/>
          <w:sz w:val="24"/>
          <w:szCs w:val="24"/>
        </w:rPr>
        <w:t xml:space="preserve"> A full list of cited documents can be found in the bibliography.</w:t>
      </w:r>
      <w:r w:rsidRPr="00E61839">
        <w:rPr>
          <w:color w:val="C00000"/>
          <w:sz w:val="24"/>
          <w:szCs w:val="24"/>
        </w:rPr>
        <w:t xml:space="preserve"> </w:t>
      </w:r>
    </w:p>
  </w:endnote>
  <w:endnote w:id="3">
    <w:p w:rsidR="000A219B" w:rsidRPr="00773325" w:rsidRDefault="000A219B" w:rsidP="00773325">
      <w:pPr>
        <w:pStyle w:val="EndnoteText"/>
        <w:jc w:val="both"/>
        <w:rPr>
          <w:rFonts w:ascii="Arial" w:hAnsi="Arial" w:cs="Arial"/>
          <w:sz w:val="24"/>
          <w:szCs w:val="24"/>
        </w:rPr>
      </w:pPr>
      <w:r w:rsidRPr="00773325">
        <w:rPr>
          <w:rStyle w:val="EndnoteReference"/>
          <w:rFonts w:ascii="Arial" w:hAnsi="Arial" w:cs="Arial"/>
          <w:sz w:val="24"/>
          <w:szCs w:val="24"/>
          <w:vertAlign w:val="baseline"/>
        </w:rPr>
        <w:endnoteRef/>
      </w:r>
      <w:r w:rsidRPr="00773325">
        <w:rPr>
          <w:rFonts w:ascii="Arial" w:hAnsi="Arial" w:cs="Arial"/>
          <w:sz w:val="24"/>
          <w:szCs w:val="24"/>
        </w:rPr>
        <w:t xml:space="preserve">   </w:t>
      </w:r>
      <w:r w:rsidR="00C82F9F" w:rsidRPr="00773325">
        <w:rPr>
          <w:rFonts w:ascii="Arial" w:hAnsi="Arial" w:cs="Arial"/>
          <w:sz w:val="24"/>
          <w:szCs w:val="24"/>
        </w:rPr>
        <w:t xml:space="preserve"> </w:t>
      </w:r>
      <w:proofErr w:type="gramStart"/>
      <w:r w:rsidRPr="00773325">
        <w:rPr>
          <w:rFonts w:ascii="Arial" w:hAnsi="Arial" w:cs="Arial"/>
          <w:sz w:val="24"/>
          <w:szCs w:val="24"/>
        </w:rPr>
        <w:t xml:space="preserve">John </w:t>
      </w:r>
      <w:proofErr w:type="spellStart"/>
      <w:r w:rsidRPr="00773325">
        <w:rPr>
          <w:rFonts w:ascii="Arial" w:hAnsi="Arial" w:cs="Arial"/>
          <w:sz w:val="24"/>
          <w:szCs w:val="24"/>
        </w:rPr>
        <w:t>Gulland</w:t>
      </w:r>
      <w:proofErr w:type="spellEnd"/>
      <w:r w:rsidRPr="00773325">
        <w:rPr>
          <w:rFonts w:ascii="Arial" w:hAnsi="Arial" w:cs="Arial"/>
          <w:sz w:val="24"/>
          <w:szCs w:val="24"/>
        </w:rPr>
        <w:t xml:space="preserve"> and Lord Edmund Talbot respectively.</w:t>
      </w:r>
      <w:proofErr w:type="gramEnd"/>
    </w:p>
  </w:endnote>
  <w:endnote w:id="4">
    <w:p w:rsidR="003F4714" w:rsidRPr="00773325" w:rsidRDefault="003F4714" w:rsidP="003F4714">
      <w:pPr>
        <w:pStyle w:val="EndnoteText"/>
        <w:jc w:val="both"/>
        <w:rPr>
          <w:rFonts w:ascii="Arial" w:hAnsi="Arial" w:cs="Arial"/>
          <w:color w:val="C00000"/>
          <w:sz w:val="24"/>
          <w:szCs w:val="24"/>
        </w:rPr>
      </w:pPr>
      <w:r w:rsidRPr="00773325">
        <w:rPr>
          <w:rStyle w:val="EndnoteReference"/>
          <w:rFonts w:ascii="Arial" w:hAnsi="Arial" w:cs="Arial"/>
          <w:color w:val="C00000"/>
          <w:sz w:val="24"/>
          <w:szCs w:val="24"/>
          <w:vertAlign w:val="baseline"/>
        </w:rPr>
        <w:endnoteRef/>
      </w:r>
      <w:r>
        <w:rPr>
          <w:rFonts w:ascii="Arial" w:hAnsi="Arial" w:cs="Arial"/>
          <w:color w:val="C00000"/>
          <w:sz w:val="24"/>
          <w:szCs w:val="24"/>
        </w:rPr>
        <w:t xml:space="preserve"> </w:t>
      </w:r>
      <w:r w:rsidRPr="00773325">
        <w:rPr>
          <w:rFonts w:ascii="Arial" w:hAnsi="Arial" w:cs="Arial"/>
          <w:color w:val="C00000"/>
          <w:sz w:val="24"/>
          <w:szCs w:val="24"/>
        </w:rPr>
        <w:t xml:space="preserve"> Some authors </w:t>
      </w:r>
      <w:r w:rsidR="00574091" w:rsidRPr="00773325">
        <w:rPr>
          <w:rFonts w:ascii="Arial" w:hAnsi="Arial" w:cs="Arial"/>
          <w:color w:val="C00000"/>
          <w:sz w:val="24"/>
          <w:szCs w:val="24"/>
        </w:rPr>
        <w:t>(see, for example, Weaver, Motion and Roper, 2006: 7)</w:t>
      </w:r>
      <w:r w:rsidR="00574091">
        <w:rPr>
          <w:rFonts w:ascii="Arial" w:hAnsi="Arial" w:cs="Arial"/>
          <w:color w:val="C00000"/>
          <w:sz w:val="24"/>
          <w:szCs w:val="24"/>
        </w:rPr>
        <w:t xml:space="preserve"> </w:t>
      </w:r>
      <w:r w:rsidRPr="00773325">
        <w:rPr>
          <w:rFonts w:ascii="Arial" w:hAnsi="Arial" w:cs="Arial"/>
          <w:color w:val="C00000"/>
          <w:sz w:val="24"/>
          <w:szCs w:val="24"/>
        </w:rPr>
        <w:t>define propaganda in opposition to public relations</w:t>
      </w:r>
      <w:r>
        <w:rPr>
          <w:rFonts w:ascii="Arial" w:hAnsi="Arial" w:cs="Arial"/>
          <w:color w:val="C00000"/>
          <w:sz w:val="24"/>
          <w:szCs w:val="24"/>
        </w:rPr>
        <w:t>. Yet</w:t>
      </w:r>
      <w:r w:rsidRPr="00773325">
        <w:rPr>
          <w:rFonts w:ascii="Arial" w:hAnsi="Arial" w:cs="Arial"/>
          <w:color w:val="C00000"/>
          <w:sz w:val="24"/>
          <w:szCs w:val="24"/>
        </w:rPr>
        <w:t xml:space="preserve"> the wide range of work carried out by the Committee and its embrace of </w:t>
      </w:r>
      <w:r>
        <w:rPr>
          <w:rFonts w:ascii="Arial" w:hAnsi="Arial" w:cs="Arial"/>
          <w:color w:val="C00000"/>
          <w:sz w:val="24"/>
          <w:szCs w:val="24"/>
        </w:rPr>
        <w:t>a variety of</w:t>
      </w:r>
      <w:r w:rsidRPr="00773325">
        <w:rPr>
          <w:rFonts w:ascii="Arial" w:hAnsi="Arial" w:cs="Arial"/>
          <w:color w:val="C00000"/>
          <w:sz w:val="24"/>
          <w:szCs w:val="24"/>
        </w:rPr>
        <w:t xml:space="preserve"> promotional tactics and strategies suggest </w:t>
      </w:r>
      <w:r>
        <w:rPr>
          <w:rFonts w:ascii="Arial" w:hAnsi="Arial" w:cs="Arial"/>
          <w:color w:val="C00000"/>
          <w:sz w:val="24"/>
          <w:szCs w:val="24"/>
        </w:rPr>
        <w:t xml:space="preserve">that </w:t>
      </w:r>
      <w:r w:rsidRPr="00773325">
        <w:rPr>
          <w:rFonts w:ascii="Arial" w:hAnsi="Arial" w:cs="Arial"/>
          <w:color w:val="C00000"/>
          <w:sz w:val="24"/>
          <w:szCs w:val="24"/>
        </w:rPr>
        <w:t>the</w:t>
      </w:r>
      <w:r>
        <w:rPr>
          <w:rFonts w:ascii="Arial" w:hAnsi="Arial" w:cs="Arial"/>
          <w:color w:val="C00000"/>
          <w:sz w:val="24"/>
          <w:szCs w:val="24"/>
        </w:rPr>
        <w:t xml:space="preserve"> two practices </w:t>
      </w:r>
      <w:r w:rsidRPr="00773325">
        <w:rPr>
          <w:rFonts w:ascii="Arial" w:hAnsi="Arial" w:cs="Arial"/>
          <w:color w:val="C00000"/>
          <w:sz w:val="24"/>
          <w:szCs w:val="24"/>
        </w:rPr>
        <w:t>were not mutually exclusive</w:t>
      </w:r>
      <w:r>
        <w:rPr>
          <w:rFonts w:ascii="Arial" w:hAnsi="Arial" w:cs="Arial"/>
          <w:color w:val="C00000"/>
          <w:sz w:val="24"/>
          <w:szCs w:val="24"/>
        </w:rPr>
        <w:t xml:space="preserve"> during this period</w:t>
      </w:r>
      <w:r w:rsidRPr="00773325">
        <w:rPr>
          <w:rFonts w:ascii="Arial" w:hAnsi="Arial" w:cs="Arial"/>
          <w:color w:val="C00000"/>
          <w:sz w:val="24"/>
          <w:szCs w:val="24"/>
        </w:rPr>
        <w:t>.</w:t>
      </w:r>
      <w:r>
        <w:rPr>
          <w:rFonts w:ascii="Arial" w:hAnsi="Arial" w:cs="Arial"/>
          <w:color w:val="C00000"/>
          <w:sz w:val="24"/>
          <w:szCs w:val="24"/>
        </w:rPr>
        <w:t xml:space="preserve"> It is also worth bearing in mind that terms like </w:t>
      </w:r>
      <w:r w:rsidRPr="00340896">
        <w:rPr>
          <w:rFonts w:ascii="Arial" w:hAnsi="Arial" w:cs="Arial"/>
          <w:color w:val="C00000"/>
          <w:sz w:val="24"/>
          <w:szCs w:val="24"/>
        </w:rPr>
        <w:t>‘propaganda’, ‘publicity’ and ‘advertising’</w:t>
      </w:r>
      <w:r>
        <w:rPr>
          <w:rFonts w:ascii="Arial" w:hAnsi="Arial" w:cs="Arial"/>
          <w:color w:val="C00000"/>
          <w:sz w:val="24"/>
          <w:szCs w:val="24"/>
        </w:rPr>
        <w:t xml:space="preserve"> were all used</w:t>
      </w:r>
      <w:r w:rsidRPr="00340896">
        <w:rPr>
          <w:rFonts w:ascii="Arial" w:hAnsi="Arial" w:cs="Arial"/>
          <w:color w:val="C00000"/>
          <w:sz w:val="24"/>
          <w:szCs w:val="24"/>
        </w:rPr>
        <w:t xml:space="preserve"> interchangeably</w:t>
      </w:r>
      <w:r>
        <w:rPr>
          <w:rFonts w:ascii="Arial" w:hAnsi="Arial" w:cs="Arial"/>
          <w:color w:val="C00000"/>
          <w:sz w:val="24"/>
          <w:szCs w:val="24"/>
        </w:rPr>
        <w:t xml:space="preserve"> </w:t>
      </w:r>
      <w:r w:rsidR="00574091">
        <w:rPr>
          <w:rFonts w:ascii="Arial" w:hAnsi="Arial" w:cs="Arial"/>
          <w:color w:val="C00000"/>
          <w:sz w:val="24"/>
          <w:szCs w:val="24"/>
        </w:rPr>
        <w:t>in the first half of the twentieth century</w:t>
      </w:r>
      <w:r>
        <w:rPr>
          <w:rFonts w:ascii="Arial" w:hAnsi="Arial" w:cs="Arial"/>
          <w:color w:val="C00000"/>
          <w:sz w:val="24"/>
          <w:szCs w:val="24"/>
        </w:rPr>
        <w:t xml:space="preserve">, with ‘public relations’ becoming conventional in official nomenclature </w:t>
      </w:r>
      <w:r w:rsidR="00574091">
        <w:rPr>
          <w:rFonts w:ascii="Arial" w:hAnsi="Arial" w:cs="Arial"/>
          <w:color w:val="C00000"/>
          <w:sz w:val="24"/>
          <w:szCs w:val="24"/>
        </w:rPr>
        <w:t>during the interwar years</w:t>
      </w:r>
      <w:r>
        <w:rPr>
          <w:rFonts w:ascii="Arial" w:hAnsi="Arial" w:cs="Arial"/>
          <w:color w:val="C00000"/>
          <w:sz w:val="24"/>
          <w:szCs w:val="24"/>
        </w:rPr>
        <w:t xml:space="preserve">. This </w:t>
      </w:r>
      <w:r w:rsidR="001648C2">
        <w:rPr>
          <w:rFonts w:ascii="Arial" w:hAnsi="Arial" w:cs="Arial"/>
          <w:color w:val="C00000"/>
          <w:sz w:val="24"/>
          <w:szCs w:val="24"/>
        </w:rPr>
        <w:t xml:space="preserve">can </w:t>
      </w:r>
      <w:r>
        <w:rPr>
          <w:rFonts w:ascii="Arial" w:hAnsi="Arial" w:cs="Arial"/>
          <w:color w:val="C00000"/>
          <w:sz w:val="24"/>
          <w:szCs w:val="24"/>
        </w:rPr>
        <w:t>create a fair amount of confusion</w:t>
      </w:r>
      <w:r w:rsidR="001648C2">
        <w:rPr>
          <w:rFonts w:ascii="Arial" w:hAnsi="Arial" w:cs="Arial"/>
          <w:color w:val="C00000"/>
          <w:sz w:val="24"/>
          <w:szCs w:val="24"/>
        </w:rPr>
        <w:t xml:space="preserve"> for historians</w:t>
      </w:r>
      <w:r>
        <w:rPr>
          <w:rFonts w:ascii="Arial" w:hAnsi="Arial" w:cs="Arial"/>
          <w:color w:val="C00000"/>
          <w:sz w:val="24"/>
          <w:szCs w:val="24"/>
        </w:rPr>
        <w:t>, a</w:t>
      </w:r>
      <w:r w:rsidRPr="00340896">
        <w:rPr>
          <w:rFonts w:ascii="Arial" w:hAnsi="Arial" w:cs="Arial"/>
          <w:color w:val="C00000"/>
          <w:sz w:val="24"/>
          <w:szCs w:val="24"/>
        </w:rPr>
        <w:t>s Mariel Grant</w:t>
      </w:r>
      <w:r>
        <w:rPr>
          <w:rFonts w:ascii="Arial" w:hAnsi="Arial" w:cs="Arial"/>
          <w:color w:val="C00000"/>
          <w:sz w:val="24"/>
          <w:szCs w:val="24"/>
        </w:rPr>
        <w:t xml:space="preserve"> </w:t>
      </w:r>
      <w:r w:rsidR="00574091" w:rsidRPr="00340896">
        <w:rPr>
          <w:rFonts w:ascii="Arial" w:hAnsi="Arial" w:cs="Arial"/>
          <w:color w:val="C00000"/>
          <w:sz w:val="24"/>
          <w:szCs w:val="24"/>
        </w:rPr>
        <w:t>(1994: 14)</w:t>
      </w:r>
      <w:r w:rsidR="00574091">
        <w:rPr>
          <w:rFonts w:ascii="Arial" w:hAnsi="Arial" w:cs="Arial"/>
          <w:color w:val="C00000"/>
          <w:sz w:val="24"/>
          <w:szCs w:val="24"/>
        </w:rPr>
        <w:t xml:space="preserve"> has </w:t>
      </w:r>
      <w:r>
        <w:rPr>
          <w:rFonts w:ascii="Arial" w:hAnsi="Arial" w:cs="Arial"/>
          <w:color w:val="C00000"/>
          <w:sz w:val="24"/>
          <w:szCs w:val="24"/>
        </w:rPr>
        <w:t>note</w:t>
      </w:r>
      <w:r w:rsidR="00574091">
        <w:rPr>
          <w:rFonts w:ascii="Arial" w:hAnsi="Arial" w:cs="Arial"/>
          <w:color w:val="C00000"/>
          <w:sz w:val="24"/>
          <w:szCs w:val="24"/>
        </w:rPr>
        <w:t>d</w:t>
      </w:r>
      <w:r>
        <w:rPr>
          <w:rFonts w:ascii="Arial" w:hAnsi="Arial" w:cs="Arial"/>
          <w:color w:val="C00000"/>
          <w:sz w:val="24"/>
          <w:szCs w:val="24"/>
        </w:rPr>
        <w:t xml:space="preserve"> in her </w:t>
      </w:r>
      <w:r w:rsidR="001648C2">
        <w:rPr>
          <w:rFonts w:ascii="Arial" w:hAnsi="Arial" w:cs="Arial"/>
          <w:color w:val="C00000"/>
          <w:sz w:val="24"/>
          <w:szCs w:val="24"/>
        </w:rPr>
        <w:t>influential</w:t>
      </w:r>
      <w:r>
        <w:rPr>
          <w:rFonts w:ascii="Arial" w:hAnsi="Arial" w:cs="Arial"/>
          <w:color w:val="C00000"/>
          <w:sz w:val="24"/>
          <w:szCs w:val="24"/>
        </w:rPr>
        <w:t xml:space="preserve"> study of interwar government propagand</w:t>
      </w:r>
      <w:r w:rsidR="00574091">
        <w:rPr>
          <w:rFonts w:ascii="Arial" w:hAnsi="Arial" w:cs="Arial"/>
          <w:color w:val="C00000"/>
          <w:sz w:val="24"/>
          <w:szCs w:val="24"/>
        </w:rPr>
        <w:t>a.</w:t>
      </w:r>
      <w:r>
        <w:rPr>
          <w:rFonts w:ascii="Arial" w:hAnsi="Arial" w:cs="Arial"/>
          <w:color w:val="C00000"/>
          <w:sz w:val="24"/>
          <w:szCs w:val="24"/>
        </w:rPr>
        <w:t xml:space="preserve"> ‘</w:t>
      </w:r>
      <w:r w:rsidRPr="00340896">
        <w:rPr>
          <w:rFonts w:ascii="Arial" w:hAnsi="Arial" w:cs="Arial"/>
          <w:color w:val="C00000"/>
          <w:sz w:val="24"/>
          <w:szCs w:val="24"/>
        </w:rPr>
        <w:t xml:space="preserve">In March 1929, for example, an editorial in </w:t>
      </w:r>
      <w:r w:rsidRPr="00340896">
        <w:rPr>
          <w:rFonts w:ascii="Arial" w:hAnsi="Arial" w:cs="Arial"/>
          <w:i/>
          <w:color w:val="C00000"/>
          <w:sz w:val="24"/>
          <w:szCs w:val="24"/>
        </w:rPr>
        <w:t>The Times</w:t>
      </w:r>
      <w:r w:rsidRPr="00340896">
        <w:rPr>
          <w:rFonts w:ascii="Arial" w:hAnsi="Arial" w:cs="Arial"/>
          <w:color w:val="C00000"/>
          <w:sz w:val="24"/>
          <w:szCs w:val="24"/>
        </w:rPr>
        <w:t xml:space="preserve"> stressed the importance of giving greater </w:t>
      </w:r>
      <w:r>
        <w:rPr>
          <w:rFonts w:ascii="Arial" w:hAnsi="Arial" w:cs="Arial"/>
          <w:color w:val="C00000"/>
          <w:sz w:val="24"/>
          <w:szCs w:val="24"/>
        </w:rPr>
        <w:t>“</w:t>
      </w:r>
      <w:r w:rsidRPr="00340896">
        <w:rPr>
          <w:rFonts w:ascii="Arial" w:hAnsi="Arial" w:cs="Arial"/>
          <w:color w:val="C00000"/>
          <w:sz w:val="24"/>
          <w:szCs w:val="24"/>
        </w:rPr>
        <w:t>publicity</w:t>
      </w:r>
      <w:r>
        <w:rPr>
          <w:rFonts w:ascii="Arial" w:hAnsi="Arial" w:cs="Arial"/>
          <w:color w:val="C00000"/>
          <w:sz w:val="24"/>
          <w:szCs w:val="24"/>
        </w:rPr>
        <w:t>”</w:t>
      </w:r>
      <w:r w:rsidRPr="00340896">
        <w:rPr>
          <w:rFonts w:ascii="Arial" w:hAnsi="Arial" w:cs="Arial"/>
          <w:color w:val="C00000"/>
          <w:sz w:val="24"/>
          <w:szCs w:val="24"/>
        </w:rPr>
        <w:t xml:space="preserve"> to the minorities question in order to counteract the effects of </w:t>
      </w:r>
      <w:r>
        <w:rPr>
          <w:rFonts w:ascii="Arial" w:hAnsi="Arial" w:cs="Arial"/>
          <w:color w:val="C00000"/>
          <w:sz w:val="24"/>
          <w:szCs w:val="24"/>
        </w:rPr>
        <w:t>“</w:t>
      </w:r>
      <w:r w:rsidRPr="00340896">
        <w:rPr>
          <w:rFonts w:ascii="Arial" w:hAnsi="Arial" w:cs="Arial"/>
          <w:color w:val="C00000"/>
          <w:sz w:val="24"/>
          <w:szCs w:val="24"/>
        </w:rPr>
        <w:t>propaganda</w:t>
      </w:r>
      <w:r>
        <w:rPr>
          <w:rFonts w:ascii="Arial" w:hAnsi="Arial" w:cs="Arial"/>
          <w:color w:val="C00000"/>
          <w:sz w:val="24"/>
          <w:szCs w:val="24"/>
        </w:rPr>
        <w:t>”</w:t>
      </w:r>
      <w:r w:rsidRPr="00340896">
        <w:rPr>
          <w:rFonts w:ascii="Arial" w:hAnsi="Arial" w:cs="Arial"/>
          <w:color w:val="C00000"/>
          <w:sz w:val="24"/>
          <w:szCs w:val="24"/>
        </w:rPr>
        <w:t xml:space="preserve"> against the League of Nations. A day later, the same newspaper published a letter from the Council for the Preservation of Rural England advocating the use of </w:t>
      </w:r>
      <w:r>
        <w:rPr>
          <w:rFonts w:ascii="Arial" w:hAnsi="Arial" w:cs="Arial"/>
          <w:color w:val="C00000"/>
          <w:sz w:val="24"/>
          <w:szCs w:val="24"/>
        </w:rPr>
        <w:t>“</w:t>
      </w:r>
      <w:r w:rsidRPr="00340896">
        <w:rPr>
          <w:rFonts w:ascii="Arial" w:hAnsi="Arial" w:cs="Arial"/>
          <w:color w:val="C00000"/>
          <w:sz w:val="24"/>
          <w:szCs w:val="24"/>
        </w:rPr>
        <w:t>propaganda</w:t>
      </w:r>
      <w:r>
        <w:rPr>
          <w:rFonts w:ascii="Arial" w:hAnsi="Arial" w:cs="Arial"/>
          <w:color w:val="C00000"/>
          <w:sz w:val="24"/>
          <w:szCs w:val="24"/>
        </w:rPr>
        <w:t>”</w:t>
      </w:r>
      <w:r w:rsidRPr="00340896">
        <w:rPr>
          <w:rFonts w:ascii="Arial" w:hAnsi="Arial" w:cs="Arial"/>
          <w:color w:val="C00000"/>
          <w:sz w:val="24"/>
          <w:szCs w:val="24"/>
        </w:rPr>
        <w:t xml:space="preserve"> to warn the public of the menace caused by </w:t>
      </w:r>
      <w:r>
        <w:rPr>
          <w:rFonts w:ascii="Arial" w:hAnsi="Arial" w:cs="Arial"/>
          <w:color w:val="C00000"/>
          <w:sz w:val="24"/>
          <w:szCs w:val="24"/>
        </w:rPr>
        <w:t>“</w:t>
      </w:r>
      <w:r w:rsidRPr="00340896">
        <w:rPr>
          <w:rFonts w:ascii="Arial" w:hAnsi="Arial" w:cs="Arial"/>
          <w:color w:val="C00000"/>
          <w:sz w:val="24"/>
          <w:szCs w:val="24"/>
        </w:rPr>
        <w:t>advertising</w:t>
      </w:r>
      <w:r>
        <w:rPr>
          <w:rFonts w:ascii="Arial" w:hAnsi="Arial" w:cs="Arial"/>
          <w:color w:val="C00000"/>
          <w:sz w:val="24"/>
          <w:szCs w:val="24"/>
        </w:rPr>
        <w:t>”’</w:t>
      </w:r>
      <w:r w:rsidR="00574091">
        <w:rPr>
          <w:rFonts w:ascii="Arial" w:hAnsi="Arial" w:cs="Arial"/>
          <w:color w:val="C00000"/>
          <w:sz w:val="24"/>
          <w:szCs w:val="24"/>
        </w:rPr>
        <w:t>.</w:t>
      </w:r>
    </w:p>
  </w:endnote>
  <w:endnote w:id="5">
    <w:p w:rsidR="007E7A07" w:rsidRPr="00773325" w:rsidRDefault="007E7A07" w:rsidP="00773325">
      <w:pPr>
        <w:pStyle w:val="EndnoteText"/>
        <w:jc w:val="both"/>
        <w:rPr>
          <w:rFonts w:ascii="Arial" w:hAnsi="Arial" w:cs="Arial"/>
          <w:sz w:val="24"/>
          <w:szCs w:val="24"/>
        </w:rPr>
      </w:pPr>
      <w:r w:rsidRPr="00773325">
        <w:rPr>
          <w:rStyle w:val="EndnoteReference"/>
          <w:rFonts w:ascii="Arial" w:hAnsi="Arial" w:cs="Arial"/>
          <w:sz w:val="24"/>
          <w:szCs w:val="24"/>
          <w:vertAlign w:val="baseline"/>
        </w:rPr>
        <w:endnoteRef/>
      </w:r>
      <w:r w:rsidRPr="00773325">
        <w:rPr>
          <w:rFonts w:ascii="Arial" w:hAnsi="Arial" w:cs="Arial"/>
          <w:sz w:val="24"/>
          <w:szCs w:val="24"/>
        </w:rPr>
        <w:t xml:space="preserve">     In a summary of the Committee recorded in the National Archives, Davies claims that the decision to establish the Sub-Departments was made by an ‘Executive or, as it was called, a General Purposes Committee of 14’. Files of the latter committee do not appear to have been preserved, and Davies does not specify who sat on </w:t>
      </w:r>
      <w:r w:rsidRPr="001648C2">
        <w:rPr>
          <w:rFonts w:ascii="Arial" w:hAnsi="Arial" w:cs="Arial"/>
          <w:color w:val="FF0000"/>
          <w:sz w:val="24"/>
          <w:szCs w:val="24"/>
        </w:rPr>
        <w:t>th</w:t>
      </w:r>
      <w:r w:rsidR="001648C2" w:rsidRPr="001648C2">
        <w:rPr>
          <w:rFonts w:ascii="Arial" w:hAnsi="Arial" w:cs="Arial"/>
          <w:color w:val="FF0000"/>
          <w:sz w:val="24"/>
          <w:szCs w:val="24"/>
        </w:rPr>
        <w:t>is</w:t>
      </w:r>
      <w:r w:rsidRPr="00773325">
        <w:rPr>
          <w:rFonts w:ascii="Arial" w:hAnsi="Arial" w:cs="Arial"/>
          <w:sz w:val="24"/>
          <w:szCs w:val="24"/>
        </w:rPr>
        <w:t xml:space="preserve"> committee. He also claims that there were originally only three Sub-Departments, with Publications and Publicity forming a single </w:t>
      </w:r>
      <w:r w:rsidR="001648C2" w:rsidRPr="001648C2">
        <w:rPr>
          <w:rFonts w:ascii="Arial" w:hAnsi="Arial" w:cs="Arial"/>
          <w:color w:val="FF0000"/>
          <w:sz w:val="24"/>
          <w:szCs w:val="24"/>
        </w:rPr>
        <w:t>body</w:t>
      </w:r>
      <w:r w:rsidRPr="00773325">
        <w:rPr>
          <w:rFonts w:ascii="Arial" w:hAnsi="Arial" w:cs="Arial"/>
          <w:sz w:val="24"/>
          <w:szCs w:val="24"/>
        </w:rPr>
        <w:t xml:space="preserve">, although </w:t>
      </w:r>
      <w:r w:rsidRPr="001648C2">
        <w:rPr>
          <w:rFonts w:ascii="Arial" w:hAnsi="Arial" w:cs="Arial"/>
          <w:color w:val="FF0000"/>
          <w:sz w:val="24"/>
          <w:szCs w:val="24"/>
        </w:rPr>
        <w:t xml:space="preserve">separate reports </w:t>
      </w:r>
      <w:r w:rsidR="001648C2" w:rsidRPr="001648C2">
        <w:rPr>
          <w:rFonts w:ascii="Arial" w:hAnsi="Arial" w:cs="Arial"/>
          <w:color w:val="FF0000"/>
          <w:sz w:val="24"/>
          <w:szCs w:val="24"/>
        </w:rPr>
        <w:t xml:space="preserve">have been filed </w:t>
      </w:r>
      <w:r w:rsidRPr="001648C2">
        <w:rPr>
          <w:rFonts w:ascii="Arial" w:hAnsi="Arial" w:cs="Arial"/>
          <w:color w:val="FF0000"/>
          <w:sz w:val="24"/>
          <w:szCs w:val="24"/>
        </w:rPr>
        <w:t xml:space="preserve">for each Sub-Department </w:t>
      </w:r>
      <w:r w:rsidR="001648C2" w:rsidRPr="001648C2">
        <w:rPr>
          <w:rFonts w:ascii="Arial" w:hAnsi="Arial" w:cs="Arial"/>
          <w:color w:val="FF0000"/>
          <w:sz w:val="24"/>
          <w:szCs w:val="24"/>
        </w:rPr>
        <w:t>and</w:t>
      </w:r>
      <w:r w:rsidRPr="001648C2">
        <w:rPr>
          <w:rFonts w:ascii="Arial" w:hAnsi="Arial" w:cs="Arial"/>
          <w:color w:val="FF0000"/>
          <w:sz w:val="24"/>
          <w:szCs w:val="24"/>
        </w:rPr>
        <w:t xml:space="preserve"> I have treated the</w:t>
      </w:r>
      <w:r w:rsidR="001648C2" w:rsidRPr="001648C2">
        <w:rPr>
          <w:rFonts w:ascii="Arial" w:hAnsi="Arial" w:cs="Arial"/>
          <w:color w:val="FF0000"/>
          <w:sz w:val="24"/>
          <w:szCs w:val="24"/>
        </w:rPr>
        <w:t>m</w:t>
      </w:r>
      <w:r w:rsidRPr="001648C2">
        <w:rPr>
          <w:rFonts w:ascii="Arial" w:hAnsi="Arial" w:cs="Arial"/>
          <w:color w:val="FF0000"/>
          <w:sz w:val="24"/>
          <w:szCs w:val="24"/>
        </w:rPr>
        <w:t xml:space="preserve"> as distinct entities</w:t>
      </w:r>
      <w:r w:rsidR="00574091">
        <w:rPr>
          <w:rFonts w:ascii="Arial" w:hAnsi="Arial" w:cs="Arial"/>
          <w:color w:val="FF0000"/>
          <w:sz w:val="24"/>
          <w:szCs w:val="24"/>
        </w:rPr>
        <w:t xml:space="preserve"> here</w:t>
      </w:r>
      <w:r w:rsidRPr="00773325">
        <w:rPr>
          <w:rFonts w:ascii="Arial" w:hAnsi="Arial" w:cs="Arial"/>
          <w:sz w:val="24"/>
          <w:szCs w:val="24"/>
        </w:rPr>
        <w:t>.</w:t>
      </w:r>
    </w:p>
  </w:endnote>
  <w:endnote w:id="6">
    <w:p w:rsidR="00F44303" w:rsidRPr="00773325" w:rsidRDefault="00F44303" w:rsidP="00773325">
      <w:pPr>
        <w:pStyle w:val="EndnoteText"/>
        <w:jc w:val="both"/>
        <w:rPr>
          <w:rFonts w:ascii="Arial" w:hAnsi="Arial" w:cs="Arial"/>
          <w:sz w:val="24"/>
          <w:szCs w:val="24"/>
        </w:rPr>
      </w:pPr>
      <w:r w:rsidRPr="00773325">
        <w:rPr>
          <w:rStyle w:val="EndnoteReference"/>
          <w:rFonts w:ascii="Arial" w:hAnsi="Arial" w:cs="Arial"/>
          <w:sz w:val="24"/>
          <w:szCs w:val="24"/>
          <w:vertAlign w:val="baseline"/>
        </w:rPr>
        <w:endnoteRef/>
      </w:r>
      <w:r w:rsidRPr="00773325">
        <w:rPr>
          <w:rFonts w:ascii="Arial" w:hAnsi="Arial" w:cs="Arial"/>
          <w:sz w:val="24"/>
          <w:szCs w:val="24"/>
        </w:rPr>
        <w:t xml:space="preserve"> </w:t>
      </w:r>
      <w:r w:rsidR="00C82F9F" w:rsidRPr="00773325">
        <w:rPr>
          <w:rFonts w:ascii="Arial" w:hAnsi="Arial" w:cs="Arial"/>
          <w:sz w:val="24"/>
          <w:szCs w:val="24"/>
        </w:rPr>
        <w:t xml:space="preserve">  </w:t>
      </w:r>
      <w:r w:rsidRPr="00773325">
        <w:rPr>
          <w:rFonts w:ascii="Arial" w:hAnsi="Arial" w:cs="Arial"/>
          <w:sz w:val="24"/>
          <w:szCs w:val="24"/>
        </w:rPr>
        <w:t xml:space="preserve">Under the ‘group system’, the remaining population of able-bodied men was divided into twenty groups according to their age and marital status. Men would then be called up in groups, with </w:t>
      </w:r>
      <w:r w:rsidR="001648C2">
        <w:rPr>
          <w:rFonts w:ascii="Arial" w:hAnsi="Arial" w:cs="Arial"/>
          <w:sz w:val="24"/>
          <w:szCs w:val="24"/>
        </w:rPr>
        <w:t xml:space="preserve">the </w:t>
      </w:r>
      <w:r w:rsidRPr="00773325">
        <w:rPr>
          <w:rFonts w:ascii="Arial" w:hAnsi="Arial" w:cs="Arial"/>
          <w:sz w:val="24"/>
          <w:szCs w:val="24"/>
        </w:rPr>
        <w:t>youngest</w:t>
      </w:r>
      <w:r w:rsidR="001648C2">
        <w:rPr>
          <w:rFonts w:ascii="Arial" w:hAnsi="Arial" w:cs="Arial"/>
          <w:sz w:val="24"/>
          <w:szCs w:val="24"/>
        </w:rPr>
        <w:t>,</w:t>
      </w:r>
      <w:r w:rsidRPr="00773325">
        <w:rPr>
          <w:rFonts w:ascii="Arial" w:hAnsi="Arial" w:cs="Arial"/>
          <w:sz w:val="24"/>
          <w:szCs w:val="24"/>
        </w:rPr>
        <w:t xml:space="preserve"> single men first and the oldest</w:t>
      </w:r>
      <w:r w:rsidR="001648C2">
        <w:rPr>
          <w:rFonts w:ascii="Arial" w:hAnsi="Arial" w:cs="Arial"/>
          <w:sz w:val="24"/>
          <w:szCs w:val="24"/>
        </w:rPr>
        <w:t>,</w:t>
      </w:r>
      <w:r w:rsidRPr="00773325">
        <w:rPr>
          <w:rFonts w:ascii="Arial" w:hAnsi="Arial" w:cs="Arial"/>
          <w:sz w:val="24"/>
          <w:szCs w:val="24"/>
        </w:rPr>
        <w:t xml:space="preserve"> married men last. See WO 106/366. </w:t>
      </w:r>
    </w:p>
  </w:endnote>
  <w:endnote w:id="7">
    <w:p w:rsidR="00F44303" w:rsidRPr="00773325" w:rsidRDefault="00F44303" w:rsidP="00773325">
      <w:pPr>
        <w:pStyle w:val="EndnoteText"/>
        <w:jc w:val="both"/>
        <w:rPr>
          <w:rFonts w:ascii="Arial" w:hAnsi="Arial" w:cs="Arial"/>
          <w:sz w:val="24"/>
          <w:szCs w:val="24"/>
        </w:rPr>
      </w:pPr>
      <w:r w:rsidRPr="001648C2">
        <w:rPr>
          <w:rStyle w:val="EndnoteReference"/>
          <w:rFonts w:ascii="Arial" w:hAnsi="Arial" w:cs="Arial"/>
          <w:color w:val="FF0000"/>
          <w:sz w:val="24"/>
          <w:szCs w:val="24"/>
          <w:vertAlign w:val="baseline"/>
        </w:rPr>
        <w:endnoteRef/>
      </w:r>
      <w:r w:rsidRPr="001648C2">
        <w:rPr>
          <w:rFonts w:ascii="Arial" w:hAnsi="Arial" w:cs="Arial"/>
          <w:color w:val="FF0000"/>
          <w:sz w:val="24"/>
          <w:szCs w:val="24"/>
        </w:rPr>
        <w:t xml:space="preserve"> </w:t>
      </w:r>
      <w:r w:rsidR="00C82F9F" w:rsidRPr="001648C2">
        <w:rPr>
          <w:rFonts w:ascii="Arial" w:hAnsi="Arial" w:cs="Arial"/>
          <w:color w:val="FF0000"/>
          <w:sz w:val="24"/>
          <w:szCs w:val="24"/>
        </w:rPr>
        <w:t xml:space="preserve">   </w:t>
      </w:r>
      <w:r w:rsidR="00537F0B" w:rsidRPr="001648C2">
        <w:rPr>
          <w:rFonts w:ascii="Arial" w:hAnsi="Arial" w:cs="Arial"/>
          <w:color w:val="FF0000"/>
          <w:sz w:val="24"/>
          <w:szCs w:val="24"/>
        </w:rPr>
        <w:t>A</w:t>
      </w:r>
      <w:r w:rsidR="00537F0B" w:rsidRPr="00537F0B">
        <w:rPr>
          <w:rFonts w:ascii="Arial" w:hAnsi="Arial" w:cs="Arial"/>
          <w:color w:val="C00000"/>
          <w:sz w:val="24"/>
          <w:szCs w:val="24"/>
        </w:rPr>
        <w:t>lfred Harmsworth, Harold Harmsworth and Max Aitken had all been ennobled before the war, assuming the titles Lords Northcliffe, Rothermere and Beaverbrook</w:t>
      </w:r>
      <w:r w:rsidRPr="00537F0B">
        <w:rPr>
          <w:rFonts w:ascii="Arial" w:hAnsi="Arial" w:cs="Arial"/>
          <w:color w:val="C00000"/>
          <w:sz w:val="24"/>
          <w:szCs w:val="24"/>
        </w:rPr>
        <w:t>.</w:t>
      </w:r>
      <w:r w:rsidR="00FF5F11">
        <w:rPr>
          <w:rFonts w:ascii="Arial" w:hAnsi="Arial" w:cs="Arial"/>
          <w:color w:val="C00000"/>
          <w:sz w:val="24"/>
          <w:szCs w:val="24"/>
        </w:rPr>
        <w:t xml:space="preserve"> As Temple (2008: 21) </w:t>
      </w:r>
      <w:r w:rsidR="000217AF">
        <w:rPr>
          <w:rFonts w:ascii="Arial" w:hAnsi="Arial" w:cs="Arial"/>
          <w:color w:val="C00000"/>
          <w:sz w:val="24"/>
          <w:szCs w:val="24"/>
        </w:rPr>
        <w:t>notes</w:t>
      </w:r>
      <w:r w:rsidR="00FF5F11">
        <w:rPr>
          <w:rFonts w:ascii="Arial" w:hAnsi="Arial" w:cs="Arial"/>
          <w:color w:val="C00000"/>
          <w:sz w:val="24"/>
          <w:szCs w:val="24"/>
        </w:rPr>
        <w:t xml:space="preserve">, the </w:t>
      </w:r>
      <w:r w:rsidR="001648C2">
        <w:rPr>
          <w:rFonts w:ascii="Arial" w:hAnsi="Arial" w:cs="Arial"/>
          <w:color w:val="C00000"/>
          <w:sz w:val="24"/>
          <w:szCs w:val="24"/>
        </w:rPr>
        <w:t xml:space="preserve">prevailing belief that the </w:t>
      </w:r>
      <w:r w:rsidR="00FF5F11">
        <w:rPr>
          <w:rFonts w:ascii="Arial" w:hAnsi="Arial" w:cs="Arial"/>
          <w:color w:val="C00000"/>
          <w:sz w:val="24"/>
          <w:szCs w:val="24"/>
        </w:rPr>
        <w:t>press a</w:t>
      </w:r>
      <w:r w:rsidR="001648C2">
        <w:rPr>
          <w:rFonts w:ascii="Arial" w:hAnsi="Arial" w:cs="Arial"/>
          <w:color w:val="C00000"/>
          <w:sz w:val="24"/>
          <w:szCs w:val="24"/>
        </w:rPr>
        <w:t>cted a</w:t>
      </w:r>
      <w:r w:rsidR="00FF5F11">
        <w:rPr>
          <w:rFonts w:ascii="Arial" w:hAnsi="Arial" w:cs="Arial"/>
          <w:color w:val="C00000"/>
          <w:sz w:val="24"/>
          <w:szCs w:val="24"/>
        </w:rPr>
        <w:t xml:space="preserve">s a ‘conduit between rulers and subjects’ can explain </w:t>
      </w:r>
      <w:r w:rsidR="004621B9">
        <w:rPr>
          <w:rFonts w:ascii="Arial" w:hAnsi="Arial" w:cs="Arial"/>
          <w:color w:val="C00000"/>
          <w:sz w:val="24"/>
          <w:szCs w:val="24"/>
        </w:rPr>
        <w:t>why newspaper proprietors shared such a close relationship with</w:t>
      </w:r>
      <w:r w:rsidR="00FF5F11">
        <w:rPr>
          <w:rFonts w:ascii="Arial" w:hAnsi="Arial" w:cs="Arial"/>
          <w:color w:val="C00000"/>
          <w:sz w:val="24"/>
          <w:szCs w:val="24"/>
        </w:rPr>
        <w:t xml:space="preserve"> </w:t>
      </w:r>
      <w:r w:rsidR="004621B9">
        <w:rPr>
          <w:rFonts w:ascii="Arial" w:hAnsi="Arial" w:cs="Arial"/>
          <w:color w:val="C00000"/>
          <w:sz w:val="24"/>
          <w:szCs w:val="24"/>
        </w:rPr>
        <w:t>Cabinet ministers</w:t>
      </w:r>
      <w:r w:rsidR="00FF5F11">
        <w:rPr>
          <w:rFonts w:ascii="Arial" w:hAnsi="Arial" w:cs="Arial"/>
          <w:color w:val="C00000"/>
          <w:sz w:val="24"/>
          <w:szCs w:val="24"/>
        </w:rPr>
        <w:t xml:space="preserve"> in the early years of the twentieth century.</w:t>
      </w:r>
      <w:r w:rsidR="004621B9">
        <w:rPr>
          <w:rFonts w:ascii="Arial" w:hAnsi="Arial" w:cs="Arial"/>
          <w:color w:val="C00000"/>
          <w:sz w:val="24"/>
          <w:szCs w:val="24"/>
        </w:rPr>
        <w:t xml:space="preserve"> This relationship often </w:t>
      </w:r>
      <w:r w:rsidR="000217AF">
        <w:rPr>
          <w:rFonts w:ascii="Arial" w:hAnsi="Arial" w:cs="Arial"/>
          <w:color w:val="C00000"/>
          <w:sz w:val="24"/>
          <w:szCs w:val="24"/>
        </w:rPr>
        <w:t>took the form of</w:t>
      </w:r>
      <w:r w:rsidR="00E57392">
        <w:rPr>
          <w:rFonts w:ascii="Arial" w:hAnsi="Arial" w:cs="Arial"/>
          <w:color w:val="C00000"/>
          <w:sz w:val="24"/>
          <w:szCs w:val="24"/>
        </w:rPr>
        <w:t xml:space="preserve"> </w:t>
      </w:r>
      <w:r w:rsidR="000D27AE" w:rsidRPr="000D27AE">
        <w:rPr>
          <w:rFonts w:ascii="Arial" w:hAnsi="Arial" w:cs="Arial"/>
          <w:i/>
          <w:color w:val="C00000"/>
          <w:sz w:val="24"/>
          <w:szCs w:val="24"/>
        </w:rPr>
        <w:t>quid pro quo</w:t>
      </w:r>
      <w:r w:rsidR="000D27AE">
        <w:rPr>
          <w:rFonts w:ascii="Arial" w:hAnsi="Arial" w:cs="Arial"/>
          <w:color w:val="C00000"/>
          <w:sz w:val="24"/>
          <w:szCs w:val="24"/>
        </w:rPr>
        <w:t xml:space="preserve"> exchange</w:t>
      </w:r>
      <w:r w:rsidR="00E57392">
        <w:rPr>
          <w:rFonts w:ascii="Arial" w:hAnsi="Arial" w:cs="Arial"/>
          <w:color w:val="C00000"/>
          <w:sz w:val="24"/>
          <w:szCs w:val="24"/>
        </w:rPr>
        <w:t>s</w:t>
      </w:r>
      <w:r w:rsidR="004621B9">
        <w:rPr>
          <w:rFonts w:ascii="Arial" w:hAnsi="Arial" w:cs="Arial"/>
          <w:color w:val="C00000"/>
          <w:sz w:val="24"/>
          <w:szCs w:val="24"/>
        </w:rPr>
        <w:t xml:space="preserve">, with Lord Northcliffe, for example, </w:t>
      </w:r>
      <w:r w:rsidR="000D27AE">
        <w:rPr>
          <w:rFonts w:ascii="Arial" w:hAnsi="Arial" w:cs="Arial"/>
          <w:color w:val="C00000"/>
          <w:sz w:val="24"/>
          <w:szCs w:val="24"/>
        </w:rPr>
        <w:t xml:space="preserve">offered a position in Lloyd George’s </w:t>
      </w:r>
      <w:r w:rsidR="00E57392">
        <w:rPr>
          <w:rFonts w:ascii="Arial" w:hAnsi="Arial" w:cs="Arial"/>
          <w:color w:val="C00000"/>
          <w:sz w:val="24"/>
          <w:szCs w:val="24"/>
        </w:rPr>
        <w:t>C</w:t>
      </w:r>
      <w:r w:rsidR="000D27AE">
        <w:rPr>
          <w:rFonts w:ascii="Arial" w:hAnsi="Arial" w:cs="Arial"/>
          <w:color w:val="C00000"/>
          <w:sz w:val="24"/>
          <w:szCs w:val="24"/>
        </w:rPr>
        <w:t>abinet shortly after his newspapers had helped to bring down the Asquith administration</w:t>
      </w:r>
      <w:r w:rsidR="00574091">
        <w:rPr>
          <w:rFonts w:ascii="Arial" w:hAnsi="Arial" w:cs="Arial"/>
          <w:color w:val="C00000"/>
          <w:sz w:val="24"/>
          <w:szCs w:val="24"/>
        </w:rPr>
        <w:t xml:space="preserve"> in 1916</w:t>
      </w:r>
      <w:r w:rsidR="000D27AE">
        <w:rPr>
          <w:rFonts w:ascii="Arial" w:hAnsi="Arial" w:cs="Arial"/>
          <w:color w:val="C00000"/>
          <w:sz w:val="24"/>
          <w:szCs w:val="24"/>
        </w:rPr>
        <w:t xml:space="preserve">. </w:t>
      </w:r>
      <w:r w:rsidR="001648C2">
        <w:rPr>
          <w:rFonts w:ascii="Arial" w:hAnsi="Arial" w:cs="Arial"/>
          <w:color w:val="C00000"/>
          <w:sz w:val="24"/>
          <w:szCs w:val="24"/>
        </w:rPr>
        <w:t xml:space="preserve">It might also explain </w:t>
      </w:r>
      <w:r w:rsidR="00883B51">
        <w:rPr>
          <w:rFonts w:ascii="Arial" w:hAnsi="Arial" w:cs="Arial"/>
          <w:color w:val="C00000"/>
          <w:sz w:val="24"/>
          <w:szCs w:val="24"/>
        </w:rPr>
        <w:t xml:space="preserve">the kind of informal support given to recruiters in </w:t>
      </w:r>
      <w:r w:rsidR="00574091">
        <w:rPr>
          <w:rFonts w:ascii="Arial" w:hAnsi="Arial" w:cs="Arial"/>
          <w:color w:val="C00000"/>
          <w:sz w:val="24"/>
          <w:szCs w:val="24"/>
        </w:rPr>
        <w:t>preceding years</w:t>
      </w:r>
      <w:r w:rsidR="008C4401">
        <w:rPr>
          <w:rFonts w:ascii="Arial" w:hAnsi="Arial" w:cs="Arial"/>
          <w:color w:val="C00000"/>
          <w:sz w:val="24"/>
          <w:szCs w:val="24"/>
        </w:rPr>
        <w:t xml:space="preserve">.  </w:t>
      </w:r>
      <w:r w:rsidR="000D27AE">
        <w:rPr>
          <w:rFonts w:ascii="Arial" w:hAnsi="Arial" w:cs="Arial"/>
          <w:color w:val="C00000"/>
          <w:sz w:val="24"/>
          <w:szCs w:val="24"/>
        </w:rPr>
        <w:t xml:space="preserve"> </w:t>
      </w:r>
      <w:r w:rsidR="004621B9">
        <w:rPr>
          <w:rFonts w:ascii="Arial" w:hAnsi="Arial" w:cs="Arial"/>
          <w:color w:val="C00000"/>
          <w:sz w:val="24"/>
          <w:szCs w:val="24"/>
        </w:rPr>
        <w:t xml:space="preserve"> </w:t>
      </w:r>
      <w:r w:rsidR="00FF5F11">
        <w:rPr>
          <w:rFonts w:ascii="Arial" w:hAnsi="Arial" w:cs="Arial"/>
          <w:color w:val="C00000"/>
          <w:sz w:val="24"/>
          <w:szCs w:val="24"/>
        </w:rPr>
        <w:t xml:space="preserve"> </w:t>
      </w:r>
      <w:r w:rsidR="00537F0B" w:rsidRPr="00537F0B">
        <w:rPr>
          <w:rFonts w:ascii="Arial" w:hAnsi="Arial" w:cs="Arial"/>
          <w:color w:val="C00000"/>
          <w:sz w:val="24"/>
          <w:szCs w:val="24"/>
        </w:rPr>
        <w:t xml:space="preserve"> </w:t>
      </w:r>
    </w:p>
  </w:endnote>
  <w:endnote w:id="8">
    <w:p w:rsidR="00BD07CF" w:rsidRPr="00773325" w:rsidRDefault="00BD07CF" w:rsidP="00773325">
      <w:pPr>
        <w:pStyle w:val="EndnoteText"/>
        <w:jc w:val="both"/>
        <w:rPr>
          <w:rFonts w:ascii="Arial" w:hAnsi="Arial" w:cs="Arial"/>
          <w:sz w:val="24"/>
          <w:szCs w:val="24"/>
          <w:lang w:val="en-US"/>
        </w:rPr>
      </w:pPr>
      <w:r w:rsidRPr="00773325">
        <w:rPr>
          <w:rStyle w:val="EndnoteReference"/>
          <w:rFonts w:ascii="Arial" w:hAnsi="Arial" w:cs="Arial"/>
          <w:sz w:val="24"/>
          <w:szCs w:val="24"/>
          <w:vertAlign w:val="baseline"/>
        </w:rPr>
        <w:endnoteRef/>
      </w:r>
      <w:r w:rsidRPr="00773325">
        <w:rPr>
          <w:rFonts w:ascii="Arial" w:hAnsi="Arial" w:cs="Arial"/>
          <w:sz w:val="24"/>
          <w:szCs w:val="24"/>
        </w:rPr>
        <w:t xml:space="preserve"> </w:t>
      </w:r>
      <w:r w:rsidR="00C82F9F" w:rsidRPr="00773325">
        <w:rPr>
          <w:rFonts w:ascii="Arial" w:hAnsi="Arial" w:cs="Arial"/>
          <w:sz w:val="24"/>
          <w:szCs w:val="24"/>
        </w:rPr>
        <w:t xml:space="preserve">  </w:t>
      </w:r>
      <w:r w:rsidRPr="00773325">
        <w:rPr>
          <w:rFonts w:ascii="Arial" w:hAnsi="Arial" w:cs="Arial"/>
          <w:sz w:val="24"/>
          <w:szCs w:val="24"/>
        </w:rPr>
        <w:t xml:space="preserve">Though Hiley does not mention it, the subversion of recruiting appeals by disillusioned soldiers represents an excellent example of the ability of media audiences to adapt and appropriate the messages they consume. </w:t>
      </w:r>
    </w:p>
  </w:endnote>
  <w:endnote w:id="9">
    <w:p w:rsidR="007F59E2" w:rsidRDefault="00152FB8" w:rsidP="00773325">
      <w:pPr>
        <w:pStyle w:val="EndnoteText"/>
        <w:jc w:val="both"/>
        <w:rPr>
          <w:rFonts w:ascii="Arial" w:hAnsi="Arial" w:cs="Arial"/>
          <w:sz w:val="24"/>
          <w:szCs w:val="24"/>
        </w:rPr>
      </w:pPr>
      <w:r w:rsidRPr="00773325">
        <w:rPr>
          <w:rStyle w:val="EndnoteReference"/>
          <w:rFonts w:ascii="Arial" w:hAnsi="Arial" w:cs="Arial"/>
          <w:sz w:val="24"/>
          <w:szCs w:val="24"/>
          <w:vertAlign w:val="baseline"/>
        </w:rPr>
        <w:endnoteRef/>
      </w:r>
      <w:r w:rsidRPr="00773325">
        <w:rPr>
          <w:rFonts w:ascii="Arial" w:hAnsi="Arial" w:cs="Arial"/>
          <w:sz w:val="24"/>
          <w:szCs w:val="24"/>
        </w:rPr>
        <w:t xml:space="preserve">     Both the Imperial War Museum and the National Archives contain large numbers of posters, which may explain why so much has been written about this medium. Records of recruiting rallies and speeches, in contrast, are much harder to find in the </w:t>
      </w:r>
      <w:r w:rsidR="008C4401" w:rsidRPr="008C4401">
        <w:rPr>
          <w:rFonts w:ascii="Arial" w:hAnsi="Arial" w:cs="Arial"/>
          <w:color w:val="C00000"/>
          <w:sz w:val="24"/>
          <w:szCs w:val="24"/>
        </w:rPr>
        <w:t>major</w:t>
      </w:r>
      <w:r w:rsidRPr="00773325">
        <w:rPr>
          <w:rFonts w:ascii="Arial" w:hAnsi="Arial" w:cs="Arial"/>
          <w:sz w:val="24"/>
          <w:szCs w:val="24"/>
        </w:rPr>
        <w:t xml:space="preserve"> archives, which may explain the dearth of commentary on these subjects.</w:t>
      </w:r>
    </w:p>
    <w:p w:rsidR="00152FB8" w:rsidRPr="00773325" w:rsidRDefault="00152FB8" w:rsidP="00773325">
      <w:pPr>
        <w:spacing w:after="0" w:line="360" w:lineRule="auto"/>
        <w:jc w:val="both"/>
        <w:rPr>
          <w:b/>
          <w:sz w:val="28"/>
          <w:szCs w:val="24"/>
        </w:rPr>
      </w:pPr>
      <w:r w:rsidRPr="00773325">
        <w:rPr>
          <w:b/>
          <w:sz w:val="28"/>
          <w:szCs w:val="24"/>
        </w:rPr>
        <w:t>Bibliography</w:t>
      </w:r>
    </w:p>
    <w:p w:rsidR="005F3244" w:rsidRPr="00773325" w:rsidRDefault="005F3244" w:rsidP="005F3244">
      <w:pPr>
        <w:spacing w:after="120" w:line="240" w:lineRule="auto"/>
        <w:jc w:val="both"/>
        <w:rPr>
          <w:sz w:val="24"/>
          <w:szCs w:val="24"/>
        </w:rPr>
      </w:pPr>
      <w:r w:rsidRPr="00773325">
        <w:rPr>
          <w:sz w:val="24"/>
          <w:szCs w:val="24"/>
        </w:rPr>
        <w:t xml:space="preserve">Adams, R. (1985) ‘The National Service League and Mandatory Service </w:t>
      </w:r>
      <w:proofErr w:type="gramStart"/>
      <w:r w:rsidRPr="00773325">
        <w:rPr>
          <w:sz w:val="24"/>
          <w:szCs w:val="24"/>
        </w:rPr>
        <w:t>In</w:t>
      </w:r>
      <w:proofErr w:type="gramEnd"/>
      <w:r w:rsidRPr="00773325">
        <w:rPr>
          <w:sz w:val="24"/>
          <w:szCs w:val="24"/>
        </w:rPr>
        <w:t xml:space="preserve"> Edwardian Britain’, </w:t>
      </w:r>
      <w:r w:rsidRPr="00773325">
        <w:rPr>
          <w:i/>
          <w:sz w:val="24"/>
          <w:szCs w:val="24"/>
        </w:rPr>
        <w:t>Armed Forces &amp; Society</w:t>
      </w:r>
      <w:r w:rsidRPr="00773325">
        <w:rPr>
          <w:sz w:val="24"/>
          <w:szCs w:val="24"/>
        </w:rPr>
        <w:t xml:space="preserve"> 12 (1), 53-74.</w:t>
      </w:r>
    </w:p>
    <w:p w:rsidR="005F3244" w:rsidRPr="00773325" w:rsidRDefault="005F3244" w:rsidP="005F3244">
      <w:pPr>
        <w:spacing w:before="120" w:after="120" w:line="240" w:lineRule="auto"/>
        <w:jc w:val="both"/>
        <w:rPr>
          <w:sz w:val="24"/>
          <w:szCs w:val="24"/>
        </w:rPr>
      </w:pPr>
      <w:r w:rsidRPr="00773325">
        <w:rPr>
          <w:sz w:val="24"/>
          <w:szCs w:val="24"/>
        </w:rPr>
        <w:t xml:space="preserve">Anthony, S. (2012) </w:t>
      </w:r>
      <w:r w:rsidRPr="00773325">
        <w:rPr>
          <w:i/>
          <w:sz w:val="24"/>
          <w:szCs w:val="24"/>
        </w:rPr>
        <w:t>Public Relations and the Making of Modern Britain</w:t>
      </w:r>
      <w:r w:rsidRPr="00773325">
        <w:rPr>
          <w:sz w:val="24"/>
          <w:szCs w:val="24"/>
        </w:rPr>
        <w:t>. Cambridge: Cambridge U.P.</w:t>
      </w:r>
    </w:p>
    <w:p w:rsidR="005F3244" w:rsidRPr="00773325" w:rsidRDefault="005F3244" w:rsidP="005F3244">
      <w:pPr>
        <w:spacing w:before="120" w:after="120" w:line="240" w:lineRule="auto"/>
        <w:jc w:val="both"/>
        <w:rPr>
          <w:sz w:val="24"/>
          <w:szCs w:val="24"/>
        </w:rPr>
      </w:pPr>
      <w:r w:rsidRPr="00773325">
        <w:rPr>
          <w:sz w:val="24"/>
          <w:szCs w:val="24"/>
        </w:rPr>
        <w:t xml:space="preserve">Aulich, J. (2007) </w:t>
      </w:r>
      <w:r w:rsidRPr="00773325">
        <w:rPr>
          <w:i/>
          <w:sz w:val="24"/>
          <w:szCs w:val="24"/>
        </w:rPr>
        <w:t>War Posters: Weapons of Mass Communication</w:t>
      </w:r>
      <w:r w:rsidRPr="00773325">
        <w:rPr>
          <w:sz w:val="24"/>
          <w:szCs w:val="24"/>
        </w:rPr>
        <w:t>.</w:t>
      </w:r>
      <w:r w:rsidRPr="00773325">
        <w:rPr>
          <w:i/>
          <w:sz w:val="24"/>
          <w:szCs w:val="24"/>
        </w:rPr>
        <w:t xml:space="preserve"> </w:t>
      </w:r>
      <w:r w:rsidRPr="00773325">
        <w:rPr>
          <w:sz w:val="24"/>
          <w:szCs w:val="24"/>
        </w:rPr>
        <w:t>London: Thames &amp; Hudson.</w:t>
      </w:r>
    </w:p>
    <w:p w:rsidR="005F3244" w:rsidRPr="00773325" w:rsidRDefault="005F3244" w:rsidP="005F3244">
      <w:pPr>
        <w:jc w:val="both"/>
        <w:rPr>
          <w:sz w:val="24"/>
        </w:rPr>
      </w:pPr>
      <w:r w:rsidRPr="00773325">
        <w:rPr>
          <w:sz w:val="24"/>
        </w:rPr>
        <w:t xml:space="preserve">Bentele, G. &amp; Seiffert, J. (2012) ‘Public Relations and Culture in Germany: Between the “Iron Cage” and Deliberative Democracy’, in K. </w:t>
      </w:r>
      <w:proofErr w:type="spellStart"/>
      <w:r w:rsidRPr="00773325">
        <w:rPr>
          <w:sz w:val="24"/>
        </w:rPr>
        <w:t>Sriramesh</w:t>
      </w:r>
      <w:proofErr w:type="spellEnd"/>
      <w:r w:rsidRPr="00773325">
        <w:rPr>
          <w:sz w:val="24"/>
        </w:rPr>
        <w:t xml:space="preserve"> and D. </w:t>
      </w:r>
      <w:proofErr w:type="spellStart"/>
      <w:r w:rsidRPr="00773325">
        <w:rPr>
          <w:sz w:val="24"/>
        </w:rPr>
        <w:t>Vercic</w:t>
      </w:r>
      <w:proofErr w:type="spellEnd"/>
      <w:r w:rsidRPr="00773325">
        <w:rPr>
          <w:sz w:val="24"/>
        </w:rPr>
        <w:t xml:space="preserve"> (eds.) </w:t>
      </w:r>
      <w:r w:rsidRPr="00773325">
        <w:rPr>
          <w:i/>
          <w:sz w:val="24"/>
        </w:rPr>
        <w:t>Culture and Public Relations: Links and Implications</w:t>
      </w:r>
      <w:r w:rsidRPr="00773325">
        <w:rPr>
          <w:sz w:val="24"/>
        </w:rPr>
        <w:t>, Oxon: Routledge.</w:t>
      </w:r>
    </w:p>
    <w:p w:rsidR="005F3244" w:rsidRPr="00773325" w:rsidRDefault="005F3244" w:rsidP="005F3244">
      <w:pPr>
        <w:pStyle w:val="NormalWeb"/>
        <w:spacing w:before="120" w:beforeAutospacing="0" w:after="120" w:afterAutospacing="0"/>
        <w:jc w:val="both"/>
        <w:rPr>
          <w:rFonts w:ascii="Arial" w:hAnsi="Arial" w:cs="Arial"/>
        </w:rPr>
      </w:pPr>
      <w:r w:rsidRPr="00773325">
        <w:rPr>
          <w:rFonts w:ascii="Arial" w:hAnsi="Arial" w:cs="Arial"/>
        </w:rPr>
        <w:t xml:space="preserve">Bentele, G. (2015) ‘Problems of Public Relations Historiography and Perspectives of a Functional-Integrative Stratification Model’, in T. Watson (ed.) </w:t>
      </w:r>
      <w:r w:rsidRPr="00773325">
        <w:rPr>
          <w:rFonts w:ascii="Arial" w:hAnsi="Arial" w:cs="Arial"/>
          <w:i/>
        </w:rPr>
        <w:t>Perspectives on Public Relations Historiography and Historical Theorisation: Other Voices.</w:t>
      </w:r>
      <w:r w:rsidRPr="00773325">
        <w:rPr>
          <w:rFonts w:ascii="Arial" w:hAnsi="Arial" w:cs="Arial"/>
        </w:rPr>
        <w:t xml:space="preserve"> Basingstoke: Macmillan.</w:t>
      </w:r>
      <w:r w:rsidRPr="00773325">
        <w:rPr>
          <w:rFonts w:ascii="Arial" w:hAnsi="Arial" w:cs="Arial"/>
          <w:i/>
        </w:rPr>
        <w:t xml:space="preserve">   </w:t>
      </w:r>
    </w:p>
    <w:p w:rsidR="005F3244" w:rsidRPr="00773325" w:rsidRDefault="005F3244" w:rsidP="005F3244">
      <w:pPr>
        <w:spacing w:before="120" w:after="120" w:line="240" w:lineRule="auto"/>
        <w:jc w:val="both"/>
        <w:rPr>
          <w:sz w:val="24"/>
          <w:szCs w:val="24"/>
        </w:rPr>
      </w:pPr>
      <w:r w:rsidRPr="00773325">
        <w:rPr>
          <w:sz w:val="24"/>
          <w:szCs w:val="24"/>
        </w:rPr>
        <w:t xml:space="preserve">Bond, B. (1998) </w:t>
      </w:r>
      <w:r w:rsidRPr="00773325">
        <w:rPr>
          <w:i/>
          <w:sz w:val="24"/>
          <w:szCs w:val="24"/>
        </w:rPr>
        <w:t xml:space="preserve">War and Society in Europe, 1870-1970. </w:t>
      </w:r>
      <w:r w:rsidRPr="00773325">
        <w:rPr>
          <w:sz w:val="24"/>
          <w:szCs w:val="24"/>
        </w:rPr>
        <w:t xml:space="preserve">Guernsey: Sutton. </w:t>
      </w:r>
    </w:p>
    <w:p w:rsidR="005F3244" w:rsidRPr="00773325" w:rsidRDefault="005F3244" w:rsidP="005F3244">
      <w:pPr>
        <w:spacing w:before="120" w:after="120" w:line="240" w:lineRule="auto"/>
        <w:jc w:val="both"/>
        <w:rPr>
          <w:sz w:val="24"/>
          <w:szCs w:val="24"/>
        </w:rPr>
      </w:pPr>
      <w:r w:rsidRPr="00773325">
        <w:rPr>
          <w:sz w:val="24"/>
          <w:szCs w:val="24"/>
        </w:rPr>
        <w:t xml:space="preserve">Buitenhuis, P. (1989) </w:t>
      </w:r>
      <w:proofErr w:type="gramStart"/>
      <w:r w:rsidRPr="00773325">
        <w:rPr>
          <w:i/>
          <w:sz w:val="24"/>
          <w:szCs w:val="24"/>
        </w:rPr>
        <w:t>The</w:t>
      </w:r>
      <w:proofErr w:type="gramEnd"/>
      <w:r w:rsidRPr="00773325">
        <w:rPr>
          <w:i/>
          <w:sz w:val="24"/>
          <w:szCs w:val="24"/>
        </w:rPr>
        <w:t xml:space="preserve"> Great War of Words: Literature as Propaganda 1914-18 and After.</w:t>
      </w:r>
      <w:r w:rsidRPr="00773325">
        <w:rPr>
          <w:sz w:val="24"/>
          <w:szCs w:val="24"/>
        </w:rPr>
        <w:t xml:space="preserve"> London: BT </w:t>
      </w:r>
      <w:proofErr w:type="spellStart"/>
      <w:r w:rsidRPr="00773325">
        <w:rPr>
          <w:sz w:val="24"/>
          <w:szCs w:val="24"/>
        </w:rPr>
        <w:t>Batsford</w:t>
      </w:r>
      <w:proofErr w:type="spellEnd"/>
      <w:r w:rsidRPr="00773325">
        <w:rPr>
          <w:sz w:val="24"/>
          <w:szCs w:val="24"/>
        </w:rPr>
        <w:t>.</w:t>
      </w:r>
    </w:p>
    <w:p w:rsidR="005F3244" w:rsidRPr="00773325" w:rsidRDefault="005F3244" w:rsidP="005F3244">
      <w:pPr>
        <w:spacing w:before="120" w:after="120" w:line="240" w:lineRule="auto"/>
        <w:jc w:val="both"/>
        <w:rPr>
          <w:sz w:val="24"/>
          <w:szCs w:val="24"/>
        </w:rPr>
      </w:pPr>
      <w:r w:rsidRPr="00773325">
        <w:rPr>
          <w:sz w:val="24"/>
          <w:szCs w:val="24"/>
        </w:rPr>
        <w:t xml:space="preserve">Clark, F. (1970) </w:t>
      </w:r>
      <w:proofErr w:type="gramStart"/>
      <w:r w:rsidRPr="00773325">
        <w:rPr>
          <w:i/>
          <w:sz w:val="24"/>
          <w:szCs w:val="24"/>
        </w:rPr>
        <w:t>The</w:t>
      </w:r>
      <w:proofErr w:type="gramEnd"/>
      <w:r w:rsidRPr="00773325">
        <w:rPr>
          <w:i/>
          <w:sz w:val="24"/>
          <w:szCs w:val="24"/>
        </w:rPr>
        <w:t xml:space="preserve"> Central Office of Information</w:t>
      </w:r>
      <w:r w:rsidRPr="00773325">
        <w:rPr>
          <w:sz w:val="24"/>
          <w:szCs w:val="24"/>
        </w:rPr>
        <w:t>. London: George Allen &amp; Unwin.</w:t>
      </w:r>
    </w:p>
    <w:p w:rsidR="005F3244" w:rsidRPr="00773325" w:rsidRDefault="005F3244" w:rsidP="005F3244">
      <w:pPr>
        <w:spacing w:before="120" w:after="120" w:line="240" w:lineRule="auto"/>
        <w:jc w:val="both"/>
        <w:rPr>
          <w:sz w:val="24"/>
          <w:szCs w:val="24"/>
        </w:rPr>
      </w:pPr>
      <w:r w:rsidRPr="00773325">
        <w:rPr>
          <w:sz w:val="24"/>
          <w:szCs w:val="24"/>
        </w:rPr>
        <w:t xml:space="preserve">Coppard, G. (1969) </w:t>
      </w:r>
      <w:r w:rsidRPr="00773325">
        <w:rPr>
          <w:i/>
          <w:sz w:val="24"/>
          <w:szCs w:val="24"/>
        </w:rPr>
        <w:t>With a Machine Gun to Cambria: The Tale of a Young Tommy in Kitchener’s Army, 1914-1918</w:t>
      </w:r>
      <w:r w:rsidRPr="00773325">
        <w:rPr>
          <w:sz w:val="24"/>
          <w:szCs w:val="24"/>
        </w:rPr>
        <w:t>. London: HMSO.</w:t>
      </w:r>
    </w:p>
    <w:p w:rsidR="00152FB8" w:rsidRPr="00773325" w:rsidRDefault="00152FB8" w:rsidP="00773325">
      <w:pPr>
        <w:pStyle w:val="NormalWeb"/>
        <w:spacing w:before="120" w:beforeAutospacing="0" w:after="120" w:afterAutospacing="0"/>
        <w:jc w:val="both"/>
        <w:rPr>
          <w:rFonts w:ascii="Arial" w:hAnsi="Arial" w:cs="Arial"/>
        </w:rPr>
      </w:pPr>
      <w:r w:rsidRPr="00773325">
        <w:rPr>
          <w:rFonts w:ascii="Arial" w:hAnsi="Arial" w:cs="Arial"/>
        </w:rPr>
        <w:t xml:space="preserve">Dewey, P. E. (1984) ‘Military Recruiting and the British Labour Force during the First World War’, </w:t>
      </w:r>
      <w:proofErr w:type="gramStart"/>
      <w:r w:rsidRPr="00773325">
        <w:rPr>
          <w:rFonts w:ascii="Arial" w:hAnsi="Arial" w:cs="Arial"/>
          <w:i/>
          <w:iCs/>
        </w:rPr>
        <w:t>The</w:t>
      </w:r>
      <w:proofErr w:type="gramEnd"/>
      <w:r w:rsidRPr="00773325">
        <w:rPr>
          <w:rFonts w:ascii="Arial" w:hAnsi="Arial" w:cs="Arial"/>
          <w:i/>
          <w:iCs/>
        </w:rPr>
        <w:t xml:space="preserve"> Historical Journal</w:t>
      </w:r>
      <w:r w:rsidRPr="00773325">
        <w:rPr>
          <w:rFonts w:ascii="Arial" w:hAnsi="Arial" w:cs="Arial"/>
        </w:rPr>
        <w:t xml:space="preserve">, </w:t>
      </w:r>
      <w:r w:rsidRPr="00773325">
        <w:rPr>
          <w:rFonts w:ascii="Arial" w:hAnsi="Arial" w:cs="Arial"/>
          <w:iCs/>
        </w:rPr>
        <w:t>27</w:t>
      </w:r>
      <w:r w:rsidRPr="00773325">
        <w:rPr>
          <w:rFonts w:ascii="Arial" w:hAnsi="Arial" w:cs="Arial"/>
        </w:rPr>
        <w:t xml:space="preserve"> (1), 199-223.</w:t>
      </w:r>
    </w:p>
    <w:p w:rsidR="00152FB8" w:rsidRPr="00773325" w:rsidRDefault="00152FB8" w:rsidP="00773325">
      <w:pPr>
        <w:spacing w:before="120" w:after="120" w:line="240" w:lineRule="auto"/>
        <w:jc w:val="both"/>
        <w:rPr>
          <w:sz w:val="24"/>
          <w:szCs w:val="24"/>
        </w:rPr>
      </w:pPr>
      <w:r w:rsidRPr="00773325">
        <w:rPr>
          <w:sz w:val="24"/>
          <w:szCs w:val="24"/>
        </w:rPr>
        <w:t xml:space="preserve">Douglas, R. (1970) ‘Voluntary Enlistment in the First World War and the Work of the Parliamentary Recruitment Committee’, </w:t>
      </w:r>
      <w:r w:rsidRPr="00773325">
        <w:rPr>
          <w:i/>
          <w:sz w:val="24"/>
          <w:szCs w:val="24"/>
        </w:rPr>
        <w:t>Journal of Modern History</w:t>
      </w:r>
      <w:r w:rsidRPr="00773325">
        <w:rPr>
          <w:sz w:val="24"/>
          <w:szCs w:val="24"/>
        </w:rPr>
        <w:t>, 42 (4), 564-585.</w:t>
      </w:r>
    </w:p>
    <w:p w:rsidR="00152FB8" w:rsidRPr="003259A5" w:rsidRDefault="00152FB8" w:rsidP="00773325">
      <w:pPr>
        <w:spacing w:before="120" w:after="120" w:line="240" w:lineRule="auto"/>
        <w:jc w:val="both"/>
        <w:rPr>
          <w:color w:val="FF0000"/>
          <w:sz w:val="24"/>
          <w:szCs w:val="24"/>
        </w:rPr>
      </w:pPr>
      <w:proofErr w:type="gramStart"/>
      <w:r w:rsidRPr="00773325">
        <w:rPr>
          <w:sz w:val="24"/>
          <w:szCs w:val="24"/>
        </w:rPr>
        <w:t>Dutton, P. (1989) ‘Moving Images?</w:t>
      </w:r>
      <w:proofErr w:type="gramEnd"/>
      <w:r w:rsidRPr="00773325">
        <w:rPr>
          <w:sz w:val="24"/>
          <w:szCs w:val="24"/>
        </w:rPr>
        <w:t xml:space="preserve"> </w:t>
      </w:r>
      <w:proofErr w:type="gramStart"/>
      <w:r w:rsidRPr="00773325">
        <w:rPr>
          <w:sz w:val="24"/>
          <w:szCs w:val="24"/>
        </w:rPr>
        <w:t xml:space="preserve">The Parliamentary Recruiting Committee’s Poster Campaign, 1914-1916’, </w:t>
      </w:r>
      <w:r w:rsidRPr="00773325">
        <w:rPr>
          <w:i/>
          <w:sz w:val="24"/>
          <w:szCs w:val="24"/>
        </w:rPr>
        <w:t>Imperial War Museum Review</w:t>
      </w:r>
      <w:r w:rsidRPr="00773325">
        <w:rPr>
          <w:sz w:val="24"/>
          <w:szCs w:val="24"/>
        </w:rPr>
        <w:t>, 4, 43-58.</w:t>
      </w:r>
      <w:proofErr w:type="gramEnd"/>
    </w:p>
    <w:p w:rsidR="00EC2DA0" w:rsidRPr="003259A5" w:rsidRDefault="00EC2DA0" w:rsidP="00773325">
      <w:pPr>
        <w:spacing w:before="120" w:after="120" w:line="240" w:lineRule="auto"/>
        <w:jc w:val="both"/>
        <w:rPr>
          <w:color w:val="FF0000"/>
          <w:sz w:val="24"/>
          <w:szCs w:val="24"/>
        </w:rPr>
      </w:pPr>
      <w:proofErr w:type="spellStart"/>
      <w:r w:rsidRPr="003259A5">
        <w:rPr>
          <w:color w:val="FF0000"/>
          <w:sz w:val="24"/>
          <w:szCs w:val="24"/>
        </w:rPr>
        <w:t>Ewen</w:t>
      </w:r>
      <w:proofErr w:type="spellEnd"/>
      <w:r w:rsidRPr="003259A5">
        <w:rPr>
          <w:color w:val="FF0000"/>
          <w:sz w:val="24"/>
          <w:szCs w:val="24"/>
        </w:rPr>
        <w:t>, S. (</w:t>
      </w:r>
      <w:r w:rsidR="003259A5" w:rsidRPr="003259A5">
        <w:rPr>
          <w:color w:val="FF0000"/>
          <w:sz w:val="24"/>
          <w:szCs w:val="24"/>
        </w:rPr>
        <w:t xml:space="preserve">1996) </w:t>
      </w:r>
      <w:r w:rsidR="003259A5" w:rsidRPr="003259A5">
        <w:rPr>
          <w:i/>
          <w:color w:val="FF0000"/>
          <w:sz w:val="24"/>
          <w:szCs w:val="24"/>
        </w:rPr>
        <w:t xml:space="preserve">PR! </w:t>
      </w:r>
      <w:proofErr w:type="gramStart"/>
      <w:r w:rsidR="003259A5" w:rsidRPr="003259A5">
        <w:rPr>
          <w:i/>
          <w:color w:val="FF0000"/>
          <w:sz w:val="24"/>
          <w:szCs w:val="24"/>
        </w:rPr>
        <w:t>A Social History of Spin</w:t>
      </w:r>
      <w:r w:rsidR="003259A5" w:rsidRPr="003259A5">
        <w:rPr>
          <w:color w:val="FF0000"/>
          <w:sz w:val="24"/>
          <w:szCs w:val="24"/>
        </w:rPr>
        <w:t>.</w:t>
      </w:r>
      <w:proofErr w:type="gramEnd"/>
      <w:r w:rsidR="003259A5" w:rsidRPr="003259A5">
        <w:rPr>
          <w:color w:val="FF0000"/>
          <w:sz w:val="24"/>
          <w:szCs w:val="24"/>
        </w:rPr>
        <w:t xml:space="preserve"> New York: Perseus. </w:t>
      </w:r>
    </w:p>
    <w:p w:rsidR="00152FB8" w:rsidRPr="00773325" w:rsidRDefault="00152FB8" w:rsidP="00773325">
      <w:pPr>
        <w:spacing w:before="120" w:after="120" w:line="240" w:lineRule="auto"/>
        <w:jc w:val="both"/>
        <w:rPr>
          <w:sz w:val="24"/>
          <w:szCs w:val="24"/>
        </w:rPr>
      </w:pPr>
      <w:r w:rsidRPr="00773325">
        <w:rPr>
          <w:sz w:val="24"/>
          <w:szCs w:val="24"/>
        </w:rPr>
        <w:t xml:space="preserve">Green, L. (2014) ‘Advertising War: Picturing Belgium in First World War Publicity’, </w:t>
      </w:r>
      <w:r w:rsidRPr="00773325">
        <w:rPr>
          <w:i/>
          <w:sz w:val="24"/>
          <w:szCs w:val="24"/>
        </w:rPr>
        <w:t>Media, War &amp; Conflict</w:t>
      </w:r>
      <w:r w:rsidRPr="00773325">
        <w:rPr>
          <w:sz w:val="24"/>
          <w:szCs w:val="24"/>
        </w:rPr>
        <w:t>, 7 (3), 309-325.</w:t>
      </w:r>
    </w:p>
    <w:p w:rsidR="00B83723" w:rsidRPr="00773325" w:rsidRDefault="00B83723" w:rsidP="00773325">
      <w:pPr>
        <w:spacing w:before="120" w:after="120" w:line="240" w:lineRule="auto"/>
        <w:jc w:val="both"/>
        <w:rPr>
          <w:i/>
          <w:sz w:val="24"/>
          <w:szCs w:val="24"/>
        </w:rPr>
      </w:pPr>
      <w:r w:rsidRPr="00773325">
        <w:rPr>
          <w:sz w:val="24"/>
          <w:szCs w:val="24"/>
        </w:rPr>
        <w:t xml:space="preserve">Gilbert, B. (1979) ‘David Lloyd George: The Reform of British Landholding and the Budget of 1914’, </w:t>
      </w:r>
      <w:proofErr w:type="gramStart"/>
      <w:r w:rsidRPr="00773325">
        <w:rPr>
          <w:i/>
          <w:sz w:val="24"/>
          <w:szCs w:val="24"/>
        </w:rPr>
        <w:t>The</w:t>
      </w:r>
      <w:proofErr w:type="gramEnd"/>
      <w:r w:rsidRPr="00773325">
        <w:rPr>
          <w:i/>
          <w:sz w:val="24"/>
          <w:szCs w:val="24"/>
        </w:rPr>
        <w:t xml:space="preserve"> Historical Journal</w:t>
      </w:r>
      <w:r w:rsidRPr="00773325">
        <w:rPr>
          <w:sz w:val="24"/>
          <w:szCs w:val="24"/>
        </w:rPr>
        <w:t>, 21 (1), 117-141.</w:t>
      </w:r>
      <w:r w:rsidRPr="00773325">
        <w:rPr>
          <w:i/>
          <w:sz w:val="24"/>
          <w:szCs w:val="24"/>
        </w:rPr>
        <w:t xml:space="preserve"> </w:t>
      </w:r>
    </w:p>
    <w:p w:rsidR="007C693E" w:rsidRPr="007C693E" w:rsidRDefault="007C693E" w:rsidP="007C693E">
      <w:pPr>
        <w:spacing w:before="120" w:after="120" w:line="240" w:lineRule="auto"/>
        <w:jc w:val="both"/>
        <w:rPr>
          <w:rFonts w:eastAsia="Times New Roman"/>
          <w:color w:val="C00000"/>
          <w:kern w:val="0"/>
          <w:sz w:val="24"/>
          <w:szCs w:val="24"/>
          <w:lang w:eastAsia="en-GB"/>
        </w:rPr>
      </w:pPr>
      <w:r w:rsidRPr="007C693E">
        <w:rPr>
          <w:rFonts w:eastAsia="Times New Roman"/>
          <w:color w:val="C00000"/>
          <w:kern w:val="0"/>
          <w:sz w:val="24"/>
          <w:szCs w:val="24"/>
          <w:lang w:eastAsia="en-GB"/>
        </w:rPr>
        <w:t xml:space="preserve">Grant, Mariel. </w:t>
      </w:r>
      <w:proofErr w:type="gramStart"/>
      <w:r w:rsidRPr="007C693E">
        <w:rPr>
          <w:rFonts w:eastAsia="Times New Roman"/>
          <w:color w:val="C00000"/>
          <w:kern w:val="0"/>
          <w:sz w:val="24"/>
          <w:szCs w:val="24"/>
          <w:lang w:eastAsia="en-GB"/>
        </w:rPr>
        <w:t xml:space="preserve">(1994) </w:t>
      </w:r>
      <w:r w:rsidRPr="007C693E">
        <w:rPr>
          <w:rFonts w:eastAsia="Times New Roman"/>
          <w:i/>
          <w:color w:val="C00000"/>
          <w:kern w:val="0"/>
          <w:sz w:val="24"/>
          <w:szCs w:val="24"/>
          <w:lang w:eastAsia="en-GB"/>
        </w:rPr>
        <w:t>Propaganda and the Role of the State in Interwar Britain</w:t>
      </w:r>
      <w:r w:rsidRPr="007C693E">
        <w:rPr>
          <w:rFonts w:eastAsia="Times New Roman"/>
          <w:color w:val="C00000"/>
          <w:kern w:val="0"/>
          <w:sz w:val="24"/>
          <w:szCs w:val="24"/>
          <w:lang w:eastAsia="en-GB"/>
        </w:rPr>
        <w:t>.</w:t>
      </w:r>
      <w:proofErr w:type="gramEnd"/>
      <w:r w:rsidRPr="007C693E">
        <w:rPr>
          <w:rFonts w:eastAsia="Times New Roman"/>
          <w:color w:val="C00000"/>
          <w:kern w:val="0"/>
          <w:sz w:val="24"/>
          <w:szCs w:val="24"/>
          <w:lang w:eastAsia="en-GB"/>
        </w:rPr>
        <w:t xml:space="preserve"> Oxford: Oxford University Press.</w:t>
      </w:r>
    </w:p>
    <w:p w:rsidR="00152FB8" w:rsidRPr="00773325" w:rsidRDefault="00152FB8" w:rsidP="00773325">
      <w:pPr>
        <w:spacing w:before="120" w:after="120" w:line="240" w:lineRule="auto"/>
        <w:jc w:val="both"/>
        <w:rPr>
          <w:rFonts w:eastAsia="Times New Roman"/>
          <w:kern w:val="0"/>
          <w:sz w:val="24"/>
          <w:szCs w:val="24"/>
          <w:lang w:eastAsia="en-GB"/>
        </w:rPr>
      </w:pPr>
      <w:r w:rsidRPr="00773325">
        <w:rPr>
          <w:rFonts w:eastAsia="Times New Roman"/>
          <w:kern w:val="0"/>
          <w:sz w:val="24"/>
          <w:szCs w:val="24"/>
          <w:lang w:eastAsia="en-GB"/>
        </w:rPr>
        <w:t xml:space="preserve">Gregory, A. (2012) </w:t>
      </w:r>
      <w:r w:rsidR="009D289A" w:rsidRPr="00773325">
        <w:rPr>
          <w:rFonts w:eastAsia="Times New Roman"/>
          <w:kern w:val="0"/>
          <w:sz w:val="24"/>
          <w:szCs w:val="24"/>
          <w:lang w:eastAsia="en-GB"/>
        </w:rPr>
        <w:t xml:space="preserve">‘UK Government </w:t>
      </w:r>
      <w:r w:rsidR="007C693E" w:rsidRPr="00773325">
        <w:rPr>
          <w:rFonts w:eastAsia="Times New Roman"/>
          <w:kern w:val="0"/>
          <w:sz w:val="24"/>
          <w:szCs w:val="24"/>
          <w:lang w:eastAsia="en-GB"/>
        </w:rPr>
        <w:t>Communications</w:t>
      </w:r>
      <w:r w:rsidR="009D289A" w:rsidRPr="00773325">
        <w:rPr>
          <w:rFonts w:eastAsia="Times New Roman"/>
          <w:kern w:val="0"/>
          <w:sz w:val="24"/>
          <w:szCs w:val="24"/>
          <w:lang w:eastAsia="en-GB"/>
        </w:rPr>
        <w:t>: Full Circle in the 21</w:t>
      </w:r>
      <w:r w:rsidR="009D289A" w:rsidRPr="00773325">
        <w:rPr>
          <w:rFonts w:eastAsia="Times New Roman"/>
          <w:kern w:val="0"/>
          <w:sz w:val="24"/>
          <w:szCs w:val="24"/>
          <w:vertAlign w:val="superscript"/>
          <w:lang w:eastAsia="en-GB"/>
        </w:rPr>
        <w:t>st</w:t>
      </w:r>
      <w:r w:rsidR="009D289A" w:rsidRPr="00773325">
        <w:rPr>
          <w:rFonts w:eastAsia="Times New Roman"/>
          <w:kern w:val="0"/>
          <w:sz w:val="24"/>
          <w:szCs w:val="24"/>
          <w:lang w:eastAsia="en-GB"/>
        </w:rPr>
        <w:t xml:space="preserve"> Century?</w:t>
      </w:r>
      <w:proofErr w:type="gramStart"/>
      <w:r w:rsidR="009D289A" w:rsidRPr="00773325">
        <w:rPr>
          <w:rFonts w:eastAsia="Times New Roman"/>
          <w:kern w:val="0"/>
          <w:sz w:val="24"/>
          <w:szCs w:val="24"/>
          <w:lang w:eastAsia="en-GB"/>
        </w:rPr>
        <w:t>’,</w:t>
      </w:r>
      <w:proofErr w:type="gramEnd"/>
      <w:r w:rsidR="009D289A" w:rsidRPr="00773325">
        <w:rPr>
          <w:rFonts w:eastAsia="Times New Roman"/>
          <w:kern w:val="0"/>
          <w:sz w:val="24"/>
          <w:szCs w:val="24"/>
          <w:lang w:eastAsia="en-GB"/>
        </w:rPr>
        <w:t xml:space="preserve"> </w:t>
      </w:r>
      <w:r w:rsidR="009D289A" w:rsidRPr="00773325">
        <w:rPr>
          <w:rFonts w:eastAsia="Times New Roman"/>
          <w:i/>
          <w:kern w:val="0"/>
          <w:sz w:val="24"/>
          <w:szCs w:val="24"/>
          <w:lang w:eastAsia="en-GB"/>
        </w:rPr>
        <w:t>Public Relations Review</w:t>
      </w:r>
      <w:r w:rsidR="009D289A" w:rsidRPr="00773325">
        <w:rPr>
          <w:rFonts w:eastAsia="Times New Roman"/>
          <w:kern w:val="0"/>
          <w:sz w:val="24"/>
          <w:szCs w:val="24"/>
          <w:lang w:eastAsia="en-GB"/>
        </w:rPr>
        <w:t xml:space="preserve">, 38 (3), 367-375.  </w:t>
      </w:r>
    </w:p>
    <w:p w:rsidR="00152FB8" w:rsidRPr="00773325" w:rsidRDefault="00152FB8" w:rsidP="00773325">
      <w:pPr>
        <w:spacing w:before="120" w:after="120" w:line="240" w:lineRule="auto"/>
        <w:jc w:val="both"/>
        <w:rPr>
          <w:rFonts w:eastAsia="Times New Roman"/>
          <w:kern w:val="0"/>
          <w:sz w:val="24"/>
          <w:szCs w:val="24"/>
          <w:lang w:eastAsia="en-GB"/>
        </w:rPr>
      </w:pPr>
      <w:r w:rsidRPr="00773325">
        <w:rPr>
          <w:rFonts w:eastAsia="Times New Roman"/>
          <w:kern w:val="0"/>
          <w:sz w:val="24"/>
          <w:szCs w:val="24"/>
          <w:lang w:eastAsia="en-GB"/>
        </w:rPr>
        <w:t xml:space="preserve">Gullace, N. (1997) ‘White feathers and wounded men: female patriotism and the memory of the Great War’, </w:t>
      </w:r>
      <w:r w:rsidRPr="00773325">
        <w:rPr>
          <w:rFonts w:eastAsia="Times New Roman"/>
          <w:i/>
          <w:kern w:val="0"/>
          <w:sz w:val="24"/>
          <w:szCs w:val="24"/>
          <w:lang w:eastAsia="en-GB"/>
        </w:rPr>
        <w:t>Journal of British Studies</w:t>
      </w:r>
      <w:r w:rsidRPr="00773325">
        <w:rPr>
          <w:rFonts w:eastAsia="Times New Roman"/>
          <w:kern w:val="0"/>
          <w:sz w:val="24"/>
          <w:szCs w:val="24"/>
          <w:lang w:eastAsia="en-GB"/>
        </w:rPr>
        <w:t>, 36 (2), 178-206.</w:t>
      </w:r>
    </w:p>
    <w:p w:rsidR="007F59E2" w:rsidRPr="00773325" w:rsidRDefault="007F59E2" w:rsidP="007F59E2">
      <w:pPr>
        <w:spacing w:before="120" w:after="120" w:line="240" w:lineRule="auto"/>
        <w:jc w:val="both"/>
        <w:rPr>
          <w:sz w:val="24"/>
          <w:szCs w:val="24"/>
        </w:rPr>
      </w:pPr>
      <w:r w:rsidRPr="00773325">
        <w:rPr>
          <w:sz w:val="24"/>
          <w:szCs w:val="24"/>
        </w:rPr>
        <w:t xml:space="preserve">Gullace, N. (2002) </w:t>
      </w:r>
      <w:r w:rsidRPr="00773325">
        <w:rPr>
          <w:i/>
          <w:sz w:val="24"/>
          <w:szCs w:val="24"/>
        </w:rPr>
        <w:t xml:space="preserve">‘The Blood of Our Sons’: Men, Women and the Renegotiation of British Citizenship </w:t>
      </w:r>
      <w:proofErr w:type="gramStart"/>
      <w:r w:rsidRPr="00773325">
        <w:rPr>
          <w:i/>
          <w:sz w:val="24"/>
          <w:szCs w:val="24"/>
        </w:rPr>
        <w:t>During</w:t>
      </w:r>
      <w:proofErr w:type="gramEnd"/>
      <w:r w:rsidRPr="00773325">
        <w:rPr>
          <w:i/>
          <w:sz w:val="24"/>
          <w:szCs w:val="24"/>
        </w:rPr>
        <w:t xml:space="preserve"> the Great War</w:t>
      </w:r>
      <w:r w:rsidRPr="00773325">
        <w:rPr>
          <w:sz w:val="24"/>
          <w:szCs w:val="24"/>
        </w:rPr>
        <w:t>. New York: Palgrave.</w:t>
      </w:r>
    </w:p>
    <w:p w:rsidR="00152FB8" w:rsidRPr="00773325" w:rsidRDefault="00152FB8" w:rsidP="00773325">
      <w:pPr>
        <w:spacing w:before="120" w:after="120" w:line="240" w:lineRule="auto"/>
        <w:jc w:val="both"/>
        <w:rPr>
          <w:rFonts w:eastAsia="Times New Roman"/>
          <w:kern w:val="0"/>
          <w:sz w:val="24"/>
          <w:szCs w:val="24"/>
          <w:lang w:eastAsia="en-GB"/>
        </w:rPr>
      </w:pPr>
      <w:r w:rsidRPr="00773325">
        <w:rPr>
          <w:rFonts w:eastAsia="Times New Roman"/>
          <w:kern w:val="0"/>
          <w:sz w:val="24"/>
          <w:szCs w:val="24"/>
          <w:lang w:eastAsia="en-GB"/>
        </w:rPr>
        <w:t xml:space="preserve">Gullace, N. (2011) ‘Allied Propaganda and World War I: Interwar Legacies, Media Studies, and the Politics of War Guilt’, </w:t>
      </w:r>
      <w:r w:rsidRPr="00773325">
        <w:rPr>
          <w:rFonts w:eastAsia="Times New Roman"/>
          <w:i/>
          <w:iCs/>
          <w:kern w:val="0"/>
          <w:sz w:val="24"/>
          <w:szCs w:val="24"/>
          <w:lang w:eastAsia="en-GB"/>
        </w:rPr>
        <w:t>History Compass</w:t>
      </w:r>
      <w:r w:rsidRPr="00773325">
        <w:rPr>
          <w:rFonts w:eastAsia="Times New Roman"/>
          <w:kern w:val="0"/>
          <w:sz w:val="24"/>
          <w:szCs w:val="24"/>
          <w:lang w:eastAsia="en-GB"/>
        </w:rPr>
        <w:t xml:space="preserve">, </w:t>
      </w:r>
      <w:r w:rsidRPr="00773325">
        <w:rPr>
          <w:rFonts w:eastAsia="Times New Roman"/>
          <w:iCs/>
          <w:kern w:val="0"/>
          <w:sz w:val="24"/>
          <w:szCs w:val="24"/>
          <w:lang w:eastAsia="en-GB"/>
        </w:rPr>
        <w:t>9 (9)</w:t>
      </w:r>
      <w:r w:rsidRPr="00773325">
        <w:rPr>
          <w:rFonts w:eastAsia="Times New Roman"/>
          <w:kern w:val="0"/>
          <w:sz w:val="24"/>
          <w:szCs w:val="24"/>
          <w:lang w:eastAsia="en-GB"/>
        </w:rPr>
        <w:t>, 686–700.</w:t>
      </w:r>
    </w:p>
    <w:p w:rsidR="007F59E2" w:rsidRPr="00773325" w:rsidRDefault="007F59E2" w:rsidP="007F59E2">
      <w:pPr>
        <w:spacing w:before="120" w:after="120" w:line="240" w:lineRule="auto"/>
        <w:jc w:val="both"/>
        <w:rPr>
          <w:sz w:val="24"/>
          <w:szCs w:val="24"/>
        </w:rPr>
      </w:pPr>
      <w:r>
        <w:rPr>
          <w:sz w:val="24"/>
          <w:szCs w:val="24"/>
        </w:rPr>
        <w:t xml:space="preserve">Hansard: </w:t>
      </w:r>
      <w:r w:rsidRPr="00773325">
        <w:rPr>
          <w:sz w:val="24"/>
          <w:szCs w:val="24"/>
        </w:rPr>
        <w:t>HC Deb., 5</w:t>
      </w:r>
      <w:r w:rsidRPr="00773325">
        <w:rPr>
          <w:sz w:val="24"/>
          <w:szCs w:val="24"/>
          <w:vertAlign w:val="superscript"/>
        </w:rPr>
        <w:t>th</w:t>
      </w:r>
      <w:r w:rsidRPr="00773325">
        <w:rPr>
          <w:sz w:val="24"/>
          <w:szCs w:val="24"/>
        </w:rPr>
        <w:t xml:space="preserve"> series vol. 68, c. 198, 16 November 1914.</w:t>
      </w:r>
    </w:p>
    <w:p w:rsidR="007F59E2" w:rsidRPr="00773325" w:rsidRDefault="007F59E2" w:rsidP="007F59E2">
      <w:pPr>
        <w:pStyle w:val="EndnoteText"/>
        <w:jc w:val="both"/>
        <w:rPr>
          <w:rFonts w:ascii="Arial" w:hAnsi="Arial" w:cs="Arial"/>
          <w:sz w:val="24"/>
          <w:szCs w:val="22"/>
          <w:lang w:val="en-US"/>
        </w:rPr>
      </w:pPr>
      <w:r>
        <w:rPr>
          <w:rFonts w:ascii="Arial" w:hAnsi="Arial" w:cs="Arial"/>
          <w:sz w:val="24"/>
          <w:szCs w:val="24"/>
        </w:rPr>
        <w:t xml:space="preserve">Hansard: </w:t>
      </w:r>
      <w:r w:rsidRPr="00773325">
        <w:rPr>
          <w:rFonts w:ascii="Arial" w:hAnsi="Arial" w:cs="Arial"/>
          <w:sz w:val="24"/>
          <w:szCs w:val="24"/>
        </w:rPr>
        <w:t>HC Deb., 5</w:t>
      </w:r>
      <w:r w:rsidRPr="00773325">
        <w:rPr>
          <w:rFonts w:ascii="Arial" w:hAnsi="Arial" w:cs="Arial"/>
          <w:sz w:val="24"/>
          <w:szCs w:val="24"/>
          <w:vertAlign w:val="superscript"/>
        </w:rPr>
        <w:t>th</w:t>
      </w:r>
      <w:r w:rsidRPr="00773325">
        <w:rPr>
          <w:rFonts w:ascii="Arial" w:hAnsi="Arial" w:cs="Arial"/>
          <w:sz w:val="24"/>
          <w:szCs w:val="24"/>
        </w:rPr>
        <w:t xml:space="preserve"> series, vol. 70, cs. 1432-3W, 10 March 1915.</w:t>
      </w:r>
    </w:p>
    <w:p w:rsidR="007F59E2" w:rsidRPr="00773325" w:rsidRDefault="007F59E2" w:rsidP="007F59E2">
      <w:pPr>
        <w:spacing w:before="120" w:after="120" w:line="240" w:lineRule="auto"/>
        <w:jc w:val="both"/>
        <w:rPr>
          <w:sz w:val="24"/>
          <w:szCs w:val="24"/>
        </w:rPr>
      </w:pPr>
      <w:r w:rsidRPr="00773325">
        <w:rPr>
          <w:sz w:val="24"/>
          <w:szCs w:val="24"/>
        </w:rPr>
        <w:t xml:space="preserve">Haste, C. (1977) </w:t>
      </w:r>
      <w:r w:rsidRPr="00773325">
        <w:rPr>
          <w:i/>
          <w:sz w:val="24"/>
          <w:szCs w:val="24"/>
        </w:rPr>
        <w:t>Keep the Home Fires Burning: Propaganda in the First World War</w:t>
      </w:r>
      <w:r w:rsidRPr="00773325">
        <w:rPr>
          <w:sz w:val="24"/>
          <w:szCs w:val="24"/>
        </w:rPr>
        <w:t>.</w:t>
      </w:r>
      <w:r w:rsidRPr="00773325">
        <w:rPr>
          <w:i/>
          <w:sz w:val="24"/>
          <w:szCs w:val="24"/>
        </w:rPr>
        <w:t xml:space="preserve"> </w:t>
      </w:r>
      <w:r w:rsidRPr="00773325">
        <w:rPr>
          <w:sz w:val="24"/>
          <w:szCs w:val="24"/>
        </w:rPr>
        <w:t xml:space="preserve">London: Allen Lane. </w:t>
      </w:r>
    </w:p>
    <w:p w:rsidR="007F59E2" w:rsidRPr="00773325" w:rsidRDefault="007F59E2" w:rsidP="007F59E2">
      <w:pPr>
        <w:spacing w:before="120" w:after="120" w:line="240" w:lineRule="auto"/>
        <w:jc w:val="both"/>
        <w:rPr>
          <w:rFonts w:eastAsia="Times New Roman"/>
          <w:kern w:val="0"/>
          <w:sz w:val="24"/>
          <w:szCs w:val="24"/>
          <w:lang w:eastAsia="en-GB"/>
        </w:rPr>
      </w:pPr>
      <w:r w:rsidRPr="00773325">
        <w:rPr>
          <w:rFonts w:eastAsia="Times New Roman"/>
          <w:kern w:val="0"/>
          <w:sz w:val="24"/>
          <w:szCs w:val="24"/>
          <w:lang w:eastAsia="en-GB"/>
        </w:rPr>
        <w:t xml:space="preserve">Hiebert, R. E. (1993) ‘Public relations, propaganda, and war: A book review and essay on the literature’, </w:t>
      </w:r>
      <w:r w:rsidRPr="00773325">
        <w:rPr>
          <w:rFonts w:eastAsia="Times New Roman"/>
          <w:i/>
          <w:iCs/>
          <w:kern w:val="0"/>
          <w:sz w:val="24"/>
          <w:szCs w:val="24"/>
          <w:lang w:eastAsia="en-GB"/>
        </w:rPr>
        <w:t>Public Relations Review</w:t>
      </w:r>
      <w:r w:rsidRPr="00773325">
        <w:rPr>
          <w:rFonts w:eastAsia="Times New Roman"/>
          <w:kern w:val="0"/>
          <w:sz w:val="24"/>
          <w:szCs w:val="24"/>
          <w:lang w:eastAsia="en-GB"/>
        </w:rPr>
        <w:t xml:space="preserve">, </w:t>
      </w:r>
      <w:r w:rsidRPr="00773325">
        <w:rPr>
          <w:rFonts w:eastAsia="Times New Roman"/>
          <w:iCs/>
          <w:kern w:val="0"/>
          <w:sz w:val="24"/>
          <w:szCs w:val="24"/>
          <w:lang w:eastAsia="en-GB"/>
        </w:rPr>
        <w:t>19</w:t>
      </w:r>
      <w:r w:rsidRPr="00773325">
        <w:rPr>
          <w:rFonts w:eastAsia="Times New Roman"/>
          <w:kern w:val="0"/>
          <w:sz w:val="24"/>
          <w:szCs w:val="24"/>
          <w:lang w:eastAsia="en-GB"/>
        </w:rPr>
        <w:t xml:space="preserve">, 293–302. </w:t>
      </w:r>
    </w:p>
    <w:p w:rsidR="007F59E2" w:rsidRPr="00773325" w:rsidRDefault="007F59E2" w:rsidP="007F59E2">
      <w:pPr>
        <w:spacing w:before="120" w:after="120" w:line="240" w:lineRule="auto"/>
        <w:jc w:val="both"/>
        <w:rPr>
          <w:sz w:val="24"/>
          <w:szCs w:val="24"/>
        </w:rPr>
      </w:pPr>
      <w:proofErr w:type="gramStart"/>
      <w:r w:rsidRPr="00773325">
        <w:rPr>
          <w:sz w:val="24"/>
          <w:szCs w:val="24"/>
        </w:rPr>
        <w:t xml:space="preserve">Hiley, N. (1987) ‘Sir Hedley Le Bas and the Origins of British Domestic Propaganda in Britain 1914-1917’, </w:t>
      </w:r>
      <w:r w:rsidRPr="00773325">
        <w:rPr>
          <w:i/>
          <w:sz w:val="24"/>
          <w:szCs w:val="24"/>
        </w:rPr>
        <w:t>Journal of Advertising History</w:t>
      </w:r>
      <w:r w:rsidRPr="00773325">
        <w:rPr>
          <w:sz w:val="24"/>
          <w:szCs w:val="24"/>
        </w:rPr>
        <w:t>, 10 (2), 30-46.</w:t>
      </w:r>
      <w:proofErr w:type="gramEnd"/>
    </w:p>
    <w:p w:rsidR="007F59E2" w:rsidRPr="00773325" w:rsidRDefault="007F59E2" w:rsidP="007F59E2">
      <w:pPr>
        <w:spacing w:before="120" w:after="120" w:line="240" w:lineRule="auto"/>
        <w:jc w:val="both"/>
        <w:rPr>
          <w:sz w:val="24"/>
          <w:szCs w:val="24"/>
        </w:rPr>
      </w:pPr>
      <w:r w:rsidRPr="00773325">
        <w:rPr>
          <w:sz w:val="24"/>
          <w:szCs w:val="24"/>
        </w:rPr>
        <w:t xml:space="preserve">Hiley, N. (1985) ‘“The British Army Film”, “You!” and “For the Empire”: Reconstructed Propaganda Films, 1914-16’, </w:t>
      </w:r>
      <w:r w:rsidRPr="00773325">
        <w:rPr>
          <w:i/>
          <w:sz w:val="24"/>
          <w:szCs w:val="24"/>
        </w:rPr>
        <w:t>Historical Journal of Film, Radio and Television</w:t>
      </w:r>
      <w:r w:rsidRPr="00773325">
        <w:rPr>
          <w:sz w:val="24"/>
          <w:szCs w:val="24"/>
        </w:rPr>
        <w:t>, 5 (2), 165-182.</w:t>
      </w:r>
    </w:p>
    <w:p w:rsidR="007F59E2" w:rsidRPr="00773325" w:rsidRDefault="007F59E2" w:rsidP="007F59E2">
      <w:pPr>
        <w:spacing w:before="120" w:after="120" w:line="240" w:lineRule="auto"/>
        <w:jc w:val="both"/>
        <w:rPr>
          <w:sz w:val="24"/>
          <w:szCs w:val="24"/>
        </w:rPr>
      </w:pPr>
      <w:r w:rsidRPr="00773325">
        <w:rPr>
          <w:sz w:val="24"/>
          <w:szCs w:val="24"/>
        </w:rPr>
        <w:t xml:space="preserve">Hiley, N. (1997) ‘“Kitchener Wants You” and “Daddy, What Did You Do in the Great War?”: The Myth of British Recruiting Posters’, </w:t>
      </w:r>
      <w:r w:rsidRPr="00773325">
        <w:rPr>
          <w:i/>
          <w:sz w:val="24"/>
          <w:szCs w:val="24"/>
        </w:rPr>
        <w:t>Imperial War Museum Review</w:t>
      </w:r>
      <w:r w:rsidRPr="00773325">
        <w:rPr>
          <w:sz w:val="24"/>
          <w:szCs w:val="24"/>
        </w:rPr>
        <w:t>, 11, 40-57.</w:t>
      </w:r>
    </w:p>
    <w:p w:rsidR="007F59E2" w:rsidRPr="00773325" w:rsidRDefault="007F59E2" w:rsidP="007F59E2">
      <w:pPr>
        <w:spacing w:before="120" w:after="120" w:line="240" w:lineRule="auto"/>
        <w:jc w:val="both"/>
        <w:rPr>
          <w:sz w:val="24"/>
          <w:szCs w:val="24"/>
        </w:rPr>
      </w:pPr>
      <w:r w:rsidRPr="00773325">
        <w:rPr>
          <w:sz w:val="24"/>
          <w:szCs w:val="24"/>
        </w:rPr>
        <w:t xml:space="preserve">Hobson, J. A. (2012) </w:t>
      </w:r>
      <w:proofErr w:type="gramStart"/>
      <w:r w:rsidRPr="00773325">
        <w:rPr>
          <w:i/>
          <w:sz w:val="24"/>
          <w:szCs w:val="24"/>
        </w:rPr>
        <w:t>The</w:t>
      </w:r>
      <w:proofErr w:type="gramEnd"/>
      <w:r w:rsidRPr="00773325">
        <w:rPr>
          <w:i/>
          <w:sz w:val="24"/>
          <w:szCs w:val="24"/>
        </w:rPr>
        <w:t xml:space="preserve"> Psychology of Jingoism</w:t>
      </w:r>
      <w:r w:rsidRPr="00773325">
        <w:rPr>
          <w:sz w:val="24"/>
          <w:szCs w:val="24"/>
        </w:rPr>
        <w:t>. Leipzig: Forgotten Books.</w:t>
      </w:r>
    </w:p>
    <w:p w:rsidR="007F59E2" w:rsidRPr="00773325" w:rsidRDefault="007F59E2" w:rsidP="007F59E2">
      <w:pPr>
        <w:spacing w:before="120" w:after="120" w:line="240" w:lineRule="auto"/>
        <w:jc w:val="both"/>
        <w:rPr>
          <w:sz w:val="24"/>
          <w:szCs w:val="24"/>
        </w:rPr>
      </w:pPr>
      <w:r w:rsidRPr="00773325">
        <w:rPr>
          <w:sz w:val="24"/>
          <w:szCs w:val="24"/>
        </w:rPr>
        <w:t xml:space="preserve">Holmes, R. (2004) </w:t>
      </w:r>
      <w:r w:rsidRPr="00773325">
        <w:rPr>
          <w:i/>
          <w:sz w:val="24"/>
          <w:szCs w:val="24"/>
        </w:rPr>
        <w:t>Tommy: The British Soldier on the Western Front, 1914-18</w:t>
      </w:r>
      <w:r w:rsidRPr="00773325">
        <w:rPr>
          <w:sz w:val="24"/>
          <w:szCs w:val="24"/>
        </w:rPr>
        <w:t>. London: Harper.</w:t>
      </w:r>
    </w:p>
    <w:p w:rsidR="00152FB8" w:rsidRPr="00773325" w:rsidRDefault="00152FB8" w:rsidP="00773325">
      <w:pPr>
        <w:pStyle w:val="NormalWeb"/>
        <w:spacing w:before="120" w:beforeAutospacing="0" w:after="120" w:afterAutospacing="0"/>
        <w:jc w:val="both"/>
        <w:rPr>
          <w:rFonts w:ascii="Arial" w:hAnsi="Arial" w:cs="Arial"/>
        </w:rPr>
      </w:pPr>
      <w:r w:rsidRPr="00773325">
        <w:rPr>
          <w:rFonts w:ascii="Arial" w:hAnsi="Arial" w:cs="Arial"/>
        </w:rPr>
        <w:t xml:space="preserve">L’Etang, J. (1998) ‘State Propaganda and Bureaucratic Intelligence: The Creation of Public Relations in 20th Century Britain’, </w:t>
      </w:r>
      <w:r w:rsidRPr="00773325">
        <w:rPr>
          <w:rFonts w:ascii="Arial" w:hAnsi="Arial" w:cs="Arial"/>
          <w:i/>
        </w:rPr>
        <w:t>Public Relations Review</w:t>
      </w:r>
      <w:r w:rsidRPr="00773325">
        <w:rPr>
          <w:rFonts w:ascii="Arial" w:hAnsi="Arial" w:cs="Arial"/>
        </w:rPr>
        <w:t xml:space="preserve">, 24 (4), 413-441. </w:t>
      </w:r>
    </w:p>
    <w:p w:rsidR="007F59E2" w:rsidRPr="00773325" w:rsidRDefault="007F59E2" w:rsidP="007F59E2">
      <w:pPr>
        <w:jc w:val="both"/>
        <w:rPr>
          <w:sz w:val="24"/>
        </w:rPr>
      </w:pPr>
      <w:r>
        <w:rPr>
          <w:sz w:val="24"/>
        </w:rPr>
        <w:t xml:space="preserve">L’Etang, J. </w:t>
      </w:r>
      <w:r w:rsidRPr="00773325">
        <w:rPr>
          <w:sz w:val="24"/>
        </w:rPr>
        <w:t>(2006) ‘Public Relations and Propaganda: Conceptual Issues, Methodological Problems a</w:t>
      </w:r>
      <w:r w:rsidR="007C693E">
        <w:rPr>
          <w:sz w:val="24"/>
        </w:rPr>
        <w:t>nd Public Relations Discourse’,</w:t>
      </w:r>
      <w:r w:rsidRPr="00773325">
        <w:rPr>
          <w:sz w:val="24"/>
        </w:rPr>
        <w:t xml:space="preserve"> in J. L’Etang &amp; M. Pieczka (eds.) </w:t>
      </w:r>
      <w:r w:rsidRPr="00773325">
        <w:rPr>
          <w:i/>
          <w:sz w:val="24"/>
        </w:rPr>
        <w:t>Public Relations: Critical Debates and Contemporary Practice</w:t>
      </w:r>
      <w:r w:rsidRPr="00773325">
        <w:rPr>
          <w:sz w:val="24"/>
        </w:rPr>
        <w:t xml:space="preserve">, </w:t>
      </w:r>
      <w:r w:rsidR="007C693E">
        <w:rPr>
          <w:sz w:val="24"/>
        </w:rPr>
        <w:t>L</w:t>
      </w:r>
      <w:r w:rsidRPr="00773325">
        <w:rPr>
          <w:sz w:val="24"/>
        </w:rPr>
        <w:t>ondon: Lawrence Erlbaum.</w:t>
      </w:r>
    </w:p>
    <w:p w:rsidR="007F59E2" w:rsidRPr="00773325" w:rsidRDefault="007F59E2" w:rsidP="007F59E2">
      <w:pPr>
        <w:spacing w:before="120" w:after="120" w:line="240" w:lineRule="auto"/>
        <w:jc w:val="both"/>
        <w:rPr>
          <w:sz w:val="24"/>
          <w:szCs w:val="24"/>
        </w:rPr>
      </w:pPr>
      <w:r w:rsidRPr="00773325">
        <w:rPr>
          <w:sz w:val="24"/>
          <w:szCs w:val="24"/>
        </w:rPr>
        <w:t xml:space="preserve">L’Etang, J. (2013 [2004]) </w:t>
      </w:r>
      <w:r w:rsidRPr="00773325">
        <w:rPr>
          <w:i/>
          <w:sz w:val="24"/>
          <w:szCs w:val="24"/>
        </w:rPr>
        <w:t>Public Relations in Britain: A History of Professional Practice in the Twentieth Century</w:t>
      </w:r>
      <w:r w:rsidRPr="00773325">
        <w:rPr>
          <w:sz w:val="24"/>
          <w:szCs w:val="24"/>
        </w:rPr>
        <w:t>. London: Routledge.</w:t>
      </w:r>
    </w:p>
    <w:p w:rsidR="007F59E2" w:rsidRPr="00773325" w:rsidRDefault="007F59E2" w:rsidP="007F59E2">
      <w:pPr>
        <w:spacing w:before="120" w:after="120" w:line="240" w:lineRule="auto"/>
        <w:jc w:val="both"/>
        <w:rPr>
          <w:sz w:val="24"/>
          <w:szCs w:val="24"/>
        </w:rPr>
      </w:pPr>
      <w:r w:rsidRPr="00773325">
        <w:rPr>
          <w:sz w:val="24"/>
          <w:szCs w:val="24"/>
        </w:rPr>
        <w:t>Lloyd, T. O. (2002; 5</w:t>
      </w:r>
      <w:r w:rsidRPr="00773325">
        <w:rPr>
          <w:sz w:val="24"/>
          <w:szCs w:val="24"/>
          <w:vertAlign w:val="superscript"/>
        </w:rPr>
        <w:t>th</w:t>
      </w:r>
      <w:r w:rsidRPr="00773325">
        <w:rPr>
          <w:sz w:val="24"/>
          <w:szCs w:val="24"/>
        </w:rPr>
        <w:t xml:space="preserve"> </w:t>
      </w:r>
      <w:proofErr w:type="spellStart"/>
      <w:proofErr w:type="gramStart"/>
      <w:r w:rsidRPr="00773325">
        <w:rPr>
          <w:sz w:val="24"/>
          <w:szCs w:val="24"/>
        </w:rPr>
        <w:t>ed</w:t>
      </w:r>
      <w:proofErr w:type="spellEnd"/>
      <w:proofErr w:type="gramEnd"/>
      <w:r w:rsidRPr="00773325">
        <w:rPr>
          <w:sz w:val="24"/>
          <w:szCs w:val="24"/>
        </w:rPr>
        <w:t xml:space="preserve">) </w:t>
      </w:r>
      <w:r w:rsidRPr="00773325">
        <w:rPr>
          <w:i/>
          <w:sz w:val="24"/>
          <w:szCs w:val="24"/>
        </w:rPr>
        <w:t>Empire, Welfare State, Europe: history of the United Kingdom, 1906-2001</w:t>
      </w:r>
      <w:r w:rsidRPr="00773325">
        <w:rPr>
          <w:sz w:val="24"/>
          <w:szCs w:val="24"/>
        </w:rPr>
        <w:t>. Oxford: Oxford U. P.</w:t>
      </w:r>
      <w:r w:rsidRPr="00773325">
        <w:rPr>
          <w:i/>
          <w:sz w:val="24"/>
          <w:szCs w:val="24"/>
        </w:rPr>
        <w:t xml:space="preserve"> </w:t>
      </w:r>
    </w:p>
    <w:p w:rsidR="007F59E2" w:rsidRPr="00773325" w:rsidRDefault="007F59E2" w:rsidP="007F59E2">
      <w:pPr>
        <w:pStyle w:val="NormalWeb"/>
        <w:spacing w:before="120" w:beforeAutospacing="0" w:after="120" w:afterAutospacing="0"/>
        <w:jc w:val="both"/>
        <w:rPr>
          <w:rFonts w:ascii="Arial" w:hAnsi="Arial" w:cs="Arial"/>
        </w:rPr>
      </w:pPr>
      <w:r w:rsidRPr="00773325">
        <w:rPr>
          <w:rFonts w:ascii="Arial" w:hAnsi="Arial" w:cs="Arial"/>
        </w:rPr>
        <w:t xml:space="preserve">Maartens, B. (2015) ‘“To Encourage, Inspire and Guide”: National Service, the People’s War, and the Promotion of Civil Defence in Interwar Britain, 1938-39’, </w:t>
      </w:r>
      <w:r w:rsidRPr="00773325">
        <w:rPr>
          <w:rFonts w:ascii="Arial" w:hAnsi="Arial" w:cs="Arial"/>
          <w:i/>
        </w:rPr>
        <w:t>Media History</w:t>
      </w:r>
      <w:r w:rsidRPr="00773325">
        <w:rPr>
          <w:rFonts w:ascii="Arial" w:hAnsi="Arial" w:cs="Arial"/>
        </w:rPr>
        <w:t>, 21 (3)</w:t>
      </w:r>
      <w:r w:rsidR="00FF3322">
        <w:rPr>
          <w:rFonts w:ascii="Arial" w:hAnsi="Arial" w:cs="Arial"/>
        </w:rPr>
        <w:t>,</w:t>
      </w:r>
      <w:bookmarkStart w:id="0" w:name="_GoBack"/>
      <w:r w:rsidR="00FF3322" w:rsidRPr="00FF3322">
        <w:t xml:space="preserve"> </w:t>
      </w:r>
      <w:r w:rsidR="00FF3322">
        <w:rPr>
          <w:rFonts w:ascii="Arial" w:hAnsi="Arial" w:cs="Arial"/>
        </w:rPr>
        <w:t>328-341</w:t>
      </w:r>
      <w:bookmarkEnd w:id="0"/>
      <w:r w:rsidRPr="00773325">
        <w:rPr>
          <w:rFonts w:ascii="Arial" w:hAnsi="Arial" w:cs="Arial"/>
        </w:rPr>
        <w:t>.</w:t>
      </w:r>
    </w:p>
    <w:p w:rsidR="007F59E2" w:rsidRPr="00773325" w:rsidRDefault="007F59E2" w:rsidP="007F59E2">
      <w:pPr>
        <w:spacing w:before="120" w:after="120" w:line="240" w:lineRule="auto"/>
        <w:jc w:val="both"/>
        <w:rPr>
          <w:sz w:val="24"/>
          <w:szCs w:val="24"/>
        </w:rPr>
      </w:pPr>
      <w:proofErr w:type="gramStart"/>
      <w:r w:rsidRPr="00773325">
        <w:rPr>
          <w:sz w:val="24"/>
          <w:szCs w:val="24"/>
        </w:rPr>
        <w:t>Marwick.</w:t>
      </w:r>
      <w:proofErr w:type="gramEnd"/>
      <w:r w:rsidRPr="00773325">
        <w:rPr>
          <w:sz w:val="24"/>
          <w:szCs w:val="24"/>
        </w:rPr>
        <w:t xml:space="preserve"> (1978 [1965]) </w:t>
      </w:r>
      <w:r w:rsidRPr="00773325">
        <w:rPr>
          <w:i/>
          <w:sz w:val="24"/>
          <w:szCs w:val="24"/>
        </w:rPr>
        <w:t>The Deluge: British Society and the First World War</w:t>
      </w:r>
      <w:r w:rsidRPr="00773325">
        <w:rPr>
          <w:sz w:val="24"/>
          <w:szCs w:val="24"/>
        </w:rPr>
        <w:t>. London: Macmillan.</w:t>
      </w:r>
    </w:p>
    <w:p w:rsidR="007F59E2" w:rsidRPr="00773325" w:rsidRDefault="007F59E2" w:rsidP="007F59E2">
      <w:pPr>
        <w:spacing w:before="120" w:after="120" w:line="240" w:lineRule="auto"/>
        <w:jc w:val="both"/>
        <w:rPr>
          <w:i/>
          <w:sz w:val="24"/>
          <w:szCs w:val="24"/>
        </w:rPr>
      </w:pPr>
      <w:proofErr w:type="gramStart"/>
      <w:r w:rsidRPr="00773325">
        <w:rPr>
          <w:sz w:val="24"/>
          <w:szCs w:val="24"/>
        </w:rPr>
        <w:t xml:space="preserve">Messinger, G. (1992) </w:t>
      </w:r>
      <w:r w:rsidRPr="00773325">
        <w:rPr>
          <w:i/>
          <w:sz w:val="24"/>
          <w:szCs w:val="24"/>
        </w:rPr>
        <w:t>British Propaganda and the State in the First World War</w:t>
      </w:r>
      <w:r w:rsidRPr="00773325">
        <w:rPr>
          <w:sz w:val="24"/>
          <w:szCs w:val="24"/>
        </w:rPr>
        <w:t>.</w:t>
      </w:r>
      <w:proofErr w:type="gramEnd"/>
      <w:r w:rsidRPr="00773325">
        <w:rPr>
          <w:sz w:val="24"/>
          <w:szCs w:val="24"/>
        </w:rPr>
        <w:t xml:space="preserve"> Manchester: Manchester UP.</w:t>
      </w:r>
      <w:r w:rsidRPr="00773325">
        <w:rPr>
          <w:i/>
          <w:sz w:val="24"/>
          <w:szCs w:val="24"/>
        </w:rPr>
        <w:t xml:space="preserve"> </w:t>
      </w:r>
    </w:p>
    <w:p w:rsidR="007F59E2" w:rsidRPr="00773325" w:rsidRDefault="007F59E2" w:rsidP="007F59E2">
      <w:pPr>
        <w:spacing w:before="120" w:after="120" w:line="240" w:lineRule="auto"/>
        <w:jc w:val="both"/>
        <w:rPr>
          <w:sz w:val="24"/>
          <w:szCs w:val="24"/>
        </w:rPr>
      </w:pPr>
      <w:proofErr w:type="gramStart"/>
      <w:r w:rsidRPr="00773325">
        <w:rPr>
          <w:sz w:val="24"/>
          <w:szCs w:val="24"/>
        </w:rPr>
        <w:t>Monger, D. (2012).</w:t>
      </w:r>
      <w:proofErr w:type="gramEnd"/>
      <w:r w:rsidRPr="00773325">
        <w:rPr>
          <w:sz w:val="24"/>
          <w:szCs w:val="24"/>
        </w:rPr>
        <w:t xml:space="preserve"> </w:t>
      </w:r>
      <w:r w:rsidRPr="00773325">
        <w:rPr>
          <w:i/>
          <w:sz w:val="24"/>
          <w:szCs w:val="24"/>
        </w:rPr>
        <w:t>Patriotism and Propaganda in First World War Britain: The National War Aims Committee and Civilian Morale</w:t>
      </w:r>
      <w:r w:rsidRPr="00773325">
        <w:rPr>
          <w:sz w:val="24"/>
          <w:szCs w:val="24"/>
        </w:rPr>
        <w:t xml:space="preserve">. Liverpool: Liverpool U. P. </w:t>
      </w:r>
    </w:p>
    <w:p w:rsidR="00152FB8" w:rsidRPr="00773325" w:rsidRDefault="00152FB8" w:rsidP="00773325">
      <w:pPr>
        <w:pStyle w:val="NormalWeb"/>
        <w:spacing w:before="120" w:beforeAutospacing="0" w:after="120" w:afterAutospacing="0"/>
        <w:jc w:val="both"/>
        <w:rPr>
          <w:rFonts w:ascii="Arial" w:hAnsi="Arial" w:cs="Arial"/>
        </w:rPr>
      </w:pPr>
      <w:r w:rsidRPr="00773325">
        <w:rPr>
          <w:rFonts w:ascii="Arial" w:hAnsi="Arial" w:cs="Arial"/>
        </w:rPr>
        <w:t xml:space="preserve">Myers, C. (2014). </w:t>
      </w:r>
      <w:proofErr w:type="gramStart"/>
      <w:r w:rsidRPr="00773325">
        <w:rPr>
          <w:rFonts w:ascii="Arial" w:hAnsi="Arial" w:cs="Arial"/>
        </w:rPr>
        <w:t xml:space="preserve">‘Reconsidering the corporate narrative in U.S. PR history: A critique of Alfred Chandler’s influence on PR historiography’, </w:t>
      </w:r>
      <w:r w:rsidRPr="00773325">
        <w:rPr>
          <w:rFonts w:ascii="Arial" w:hAnsi="Arial" w:cs="Arial"/>
          <w:i/>
          <w:iCs/>
        </w:rPr>
        <w:t>Public Relations Review</w:t>
      </w:r>
      <w:r w:rsidRPr="00773325">
        <w:rPr>
          <w:rFonts w:ascii="Arial" w:hAnsi="Arial" w:cs="Arial"/>
        </w:rPr>
        <w:t xml:space="preserve">, </w:t>
      </w:r>
      <w:r w:rsidRPr="00773325">
        <w:rPr>
          <w:rFonts w:ascii="Arial" w:hAnsi="Arial" w:cs="Arial"/>
          <w:iCs/>
        </w:rPr>
        <w:t xml:space="preserve">40 </w:t>
      </w:r>
      <w:r w:rsidRPr="00773325">
        <w:rPr>
          <w:rFonts w:ascii="Arial" w:hAnsi="Arial" w:cs="Arial"/>
        </w:rPr>
        <w:t>(4), 676–683.</w:t>
      </w:r>
      <w:proofErr w:type="gramEnd"/>
      <w:r w:rsidRPr="00773325">
        <w:rPr>
          <w:rFonts w:ascii="Arial" w:hAnsi="Arial" w:cs="Arial"/>
        </w:rPr>
        <w:t xml:space="preserve"> </w:t>
      </w:r>
    </w:p>
    <w:p w:rsidR="00152FB8" w:rsidRPr="00773325" w:rsidRDefault="00152FB8" w:rsidP="00773325">
      <w:pPr>
        <w:spacing w:before="120" w:after="120" w:line="240" w:lineRule="auto"/>
        <w:jc w:val="both"/>
        <w:rPr>
          <w:sz w:val="24"/>
          <w:szCs w:val="24"/>
        </w:rPr>
      </w:pPr>
      <w:r w:rsidRPr="00773325">
        <w:rPr>
          <w:sz w:val="24"/>
          <w:szCs w:val="24"/>
        </w:rPr>
        <w:t>Olasky, M. (1985) ‘A Reappraisal of 19</w:t>
      </w:r>
      <w:r w:rsidRPr="00773325">
        <w:rPr>
          <w:sz w:val="24"/>
          <w:szCs w:val="24"/>
          <w:vertAlign w:val="superscript"/>
        </w:rPr>
        <w:t>th</w:t>
      </w:r>
      <w:r w:rsidRPr="00773325">
        <w:rPr>
          <w:sz w:val="24"/>
          <w:szCs w:val="24"/>
        </w:rPr>
        <w:t xml:space="preserve">-Century Public Relations’, </w:t>
      </w:r>
      <w:r w:rsidRPr="00773325">
        <w:rPr>
          <w:i/>
          <w:sz w:val="24"/>
          <w:szCs w:val="24"/>
        </w:rPr>
        <w:t>Public Relations Review</w:t>
      </w:r>
      <w:r w:rsidRPr="00773325">
        <w:rPr>
          <w:sz w:val="24"/>
          <w:szCs w:val="24"/>
        </w:rPr>
        <w:t>, 11 (1), 3-12.</w:t>
      </w:r>
    </w:p>
    <w:p w:rsidR="007F59E2" w:rsidRPr="00773325" w:rsidRDefault="007F59E2" w:rsidP="007F59E2">
      <w:pPr>
        <w:spacing w:before="120" w:after="120" w:line="240" w:lineRule="auto"/>
        <w:jc w:val="both"/>
        <w:rPr>
          <w:sz w:val="24"/>
          <w:szCs w:val="24"/>
        </w:rPr>
      </w:pPr>
      <w:r w:rsidRPr="00773325">
        <w:rPr>
          <w:sz w:val="24"/>
          <w:szCs w:val="24"/>
        </w:rPr>
        <w:t xml:space="preserve">Paris, M. (2000) </w:t>
      </w:r>
      <w:r w:rsidRPr="00773325">
        <w:rPr>
          <w:i/>
          <w:sz w:val="24"/>
          <w:szCs w:val="24"/>
        </w:rPr>
        <w:t>Warrior Nation: Images of War in British Popular Culture, 1850-2000</w:t>
      </w:r>
      <w:r w:rsidRPr="00773325">
        <w:rPr>
          <w:sz w:val="24"/>
          <w:szCs w:val="24"/>
        </w:rPr>
        <w:t>. London: Reaktion.</w:t>
      </w:r>
    </w:p>
    <w:p w:rsidR="007F59E2" w:rsidRPr="00773325" w:rsidRDefault="007F59E2" w:rsidP="007F59E2">
      <w:pPr>
        <w:jc w:val="both"/>
        <w:rPr>
          <w:sz w:val="24"/>
        </w:rPr>
      </w:pPr>
      <w:r w:rsidRPr="00773325">
        <w:rPr>
          <w:sz w:val="24"/>
        </w:rPr>
        <w:t xml:space="preserve">Puchan, H. (2006) ‘An Intellectual History of German Public Relations’, in J. L’Etang &amp; M. Pieczka (eds.) </w:t>
      </w:r>
      <w:r w:rsidRPr="00773325">
        <w:rPr>
          <w:i/>
          <w:sz w:val="24"/>
        </w:rPr>
        <w:t>Public Relations: Critical Debates and Contemporary Practice</w:t>
      </w:r>
      <w:r w:rsidRPr="00773325">
        <w:rPr>
          <w:sz w:val="24"/>
        </w:rPr>
        <w:t>, London: Lawrence Erlbaum.</w:t>
      </w:r>
    </w:p>
    <w:p w:rsidR="00152FB8" w:rsidRPr="00773325" w:rsidRDefault="00152FB8" w:rsidP="00773325">
      <w:pPr>
        <w:spacing w:before="120" w:after="120" w:line="240" w:lineRule="auto"/>
        <w:jc w:val="both"/>
        <w:rPr>
          <w:sz w:val="24"/>
          <w:szCs w:val="24"/>
        </w:rPr>
      </w:pPr>
      <w:r w:rsidRPr="00773325">
        <w:rPr>
          <w:sz w:val="24"/>
          <w:szCs w:val="24"/>
        </w:rPr>
        <w:t xml:space="preserve">Raaz, O. &amp; Wehmeier, S. (2011) ‘Histories of Public Relations: Comparing the Historiography of British, German and US Public Relations’, </w:t>
      </w:r>
      <w:r w:rsidRPr="00773325">
        <w:rPr>
          <w:i/>
          <w:sz w:val="24"/>
          <w:szCs w:val="24"/>
        </w:rPr>
        <w:t>Journal of Communication Management</w:t>
      </w:r>
      <w:r w:rsidRPr="00773325">
        <w:rPr>
          <w:sz w:val="24"/>
          <w:szCs w:val="24"/>
        </w:rPr>
        <w:t xml:space="preserve">, 15 (3), 256-275.  </w:t>
      </w:r>
      <w:r w:rsidRPr="00773325">
        <w:rPr>
          <w:i/>
          <w:sz w:val="24"/>
          <w:szCs w:val="24"/>
        </w:rPr>
        <w:t xml:space="preserve"> </w:t>
      </w:r>
    </w:p>
    <w:p w:rsidR="00152FB8" w:rsidRPr="00773325" w:rsidRDefault="00152FB8" w:rsidP="00773325">
      <w:pPr>
        <w:spacing w:before="120" w:after="120" w:line="240" w:lineRule="auto"/>
        <w:jc w:val="both"/>
        <w:rPr>
          <w:sz w:val="24"/>
          <w:szCs w:val="24"/>
        </w:rPr>
      </w:pPr>
      <w:r w:rsidRPr="00773325">
        <w:rPr>
          <w:sz w:val="24"/>
          <w:szCs w:val="24"/>
        </w:rPr>
        <w:t xml:space="preserve">Robertson, E. (2014) ‘Propaganda and “Manufactured Hatred”: A Reappraisal of the Ethics of First World War British and Australian Atrocity Propaganda’, </w:t>
      </w:r>
      <w:r w:rsidRPr="00773325">
        <w:rPr>
          <w:i/>
          <w:sz w:val="24"/>
          <w:szCs w:val="24"/>
        </w:rPr>
        <w:t>Public Relations Inquiry</w:t>
      </w:r>
      <w:r w:rsidRPr="00773325">
        <w:rPr>
          <w:sz w:val="24"/>
          <w:szCs w:val="24"/>
        </w:rPr>
        <w:t>, 3 (2), 245-266.</w:t>
      </w:r>
    </w:p>
    <w:p w:rsidR="007F59E2" w:rsidRPr="00773325" w:rsidRDefault="007F59E2" w:rsidP="007F59E2">
      <w:pPr>
        <w:spacing w:before="120" w:after="120" w:line="240" w:lineRule="auto"/>
        <w:jc w:val="both"/>
        <w:rPr>
          <w:sz w:val="24"/>
          <w:szCs w:val="24"/>
        </w:rPr>
      </w:pPr>
      <w:r w:rsidRPr="00773325">
        <w:rPr>
          <w:sz w:val="24"/>
          <w:szCs w:val="24"/>
        </w:rPr>
        <w:t xml:space="preserve">Sanders, M. L. &amp; Taylor, P. (1983) </w:t>
      </w:r>
      <w:r w:rsidRPr="00773325">
        <w:rPr>
          <w:i/>
          <w:sz w:val="24"/>
          <w:szCs w:val="24"/>
        </w:rPr>
        <w:t xml:space="preserve">British Propaganda </w:t>
      </w:r>
      <w:proofErr w:type="gramStart"/>
      <w:r w:rsidRPr="00773325">
        <w:rPr>
          <w:i/>
          <w:sz w:val="24"/>
          <w:szCs w:val="24"/>
        </w:rPr>
        <w:t>During</w:t>
      </w:r>
      <w:proofErr w:type="gramEnd"/>
      <w:r w:rsidRPr="00773325">
        <w:rPr>
          <w:i/>
          <w:sz w:val="24"/>
          <w:szCs w:val="24"/>
        </w:rPr>
        <w:t xml:space="preserve"> the First World War, 1914-18</w:t>
      </w:r>
      <w:r w:rsidRPr="00773325">
        <w:rPr>
          <w:sz w:val="24"/>
          <w:szCs w:val="24"/>
        </w:rPr>
        <w:t>. London: Macmillan.</w:t>
      </w:r>
    </w:p>
    <w:p w:rsidR="007F59E2" w:rsidRPr="00773325" w:rsidRDefault="007F59E2" w:rsidP="007F59E2">
      <w:pPr>
        <w:spacing w:before="120" w:after="120" w:line="240" w:lineRule="auto"/>
        <w:jc w:val="both"/>
        <w:rPr>
          <w:sz w:val="24"/>
          <w:szCs w:val="24"/>
        </w:rPr>
      </w:pPr>
      <w:r w:rsidRPr="00773325">
        <w:rPr>
          <w:sz w:val="24"/>
          <w:szCs w:val="24"/>
        </w:rPr>
        <w:t xml:space="preserve">Silbey, D. (2004) </w:t>
      </w:r>
      <w:proofErr w:type="gramStart"/>
      <w:r w:rsidRPr="00773325">
        <w:rPr>
          <w:i/>
          <w:sz w:val="24"/>
          <w:szCs w:val="24"/>
        </w:rPr>
        <w:t>The</w:t>
      </w:r>
      <w:proofErr w:type="gramEnd"/>
      <w:r w:rsidRPr="00773325">
        <w:rPr>
          <w:i/>
          <w:sz w:val="24"/>
          <w:szCs w:val="24"/>
        </w:rPr>
        <w:t xml:space="preserve"> British Working Class and Enthusiasm for War, 1914-16</w:t>
      </w:r>
      <w:r w:rsidRPr="00773325">
        <w:rPr>
          <w:sz w:val="24"/>
          <w:szCs w:val="24"/>
        </w:rPr>
        <w:t>. London: Franck Cass.</w:t>
      </w:r>
    </w:p>
    <w:p w:rsidR="007F59E2" w:rsidRPr="00773325" w:rsidRDefault="007F59E2" w:rsidP="007F59E2">
      <w:pPr>
        <w:spacing w:before="120" w:after="120" w:line="240" w:lineRule="auto"/>
        <w:jc w:val="both"/>
        <w:rPr>
          <w:sz w:val="24"/>
          <w:szCs w:val="24"/>
        </w:rPr>
      </w:pPr>
      <w:r w:rsidRPr="00773325">
        <w:rPr>
          <w:sz w:val="24"/>
          <w:szCs w:val="24"/>
        </w:rPr>
        <w:t xml:space="preserve">Simkins, P. (2007 [1988]) </w:t>
      </w:r>
      <w:r w:rsidRPr="00773325">
        <w:rPr>
          <w:i/>
          <w:sz w:val="24"/>
          <w:szCs w:val="24"/>
        </w:rPr>
        <w:t xml:space="preserve">Kitchener’s Army: The Raising of the New Armies. </w:t>
      </w:r>
      <w:r w:rsidRPr="00773325">
        <w:rPr>
          <w:sz w:val="24"/>
          <w:szCs w:val="24"/>
        </w:rPr>
        <w:t>Barnsley: Pen &amp; Sword.</w:t>
      </w:r>
    </w:p>
    <w:p w:rsidR="007F59E2" w:rsidRPr="00773325" w:rsidRDefault="007F59E2" w:rsidP="007F59E2">
      <w:pPr>
        <w:spacing w:before="120" w:after="120" w:line="240" w:lineRule="auto"/>
        <w:jc w:val="both"/>
        <w:rPr>
          <w:sz w:val="24"/>
          <w:szCs w:val="24"/>
        </w:rPr>
      </w:pPr>
      <w:r w:rsidRPr="00773325">
        <w:rPr>
          <w:sz w:val="24"/>
          <w:szCs w:val="24"/>
        </w:rPr>
        <w:t xml:space="preserve">Temple. M. (2008 [1996]) </w:t>
      </w:r>
      <w:proofErr w:type="gramStart"/>
      <w:r w:rsidRPr="00773325">
        <w:rPr>
          <w:i/>
          <w:sz w:val="24"/>
          <w:szCs w:val="24"/>
        </w:rPr>
        <w:t>The</w:t>
      </w:r>
      <w:proofErr w:type="gramEnd"/>
      <w:r w:rsidRPr="00773325">
        <w:rPr>
          <w:i/>
          <w:sz w:val="24"/>
          <w:szCs w:val="24"/>
        </w:rPr>
        <w:t xml:space="preserve"> British Press</w:t>
      </w:r>
      <w:r w:rsidRPr="00773325">
        <w:rPr>
          <w:sz w:val="24"/>
          <w:szCs w:val="24"/>
        </w:rPr>
        <w:t xml:space="preserve">. Maidenhead: Open U. P. </w:t>
      </w:r>
    </w:p>
    <w:p w:rsidR="00152FB8" w:rsidRPr="00773325" w:rsidRDefault="00152FB8" w:rsidP="00773325">
      <w:pPr>
        <w:spacing w:before="120" w:after="120" w:line="240" w:lineRule="auto"/>
        <w:jc w:val="both"/>
        <w:rPr>
          <w:sz w:val="24"/>
          <w:szCs w:val="24"/>
        </w:rPr>
      </w:pPr>
      <w:proofErr w:type="spellStart"/>
      <w:r w:rsidRPr="00773325">
        <w:rPr>
          <w:sz w:val="24"/>
          <w:szCs w:val="24"/>
        </w:rPr>
        <w:t>Vos</w:t>
      </w:r>
      <w:proofErr w:type="spellEnd"/>
      <w:r w:rsidRPr="00773325">
        <w:rPr>
          <w:sz w:val="24"/>
          <w:szCs w:val="24"/>
        </w:rPr>
        <w:t xml:space="preserve">, T. (2011) ‘Explaining the Origins of Public Relations: Logics of Historical Explanation’, </w:t>
      </w:r>
      <w:r w:rsidRPr="00773325">
        <w:rPr>
          <w:i/>
          <w:sz w:val="24"/>
          <w:szCs w:val="24"/>
        </w:rPr>
        <w:t>Journal of Public Relations Research</w:t>
      </w:r>
      <w:r w:rsidRPr="00773325">
        <w:rPr>
          <w:sz w:val="24"/>
          <w:szCs w:val="24"/>
        </w:rPr>
        <w:t>, 23 (2), 119-140.</w:t>
      </w:r>
    </w:p>
    <w:p w:rsidR="00152FB8" w:rsidRPr="00773325" w:rsidRDefault="00152FB8" w:rsidP="00773325">
      <w:pPr>
        <w:spacing w:before="120" w:after="120" w:line="240" w:lineRule="auto"/>
        <w:jc w:val="both"/>
        <w:rPr>
          <w:rFonts w:eastAsia="Times New Roman"/>
          <w:kern w:val="0"/>
          <w:sz w:val="24"/>
          <w:szCs w:val="24"/>
          <w:lang w:eastAsia="en-GB"/>
        </w:rPr>
      </w:pPr>
      <w:r w:rsidRPr="00773325">
        <w:rPr>
          <w:rFonts w:eastAsia="Times New Roman"/>
          <w:kern w:val="0"/>
          <w:sz w:val="24"/>
          <w:szCs w:val="24"/>
          <w:lang w:eastAsia="en-GB"/>
        </w:rPr>
        <w:t xml:space="preserve">Watson, T. (2012) ‘The evolution of public relations measurement and evaluation’, </w:t>
      </w:r>
      <w:r w:rsidRPr="00773325">
        <w:rPr>
          <w:rFonts w:eastAsia="Times New Roman"/>
          <w:i/>
          <w:iCs/>
          <w:kern w:val="0"/>
          <w:sz w:val="24"/>
          <w:szCs w:val="24"/>
          <w:lang w:eastAsia="en-GB"/>
        </w:rPr>
        <w:t>Public Relations Review</w:t>
      </w:r>
      <w:r w:rsidRPr="00773325">
        <w:rPr>
          <w:rFonts w:eastAsia="Times New Roman"/>
          <w:kern w:val="0"/>
          <w:sz w:val="24"/>
          <w:szCs w:val="24"/>
          <w:lang w:eastAsia="en-GB"/>
        </w:rPr>
        <w:t xml:space="preserve">, </w:t>
      </w:r>
      <w:r w:rsidRPr="00773325">
        <w:rPr>
          <w:rFonts w:eastAsia="Times New Roman"/>
          <w:iCs/>
          <w:kern w:val="0"/>
          <w:sz w:val="24"/>
          <w:szCs w:val="24"/>
          <w:lang w:eastAsia="en-GB"/>
        </w:rPr>
        <w:t>38</w:t>
      </w:r>
      <w:r w:rsidRPr="00773325">
        <w:rPr>
          <w:rFonts w:eastAsia="Times New Roman"/>
          <w:kern w:val="0"/>
          <w:sz w:val="24"/>
          <w:szCs w:val="24"/>
          <w:lang w:eastAsia="en-GB"/>
        </w:rPr>
        <w:t xml:space="preserve">(3), 390–398. </w:t>
      </w:r>
    </w:p>
    <w:p w:rsidR="007F59E2" w:rsidRPr="00773325" w:rsidRDefault="007F59E2" w:rsidP="007F59E2">
      <w:pPr>
        <w:jc w:val="both"/>
        <w:rPr>
          <w:sz w:val="24"/>
        </w:rPr>
      </w:pPr>
      <w:r w:rsidRPr="00773325">
        <w:rPr>
          <w:sz w:val="24"/>
        </w:rPr>
        <w:t xml:space="preserve">Weaver, K., Motion, J. &amp; Roper, J. (2006) ‘From Propaganda to </w:t>
      </w:r>
      <w:r w:rsidR="007C693E" w:rsidRPr="00773325">
        <w:rPr>
          <w:sz w:val="24"/>
        </w:rPr>
        <w:t>Discourse</w:t>
      </w:r>
      <w:r w:rsidRPr="00773325">
        <w:rPr>
          <w:sz w:val="24"/>
        </w:rPr>
        <w:t xml:space="preserve"> (and Back Again): Truth, Power, the Public Interest and Public Relations’, in J. L’Etang &amp; M. Pieczka (eds.) </w:t>
      </w:r>
      <w:r w:rsidRPr="00773325">
        <w:rPr>
          <w:i/>
          <w:sz w:val="24"/>
        </w:rPr>
        <w:t>Public Relations: Critical Debates and Contemporary Practice</w:t>
      </w:r>
      <w:r w:rsidRPr="00773325">
        <w:rPr>
          <w:sz w:val="24"/>
        </w:rPr>
        <w:t xml:space="preserve">, London: Lawrence Erlbaum. </w:t>
      </w:r>
    </w:p>
    <w:p w:rsidR="00152FB8" w:rsidRPr="00773325" w:rsidRDefault="00152FB8" w:rsidP="00773325">
      <w:pPr>
        <w:pStyle w:val="NormalWeb"/>
        <w:spacing w:before="120" w:beforeAutospacing="0" w:after="120" w:afterAutospacing="0"/>
        <w:jc w:val="both"/>
        <w:rPr>
          <w:rFonts w:ascii="Arial" w:hAnsi="Arial" w:cs="Arial"/>
        </w:rPr>
      </w:pPr>
      <w:r w:rsidRPr="00773325">
        <w:rPr>
          <w:rFonts w:ascii="Arial" w:hAnsi="Arial" w:cs="Arial"/>
        </w:rPr>
        <w:t xml:space="preserve">White, B. (2009) ‘Volunteerism and Early Recruitment Efforts in Devonshire, August 1914–December 1915’, </w:t>
      </w:r>
      <w:proofErr w:type="gramStart"/>
      <w:r w:rsidRPr="00773325">
        <w:rPr>
          <w:rFonts w:ascii="Arial" w:hAnsi="Arial" w:cs="Arial"/>
          <w:i/>
          <w:iCs/>
        </w:rPr>
        <w:t>The</w:t>
      </w:r>
      <w:proofErr w:type="gramEnd"/>
      <w:r w:rsidRPr="00773325">
        <w:rPr>
          <w:rFonts w:ascii="Arial" w:hAnsi="Arial" w:cs="Arial"/>
          <w:i/>
          <w:iCs/>
        </w:rPr>
        <w:t xml:space="preserve"> Historical Journal</w:t>
      </w:r>
      <w:r w:rsidRPr="00773325">
        <w:rPr>
          <w:rFonts w:ascii="Arial" w:hAnsi="Arial" w:cs="Arial"/>
        </w:rPr>
        <w:t xml:space="preserve">, </w:t>
      </w:r>
      <w:r w:rsidRPr="00773325">
        <w:rPr>
          <w:rFonts w:ascii="Arial" w:hAnsi="Arial" w:cs="Arial"/>
          <w:iCs/>
        </w:rPr>
        <w:t>52 (3), 641-666.</w:t>
      </w:r>
    </w:p>
    <w:p w:rsidR="007F59E2" w:rsidRPr="00773325" w:rsidRDefault="007F59E2" w:rsidP="007F59E2">
      <w:pPr>
        <w:spacing w:before="120" w:after="120" w:line="240" w:lineRule="auto"/>
        <w:jc w:val="both"/>
        <w:rPr>
          <w:sz w:val="24"/>
          <w:szCs w:val="24"/>
        </w:rPr>
      </w:pPr>
      <w:proofErr w:type="gramStart"/>
      <w:r w:rsidRPr="00773325">
        <w:rPr>
          <w:sz w:val="24"/>
          <w:szCs w:val="24"/>
        </w:rPr>
        <w:t xml:space="preserve">Williams, B. (1918) </w:t>
      </w:r>
      <w:r w:rsidRPr="00773325">
        <w:rPr>
          <w:i/>
          <w:sz w:val="24"/>
          <w:szCs w:val="24"/>
        </w:rPr>
        <w:t>Raising and Training the New Armies.</w:t>
      </w:r>
      <w:proofErr w:type="gramEnd"/>
      <w:r w:rsidRPr="00773325">
        <w:rPr>
          <w:i/>
          <w:sz w:val="24"/>
          <w:szCs w:val="24"/>
        </w:rPr>
        <w:t xml:space="preserve"> </w:t>
      </w:r>
      <w:r w:rsidRPr="00773325">
        <w:rPr>
          <w:sz w:val="24"/>
          <w:szCs w:val="24"/>
        </w:rPr>
        <w:t>London: Constable.</w:t>
      </w:r>
    </w:p>
    <w:p w:rsidR="007F59E2" w:rsidRPr="00773325" w:rsidRDefault="007F59E2" w:rsidP="007F59E2">
      <w:pPr>
        <w:spacing w:before="120" w:after="120" w:line="240" w:lineRule="auto"/>
        <w:jc w:val="both"/>
        <w:rPr>
          <w:sz w:val="24"/>
          <w:szCs w:val="24"/>
        </w:rPr>
      </w:pPr>
      <w:r w:rsidRPr="00773325">
        <w:rPr>
          <w:sz w:val="24"/>
          <w:szCs w:val="24"/>
        </w:rPr>
        <w:t xml:space="preserve">Winter, J. (1998) ‘Propaganda and the Mobilisation of Consent’, in Hew Strachan (ed.) </w:t>
      </w:r>
      <w:r w:rsidRPr="00773325">
        <w:rPr>
          <w:i/>
          <w:sz w:val="24"/>
          <w:szCs w:val="24"/>
        </w:rPr>
        <w:t>Oxford Illustrated History of the First World War.</w:t>
      </w:r>
      <w:r w:rsidRPr="00773325">
        <w:rPr>
          <w:sz w:val="24"/>
          <w:szCs w:val="24"/>
        </w:rPr>
        <w:t xml:space="preserve"> Oxford: Oxford U. P.</w:t>
      </w:r>
    </w:p>
    <w:p w:rsidR="007F59E2" w:rsidRPr="005F3244" w:rsidRDefault="007F59E2" w:rsidP="007F59E2">
      <w:pPr>
        <w:spacing w:before="120" w:after="120" w:line="240" w:lineRule="auto"/>
        <w:jc w:val="both"/>
        <w:rPr>
          <w:color w:val="C00000"/>
          <w:sz w:val="24"/>
          <w:szCs w:val="24"/>
        </w:rPr>
      </w:pPr>
      <w:r w:rsidRPr="005F3244">
        <w:rPr>
          <w:color w:val="C00000"/>
          <w:sz w:val="24"/>
          <w:szCs w:val="24"/>
        </w:rPr>
        <w:t xml:space="preserve">WO 106/366: </w:t>
      </w:r>
      <w:r w:rsidRPr="005F3244">
        <w:rPr>
          <w:i/>
          <w:color w:val="C00000"/>
          <w:sz w:val="24"/>
          <w:szCs w:val="24"/>
        </w:rPr>
        <w:t>Lord Derby’s Group System</w:t>
      </w:r>
      <w:r w:rsidRPr="005F3244">
        <w:rPr>
          <w:color w:val="C00000"/>
          <w:sz w:val="24"/>
          <w:szCs w:val="24"/>
        </w:rPr>
        <w:t>. Memorandum (24 November 1915) and Memorandum (18 December 1915).</w:t>
      </w:r>
    </w:p>
    <w:p w:rsidR="00152FB8" w:rsidRPr="00E61839" w:rsidRDefault="007F59E2" w:rsidP="0069616B">
      <w:pPr>
        <w:spacing w:before="120" w:after="120" w:line="240" w:lineRule="auto"/>
        <w:jc w:val="both"/>
        <w:rPr>
          <w:sz w:val="24"/>
          <w:szCs w:val="24"/>
        </w:rPr>
      </w:pPr>
      <w:r w:rsidRPr="005F3244">
        <w:rPr>
          <w:color w:val="C00000"/>
          <w:sz w:val="24"/>
          <w:szCs w:val="24"/>
        </w:rPr>
        <w:t>WO 106/367:</w:t>
      </w:r>
      <w:r w:rsidRPr="005F3244">
        <w:rPr>
          <w:i/>
          <w:color w:val="C00000"/>
          <w:sz w:val="24"/>
          <w:szCs w:val="24"/>
        </w:rPr>
        <w:t xml:space="preserve"> Parliamentary Recruiting Committee</w:t>
      </w:r>
      <w:r w:rsidRPr="005F3244">
        <w:rPr>
          <w:color w:val="C00000"/>
          <w:sz w:val="24"/>
          <w:szCs w:val="24"/>
        </w:rPr>
        <w:t>. Anon., The Lord Derby Recruiting Scheme (undated: A); R. H. Davis, Parliamentary Recruiting Committee (undated: B); Anon., Report by the Publications Sub-Department (undated: C); Anon., General Notes on Queries (undated: D); Anon., Directions for Canvassers (undated: E); R. H. Davies and Malcolm Fraser, Report by the Publicity Sub-Department (undated: F); Harry Samuel et al, Report by the Meetings Sub-Department (March 1916).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D8C" w:rsidRDefault="00566D8C" w:rsidP="00CA66AA">
      <w:pPr>
        <w:spacing w:after="0" w:line="240" w:lineRule="auto"/>
      </w:pPr>
      <w:r>
        <w:separator/>
      </w:r>
    </w:p>
  </w:footnote>
  <w:footnote w:type="continuationSeparator" w:id="0">
    <w:p w:rsidR="00566D8C" w:rsidRDefault="00566D8C" w:rsidP="00CA66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530FB"/>
    <w:multiLevelType w:val="hybridMultilevel"/>
    <w:tmpl w:val="E552113C"/>
    <w:lvl w:ilvl="0" w:tplc="F8DE02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6AA"/>
    <w:rsid w:val="00000214"/>
    <w:rsid w:val="00001467"/>
    <w:rsid w:val="0000216F"/>
    <w:rsid w:val="000021BD"/>
    <w:rsid w:val="00003899"/>
    <w:rsid w:val="00004C34"/>
    <w:rsid w:val="00006157"/>
    <w:rsid w:val="000075D0"/>
    <w:rsid w:val="00013A9A"/>
    <w:rsid w:val="0001477B"/>
    <w:rsid w:val="0001629B"/>
    <w:rsid w:val="0002089A"/>
    <w:rsid w:val="0002097F"/>
    <w:rsid w:val="000217AF"/>
    <w:rsid w:val="000237EC"/>
    <w:rsid w:val="000245AD"/>
    <w:rsid w:val="00025179"/>
    <w:rsid w:val="0002722D"/>
    <w:rsid w:val="00027710"/>
    <w:rsid w:val="00031542"/>
    <w:rsid w:val="00031A8E"/>
    <w:rsid w:val="00032742"/>
    <w:rsid w:val="00034179"/>
    <w:rsid w:val="00036373"/>
    <w:rsid w:val="0004006D"/>
    <w:rsid w:val="00040E22"/>
    <w:rsid w:val="0004137E"/>
    <w:rsid w:val="00042FA5"/>
    <w:rsid w:val="0004337D"/>
    <w:rsid w:val="00046178"/>
    <w:rsid w:val="00046FE0"/>
    <w:rsid w:val="0005005E"/>
    <w:rsid w:val="00053A99"/>
    <w:rsid w:val="00053FD5"/>
    <w:rsid w:val="00054673"/>
    <w:rsid w:val="0005534B"/>
    <w:rsid w:val="00056D36"/>
    <w:rsid w:val="00056D9C"/>
    <w:rsid w:val="00056E6D"/>
    <w:rsid w:val="000576B6"/>
    <w:rsid w:val="0006092B"/>
    <w:rsid w:val="00061FF5"/>
    <w:rsid w:val="00062E88"/>
    <w:rsid w:val="00062F94"/>
    <w:rsid w:val="000636DB"/>
    <w:rsid w:val="00063B90"/>
    <w:rsid w:val="00065236"/>
    <w:rsid w:val="000654B8"/>
    <w:rsid w:val="00065B84"/>
    <w:rsid w:val="00065C79"/>
    <w:rsid w:val="0006665B"/>
    <w:rsid w:val="00066F5C"/>
    <w:rsid w:val="000703F2"/>
    <w:rsid w:val="00070855"/>
    <w:rsid w:val="00071332"/>
    <w:rsid w:val="00071B66"/>
    <w:rsid w:val="0007276F"/>
    <w:rsid w:val="00075CDE"/>
    <w:rsid w:val="00075E0B"/>
    <w:rsid w:val="000803A6"/>
    <w:rsid w:val="00081012"/>
    <w:rsid w:val="00081BFB"/>
    <w:rsid w:val="00082DAA"/>
    <w:rsid w:val="00083227"/>
    <w:rsid w:val="000858CD"/>
    <w:rsid w:val="000908B9"/>
    <w:rsid w:val="00090981"/>
    <w:rsid w:val="00090EC8"/>
    <w:rsid w:val="0009105A"/>
    <w:rsid w:val="00092BCF"/>
    <w:rsid w:val="00095434"/>
    <w:rsid w:val="0009638B"/>
    <w:rsid w:val="000A0545"/>
    <w:rsid w:val="000A219B"/>
    <w:rsid w:val="000A21D1"/>
    <w:rsid w:val="000A5FF0"/>
    <w:rsid w:val="000B0541"/>
    <w:rsid w:val="000B1C24"/>
    <w:rsid w:val="000B31C8"/>
    <w:rsid w:val="000B3BEC"/>
    <w:rsid w:val="000B47D3"/>
    <w:rsid w:val="000C00BC"/>
    <w:rsid w:val="000C4087"/>
    <w:rsid w:val="000C5470"/>
    <w:rsid w:val="000C6663"/>
    <w:rsid w:val="000C6D16"/>
    <w:rsid w:val="000D0075"/>
    <w:rsid w:val="000D0267"/>
    <w:rsid w:val="000D1A87"/>
    <w:rsid w:val="000D27AE"/>
    <w:rsid w:val="000D2A88"/>
    <w:rsid w:val="000D3896"/>
    <w:rsid w:val="000D39DC"/>
    <w:rsid w:val="000D39F5"/>
    <w:rsid w:val="000D4A96"/>
    <w:rsid w:val="000D6779"/>
    <w:rsid w:val="000D6CE1"/>
    <w:rsid w:val="000D7900"/>
    <w:rsid w:val="000E0CCF"/>
    <w:rsid w:val="000E1FB5"/>
    <w:rsid w:val="000E36EB"/>
    <w:rsid w:val="000E3C82"/>
    <w:rsid w:val="000E478D"/>
    <w:rsid w:val="000E62E4"/>
    <w:rsid w:val="000E7C1D"/>
    <w:rsid w:val="000F10F3"/>
    <w:rsid w:val="000F157B"/>
    <w:rsid w:val="000F2954"/>
    <w:rsid w:val="000F2E87"/>
    <w:rsid w:val="000F5B67"/>
    <w:rsid w:val="000F7911"/>
    <w:rsid w:val="001011D4"/>
    <w:rsid w:val="001027F2"/>
    <w:rsid w:val="00102AC3"/>
    <w:rsid w:val="00104B26"/>
    <w:rsid w:val="00106122"/>
    <w:rsid w:val="001069E7"/>
    <w:rsid w:val="00106BA8"/>
    <w:rsid w:val="00107EE4"/>
    <w:rsid w:val="001100B3"/>
    <w:rsid w:val="00110BBE"/>
    <w:rsid w:val="001123DE"/>
    <w:rsid w:val="00113FE0"/>
    <w:rsid w:val="001220FE"/>
    <w:rsid w:val="00122954"/>
    <w:rsid w:val="001229EE"/>
    <w:rsid w:val="001233A0"/>
    <w:rsid w:val="00124132"/>
    <w:rsid w:val="00125007"/>
    <w:rsid w:val="00127905"/>
    <w:rsid w:val="001308CE"/>
    <w:rsid w:val="00130C84"/>
    <w:rsid w:val="0013136C"/>
    <w:rsid w:val="001317FC"/>
    <w:rsid w:val="0013281E"/>
    <w:rsid w:val="001343F4"/>
    <w:rsid w:val="00135A62"/>
    <w:rsid w:val="00135B8C"/>
    <w:rsid w:val="001418D1"/>
    <w:rsid w:val="00142057"/>
    <w:rsid w:val="001427A3"/>
    <w:rsid w:val="00143202"/>
    <w:rsid w:val="00146F08"/>
    <w:rsid w:val="00147577"/>
    <w:rsid w:val="001509F7"/>
    <w:rsid w:val="001527D0"/>
    <w:rsid w:val="00152CB8"/>
    <w:rsid w:val="00152FB8"/>
    <w:rsid w:val="00153103"/>
    <w:rsid w:val="00156712"/>
    <w:rsid w:val="001633C1"/>
    <w:rsid w:val="001648C2"/>
    <w:rsid w:val="0016496D"/>
    <w:rsid w:val="0016700F"/>
    <w:rsid w:val="001670A1"/>
    <w:rsid w:val="0016756A"/>
    <w:rsid w:val="00167817"/>
    <w:rsid w:val="00170748"/>
    <w:rsid w:val="0017139C"/>
    <w:rsid w:val="00174675"/>
    <w:rsid w:val="00174733"/>
    <w:rsid w:val="00176088"/>
    <w:rsid w:val="001779E1"/>
    <w:rsid w:val="00180246"/>
    <w:rsid w:val="00181F40"/>
    <w:rsid w:val="00182122"/>
    <w:rsid w:val="00183593"/>
    <w:rsid w:val="001858AB"/>
    <w:rsid w:val="00185B4B"/>
    <w:rsid w:val="00187A9E"/>
    <w:rsid w:val="00190FF7"/>
    <w:rsid w:val="00191419"/>
    <w:rsid w:val="001933BE"/>
    <w:rsid w:val="0019350F"/>
    <w:rsid w:val="00194F86"/>
    <w:rsid w:val="00195F65"/>
    <w:rsid w:val="001A10D4"/>
    <w:rsid w:val="001A347D"/>
    <w:rsid w:val="001A3E21"/>
    <w:rsid w:val="001A4DE6"/>
    <w:rsid w:val="001A55D0"/>
    <w:rsid w:val="001A68B2"/>
    <w:rsid w:val="001A7250"/>
    <w:rsid w:val="001A72BF"/>
    <w:rsid w:val="001A7884"/>
    <w:rsid w:val="001A7A18"/>
    <w:rsid w:val="001A7CCD"/>
    <w:rsid w:val="001B2B89"/>
    <w:rsid w:val="001B3486"/>
    <w:rsid w:val="001B3995"/>
    <w:rsid w:val="001B3A35"/>
    <w:rsid w:val="001B50FE"/>
    <w:rsid w:val="001B5582"/>
    <w:rsid w:val="001B59EE"/>
    <w:rsid w:val="001B5E11"/>
    <w:rsid w:val="001B5F7F"/>
    <w:rsid w:val="001B6E14"/>
    <w:rsid w:val="001B72A1"/>
    <w:rsid w:val="001C496E"/>
    <w:rsid w:val="001C667B"/>
    <w:rsid w:val="001C6D6A"/>
    <w:rsid w:val="001C7BDE"/>
    <w:rsid w:val="001D05A4"/>
    <w:rsid w:val="001D2E47"/>
    <w:rsid w:val="001D3B3E"/>
    <w:rsid w:val="001D596C"/>
    <w:rsid w:val="001D6101"/>
    <w:rsid w:val="001D6E4C"/>
    <w:rsid w:val="001E00A5"/>
    <w:rsid w:val="001E1B60"/>
    <w:rsid w:val="001E4143"/>
    <w:rsid w:val="001E4227"/>
    <w:rsid w:val="001E478C"/>
    <w:rsid w:val="001E4999"/>
    <w:rsid w:val="001E6402"/>
    <w:rsid w:val="001E6EE1"/>
    <w:rsid w:val="001E7852"/>
    <w:rsid w:val="001F0966"/>
    <w:rsid w:val="001F2BC8"/>
    <w:rsid w:val="001F4139"/>
    <w:rsid w:val="001F46F8"/>
    <w:rsid w:val="001F4BE1"/>
    <w:rsid w:val="001F55A0"/>
    <w:rsid w:val="001F677F"/>
    <w:rsid w:val="002004C1"/>
    <w:rsid w:val="00200640"/>
    <w:rsid w:val="00203123"/>
    <w:rsid w:val="00203DBC"/>
    <w:rsid w:val="0020721D"/>
    <w:rsid w:val="0021282D"/>
    <w:rsid w:val="00213D54"/>
    <w:rsid w:val="00214A12"/>
    <w:rsid w:val="00215AC6"/>
    <w:rsid w:val="00216791"/>
    <w:rsid w:val="00217EF0"/>
    <w:rsid w:val="00221D92"/>
    <w:rsid w:val="00222228"/>
    <w:rsid w:val="00222252"/>
    <w:rsid w:val="002231F0"/>
    <w:rsid w:val="00223D54"/>
    <w:rsid w:val="002277B3"/>
    <w:rsid w:val="0022795E"/>
    <w:rsid w:val="00227B16"/>
    <w:rsid w:val="00231F85"/>
    <w:rsid w:val="00233934"/>
    <w:rsid w:val="00234786"/>
    <w:rsid w:val="00236D8E"/>
    <w:rsid w:val="00241A04"/>
    <w:rsid w:val="0024208D"/>
    <w:rsid w:val="0024372E"/>
    <w:rsid w:val="00246F50"/>
    <w:rsid w:val="00251314"/>
    <w:rsid w:val="00251691"/>
    <w:rsid w:val="0025169D"/>
    <w:rsid w:val="00254A5F"/>
    <w:rsid w:val="00254C2E"/>
    <w:rsid w:val="00256BFD"/>
    <w:rsid w:val="00257830"/>
    <w:rsid w:val="00260E5D"/>
    <w:rsid w:val="002619D0"/>
    <w:rsid w:val="00263224"/>
    <w:rsid w:val="00264697"/>
    <w:rsid w:val="00264FEC"/>
    <w:rsid w:val="002653A9"/>
    <w:rsid w:val="00265772"/>
    <w:rsid w:val="00267975"/>
    <w:rsid w:val="00267C00"/>
    <w:rsid w:val="00267C76"/>
    <w:rsid w:val="002705E1"/>
    <w:rsid w:val="0027154B"/>
    <w:rsid w:val="00276B27"/>
    <w:rsid w:val="002779CA"/>
    <w:rsid w:val="00277B8A"/>
    <w:rsid w:val="002825F4"/>
    <w:rsid w:val="00283DD5"/>
    <w:rsid w:val="0028541E"/>
    <w:rsid w:val="00291595"/>
    <w:rsid w:val="00291619"/>
    <w:rsid w:val="002917CE"/>
    <w:rsid w:val="00291E1C"/>
    <w:rsid w:val="00291EFA"/>
    <w:rsid w:val="002920DB"/>
    <w:rsid w:val="00292102"/>
    <w:rsid w:val="00292E98"/>
    <w:rsid w:val="00294A3B"/>
    <w:rsid w:val="00296891"/>
    <w:rsid w:val="002A088A"/>
    <w:rsid w:val="002A104B"/>
    <w:rsid w:val="002A226B"/>
    <w:rsid w:val="002A23A3"/>
    <w:rsid w:val="002A311A"/>
    <w:rsid w:val="002A4009"/>
    <w:rsid w:val="002A53F1"/>
    <w:rsid w:val="002A6D8A"/>
    <w:rsid w:val="002A78FB"/>
    <w:rsid w:val="002B78BF"/>
    <w:rsid w:val="002B7986"/>
    <w:rsid w:val="002C1364"/>
    <w:rsid w:val="002C1C6E"/>
    <w:rsid w:val="002C1F73"/>
    <w:rsid w:val="002C3736"/>
    <w:rsid w:val="002C3DF5"/>
    <w:rsid w:val="002C5117"/>
    <w:rsid w:val="002C603D"/>
    <w:rsid w:val="002C6CF6"/>
    <w:rsid w:val="002C7BBF"/>
    <w:rsid w:val="002D0B5A"/>
    <w:rsid w:val="002D0EAF"/>
    <w:rsid w:val="002D1200"/>
    <w:rsid w:val="002D252D"/>
    <w:rsid w:val="002D3C5D"/>
    <w:rsid w:val="002D5A12"/>
    <w:rsid w:val="002D7A0E"/>
    <w:rsid w:val="002D7D9F"/>
    <w:rsid w:val="002E0074"/>
    <w:rsid w:val="002E0A70"/>
    <w:rsid w:val="002E1C66"/>
    <w:rsid w:val="002E20E4"/>
    <w:rsid w:val="002E3024"/>
    <w:rsid w:val="002E74E2"/>
    <w:rsid w:val="002F0DA9"/>
    <w:rsid w:val="002F0ECA"/>
    <w:rsid w:val="002F1F24"/>
    <w:rsid w:val="002F30EE"/>
    <w:rsid w:val="002F56E5"/>
    <w:rsid w:val="002F5E8C"/>
    <w:rsid w:val="002F5FA7"/>
    <w:rsid w:val="00300A67"/>
    <w:rsid w:val="00301842"/>
    <w:rsid w:val="00305672"/>
    <w:rsid w:val="00305F1B"/>
    <w:rsid w:val="0031315E"/>
    <w:rsid w:val="0031535A"/>
    <w:rsid w:val="003164D3"/>
    <w:rsid w:val="00316681"/>
    <w:rsid w:val="003167CB"/>
    <w:rsid w:val="00316A39"/>
    <w:rsid w:val="00316D53"/>
    <w:rsid w:val="003200FA"/>
    <w:rsid w:val="003204C0"/>
    <w:rsid w:val="00321494"/>
    <w:rsid w:val="00324237"/>
    <w:rsid w:val="00325777"/>
    <w:rsid w:val="003259A5"/>
    <w:rsid w:val="00326FB1"/>
    <w:rsid w:val="003308C2"/>
    <w:rsid w:val="0033192A"/>
    <w:rsid w:val="00331D68"/>
    <w:rsid w:val="00334E07"/>
    <w:rsid w:val="003356C7"/>
    <w:rsid w:val="00336606"/>
    <w:rsid w:val="00336FF0"/>
    <w:rsid w:val="003379AD"/>
    <w:rsid w:val="00340896"/>
    <w:rsid w:val="00341769"/>
    <w:rsid w:val="00342246"/>
    <w:rsid w:val="00342EE8"/>
    <w:rsid w:val="00343542"/>
    <w:rsid w:val="00346E3D"/>
    <w:rsid w:val="00347A53"/>
    <w:rsid w:val="0035045F"/>
    <w:rsid w:val="0035053D"/>
    <w:rsid w:val="00350C6F"/>
    <w:rsid w:val="00350F78"/>
    <w:rsid w:val="003522C4"/>
    <w:rsid w:val="0035273D"/>
    <w:rsid w:val="00354144"/>
    <w:rsid w:val="00354463"/>
    <w:rsid w:val="00354FE0"/>
    <w:rsid w:val="00355689"/>
    <w:rsid w:val="003557F2"/>
    <w:rsid w:val="003573CE"/>
    <w:rsid w:val="00357A61"/>
    <w:rsid w:val="00361B20"/>
    <w:rsid w:val="00361D8E"/>
    <w:rsid w:val="00362332"/>
    <w:rsid w:val="00362CEB"/>
    <w:rsid w:val="00362FDA"/>
    <w:rsid w:val="00364EA9"/>
    <w:rsid w:val="0036632C"/>
    <w:rsid w:val="0036766A"/>
    <w:rsid w:val="003700A6"/>
    <w:rsid w:val="00370F54"/>
    <w:rsid w:val="00372360"/>
    <w:rsid w:val="003735AD"/>
    <w:rsid w:val="00375DB9"/>
    <w:rsid w:val="00376E74"/>
    <w:rsid w:val="00380EA0"/>
    <w:rsid w:val="003827EB"/>
    <w:rsid w:val="00382A06"/>
    <w:rsid w:val="00383D0D"/>
    <w:rsid w:val="00384857"/>
    <w:rsid w:val="00384952"/>
    <w:rsid w:val="00385CCE"/>
    <w:rsid w:val="0039078A"/>
    <w:rsid w:val="00391745"/>
    <w:rsid w:val="0039506F"/>
    <w:rsid w:val="003A0295"/>
    <w:rsid w:val="003A0550"/>
    <w:rsid w:val="003A1BB6"/>
    <w:rsid w:val="003A31DE"/>
    <w:rsid w:val="003A5E7A"/>
    <w:rsid w:val="003A6043"/>
    <w:rsid w:val="003B0E4F"/>
    <w:rsid w:val="003B25E6"/>
    <w:rsid w:val="003B2608"/>
    <w:rsid w:val="003B3E66"/>
    <w:rsid w:val="003B4187"/>
    <w:rsid w:val="003B64F2"/>
    <w:rsid w:val="003B658B"/>
    <w:rsid w:val="003B6680"/>
    <w:rsid w:val="003B6BD6"/>
    <w:rsid w:val="003C2003"/>
    <w:rsid w:val="003C4A0C"/>
    <w:rsid w:val="003C5F5D"/>
    <w:rsid w:val="003C6CF7"/>
    <w:rsid w:val="003C7485"/>
    <w:rsid w:val="003C79EB"/>
    <w:rsid w:val="003D0575"/>
    <w:rsid w:val="003D1457"/>
    <w:rsid w:val="003D3E64"/>
    <w:rsid w:val="003D74BD"/>
    <w:rsid w:val="003D7C47"/>
    <w:rsid w:val="003E1B7B"/>
    <w:rsid w:val="003E2FAE"/>
    <w:rsid w:val="003E359E"/>
    <w:rsid w:val="003E52A8"/>
    <w:rsid w:val="003E569D"/>
    <w:rsid w:val="003E733E"/>
    <w:rsid w:val="003F0567"/>
    <w:rsid w:val="003F20FF"/>
    <w:rsid w:val="003F2899"/>
    <w:rsid w:val="003F2FD4"/>
    <w:rsid w:val="003F37DE"/>
    <w:rsid w:val="003F4714"/>
    <w:rsid w:val="003F5807"/>
    <w:rsid w:val="003F5A7C"/>
    <w:rsid w:val="003F6899"/>
    <w:rsid w:val="003F6E73"/>
    <w:rsid w:val="003F7012"/>
    <w:rsid w:val="003F78DA"/>
    <w:rsid w:val="004022EE"/>
    <w:rsid w:val="00402FD3"/>
    <w:rsid w:val="00403B3F"/>
    <w:rsid w:val="00403CFF"/>
    <w:rsid w:val="00404775"/>
    <w:rsid w:val="0040546E"/>
    <w:rsid w:val="00405B81"/>
    <w:rsid w:val="00406A56"/>
    <w:rsid w:val="0041348B"/>
    <w:rsid w:val="00415CB6"/>
    <w:rsid w:val="00416E50"/>
    <w:rsid w:val="00417DB2"/>
    <w:rsid w:val="00420C5B"/>
    <w:rsid w:val="00421521"/>
    <w:rsid w:val="00421FF6"/>
    <w:rsid w:val="004228FD"/>
    <w:rsid w:val="00426E34"/>
    <w:rsid w:val="00431527"/>
    <w:rsid w:val="004324A0"/>
    <w:rsid w:val="00432D05"/>
    <w:rsid w:val="00434ED2"/>
    <w:rsid w:val="00435276"/>
    <w:rsid w:val="004371CE"/>
    <w:rsid w:val="004412F3"/>
    <w:rsid w:val="00445AA1"/>
    <w:rsid w:val="00445DBB"/>
    <w:rsid w:val="00447072"/>
    <w:rsid w:val="00451C1E"/>
    <w:rsid w:val="00453942"/>
    <w:rsid w:val="004548FE"/>
    <w:rsid w:val="00454A2D"/>
    <w:rsid w:val="004606AC"/>
    <w:rsid w:val="004621B9"/>
    <w:rsid w:val="00463497"/>
    <w:rsid w:val="0046423D"/>
    <w:rsid w:val="004656BD"/>
    <w:rsid w:val="00470D79"/>
    <w:rsid w:val="0047422A"/>
    <w:rsid w:val="00474271"/>
    <w:rsid w:val="00474F55"/>
    <w:rsid w:val="004760C4"/>
    <w:rsid w:val="004816FC"/>
    <w:rsid w:val="00482C28"/>
    <w:rsid w:val="00484095"/>
    <w:rsid w:val="0048461E"/>
    <w:rsid w:val="00485CD9"/>
    <w:rsid w:val="00485D81"/>
    <w:rsid w:val="00485EE7"/>
    <w:rsid w:val="0049043B"/>
    <w:rsid w:val="00490F90"/>
    <w:rsid w:val="00491500"/>
    <w:rsid w:val="00491FAF"/>
    <w:rsid w:val="0049239A"/>
    <w:rsid w:val="0049265A"/>
    <w:rsid w:val="00496D1B"/>
    <w:rsid w:val="0049708E"/>
    <w:rsid w:val="004A2BF2"/>
    <w:rsid w:val="004A3053"/>
    <w:rsid w:val="004A305A"/>
    <w:rsid w:val="004A35A6"/>
    <w:rsid w:val="004A4046"/>
    <w:rsid w:val="004A4F10"/>
    <w:rsid w:val="004A6E9F"/>
    <w:rsid w:val="004A7807"/>
    <w:rsid w:val="004B0074"/>
    <w:rsid w:val="004B0781"/>
    <w:rsid w:val="004B1825"/>
    <w:rsid w:val="004B18B2"/>
    <w:rsid w:val="004B1F24"/>
    <w:rsid w:val="004B2046"/>
    <w:rsid w:val="004B310F"/>
    <w:rsid w:val="004B5DDF"/>
    <w:rsid w:val="004B69A9"/>
    <w:rsid w:val="004C10E6"/>
    <w:rsid w:val="004C277B"/>
    <w:rsid w:val="004C2947"/>
    <w:rsid w:val="004C29B8"/>
    <w:rsid w:val="004C314D"/>
    <w:rsid w:val="004C48F0"/>
    <w:rsid w:val="004C6774"/>
    <w:rsid w:val="004C6A68"/>
    <w:rsid w:val="004C6C30"/>
    <w:rsid w:val="004C732C"/>
    <w:rsid w:val="004C7AC7"/>
    <w:rsid w:val="004D17B2"/>
    <w:rsid w:val="004D1A95"/>
    <w:rsid w:val="004D304C"/>
    <w:rsid w:val="004D544C"/>
    <w:rsid w:val="004D5BAD"/>
    <w:rsid w:val="004D6645"/>
    <w:rsid w:val="004E0844"/>
    <w:rsid w:val="004E0D60"/>
    <w:rsid w:val="004E2426"/>
    <w:rsid w:val="004E27EE"/>
    <w:rsid w:val="004E305C"/>
    <w:rsid w:val="004E5FDE"/>
    <w:rsid w:val="004F010B"/>
    <w:rsid w:val="004F0C9D"/>
    <w:rsid w:val="004F1CCB"/>
    <w:rsid w:val="004F37F7"/>
    <w:rsid w:val="004F4B0C"/>
    <w:rsid w:val="004F53A1"/>
    <w:rsid w:val="004F59A4"/>
    <w:rsid w:val="004F631E"/>
    <w:rsid w:val="004F632C"/>
    <w:rsid w:val="00500BAC"/>
    <w:rsid w:val="00501A5F"/>
    <w:rsid w:val="00503443"/>
    <w:rsid w:val="00503A2C"/>
    <w:rsid w:val="00503A5B"/>
    <w:rsid w:val="00503E79"/>
    <w:rsid w:val="00503E9F"/>
    <w:rsid w:val="00503F0B"/>
    <w:rsid w:val="00504305"/>
    <w:rsid w:val="00504E3F"/>
    <w:rsid w:val="00505017"/>
    <w:rsid w:val="0050577B"/>
    <w:rsid w:val="005058A9"/>
    <w:rsid w:val="00506232"/>
    <w:rsid w:val="00507A4F"/>
    <w:rsid w:val="00511EDA"/>
    <w:rsid w:val="00512BC6"/>
    <w:rsid w:val="00512FC1"/>
    <w:rsid w:val="005175EC"/>
    <w:rsid w:val="00517A6E"/>
    <w:rsid w:val="005219E2"/>
    <w:rsid w:val="00522418"/>
    <w:rsid w:val="00522741"/>
    <w:rsid w:val="005238FE"/>
    <w:rsid w:val="00523924"/>
    <w:rsid w:val="005240DF"/>
    <w:rsid w:val="00524E08"/>
    <w:rsid w:val="00526B5F"/>
    <w:rsid w:val="00527640"/>
    <w:rsid w:val="005313E9"/>
    <w:rsid w:val="00531F0D"/>
    <w:rsid w:val="005346B2"/>
    <w:rsid w:val="0053579B"/>
    <w:rsid w:val="005361EA"/>
    <w:rsid w:val="00536B11"/>
    <w:rsid w:val="00537071"/>
    <w:rsid w:val="00537F0B"/>
    <w:rsid w:val="00541C2F"/>
    <w:rsid w:val="00542502"/>
    <w:rsid w:val="00543D2F"/>
    <w:rsid w:val="0054498A"/>
    <w:rsid w:val="00544FDE"/>
    <w:rsid w:val="00545A18"/>
    <w:rsid w:val="00547963"/>
    <w:rsid w:val="0055018F"/>
    <w:rsid w:val="00550FA6"/>
    <w:rsid w:val="005518CA"/>
    <w:rsid w:val="005521E6"/>
    <w:rsid w:val="00552F2C"/>
    <w:rsid w:val="00554142"/>
    <w:rsid w:val="00557E8D"/>
    <w:rsid w:val="0056077D"/>
    <w:rsid w:val="00560DEB"/>
    <w:rsid w:val="00561238"/>
    <w:rsid w:val="005614AD"/>
    <w:rsid w:val="00563AD2"/>
    <w:rsid w:val="00566D8C"/>
    <w:rsid w:val="0056707B"/>
    <w:rsid w:val="00567976"/>
    <w:rsid w:val="00570A1C"/>
    <w:rsid w:val="00571551"/>
    <w:rsid w:val="00571D57"/>
    <w:rsid w:val="005731ED"/>
    <w:rsid w:val="00574091"/>
    <w:rsid w:val="0057422E"/>
    <w:rsid w:val="0057517E"/>
    <w:rsid w:val="00576EFC"/>
    <w:rsid w:val="00577806"/>
    <w:rsid w:val="00577809"/>
    <w:rsid w:val="00577D8F"/>
    <w:rsid w:val="00581C0B"/>
    <w:rsid w:val="00585DC7"/>
    <w:rsid w:val="0058693B"/>
    <w:rsid w:val="00590011"/>
    <w:rsid w:val="00590278"/>
    <w:rsid w:val="00591289"/>
    <w:rsid w:val="00592F74"/>
    <w:rsid w:val="00593DB8"/>
    <w:rsid w:val="00593F5D"/>
    <w:rsid w:val="005956E3"/>
    <w:rsid w:val="005977C9"/>
    <w:rsid w:val="005A10DF"/>
    <w:rsid w:val="005A3D1B"/>
    <w:rsid w:val="005A6BBA"/>
    <w:rsid w:val="005A734B"/>
    <w:rsid w:val="005B1047"/>
    <w:rsid w:val="005B2B01"/>
    <w:rsid w:val="005B2C8E"/>
    <w:rsid w:val="005B2D13"/>
    <w:rsid w:val="005B392D"/>
    <w:rsid w:val="005B6678"/>
    <w:rsid w:val="005C0C09"/>
    <w:rsid w:val="005C3737"/>
    <w:rsid w:val="005C3871"/>
    <w:rsid w:val="005C4EC9"/>
    <w:rsid w:val="005C5A78"/>
    <w:rsid w:val="005C614E"/>
    <w:rsid w:val="005C6D0D"/>
    <w:rsid w:val="005D02C2"/>
    <w:rsid w:val="005D06EE"/>
    <w:rsid w:val="005D0A7B"/>
    <w:rsid w:val="005D24E3"/>
    <w:rsid w:val="005D3C6B"/>
    <w:rsid w:val="005D4763"/>
    <w:rsid w:val="005D4C77"/>
    <w:rsid w:val="005D4CC9"/>
    <w:rsid w:val="005D4D90"/>
    <w:rsid w:val="005D52DA"/>
    <w:rsid w:val="005E0031"/>
    <w:rsid w:val="005E0EF7"/>
    <w:rsid w:val="005E0FD1"/>
    <w:rsid w:val="005E4BB4"/>
    <w:rsid w:val="005E6474"/>
    <w:rsid w:val="005E6957"/>
    <w:rsid w:val="005E76C3"/>
    <w:rsid w:val="005E7961"/>
    <w:rsid w:val="005F2D7E"/>
    <w:rsid w:val="005F3244"/>
    <w:rsid w:val="005F427A"/>
    <w:rsid w:val="005F4DD4"/>
    <w:rsid w:val="005F4DED"/>
    <w:rsid w:val="005F78F0"/>
    <w:rsid w:val="006012E3"/>
    <w:rsid w:val="00601398"/>
    <w:rsid w:val="00607AF8"/>
    <w:rsid w:val="00610EB1"/>
    <w:rsid w:val="00612110"/>
    <w:rsid w:val="00612601"/>
    <w:rsid w:val="0061577F"/>
    <w:rsid w:val="00615C3E"/>
    <w:rsid w:val="006168FA"/>
    <w:rsid w:val="00616EF2"/>
    <w:rsid w:val="00617431"/>
    <w:rsid w:val="00617D5C"/>
    <w:rsid w:val="006200AA"/>
    <w:rsid w:val="00620C4B"/>
    <w:rsid w:val="006231A5"/>
    <w:rsid w:val="00623961"/>
    <w:rsid w:val="00623F3F"/>
    <w:rsid w:val="00625D27"/>
    <w:rsid w:val="0062749F"/>
    <w:rsid w:val="00627550"/>
    <w:rsid w:val="00627F25"/>
    <w:rsid w:val="00631963"/>
    <w:rsid w:val="00632DF7"/>
    <w:rsid w:val="00634941"/>
    <w:rsid w:val="00634ACC"/>
    <w:rsid w:val="00634F90"/>
    <w:rsid w:val="006367A7"/>
    <w:rsid w:val="006374F3"/>
    <w:rsid w:val="00637EA7"/>
    <w:rsid w:val="00640EA1"/>
    <w:rsid w:val="006411D1"/>
    <w:rsid w:val="00644CE0"/>
    <w:rsid w:val="00647971"/>
    <w:rsid w:val="00650B4E"/>
    <w:rsid w:val="00650E7C"/>
    <w:rsid w:val="00651899"/>
    <w:rsid w:val="0065328A"/>
    <w:rsid w:val="00653D89"/>
    <w:rsid w:val="006546C8"/>
    <w:rsid w:val="00655A1F"/>
    <w:rsid w:val="006577CA"/>
    <w:rsid w:val="00660235"/>
    <w:rsid w:val="0066027C"/>
    <w:rsid w:val="00661785"/>
    <w:rsid w:val="006624DF"/>
    <w:rsid w:val="00664953"/>
    <w:rsid w:val="00664D9A"/>
    <w:rsid w:val="006651DD"/>
    <w:rsid w:val="006657CC"/>
    <w:rsid w:val="00665D48"/>
    <w:rsid w:val="00665DE4"/>
    <w:rsid w:val="006661B0"/>
    <w:rsid w:val="006669F1"/>
    <w:rsid w:val="006675FE"/>
    <w:rsid w:val="00671348"/>
    <w:rsid w:val="00671475"/>
    <w:rsid w:val="00676931"/>
    <w:rsid w:val="00676953"/>
    <w:rsid w:val="00677351"/>
    <w:rsid w:val="006810FC"/>
    <w:rsid w:val="00681B2F"/>
    <w:rsid w:val="00681D9A"/>
    <w:rsid w:val="00682E72"/>
    <w:rsid w:val="00683DA9"/>
    <w:rsid w:val="006851E9"/>
    <w:rsid w:val="0069364D"/>
    <w:rsid w:val="00694C5E"/>
    <w:rsid w:val="0069616B"/>
    <w:rsid w:val="0069642F"/>
    <w:rsid w:val="00696858"/>
    <w:rsid w:val="0069796A"/>
    <w:rsid w:val="006A1591"/>
    <w:rsid w:val="006A479C"/>
    <w:rsid w:val="006A559C"/>
    <w:rsid w:val="006B1735"/>
    <w:rsid w:val="006B2E02"/>
    <w:rsid w:val="006B464F"/>
    <w:rsid w:val="006B7378"/>
    <w:rsid w:val="006B799F"/>
    <w:rsid w:val="006B7BE4"/>
    <w:rsid w:val="006C1B01"/>
    <w:rsid w:val="006C270D"/>
    <w:rsid w:val="006C2C40"/>
    <w:rsid w:val="006C5BCA"/>
    <w:rsid w:val="006C5CF8"/>
    <w:rsid w:val="006C711E"/>
    <w:rsid w:val="006D2C33"/>
    <w:rsid w:val="006D4EFF"/>
    <w:rsid w:val="006D655F"/>
    <w:rsid w:val="006D67D8"/>
    <w:rsid w:val="006E0021"/>
    <w:rsid w:val="006E0B98"/>
    <w:rsid w:val="006E0D3D"/>
    <w:rsid w:val="006E17BB"/>
    <w:rsid w:val="006E188E"/>
    <w:rsid w:val="006E2135"/>
    <w:rsid w:val="006E4535"/>
    <w:rsid w:val="006E501B"/>
    <w:rsid w:val="006E7B2F"/>
    <w:rsid w:val="006F674F"/>
    <w:rsid w:val="00702F85"/>
    <w:rsid w:val="00705BBE"/>
    <w:rsid w:val="00706784"/>
    <w:rsid w:val="00706D0E"/>
    <w:rsid w:val="00710599"/>
    <w:rsid w:val="007120BD"/>
    <w:rsid w:val="00712779"/>
    <w:rsid w:val="00714949"/>
    <w:rsid w:val="00715C0E"/>
    <w:rsid w:val="007171F7"/>
    <w:rsid w:val="007174E5"/>
    <w:rsid w:val="007204CE"/>
    <w:rsid w:val="00720BC0"/>
    <w:rsid w:val="0072155E"/>
    <w:rsid w:val="00721E44"/>
    <w:rsid w:val="00721E97"/>
    <w:rsid w:val="00722676"/>
    <w:rsid w:val="00723035"/>
    <w:rsid w:val="00723B56"/>
    <w:rsid w:val="007244D5"/>
    <w:rsid w:val="0072621C"/>
    <w:rsid w:val="00727181"/>
    <w:rsid w:val="00727514"/>
    <w:rsid w:val="00730267"/>
    <w:rsid w:val="00731B0E"/>
    <w:rsid w:val="00731D05"/>
    <w:rsid w:val="00732162"/>
    <w:rsid w:val="007321CA"/>
    <w:rsid w:val="007326EA"/>
    <w:rsid w:val="007336A7"/>
    <w:rsid w:val="00733D48"/>
    <w:rsid w:val="00733F11"/>
    <w:rsid w:val="007347D1"/>
    <w:rsid w:val="007348E1"/>
    <w:rsid w:val="00736BA8"/>
    <w:rsid w:val="00736DDE"/>
    <w:rsid w:val="0073740A"/>
    <w:rsid w:val="00737CE4"/>
    <w:rsid w:val="00740128"/>
    <w:rsid w:val="0074237E"/>
    <w:rsid w:val="00743884"/>
    <w:rsid w:val="0074392F"/>
    <w:rsid w:val="0074537A"/>
    <w:rsid w:val="0074708B"/>
    <w:rsid w:val="00747DDF"/>
    <w:rsid w:val="00751254"/>
    <w:rsid w:val="0075133F"/>
    <w:rsid w:val="0075192E"/>
    <w:rsid w:val="00752979"/>
    <w:rsid w:val="00754C07"/>
    <w:rsid w:val="0075510E"/>
    <w:rsid w:val="007561C0"/>
    <w:rsid w:val="0076202E"/>
    <w:rsid w:val="00763F92"/>
    <w:rsid w:val="0076621F"/>
    <w:rsid w:val="0076715C"/>
    <w:rsid w:val="007672F8"/>
    <w:rsid w:val="0077001B"/>
    <w:rsid w:val="00773325"/>
    <w:rsid w:val="007749FA"/>
    <w:rsid w:val="007760F8"/>
    <w:rsid w:val="0077641A"/>
    <w:rsid w:val="00776E3A"/>
    <w:rsid w:val="007828F5"/>
    <w:rsid w:val="00784346"/>
    <w:rsid w:val="007858C6"/>
    <w:rsid w:val="00786D79"/>
    <w:rsid w:val="00787052"/>
    <w:rsid w:val="00787695"/>
    <w:rsid w:val="00795B38"/>
    <w:rsid w:val="00795C05"/>
    <w:rsid w:val="00796A0E"/>
    <w:rsid w:val="007A1383"/>
    <w:rsid w:val="007A148D"/>
    <w:rsid w:val="007A1C94"/>
    <w:rsid w:val="007A2159"/>
    <w:rsid w:val="007A2180"/>
    <w:rsid w:val="007A2880"/>
    <w:rsid w:val="007A2CAC"/>
    <w:rsid w:val="007A3251"/>
    <w:rsid w:val="007A52FB"/>
    <w:rsid w:val="007A5369"/>
    <w:rsid w:val="007A5E85"/>
    <w:rsid w:val="007A6487"/>
    <w:rsid w:val="007A7685"/>
    <w:rsid w:val="007A7F0B"/>
    <w:rsid w:val="007B140C"/>
    <w:rsid w:val="007B5048"/>
    <w:rsid w:val="007B5099"/>
    <w:rsid w:val="007B6F07"/>
    <w:rsid w:val="007C1E0B"/>
    <w:rsid w:val="007C23CB"/>
    <w:rsid w:val="007C49DC"/>
    <w:rsid w:val="007C54EC"/>
    <w:rsid w:val="007C6440"/>
    <w:rsid w:val="007C693E"/>
    <w:rsid w:val="007C74CF"/>
    <w:rsid w:val="007D0BE2"/>
    <w:rsid w:val="007D10A7"/>
    <w:rsid w:val="007D1FE9"/>
    <w:rsid w:val="007D3E15"/>
    <w:rsid w:val="007D5A8F"/>
    <w:rsid w:val="007D6568"/>
    <w:rsid w:val="007D692E"/>
    <w:rsid w:val="007D79F0"/>
    <w:rsid w:val="007E1366"/>
    <w:rsid w:val="007E17A1"/>
    <w:rsid w:val="007E2770"/>
    <w:rsid w:val="007E3FC4"/>
    <w:rsid w:val="007E415C"/>
    <w:rsid w:val="007E4276"/>
    <w:rsid w:val="007E4408"/>
    <w:rsid w:val="007E4A5E"/>
    <w:rsid w:val="007E6190"/>
    <w:rsid w:val="007E6282"/>
    <w:rsid w:val="007E7A07"/>
    <w:rsid w:val="007F03C9"/>
    <w:rsid w:val="007F17DF"/>
    <w:rsid w:val="007F1C65"/>
    <w:rsid w:val="007F2205"/>
    <w:rsid w:val="007F2EAD"/>
    <w:rsid w:val="007F2F73"/>
    <w:rsid w:val="007F33FA"/>
    <w:rsid w:val="007F3822"/>
    <w:rsid w:val="007F4497"/>
    <w:rsid w:val="007F5164"/>
    <w:rsid w:val="007F539F"/>
    <w:rsid w:val="007F59E2"/>
    <w:rsid w:val="007F7E68"/>
    <w:rsid w:val="008023B6"/>
    <w:rsid w:val="0080454B"/>
    <w:rsid w:val="00804EBA"/>
    <w:rsid w:val="00805C45"/>
    <w:rsid w:val="008062E3"/>
    <w:rsid w:val="00806BD6"/>
    <w:rsid w:val="008072E8"/>
    <w:rsid w:val="00812479"/>
    <w:rsid w:val="008166EC"/>
    <w:rsid w:val="00816C4C"/>
    <w:rsid w:val="00817696"/>
    <w:rsid w:val="00820EA7"/>
    <w:rsid w:val="008224F3"/>
    <w:rsid w:val="0082414A"/>
    <w:rsid w:val="00827954"/>
    <w:rsid w:val="00827F4B"/>
    <w:rsid w:val="00830782"/>
    <w:rsid w:val="00830807"/>
    <w:rsid w:val="0083319E"/>
    <w:rsid w:val="0083356D"/>
    <w:rsid w:val="00833DA2"/>
    <w:rsid w:val="008350F6"/>
    <w:rsid w:val="00835E9D"/>
    <w:rsid w:val="0084203D"/>
    <w:rsid w:val="00842CCA"/>
    <w:rsid w:val="00844CB4"/>
    <w:rsid w:val="0085018A"/>
    <w:rsid w:val="0085312D"/>
    <w:rsid w:val="00853A2C"/>
    <w:rsid w:val="00854A55"/>
    <w:rsid w:val="00857EA0"/>
    <w:rsid w:val="00860A69"/>
    <w:rsid w:val="00860EDA"/>
    <w:rsid w:val="008613E8"/>
    <w:rsid w:val="00862B4E"/>
    <w:rsid w:val="00863615"/>
    <w:rsid w:val="00864301"/>
    <w:rsid w:val="00865A67"/>
    <w:rsid w:val="00866933"/>
    <w:rsid w:val="0087156E"/>
    <w:rsid w:val="00872760"/>
    <w:rsid w:val="00873388"/>
    <w:rsid w:val="00873D12"/>
    <w:rsid w:val="008742E7"/>
    <w:rsid w:val="008748E4"/>
    <w:rsid w:val="00876378"/>
    <w:rsid w:val="00876CA8"/>
    <w:rsid w:val="00877472"/>
    <w:rsid w:val="008805A2"/>
    <w:rsid w:val="00882A60"/>
    <w:rsid w:val="00883178"/>
    <w:rsid w:val="00883B51"/>
    <w:rsid w:val="00885342"/>
    <w:rsid w:val="00887380"/>
    <w:rsid w:val="00890F0C"/>
    <w:rsid w:val="00891EB5"/>
    <w:rsid w:val="0089369E"/>
    <w:rsid w:val="00893D47"/>
    <w:rsid w:val="00894CA9"/>
    <w:rsid w:val="00895B07"/>
    <w:rsid w:val="00897001"/>
    <w:rsid w:val="008978EA"/>
    <w:rsid w:val="008A09EA"/>
    <w:rsid w:val="008A34FC"/>
    <w:rsid w:val="008A474C"/>
    <w:rsid w:val="008A4C08"/>
    <w:rsid w:val="008A70AD"/>
    <w:rsid w:val="008A763A"/>
    <w:rsid w:val="008B1674"/>
    <w:rsid w:val="008B2605"/>
    <w:rsid w:val="008B3D99"/>
    <w:rsid w:val="008B6561"/>
    <w:rsid w:val="008C05D8"/>
    <w:rsid w:val="008C197F"/>
    <w:rsid w:val="008C1AF0"/>
    <w:rsid w:val="008C23E8"/>
    <w:rsid w:val="008C4401"/>
    <w:rsid w:val="008C6860"/>
    <w:rsid w:val="008D071C"/>
    <w:rsid w:val="008D0C54"/>
    <w:rsid w:val="008D111E"/>
    <w:rsid w:val="008D37C5"/>
    <w:rsid w:val="008D5722"/>
    <w:rsid w:val="008D7E9E"/>
    <w:rsid w:val="008E0DC7"/>
    <w:rsid w:val="008E1A27"/>
    <w:rsid w:val="008E1B6B"/>
    <w:rsid w:val="008E412D"/>
    <w:rsid w:val="008F02E4"/>
    <w:rsid w:val="008F0FFD"/>
    <w:rsid w:val="008F2C28"/>
    <w:rsid w:val="008F3C07"/>
    <w:rsid w:val="008F4DBC"/>
    <w:rsid w:val="008F5183"/>
    <w:rsid w:val="008F581B"/>
    <w:rsid w:val="008F6006"/>
    <w:rsid w:val="008F6701"/>
    <w:rsid w:val="009002EA"/>
    <w:rsid w:val="009009FD"/>
    <w:rsid w:val="00904E0B"/>
    <w:rsid w:val="00905B40"/>
    <w:rsid w:val="0091175C"/>
    <w:rsid w:val="00911762"/>
    <w:rsid w:val="00911D3A"/>
    <w:rsid w:val="00913281"/>
    <w:rsid w:val="00913DF3"/>
    <w:rsid w:val="00917071"/>
    <w:rsid w:val="00920906"/>
    <w:rsid w:val="00922248"/>
    <w:rsid w:val="00922AE0"/>
    <w:rsid w:val="00923EB8"/>
    <w:rsid w:val="00930204"/>
    <w:rsid w:val="00930A35"/>
    <w:rsid w:val="00930C89"/>
    <w:rsid w:val="00932105"/>
    <w:rsid w:val="00932673"/>
    <w:rsid w:val="00932BDF"/>
    <w:rsid w:val="00933DF6"/>
    <w:rsid w:val="00934CE0"/>
    <w:rsid w:val="00935307"/>
    <w:rsid w:val="0093596C"/>
    <w:rsid w:val="00936168"/>
    <w:rsid w:val="00936242"/>
    <w:rsid w:val="009366FD"/>
    <w:rsid w:val="009400E9"/>
    <w:rsid w:val="00940962"/>
    <w:rsid w:val="00940D6C"/>
    <w:rsid w:val="0094228D"/>
    <w:rsid w:val="009422DC"/>
    <w:rsid w:val="0094495B"/>
    <w:rsid w:val="00946729"/>
    <w:rsid w:val="009533E2"/>
    <w:rsid w:val="00954982"/>
    <w:rsid w:val="00956DDA"/>
    <w:rsid w:val="00960AA9"/>
    <w:rsid w:val="0096120B"/>
    <w:rsid w:val="00961FC6"/>
    <w:rsid w:val="00962F18"/>
    <w:rsid w:val="009709E9"/>
    <w:rsid w:val="00971250"/>
    <w:rsid w:val="009724FC"/>
    <w:rsid w:val="00973470"/>
    <w:rsid w:val="00973654"/>
    <w:rsid w:val="00974140"/>
    <w:rsid w:val="00976266"/>
    <w:rsid w:val="009764A1"/>
    <w:rsid w:val="00980C2E"/>
    <w:rsid w:val="009815A2"/>
    <w:rsid w:val="00982E95"/>
    <w:rsid w:val="00985318"/>
    <w:rsid w:val="009859CB"/>
    <w:rsid w:val="00986B2F"/>
    <w:rsid w:val="00990B3A"/>
    <w:rsid w:val="00990B62"/>
    <w:rsid w:val="00990BB1"/>
    <w:rsid w:val="00992D6D"/>
    <w:rsid w:val="009937D0"/>
    <w:rsid w:val="00994909"/>
    <w:rsid w:val="009960E1"/>
    <w:rsid w:val="00997641"/>
    <w:rsid w:val="00997E85"/>
    <w:rsid w:val="009A0144"/>
    <w:rsid w:val="009A0372"/>
    <w:rsid w:val="009A0891"/>
    <w:rsid w:val="009A1746"/>
    <w:rsid w:val="009A3A6E"/>
    <w:rsid w:val="009A6835"/>
    <w:rsid w:val="009A70FD"/>
    <w:rsid w:val="009B0013"/>
    <w:rsid w:val="009B2CAA"/>
    <w:rsid w:val="009B3170"/>
    <w:rsid w:val="009B362A"/>
    <w:rsid w:val="009B42BD"/>
    <w:rsid w:val="009B671C"/>
    <w:rsid w:val="009B6F2F"/>
    <w:rsid w:val="009C036D"/>
    <w:rsid w:val="009C2795"/>
    <w:rsid w:val="009C2ADF"/>
    <w:rsid w:val="009C2E21"/>
    <w:rsid w:val="009C2FBF"/>
    <w:rsid w:val="009C3733"/>
    <w:rsid w:val="009C44A3"/>
    <w:rsid w:val="009C487A"/>
    <w:rsid w:val="009C6581"/>
    <w:rsid w:val="009C684B"/>
    <w:rsid w:val="009C6AD6"/>
    <w:rsid w:val="009C6F24"/>
    <w:rsid w:val="009C7523"/>
    <w:rsid w:val="009D289A"/>
    <w:rsid w:val="009D3490"/>
    <w:rsid w:val="009D4128"/>
    <w:rsid w:val="009D607C"/>
    <w:rsid w:val="009D698F"/>
    <w:rsid w:val="009E2740"/>
    <w:rsid w:val="009E57D0"/>
    <w:rsid w:val="009E5B49"/>
    <w:rsid w:val="009F0516"/>
    <w:rsid w:val="009F1490"/>
    <w:rsid w:val="009F1F00"/>
    <w:rsid w:val="009F282A"/>
    <w:rsid w:val="009F34B7"/>
    <w:rsid w:val="009F3E99"/>
    <w:rsid w:val="00A00C04"/>
    <w:rsid w:val="00A02A2A"/>
    <w:rsid w:val="00A02DD0"/>
    <w:rsid w:val="00A02FBD"/>
    <w:rsid w:val="00A037C9"/>
    <w:rsid w:val="00A04A19"/>
    <w:rsid w:val="00A05EA7"/>
    <w:rsid w:val="00A076EC"/>
    <w:rsid w:val="00A10094"/>
    <w:rsid w:val="00A136FF"/>
    <w:rsid w:val="00A14359"/>
    <w:rsid w:val="00A20465"/>
    <w:rsid w:val="00A216D4"/>
    <w:rsid w:val="00A224A5"/>
    <w:rsid w:val="00A23DF6"/>
    <w:rsid w:val="00A24C56"/>
    <w:rsid w:val="00A30812"/>
    <w:rsid w:val="00A30F70"/>
    <w:rsid w:val="00A326B3"/>
    <w:rsid w:val="00A35BA4"/>
    <w:rsid w:val="00A36190"/>
    <w:rsid w:val="00A40B62"/>
    <w:rsid w:val="00A410CA"/>
    <w:rsid w:val="00A417E7"/>
    <w:rsid w:val="00A4262E"/>
    <w:rsid w:val="00A46774"/>
    <w:rsid w:val="00A56333"/>
    <w:rsid w:val="00A57772"/>
    <w:rsid w:val="00A57A26"/>
    <w:rsid w:val="00A6060B"/>
    <w:rsid w:val="00A60D5F"/>
    <w:rsid w:val="00A6118A"/>
    <w:rsid w:val="00A6157D"/>
    <w:rsid w:val="00A6277D"/>
    <w:rsid w:val="00A62C3E"/>
    <w:rsid w:val="00A638B5"/>
    <w:rsid w:val="00A6465B"/>
    <w:rsid w:val="00A65872"/>
    <w:rsid w:val="00A65D2B"/>
    <w:rsid w:val="00A676CB"/>
    <w:rsid w:val="00A67FD6"/>
    <w:rsid w:val="00A72D83"/>
    <w:rsid w:val="00A74514"/>
    <w:rsid w:val="00A74B42"/>
    <w:rsid w:val="00A75E2D"/>
    <w:rsid w:val="00A80F6D"/>
    <w:rsid w:val="00A83B32"/>
    <w:rsid w:val="00A8588D"/>
    <w:rsid w:val="00A86960"/>
    <w:rsid w:val="00A9001F"/>
    <w:rsid w:val="00A91C7A"/>
    <w:rsid w:val="00A92D6F"/>
    <w:rsid w:val="00A94600"/>
    <w:rsid w:val="00A95DDE"/>
    <w:rsid w:val="00A97425"/>
    <w:rsid w:val="00A979A6"/>
    <w:rsid w:val="00AA0DBE"/>
    <w:rsid w:val="00AA0E41"/>
    <w:rsid w:val="00AA0EB1"/>
    <w:rsid w:val="00AA13E1"/>
    <w:rsid w:val="00AA4081"/>
    <w:rsid w:val="00AA51E9"/>
    <w:rsid w:val="00AA59EB"/>
    <w:rsid w:val="00AA6290"/>
    <w:rsid w:val="00AB2D54"/>
    <w:rsid w:val="00AC0FCA"/>
    <w:rsid w:val="00AC1E24"/>
    <w:rsid w:val="00AC23BF"/>
    <w:rsid w:val="00AC272E"/>
    <w:rsid w:val="00AC2908"/>
    <w:rsid w:val="00AC2E53"/>
    <w:rsid w:val="00AC4D05"/>
    <w:rsid w:val="00AC6A5B"/>
    <w:rsid w:val="00AD019F"/>
    <w:rsid w:val="00AD0A7F"/>
    <w:rsid w:val="00AD0CC0"/>
    <w:rsid w:val="00AD1A7D"/>
    <w:rsid w:val="00AD36FD"/>
    <w:rsid w:val="00AD3DC6"/>
    <w:rsid w:val="00AD3FC6"/>
    <w:rsid w:val="00AD6362"/>
    <w:rsid w:val="00AD66D7"/>
    <w:rsid w:val="00AD6A5F"/>
    <w:rsid w:val="00AE0A6F"/>
    <w:rsid w:val="00AE2C30"/>
    <w:rsid w:val="00AE5B7F"/>
    <w:rsid w:val="00AE5F6F"/>
    <w:rsid w:val="00AE7FBE"/>
    <w:rsid w:val="00AF0154"/>
    <w:rsid w:val="00AF0681"/>
    <w:rsid w:val="00AF581B"/>
    <w:rsid w:val="00AF629B"/>
    <w:rsid w:val="00AF69EE"/>
    <w:rsid w:val="00B00EB0"/>
    <w:rsid w:val="00B01730"/>
    <w:rsid w:val="00B078F8"/>
    <w:rsid w:val="00B103D1"/>
    <w:rsid w:val="00B112B2"/>
    <w:rsid w:val="00B11854"/>
    <w:rsid w:val="00B14720"/>
    <w:rsid w:val="00B14E76"/>
    <w:rsid w:val="00B15CBE"/>
    <w:rsid w:val="00B16ED1"/>
    <w:rsid w:val="00B207F6"/>
    <w:rsid w:val="00B212B5"/>
    <w:rsid w:val="00B21869"/>
    <w:rsid w:val="00B21FB7"/>
    <w:rsid w:val="00B24FEA"/>
    <w:rsid w:val="00B2555C"/>
    <w:rsid w:val="00B2728A"/>
    <w:rsid w:val="00B310D2"/>
    <w:rsid w:val="00B31407"/>
    <w:rsid w:val="00B3228D"/>
    <w:rsid w:val="00B35A45"/>
    <w:rsid w:val="00B3641C"/>
    <w:rsid w:val="00B40908"/>
    <w:rsid w:val="00B40F9C"/>
    <w:rsid w:val="00B41B5F"/>
    <w:rsid w:val="00B422CC"/>
    <w:rsid w:val="00B4409C"/>
    <w:rsid w:val="00B442D1"/>
    <w:rsid w:val="00B44DED"/>
    <w:rsid w:val="00B45255"/>
    <w:rsid w:val="00B46177"/>
    <w:rsid w:val="00B46A83"/>
    <w:rsid w:val="00B476A1"/>
    <w:rsid w:val="00B514FB"/>
    <w:rsid w:val="00B53624"/>
    <w:rsid w:val="00B53F00"/>
    <w:rsid w:val="00B5466D"/>
    <w:rsid w:val="00B5635A"/>
    <w:rsid w:val="00B5712F"/>
    <w:rsid w:val="00B6013C"/>
    <w:rsid w:val="00B61279"/>
    <w:rsid w:val="00B6222B"/>
    <w:rsid w:val="00B631D2"/>
    <w:rsid w:val="00B64E25"/>
    <w:rsid w:val="00B6519A"/>
    <w:rsid w:val="00B6577E"/>
    <w:rsid w:val="00B66B84"/>
    <w:rsid w:val="00B70890"/>
    <w:rsid w:val="00B72088"/>
    <w:rsid w:val="00B77833"/>
    <w:rsid w:val="00B802A0"/>
    <w:rsid w:val="00B81A93"/>
    <w:rsid w:val="00B83723"/>
    <w:rsid w:val="00B8456E"/>
    <w:rsid w:val="00B849C9"/>
    <w:rsid w:val="00B86F0A"/>
    <w:rsid w:val="00B8746D"/>
    <w:rsid w:val="00B90D2E"/>
    <w:rsid w:val="00B91CCD"/>
    <w:rsid w:val="00B91DE5"/>
    <w:rsid w:val="00B92D7C"/>
    <w:rsid w:val="00B95486"/>
    <w:rsid w:val="00B9693B"/>
    <w:rsid w:val="00B97EEC"/>
    <w:rsid w:val="00BA2E7C"/>
    <w:rsid w:val="00BA61F7"/>
    <w:rsid w:val="00BA6C47"/>
    <w:rsid w:val="00BA7E4F"/>
    <w:rsid w:val="00BB20FE"/>
    <w:rsid w:val="00BB2E8A"/>
    <w:rsid w:val="00BB329F"/>
    <w:rsid w:val="00BB39A3"/>
    <w:rsid w:val="00BB468B"/>
    <w:rsid w:val="00BB52D1"/>
    <w:rsid w:val="00BB5D05"/>
    <w:rsid w:val="00BB5EFA"/>
    <w:rsid w:val="00BB611D"/>
    <w:rsid w:val="00BB6680"/>
    <w:rsid w:val="00BC11C1"/>
    <w:rsid w:val="00BC2048"/>
    <w:rsid w:val="00BC246D"/>
    <w:rsid w:val="00BC26D4"/>
    <w:rsid w:val="00BC6CE5"/>
    <w:rsid w:val="00BC7D10"/>
    <w:rsid w:val="00BD07CF"/>
    <w:rsid w:val="00BD1597"/>
    <w:rsid w:val="00BD2894"/>
    <w:rsid w:val="00BD4492"/>
    <w:rsid w:val="00BE0C4C"/>
    <w:rsid w:val="00BE24DD"/>
    <w:rsid w:val="00BE2A0B"/>
    <w:rsid w:val="00BF05D9"/>
    <w:rsid w:val="00BF1F89"/>
    <w:rsid w:val="00BF273B"/>
    <w:rsid w:val="00BF38B6"/>
    <w:rsid w:val="00BF454A"/>
    <w:rsid w:val="00BF5018"/>
    <w:rsid w:val="00BF73B1"/>
    <w:rsid w:val="00C00AE3"/>
    <w:rsid w:val="00C01D6C"/>
    <w:rsid w:val="00C021AF"/>
    <w:rsid w:val="00C0387C"/>
    <w:rsid w:val="00C0545E"/>
    <w:rsid w:val="00C05E33"/>
    <w:rsid w:val="00C07BBF"/>
    <w:rsid w:val="00C100E4"/>
    <w:rsid w:val="00C10635"/>
    <w:rsid w:val="00C10A43"/>
    <w:rsid w:val="00C10EA5"/>
    <w:rsid w:val="00C13F21"/>
    <w:rsid w:val="00C1510C"/>
    <w:rsid w:val="00C15966"/>
    <w:rsid w:val="00C16A71"/>
    <w:rsid w:val="00C20333"/>
    <w:rsid w:val="00C206D0"/>
    <w:rsid w:val="00C20FD7"/>
    <w:rsid w:val="00C218FF"/>
    <w:rsid w:val="00C2438B"/>
    <w:rsid w:val="00C25533"/>
    <w:rsid w:val="00C2743F"/>
    <w:rsid w:val="00C27966"/>
    <w:rsid w:val="00C30C04"/>
    <w:rsid w:val="00C34F09"/>
    <w:rsid w:val="00C3517F"/>
    <w:rsid w:val="00C35F27"/>
    <w:rsid w:val="00C3655F"/>
    <w:rsid w:val="00C37533"/>
    <w:rsid w:val="00C42B7E"/>
    <w:rsid w:val="00C47002"/>
    <w:rsid w:val="00C47FAA"/>
    <w:rsid w:val="00C5289D"/>
    <w:rsid w:val="00C52982"/>
    <w:rsid w:val="00C52CFD"/>
    <w:rsid w:val="00C530E7"/>
    <w:rsid w:val="00C53629"/>
    <w:rsid w:val="00C53EB1"/>
    <w:rsid w:val="00C57ABD"/>
    <w:rsid w:val="00C57C68"/>
    <w:rsid w:val="00C61E4B"/>
    <w:rsid w:val="00C6274B"/>
    <w:rsid w:val="00C64685"/>
    <w:rsid w:val="00C6623B"/>
    <w:rsid w:val="00C66BD2"/>
    <w:rsid w:val="00C66D82"/>
    <w:rsid w:val="00C70865"/>
    <w:rsid w:val="00C7153B"/>
    <w:rsid w:val="00C75AA2"/>
    <w:rsid w:val="00C8024F"/>
    <w:rsid w:val="00C8071B"/>
    <w:rsid w:val="00C82F9F"/>
    <w:rsid w:val="00C8324A"/>
    <w:rsid w:val="00C858A3"/>
    <w:rsid w:val="00C85FCC"/>
    <w:rsid w:val="00C86749"/>
    <w:rsid w:val="00C86F77"/>
    <w:rsid w:val="00C90373"/>
    <w:rsid w:val="00C911DB"/>
    <w:rsid w:val="00C9162C"/>
    <w:rsid w:val="00C935D9"/>
    <w:rsid w:val="00C9531D"/>
    <w:rsid w:val="00C96C9B"/>
    <w:rsid w:val="00CA02A3"/>
    <w:rsid w:val="00CA02A6"/>
    <w:rsid w:val="00CA2A39"/>
    <w:rsid w:val="00CA2ADA"/>
    <w:rsid w:val="00CA31A8"/>
    <w:rsid w:val="00CA33C1"/>
    <w:rsid w:val="00CA3413"/>
    <w:rsid w:val="00CA34CA"/>
    <w:rsid w:val="00CA35F4"/>
    <w:rsid w:val="00CA4ADC"/>
    <w:rsid w:val="00CA66AA"/>
    <w:rsid w:val="00CB05F9"/>
    <w:rsid w:val="00CB503C"/>
    <w:rsid w:val="00CB7C89"/>
    <w:rsid w:val="00CB7D1C"/>
    <w:rsid w:val="00CC00B0"/>
    <w:rsid w:val="00CC2816"/>
    <w:rsid w:val="00CC2955"/>
    <w:rsid w:val="00CC4FCE"/>
    <w:rsid w:val="00CC731D"/>
    <w:rsid w:val="00CD09A2"/>
    <w:rsid w:val="00CD20F2"/>
    <w:rsid w:val="00CD264B"/>
    <w:rsid w:val="00CD5C88"/>
    <w:rsid w:val="00CD631C"/>
    <w:rsid w:val="00CD6351"/>
    <w:rsid w:val="00CD6C0D"/>
    <w:rsid w:val="00CE156F"/>
    <w:rsid w:val="00CE1810"/>
    <w:rsid w:val="00CE2049"/>
    <w:rsid w:val="00CE2694"/>
    <w:rsid w:val="00CE7196"/>
    <w:rsid w:val="00CF07AB"/>
    <w:rsid w:val="00CF0AFB"/>
    <w:rsid w:val="00CF36F1"/>
    <w:rsid w:val="00CF3CA2"/>
    <w:rsid w:val="00CF41CE"/>
    <w:rsid w:val="00CF5595"/>
    <w:rsid w:val="00CF56D7"/>
    <w:rsid w:val="00D0039A"/>
    <w:rsid w:val="00D0039B"/>
    <w:rsid w:val="00D0193E"/>
    <w:rsid w:val="00D01B50"/>
    <w:rsid w:val="00D02777"/>
    <w:rsid w:val="00D03EC4"/>
    <w:rsid w:val="00D04205"/>
    <w:rsid w:val="00D045A1"/>
    <w:rsid w:val="00D04AEA"/>
    <w:rsid w:val="00D06FFF"/>
    <w:rsid w:val="00D07F1F"/>
    <w:rsid w:val="00D10B18"/>
    <w:rsid w:val="00D10CD2"/>
    <w:rsid w:val="00D11B62"/>
    <w:rsid w:val="00D131D8"/>
    <w:rsid w:val="00D1419B"/>
    <w:rsid w:val="00D14696"/>
    <w:rsid w:val="00D170E2"/>
    <w:rsid w:val="00D176A3"/>
    <w:rsid w:val="00D233AE"/>
    <w:rsid w:val="00D23A3D"/>
    <w:rsid w:val="00D23C12"/>
    <w:rsid w:val="00D248B2"/>
    <w:rsid w:val="00D25BDA"/>
    <w:rsid w:val="00D3136B"/>
    <w:rsid w:val="00D3448E"/>
    <w:rsid w:val="00D3485E"/>
    <w:rsid w:val="00D37040"/>
    <w:rsid w:val="00D378C6"/>
    <w:rsid w:val="00D37CE7"/>
    <w:rsid w:val="00D400E0"/>
    <w:rsid w:val="00D41E67"/>
    <w:rsid w:val="00D464EA"/>
    <w:rsid w:val="00D476CB"/>
    <w:rsid w:val="00D51AD7"/>
    <w:rsid w:val="00D53B25"/>
    <w:rsid w:val="00D54CC2"/>
    <w:rsid w:val="00D619C4"/>
    <w:rsid w:val="00D62407"/>
    <w:rsid w:val="00D633FC"/>
    <w:rsid w:val="00D667D9"/>
    <w:rsid w:val="00D7001E"/>
    <w:rsid w:val="00D7470B"/>
    <w:rsid w:val="00D74799"/>
    <w:rsid w:val="00D76EE4"/>
    <w:rsid w:val="00D80673"/>
    <w:rsid w:val="00D80A30"/>
    <w:rsid w:val="00D81936"/>
    <w:rsid w:val="00D82C02"/>
    <w:rsid w:val="00D82D30"/>
    <w:rsid w:val="00D830B4"/>
    <w:rsid w:val="00D834AE"/>
    <w:rsid w:val="00D84171"/>
    <w:rsid w:val="00D85166"/>
    <w:rsid w:val="00D8649F"/>
    <w:rsid w:val="00D90A24"/>
    <w:rsid w:val="00D9130B"/>
    <w:rsid w:val="00D916EC"/>
    <w:rsid w:val="00D94CE2"/>
    <w:rsid w:val="00D94E6C"/>
    <w:rsid w:val="00D969DB"/>
    <w:rsid w:val="00D970FF"/>
    <w:rsid w:val="00D975E9"/>
    <w:rsid w:val="00DA03FA"/>
    <w:rsid w:val="00DA440A"/>
    <w:rsid w:val="00DA4512"/>
    <w:rsid w:val="00DA5309"/>
    <w:rsid w:val="00DA63F8"/>
    <w:rsid w:val="00DB493F"/>
    <w:rsid w:val="00DB4ACF"/>
    <w:rsid w:val="00DB558D"/>
    <w:rsid w:val="00DC0383"/>
    <w:rsid w:val="00DC2C5E"/>
    <w:rsid w:val="00DC31AF"/>
    <w:rsid w:val="00DC35E3"/>
    <w:rsid w:val="00DC586A"/>
    <w:rsid w:val="00DC64EC"/>
    <w:rsid w:val="00DC6D6D"/>
    <w:rsid w:val="00DD0BE1"/>
    <w:rsid w:val="00DD1890"/>
    <w:rsid w:val="00DD278D"/>
    <w:rsid w:val="00DD45FC"/>
    <w:rsid w:val="00DD580B"/>
    <w:rsid w:val="00DD6723"/>
    <w:rsid w:val="00DD7106"/>
    <w:rsid w:val="00DD74DB"/>
    <w:rsid w:val="00DE2587"/>
    <w:rsid w:val="00DE2616"/>
    <w:rsid w:val="00DE27E2"/>
    <w:rsid w:val="00DE3D33"/>
    <w:rsid w:val="00DE7EDB"/>
    <w:rsid w:val="00DF0093"/>
    <w:rsid w:val="00DF0951"/>
    <w:rsid w:val="00DF0B60"/>
    <w:rsid w:val="00DF0E8F"/>
    <w:rsid w:val="00DF17D2"/>
    <w:rsid w:val="00DF29AA"/>
    <w:rsid w:val="00DF2CFC"/>
    <w:rsid w:val="00DF37A9"/>
    <w:rsid w:val="00DF3DEA"/>
    <w:rsid w:val="00DF5468"/>
    <w:rsid w:val="00DF63C0"/>
    <w:rsid w:val="00E004A8"/>
    <w:rsid w:val="00E01120"/>
    <w:rsid w:val="00E06BF0"/>
    <w:rsid w:val="00E07A9C"/>
    <w:rsid w:val="00E07F52"/>
    <w:rsid w:val="00E10129"/>
    <w:rsid w:val="00E158F0"/>
    <w:rsid w:val="00E159EE"/>
    <w:rsid w:val="00E20647"/>
    <w:rsid w:val="00E22E01"/>
    <w:rsid w:val="00E2409F"/>
    <w:rsid w:val="00E26093"/>
    <w:rsid w:val="00E26387"/>
    <w:rsid w:val="00E30BF9"/>
    <w:rsid w:val="00E33222"/>
    <w:rsid w:val="00E3400F"/>
    <w:rsid w:val="00E348A5"/>
    <w:rsid w:val="00E36FC8"/>
    <w:rsid w:val="00E37200"/>
    <w:rsid w:val="00E373D6"/>
    <w:rsid w:val="00E408F2"/>
    <w:rsid w:val="00E418A9"/>
    <w:rsid w:val="00E423CF"/>
    <w:rsid w:val="00E43799"/>
    <w:rsid w:val="00E44D8C"/>
    <w:rsid w:val="00E4575A"/>
    <w:rsid w:val="00E464A8"/>
    <w:rsid w:val="00E464D6"/>
    <w:rsid w:val="00E479D9"/>
    <w:rsid w:val="00E513AB"/>
    <w:rsid w:val="00E53A3E"/>
    <w:rsid w:val="00E53B21"/>
    <w:rsid w:val="00E53D56"/>
    <w:rsid w:val="00E54563"/>
    <w:rsid w:val="00E56294"/>
    <w:rsid w:val="00E57392"/>
    <w:rsid w:val="00E61659"/>
    <w:rsid w:val="00E61839"/>
    <w:rsid w:val="00E623C0"/>
    <w:rsid w:val="00E6303C"/>
    <w:rsid w:val="00E63150"/>
    <w:rsid w:val="00E65B11"/>
    <w:rsid w:val="00E6622F"/>
    <w:rsid w:val="00E72E7A"/>
    <w:rsid w:val="00E73B73"/>
    <w:rsid w:val="00E73CDB"/>
    <w:rsid w:val="00E752E3"/>
    <w:rsid w:val="00E8177E"/>
    <w:rsid w:val="00E81D64"/>
    <w:rsid w:val="00E82F44"/>
    <w:rsid w:val="00E8406E"/>
    <w:rsid w:val="00E86986"/>
    <w:rsid w:val="00E86C9E"/>
    <w:rsid w:val="00E936BB"/>
    <w:rsid w:val="00E97EEF"/>
    <w:rsid w:val="00EA04CE"/>
    <w:rsid w:val="00EA3ADD"/>
    <w:rsid w:val="00EA4FD8"/>
    <w:rsid w:val="00EA59EE"/>
    <w:rsid w:val="00EA7F13"/>
    <w:rsid w:val="00EB209C"/>
    <w:rsid w:val="00EB3E2C"/>
    <w:rsid w:val="00EB4DBA"/>
    <w:rsid w:val="00EB67D7"/>
    <w:rsid w:val="00EB6C3E"/>
    <w:rsid w:val="00EB76BD"/>
    <w:rsid w:val="00EC2DA0"/>
    <w:rsid w:val="00EC2E08"/>
    <w:rsid w:val="00EC3079"/>
    <w:rsid w:val="00EC47BA"/>
    <w:rsid w:val="00EC502D"/>
    <w:rsid w:val="00EC72C2"/>
    <w:rsid w:val="00ED1E28"/>
    <w:rsid w:val="00ED2BF1"/>
    <w:rsid w:val="00ED316C"/>
    <w:rsid w:val="00ED5B67"/>
    <w:rsid w:val="00ED6D34"/>
    <w:rsid w:val="00ED6EF2"/>
    <w:rsid w:val="00EE1E71"/>
    <w:rsid w:val="00EE21ED"/>
    <w:rsid w:val="00EE31C4"/>
    <w:rsid w:val="00EE3649"/>
    <w:rsid w:val="00EE4880"/>
    <w:rsid w:val="00EE54B8"/>
    <w:rsid w:val="00EE7686"/>
    <w:rsid w:val="00EF0342"/>
    <w:rsid w:val="00EF03B1"/>
    <w:rsid w:val="00F01A6A"/>
    <w:rsid w:val="00F0327A"/>
    <w:rsid w:val="00F03FCC"/>
    <w:rsid w:val="00F04355"/>
    <w:rsid w:val="00F04D18"/>
    <w:rsid w:val="00F069C2"/>
    <w:rsid w:val="00F07BD4"/>
    <w:rsid w:val="00F07CA9"/>
    <w:rsid w:val="00F07DBA"/>
    <w:rsid w:val="00F11063"/>
    <w:rsid w:val="00F12D84"/>
    <w:rsid w:val="00F1349D"/>
    <w:rsid w:val="00F13A11"/>
    <w:rsid w:val="00F165B1"/>
    <w:rsid w:val="00F1666B"/>
    <w:rsid w:val="00F17872"/>
    <w:rsid w:val="00F22401"/>
    <w:rsid w:val="00F22589"/>
    <w:rsid w:val="00F22F13"/>
    <w:rsid w:val="00F23165"/>
    <w:rsid w:val="00F23754"/>
    <w:rsid w:val="00F24708"/>
    <w:rsid w:val="00F25DAD"/>
    <w:rsid w:val="00F26F6C"/>
    <w:rsid w:val="00F31547"/>
    <w:rsid w:val="00F318B8"/>
    <w:rsid w:val="00F3231A"/>
    <w:rsid w:val="00F3351A"/>
    <w:rsid w:val="00F33C15"/>
    <w:rsid w:val="00F3436E"/>
    <w:rsid w:val="00F36830"/>
    <w:rsid w:val="00F41767"/>
    <w:rsid w:val="00F419B5"/>
    <w:rsid w:val="00F41EDC"/>
    <w:rsid w:val="00F42006"/>
    <w:rsid w:val="00F42350"/>
    <w:rsid w:val="00F44303"/>
    <w:rsid w:val="00F47459"/>
    <w:rsid w:val="00F50221"/>
    <w:rsid w:val="00F51042"/>
    <w:rsid w:val="00F51ADB"/>
    <w:rsid w:val="00F5575B"/>
    <w:rsid w:val="00F6183A"/>
    <w:rsid w:val="00F6227C"/>
    <w:rsid w:val="00F63844"/>
    <w:rsid w:val="00F64ADE"/>
    <w:rsid w:val="00F70196"/>
    <w:rsid w:val="00F71C42"/>
    <w:rsid w:val="00F72194"/>
    <w:rsid w:val="00F73B61"/>
    <w:rsid w:val="00F75527"/>
    <w:rsid w:val="00F7588F"/>
    <w:rsid w:val="00F778B3"/>
    <w:rsid w:val="00F82487"/>
    <w:rsid w:val="00F827FD"/>
    <w:rsid w:val="00F82EC6"/>
    <w:rsid w:val="00F8326A"/>
    <w:rsid w:val="00F85D25"/>
    <w:rsid w:val="00F86990"/>
    <w:rsid w:val="00F87845"/>
    <w:rsid w:val="00F906FE"/>
    <w:rsid w:val="00F920ED"/>
    <w:rsid w:val="00F930F4"/>
    <w:rsid w:val="00F9421A"/>
    <w:rsid w:val="00F94C01"/>
    <w:rsid w:val="00FA1448"/>
    <w:rsid w:val="00FA3EF4"/>
    <w:rsid w:val="00FA43EF"/>
    <w:rsid w:val="00FA4CA6"/>
    <w:rsid w:val="00FA5101"/>
    <w:rsid w:val="00FA5A07"/>
    <w:rsid w:val="00FA5D24"/>
    <w:rsid w:val="00FA73A0"/>
    <w:rsid w:val="00FB229B"/>
    <w:rsid w:val="00FB2F26"/>
    <w:rsid w:val="00FB5001"/>
    <w:rsid w:val="00FB53A2"/>
    <w:rsid w:val="00FB56D3"/>
    <w:rsid w:val="00FC039F"/>
    <w:rsid w:val="00FC0CFC"/>
    <w:rsid w:val="00FC291E"/>
    <w:rsid w:val="00FC3183"/>
    <w:rsid w:val="00FC41E2"/>
    <w:rsid w:val="00FC562E"/>
    <w:rsid w:val="00FC7CE9"/>
    <w:rsid w:val="00FD020A"/>
    <w:rsid w:val="00FD07A5"/>
    <w:rsid w:val="00FD0D68"/>
    <w:rsid w:val="00FD16AE"/>
    <w:rsid w:val="00FD1DB7"/>
    <w:rsid w:val="00FD2124"/>
    <w:rsid w:val="00FD3A55"/>
    <w:rsid w:val="00FD3A9A"/>
    <w:rsid w:val="00FD6B37"/>
    <w:rsid w:val="00FD6C41"/>
    <w:rsid w:val="00FD6C9D"/>
    <w:rsid w:val="00FD7C61"/>
    <w:rsid w:val="00FE05E1"/>
    <w:rsid w:val="00FE094D"/>
    <w:rsid w:val="00FE1F91"/>
    <w:rsid w:val="00FE233D"/>
    <w:rsid w:val="00FE27BD"/>
    <w:rsid w:val="00FE3BF6"/>
    <w:rsid w:val="00FE58D7"/>
    <w:rsid w:val="00FE6159"/>
    <w:rsid w:val="00FE6CC2"/>
    <w:rsid w:val="00FF00B8"/>
    <w:rsid w:val="00FF1AF2"/>
    <w:rsid w:val="00FF1C16"/>
    <w:rsid w:val="00FF3322"/>
    <w:rsid w:val="00FF36FC"/>
    <w:rsid w:val="00FF4219"/>
    <w:rsid w:val="00FF5F11"/>
    <w:rsid w:val="00FF7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kern w:val="3"/>
        <w:sz w:val="23"/>
        <w:szCs w:val="23"/>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0BD"/>
  </w:style>
  <w:style w:type="paragraph" w:styleId="Heading1">
    <w:name w:val="heading 1"/>
    <w:basedOn w:val="Normal"/>
    <w:next w:val="Normal"/>
    <w:link w:val="Heading1Char"/>
    <w:uiPriority w:val="9"/>
    <w:qFormat/>
    <w:rsid w:val="00681D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CA66AA"/>
    <w:pPr>
      <w:spacing w:after="0" w:line="240" w:lineRule="auto"/>
    </w:pPr>
    <w:rPr>
      <w:rFonts w:asciiTheme="minorHAnsi" w:hAnsiTheme="minorHAnsi" w:cstheme="minorBidi"/>
      <w:kern w:val="0"/>
      <w:sz w:val="20"/>
      <w:szCs w:val="20"/>
    </w:rPr>
  </w:style>
  <w:style w:type="character" w:customStyle="1" w:styleId="EndnoteTextChar">
    <w:name w:val="Endnote Text Char"/>
    <w:basedOn w:val="DefaultParagraphFont"/>
    <w:link w:val="EndnoteText"/>
    <w:uiPriority w:val="99"/>
    <w:rsid w:val="00CA66AA"/>
    <w:rPr>
      <w:rFonts w:asciiTheme="minorHAnsi" w:hAnsiTheme="minorHAnsi" w:cstheme="minorBidi"/>
      <w:kern w:val="0"/>
      <w:sz w:val="20"/>
      <w:szCs w:val="20"/>
    </w:rPr>
  </w:style>
  <w:style w:type="character" w:styleId="EndnoteReference">
    <w:name w:val="endnote reference"/>
    <w:basedOn w:val="DefaultParagraphFont"/>
    <w:uiPriority w:val="99"/>
    <w:semiHidden/>
    <w:unhideWhenUsed/>
    <w:rsid w:val="00CA66AA"/>
    <w:rPr>
      <w:vertAlign w:val="superscript"/>
    </w:rPr>
  </w:style>
  <w:style w:type="paragraph" w:styleId="Header">
    <w:name w:val="header"/>
    <w:basedOn w:val="Normal"/>
    <w:link w:val="HeaderChar"/>
    <w:uiPriority w:val="99"/>
    <w:unhideWhenUsed/>
    <w:rsid w:val="00CA6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6AA"/>
  </w:style>
  <w:style w:type="paragraph" w:styleId="Footer">
    <w:name w:val="footer"/>
    <w:basedOn w:val="Normal"/>
    <w:link w:val="FooterChar"/>
    <w:uiPriority w:val="99"/>
    <w:unhideWhenUsed/>
    <w:rsid w:val="00CA6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6AA"/>
  </w:style>
  <w:style w:type="paragraph" w:styleId="FootnoteText">
    <w:name w:val="footnote text"/>
    <w:basedOn w:val="Normal"/>
    <w:link w:val="FootnoteTextChar"/>
    <w:uiPriority w:val="99"/>
    <w:semiHidden/>
    <w:unhideWhenUsed/>
    <w:rsid w:val="00CA66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66AA"/>
    <w:rPr>
      <w:sz w:val="20"/>
      <w:szCs w:val="20"/>
    </w:rPr>
  </w:style>
  <w:style w:type="character" w:styleId="FootnoteReference">
    <w:name w:val="footnote reference"/>
    <w:basedOn w:val="DefaultParagraphFont"/>
    <w:uiPriority w:val="99"/>
    <w:semiHidden/>
    <w:unhideWhenUsed/>
    <w:rsid w:val="00CA66AA"/>
    <w:rPr>
      <w:vertAlign w:val="superscript"/>
    </w:rPr>
  </w:style>
  <w:style w:type="character" w:customStyle="1" w:styleId="Heading1Char">
    <w:name w:val="Heading 1 Char"/>
    <w:basedOn w:val="DefaultParagraphFont"/>
    <w:link w:val="Heading1"/>
    <w:uiPriority w:val="9"/>
    <w:rsid w:val="00681D9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81D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D9A"/>
    <w:rPr>
      <w:rFonts w:ascii="Segoe UI" w:hAnsi="Segoe UI" w:cs="Segoe UI"/>
      <w:sz w:val="18"/>
      <w:szCs w:val="18"/>
    </w:rPr>
  </w:style>
  <w:style w:type="paragraph" w:styleId="NormalWeb">
    <w:name w:val="Normal (Web)"/>
    <w:basedOn w:val="Normal"/>
    <w:uiPriority w:val="99"/>
    <w:unhideWhenUsed/>
    <w:rsid w:val="00326FB1"/>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ListParagraph">
    <w:name w:val="List Paragraph"/>
    <w:basedOn w:val="Normal"/>
    <w:uiPriority w:val="34"/>
    <w:qFormat/>
    <w:rsid w:val="0046423D"/>
    <w:pPr>
      <w:ind w:left="720"/>
      <w:contextualSpacing/>
    </w:pPr>
  </w:style>
  <w:style w:type="paragraph" w:styleId="Title">
    <w:name w:val="Title"/>
    <w:basedOn w:val="Normal"/>
    <w:next w:val="Normal"/>
    <w:link w:val="TitleChar"/>
    <w:uiPriority w:val="10"/>
    <w:qFormat/>
    <w:rsid w:val="00544FD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44FDE"/>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kern w:val="3"/>
        <w:sz w:val="23"/>
        <w:szCs w:val="23"/>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0BD"/>
  </w:style>
  <w:style w:type="paragraph" w:styleId="Heading1">
    <w:name w:val="heading 1"/>
    <w:basedOn w:val="Normal"/>
    <w:next w:val="Normal"/>
    <w:link w:val="Heading1Char"/>
    <w:uiPriority w:val="9"/>
    <w:qFormat/>
    <w:rsid w:val="00681D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CA66AA"/>
    <w:pPr>
      <w:spacing w:after="0" w:line="240" w:lineRule="auto"/>
    </w:pPr>
    <w:rPr>
      <w:rFonts w:asciiTheme="minorHAnsi" w:hAnsiTheme="minorHAnsi" w:cstheme="minorBidi"/>
      <w:kern w:val="0"/>
      <w:sz w:val="20"/>
      <w:szCs w:val="20"/>
    </w:rPr>
  </w:style>
  <w:style w:type="character" w:customStyle="1" w:styleId="EndnoteTextChar">
    <w:name w:val="Endnote Text Char"/>
    <w:basedOn w:val="DefaultParagraphFont"/>
    <w:link w:val="EndnoteText"/>
    <w:uiPriority w:val="99"/>
    <w:rsid w:val="00CA66AA"/>
    <w:rPr>
      <w:rFonts w:asciiTheme="minorHAnsi" w:hAnsiTheme="minorHAnsi" w:cstheme="minorBidi"/>
      <w:kern w:val="0"/>
      <w:sz w:val="20"/>
      <w:szCs w:val="20"/>
    </w:rPr>
  </w:style>
  <w:style w:type="character" w:styleId="EndnoteReference">
    <w:name w:val="endnote reference"/>
    <w:basedOn w:val="DefaultParagraphFont"/>
    <w:uiPriority w:val="99"/>
    <w:semiHidden/>
    <w:unhideWhenUsed/>
    <w:rsid w:val="00CA66AA"/>
    <w:rPr>
      <w:vertAlign w:val="superscript"/>
    </w:rPr>
  </w:style>
  <w:style w:type="paragraph" w:styleId="Header">
    <w:name w:val="header"/>
    <w:basedOn w:val="Normal"/>
    <w:link w:val="HeaderChar"/>
    <w:uiPriority w:val="99"/>
    <w:unhideWhenUsed/>
    <w:rsid w:val="00CA6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6AA"/>
  </w:style>
  <w:style w:type="paragraph" w:styleId="Footer">
    <w:name w:val="footer"/>
    <w:basedOn w:val="Normal"/>
    <w:link w:val="FooterChar"/>
    <w:uiPriority w:val="99"/>
    <w:unhideWhenUsed/>
    <w:rsid w:val="00CA6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6AA"/>
  </w:style>
  <w:style w:type="paragraph" w:styleId="FootnoteText">
    <w:name w:val="footnote text"/>
    <w:basedOn w:val="Normal"/>
    <w:link w:val="FootnoteTextChar"/>
    <w:uiPriority w:val="99"/>
    <w:semiHidden/>
    <w:unhideWhenUsed/>
    <w:rsid w:val="00CA66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66AA"/>
    <w:rPr>
      <w:sz w:val="20"/>
      <w:szCs w:val="20"/>
    </w:rPr>
  </w:style>
  <w:style w:type="character" w:styleId="FootnoteReference">
    <w:name w:val="footnote reference"/>
    <w:basedOn w:val="DefaultParagraphFont"/>
    <w:uiPriority w:val="99"/>
    <w:semiHidden/>
    <w:unhideWhenUsed/>
    <w:rsid w:val="00CA66AA"/>
    <w:rPr>
      <w:vertAlign w:val="superscript"/>
    </w:rPr>
  </w:style>
  <w:style w:type="character" w:customStyle="1" w:styleId="Heading1Char">
    <w:name w:val="Heading 1 Char"/>
    <w:basedOn w:val="DefaultParagraphFont"/>
    <w:link w:val="Heading1"/>
    <w:uiPriority w:val="9"/>
    <w:rsid w:val="00681D9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81D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D9A"/>
    <w:rPr>
      <w:rFonts w:ascii="Segoe UI" w:hAnsi="Segoe UI" w:cs="Segoe UI"/>
      <w:sz w:val="18"/>
      <w:szCs w:val="18"/>
    </w:rPr>
  </w:style>
  <w:style w:type="paragraph" w:styleId="NormalWeb">
    <w:name w:val="Normal (Web)"/>
    <w:basedOn w:val="Normal"/>
    <w:uiPriority w:val="99"/>
    <w:unhideWhenUsed/>
    <w:rsid w:val="00326FB1"/>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ListParagraph">
    <w:name w:val="List Paragraph"/>
    <w:basedOn w:val="Normal"/>
    <w:uiPriority w:val="34"/>
    <w:qFormat/>
    <w:rsid w:val="0046423D"/>
    <w:pPr>
      <w:ind w:left="720"/>
      <w:contextualSpacing/>
    </w:pPr>
  </w:style>
  <w:style w:type="paragraph" w:styleId="Title">
    <w:name w:val="Title"/>
    <w:basedOn w:val="Normal"/>
    <w:next w:val="Normal"/>
    <w:link w:val="TitleChar"/>
    <w:uiPriority w:val="10"/>
    <w:qFormat/>
    <w:rsid w:val="00544FD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44FDE"/>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165">
      <w:bodyDiv w:val="1"/>
      <w:marLeft w:val="0"/>
      <w:marRight w:val="0"/>
      <w:marTop w:val="0"/>
      <w:marBottom w:val="0"/>
      <w:divBdr>
        <w:top w:val="none" w:sz="0" w:space="0" w:color="auto"/>
        <w:left w:val="none" w:sz="0" w:space="0" w:color="auto"/>
        <w:bottom w:val="none" w:sz="0" w:space="0" w:color="auto"/>
        <w:right w:val="none" w:sz="0" w:space="0" w:color="auto"/>
      </w:divBdr>
    </w:div>
    <w:div w:id="27611944">
      <w:bodyDiv w:val="1"/>
      <w:marLeft w:val="0"/>
      <w:marRight w:val="0"/>
      <w:marTop w:val="0"/>
      <w:marBottom w:val="0"/>
      <w:divBdr>
        <w:top w:val="none" w:sz="0" w:space="0" w:color="auto"/>
        <w:left w:val="none" w:sz="0" w:space="0" w:color="auto"/>
        <w:bottom w:val="none" w:sz="0" w:space="0" w:color="auto"/>
        <w:right w:val="none" w:sz="0" w:space="0" w:color="auto"/>
      </w:divBdr>
    </w:div>
    <w:div w:id="233053243">
      <w:bodyDiv w:val="1"/>
      <w:marLeft w:val="0"/>
      <w:marRight w:val="0"/>
      <w:marTop w:val="0"/>
      <w:marBottom w:val="0"/>
      <w:divBdr>
        <w:top w:val="none" w:sz="0" w:space="0" w:color="auto"/>
        <w:left w:val="none" w:sz="0" w:space="0" w:color="auto"/>
        <w:bottom w:val="none" w:sz="0" w:space="0" w:color="auto"/>
        <w:right w:val="none" w:sz="0" w:space="0" w:color="auto"/>
      </w:divBdr>
    </w:div>
    <w:div w:id="262610481">
      <w:bodyDiv w:val="1"/>
      <w:marLeft w:val="0"/>
      <w:marRight w:val="0"/>
      <w:marTop w:val="0"/>
      <w:marBottom w:val="0"/>
      <w:divBdr>
        <w:top w:val="none" w:sz="0" w:space="0" w:color="auto"/>
        <w:left w:val="none" w:sz="0" w:space="0" w:color="auto"/>
        <w:bottom w:val="none" w:sz="0" w:space="0" w:color="auto"/>
        <w:right w:val="none" w:sz="0" w:space="0" w:color="auto"/>
      </w:divBdr>
    </w:div>
    <w:div w:id="343171838">
      <w:bodyDiv w:val="1"/>
      <w:marLeft w:val="0"/>
      <w:marRight w:val="0"/>
      <w:marTop w:val="0"/>
      <w:marBottom w:val="0"/>
      <w:divBdr>
        <w:top w:val="none" w:sz="0" w:space="0" w:color="auto"/>
        <w:left w:val="none" w:sz="0" w:space="0" w:color="auto"/>
        <w:bottom w:val="none" w:sz="0" w:space="0" w:color="auto"/>
        <w:right w:val="none" w:sz="0" w:space="0" w:color="auto"/>
      </w:divBdr>
    </w:div>
    <w:div w:id="442193603">
      <w:bodyDiv w:val="1"/>
      <w:marLeft w:val="0"/>
      <w:marRight w:val="0"/>
      <w:marTop w:val="0"/>
      <w:marBottom w:val="0"/>
      <w:divBdr>
        <w:top w:val="none" w:sz="0" w:space="0" w:color="auto"/>
        <w:left w:val="none" w:sz="0" w:space="0" w:color="auto"/>
        <w:bottom w:val="none" w:sz="0" w:space="0" w:color="auto"/>
        <w:right w:val="none" w:sz="0" w:space="0" w:color="auto"/>
      </w:divBdr>
    </w:div>
    <w:div w:id="848183234">
      <w:bodyDiv w:val="1"/>
      <w:marLeft w:val="0"/>
      <w:marRight w:val="0"/>
      <w:marTop w:val="0"/>
      <w:marBottom w:val="0"/>
      <w:divBdr>
        <w:top w:val="none" w:sz="0" w:space="0" w:color="auto"/>
        <w:left w:val="none" w:sz="0" w:space="0" w:color="auto"/>
        <w:bottom w:val="none" w:sz="0" w:space="0" w:color="auto"/>
        <w:right w:val="none" w:sz="0" w:space="0" w:color="auto"/>
      </w:divBdr>
    </w:div>
    <w:div w:id="999696500">
      <w:bodyDiv w:val="1"/>
      <w:marLeft w:val="0"/>
      <w:marRight w:val="0"/>
      <w:marTop w:val="0"/>
      <w:marBottom w:val="0"/>
      <w:divBdr>
        <w:top w:val="none" w:sz="0" w:space="0" w:color="auto"/>
        <w:left w:val="none" w:sz="0" w:space="0" w:color="auto"/>
        <w:bottom w:val="none" w:sz="0" w:space="0" w:color="auto"/>
        <w:right w:val="none" w:sz="0" w:space="0" w:color="auto"/>
      </w:divBdr>
    </w:div>
    <w:div w:id="1269463429">
      <w:bodyDiv w:val="1"/>
      <w:marLeft w:val="0"/>
      <w:marRight w:val="0"/>
      <w:marTop w:val="0"/>
      <w:marBottom w:val="0"/>
      <w:divBdr>
        <w:top w:val="none" w:sz="0" w:space="0" w:color="auto"/>
        <w:left w:val="none" w:sz="0" w:space="0" w:color="auto"/>
        <w:bottom w:val="none" w:sz="0" w:space="0" w:color="auto"/>
        <w:right w:val="none" w:sz="0" w:space="0" w:color="auto"/>
      </w:divBdr>
    </w:div>
    <w:div w:id="1374767202">
      <w:bodyDiv w:val="1"/>
      <w:marLeft w:val="0"/>
      <w:marRight w:val="0"/>
      <w:marTop w:val="0"/>
      <w:marBottom w:val="0"/>
      <w:divBdr>
        <w:top w:val="none" w:sz="0" w:space="0" w:color="auto"/>
        <w:left w:val="none" w:sz="0" w:space="0" w:color="auto"/>
        <w:bottom w:val="none" w:sz="0" w:space="0" w:color="auto"/>
        <w:right w:val="none" w:sz="0" w:space="0" w:color="auto"/>
      </w:divBdr>
    </w:div>
    <w:div w:id="1898779856">
      <w:bodyDiv w:val="1"/>
      <w:marLeft w:val="0"/>
      <w:marRight w:val="0"/>
      <w:marTop w:val="0"/>
      <w:marBottom w:val="0"/>
      <w:divBdr>
        <w:top w:val="none" w:sz="0" w:space="0" w:color="auto"/>
        <w:left w:val="none" w:sz="0" w:space="0" w:color="auto"/>
        <w:bottom w:val="none" w:sz="0" w:space="0" w:color="auto"/>
        <w:right w:val="none" w:sz="0" w:space="0" w:color="auto"/>
      </w:divBdr>
    </w:div>
    <w:div w:id="20440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B0C0B-70FE-4FB7-9FAA-C1ED0CC2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20</Pages>
  <Words>6284</Words>
  <Characters>35823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42023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MAARTENS</dc:creator>
  <cp:lastModifiedBy>Brendan Maartens</cp:lastModifiedBy>
  <cp:revision>19</cp:revision>
  <cp:lastPrinted>2014-12-12T03:16:00Z</cp:lastPrinted>
  <dcterms:created xsi:type="dcterms:W3CDTF">2016-02-10T04:57:00Z</dcterms:created>
  <dcterms:modified xsi:type="dcterms:W3CDTF">2016-02-20T05:59:00Z</dcterms:modified>
</cp:coreProperties>
</file>