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E26C5" w14:textId="77777777" w:rsidR="0035033A" w:rsidRPr="0003418A" w:rsidRDefault="001E7C63" w:rsidP="00A811CD">
      <w:pPr>
        <w:jc w:val="center"/>
        <w:rPr>
          <w:b/>
        </w:rPr>
      </w:pPr>
      <w:r w:rsidRPr="0003418A">
        <w:rPr>
          <w:b/>
        </w:rPr>
        <w:t>The United Kingdom’s</w:t>
      </w:r>
      <w:r w:rsidR="00957539" w:rsidRPr="0003418A">
        <w:rPr>
          <w:b/>
        </w:rPr>
        <w:t xml:space="preserve"> </w:t>
      </w:r>
      <w:r w:rsidR="00525D86" w:rsidRPr="0003418A">
        <w:rPr>
          <w:b/>
        </w:rPr>
        <w:t>Presumption of</w:t>
      </w:r>
      <w:r w:rsidR="00957539" w:rsidRPr="0003418A">
        <w:rPr>
          <w:b/>
        </w:rPr>
        <w:t xml:space="preserve"> Derogation from the ECHR </w:t>
      </w:r>
    </w:p>
    <w:p w14:paraId="2B3E5FDC" w14:textId="4DF2228A" w:rsidR="0035033A" w:rsidRPr="0003418A" w:rsidRDefault="00AE519D" w:rsidP="00A811CD">
      <w:pPr>
        <w:jc w:val="center"/>
        <w:rPr>
          <w:b/>
        </w:rPr>
      </w:pPr>
      <w:r w:rsidRPr="0003418A">
        <w:rPr>
          <w:b/>
        </w:rPr>
        <w:t>R</w:t>
      </w:r>
      <w:r w:rsidR="00957539" w:rsidRPr="0003418A">
        <w:rPr>
          <w:b/>
        </w:rPr>
        <w:t>egarding</w:t>
      </w:r>
      <w:r w:rsidRPr="0003418A">
        <w:rPr>
          <w:b/>
        </w:rPr>
        <w:t xml:space="preserve"> Future </w:t>
      </w:r>
      <w:r w:rsidR="00CF383F" w:rsidRPr="0003418A">
        <w:rPr>
          <w:b/>
        </w:rPr>
        <w:t>Military Operations Overseas</w:t>
      </w:r>
      <w:r w:rsidR="00B314D6" w:rsidRPr="0003418A">
        <w:rPr>
          <w:b/>
        </w:rPr>
        <w:t xml:space="preserve">: </w:t>
      </w:r>
    </w:p>
    <w:p w14:paraId="78F101D5" w14:textId="12F0342C" w:rsidR="00AE519D" w:rsidRPr="0003418A" w:rsidRDefault="00597EA1" w:rsidP="00A811CD">
      <w:pPr>
        <w:jc w:val="center"/>
        <w:rPr>
          <w:b/>
        </w:rPr>
      </w:pPr>
      <w:r w:rsidRPr="0003418A">
        <w:rPr>
          <w:b/>
        </w:rPr>
        <w:t xml:space="preserve">Abuse of Rights and </w:t>
      </w:r>
      <w:r w:rsidR="00A2604B" w:rsidRPr="0003418A">
        <w:rPr>
          <w:b/>
          <w:i/>
        </w:rPr>
        <w:t>À la Carte</w:t>
      </w:r>
      <w:r w:rsidR="00A2604B" w:rsidRPr="0003418A">
        <w:rPr>
          <w:b/>
        </w:rPr>
        <w:t xml:space="preserve"> </w:t>
      </w:r>
      <w:r w:rsidRPr="0003418A">
        <w:rPr>
          <w:b/>
        </w:rPr>
        <w:t>Human Rights Protection</w:t>
      </w:r>
    </w:p>
    <w:p w14:paraId="4841A2CF" w14:textId="77777777" w:rsidR="00AE519D" w:rsidRPr="0003418A" w:rsidRDefault="00AE519D" w:rsidP="00A811CD">
      <w:pPr>
        <w:jc w:val="both"/>
      </w:pPr>
    </w:p>
    <w:p w14:paraId="1FB40B93" w14:textId="28DC1880" w:rsidR="009364BF" w:rsidRPr="0090131B" w:rsidRDefault="009364BF" w:rsidP="003860B4">
      <w:pPr>
        <w:jc w:val="center"/>
        <w:outlineLvl w:val="0"/>
      </w:pPr>
      <w:r w:rsidRPr="0003418A">
        <w:t>Vassilis P</w:t>
      </w:r>
      <w:r w:rsidR="00AE519D" w:rsidRPr="0003418A">
        <w:t xml:space="preserve"> Tzevelekos</w:t>
      </w:r>
      <w:commentRangeStart w:id="0"/>
      <w:commentRangeStart w:id="1"/>
      <w:commentRangeEnd w:id="0"/>
      <w:r w:rsidR="00947D22" w:rsidRPr="006E0B80">
        <w:rPr>
          <w:rStyle w:val="CommentReference"/>
          <w:sz w:val="24"/>
          <w:szCs w:val="24"/>
        </w:rPr>
        <w:commentReference w:id="0"/>
      </w:r>
      <w:commentRangeEnd w:id="1"/>
      <w:r w:rsidR="00363485" w:rsidRPr="006E0B80">
        <w:rPr>
          <w:rStyle w:val="CommentReference"/>
          <w:sz w:val="24"/>
          <w:szCs w:val="24"/>
        </w:rPr>
        <w:commentReference w:id="1"/>
      </w:r>
      <w:r w:rsidR="00AA0B80" w:rsidRPr="0090131B">
        <w:rPr>
          <w:rStyle w:val="FootnoteReference"/>
        </w:rPr>
        <w:footnoteReference w:customMarkFollows="1" w:id="1"/>
        <w:t>*</w:t>
      </w:r>
    </w:p>
    <w:p w14:paraId="5D508107" w14:textId="5FDAA2A5" w:rsidR="00D453D3" w:rsidRPr="0090131B" w:rsidRDefault="00D453D3" w:rsidP="00AA0B80"/>
    <w:p w14:paraId="2686C9FF" w14:textId="77777777" w:rsidR="00AE519D" w:rsidRPr="0090131B" w:rsidRDefault="00AE519D" w:rsidP="00A811CD">
      <w:pPr>
        <w:jc w:val="right"/>
      </w:pPr>
    </w:p>
    <w:p w14:paraId="2C176C1F" w14:textId="1EA4A0CC" w:rsidR="00947D22" w:rsidRPr="001B2330" w:rsidRDefault="008E7ADF" w:rsidP="006E0B80">
      <w:pPr>
        <w:ind w:firstLine="720"/>
      </w:pPr>
      <w:r w:rsidRPr="001B2330">
        <w:rPr>
          <w:b/>
        </w:rPr>
        <w:t xml:space="preserve">I. </w:t>
      </w:r>
      <w:r w:rsidR="00F40233" w:rsidRPr="006E0B80">
        <w:rPr>
          <w:b/>
        </w:rPr>
        <w:t>Introduction</w:t>
      </w:r>
      <w:r w:rsidR="00082BD6" w:rsidRPr="006E0B80">
        <w:rPr>
          <w:b/>
        </w:rPr>
        <w:t xml:space="preserve"> </w:t>
      </w:r>
    </w:p>
    <w:p w14:paraId="2DA82676" w14:textId="6CDDD4AB" w:rsidR="00E63A45" w:rsidRPr="0090131B" w:rsidRDefault="00AE7DD6" w:rsidP="008B07E9">
      <w:pPr>
        <w:pStyle w:val="ListParagraph"/>
        <w:ind w:right="658"/>
        <w:jc w:val="both"/>
        <w:rPr>
          <w:rFonts w:ascii="Times New Roman" w:hAnsi="Times New Roman" w:cs="Times New Roman"/>
        </w:rPr>
      </w:pPr>
      <w:r w:rsidRPr="0090131B">
        <w:rPr>
          <w:rFonts w:ascii="Times New Roman" w:hAnsi="Times New Roman" w:cs="Times New Roman"/>
        </w:rPr>
        <w:t>‘</w:t>
      </w:r>
      <w:r w:rsidR="00E63A45" w:rsidRPr="0090131B">
        <w:rPr>
          <w:rFonts w:ascii="Times New Roman" w:hAnsi="Times New Roman" w:cs="Times New Roman"/>
        </w:rPr>
        <w:t>I also know how much stress is caused by legal claims years after conflicts have ended. It is right that we investigate serious allegations but we’ve seen our legal system abused to falsely accuse our armed forces. […] So we are working hard to get vexatious claims thrown out. […] But much of the litigation we face comes from the extension of the European Convention on Human Rights to the battlefield. This is damaging our troops, undermining military operations, and costing taxpayers’ millions. So I can announce today that in future conflicts we intend to derogate from the Convention. That would protect our Armed Forces from many of the industrial scale claims we have seen post Iraq and Afghanistan. Now this isn’t about putting our Armed Forces above the criminal law or the Geneva Conventions. Serious claims will be investigated – but spurious claims will be stopped. And our Armed Forces will be able to do their job, fighting the enemy, not the lawyers.</w:t>
      </w:r>
      <w:bookmarkStart w:id="2" w:name="_Ref491177287"/>
      <w:r w:rsidRPr="0090131B">
        <w:rPr>
          <w:rFonts w:ascii="Times New Roman" w:hAnsi="Times New Roman" w:cs="Times New Roman"/>
        </w:rPr>
        <w:t>’</w:t>
      </w:r>
      <w:r w:rsidR="00E63A45" w:rsidRPr="0090131B">
        <w:rPr>
          <w:rStyle w:val="FootnoteReference"/>
          <w:rFonts w:ascii="Times New Roman" w:hAnsi="Times New Roman" w:cs="Times New Roman"/>
        </w:rPr>
        <w:footnoteReference w:id="2"/>
      </w:r>
      <w:bookmarkEnd w:id="2"/>
      <w:r w:rsidR="00E63A45" w:rsidRPr="0090131B">
        <w:rPr>
          <w:rFonts w:ascii="Times New Roman" w:hAnsi="Times New Roman" w:cs="Times New Roman"/>
        </w:rPr>
        <w:t> </w:t>
      </w:r>
    </w:p>
    <w:p w14:paraId="3C5CDFD3" w14:textId="77777777" w:rsidR="00AA0B80" w:rsidRPr="0090131B" w:rsidRDefault="00AA0B80" w:rsidP="008B07E9">
      <w:pPr>
        <w:pStyle w:val="ListParagraph"/>
        <w:ind w:right="658"/>
        <w:jc w:val="both"/>
        <w:rPr>
          <w:rFonts w:ascii="Times New Roman" w:hAnsi="Times New Roman" w:cs="Times New Roman"/>
        </w:rPr>
      </w:pPr>
    </w:p>
    <w:p w14:paraId="1F15474F" w14:textId="7BC6AB4C" w:rsidR="0055347B" w:rsidRPr="0090131B" w:rsidRDefault="0015271A" w:rsidP="00C81AD5">
      <w:pPr>
        <w:jc w:val="both"/>
      </w:pPr>
      <w:r w:rsidRPr="0090131B">
        <w:t>It is w</w:t>
      </w:r>
      <w:r w:rsidR="00E63A45" w:rsidRPr="0090131B">
        <w:t xml:space="preserve">ith these </w:t>
      </w:r>
      <w:r w:rsidRPr="0090131B">
        <w:t>words that</w:t>
      </w:r>
      <w:r w:rsidR="00057B0F" w:rsidRPr="0090131B">
        <w:t xml:space="preserve"> </w:t>
      </w:r>
      <w:r w:rsidR="001E7C63" w:rsidRPr="0090131B">
        <w:t>the</w:t>
      </w:r>
      <w:r w:rsidR="006327A0">
        <w:t xml:space="preserve"> then</w:t>
      </w:r>
      <w:r w:rsidR="001E7C63" w:rsidRPr="0090131B">
        <w:t xml:space="preserve"> </w:t>
      </w:r>
      <w:r w:rsidR="00057B0F" w:rsidRPr="0090131B">
        <w:t>UK</w:t>
      </w:r>
      <w:r w:rsidR="00E63A45" w:rsidRPr="0090131B">
        <w:t xml:space="preserve"> </w:t>
      </w:r>
      <w:r w:rsidR="00057B0F" w:rsidRPr="0090131B">
        <w:t>Secretary of State for Defence (hereinafter</w:t>
      </w:r>
      <w:r w:rsidR="00B56A69" w:rsidRPr="0090131B">
        <w:t>,</w:t>
      </w:r>
      <w:r w:rsidR="00057B0F" w:rsidRPr="0090131B">
        <w:t xml:space="preserve"> DS)</w:t>
      </w:r>
      <w:r w:rsidR="00C76789" w:rsidRPr="0090131B">
        <w:t>,</w:t>
      </w:r>
      <w:r w:rsidR="0017692D" w:rsidRPr="0090131B">
        <w:t xml:space="preserve"> </w:t>
      </w:r>
      <w:r w:rsidR="00C76789" w:rsidRPr="0090131B">
        <w:t xml:space="preserve">Sir Michael Fallon, </w:t>
      </w:r>
      <w:r w:rsidR="0017692D" w:rsidRPr="0090131B">
        <w:t>announced</w:t>
      </w:r>
      <w:r w:rsidR="00171E1F" w:rsidRPr="0090131B">
        <w:t xml:space="preserve"> </w:t>
      </w:r>
      <w:r w:rsidR="0017692D" w:rsidRPr="0090131B">
        <w:t>the intention of his government to derogate from the E</w:t>
      </w:r>
      <w:r w:rsidR="00AE0C72" w:rsidRPr="0090131B">
        <w:t>uropean Convention on Human Rights (E</w:t>
      </w:r>
      <w:r w:rsidR="0017692D" w:rsidRPr="0090131B">
        <w:t>CHR</w:t>
      </w:r>
      <w:r w:rsidR="00B43D11" w:rsidRPr="0090131B">
        <w:t>, the Convention</w:t>
      </w:r>
      <w:r w:rsidR="00AE0C72" w:rsidRPr="0090131B">
        <w:t>)</w:t>
      </w:r>
      <w:r w:rsidR="00C76789" w:rsidRPr="0090131B">
        <w:t xml:space="preserve"> before embarking on military </w:t>
      </w:r>
      <w:r w:rsidR="00653106" w:rsidRPr="0090131B">
        <w:t xml:space="preserve">activities </w:t>
      </w:r>
      <w:r w:rsidR="00C76789" w:rsidRPr="0090131B">
        <w:t>overseas.</w:t>
      </w:r>
      <w:r w:rsidR="00171E1F" w:rsidRPr="0090131B">
        <w:t xml:space="preserve"> </w:t>
      </w:r>
      <w:r w:rsidR="00E71E87" w:rsidRPr="0090131B">
        <w:t>One might be prompted to think th</w:t>
      </w:r>
      <w:r w:rsidRPr="0090131B">
        <w:t>at this was</w:t>
      </w:r>
      <w:r w:rsidR="00E71E87" w:rsidRPr="0090131B">
        <w:t xml:space="preserve"> </w:t>
      </w:r>
      <w:r w:rsidR="0039713F" w:rsidRPr="0090131B">
        <w:t>merely</w:t>
      </w:r>
      <w:r w:rsidR="00E71E87" w:rsidRPr="0090131B">
        <w:t xml:space="preserve"> a political </w:t>
      </w:r>
      <w:r w:rsidR="00B733D0" w:rsidRPr="0090131B">
        <w:t>‘</w:t>
      </w:r>
      <w:r w:rsidR="00E35A17" w:rsidRPr="0090131B">
        <w:t>firework</w:t>
      </w:r>
      <w:r w:rsidR="00B733D0" w:rsidRPr="0090131B">
        <w:t>’</w:t>
      </w:r>
      <w:r w:rsidR="00E35A17" w:rsidRPr="0090131B">
        <w:t xml:space="preserve"> destined to </w:t>
      </w:r>
      <w:r w:rsidR="0055347B" w:rsidRPr="0090131B">
        <w:t>indulge</w:t>
      </w:r>
      <w:r w:rsidR="00E35A17" w:rsidRPr="0090131B">
        <w:t xml:space="preserve"> the </w:t>
      </w:r>
      <w:r w:rsidR="005B029D" w:rsidRPr="0090131B">
        <w:t>audience of the Conservative Party that the DS was addressing when he made this statement</w:t>
      </w:r>
      <w:r w:rsidR="004B3B40" w:rsidRPr="0090131B">
        <w:t xml:space="preserve"> on the 4</w:t>
      </w:r>
      <w:r w:rsidR="004B3B40" w:rsidRPr="0090131B">
        <w:rPr>
          <w:vertAlign w:val="superscript"/>
        </w:rPr>
        <w:t>th</w:t>
      </w:r>
      <w:r w:rsidR="004B3B40" w:rsidRPr="0090131B">
        <w:t xml:space="preserve"> of October 2016</w:t>
      </w:r>
      <w:r w:rsidR="005B029D" w:rsidRPr="0090131B">
        <w:t>.</w:t>
      </w:r>
      <w:r w:rsidR="0046239F" w:rsidRPr="0090131B">
        <w:t xml:space="preserve"> </w:t>
      </w:r>
      <w:r w:rsidR="00633F68" w:rsidRPr="0090131B">
        <w:t xml:space="preserve">(Political) </w:t>
      </w:r>
      <w:r w:rsidR="003C24EC" w:rsidRPr="0090131B">
        <w:t xml:space="preserve">fireworks </w:t>
      </w:r>
      <w:r w:rsidR="0018548E" w:rsidRPr="0090131B">
        <w:t>are</w:t>
      </w:r>
      <w:r w:rsidR="00636ABB" w:rsidRPr="0090131B">
        <w:t>,</w:t>
      </w:r>
      <w:r w:rsidR="00633F68" w:rsidRPr="0090131B">
        <w:t xml:space="preserve"> </w:t>
      </w:r>
      <w:r w:rsidR="00BC0542">
        <w:t>most of the time</w:t>
      </w:r>
      <w:r w:rsidR="00636ABB" w:rsidRPr="0090131B">
        <w:t>,</w:t>
      </w:r>
      <w:r w:rsidR="0018548E" w:rsidRPr="0090131B">
        <w:t xml:space="preserve"> </w:t>
      </w:r>
      <w:r w:rsidR="00C9476F" w:rsidRPr="0090131B">
        <w:t>safe</w:t>
      </w:r>
      <w:r w:rsidR="0018548E" w:rsidRPr="0090131B">
        <w:t>.</w:t>
      </w:r>
      <w:r w:rsidR="0040791A" w:rsidRPr="0090131B">
        <w:t xml:space="preserve"> </w:t>
      </w:r>
      <w:r w:rsidR="00B13234" w:rsidRPr="0090131B">
        <w:t>For some</w:t>
      </w:r>
      <w:r w:rsidR="00BC0542">
        <w:t>,</w:t>
      </w:r>
      <w:r w:rsidR="00B13234" w:rsidRPr="0090131B">
        <w:t xml:space="preserve"> they are public nuisance, </w:t>
      </w:r>
      <w:r w:rsidR="008B54C6">
        <w:t xml:space="preserve">whilst </w:t>
      </w:r>
      <w:r w:rsidR="00F12098" w:rsidRPr="0090131B">
        <w:t>other</w:t>
      </w:r>
      <w:r w:rsidR="00313A03" w:rsidRPr="0090131B">
        <w:t>s</w:t>
      </w:r>
      <w:r w:rsidR="00F12098" w:rsidRPr="0090131B">
        <w:t xml:space="preserve"> </w:t>
      </w:r>
      <w:r w:rsidR="00B13234" w:rsidRPr="0090131B">
        <w:t xml:space="preserve">enjoy them. </w:t>
      </w:r>
      <w:r w:rsidR="0040791A" w:rsidRPr="0090131B">
        <w:t xml:space="preserve">They are </w:t>
      </w:r>
      <w:r w:rsidR="004B3B40" w:rsidRPr="0090131B">
        <w:t>bright and spectacular,</w:t>
      </w:r>
      <w:r w:rsidR="0039737B" w:rsidRPr="0090131B">
        <w:t xml:space="preserve"> </w:t>
      </w:r>
      <w:r w:rsidR="004B3B40" w:rsidRPr="0090131B">
        <w:t>b</w:t>
      </w:r>
      <w:r w:rsidR="0039737B" w:rsidRPr="0090131B">
        <w:t xml:space="preserve">ut </w:t>
      </w:r>
      <w:r w:rsidRPr="0090131B">
        <w:t xml:space="preserve">also short-lived. </w:t>
      </w:r>
      <w:r w:rsidR="00B60D67" w:rsidRPr="0090131B">
        <w:t xml:space="preserve">Soon after </w:t>
      </w:r>
      <w:r w:rsidR="00FC1891" w:rsidRPr="0090131B">
        <w:t>festivities</w:t>
      </w:r>
      <w:r w:rsidR="00B60D67" w:rsidRPr="0090131B">
        <w:t xml:space="preserve"> finish, people return home</w:t>
      </w:r>
      <w:r w:rsidR="00636ABB" w:rsidRPr="0090131B">
        <w:t>.</w:t>
      </w:r>
      <w:r w:rsidR="00B60D67" w:rsidRPr="0090131B">
        <w:t xml:space="preserve"> </w:t>
      </w:r>
      <w:r w:rsidR="00BC0542">
        <w:t>Air pollution, however,</w:t>
      </w:r>
      <w:r w:rsidR="00B60D67" w:rsidRPr="0090131B">
        <w:t xml:space="preserve"> persists. </w:t>
      </w:r>
      <w:r w:rsidR="00FC1891" w:rsidRPr="0090131B">
        <w:t>S</w:t>
      </w:r>
      <w:r w:rsidR="00B13234" w:rsidRPr="0090131B">
        <w:t>parkles</w:t>
      </w:r>
      <w:r w:rsidR="00147EDF" w:rsidRPr="0090131B">
        <w:t xml:space="preserve"> may</w:t>
      </w:r>
      <w:r w:rsidR="00B13234" w:rsidRPr="0090131B">
        <w:t xml:space="preserve"> la</w:t>
      </w:r>
      <w:r w:rsidR="009A2D78" w:rsidRPr="0090131B">
        <w:t xml:space="preserve">st only a few seconds, but </w:t>
      </w:r>
      <w:r w:rsidR="0055347B" w:rsidRPr="0090131B">
        <w:t xml:space="preserve">gun powder can linger for quite a long time. </w:t>
      </w:r>
    </w:p>
    <w:p w14:paraId="2E4BA901" w14:textId="77777777" w:rsidR="0055347B" w:rsidRPr="0090131B" w:rsidRDefault="0055347B" w:rsidP="00C81AD5">
      <w:pPr>
        <w:jc w:val="both"/>
      </w:pPr>
    </w:p>
    <w:p w14:paraId="4244EEAA" w14:textId="2A5644DF" w:rsidR="00D313AA" w:rsidRPr="0090131B" w:rsidRDefault="00635F3D" w:rsidP="00C50179">
      <w:pPr>
        <w:jc w:val="both"/>
      </w:pPr>
      <w:r w:rsidRPr="0090131B">
        <w:t>T</w:t>
      </w:r>
      <w:r w:rsidR="0096760B" w:rsidRPr="0090131B">
        <w:t xml:space="preserve">he truth is that </w:t>
      </w:r>
      <w:r w:rsidR="00F97826" w:rsidRPr="0090131B">
        <w:t>we do not know</w:t>
      </w:r>
      <w:r w:rsidR="008B548B" w:rsidRPr="0090131B">
        <w:t xml:space="preserve"> yet whether DS</w:t>
      </w:r>
      <w:r w:rsidR="00043F88" w:rsidRPr="0090131B">
        <w:t>’s announcement was</w:t>
      </w:r>
      <w:r w:rsidR="00676E16">
        <w:t xml:space="preserve"> </w:t>
      </w:r>
      <w:r w:rsidR="00BC0542">
        <w:t xml:space="preserve">intended </w:t>
      </w:r>
      <w:r w:rsidR="00676E16">
        <w:t>to be</w:t>
      </w:r>
      <w:r w:rsidR="00043F88" w:rsidRPr="0090131B">
        <w:t xml:space="preserve"> a political </w:t>
      </w:r>
      <w:r w:rsidR="00B733D0" w:rsidRPr="0090131B">
        <w:t>‘</w:t>
      </w:r>
      <w:r w:rsidR="00043F88" w:rsidRPr="0090131B">
        <w:t>firework</w:t>
      </w:r>
      <w:r w:rsidR="00B733D0" w:rsidRPr="0090131B">
        <w:t>’</w:t>
      </w:r>
      <w:r w:rsidRPr="0090131B">
        <w:t>, destined</w:t>
      </w:r>
      <w:r w:rsidR="00043F88" w:rsidRPr="0090131B">
        <w:t xml:space="preserve"> </w:t>
      </w:r>
      <w:r w:rsidRPr="0090131B">
        <w:t>to</w:t>
      </w:r>
      <w:r w:rsidR="00043F88" w:rsidRPr="0090131B">
        <w:t xml:space="preserve"> leave </w:t>
      </w:r>
      <w:r w:rsidR="00313A03" w:rsidRPr="0090131B">
        <w:t>behind</w:t>
      </w:r>
      <w:r w:rsidR="00043F88" w:rsidRPr="0090131B">
        <w:t xml:space="preserve"> </w:t>
      </w:r>
      <w:r w:rsidR="00EF2E70" w:rsidRPr="0090131B">
        <w:t>nothing</w:t>
      </w:r>
      <w:r w:rsidR="00ED3815" w:rsidRPr="0090131B">
        <w:t xml:space="preserve"> more</w:t>
      </w:r>
      <w:r w:rsidR="00EF2E70" w:rsidRPr="0090131B">
        <w:t xml:space="preserve"> </w:t>
      </w:r>
      <w:r w:rsidR="007632DC" w:rsidRPr="0090131B">
        <w:t>t</w:t>
      </w:r>
      <w:r w:rsidR="00A75EC4" w:rsidRPr="0090131B">
        <w:t>han</w:t>
      </w:r>
      <w:r w:rsidR="008F01F8" w:rsidRPr="0090131B">
        <w:t xml:space="preserve"> a</w:t>
      </w:r>
      <w:r w:rsidRPr="0090131B">
        <w:t xml:space="preserve"> polemic</w:t>
      </w:r>
      <w:r w:rsidR="008F01F8" w:rsidRPr="0090131B">
        <w:t xml:space="preserve"> essence </w:t>
      </w:r>
      <w:r w:rsidR="008653F9" w:rsidRPr="0090131B">
        <w:t xml:space="preserve">against </w:t>
      </w:r>
      <w:r w:rsidR="00A75EC4" w:rsidRPr="0090131B">
        <w:t>the</w:t>
      </w:r>
      <w:r w:rsidR="007632DC" w:rsidRPr="0090131B">
        <w:t xml:space="preserve"> ECHR</w:t>
      </w:r>
      <w:r w:rsidR="00ED3222">
        <w:t>,</w:t>
      </w:r>
      <w:r w:rsidR="008653F9" w:rsidRPr="0090131B">
        <w:rPr>
          <w:rStyle w:val="FootnoteReference"/>
        </w:rPr>
        <w:footnoteReference w:id="3"/>
      </w:r>
      <w:r w:rsidR="00EB5F48" w:rsidRPr="0090131B">
        <w:t xml:space="preserve"> or a </w:t>
      </w:r>
      <w:r w:rsidR="005A37DD" w:rsidRPr="0090131B">
        <w:t xml:space="preserve">considered decision </w:t>
      </w:r>
      <w:r w:rsidR="00EF2E70" w:rsidRPr="0090131B">
        <w:t>regarding a</w:t>
      </w:r>
      <w:r w:rsidR="005A37DD" w:rsidRPr="0090131B">
        <w:t xml:space="preserve"> </w:t>
      </w:r>
      <w:r w:rsidR="00EB5F48" w:rsidRPr="0090131B">
        <w:t>well-thought</w:t>
      </w:r>
      <w:r w:rsidR="002F165F" w:rsidRPr="0090131B">
        <w:t xml:space="preserve"> out</w:t>
      </w:r>
      <w:r w:rsidR="00EB5F48" w:rsidRPr="0090131B">
        <w:t xml:space="preserve"> policy that the British government intends to pursue.</w:t>
      </w:r>
      <w:r w:rsidR="00276C60" w:rsidRPr="0090131B">
        <w:t xml:space="preserve"> </w:t>
      </w:r>
      <w:r w:rsidR="007C3C0A" w:rsidRPr="0090131B">
        <w:t xml:space="preserve">What we </w:t>
      </w:r>
      <w:r w:rsidR="008B54C6">
        <w:t xml:space="preserve">do </w:t>
      </w:r>
      <w:r w:rsidR="007C3C0A" w:rsidRPr="0090131B">
        <w:t xml:space="preserve">know is that </w:t>
      </w:r>
      <w:r w:rsidR="009479B4" w:rsidRPr="0090131B">
        <w:t>we</w:t>
      </w:r>
      <w:r w:rsidR="007C3C0A" w:rsidRPr="0090131B">
        <w:t xml:space="preserve"> do not have before </w:t>
      </w:r>
      <w:r w:rsidR="009479B4" w:rsidRPr="0090131B">
        <w:t>us</w:t>
      </w:r>
      <w:r w:rsidR="007C3C0A" w:rsidRPr="0090131B">
        <w:t xml:space="preserve"> a concrete case of derogation that could be examined in the light of the</w:t>
      </w:r>
      <w:r w:rsidR="000D374A" w:rsidRPr="0090131B">
        <w:t xml:space="preserve"> particular circumstances that allegedly</w:t>
      </w:r>
      <w:r w:rsidR="007C3C0A" w:rsidRPr="0090131B">
        <w:t xml:space="preserve"> justify it</w:t>
      </w:r>
      <w:r w:rsidR="00ED3222">
        <w:t>;</w:t>
      </w:r>
      <w:bookmarkStart w:id="3" w:name="_Ref492811412"/>
      <w:r w:rsidR="00661DF9" w:rsidRPr="0090131B">
        <w:rPr>
          <w:rStyle w:val="FootnoteReference"/>
        </w:rPr>
        <w:footnoteReference w:id="4"/>
      </w:r>
      <w:bookmarkEnd w:id="3"/>
      <w:r w:rsidR="009479B4" w:rsidRPr="0090131B">
        <w:t xml:space="preserve"> </w:t>
      </w:r>
      <w:r w:rsidR="008B54C6">
        <w:t>such</w:t>
      </w:r>
      <w:r w:rsidRPr="0090131B">
        <w:t xml:space="preserve"> is the </w:t>
      </w:r>
      <w:r w:rsidR="005E4BE2" w:rsidRPr="0090131B">
        <w:t xml:space="preserve">main difficulty </w:t>
      </w:r>
      <w:r w:rsidR="000332D2" w:rsidRPr="0090131B">
        <w:t xml:space="preserve">of </w:t>
      </w:r>
      <w:r w:rsidR="005E4BE2" w:rsidRPr="0090131B">
        <w:t xml:space="preserve">this </w:t>
      </w:r>
      <w:r w:rsidR="00644251" w:rsidRPr="0090131B">
        <w:t>study</w:t>
      </w:r>
      <w:r w:rsidR="00641DB3">
        <w:t>, as i</w:t>
      </w:r>
      <w:r w:rsidR="00B733D0" w:rsidRPr="0090131B">
        <w:t>t is faced with the ‘</w:t>
      </w:r>
      <w:r w:rsidR="00E10720" w:rsidRPr="0090131B">
        <w:t>ghost</w:t>
      </w:r>
      <w:r w:rsidR="00B733D0" w:rsidRPr="0090131B">
        <w:t>’</w:t>
      </w:r>
      <w:r w:rsidR="00E10720" w:rsidRPr="0090131B">
        <w:t xml:space="preserve"> of a (series of) </w:t>
      </w:r>
      <w:r w:rsidR="0055499E" w:rsidRPr="0090131B">
        <w:lastRenderedPageBreak/>
        <w:t>hypothetical</w:t>
      </w:r>
      <w:r w:rsidR="00E10720" w:rsidRPr="0090131B">
        <w:t xml:space="preserve"> derogation(s)</w:t>
      </w:r>
      <w:r w:rsidR="009944B8" w:rsidRPr="0090131B">
        <w:t>.</w:t>
      </w:r>
      <w:r w:rsidR="0055499E" w:rsidRPr="0090131B">
        <w:t xml:space="preserve"> </w:t>
      </w:r>
      <w:r w:rsidR="00374D91" w:rsidRPr="0090131B">
        <w:t>Inevitably</w:t>
      </w:r>
      <w:r w:rsidR="005E4BE2" w:rsidRPr="0090131B">
        <w:t xml:space="preserve"> then</w:t>
      </w:r>
      <w:r w:rsidR="00374D91" w:rsidRPr="0090131B">
        <w:t>, legal analysis</w:t>
      </w:r>
      <w:r w:rsidR="002129AC" w:rsidRPr="0090131B">
        <w:t xml:space="preserve"> </w:t>
      </w:r>
      <w:r w:rsidR="00374D91" w:rsidRPr="0090131B">
        <w:t>shift</w:t>
      </w:r>
      <w:r w:rsidR="00AC4586" w:rsidRPr="0090131B">
        <w:t>s</w:t>
      </w:r>
      <w:r w:rsidR="00374D91" w:rsidRPr="0090131B">
        <w:t xml:space="preserve"> from the assessment of the lawfulness of a ‘tangible’ derogation</w:t>
      </w:r>
      <w:r w:rsidR="004A6AD3">
        <w:t>,</w:t>
      </w:r>
      <w:r w:rsidR="00374D91" w:rsidRPr="0090131B">
        <w:t xml:space="preserve"> whose </w:t>
      </w:r>
      <w:r w:rsidR="007126C1" w:rsidRPr="0090131B">
        <w:t xml:space="preserve">rationale, </w:t>
      </w:r>
      <w:r w:rsidR="00374D91" w:rsidRPr="0090131B">
        <w:t>modalities, idiosyncrasies and specifics are known, to a more</w:t>
      </w:r>
      <w:r w:rsidR="001506D1" w:rsidRPr="0090131B">
        <w:t xml:space="preserve"> general consideration based </w:t>
      </w:r>
      <w:r w:rsidR="00ED3222">
        <w:t>up</w:t>
      </w:r>
      <w:r w:rsidR="001506D1" w:rsidRPr="0090131B">
        <w:t>on</w:t>
      </w:r>
      <w:r w:rsidR="00AB33DF" w:rsidRPr="0090131B">
        <w:t xml:space="preserve"> </w:t>
      </w:r>
      <w:r w:rsidR="00857C92" w:rsidRPr="0090131B">
        <w:t>public knowledge</w:t>
      </w:r>
      <w:r w:rsidR="00AB33DF" w:rsidRPr="0090131B">
        <w:t xml:space="preserve"> </w:t>
      </w:r>
      <w:r w:rsidR="00857C92" w:rsidRPr="0090131B">
        <w:t>–</w:t>
      </w:r>
      <w:r w:rsidR="00AE7DD6" w:rsidRPr="0090131B">
        <w:t xml:space="preserve"> </w:t>
      </w:r>
      <w:r w:rsidR="00E46CB1" w:rsidRPr="0090131B">
        <w:rPr>
          <w:i/>
        </w:rPr>
        <w:t>i.e.</w:t>
      </w:r>
      <w:r w:rsidR="00AB33DF" w:rsidRPr="0090131B">
        <w:t xml:space="preserve"> the context, namely military operations overseas, and the goals pursued by the intended</w:t>
      </w:r>
      <w:r w:rsidR="00857C92" w:rsidRPr="0090131B">
        <w:t xml:space="preserve"> derogation</w:t>
      </w:r>
      <w:r w:rsidR="002129AC" w:rsidRPr="0090131B">
        <w:t>,</w:t>
      </w:r>
      <w:r w:rsidR="00A75EC4" w:rsidRPr="0090131B">
        <w:t xml:space="preserve"> in</w:t>
      </w:r>
      <w:r w:rsidR="00857C92" w:rsidRPr="0090131B">
        <w:t xml:space="preserve"> the</w:t>
      </w:r>
      <w:r w:rsidR="00AB33DF" w:rsidRPr="0090131B">
        <w:t xml:space="preserve"> way </w:t>
      </w:r>
      <w:r w:rsidR="00ED3222">
        <w:t xml:space="preserve">that </w:t>
      </w:r>
      <w:r w:rsidR="00AB33DF" w:rsidRPr="0090131B">
        <w:t xml:space="preserve">these </w:t>
      </w:r>
      <w:r w:rsidR="003430A7" w:rsidRPr="0090131B">
        <w:t>have been</w:t>
      </w:r>
      <w:r w:rsidR="00AB33DF" w:rsidRPr="0090131B">
        <w:t xml:space="preserve"> explain</w:t>
      </w:r>
      <w:r w:rsidR="00857C92" w:rsidRPr="0090131B">
        <w:t>ed</w:t>
      </w:r>
      <w:r w:rsidR="00AB33DF" w:rsidRPr="0090131B">
        <w:t xml:space="preserve"> by the </w:t>
      </w:r>
      <w:r w:rsidR="00B11694" w:rsidRPr="0090131B">
        <w:t>Ministry of Defence</w:t>
      </w:r>
      <w:r w:rsidR="003430A7" w:rsidRPr="0090131B">
        <w:t>.</w:t>
      </w:r>
      <w:r w:rsidR="00804C55" w:rsidRPr="0090131B">
        <w:t xml:space="preserve"> </w:t>
      </w:r>
    </w:p>
    <w:p w14:paraId="24DB0AE8" w14:textId="77777777" w:rsidR="00D313AA" w:rsidRPr="0090131B" w:rsidRDefault="00D313AA" w:rsidP="00C50179">
      <w:pPr>
        <w:jc w:val="both"/>
      </w:pPr>
    </w:p>
    <w:p w14:paraId="2BE33BB8" w14:textId="558EE0BE" w:rsidR="00C50179" w:rsidRPr="0090131B" w:rsidRDefault="00CF5A25" w:rsidP="00C50179">
      <w:pPr>
        <w:jc w:val="both"/>
      </w:pPr>
      <w:r w:rsidRPr="0090131B">
        <w:t>T</w:t>
      </w:r>
      <w:r w:rsidR="009A44A7" w:rsidRPr="0090131B">
        <w:t xml:space="preserve">he UK </w:t>
      </w:r>
      <w:r w:rsidRPr="0090131B">
        <w:t xml:space="preserve">derogation(s) </w:t>
      </w:r>
      <w:r w:rsidR="009A44A7" w:rsidRPr="0090131B">
        <w:t xml:space="preserve">policy has already been discussed by scholars </w:t>
      </w:r>
      <w:r w:rsidR="00755E5C" w:rsidRPr="0090131B">
        <w:t xml:space="preserve">and (human rights) institutions </w:t>
      </w:r>
      <w:r w:rsidR="004A6AD3">
        <w:t>who</w:t>
      </w:r>
      <w:r w:rsidR="009A44A7" w:rsidRPr="0090131B">
        <w:t xml:space="preserve"> submitted written evidence </w:t>
      </w:r>
      <w:r w:rsidR="00755E5C" w:rsidRPr="0090131B">
        <w:t>to</w:t>
      </w:r>
      <w:r w:rsidR="009A44A7" w:rsidRPr="0090131B">
        <w:t xml:space="preserve"> the Joint Committee on Human Rights of the UK Parliament</w:t>
      </w:r>
      <w:r w:rsidR="009A44A7" w:rsidRPr="0090131B">
        <w:rPr>
          <w:rStyle w:val="FootnoteReference"/>
        </w:rPr>
        <w:footnoteReference w:id="5"/>
      </w:r>
      <w:r w:rsidR="009A44A7" w:rsidRPr="0090131B">
        <w:t xml:space="preserve"> (the Committee)</w:t>
      </w:r>
      <w:r w:rsidR="007776FD">
        <w:t>. This was</w:t>
      </w:r>
      <w:r w:rsidR="009A44A7" w:rsidRPr="0090131B">
        <w:t xml:space="preserve"> </w:t>
      </w:r>
      <w:r w:rsidR="00CB2852" w:rsidRPr="0090131B">
        <w:t xml:space="preserve">in response to an </w:t>
      </w:r>
      <w:r w:rsidR="009A44A7" w:rsidRPr="0090131B">
        <w:t>inquiry</w:t>
      </w:r>
      <w:r w:rsidR="00CB2852" w:rsidRPr="0090131B">
        <w:t xml:space="preserve"> </w:t>
      </w:r>
      <w:r w:rsidR="004A6AD3">
        <w:t xml:space="preserve">that </w:t>
      </w:r>
      <w:r w:rsidR="00CB2852" w:rsidRPr="0090131B">
        <w:t>t</w:t>
      </w:r>
      <w:r w:rsidR="007776FD">
        <w:t>he Committee</w:t>
      </w:r>
      <w:r w:rsidR="00CB2852" w:rsidRPr="0090131B">
        <w:t xml:space="preserve"> launched</w:t>
      </w:r>
      <w:r w:rsidR="009A44A7" w:rsidRPr="0090131B">
        <w:t xml:space="preserve"> into the </w:t>
      </w:r>
      <w:r w:rsidR="00D6640B" w:rsidRPr="0090131B">
        <w:t>policy</w:t>
      </w:r>
      <w:r w:rsidR="009A44A7" w:rsidRPr="0090131B">
        <w:t xml:space="preserve"> to ensure that the Parliament will have an adequate opportunity to scrutinise the reasons for </w:t>
      </w:r>
      <w:r w:rsidR="00CB2852" w:rsidRPr="0090131B">
        <w:t>any derogation</w:t>
      </w:r>
      <w:r w:rsidR="009A44A7" w:rsidRPr="0090131B">
        <w:t>.</w:t>
      </w:r>
      <w:r w:rsidR="009A44A7" w:rsidRPr="0090131B">
        <w:rPr>
          <w:rStyle w:val="FootnoteReference"/>
        </w:rPr>
        <w:footnoteReference w:id="6"/>
      </w:r>
      <w:r w:rsidR="00755E5C" w:rsidRPr="0090131B">
        <w:t xml:space="preserve"> </w:t>
      </w:r>
      <w:r w:rsidR="008E2FAC" w:rsidRPr="0090131B">
        <w:t xml:space="preserve">The </w:t>
      </w:r>
      <w:r w:rsidR="00644251" w:rsidRPr="0090131B">
        <w:t>study</w:t>
      </w:r>
      <w:r w:rsidR="00755E5C" w:rsidRPr="0090131B">
        <w:t xml:space="preserve"> aspires to contribute to this </w:t>
      </w:r>
      <w:r w:rsidRPr="0090131B">
        <w:t>literature by making an argument that is absent from the evidence</w:t>
      </w:r>
      <w:r w:rsidR="008A5F3F" w:rsidRPr="0090131B">
        <w:t xml:space="preserve"> collected </w:t>
      </w:r>
      <w:r w:rsidR="00D724BE" w:rsidRPr="0090131B">
        <w:t>by the Parliament.</w:t>
      </w:r>
      <w:r w:rsidR="00D81899" w:rsidRPr="0090131B">
        <w:rPr>
          <w:rStyle w:val="FootnoteReference"/>
        </w:rPr>
        <w:footnoteReference w:id="7"/>
      </w:r>
      <w:r w:rsidR="00D724BE" w:rsidRPr="0090131B">
        <w:t xml:space="preserve"> The thesis built in the pages that follow is that</w:t>
      </w:r>
      <w:r w:rsidRPr="0090131B">
        <w:t xml:space="preserve"> </w:t>
      </w:r>
      <w:r w:rsidR="00804C55" w:rsidRPr="0090131B">
        <w:t>the ‘presumption to derogate’</w:t>
      </w:r>
      <w:bookmarkStart w:id="4" w:name="_Ref491177310"/>
      <w:r w:rsidR="00804C55" w:rsidRPr="0090131B">
        <w:rPr>
          <w:rStyle w:val="FootnoteReference"/>
        </w:rPr>
        <w:footnoteReference w:id="8"/>
      </w:r>
      <w:bookmarkEnd w:id="4"/>
      <w:r w:rsidR="00804C55" w:rsidRPr="0090131B">
        <w:t xml:space="preserve"> </w:t>
      </w:r>
      <w:r w:rsidR="00AE7DD6" w:rsidRPr="0090131B">
        <w:t xml:space="preserve">– </w:t>
      </w:r>
      <w:r w:rsidR="00804C55" w:rsidRPr="0090131B">
        <w:t xml:space="preserve">as the UK government </w:t>
      </w:r>
      <w:r w:rsidR="00667C5E" w:rsidRPr="0090131B">
        <w:t>labels</w:t>
      </w:r>
      <w:r w:rsidR="00590CDA" w:rsidRPr="0090131B">
        <w:t xml:space="preserve"> it</w:t>
      </w:r>
      <w:r w:rsidR="00AE7DD6" w:rsidRPr="0090131B">
        <w:t xml:space="preserve"> –</w:t>
      </w:r>
      <w:r w:rsidR="007B0270" w:rsidRPr="0090131B">
        <w:t xml:space="preserve"> </w:t>
      </w:r>
      <w:r w:rsidR="00262E3F" w:rsidRPr="0090131B">
        <w:t>may lead</w:t>
      </w:r>
      <w:r w:rsidR="00070E5A" w:rsidRPr="0090131B">
        <w:t xml:space="preserve"> to</w:t>
      </w:r>
      <w:r w:rsidR="007B0270" w:rsidRPr="0090131B">
        <w:t xml:space="preserve"> </w:t>
      </w:r>
      <w:r w:rsidR="0042363C" w:rsidRPr="0090131B">
        <w:t xml:space="preserve">an </w:t>
      </w:r>
      <w:r w:rsidR="007B0270" w:rsidRPr="0090131B">
        <w:rPr>
          <w:i/>
        </w:rPr>
        <w:t>abuse</w:t>
      </w:r>
      <w:r w:rsidR="00070E5A" w:rsidRPr="0090131B">
        <w:rPr>
          <w:i/>
        </w:rPr>
        <w:t xml:space="preserve"> of </w:t>
      </w:r>
      <w:r w:rsidR="0029123B" w:rsidRPr="0090131B">
        <w:rPr>
          <w:i/>
        </w:rPr>
        <w:t>right</w:t>
      </w:r>
      <w:r w:rsidR="00654111" w:rsidRPr="0090131B">
        <w:rPr>
          <w:i/>
        </w:rPr>
        <w:t>s</w:t>
      </w:r>
      <w:r w:rsidR="00EB545B" w:rsidRPr="0090131B">
        <w:t xml:space="preserve">, among other reasons discussed in more detail later in the </w:t>
      </w:r>
      <w:r w:rsidR="00644251" w:rsidRPr="0090131B">
        <w:t>study</w:t>
      </w:r>
      <w:r w:rsidR="00EB545B" w:rsidRPr="0090131B">
        <w:t xml:space="preserve">, because </w:t>
      </w:r>
      <w:r w:rsidR="00325869" w:rsidRPr="0090131B">
        <w:t xml:space="preserve">it is essentially meant for purposes that are not prescribed by the Convention, that is, because </w:t>
      </w:r>
      <w:r w:rsidR="00EB545B" w:rsidRPr="0090131B">
        <w:t>the aims</w:t>
      </w:r>
      <w:r w:rsidR="00070E5A" w:rsidRPr="0090131B">
        <w:t xml:space="preserve"> pursued are not aligned with the </w:t>
      </w:r>
      <w:r w:rsidR="00070E5A" w:rsidRPr="0090131B">
        <w:rPr>
          <w:i/>
        </w:rPr>
        <w:t>raison d’être</w:t>
      </w:r>
      <w:r w:rsidR="002F4326" w:rsidRPr="0090131B">
        <w:rPr>
          <w:i/>
        </w:rPr>
        <w:t xml:space="preserve"> </w:t>
      </w:r>
      <w:r w:rsidR="00B85AAE">
        <w:t>(</w:t>
      </w:r>
      <w:r w:rsidR="00B85AAE" w:rsidRPr="0090131B">
        <w:t>the object and purpose</w:t>
      </w:r>
      <w:r w:rsidR="00B85AAE">
        <w:t>)</w:t>
      </w:r>
      <w:r w:rsidR="00B85AAE" w:rsidRPr="0090131B">
        <w:t xml:space="preserve"> </w:t>
      </w:r>
      <w:r w:rsidR="002F4326" w:rsidRPr="0090131B">
        <w:t>of</w:t>
      </w:r>
      <w:r w:rsidR="0078204E" w:rsidRPr="0090131B">
        <w:rPr>
          <w:i/>
        </w:rPr>
        <w:t xml:space="preserve"> </w:t>
      </w:r>
      <w:r w:rsidR="00654111" w:rsidRPr="0090131B">
        <w:t>Article 15 ECHR that permits d</w:t>
      </w:r>
      <w:r w:rsidR="002F4326" w:rsidRPr="0090131B">
        <w:t xml:space="preserve">erogations from the </w:t>
      </w:r>
      <w:r w:rsidR="00654111" w:rsidRPr="0090131B">
        <w:t xml:space="preserve">rights </w:t>
      </w:r>
      <w:r w:rsidR="0038066A" w:rsidRPr="0090131B">
        <w:t>enshrined in the Convention</w:t>
      </w:r>
      <w:r w:rsidR="00274691" w:rsidRPr="0090131B">
        <w:t>. In similar terms and for the same reasons, the UK may be reproached</w:t>
      </w:r>
      <w:r w:rsidR="0042363C" w:rsidRPr="0090131B">
        <w:t xml:space="preserve"> of acting </w:t>
      </w:r>
      <w:r w:rsidR="008D7F7B" w:rsidRPr="0090131B">
        <w:rPr>
          <w:i/>
        </w:rPr>
        <w:t>mala fide</w:t>
      </w:r>
      <w:r w:rsidR="00274691" w:rsidRPr="0090131B">
        <w:t xml:space="preserve"> </w:t>
      </w:r>
      <w:r w:rsidR="008D7F7B" w:rsidRPr="0090131B">
        <w:t>(in bad faith)</w:t>
      </w:r>
      <w:r w:rsidR="00413E2B">
        <w:t>,</w:t>
      </w:r>
      <w:r w:rsidR="00ED3222">
        <w:t xml:space="preserve"> thereby being</w:t>
      </w:r>
      <w:r w:rsidR="008D7F7B" w:rsidRPr="0090131B">
        <w:t xml:space="preserve"> in breach of its obligation to </w:t>
      </w:r>
      <w:r w:rsidR="008B4EC6" w:rsidRPr="0090131B">
        <w:t>perform the ECHR in good faith.</w:t>
      </w:r>
      <w:bookmarkStart w:id="5" w:name="_Ref492991005"/>
      <w:r w:rsidR="000F7A55" w:rsidRPr="0090131B">
        <w:rPr>
          <w:rStyle w:val="FootnoteReference"/>
        </w:rPr>
        <w:footnoteReference w:id="9"/>
      </w:r>
      <w:bookmarkEnd w:id="5"/>
      <w:r w:rsidR="008B4EC6" w:rsidRPr="0090131B">
        <w:t xml:space="preserve"> </w:t>
      </w:r>
      <w:r w:rsidR="000148DF">
        <w:t xml:space="preserve">To prepare the ground for its main argument, the study </w:t>
      </w:r>
      <w:r w:rsidR="00720DC9">
        <w:t xml:space="preserve">critically </w:t>
      </w:r>
      <w:r w:rsidR="00F04495">
        <w:t>explores</w:t>
      </w:r>
      <w:r w:rsidR="00953352">
        <w:t xml:space="preserve"> the concept of</w:t>
      </w:r>
      <w:r w:rsidR="00D058BA">
        <w:t xml:space="preserve"> </w:t>
      </w:r>
      <w:r w:rsidR="00953352">
        <w:t>“</w:t>
      </w:r>
      <w:r w:rsidR="000148DF">
        <w:t>abuse of rights</w:t>
      </w:r>
      <w:r w:rsidR="00953352">
        <w:t>”</w:t>
      </w:r>
      <w:r w:rsidR="00D058BA">
        <w:t xml:space="preserve"> </w:t>
      </w:r>
      <w:r w:rsidR="007170D3">
        <w:t>from a theoretical perspective</w:t>
      </w:r>
      <w:r w:rsidR="0037645F">
        <w:t>, first,</w:t>
      </w:r>
      <w:r w:rsidR="000148DF">
        <w:t xml:space="preserve"> </w:t>
      </w:r>
      <w:r w:rsidR="007170D3">
        <w:t xml:space="preserve">in terms </w:t>
      </w:r>
      <w:r w:rsidR="000148DF">
        <w:t>of general international law and</w:t>
      </w:r>
      <w:r w:rsidR="0037645F">
        <w:t>, second,</w:t>
      </w:r>
      <w:r w:rsidR="000148DF">
        <w:t xml:space="preserve"> within the ECHR system.</w:t>
      </w:r>
      <w:r w:rsidR="00D058BA">
        <w:t xml:space="preserve"> This way it contribute</w:t>
      </w:r>
      <w:r w:rsidR="00720DC9">
        <w:t>s</w:t>
      </w:r>
      <w:r w:rsidR="00D058BA">
        <w:t xml:space="preserve"> to the</w:t>
      </w:r>
      <w:r w:rsidR="00AE14C1">
        <w:t xml:space="preserve"> (rather scarce) </w:t>
      </w:r>
      <w:r w:rsidR="00CB21E7">
        <w:t xml:space="preserve">literature on abuse of rights in </w:t>
      </w:r>
      <w:r w:rsidR="00AE14C1">
        <w:t>ECHR</w:t>
      </w:r>
      <w:r w:rsidR="00CB21E7">
        <w:t xml:space="preserve"> law </w:t>
      </w:r>
      <w:r w:rsidR="004337E7">
        <w:t>-highlighting</w:t>
      </w:r>
      <w:r w:rsidR="00CB21E7">
        <w:t xml:space="preserve"> especially</w:t>
      </w:r>
      <w:r w:rsidR="00953352">
        <w:t xml:space="preserve"> the</w:t>
      </w:r>
      <w:r w:rsidR="00AB557D">
        <w:t xml:space="preserve"> function and</w:t>
      </w:r>
      <w:r w:rsidR="00953352">
        <w:t xml:space="preserve"> </w:t>
      </w:r>
      <w:r w:rsidR="00ED3222">
        <w:t xml:space="preserve">the </w:t>
      </w:r>
      <w:r w:rsidR="00953352">
        <w:t xml:space="preserve">role </w:t>
      </w:r>
      <w:r w:rsidR="00ED3222">
        <w:t xml:space="preserve">that </w:t>
      </w:r>
      <w:r w:rsidR="00953352">
        <w:t>Article 18</w:t>
      </w:r>
      <w:r w:rsidR="00AB557D">
        <w:t xml:space="preserve"> ECHR</w:t>
      </w:r>
      <w:r w:rsidR="00953352">
        <w:t xml:space="preserve"> can play</w:t>
      </w:r>
      <w:r w:rsidR="00AB557D">
        <w:t xml:space="preserve"> in that respect</w:t>
      </w:r>
      <w:r w:rsidR="00DE1125">
        <w:t>.</w:t>
      </w:r>
      <w:r w:rsidR="007170D3">
        <w:t xml:space="preserve"> To that end</w:t>
      </w:r>
      <w:r w:rsidR="00FE7182">
        <w:t>,</w:t>
      </w:r>
      <w:r w:rsidR="007170D3">
        <w:t xml:space="preserve"> it </w:t>
      </w:r>
      <w:r w:rsidR="00FE7182">
        <w:t xml:space="preserve">discusses in a critical fashion the case law of the </w:t>
      </w:r>
      <w:r w:rsidR="008A4FBF" w:rsidRPr="0090131B">
        <w:t>European Court of Human Rights (ECtHR, the Court)</w:t>
      </w:r>
      <w:r w:rsidR="008A4FBF">
        <w:t xml:space="preserve"> </w:t>
      </w:r>
      <w:r w:rsidR="00FE7182">
        <w:t>and the test that its Grand Chamber (GC) recently established regarding Article 18.</w:t>
      </w:r>
      <w:r w:rsidR="00AB557D">
        <w:t xml:space="preserve"> </w:t>
      </w:r>
      <w:r w:rsidR="000C7A33">
        <w:t>Moreover, w</w:t>
      </w:r>
      <w:r w:rsidR="00CF697A" w:rsidRPr="0090131B">
        <w:t xml:space="preserve">hile preparing the ground </w:t>
      </w:r>
      <w:r w:rsidR="00D313AA" w:rsidRPr="0090131B">
        <w:t>for</w:t>
      </w:r>
      <w:r w:rsidR="00CF697A" w:rsidRPr="0090131B">
        <w:t xml:space="preserve"> its main argument, the </w:t>
      </w:r>
      <w:r w:rsidR="00644251" w:rsidRPr="0090131B">
        <w:t>study</w:t>
      </w:r>
      <w:r w:rsidR="00CF697A" w:rsidRPr="0090131B">
        <w:t xml:space="preserve"> addresses </w:t>
      </w:r>
      <w:r w:rsidR="00BD744B" w:rsidRPr="0090131B">
        <w:t xml:space="preserve">(albeit briefly) </w:t>
      </w:r>
      <w:r w:rsidR="00CF697A" w:rsidRPr="0090131B">
        <w:t xml:space="preserve">an auxiliary question, namely whether the idea of a derogation is fit for purpose given the goals pursued by the </w:t>
      </w:r>
      <w:r w:rsidR="00D313AA" w:rsidRPr="0090131B">
        <w:t>British</w:t>
      </w:r>
      <w:r w:rsidR="00CF697A" w:rsidRPr="0090131B">
        <w:t xml:space="preserve"> government.</w:t>
      </w:r>
      <w:r w:rsidR="00462AB7" w:rsidRPr="0090131B">
        <w:t xml:space="preserve"> </w:t>
      </w:r>
      <w:r w:rsidR="00E2428F" w:rsidRPr="0090131B">
        <w:t xml:space="preserve">The </w:t>
      </w:r>
      <w:r w:rsidR="0090579F" w:rsidRPr="0090131B">
        <w:t xml:space="preserve">point made </w:t>
      </w:r>
      <w:r w:rsidR="0089336A" w:rsidRPr="0090131B">
        <w:t>in</w:t>
      </w:r>
      <w:r w:rsidR="0090579F" w:rsidRPr="0090131B">
        <w:t xml:space="preserve"> respect </w:t>
      </w:r>
      <w:r w:rsidR="0089336A" w:rsidRPr="0090131B">
        <w:t xml:space="preserve">to the suitability of the policy </w:t>
      </w:r>
      <w:r w:rsidR="0090579F" w:rsidRPr="0090131B">
        <w:t xml:space="preserve">is that </w:t>
      </w:r>
      <w:r w:rsidR="000C7A33">
        <w:t>it</w:t>
      </w:r>
      <w:r w:rsidR="0090579F" w:rsidRPr="0090131B">
        <w:t xml:space="preserve"> </w:t>
      </w:r>
      <w:r w:rsidR="00512426" w:rsidRPr="0090131B">
        <w:t>can</w:t>
      </w:r>
      <w:r w:rsidR="00CD1ED3" w:rsidRPr="0090131B">
        <w:t>not</w:t>
      </w:r>
      <w:r w:rsidR="00B61EEB" w:rsidRPr="0090131B">
        <w:t xml:space="preserve"> serve its</w:t>
      </w:r>
      <w:r w:rsidR="00D95477" w:rsidRPr="0090131B">
        <w:t xml:space="preserve"> intended</w:t>
      </w:r>
      <w:r w:rsidR="006E0809" w:rsidRPr="0090131B">
        <w:t xml:space="preserve"> goals </w:t>
      </w:r>
      <w:r w:rsidR="00CD1ED3" w:rsidRPr="0090131B">
        <w:t xml:space="preserve">but </w:t>
      </w:r>
      <w:r w:rsidR="006E0809" w:rsidRPr="0090131B">
        <w:t>to a</w:t>
      </w:r>
      <w:r w:rsidR="00B61EEB" w:rsidRPr="0090131B">
        <w:t xml:space="preserve"> limited </w:t>
      </w:r>
      <w:r w:rsidR="009D5FAF">
        <w:lastRenderedPageBreak/>
        <w:t>extent,</w:t>
      </w:r>
      <w:r w:rsidR="008756EB">
        <w:t xml:space="preserve"> whilst also possibly generating </w:t>
      </w:r>
      <w:r w:rsidR="00B61EEB" w:rsidRPr="0090131B">
        <w:t xml:space="preserve">undesirable </w:t>
      </w:r>
      <w:r w:rsidR="008F6AFC" w:rsidRPr="0090131B">
        <w:t>legal side-effects</w:t>
      </w:r>
      <w:r w:rsidR="0090579F" w:rsidRPr="0090131B">
        <w:t xml:space="preserve">. </w:t>
      </w:r>
      <w:r w:rsidR="00953352">
        <w:t>Finally</w:t>
      </w:r>
      <w:r w:rsidR="008F6AFC" w:rsidRPr="0090131B">
        <w:t>, i</w:t>
      </w:r>
      <w:r w:rsidR="00653106" w:rsidRPr="0090131B">
        <w:t>n its conclusion</w:t>
      </w:r>
      <w:r w:rsidR="00667C5E" w:rsidRPr="0090131B">
        <w:t>s</w:t>
      </w:r>
      <w:r w:rsidR="00413E2B">
        <w:t>,</w:t>
      </w:r>
      <w:r w:rsidR="00653106" w:rsidRPr="0090131B">
        <w:t xml:space="preserve"> the </w:t>
      </w:r>
      <w:r w:rsidR="00644251" w:rsidRPr="0090131B">
        <w:t>study</w:t>
      </w:r>
      <w:r w:rsidR="00653106" w:rsidRPr="0090131B">
        <w:t xml:space="preserve"> argues that </w:t>
      </w:r>
      <w:r w:rsidR="00A75EC4" w:rsidRPr="0090131B">
        <w:t xml:space="preserve">the </w:t>
      </w:r>
      <w:r w:rsidR="00653106" w:rsidRPr="0090131B">
        <w:t xml:space="preserve">UK’s intention to derogate from the ECHR when embarking in military activities outside </w:t>
      </w:r>
      <w:r w:rsidR="008756EB">
        <w:t xml:space="preserve">of </w:t>
      </w:r>
      <w:r w:rsidR="00653106" w:rsidRPr="0090131B">
        <w:t xml:space="preserve">its territory </w:t>
      </w:r>
      <w:r w:rsidR="007E38CD" w:rsidRPr="0090131B">
        <w:t xml:space="preserve">might be seen </w:t>
      </w:r>
      <w:r w:rsidR="000C7A33">
        <w:t>as</w:t>
      </w:r>
      <w:r w:rsidR="00457684" w:rsidRPr="0090131B">
        <w:t xml:space="preserve"> symptomatic</w:t>
      </w:r>
      <w:r w:rsidR="00694BFF" w:rsidRPr="0090131B">
        <w:t xml:space="preserve"> </w:t>
      </w:r>
      <w:r w:rsidR="00457684" w:rsidRPr="0090131B">
        <w:t>of</w:t>
      </w:r>
      <w:r w:rsidR="00694BFF" w:rsidRPr="0090131B">
        <w:t xml:space="preserve"> a broader trend of </w:t>
      </w:r>
      <w:r w:rsidR="00705CF1" w:rsidRPr="0090131B">
        <w:t xml:space="preserve">(British) </w:t>
      </w:r>
      <w:r w:rsidR="00694BFF" w:rsidRPr="0090131B">
        <w:t xml:space="preserve">scepticism </w:t>
      </w:r>
      <w:r w:rsidR="00694BFF" w:rsidRPr="0090131B">
        <w:rPr>
          <w:i/>
        </w:rPr>
        <w:t>vis-à-vis</w:t>
      </w:r>
      <w:r w:rsidR="00694BFF" w:rsidRPr="0090131B">
        <w:t xml:space="preserve"> the ECHR regime and its institutional apparatus</w:t>
      </w:r>
      <w:r w:rsidR="008756EB">
        <w:t>; t</w:t>
      </w:r>
      <w:r w:rsidR="007E38CD" w:rsidRPr="0090131B">
        <w:t>his</w:t>
      </w:r>
      <w:r w:rsidR="00CD1ED3" w:rsidRPr="0090131B">
        <w:t xml:space="preserve"> reflects the </w:t>
      </w:r>
      <w:r w:rsidR="00694BFF" w:rsidRPr="0090131B">
        <w:t>legitimacy c</w:t>
      </w:r>
      <w:r w:rsidR="00457684" w:rsidRPr="0090131B">
        <w:t>hallenges</w:t>
      </w:r>
      <w:r w:rsidR="008756EB">
        <w:t xml:space="preserve"> that</w:t>
      </w:r>
      <w:r w:rsidR="00856CB5" w:rsidRPr="0090131B">
        <w:t xml:space="preserve"> </w:t>
      </w:r>
      <w:r w:rsidR="00CD1ED3" w:rsidRPr="0090131B">
        <w:t>t</w:t>
      </w:r>
      <w:r w:rsidR="00856CB5" w:rsidRPr="0090131B">
        <w:t>he</w:t>
      </w:r>
      <w:r w:rsidR="007E38CD" w:rsidRPr="0090131B">
        <w:t xml:space="preserve"> ECHR is currently</w:t>
      </w:r>
      <w:r w:rsidR="00CD1ED3" w:rsidRPr="0090131B">
        <w:t xml:space="preserve"> </w:t>
      </w:r>
      <w:r w:rsidR="007E38CD" w:rsidRPr="0090131B">
        <w:t>facing</w:t>
      </w:r>
      <w:r w:rsidR="00694BFF" w:rsidRPr="0090131B">
        <w:t>.</w:t>
      </w:r>
      <w:r w:rsidR="00531B87" w:rsidRPr="0090131B">
        <w:t xml:space="preserve"> </w:t>
      </w:r>
    </w:p>
    <w:p w14:paraId="2017F831" w14:textId="2910A098" w:rsidR="0055499E" w:rsidRPr="0090131B" w:rsidRDefault="0055499E" w:rsidP="0055499E">
      <w:pPr>
        <w:jc w:val="both"/>
      </w:pPr>
    </w:p>
    <w:p w14:paraId="170ED0E8" w14:textId="6550BBED" w:rsidR="006669D7" w:rsidRPr="0090131B" w:rsidRDefault="006669D7" w:rsidP="006669D7">
      <w:pPr>
        <w:jc w:val="both"/>
      </w:pPr>
      <w:r w:rsidRPr="0090131B">
        <w:t xml:space="preserve">Before explaining the structure of the </w:t>
      </w:r>
      <w:r w:rsidR="00C85AE9" w:rsidRPr="0090131B">
        <w:t>analysis that follows</w:t>
      </w:r>
      <w:r w:rsidRPr="0090131B">
        <w:t xml:space="preserve">, a few words are due on the delimitation of its scope. As is discussed below, ultimately the </w:t>
      </w:r>
      <w:r w:rsidR="00443915" w:rsidRPr="0090131B">
        <w:t xml:space="preserve">aim of </w:t>
      </w:r>
      <w:r w:rsidR="007E38CD" w:rsidRPr="0090131B">
        <w:t xml:space="preserve">the idea of </w:t>
      </w:r>
      <w:r w:rsidR="00443915" w:rsidRPr="0090131B">
        <w:t>(and</w:t>
      </w:r>
      <w:r w:rsidR="008756EB">
        <w:t xml:space="preserve"> the</w:t>
      </w:r>
      <w:r w:rsidR="00443915" w:rsidRPr="0090131B">
        <w:t xml:space="preserve"> justification for) </w:t>
      </w:r>
      <w:r w:rsidRPr="0090131B">
        <w:t xml:space="preserve">derogating from the </w:t>
      </w:r>
      <w:r w:rsidR="00FF4C8E" w:rsidRPr="0090131B">
        <w:t xml:space="preserve">ECHR when engaging in military activities overseas is that the UK </w:t>
      </w:r>
      <w:r w:rsidR="000379B8" w:rsidRPr="0090131B">
        <w:t xml:space="preserve">can </w:t>
      </w:r>
      <w:r w:rsidR="002B3ADE" w:rsidRPr="0090131B">
        <w:t>escape</w:t>
      </w:r>
      <w:r w:rsidR="00FF4C8E" w:rsidRPr="0090131B">
        <w:t xml:space="preserve"> </w:t>
      </w:r>
      <w:r w:rsidR="00DD2C82" w:rsidRPr="0090131B">
        <w:t>accountability</w:t>
      </w:r>
      <w:r w:rsidR="00514F24" w:rsidRPr="0090131B">
        <w:t xml:space="preserve"> (and the consequences </w:t>
      </w:r>
      <w:r w:rsidR="00E07532">
        <w:t xml:space="preserve">that </w:t>
      </w:r>
      <w:r w:rsidR="009D5FAF">
        <w:t>accountability</w:t>
      </w:r>
      <w:r w:rsidR="00514F24" w:rsidRPr="0090131B">
        <w:t xml:space="preserve"> entails</w:t>
      </w:r>
      <w:r w:rsidR="003C71DA" w:rsidRPr="0090131B">
        <w:t>,</w:t>
      </w:r>
      <w:r w:rsidR="00514F24" w:rsidRPr="0090131B">
        <w:t xml:space="preserve"> as these </w:t>
      </w:r>
      <w:r w:rsidR="001E7C63" w:rsidRPr="0090131B">
        <w:t>are</w:t>
      </w:r>
      <w:r w:rsidR="003C71DA" w:rsidRPr="0090131B">
        <w:t xml:space="preserve"> </w:t>
      </w:r>
      <w:r w:rsidR="00514F24" w:rsidRPr="0090131B">
        <w:t xml:space="preserve">perceived by the </w:t>
      </w:r>
      <w:r w:rsidR="00D176D5" w:rsidRPr="0090131B">
        <w:t>British</w:t>
      </w:r>
      <w:r w:rsidR="00514F24" w:rsidRPr="0090131B">
        <w:t xml:space="preserve"> government)</w:t>
      </w:r>
      <w:r w:rsidR="00FF4C8E" w:rsidRPr="0090131B">
        <w:t xml:space="preserve"> </w:t>
      </w:r>
      <w:r w:rsidR="0000457B" w:rsidRPr="0090131B">
        <w:t>regarding</w:t>
      </w:r>
      <w:r w:rsidR="00FF4C8E" w:rsidRPr="0090131B">
        <w:t xml:space="preserve"> </w:t>
      </w:r>
      <w:r w:rsidR="0000457B" w:rsidRPr="0090131B">
        <w:t xml:space="preserve">the </w:t>
      </w:r>
      <w:r w:rsidR="00FF4C8E" w:rsidRPr="0090131B">
        <w:t xml:space="preserve">extraterritorial application of the ECHR </w:t>
      </w:r>
      <w:r w:rsidR="00E35FA0" w:rsidRPr="0090131B">
        <w:t xml:space="preserve">in situations </w:t>
      </w:r>
      <w:r w:rsidR="00A1091E" w:rsidRPr="0090131B">
        <w:t xml:space="preserve">that </w:t>
      </w:r>
      <w:r w:rsidR="0000457B" w:rsidRPr="0090131B">
        <w:t>involv</w:t>
      </w:r>
      <w:r w:rsidR="00A1091E" w:rsidRPr="0090131B">
        <w:t>e</w:t>
      </w:r>
      <w:r w:rsidR="00FF4C8E" w:rsidRPr="0090131B">
        <w:t xml:space="preserve"> humanitarian law. Indeed, b</w:t>
      </w:r>
      <w:r w:rsidRPr="0090131B">
        <w:t>oth</w:t>
      </w:r>
      <w:r w:rsidR="008756EB">
        <w:t xml:space="preserve"> of</w:t>
      </w:r>
      <w:r w:rsidRPr="0090131B">
        <w:t xml:space="preserve"> these issues, </w:t>
      </w:r>
      <w:r w:rsidR="00E46CB1" w:rsidRPr="0090131B">
        <w:rPr>
          <w:i/>
        </w:rPr>
        <w:t>i.e.</w:t>
      </w:r>
      <w:r w:rsidRPr="0090131B">
        <w:t xml:space="preserve"> extraterritoriality</w:t>
      </w:r>
      <w:bookmarkStart w:id="6" w:name="_Ref492890644"/>
      <w:r w:rsidR="00331248" w:rsidRPr="0090131B">
        <w:rPr>
          <w:rStyle w:val="FootnoteReference"/>
        </w:rPr>
        <w:footnoteReference w:id="10"/>
      </w:r>
      <w:bookmarkEnd w:id="6"/>
      <w:r w:rsidRPr="0090131B">
        <w:t xml:space="preserve"> and applicable law </w:t>
      </w:r>
      <w:r w:rsidR="00140C61" w:rsidRPr="0090131B">
        <w:t xml:space="preserve">in the dilemma </w:t>
      </w:r>
      <w:r w:rsidRPr="0090131B">
        <w:t xml:space="preserve">between </w:t>
      </w:r>
      <w:r w:rsidR="005021F9" w:rsidRPr="0090131B">
        <w:t xml:space="preserve">international </w:t>
      </w:r>
      <w:r w:rsidRPr="0090131B">
        <w:t>human rights</w:t>
      </w:r>
      <w:r w:rsidR="002E36FC" w:rsidRPr="0090131B">
        <w:t xml:space="preserve"> law</w:t>
      </w:r>
      <w:r w:rsidRPr="0090131B">
        <w:t xml:space="preserve"> and </w:t>
      </w:r>
      <w:r w:rsidR="005021F9" w:rsidRPr="0090131B">
        <w:t xml:space="preserve">international </w:t>
      </w:r>
      <w:r w:rsidRPr="0090131B">
        <w:t>humanitarian law</w:t>
      </w:r>
      <w:r w:rsidR="005021F9" w:rsidRPr="0090131B">
        <w:t xml:space="preserve"> (IHL)</w:t>
      </w:r>
      <w:r w:rsidRPr="0090131B">
        <w:t>,</w:t>
      </w:r>
      <w:r w:rsidR="00331248" w:rsidRPr="0090131B">
        <w:rPr>
          <w:rStyle w:val="FootnoteReference"/>
        </w:rPr>
        <w:footnoteReference w:id="11"/>
      </w:r>
      <w:r w:rsidRPr="0090131B">
        <w:t xml:space="preserve"> are central </w:t>
      </w:r>
      <w:r w:rsidR="003D2CE7" w:rsidRPr="0090131B">
        <w:t>in the argumentation of the UK g</w:t>
      </w:r>
      <w:r w:rsidRPr="0090131B">
        <w:t>overnment and amongst the reasons informin</w:t>
      </w:r>
      <w:r w:rsidR="00C85AE9" w:rsidRPr="0090131B">
        <w:t xml:space="preserve">g its wish to derogate. The </w:t>
      </w:r>
      <w:r w:rsidR="00644251" w:rsidRPr="0090131B">
        <w:t>study</w:t>
      </w:r>
      <w:r w:rsidRPr="0090131B">
        <w:t xml:space="preserve"> does not discuss any of these two questions</w:t>
      </w:r>
      <w:r w:rsidR="00331248" w:rsidRPr="0090131B">
        <w:t xml:space="preserve"> from a theoretical perspective</w:t>
      </w:r>
      <w:r w:rsidR="009020A8" w:rsidRPr="0090131B">
        <w:t xml:space="preserve">, as this is not necessary for the arguments </w:t>
      </w:r>
      <w:r w:rsidR="00E07532">
        <w:t xml:space="preserve">that </w:t>
      </w:r>
      <w:r w:rsidR="009020A8" w:rsidRPr="0090131B">
        <w:t>it makes.</w:t>
      </w:r>
      <w:r w:rsidR="008F1252" w:rsidRPr="0090131B">
        <w:t xml:space="preserve"> </w:t>
      </w:r>
    </w:p>
    <w:p w14:paraId="7E2CC858" w14:textId="77777777" w:rsidR="006669D7" w:rsidRPr="0090131B" w:rsidRDefault="006669D7" w:rsidP="0055499E">
      <w:pPr>
        <w:jc w:val="both"/>
      </w:pPr>
    </w:p>
    <w:p w14:paraId="01F9FD86" w14:textId="53F77748" w:rsidR="00B81FCF" w:rsidRPr="0090131B" w:rsidRDefault="003B4358" w:rsidP="00A811CD">
      <w:pPr>
        <w:jc w:val="both"/>
      </w:pPr>
      <w:r w:rsidRPr="0090131B">
        <w:t xml:space="preserve">As far as structure </w:t>
      </w:r>
      <w:r w:rsidR="0000457B" w:rsidRPr="0090131B">
        <w:t xml:space="preserve">is concerned, </w:t>
      </w:r>
      <w:r w:rsidRPr="0090131B">
        <w:t>t</w:t>
      </w:r>
      <w:r w:rsidR="00C85AE9" w:rsidRPr="0090131B">
        <w:t xml:space="preserve">he </w:t>
      </w:r>
      <w:r w:rsidR="00644251" w:rsidRPr="0090131B">
        <w:t>study</w:t>
      </w:r>
      <w:r w:rsidRPr="0090131B">
        <w:t xml:space="preserve"> starts </w:t>
      </w:r>
      <w:r w:rsidR="0058394D" w:rsidRPr="0090131B">
        <w:t>by describing</w:t>
      </w:r>
      <w:r w:rsidR="00AA5112" w:rsidRPr="0090131B">
        <w:t xml:space="preserve"> in Part </w:t>
      </w:r>
      <w:r w:rsidR="008D59BE" w:rsidRPr="0090131B">
        <w:t>II</w:t>
      </w:r>
      <w:r w:rsidR="00F36BD9" w:rsidRPr="0090131B">
        <w:t xml:space="preserve"> the state of affairs </w:t>
      </w:r>
      <w:r w:rsidR="009E7C15">
        <w:t xml:space="preserve"> surrounding </w:t>
      </w:r>
      <w:r w:rsidR="00A75EC4" w:rsidRPr="0090131B">
        <w:t xml:space="preserve">the </w:t>
      </w:r>
      <w:r w:rsidR="008F1252" w:rsidRPr="0090131B">
        <w:t>UK’s</w:t>
      </w:r>
      <w:r w:rsidR="00F36BD9" w:rsidRPr="0090131B">
        <w:t xml:space="preserve"> intention to derogate from the ECHR. </w:t>
      </w:r>
      <w:r w:rsidR="009574AA" w:rsidRPr="0090131B">
        <w:t>It will be shown that</w:t>
      </w:r>
      <w:r w:rsidR="00E07532">
        <w:t>,</w:t>
      </w:r>
      <w:r w:rsidR="009574AA" w:rsidRPr="0090131B">
        <w:t xml:space="preserve"> </w:t>
      </w:r>
      <w:r w:rsidR="009E7C15">
        <w:t xml:space="preserve">although </w:t>
      </w:r>
      <w:r w:rsidR="009574AA" w:rsidRPr="0090131B">
        <w:t xml:space="preserve">the initial </w:t>
      </w:r>
      <w:r w:rsidR="005C4910" w:rsidRPr="0090131B">
        <w:t>statement</w:t>
      </w:r>
      <w:r w:rsidR="00613CF5" w:rsidRPr="0090131B">
        <w:t xml:space="preserve"> by the DS</w:t>
      </w:r>
      <w:r w:rsidR="008B24DB" w:rsidRPr="0090131B">
        <w:t xml:space="preserve"> </w:t>
      </w:r>
      <w:r w:rsidR="009574AA" w:rsidRPr="0090131B">
        <w:t xml:space="preserve">has </w:t>
      </w:r>
      <w:r w:rsidR="00DF174A" w:rsidRPr="0090131B">
        <w:t xml:space="preserve">now </w:t>
      </w:r>
      <w:r w:rsidR="009574AA" w:rsidRPr="0090131B">
        <w:t>been mitigated</w:t>
      </w:r>
      <w:r w:rsidR="006E50F2" w:rsidRPr="0090131B">
        <w:t xml:space="preserve"> to some degree</w:t>
      </w:r>
      <w:r w:rsidR="00A4539A" w:rsidRPr="0090131B">
        <w:t xml:space="preserve">, </w:t>
      </w:r>
      <w:r w:rsidR="009E7C15">
        <w:t>it</w:t>
      </w:r>
      <w:r w:rsidR="00A4539A" w:rsidRPr="0090131B">
        <w:t xml:space="preserve"> still </w:t>
      </w:r>
      <w:r w:rsidR="009574AA" w:rsidRPr="0090131B">
        <w:t>leav</w:t>
      </w:r>
      <w:r w:rsidR="00A4539A" w:rsidRPr="0090131B">
        <w:t>e</w:t>
      </w:r>
      <w:r w:rsidR="00C8175D" w:rsidRPr="0090131B">
        <w:t>s</w:t>
      </w:r>
      <w:r w:rsidR="009574AA" w:rsidRPr="0090131B">
        <w:t xml:space="preserve"> us with speculations that do not offer </w:t>
      </w:r>
      <w:r w:rsidR="009D3318" w:rsidRPr="0090131B">
        <w:t xml:space="preserve">a </w:t>
      </w:r>
      <w:r w:rsidR="008B1A15" w:rsidRPr="0090131B">
        <w:t xml:space="preserve">solid basis for a legal assessment of the lawfulness of the intended </w:t>
      </w:r>
      <w:r w:rsidR="000451F7" w:rsidRPr="0090131B">
        <w:t>derogation</w:t>
      </w:r>
      <w:r w:rsidR="008B1A15" w:rsidRPr="0090131B">
        <w:t>(s)</w:t>
      </w:r>
      <w:r w:rsidR="00E204C0" w:rsidRPr="0090131B">
        <w:t xml:space="preserve"> in concrete terms</w:t>
      </w:r>
      <w:r w:rsidR="009574AA" w:rsidRPr="0090131B">
        <w:t xml:space="preserve">. </w:t>
      </w:r>
      <w:r w:rsidR="008B24DB" w:rsidRPr="0090131B">
        <w:t xml:space="preserve">Part </w:t>
      </w:r>
      <w:r w:rsidR="008D59BE" w:rsidRPr="0090131B">
        <w:t>III</w:t>
      </w:r>
      <w:r w:rsidR="0057588D" w:rsidRPr="0090131B">
        <w:t xml:space="preserve"> </w:t>
      </w:r>
      <w:r w:rsidR="00613CF5" w:rsidRPr="0090131B">
        <w:t xml:space="preserve">identifies the main </w:t>
      </w:r>
      <w:r w:rsidR="00D1685D" w:rsidRPr="0090131B">
        <w:t>ends</w:t>
      </w:r>
      <w:r w:rsidR="00613CF5" w:rsidRPr="0090131B">
        <w:t xml:space="preserve"> pursued through the </w:t>
      </w:r>
      <w:r w:rsidR="009E7C15">
        <w:t xml:space="preserve">UK’s </w:t>
      </w:r>
      <w:r w:rsidR="00613CF5" w:rsidRPr="0090131B">
        <w:t xml:space="preserve">policy and </w:t>
      </w:r>
      <w:r w:rsidR="00CB7CDB" w:rsidRPr="0090131B">
        <w:t>briefly discusses</w:t>
      </w:r>
      <w:r w:rsidR="00334E24" w:rsidRPr="0090131B">
        <w:t xml:space="preserve"> a number of reasons as to why </w:t>
      </w:r>
      <w:r w:rsidR="00B82E15" w:rsidRPr="0090131B">
        <w:t>derogati</w:t>
      </w:r>
      <w:r w:rsidR="00334E24" w:rsidRPr="0090131B">
        <w:t>n</w:t>
      </w:r>
      <w:r w:rsidR="00B82E15" w:rsidRPr="0090131B">
        <w:t>g from the ECHR</w:t>
      </w:r>
      <w:r w:rsidR="00334E24" w:rsidRPr="0090131B">
        <w:t xml:space="preserve"> is not fit for purpose</w:t>
      </w:r>
      <w:r w:rsidR="00613CF5" w:rsidRPr="0090131B">
        <w:t xml:space="preserve"> </w:t>
      </w:r>
      <w:r w:rsidR="009E7C15">
        <w:t>(</w:t>
      </w:r>
      <w:r w:rsidR="00E46CB1" w:rsidRPr="0090131B">
        <w:rPr>
          <w:i/>
        </w:rPr>
        <w:t>i.e.</w:t>
      </w:r>
      <w:r w:rsidR="00613CF5" w:rsidRPr="0090131B">
        <w:t xml:space="preserve"> it </w:t>
      </w:r>
      <w:r w:rsidR="00D1685D" w:rsidRPr="0090131B">
        <w:t>can</w:t>
      </w:r>
      <w:r w:rsidR="00613CF5" w:rsidRPr="0090131B">
        <w:t xml:space="preserve">not </w:t>
      </w:r>
      <w:r w:rsidR="00D1685D" w:rsidRPr="0090131B">
        <w:t xml:space="preserve">satisfactorily </w:t>
      </w:r>
      <w:r w:rsidR="00613CF5" w:rsidRPr="0090131B">
        <w:t xml:space="preserve">serve the goals </w:t>
      </w:r>
      <w:r w:rsidR="00D1685D" w:rsidRPr="0090131B">
        <w:t>set by the British government</w:t>
      </w:r>
      <w:r w:rsidR="009E7C15">
        <w:t>)</w:t>
      </w:r>
      <w:r w:rsidR="00334E24" w:rsidRPr="0090131B">
        <w:t xml:space="preserve">. </w:t>
      </w:r>
      <w:r w:rsidR="00593D99" w:rsidRPr="0090131B">
        <w:t xml:space="preserve">Part </w:t>
      </w:r>
      <w:r w:rsidR="008D59BE" w:rsidRPr="0090131B">
        <w:t>IV</w:t>
      </w:r>
      <w:r w:rsidR="00593D99" w:rsidRPr="0090131B">
        <w:t xml:space="preserve"> </w:t>
      </w:r>
      <w:r w:rsidR="00FC6FEB" w:rsidRPr="0090131B">
        <w:t>provides</w:t>
      </w:r>
      <w:r w:rsidR="009E7C15">
        <w:t>,</w:t>
      </w:r>
      <w:r w:rsidR="00FC6FEB" w:rsidRPr="0090131B">
        <w:t xml:space="preserve"> in a critical fashion</w:t>
      </w:r>
      <w:r w:rsidR="009E7C15">
        <w:t>,</w:t>
      </w:r>
      <w:r w:rsidR="00FC6FEB" w:rsidRPr="0090131B">
        <w:t xml:space="preserve"> the theoretical framework </w:t>
      </w:r>
      <w:r w:rsidR="001C4E6C" w:rsidRPr="0090131B">
        <w:t xml:space="preserve">of abuse of rights (and partially bad faith) in terms of general international law and, </w:t>
      </w:r>
      <w:r w:rsidR="009E7C15">
        <w:t xml:space="preserve"> primarily</w:t>
      </w:r>
      <w:r w:rsidR="001C4E6C" w:rsidRPr="0090131B">
        <w:t xml:space="preserve">, ECHR law. Part V applies this framework in the context of </w:t>
      </w:r>
      <w:r w:rsidR="004A6AD3">
        <w:t xml:space="preserve">the </w:t>
      </w:r>
      <w:r w:rsidR="001C4E6C" w:rsidRPr="0090131B">
        <w:t>UK derogation(s) policy</w:t>
      </w:r>
      <w:r w:rsidR="005721CD" w:rsidRPr="0090131B">
        <w:t xml:space="preserve"> and examines whether</w:t>
      </w:r>
      <w:r w:rsidR="00593D99" w:rsidRPr="0090131B">
        <w:t xml:space="preserve"> </w:t>
      </w:r>
      <w:r w:rsidR="00B82E15" w:rsidRPr="0090131B">
        <w:t>derogating</w:t>
      </w:r>
      <w:r w:rsidR="0039662D" w:rsidRPr="0090131B">
        <w:t xml:space="preserve"> from the ECHR</w:t>
      </w:r>
      <w:r w:rsidR="00635581" w:rsidRPr="0090131B">
        <w:t xml:space="preserve"> for the purposes and under the terms suggested by the British government </w:t>
      </w:r>
      <w:r w:rsidR="003519A5">
        <w:t xml:space="preserve">may </w:t>
      </w:r>
      <w:r w:rsidR="00F31946" w:rsidRPr="0090131B">
        <w:t>amount to</w:t>
      </w:r>
      <w:r w:rsidR="0039662D" w:rsidRPr="0090131B">
        <w:t xml:space="preserve"> </w:t>
      </w:r>
      <w:r w:rsidR="00F13AAD">
        <w:t xml:space="preserve">an </w:t>
      </w:r>
      <w:r w:rsidR="0039662D" w:rsidRPr="0090131B">
        <w:t>ab</w:t>
      </w:r>
      <w:r w:rsidR="00593D99" w:rsidRPr="0090131B">
        <w:t>use of</w:t>
      </w:r>
      <w:r w:rsidR="00C8175D" w:rsidRPr="0090131B">
        <w:t xml:space="preserve"> </w:t>
      </w:r>
      <w:r w:rsidR="00244D0A" w:rsidRPr="0090131B">
        <w:t>right</w:t>
      </w:r>
      <w:r w:rsidR="00F31946" w:rsidRPr="0090131B">
        <w:t>s</w:t>
      </w:r>
      <w:r w:rsidR="00593D99" w:rsidRPr="0090131B">
        <w:t xml:space="preserve">. </w:t>
      </w:r>
      <w:r w:rsidR="006A365A" w:rsidRPr="0090131B">
        <w:t xml:space="preserve">Part </w:t>
      </w:r>
      <w:r w:rsidR="00AB29FA" w:rsidRPr="0090131B">
        <w:t>VI</w:t>
      </w:r>
      <w:r w:rsidR="006A365A" w:rsidRPr="0090131B">
        <w:t xml:space="preserve"> </w:t>
      </w:r>
      <w:r w:rsidR="00AC4586" w:rsidRPr="0090131B">
        <w:t xml:space="preserve">concludes by </w:t>
      </w:r>
      <w:r w:rsidR="00BA7E23" w:rsidRPr="0090131B">
        <w:t>link</w:t>
      </w:r>
      <w:r w:rsidR="00244D22" w:rsidRPr="0090131B">
        <w:t>ing</w:t>
      </w:r>
      <w:r w:rsidR="00BA7E23" w:rsidRPr="0090131B">
        <w:t xml:space="preserve"> the inten</w:t>
      </w:r>
      <w:r w:rsidR="005564E8" w:rsidRPr="0090131B">
        <w:t xml:space="preserve">ded derogation with (British) scepticism </w:t>
      </w:r>
      <w:r w:rsidR="005564E8" w:rsidRPr="0090131B">
        <w:rPr>
          <w:i/>
        </w:rPr>
        <w:t>vis-à-vis</w:t>
      </w:r>
      <w:r w:rsidR="005564E8" w:rsidRPr="0090131B">
        <w:t xml:space="preserve"> the ECHR regime and, more generally, institutions promoting European integration</w:t>
      </w:r>
      <w:r w:rsidR="008D2E10" w:rsidRPr="0090131B">
        <w:t>.</w:t>
      </w:r>
      <w:r w:rsidR="00531B87" w:rsidRPr="0090131B">
        <w:t xml:space="preserve"> </w:t>
      </w:r>
    </w:p>
    <w:p w14:paraId="148A5689" w14:textId="649ECEB7" w:rsidR="00AA5112" w:rsidRDefault="00AA5112" w:rsidP="00A811CD">
      <w:pPr>
        <w:jc w:val="both"/>
      </w:pPr>
    </w:p>
    <w:p w14:paraId="3B6D3E6A" w14:textId="69002C9E" w:rsidR="00E07532" w:rsidRDefault="00E07532" w:rsidP="00A811CD">
      <w:pPr>
        <w:jc w:val="both"/>
      </w:pPr>
    </w:p>
    <w:p w14:paraId="46BC8782" w14:textId="77777777" w:rsidR="00E07532" w:rsidRPr="0090131B" w:rsidRDefault="00E07532" w:rsidP="00A811CD">
      <w:pPr>
        <w:jc w:val="both"/>
      </w:pPr>
    </w:p>
    <w:p w14:paraId="37F40380" w14:textId="3B22CCC7" w:rsidR="00800457" w:rsidRPr="001B2330" w:rsidRDefault="008E7ADF" w:rsidP="006E0B80">
      <w:pPr>
        <w:ind w:firstLine="720"/>
      </w:pPr>
      <w:r w:rsidRPr="001B2330">
        <w:rPr>
          <w:b/>
        </w:rPr>
        <w:t xml:space="preserve">II. </w:t>
      </w:r>
      <w:r w:rsidR="00A75EC4" w:rsidRPr="006E0B80">
        <w:rPr>
          <w:b/>
        </w:rPr>
        <w:t xml:space="preserve">The </w:t>
      </w:r>
      <w:r w:rsidR="00540A7C" w:rsidRPr="006E0B80">
        <w:rPr>
          <w:b/>
        </w:rPr>
        <w:t xml:space="preserve">UK’s </w:t>
      </w:r>
      <w:r w:rsidR="00BD27F1" w:rsidRPr="006E0B80">
        <w:rPr>
          <w:b/>
        </w:rPr>
        <w:t>I</w:t>
      </w:r>
      <w:r w:rsidR="00540A7C" w:rsidRPr="006E0B80">
        <w:rPr>
          <w:b/>
        </w:rPr>
        <w:t xml:space="preserve">ntention to </w:t>
      </w:r>
      <w:r w:rsidR="00BD27F1" w:rsidRPr="006E0B80">
        <w:rPr>
          <w:b/>
        </w:rPr>
        <w:t>D</w:t>
      </w:r>
      <w:r w:rsidR="00540A7C" w:rsidRPr="006E0B80">
        <w:rPr>
          <w:b/>
        </w:rPr>
        <w:t xml:space="preserve">erogate </w:t>
      </w:r>
      <w:r w:rsidR="00BD27F1" w:rsidRPr="006E0B80">
        <w:rPr>
          <w:b/>
        </w:rPr>
        <w:t>F</w:t>
      </w:r>
      <w:r w:rsidR="00540A7C" w:rsidRPr="006E0B80">
        <w:rPr>
          <w:b/>
        </w:rPr>
        <w:t xml:space="preserve">rom the </w:t>
      </w:r>
      <w:r w:rsidR="00BD27F1" w:rsidRPr="006E0B80">
        <w:rPr>
          <w:b/>
        </w:rPr>
        <w:t>ECHR for F</w:t>
      </w:r>
      <w:r w:rsidR="00E21FF9" w:rsidRPr="006E0B80">
        <w:rPr>
          <w:b/>
        </w:rPr>
        <w:t xml:space="preserve">uture </w:t>
      </w:r>
      <w:r w:rsidR="00BD27F1" w:rsidRPr="006E0B80">
        <w:rPr>
          <w:b/>
        </w:rPr>
        <w:t>C</w:t>
      </w:r>
      <w:r w:rsidR="00E21FF9" w:rsidRPr="006E0B80">
        <w:rPr>
          <w:b/>
        </w:rPr>
        <w:t xml:space="preserve">onflicts </w:t>
      </w:r>
      <w:r w:rsidR="00BD27F1" w:rsidRPr="006E0B80">
        <w:rPr>
          <w:b/>
        </w:rPr>
        <w:t>O</w:t>
      </w:r>
      <w:r w:rsidR="00E21FF9" w:rsidRPr="006E0B80">
        <w:rPr>
          <w:b/>
        </w:rPr>
        <w:t>verseas</w:t>
      </w:r>
      <w:r w:rsidR="00880C56" w:rsidRPr="006E0B80">
        <w:rPr>
          <w:b/>
        </w:rPr>
        <w:t xml:space="preserve">: </w:t>
      </w:r>
      <w:r w:rsidR="00BD27F1" w:rsidRPr="006E0B80">
        <w:rPr>
          <w:b/>
        </w:rPr>
        <w:t>W</w:t>
      </w:r>
      <w:r w:rsidR="00880C56" w:rsidRPr="006E0B80">
        <w:rPr>
          <w:b/>
        </w:rPr>
        <w:t xml:space="preserve">hat </w:t>
      </w:r>
      <w:r w:rsidR="00BD27F1" w:rsidRPr="006E0B80">
        <w:rPr>
          <w:b/>
        </w:rPr>
        <w:t>W</w:t>
      </w:r>
      <w:r w:rsidR="00880C56" w:rsidRPr="006E0B80">
        <w:rPr>
          <w:b/>
        </w:rPr>
        <w:t xml:space="preserve">e </w:t>
      </w:r>
      <w:r w:rsidR="00BD27F1" w:rsidRPr="006E0B80">
        <w:rPr>
          <w:b/>
        </w:rPr>
        <w:t>O</w:t>
      </w:r>
      <w:r w:rsidR="00D1685D" w:rsidRPr="006E0B80">
        <w:rPr>
          <w:b/>
        </w:rPr>
        <w:t xml:space="preserve">fficially </w:t>
      </w:r>
      <w:r w:rsidR="00BD27F1" w:rsidRPr="006E0B80">
        <w:rPr>
          <w:b/>
        </w:rPr>
        <w:t>K</w:t>
      </w:r>
      <w:r w:rsidR="00D1685D" w:rsidRPr="006E0B80">
        <w:rPr>
          <w:b/>
        </w:rPr>
        <w:t>now</w:t>
      </w:r>
    </w:p>
    <w:p w14:paraId="30996804" w14:textId="6F376930" w:rsidR="0048701B" w:rsidRPr="0090131B" w:rsidRDefault="000314AF" w:rsidP="008016DB">
      <w:pPr>
        <w:jc w:val="both"/>
      </w:pPr>
      <w:r w:rsidRPr="0090131B">
        <w:t>Th</w:t>
      </w:r>
      <w:r w:rsidR="00635581" w:rsidRPr="0090131B">
        <w:t xml:space="preserve">e </w:t>
      </w:r>
      <w:r w:rsidR="00644251" w:rsidRPr="0090131B">
        <w:t>study</w:t>
      </w:r>
      <w:r w:rsidR="00FF7AAD" w:rsidRPr="0090131B">
        <w:t xml:space="preserve"> </w:t>
      </w:r>
      <w:r w:rsidR="00E310D0" w:rsidRPr="0090131B">
        <w:t>opened</w:t>
      </w:r>
      <w:r w:rsidR="00FF7AAD" w:rsidRPr="0090131B">
        <w:t xml:space="preserve"> by quoting</w:t>
      </w:r>
      <w:r w:rsidR="008D2E10" w:rsidRPr="0090131B">
        <w:t xml:space="preserve"> </w:t>
      </w:r>
      <w:r w:rsidR="00F666BD">
        <w:t xml:space="preserve">the then </w:t>
      </w:r>
      <w:r w:rsidR="008D2E10" w:rsidRPr="0090131B">
        <w:t>DS’ words when he first</w:t>
      </w:r>
      <w:r w:rsidR="00F13AAD">
        <w:t xml:space="preserve"> </w:t>
      </w:r>
      <w:r w:rsidR="008D2E10" w:rsidRPr="0090131B">
        <w:t>announced</w:t>
      </w:r>
      <w:r w:rsidR="00F13AAD">
        <w:t>,</w:t>
      </w:r>
      <w:r w:rsidR="008D2E10" w:rsidRPr="0090131B">
        <w:t xml:space="preserve"> in</w:t>
      </w:r>
      <w:r w:rsidR="00DC026E" w:rsidRPr="0090131B">
        <w:t xml:space="preserve"> October</w:t>
      </w:r>
      <w:r w:rsidR="00046349" w:rsidRPr="0090131B">
        <w:t xml:space="preserve"> 2016</w:t>
      </w:r>
      <w:r w:rsidR="00F13AAD">
        <w:t>,</w:t>
      </w:r>
      <w:r w:rsidR="008D2E10" w:rsidRPr="0090131B">
        <w:t xml:space="preserve"> the intention of the British government to derogate from the </w:t>
      </w:r>
      <w:r w:rsidR="00650873" w:rsidRPr="0090131B">
        <w:t>ECHR before embarking o</w:t>
      </w:r>
      <w:r w:rsidR="008D2E10" w:rsidRPr="0090131B">
        <w:t xml:space="preserve">n military activities overseas. </w:t>
      </w:r>
      <w:r w:rsidR="008016DB" w:rsidRPr="0090131B">
        <w:t>As already explained, this</w:t>
      </w:r>
      <w:r w:rsidR="00702750" w:rsidRPr="0090131B">
        <w:t xml:space="preserve"> has</w:t>
      </w:r>
      <w:r w:rsidR="008016DB" w:rsidRPr="0090131B">
        <w:t xml:space="preserve"> generated a reaction by the Joint Committee on Human Rights of the UK Parliament. </w:t>
      </w:r>
      <w:r w:rsidR="008E5F21" w:rsidRPr="0090131B">
        <w:t>The</w:t>
      </w:r>
      <w:r w:rsidR="006E3E35" w:rsidRPr="0090131B">
        <w:t xml:space="preserve"> Committee’s r</w:t>
      </w:r>
      <w:r w:rsidR="00A72307" w:rsidRPr="0090131B">
        <w:t xml:space="preserve">esponse came a few </w:t>
      </w:r>
      <w:r w:rsidR="00A72307" w:rsidRPr="0090131B">
        <w:lastRenderedPageBreak/>
        <w:t xml:space="preserve">days </w:t>
      </w:r>
      <w:r w:rsidR="00F13AAD">
        <w:t>after the DS’ statement</w:t>
      </w:r>
      <w:r w:rsidR="00765882" w:rsidRPr="0090131B">
        <w:t>, when it</w:t>
      </w:r>
      <w:r w:rsidR="00D026F9" w:rsidRPr="0090131B">
        <w:t>s Chair</w:t>
      </w:r>
      <w:r w:rsidR="00F41600" w:rsidRPr="0090131B">
        <w:t xml:space="preserve">, </w:t>
      </w:r>
      <w:r w:rsidR="009C54A2" w:rsidRPr="0090131B">
        <w:t>Member of Parliament (</w:t>
      </w:r>
      <w:r w:rsidR="000E3428" w:rsidRPr="0090131B">
        <w:t>MP</w:t>
      </w:r>
      <w:r w:rsidR="009C54A2" w:rsidRPr="0090131B">
        <w:t>)</w:t>
      </w:r>
      <w:r w:rsidR="000E3428" w:rsidRPr="0090131B">
        <w:t xml:space="preserve"> Harriet Harman,</w:t>
      </w:r>
      <w:r w:rsidR="00765882" w:rsidRPr="0090131B">
        <w:t xml:space="preserve"> wrote to the </w:t>
      </w:r>
      <w:r w:rsidR="00C63CF8" w:rsidRPr="0090131B">
        <w:t>DS</w:t>
      </w:r>
      <w:r w:rsidR="00765882" w:rsidRPr="0090131B">
        <w:t xml:space="preserve"> </w:t>
      </w:r>
      <w:r w:rsidR="004817DA" w:rsidRPr="0090131B">
        <w:t>to request</w:t>
      </w:r>
      <w:r w:rsidR="00106962" w:rsidRPr="0090131B">
        <w:t xml:space="preserve"> a detailed Memorandum</w:t>
      </w:r>
      <w:r w:rsidR="00F13AAD">
        <w:t xml:space="preserve"> explaining</w:t>
      </w:r>
      <w:r w:rsidR="001D4102" w:rsidRPr="0090131B">
        <w:t xml:space="preserve">, </w:t>
      </w:r>
      <w:r w:rsidR="001D4102" w:rsidRPr="0090131B">
        <w:rPr>
          <w:i/>
        </w:rPr>
        <w:t>inter alia</w:t>
      </w:r>
      <w:r w:rsidR="001D4102" w:rsidRPr="0090131B">
        <w:t>,</w:t>
      </w:r>
      <w:r w:rsidR="00C63CF8" w:rsidRPr="0090131B">
        <w:t xml:space="preserve"> the necessity of derogating from the ECHR</w:t>
      </w:r>
      <w:r w:rsidR="00E62628" w:rsidRPr="0090131B">
        <w:t xml:space="preserve">, the scope of the presumption </w:t>
      </w:r>
      <w:r w:rsidR="00CD4C35" w:rsidRPr="0090131B">
        <w:t>of derogation</w:t>
      </w:r>
      <w:r w:rsidR="00F13AAD">
        <w:t>,</w:t>
      </w:r>
      <w:r w:rsidR="00CD4C35" w:rsidRPr="0090131B">
        <w:t xml:space="preserve"> and its compatibility with the ECHR</w:t>
      </w:r>
      <w:r w:rsidR="00C63CF8" w:rsidRPr="0090131B">
        <w:t>.</w:t>
      </w:r>
      <w:bookmarkStart w:id="7" w:name="_Ref491245799"/>
      <w:r w:rsidR="00C63CF8" w:rsidRPr="0090131B">
        <w:rPr>
          <w:rStyle w:val="FootnoteReference"/>
        </w:rPr>
        <w:footnoteReference w:id="12"/>
      </w:r>
      <w:bookmarkEnd w:id="7"/>
      <w:r w:rsidR="00D03E2F">
        <w:t xml:space="preserve"> It was the Committee’s</w:t>
      </w:r>
      <w:r w:rsidR="00D03E2F" w:rsidRPr="0090131B">
        <w:t xml:space="preserve"> preoccupation to enable the Parliament to exercise scrutiny ahead of any derogation</w:t>
      </w:r>
      <w:r w:rsidR="00D03E2F" w:rsidRPr="0048542C">
        <w:t xml:space="preserve"> </w:t>
      </w:r>
      <w:r w:rsidR="00D03E2F">
        <w:t>t</w:t>
      </w:r>
      <w:r w:rsidR="00D03E2F" w:rsidRPr="0090131B">
        <w:t xml:space="preserve">hat </w:t>
      </w:r>
      <w:r w:rsidR="00D03E2F" w:rsidRPr="006E0B80">
        <w:rPr>
          <w:rStyle w:val="CommentReference"/>
          <w:sz w:val="24"/>
          <w:szCs w:val="24"/>
        </w:rPr>
        <w:annotationRef/>
      </w:r>
      <w:r w:rsidR="00D03E2F" w:rsidRPr="006E0B80">
        <w:rPr>
          <w:rStyle w:val="CommentReference"/>
          <w:sz w:val="24"/>
          <w:szCs w:val="24"/>
        </w:rPr>
        <w:annotationRef/>
      </w:r>
      <w:r w:rsidR="00D03E2F">
        <w:rPr>
          <w:rStyle w:val="CommentReference"/>
        </w:rPr>
        <w:annotationRef/>
      </w:r>
      <w:r w:rsidR="00D03E2F" w:rsidRPr="0090131B">
        <w:t xml:space="preserve">prompted </w:t>
      </w:r>
      <w:r w:rsidR="00D03E2F">
        <w:t>it</w:t>
      </w:r>
      <w:r w:rsidR="00D03E2F" w:rsidRPr="0090131B">
        <w:t xml:space="preserve"> to request explanations from the government regarding its intended policy.</w:t>
      </w:r>
      <w:r w:rsidR="00FB038F" w:rsidRPr="0090131B">
        <w:rPr>
          <w:rStyle w:val="FootnoteReference"/>
        </w:rPr>
        <w:footnoteReference w:id="13"/>
      </w:r>
      <w:r w:rsidR="00FB038F" w:rsidRPr="0090131B">
        <w:t xml:space="preserve"> This</w:t>
      </w:r>
      <w:r w:rsidR="00B658CD" w:rsidRPr="0090131B">
        <w:t xml:space="preserve"> is </w:t>
      </w:r>
      <w:r w:rsidR="0048542C">
        <w:t xml:space="preserve">particularly </w:t>
      </w:r>
      <w:r w:rsidR="00B658CD" w:rsidRPr="0090131B">
        <w:t xml:space="preserve">important because the last time </w:t>
      </w:r>
      <w:r w:rsidR="00CF1554">
        <w:t xml:space="preserve">that </w:t>
      </w:r>
      <w:r w:rsidR="00B658CD" w:rsidRPr="0090131B">
        <w:t>the UK derogated from the ECHR</w:t>
      </w:r>
      <w:r w:rsidR="00CF634A" w:rsidRPr="0090131B">
        <w:t>,</w:t>
      </w:r>
      <w:r w:rsidR="00B658CD" w:rsidRPr="0090131B">
        <w:rPr>
          <w:rStyle w:val="FootnoteReference"/>
        </w:rPr>
        <w:footnoteReference w:id="14"/>
      </w:r>
      <w:r w:rsidR="00B658CD" w:rsidRPr="0090131B">
        <w:t xml:space="preserve"> </w:t>
      </w:r>
      <w:r w:rsidR="00F666BD">
        <w:t xml:space="preserve">that is </w:t>
      </w:r>
      <w:r w:rsidR="00B658CD" w:rsidRPr="0090131B">
        <w:t>in the aftermath of the terrorist attacks of 9/11</w:t>
      </w:r>
      <w:r w:rsidR="00957D48" w:rsidRPr="0090131B">
        <w:t xml:space="preserve"> in 2001</w:t>
      </w:r>
      <w:r w:rsidR="00B658CD" w:rsidRPr="0090131B">
        <w:t>,</w:t>
      </w:r>
      <w:r w:rsidR="00CF634A" w:rsidRPr="0090131B">
        <w:t xml:space="preserve"> </w:t>
      </w:r>
      <w:r w:rsidR="00800457" w:rsidRPr="0090131B">
        <w:t>‘</w:t>
      </w:r>
      <w:r w:rsidR="00CF634A" w:rsidRPr="0090131B">
        <w:t xml:space="preserve">[t]here was little parliamentary scrutiny […] and therefore only a very limited opportunity for Parliament to </w:t>
      </w:r>
      <w:r w:rsidR="00812E14" w:rsidRPr="0090131B">
        <w:t>explore […] potential compatibility issues.</w:t>
      </w:r>
      <w:r w:rsidR="00800457" w:rsidRPr="0090131B">
        <w:t>’</w:t>
      </w:r>
      <w:r w:rsidR="00812E14" w:rsidRPr="0090131B">
        <w:rPr>
          <w:rStyle w:val="FootnoteReference"/>
        </w:rPr>
        <w:footnoteReference w:id="15"/>
      </w:r>
      <w:r w:rsidR="00812E14" w:rsidRPr="0090131B">
        <w:t xml:space="preserve"> Indeed, the </w:t>
      </w:r>
      <w:r w:rsidR="00F666BD">
        <w:t>GC of the</w:t>
      </w:r>
      <w:r w:rsidR="003761A4" w:rsidRPr="0090131B">
        <w:t xml:space="preserve"> </w:t>
      </w:r>
      <w:r w:rsidR="00812E14" w:rsidRPr="0090131B">
        <w:t xml:space="preserve">ECtHR found that derogation unlawful as the measures taken </w:t>
      </w:r>
      <w:r w:rsidR="008D44A5" w:rsidRPr="0090131B">
        <w:t xml:space="preserve">– </w:t>
      </w:r>
      <w:r w:rsidR="00812E14" w:rsidRPr="0090131B">
        <w:t xml:space="preserve">although they </w:t>
      </w:r>
      <w:r w:rsidR="004A2763" w:rsidRPr="0090131B">
        <w:t>amounted to</w:t>
      </w:r>
      <w:r w:rsidR="00812E14" w:rsidRPr="0090131B">
        <w:t xml:space="preserve"> a response </w:t>
      </w:r>
      <w:r w:rsidR="00153378" w:rsidRPr="0090131B">
        <w:t>to a public emergency threatening the life of the nation</w:t>
      </w:r>
      <w:r w:rsidR="005E7C50" w:rsidRPr="0090131B">
        <w:rPr>
          <w:rStyle w:val="FootnoteReference"/>
        </w:rPr>
        <w:footnoteReference w:id="16"/>
      </w:r>
      <w:r w:rsidR="008D44A5" w:rsidRPr="0090131B">
        <w:t xml:space="preserve"> – </w:t>
      </w:r>
      <w:r w:rsidR="00153378" w:rsidRPr="0090131B">
        <w:t>disproportionately discriminated between nationals and non-nationals.</w:t>
      </w:r>
      <w:r w:rsidR="00153378" w:rsidRPr="0090131B">
        <w:rPr>
          <w:rStyle w:val="FootnoteReference"/>
        </w:rPr>
        <w:footnoteReference w:id="17"/>
      </w:r>
      <w:r w:rsidR="00153378" w:rsidRPr="0090131B">
        <w:t xml:space="preserve"> </w:t>
      </w:r>
    </w:p>
    <w:p w14:paraId="6F9825CE" w14:textId="77777777" w:rsidR="0048701B" w:rsidRPr="0090131B" w:rsidRDefault="0048701B" w:rsidP="008016DB">
      <w:pPr>
        <w:jc w:val="both"/>
      </w:pPr>
    </w:p>
    <w:p w14:paraId="17B60233" w14:textId="799709B0" w:rsidR="0013574B" w:rsidRPr="0090131B" w:rsidRDefault="006C1CD9" w:rsidP="008016DB">
      <w:pPr>
        <w:jc w:val="both"/>
      </w:pPr>
      <w:r w:rsidRPr="0090131B">
        <w:t xml:space="preserve">Returning to </w:t>
      </w:r>
      <w:r w:rsidR="00C23CDE" w:rsidRPr="0090131B">
        <w:t xml:space="preserve">the question of </w:t>
      </w:r>
      <w:r w:rsidR="008A4FBF">
        <w:t xml:space="preserve">the </w:t>
      </w:r>
      <w:r w:rsidRPr="0090131B">
        <w:t>parliamentary scrutiny</w:t>
      </w:r>
      <w:r w:rsidR="001D061C" w:rsidRPr="0090131B">
        <w:t xml:space="preserve"> of the proposed derogation(s) policy</w:t>
      </w:r>
      <w:r w:rsidRPr="0090131B">
        <w:t xml:space="preserve">, in </w:t>
      </w:r>
      <w:r w:rsidR="00B66261" w:rsidRPr="0090131B">
        <w:t>the annex accompanying her letter, the Chair of the Committee requested evidence concerning the reasons for derogating (</w:t>
      </w:r>
      <w:r w:rsidR="00B66261" w:rsidRPr="0090131B">
        <w:rPr>
          <w:i/>
        </w:rPr>
        <w:t>inter alia</w:t>
      </w:r>
      <w:r w:rsidR="00B66261" w:rsidRPr="0090131B">
        <w:t xml:space="preserve"> regarding </w:t>
      </w:r>
      <w:r w:rsidR="0039565E" w:rsidRPr="0090131B">
        <w:t xml:space="preserve">claims </w:t>
      </w:r>
      <w:r w:rsidR="00A007D3" w:rsidRPr="0090131B">
        <w:t xml:space="preserve">brought </w:t>
      </w:r>
      <w:r w:rsidR="0039565E" w:rsidRPr="0090131B">
        <w:t>against the Ministry of Defence</w:t>
      </w:r>
      <w:r w:rsidR="00B66261" w:rsidRPr="0090131B">
        <w:t>,</w:t>
      </w:r>
      <w:r w:rsidR="0039565E" w:rsidRPr="0090131B">
        <w:t xml:space="preserve"> and the </w:t>
      </w:r>
      <w:r w:rsidR="00A007D3" w:rsidRPr="0090131B">
        <w:t>argument</w:t>
      </w:r>
      <w:r w:rsidR="0039565E" w:rsidRPr="0090131B">
        <w:t xml:space="preserve"> that the extraterritorial reach of the ECHR undermines </w:t>
      </w:r>
      <w:r w:rsidR="00A75EC4" w:rsidRPr="0090131B">
        <w:t xml:space="preserve">the </w:t>
      </w:r>
      <w:r w:rsidR="0039565E" w:rsidRPr="0090131B">
        <w:t>UK’s military effectiveness)</w:t>
      </w:r>
      <w:r w:rsidR="00CE1A64" w:rsidRPr="0090131B">
        <w:t xml:space="preserve">, the compatibility of the proposed derogation(s) with the ECHR and </w:t>
      </w:r>
      <w:r w:rsidR="008A4FBF">
        <w:t>other</w:t>
      </w:r>
      <w:r w:rsidR="00CE1A64" w:rsidRPr="0090131B">
        <w:t xml:space="preserve"> international human rights instruments that</w:t>
      </w:r>
      <w:r w:rsidR="005E1397" w:rsidRPr="0090131B">
        <w:t xml:space="preserve"> are</w:t>
      </w:r>
      <w:r w:rsidR="00CE1A64" w:rsidRPr="0090131B">
        <w:t xml:space="preserve"> bind</w:t>
      </w:r>
      <w:r w:rsidR="005E1397" w:rsidRPr="0090131B">
        <w:t>ing for</w:t>
      </w:r>
      <w:r w:rsidR="00CE1A64" w:rsidRPr="0090131B">
        <w:t xml:space="preserve"> the UK</w:t>
      </w:r>
      <w:r w:rsidR="00DF13E2" w:rsidRPr="0090131B">
        <w:t>,</w:t>
      </w:r>
      <w:r w:rsidR="00CE1A64" w:rsidRPr="0090131B">
        <w:t xml:space="preserve"> and the avenues for scrutiny within </w:t>
      </w:r>
      <w:r w:rsidR="00A75EC4" w:rsidRPr="0090131B">
        <w:t xml:space="preserve">the </w:t>
      </w:r>
      <w:r w:rsidR="00CE1A64" w:rsidRPr="0090131B">
        <w:t>UK’s national order.</w:t>
      </w:r>
      <w:r w:rsidR="00564779" w:rsidRPr="0090131B">
        <w:rPr>
          <w:rStyle w:val="FootnoteReference"/>
        </w:rPr>
        <w:footnoteReference w:id="18"/>
      </w:r>
      <w:r w:rsidR="00531B87" w:rsidRPr="0090131B">
        <w:t xml:space="preserve"> </w:t>
      </w:r>
    </w:p>
    <w:p w14:paraId="74D95FE4" w14:textId="77777777" w:rsidR="0013574B" w:rsidRPr="0090131B" w:rsidRDefault="0013574B" w:rsidP="008016DB">
      <w:pPr>
        <w:jc w:val="both"/>
      </w:pPr>
    </w:p>
    <w:p w14:paraId="498F46B2" w14:textId="7BE8F601" w:rsidR="00013737" w:rsidRPr="0090131B" w:rsidRDefault="00F31946" w:rsidP="008016DB">
      <w:pPr>
        <w:jc w:val="both"/>
      </w:pPr>
      <w:r w:rsidRPr="0090131B">
        <w:t xml:space="preserve">In his response, the </w:t>
      </w:r>
      <w:r w:rsidR="001D4102" w:rsidRPr="0090131B">
        <w:t>D</w:t>
      </w:r>
      <w:r w:rsidRPr="0090131B">
        <w:t>S</w:t>
      </w:r>
      <w:r w:rsidR="001D4102" w:rsidRPr="0090131B">
        <w:t xml:space="preserve"> </w:t>
      </w:r>
      <w:r w:rsidR="0005758D">
        <w:t xml:space="preserve">to some extent </w:t>
      </w:r>
      <w:r w:rsidR="00E316E9" w:rsidRPr="0090131B">
        <w:t>mitigated</w:t>
      </w:r>
      <w:r w:rsidR="002B4E6F">
        <w:t xml:space="preserve"> </w:t>
      </w:r>
      <w:r w:rsidR="00E316E9" w:rsidRPr="0090131B">
        <w:t xml:space="preserve">the impressions created by the </w:t>
      </w:r>
      <w:r w:rsidR="00EF6FBA" w:rsidRPr="0090131B">
        <w:t>political speech</w:t>
      </w:r>
      <w:r w:rsidR="00E316E9" w:rsidRPr="0090131B">
        <w:t xml:space="preserve"> before the Conservative Party and explained that the right source of information </w:t>
      </w:r>
      <w:r w:rsidR="00491102">
        <w:t xml:space="preserve">concerning </w:t>
      </w:r>
      <w:r w:rsidR="00E316E9" w:rsidRPr="0090131B">
        <w:t xml:space="preserve">the nature of the policy at issue is not </w:t>
      </w:r>
      <w:r w:rsidR="00162826" w:rsidRPr="0090131B">
        <w:t>the</w:t>
      </w:r>
      <w:r w:rsidR="00DD0790" w:rsidRPr="0090131B">
        <w:t xml:space="preserve"> speech</w:t>
      </w:r>
      <w:r w:rsidR="00162826" w:rsidRPr="0090131B">
        <w:t xml:space="preserve"> in question</w:t>
      </w:r>
      <w:r w:rsidR="00DD0790" w:rsidRPr="0090131B">
        <w:t xml:space="preserve">, but </w:t>
      </w:r>
      <w:r w:rsidR="00491102">
        <w:t xml:space="preserve">rather </w:t>
      </w:r>
      <w:r w:rsidR="00DD0790" w:rsidRPr="0090131B">
        <w:t xml:space="preserve">the Written Ministerial Statement of </w:t>
      </w:r>
      <w:r w:rsidR="009D5FAF">
        <w:t xml:space="preserve">the </w:t>
      </w:r>
      <w:r w:rsidR="00DD0790" w:rsidRPr="0090131B">
        <w:t>10</w:t>
      </w:r>
      <w:r w:rsidR="009D5FAF" w:rsidRPr="009D5FAF">
        <w:rPr>
          <w:vertAlign w:val="superscript"/>
        </w:rPr>
        <w:t>th</w:t>
      </w:r>
      <w:r w:rsidR="009D5FAF">
        <w:t xml:space="preserve"> of</w:t>
      </w:r>
      <w:r w:rsidR="00013737" w:rsidRPr="0090131B">
        <w:t xml:space="preserve"> </w:t>
      </w:r>
      <w:r w:rsidR="00DD0790" w:rsidRPr="0090131B">
        <w:t>October.</w:t>
      </w:r>
      <w:bookmarkStart w:id="8" w:name="_Ref491246737"/>
      <w:r w:rsidR="00DD0790" w:rsidRPr="0090131B">
        <w:rPr>
          <w:rStyle w:val="FootnoteReference"/>
        </w:rPr>
        <w:footnoteReference w:id="19"/>
      </w:r>
      <w:bookmarkEnd w:id="8"/>
      <w:r w:rsidR="00E316E9" w:rsidRPr="0090131B">
        <w:t xml:space="preserve"> </w:t>
      </w:r>
      <w:r w:rsidR="00A32946" w:rsidRPr="0090131B">
        <w:t>According to this</w:t>
      </w:r>
      <w:r w:rsidR="00DD0790" w:rsidRPr="0090131B">
        <w:t xml:space="preserve"> Statement:</w:t>
      </w:r>
    </w:p>
    <w:p w14:paraId="0BB53FB5" w14:textId="387A7ACB" w:rsidR="00EB7703" w:rsidRPr="0090131B" w:rsidRDefault="003E6B4A" w:rsidP="00A811CD">
      <w:pPr>
        <w:ind w:left="567" w:right="658"/>
        <w:jc w:val="both"/>
      </w:pPr>
      <w:r w:rsidRPr="0090131B">
        <w:t>‘</w:t>
      </w:r>
      <w:r w:rsidR="00A32946" w:rsidRPr="0090131B">
        <w:t>[</w:t>
      </w:r>
      <w:r w:rsidR="00E46CB1" w:rsidRPr="0090131B">
        <w:t>.</w:t>
      </w:r>
      <w:r w:rsidR="00DD0790" w:rsidRPr="0090131B">
        <w:t>.</w:t>
      </w:r>
      <w:r w:rsidR="00A32946" w:rsidRPr="0090131B">
        <w:t>]</w:t>
      </w:r>
      <w:r w:rsidR="00DD0790" w:rsidRPr="0090131B">
        <w:t xml:space="preserve"> before embarking on significant future military operations, this government intends derogating from the European Convention on Human Rights, where this is appropriate in the precise circumstances of the operation in question. Any derogation would need to be justified and could only be made from certain Articles of the Convention. </w:t>
      </w:r>
    </w:p>
    <w:p w14:paraId="09152C64" w14:textId="45B44AF7" w:rsidR="00DD0790" w:rsidRPr="0090131B" w:rsidRDefault="00DD0790" w:rsidP="00A811CD">
      <w:pPr>
        <w:ind w:left="567" w:right="658"/>
        <w:jc w:val="both"/>
      </w:pPr>
      <w:r w:rsidRPr="0090131B">
        <w:t>In the event of such a derogation, our Armed Forces will continue to operate to the highest standards and be subject to the rule of law. They remain at all times subject to UK Service Law, which incorporates the criminal law of England and Wales, and International Humanitarian Law (the law of armed conflict including the Geneva Conventions) wherever in the world they are serving. Therefore any credible allegations of criminal wrongdoing by members of the Armed Forces will continue to be investigated, and prosecuted within the Service Justice System</w:t>
      </w:r>
      <w:r w:rsidR="00A32946" w:rsidRPr="0090131B">
        <w:t>.</w:t>
      </w:r>
      <w:r w:rsidR="003E6B4A" w:rsidRPr="0090131B">
        <w:t>’</w:t>
      </w:r>
      <w:r w:rsidR="00EB7703" w:rsidRPr="0090131B">
        <w:rPr>
          <w:rStyle w:val="FootnoteReference"/>
        </w:rPr>
        <w:footnoteReference w:id="20"/>
      </w:r>
      <w:r w:rsidRPr="0090131B">
        <w:t xml:space="preserve"> </w:t>
      </w:r>
    </w:p>
    <w:p w14:paraId="3D45EBEA" w14:textId="48A17E81" w:rsidR="00E316E9" w:rsidRPr="0090131B" w:rsidRDefault="00DD0790" w:rsidP="00A811CD">
      <w:pPr>
        <w:ind w:right="-52"/>
        <w:jc w:val="both"/>
      </w:pPr>
      <w:r w:rsidRPr="0090131B">
        <w:t xml:space="preserve"> </w:t>
      </w:r>
    </w:p>
    <w:p w14:paraId="7B22A64B" w14:textId="762621D2" w:rsidR="008F3F82" w:rsidRPr="0090131B" w:rsidRDefault="00D73BC1" w:rsidP="00A811CD">
      <w:pPr>
        <w:ind w:right="-52"/>
        <w:jc w:val="both"/>
      </w:pPr>
      <w:r>
        <w:t xml:space="preserve">Whilst </w:t>
      </w:r>
      <w:r w:rsidR="004571A2" w:rsidRPr="0090131B">
        <w:t>it</w:t>
      </w:r>
      <w:r w:rsidR="0002423A" w:rsidRPr="0090131B">
        <w:t xml:space="preserve"> </w:t>
      </w:r>
      <w:r w:rsidR="002B4E6F">
        <w:t xml:space="preserve">is </w:t>
      </w:r>
      <w:r w:rsidR="0002423A" w:rsidRPr="0090131B">
        <w:t>still</w:t>
      </w:r>
      <w:r w:rsidR="0032714E" w:rsidRPr="0090131B">
        <w:t xml:space="preserve"> </w:t>
      </w:r>
      <w:r w:rsidR="0002423A" w:rsidRPr="0090131B">
        <w:t>the case that the UK g</w:t>
      </w:r>
      <w:r w:rsidR="004571A2" w:rsidRPr="0090131B">
        <w:t xml:space="preserve">overnment intends to derogate from the ECHR </w:t>
      </w:r>
      <w:r w:rsidR="00650873" w:rsidRPr="0090131B">
        <w:t>for future</w:t>
      </w:r>
      <w:r w:rsidR="004571A2" w:rsidRPr="0090131B">
        <w:t xml:space="preserve"> military operations</w:t>
      </w:r>
      <w:r w:rsidR="00A872B2" w:rsidRPr="0090131B">
        <w:t xml:space="preserve">, </w:t>
      </w:r>
      <w:r w:rsidR="00C85FDB" w:rsidRPr="0090131B">
        <w:t xml:space="preserve">the limits that apply under ECHR law and </w:t>
      </w:r>
      <w:r w:rsidR="00A45E89" w:rsidRPr="0090131B">
        <w:t xml:space="preserve">the need to duly justify </w:t>
      </w:r>
      <w:r w:rsidR="00236E93" w:rsidRPr="0090131B">
        <w:t>any</w:t>
      </w:r>
      <w:r w:rsidR="00A45E89" w:rsidRPr="0090131B">
        <w:t xml:space="preserve"> </w:t>
      </w:r>
      <w:r w:rsidR="00A45E89" w:rsidRPr="0090131B">
        <w:lastRenderedPageBreak/>
        <w:t xml:space="preserve">derogation in the light of the precise circumstances of each </w:t>
      </w:r>
      <w:r w:rsidR="00894EDB" w:rsidRPr="0090131B">
        <w:t>occasion</w:t>
      </w:r>
      <w:r w:rsidR="00042B9E">
        <w:t xml:space="preserve"> are also recognised</w:t>
      </w:r>
      <w:r w:rsidR="00A45E89" w:rsidRPr="0090131B">
        <w:t xml:space="preserve">. </w:t>
      </w:r>
      <w:r w:rsidR="00AB505B" w:rsidRPr="0090131B">
        <w:t xml:space="preserve">Thus, </w:t>
      </w:r>
      <w:r w:rsidR="0094242E" w:rsidRPr="0090131B">
        <w:t>‘</w:t>
      </w:r>
      <w:r w:rsidR="00AB505B" w:rsidRPr="0090131B">
        <w:t>[a] conclusion as to the necessity for a derogation would and could only be made having regard to the circumstances at the time of a future military operation.</w:t>
      </w:r>
      <w:r w:rsidR="0094242E" w:rsidRPr="0090131B">
        <w:t>’</w:t>
      </w:r>
      <w:r w:rsidR="00AB505B" w:rsidRPr="0090131B">
        <w:rPr>
          <w:rStyle w:val="FootnoteReference"/>
        </w:rPr>
        <w:footnoteReference w:id="21"/>
      </w:r>
      <w:r w:rsidR="00AB505B" w:rsidRPr="0090131B">
        <w:t xml:space="preserve"> </w:t>
      </w:r>
      <w:r w:rsidR="00685D1A" w:rsidRPr="0090131B">
        <w:t xml:space="preserve">As to the reasons underpinning </w:t>
      </w:r>
      <w:commentRangeStart w:id="9"/>
      <w:commentRangeStart w:id="10"/>
      <w:r w:rsidR="00685D1A" w:rsidRPr="0090131B">
        <w:t xml:space="preserve">the </w:t>
      </w:r>
      <w:r w:rsidR="002E7747" w:rsidRPr="0090131B">
        <w:t xml:space="preserve">UK derogation(s) </w:t>
      </w:r>
      <w:r w:rsidR="00685D1A" w:rsidRPr="0090131B">
        <w:t>policy</w:t>
      </w:r>
      <w:commentRangeEnd w:id="9"/>
      <w:r w:rsidR="0094242E" w:rsidRPr="006E0B80">
        <w:rPr>
          <w:rStyle w:val="CommentReference"/>
          <w:sz w:val="24"/>
          <w:szCs w:val="24"/>
        </w:rPr>
        <w:commentReference w:id="9"/>
      </w:r>
      <w:commentRangeEnd w:id="10"/>
      <w:r w:rsidR="002E7747" w:rsidRPr="006E0B80">
        <w:rPr>
          <w:rStyle w:val="CommentReference"/>
          <w:sz w:val="24"/>
          <w:szCs w:val="24"/>
        </w:rPr>
        <w:commentReference w:id="10"/>
      </w:r>
      <w:r w:rsidR="00685D1A" w:rsidRPr="0090131B">
        <w:t xml:space="preserve">, these include </w:t>
      </w:r>
      <w:r w:rsidR="00650873" w:rsidRPr="0090131B">
        <w:rPr>
          <w:i/>
        </w:rPr>
        <w:t>inter alia</w:t>
      </w:r>
      <w:r w:rsidR="00650873" w:rsidRPr="0090131B">
        <w:t xml:space="preserve"> </w:t>
      </w:r>
      <w:r w:rsidR="00685D1A" w:rsidRPr="0090131B">
        <w:t>the argument that the intention of the ECHR drafters</w:t>
      </w:r>
      <w:r w:rsidR="00A920D2" w:rsidRPr="0090131B">
        <w:t xml:space="preserve"> was not to make t</w:t>
      </w:r>
      <w:r w:rsidR="00046F31" w:rsidRPr="0090131B">
        <w:t>he Convention</w:t>
      </w:r>
      <w:r w:rsidR="00A920D2" w:rsidRPr="0090131B">
        <w:t xml:space="preserve"> applicable for overseas</w:t>
      </w:r>
      <w:bookmarkStart w:id="11" w:name="_Ref491676723"/>
      <w:r w:rsidR="006A458D" w:rsidRPr="0090131B">
        <w:rPr>
          <w:rStyle w:val="FootnoteReference"/>
        </w:rPr>
        <w:footnoteReference w:id="22"/>
      </w:r>
      <w:bookmarkEnd w:id="11"/>
      <w:r w:rsidR="00A920D2" w:rsidRPr="0090131B">
        <w:t xml:space="preserve"> armed conflicts that are meant to be regulated by international humanitarian law </w:t>
      </w:r>
      <w:r w:rsidR="00EC79ED" w:rsidRPr="0090131B">
        <w:t xml:space="preserve">and, </w:t>
      </w:r>
      <w:r w:rsidR="00A920D2" w:rsidRPr="0090131B">
        <w:t>mo</w:t>
      </w:r>
      <w:r w:rsidR="00EC79ED" w:rsidRPr="0090131B">
        <w:t>r</w:t>
      </w:r>
      <w:r w:rsidR="00A920D2" w:rsidRPr="0090131B">
        <w:t>e generally</w:t>
      </w:r>
      <w:r w:rsidR="00EC79ED" w:rsidRPr="0090131B">
        <w:t>,</w:t>
      </w:r>
      <w:r w:rsidR="00A920D2" w:rsidRPr="0090131B">
        <w:t xml:space="preserve"> concerns about the extraterritorial reach of the ECHR, </w:t>
      </w:r>
      <w:r w:rsidR="005254D6" w:rsidRPr="0090131B">
        <w:t>the potential impact of the ECtHR’s case law on the effectiveness of military operations</w:t>
      </w:r>
      <w:r w:rsidR="002444E2">
        <w:t>,</w:t>
      </w:r>
      <w:r w:rsidR="00A433C6" w:rsidRPr="0090131B">
        <w:t xml:space="preserve"> and</w:t>
      </w:r>
      <w:r w:rsidR="005254D6" w:rsidRPr="0090131B">
        <w:t xml:space="preserve"> </w:t>
      </w:r>
      <w:r w:rsidR="00A433C6" w:rsidRPr="0090131B">
        <w:t xml:space="preserve">the </w:t>
      </w:r>
      <w:r w:rsidR="0094242E" w:rsidRPr="0090131B">
        <w:t>‘</w:t>
      </w:r>
      <w:r w:rsidR="00A433C6" w:rsidRPr="0090131B">
        <w:t>flood of litigation</w:t>
      </w:r>
      <w:r w:rsidR="0094242E" w:rsidRPr="0090131B">
        <w:t>’</w:t>
      </w:r>
      <w:r w:rsidR="00D5110D" w:rsidRPr="0090131B">
        <w:t xml:space="preserve"> (</w:t>
      </w:r>
      <w:r w:rsidR="00FD7C20" w:rsidRPr="0090131B">
        <w:t>associated with the entailed</w:t>
      </w:r>
      <w:r w:rsidR="00D5110D" w:rsidRPr="0090131B">
        <w:t xml:space="preserve"> economic cost</w:t>
      </w:r>
      <w:r w:rsidR="00F3375B" w:rsidRPr="0090131B">
        <w:t>)</w:t>
      </w:r>
      <w:r w:rsidR="00A433C6" w:rsidRPr="0090131B">
        <w:t xml:space="preserve"> to which operations in Afghanistan and Iraq have led.</w:t>
      </w:r>
      <w:r w:rsidR="00A433C6" w:rsidRPr="0090131B">
        <w:rPr>
          <w:rStyle w:val="FootnoteReference"/>
        </w:rPr>
        <w:footnoteReference w:id="23"/>
      </w:r>
      <w:r w:rsidR="005254D6" w:rsidRPr="0090131B">
        <w:t xml:space="preserve"> </w:t>
      </w:r>
      <w:r w:rsidR="00C85FDB" w:rsidRPr="0090131B">
        <w:t xml:space="preserve">According to the answers provided by the DS to the questions raised by the Committee, </w:t>
      </w:r>
      <w:r w:rsidR="0036345F" w:rsidRPr="0090131B">
        <w:t xml:space="preserve">the Ministry of Defence has spent £19.8 million </w:t>
      </w:r>
      <w:r w:rsidR="002444E2">
        <w:t>in</w:t>
      </w:r>
      <w:r w:rsidR="0036345F" w:rsidRPr="0090131B">
        <w:t xml:space="preserve"> compensation</w:t>
      </w:r>
      <w:r w:rsidR="002444E2">
        <w:t>;</w:t>
      </w:r>
      <w:r w:rsidR="0036345F" w:rsidRPr="0090131B">
        <w:t xml:space="preserve"> the vast majority of these payments being the result of an ECtHR finding that Iraqi claima</w:t>
      </w:r>
      <w:r w:rsidR="004976FB" w:rsidRPr="0090131B">
        <w:t>nts had been detained illegally</w:t>
      </w:r>
      <w:r w:rsidR="0036345F" w:rsidRPr="0090131B">
        <w:t>.</w:t>
      </w:r>
      <w:bookmarkStart w:id="12" w:name="_Ref492816897"/>
      <w:r w:rsidR="000B1D30" w:rsidRPr="0090131B">
        <w:rPr>
          <w:rStyle w:val="FootnoteReference"/>
        </w:rPr>
        <w:footnoteReference w:id="24"/>
      </w:r>
      <w:bookmarkEnd w:id="12"/>
      <w:r w:rsidR="00AA7175" w:rsidRPr="0090131B">
        <w:t xml:space="preserve"> </w:t>
      </w:r>
      <w:r w:rsidR="002444E2">
        <w:t>The</w:t>
      </w:r>
      <w:r w:rsidR="00DC24A1" w:rsidRPr="0090131B">
        <w:t xml:space="preserve"> answer</w:t>
      </w:r>
      <w:r w:rsidR="002444E2">
        <w:t xml:space="preserve"> also</w:t>
      </w:r>
      <w:r w:rsidR="00DC24A1" w:rsidRPr="0090131B">
        <w:t xml:space="preserve"> provides an </w:t>
      </w:r>
      <w:r w:rsidR="00E047A1" w:rsidRPr="0090131B">
        <w:t xml:space="preserve">account of the </w:t>
      </w:r>
      <w:r w:rsidR="00995525" w:rsidRPr="0090131B">
        <w:t xml:space="preserve">various types of claims </w:t>
      </w:r>
      <w:r w:rsidR="00E047A1" w:rsidRPr="0090131B">
        <w:t xml:space="preserve">received through </w:t>
      </w:r>
      <w:r w:rsidR="00046F31" w:rsidRPr="0090131B">
        <w:t>different</w:t>
      </w:r>
      <w:r w:rsidR="00E047A1" w:rsidRPr="0090131B">
        <w:t xml:space="preserve"> avenues regarding </w:t>
      </w:r>
      <w:r w:rsidR="00C419B4" w:rsidRPr="0090131B">
        <w:t>operations</w:t>
      </w:r>
      <w:r w:rsidR="00E047A1" w:rsidRPr="0090131B">
        <w:t xml:space="preserve"> in Iraq and Afghanistan.</w:t>
      </w:r>
      <w:r w:rsidR="00E047A1" w:rsidRPr="0090131B">
        <w:rPr>
          <w:rStyle w:val="FootnoteReference"/>
        </w:rPr>
        <w:footnoteReference w:id="25"/>
      </w:r>
      <w:r w:rsidR="00E047A1" w:rsidRPr="0090131B">
        <w:t xml:space="preserve"> </w:t>
      </w:r>
      <w:r w:rsidR="00215D12">
        <w:t>Moreover</w:t>
      </w:r>
      <w:r w:rsidR="00C419B4" w:rsidRPr="0090131B">
        <w:t xml:space="preserve">, </w:t>
      </w:r>
      <w:r w:rsidR="00215D12">
        <w:t xml:space="preserve">it is </w:t>
      </w:r>
      <w:r w:rsidR="00C419B4" w:rsidRPr="0090131B">
        <w:t>i</w:t>
      </w:r>
      <w:r w:rsidR="0021100B" w:rsidRPr="0090131B">
        <w:t>nteresting</w:t>
      </w:r>
      <w:r w:rsidR="00215D12">
        <w:t xml:space="preserve"> that</w:t>
      </w:r>
      <w:r w:rsidR="00B43D11" w:rsidRPr="0090131B">
        <w:t xml:space="preserve"> the DS argues that</w:t>
      </w:r>
      <w:r w:rsidR="0021100B" w:rsidRPr="0090131B">
        <w:t xml:space="preserve"> the </w:t>
      </w:r>
      <w:commentRangeStart w:id="13"/>
      <w:commentRangeStart w:id="14"/>
      <w:r w:rsidR="00B43D11" w:rsidRPr="0090131B">
        <w:t xml:space="preserve">idea of a </w:t>
      </w:r>
      <w:r w:rsidR="0021100B" w:rsidRPr="0090131B">
        <w:t>presumption of derogation</w:t>
      </w:r>
      <w:r w:rsidR="00B43D11" w:rsidRPr="0090131B">
        <w:t xml:space="preserve"> is compatible</w:t>
      </w:r>
      <w:r w:rsidR="0021100B" w:rsidRPr="0090131B">
        <w:t xml:space="preserve"> with Article 15 ECHR</w:t>
      </w:r>
      <w:r w:rsidR="00B43D11" w:rsidRPr="0090131B">
        <w:t xml:space="preserve"> and the conditions</w:t>
      </w:r>
      <w:r w:rsidR="002444E2">
        <w:t xml:space="preserve"> that</w:t>
      </w:r>
      <w:r w:rsidR="00B43D11" w:rsidRPr="0090131B">
        <w:t xml:space="preserve"> this sets for a derogation from the Convention</w:t>
      </w:r>
      <w:r w:rsidR="00E6264D">
        <w:t>,</w:t>
      </w:r>
      <w:r w:rsidR="008E5CB0" w:rsidRPr="0090131B">
        <w:rPr>
          <w:rStyle w:val="FootnoteReference"/>
        </w:rPr>
        <w:footnoteReference w:id="26"/>
      </w:r>
      <w:r w:rsidR="00371B61">
        <w:t xml:space="preserve"> </w:t>
      </w:r>
      <w:r w:rsidR="00E6264D">
        <w:t>particularly given that</w:t>
      </w:r>
      <w:r w:rsidR="001E58F4" w:rsidRPr="0090131B">
        <w:t xml:space="preserve"> </w:t>
      </w:r>
      <w:r w:rsidR="0094242E" w:rsidRPr="0090131B">
        <w:t>‘</w:t>
      </w:r>
      <w:r w:rsidR="00801833" w:rsidRPr="0090131B">
        <w:t>Article 15 may apply to any significant military operation capable of falling within the concepts used in that Article.</w:t>
      </w:r>
      <w:r w:rsidR="0094242E" w:rsidRPr="0090131B">
        <w:t>’</w:t>
      </w:r>
      <w:r w:rsidR="00801833" w:rsidRPr="0090131B">
        <w:rPr>
          <w:rStyle w:val="FootnoteReference"/>
        </w:rPr>
        <w:footnoteReference w:id="27"/>
      </w:r>
      <w:r w:rsidR="001A5500" w:rsidRPr="0090131B">
        <w:t xml:space="preserve"> </w:t>
      </w:r>
      <w:commentRangeEnd w:id="13"/>
      <w:r w:rsidR="0094242E" w:rsidRPr="006E0B80">
        <w:rPr>
          <w:rStyle w:val="CommentReference"/>
          <w:sz w:val="24"/>
          <w:szCs w:val="24"/>
        </w:rPr>
        <w:commentReference w:id="13"/>
      </w:r>
      <w:commentRangeEnd w:id="14"/>
      <w:r w:rsidR="00371B61">
        <w:rPr>
          <w:rStyle w:val="CommentReference"/>
        </w:rPr>
        <w:commentReference w:id="14"/>
      </w:r>
      <w:r w:rsidR="001A5500" w:rsidRPr="0090131B">
        <w:t>As to the nature of the derogati</w:t>
      </w:r>
      <w:r w:rsidR="002444E2">
        <w:t>on</w:t>
      </w:r>
      <w:r w:rsidR="001A5500" w:rsidRPr="0090131B">
        <w:t xml:space="preserve"> measures, th</w:t>
      </w:r>
      <w:r w:rsidR="002444E2">
        <w:t>e same</w:t>
      </w:r>
      <w:r w:rsidR="001A5500" w:rsidRPr="0090131B">
        <w:t xml:space="preserve"> depends </w:t>
      </w:r>
      <w:r w:rsidR="002444E2">
        <w:t>up</w:t>
      </w:r>
      <w:r w:rsidR="001A5500" w:rsidRPr="0090131B">
        <w:t xml:space="preserve">on the circumstances </w:t>
      </w:r>
      <w:r w:rsidR="0017144F" w:rsidRPr="0090131B">
        <w:t>prevailing</w:t>
      </w:r>
      <w:r w:rsidR="009344E9" w:rsidRPr="0090131B">
        <w:t xml:space="preserve"> at the time of the derogation</w:t>
      </w:r>
      <w:r w:rsidR="007C1D04">
        <w:t>;</w:t>
      </w:r>
      <w:r w:rsidR="009344E9" w:rsidRPr="0090131B">
        <w:t xml:space="preserve"> </w:t>
      </w:r>
      <w:r w:rsidR="007C1D04">
        <w:t xml:space="preserve">however, </w:t>
      </w:r>
      <w:r w:rsidR="009344E9" w:rsidRPr="0090131B">
        <w:t xml:space="preserve">(although Articles 2 and 5 </w:t>
      </w:r>
      <w:r w:rsidR="0032505F" w:rsidRPr="0090131B">
        <w:t xml:space="preserve">ECHR have caused </w:t>
      </w:r>
      <w:r w:rsidR="004877A0" w:rsidRPr="0090131B">
        <w:t xml:space="preserve">particular </w:t>
      </w:r>
      <w:r w:rsidR="0032505F" w:rsidRPr="0090131B">
        <w:t>concern)</w:t>
      </w:r>
      <w:r w:rsidR="009344E9" w:rsidRPr="0090131B">
        <w:t xml:space="preserve"> the government has not yet decided</w:t>
      </w:r>
      <w:r w:rsidR="0032505F" w:rsidRPr="0090131B">
        <w:t xml:space="preserve"> which</w:t>
      </w:r>
      <w:r w:rsidR="004877A0" w:rsidRPr="0090131B">
        <w:t xml:space="preserve"> ECHR</w:t>
      </w:r>
      <w:r w:rsidR="0032505F" w:rsidRPr="0090131B">
        <w:t xml:space="preserve"> obligations it intends to derogate from as</w:t>
      </w:r>
      <w:r w:rsidR="002444E2">
        <w:t>,</w:t>
      </w:r>
      <w:r w:rsidR="0032505F" w:rsidRPr="0090131B">
        <w:t xml:space="preserve"> </w:t>
      </w:r>
      <w:r w:rsidR="0094242E" w:rsidRPr="0090131B">
        <w:t>‘</w:t>
      </w:r>
      <w:r w:rsidR="0032505F" w:rsidRPr="0090131B">
        <w:t>[n]o decision has yet been taken to derogate</w:t>
      </w:r>
      <w:r w:rsidR="0094242E" w:rsidRPr="0090131B">
        <w:t>’</w:t>
      </w:r>
      <w:r w:rsidR="0032505F" w:rsidRPr="0090131B">
        <w:t>.</w:t>
      </w:r>
      <w:r w:rsidR="0032505F" w:rsidRPr="0090131B">
        <w:rPr>
          <w:rStyle w:val="FootnoteReference"/>
        </w:rPr>
        <w:footnoteReference w:id="28"/>
      </w:r>
      <w:r w:rsidR="009344E9" w:rsidRPr="0090131B">
        <w:t xml:space="preserve"> </w:t>
      </w:r>
    </w:p>
    <w:p w14:paraId="29D35FE8" w14:textId="77777777" w:rsidR="008F3F82" w:rsidRPr="0090131B" w:rsidRDefault="008F3F82" w:rsidP="00A811CD">
      <w:pPr>
        <w:ind w:right="-52"/>
        <w:jc w:val="both"/>
      </w:pPr>
    </w:p>
    <w:p w14:paraId="5765309E" w14:textId="5534EC3B" w:rsidR="0029571E" w:rsidRPr="0090131B" w:rsidRDefault="00E82E87" w:rsidP="00A811CD">
      <w:pPr>
        <w:ind w:right="-52"/>
        <w:jc w:val="both"/>
      </w:pPr>
      <w:r w:rsidRPr="0090131B">
        <w:t>T</w:t>
      </w:r>
      <w:r w:rsidR="0019656F" w:rsidRPr="0090131B">
        <w:t>h</w:t>
      </w:r>
      <w:r w:rsidR="00784906" w:rsidRPr="0090131B">
        <w:t>us, the</w:t>
      </w:r>
      <w:r w:rsidR="003D1562" w:rsidRPr="0090131B">
        <w:t xml:space="preserve"> core message</w:t>
      </w:r>
      <w:r w:rsidR="00784906" w:rsidRPr="0090131B">
        <w:t xml:space="preserve"> by the DS is that</w:t>
      </w:r>
      <w:r w:rsidR="000B1D30" w:rsidRPr="0090131B">
        <w:t>, indeed</w:t>
      </w:r>
      <w:r w:rsidR="003D1562" w:rsidRPr="0090131B">
        <w:t xml:space="preserve"> </w:t>
      </w:r>
      <w:r w:rsidR="00784906" w:rsidRPr="0090131B">
        <w:t xml:space="preserve">the </w:t>
      </w:r>
      <w:r w:rsidRPr="0090131B">
        <w:t>UK g</w:t>
      </w:r>
      <w:r w:rsidR="00784906" w:rsidRPr="0090131B">
        <w:t xml:space="preserve">overnment </w:t>
      </w:r>
      <w:r w:rsidR="009C3D19" w:rsidRPr="0090131B">
        <w:t>considers</w:t>
      </w:r>
      <w:r w:rsidR="00784906" w:rsidRPr="0090131B">
        <w:t xml:space="preserve"> derogat</w:t>
      </w:r>
      <w:r w:rsidR="009C3D19" w:rsidRPr="0090131B">
        <w:t>ing</w:t>
      </w:r>
      <w:r w:rsidR="00784906" w:rsidRPr="0090131B">
        <w:t xml:space="preserve"> from the ECHR, but </w:t>
      </w:r>
      <w:r w:rsidR="00F0407E">
        <w:t xml:space="preserve">it </w:t>
      </w:r>
      <w:r w:rsidR="00452DC8" w:rsidRPr="0090131B">
        <w:t>is</w:t>
      </w:r>
      <w:r w:rsidR="009325FD">
        <w:t xml:space="preserve"> also</w:t>
      </w:r>
      <w:r w:rsidR="00452DC8" w:rsidRPr="0090131B">
        <w:t xml:space="preserve"> aware of the need to make decisions on an </w:t>
      </w:r>
      <w:r w:rsidR="00452DC8" w:rsidRPr="0090131B">
        <w:rPr>
          <w:i/>
        </w:rPr>
        <w:t>ad hoc</w:t>
      </w:r>
      <w:r w:rsidR="00452DC8" w:rsidRPr="0090131B">
        <w:t xml:space="preserve"> basis </w:t>
      </w:r>
      <w:r w:rsidR="0019656F" w:rsidRPr="0090131B">
        <w:t>in the light of the precise circumstances of each military operation.</w:t>
      </w:r>
      <w:r w:rsidR="0019656F" w:rsidRPr="0090131B">
        <w:rPr>
          <w:rStyle w:val="FootnoteReference"/>
        </w:rPr>
        <w:footnoteReference w:id="29"/>
      </w:r>
      <w:r w:rsidRPr="0090131B">
        <w:t xml:space="preserve"> </w:t>
      </w:r>
      <w:r w:rsidR="00483D31" w:rsidRPr="0090131B">
        <w:t xml:space="preserve">In her response to the DS, the Head of the Committee welcomed the acknowledgment by the government </w:t>
      </w:r>
      <w:r w:rsidR="006F00C6" w:rsidRPr="0090131B">
        <w:t>that it cannot derogate immediately and in advance of</w:t>
      </w:r>
      <w:r w:rsidR="004877A0" w:rsidRPr="0090131B">
        <w:t xml:space="preserve"> any future military operation </w:t>
      </w:r>
      <w:r w:rsidR="006F00C6" w:rsidRPr="0090131B">
        <w:t>s</w:t>
      </w:r>
      <w:r w:rsidR="004877A0" w:rsidRPr="0090131B">
        <w:t>ince</w:t>
      </w:r>
      <w:r w:rsidR="006F00C6" w:rsidRPr="0090131B">
        <w:t xml:space="preserve"> the specifics of each operation need to be known and evaluated as to whether the</w:t>
      </w:r>
      <w:r w:rsidR="004877A0" w:rsidRPr="0090131B">
        <w:t>y</w:t>
      </w:r>
      <w:r w:rsidR="006F00C6" w:rsidRPr="0090131B">
        <w:t xml:space="preserve"> justify a derogation</w:t>
      </w:r>
      <w:r w:rsidR="00BF63C7" w:rsidRPr="0090131B">
        <w:t>.</w:t>
      </w:r>
      <w:r w:rsidR="00BF63C7" w:rsidRPr="0090131B">
        <w:rPr>
          <w:rStyle w:val="FootnoteReference"/>
        </w:rPr>
        <w:footnoteReference w:id="30"/>
      </w:r>
      <w:r w:rsidR="002A5F52" w:rsidRPr="0090131B">
        <w:t xml:space="preserve"> However</w:t>
      </w:r>
      <w:r w:rsidR="00D374E5" w:rsidRPr="0090131B">
        <w:t xml:space="preserve">, </w:t>
      </w:r>
      <w:r w:rsidR="00D35813" w:rsidRPr="0090131B">
        <w:t>her</w:t>
      </w:r>
      <w:r w:rsidR="00D374E5" w:rsidRPr="0090131B">
        <w:t xml:space="preserve"> letter</w:t>
      </w:r>
      <w:r w:rsidR="002A5F52" w:rsidRPr="0090131B">
        <w:t xml:space="preserve"> also</w:t>
      </w:r>
      <w:r w:rsidR="00D21287" w:rsidRPr="0090131B">
        <w:t xml:space="preserve"> note</w:t>
      </w:r>
      <w:r w:rsidR="00D35813" w:rsidRPr="0090131B">
        <w:t>s</w:t>
      </w:r>
      <w:r w:rsidR="00D21287" w:rsidRPr="0090131B">
        <w:t xml:space="preserve"> that the </w:t>
      </w:r>
      <w:r w:rsidR="002A5F52" w:rsidRPr="0090131B">
        <w:t>g</w:t>
      </w:r>
      <w:r w:rsidR="00D21287" w:rsidRPr="0090131B">
        <w:t>overnment</w:t>
      </w:r>
      <w:r w:rsidR="002A5F52" w:rsidRPr="0090131B">
        <w:t xml:space="preserve"> </w:t>
      </w:r>
      <w:r w:rsidR="00C02625" w:rsidRPr="0090131B">
        <w:t xml:space="preserve">has </w:t>
      </w:r>
      <w:r w:rsidR="00C154AC" w:rsidRPr="0090131B">
        <w:t>refrained from providing</w:t>
      </w:r>
      <w:r w:rsidR="00C02625" w:rsidRPr="0090131B">
        <w:t xml:space="preserve"> a</w:t>
      </w:r>
      <w:r w:rsidR="00C6673A" w:rsidRPr="0090131B">
        <w:t xml:space="preserve"> detailed M</w:t>
      </w:r>
      <w:r w:rsidR="00C154AC" w:rsidRPr="0090131B">
        <w:t>emorandum on its policy</w:t>
      </w:r>
      <w:r w:rsidR="00F4315E" w:rsidRPr="0090131B">
        <w:t xml:space="preserve"> for the reason that</w:t>
      </w:r>
      <w:r w:rsidR="00EA3AA5" w:rsidRPr="0090131B">
        <w:t xml:space="preserve"> </w:t>
      </w:r>
      <w:r w:rsidR="00C154AC" w:rsidRPr="0090131B">
        <w:t xml:space="preserve">it </w:t>
      </w:r>
      <w:r w:rsidR="00D57982" w:rsidRPr="0090131B">
        <w:t>d</w:t>
      </w:r>
      <w:r w:rsidR="00C02625" w:rsidRPr="0090131B">
        <w:t>oes</w:t>
      </w:r>
      <w:r w:rsidR="00D57982" w:rsidRPr="0090131B">
        <w:t xml:space="preserve"> not wish to engage in a hypothetical debate.</w:t>
      </w:r>
      <w:r w:rsidR="00C02625" w:rsidRPr="0090131B">
        <w:rPr>
          <w:rStyle w:val="FootnoteReference"/>
        </w:rPr>
        <w:footnoteReference w:id="31"/>
      </w:r>
      <w:r w:rsidR="00D57982" w:rsidRPr="0090131B">
        <w:t xml:space="preserve"> </w:t>
      </w:r>
      <w:r w:rsidR="003025A8" w:rsidRPr="0090131B">
        <w:t>T</w:t>
      </w:r>
      <w:r w:rsidR="00C02625" w:rsidRPr="0090131B">
        <w:t xml:space="preserve">he </w:t>
      </w:r>
      <w:r w:rsidR="00E9226A" w:rsidRPr="0090131B">
        <w:t xml:space="preserve">Head of the </w:t>
      </w:r>
      <w:r w:rsidR="003025A8" w:rsidRPr="0090131B">
        <w:t>C</w:t>
      </w:r>
      <w:r w:rsidR="00C02625" w:rsidRPr="0090131B">
        <w:t xml:space="preserve">ommittee </w:t>
      </w:r>
      <w:r w:rsidR="003025A8" w:rsidRPr="0090131B">
        <w:t xml:space="preserve">requested </w:t>
      </w:r>
      <w:r w:rsidR="00C02625" w:rsidRPr="0090131B">
        <w:t>a</w:t>
      </w:r>
      <w:r w:rsidR="005D23E8">
        <w:t xml:space="preserve"> further</w:t>
      </w:r>
      <w:r w:rsidR="00C02625" w:rsidRPr="0090131B">
        <w:t xml:space="preserve"> </w:t>
      </w:r>
      <w:r w:rsidR="00C6673A" w:rsidRPr="0090131B">
        <w:t>M</w:t>
      </w:r>
      <w:r w:rsidR="00C02625" w:rsidRPr="0090131B">
        <w:t>emorandum</w:t>
      </w:r>
      <w:r w:rsidR="005D23E8">
        <w:t>,</w:t>
      </w:r>
      <w:r w:rsidR="00C02625" w:rsidRPr="0090131B">
        <w:t xml:space="preserve"> </w:t>
      </w:r>
      <w:r w:rsidR="00764E84" w:rsidRPr="0090131B">
        <w:t>‘</w:t>
      </w:r>
      <w:r w:rsidR="00C02625" w:rsidRPr="0090131B">
        <w:t xml:space="preserve">explaining </w:t>
      </w:r>
      <w:r w:rsidR="0013029B" w:rsidRPr="0090131B">
        <w:t>in full what the Government considers to be the justification behind its intention to derogate</w:t>
      </w:r>
      <w:r w:rsidR="00764E84" w:rsidRPr="0090131B">
        <w:t>’</w:t>
      </w:r>
      <w:r w:rsidR="005D23E8">
        <w:t>,</w:t>
      </w:r>
      <w:r w:rsidR="0013029B" w:rsidRPr="0090131B">
        <w:t xml:space="preserve"> </w:t>
      </w:r>
      <w:r w:rsidR="00D6069C" w:rsidRPr="0090131B">
        <w:t>and</w:t>
      </w:r>
      <w:r w:rsidR="005D23E8">
        <w:t xml:space="preserve"> the </w:t>
      </w:r>
      <w:r w:rsidR="009325FD">
        <w:t>Committee</w:t>
      </w:r>
      <w:r w:rsidR="00D6069C" w:rsidRPr="0090131B">
        <w:t xml:space="preserve"> raised a number of questions </w:t>
      </w:r>
      <w:r w:rsidR="00F56322" w:rsidRPr="0090131B">
        <w:t xml:space="preserve">to be addressed in </w:t>
      </w:r>
      <w:r w:rsidR="00E9226A" w:rsidRPr="0090131B">
        <w:t>the Memorandum</w:t>
      </w:r>
      <w:r w:rsidR="0013029B" w:rsidRPr="0090131B">
        <w:t>.</w:t>
      </w:r>
      <w:r w:rsidR="0013029B" w:rsidRPr="0090131B">
        <w:rPr>
          <w:rStyle w:val="FootnoteReference"/>
        </w:rPr>
        <w:footnoteReference w:id="32"/>
      </w:r>
      <w:r w:rsidR="00D6069C" w:rsidRPr="0090131B">
        <w:t xml:space="preserve"> </w:t>
      </w:r>
      <w:r w:rsidR="00F56322" w:rsidRPr="0090131B">
        <w:rPr>
          <w:i/>
        </w:rPr>
        <w:t>Inter alia</w:t>
      </w:r>
      <w:r w:rsidR="00F56322" w:rsidRPr="0090131B">
        <w:t>, it requested</w:t>
      </w:r>
      <w:r w:rsidR="0019656F" w:rsidRPr="0090131B">
        <w:t xml:space="preserve"> evidence </w:t>
      </w:r>
      <w:r w:rsidR="0019656F" w:rsidRPr="0090131B">
        <w:lastRenderedPageBreak/>
        <w:t xml:space="preserve">regarding </w:t>
      </w:r>
      <w:r w:rsidR="00D374E5" w:rsidRPr="0090131B">
        <w:t>certain</w:t>
      </w:r>
      <w:r w:rsidR="0019656F" w:rsidRPr="0090131B">
        <w:t xml:space="preserve"> factual elements underpinning the intention to derogate</w:t>
      </w:r>
      <w:r w:rsidR="00F56322" w:rsidRPr="0090131B">
        <w:t xml:space="preserve"> and the impact of the applicability of the ECHR to armed conflict</w:t>
      </w:r>
      <w:r w:rsidR="001C6C68">
        <w:t>s</w:t>
      </w:r>
      <w:r w:rsidR="00F56322" w:rsidRPr="0090131B">
        <w:t xml:space="preserve"> overseas</w:t>
      </w:r>
      <w:r w:rsidR="0019656F" w:rsidRPr="0090131B">
        <w:t>.</w:t>
      </w:r>
      <w:r w:rsidR="0019656F" w:rsidRPr="0090131B">
        <w:rPr>
          <w:rStyle w:val="FootnoteReference"/>
        </w:rPr>
        <w:footnoteReference w:id="33"/>
      </w:r>
      <w:r w:rsidR="00531B87" w:rsidRPr="0090131B">
        <w:t xml:space="preserve"> </w:t>
      </w:r>
    </w:p>
    <w:p w14:paraId="05FFD412" w14:textId="77777777" w:rsidR="0029571E" w:rsidRPr="0090131B" w:rsidRDefault="0029571E" w:rsidP="00A811CD">
      <w:pPr>
        <w:ind w:right="-52"/>
        <w:jc w:val="both"/>
      </w:pPr>
    </w:p>
    <w:p w14:paraId="5CCB07F1" w14:textId="3D84A1A9" w:rsidR="006716F0" w:rsidRPr="0090131B" w:rsidRDefault="0019656F" w:rsidP="0062577E">
      <w:pPr>
        <w:ind w:right="-52"/>
        <w:jc w:val="both"/>
      </w:pPr>
      <w:r w:rsidRPr="0090131B">
        <w:t>The DS responded on 28 February 2016</w:t>
      </w:r>
      <w:r w:rsidR="007D701D" w:rsidRPr="0090131B">
        <w:t xml:space="preserve">, providing </w:t>
      </w:r>
      <w:r w:rsidR="006D7B5C" w:rsidRPr="0090131B">
        <w:t>a</w:t>
      </w:r>
      <w:r w:rsidR="00F4315E" w:rsidRPr="0090131B">
        <w:t xml:space="preserve"> document entitled</w:t>
      </w:r>
      <w:r w:rsidR="007D701D" w:rsidRPr="0090131B">
        <w:t xml:space="preserve"> </w:t>
      </w:r>
      <w:r w:rsidR="006716F0" w:rsidRPr="0090131B">
        <w:t>‘</w:t>
      </w:r>
      <w:r w:rsidR="00C6673A" w:rsidRPr="0090131B">
        <w:t>M</w:t>
      </w:r>
      <w:r w:rsidR="007D701D" w:rsidRPr="0090131B">
        <w:t>emorandum</w:t>
      </w:r>
      <w:r w:rsidR="006716F0" w:rsidRPr="0090131B">
        <w:t>’</w:t>
      </w:r>
      <w:r w:rsidR="007D701D" w:rsidRPr="0090131B">
        <w:t>.</w:t>
      </w:r>
      <w:bookmarkStart w:id="15" w:name="_Ref492813769"/>
      <w:r w:rsidR="00E9226A" w:rsidRPr="0090131B">
        <w:rPr>
          <w:rStyle w:val="FootnoteReference"/>
        </w:rPr>
        <w:footnoteReference w:id="34"/>
      </w:r>
      <w:bookmarkEnd w:id="15"/>
      <w:r w:rsidR="007D701D" w:rsidRPr="0090131B">
        <w:t xml:space="preserve"> </w:t>
      </w:r>
      <w:r w:rsidR="001E5921" w:rsidRPr="0090131B">
        <w:t xml:space="preserve">In the </w:t>
      </w:r>
      <w:r w:rsidR="006D7B5C" w:rsidRPr="0090131B">
        <w:t xml:space="preserve">accompanying </w:t>
      </w:r>
      <w:r w:rsidR="001E5921" w:rsidRPr="0090131B">
        <w:t>letter, h</w:t>
      </w:r>
      <w:r w:rsidR="002F7059" w:rsidRPr="0090131B">
        <w:t>e confirmed</w:t>
      </w:r>
      <w:r w:rsidR="00990C73" w:rsidRPr="0090131B">
        <w:t xml:space="preserve"> that </w:t>
      </w:r>
      <w:r w:rsidR="006716F0" w:rsidRPr="0090131B">
        <w:t>‘</w:t>
      </w:r>
      <w:r w:rsidR="00990C73" w:rsidRPr="0090131B">
        <w:t>no decision has been taken as to whether in the context of any particular future military operation it would or would not be appropriate to derogate</w:t>
      </w:r>
      <w:r w:rsidR="006716F0" w:rsidRPr="0090131B">
        <w:t>’</w:t>
      </w:r>
      <w:r w:rsidR="00990C73" w:rsidRPr="0090131B">
        <w:t xml:space="preserve"> </w:t>
      </w:r>
      <w:r w:rsidR="00854AB9" w:rsidRPr="0090131B">
        <w:t xml:space="preserve">and reiterated that </w:t>
      </w:r>
      <w:r w:rsidR="006716F0" w:rsidRPr="0090131B">
        <w:t>‘</w:t>
      </w:r>
      <w:r w:rsidR="00990C73" w:rsidRPr="0090131B">
        <w:t>a decision to derogate would only be taken if it is appropriate to do so, which requires consideration of the circumstances that exist at that future time.</w:t>
      </w:r>
      <w:r w:rsidR="006716F0" w:rsidRPr="0090131B">
        <w:t>’</w:t>
      </w:r>
      <w:r w:rsidR="00854AB9" w:rsidRPr="0090131B">
        <w:rPr>
          <w:rStyle w:val="FootnoteReference"/>
        </w:rPr>
        <w:footnoteReference w:id="35"/>
      </w:r>
      <w:r w:rsidR="00990C73" w:rsidRPr="0090131B">
        <w:t xml:space="preserve"> </w:t>
      </w:r>
      <w:r w:rsidR="003D5FF6" w:rsidRPr="0090131B">
        <w:t>Thus, given also th</w:t>
      </w:r>
      <w:r w:rsidR="00631FBB" w:rsidRPr="0090131B">
        <w:t>at</w:t>
      </w:r>
      <w:r w:rsidR="003D5FF6" w:rsidRPr="0090131B">
        <w:t xml:space="preserve"> planning cannot be discussed in hypothetical terms, </w:t>
      </w:r>
    </w:p>
    <w:p w14:paraId="4BAE1F2A" w14:textId="77EF74D3" w:rsidR="006716F0" w:rsidRPr="0090131B" w:rsidRDefault="003E6B4A" w:rsidP="00A05A38">
      <w:pPr>
        <w:ind w:left="720" w:right="-52"/>
        <w:jc w:val="both"/>
      </w:pPr>
      <w:r w:rsidRPr="0090131B">
        <w:t>‘</w:t>
      </w:r>
      <w:r w:rsidR="003D5FF6" w:rsidRPr="006E0B80">
        <w:t>[a]</w:t>
      </w:r>
      <w:r w:rsidR="00990C73" w:rsidRPr="006E0B80">
        <w:t>ny commitment as to the circumstances in which the Government may derogate is impossible as any such decision will depend on the precise circumstances of the operation prevailing at the time.</w:t>
      </w:r>
      <w:r w:rsidRPr="0090131B">
        <w:t>’</w:t>
      </w:r>
      <w:r w:rsidR="003D5FF6" w:rsidRPr="006E0B80">
        <w:rPr>
          <w:rStyle w:val="FootnoteReference"/>
        </w:rPr>
        <w:footnoteReference w:id="36"/>
      </w:r>
      <w:r w:rsidR="00990C73" w:rsidRPr="006E0B80">
        <w:t xml:space="preserve"> </w:t>
      </w:r>
    </w:p>
    <w:p w14:paraId="33FA087A" w14:textId="710749EC" w:rsidR="006716F0" w:rsidRPr="0090131B" w:rsidRDefault="00764DD6" w:rsidP="0062577E">
      <w:pPr>
        <w:ind w:right="-52"/>
        <w:jc w:val="both"/>
      </w:pPr>
      <w:r w:rsidRPr="0090131B">
        <w:t xml:space="preserve">The </w:t>
      </w:r>
      <w:r w:rsidR="00C6673A" w:rsidRPr="0090131B">
        <w:t>M</w:t>
      </w:r>
      <w:r w:rsidRPr="0090131B">
        <w:t xml:space="preserve">emorandum </w:t>
      </w:r>
      <w:r w:rsidR="00CC2054" w:rsidRPr="0090131B">
        <w:t>reiterates</w:t>
      </w:r>
      <w:r w:rsidR="00B17E27" w:rsidRPr="0090131B">
        <w:t xml:space="preserve"> that </w:t>
      </w:r>
      <w:r w:rsidR="006716F0" w:rsidRPr="0090131B">
        <w:t>‘</w:t>
      </w:r>
      <w:r w:rsidR="00DD26B1">
        <w:t>[</w:t>
      </w:r>
      <w:r w:rsidR="00B17E27" w:rsidRPr="0090131B">
        <w:t>a]ny future decision to derogate […] would depend entirely on the circumstances surrounding the operation at issue meeting the requirements set out in article 15</w:t>
      </w:r>
      <w:bookmarkStart w:id="16" w:name="_Ref491255646"/>
      <w:r w:rsidR="006716F0" w:rsidRPr="0090131B">
        <w:t>’</w:t>
      </w:r>
      <w:bookmarkStart w:id="17" w:name="_Ref533801382"/>
      <w:r w:rsidR="00FC2E6D" w:rsidRPr="0090131B">
        <w:rPr>
          <w:rStyle w:val="FootnoteReference"/>
        </w:rPr>
        <w:footnoteReference w:id="37"/>
      </w:r>
      <w:bookmarkEnd w:id="16"/>
      <w:bookmarkEnd w:id="17"/>
      <w:r w:rsidR="00B17E27" w:rsidRPr="0090131B">
        <w:t xml:space="preserve"> ECHR and </w:t>
      </w:r>
      <w:r w:rsidR="00537CAD" w:rsidRPr="0090131B">
        <w:t xml:space="preserve">explains that </w:t>
      </w:r>
    </w:p>
    <w:p w14:paraId="2A10BFFE" w14:textId="0913A205" w:rsidR="006716F0" w:rsidRPr="0090131B" w:rsidRDefault="003E6B4A" w:rsidP="008304FD">
      <w:pPr>
        <w:ind w:left="720" w:right="-52"/>
        <w:jc w:val="both"/>
      </w:pPr>
      <w:r w:rsidRPr="0090131B">
        <w:t>‘</w:t>
      </w:r>
      <w:r w:rsidR="00537CAD" w:rsidRPr="006E0B80">
        <w:t>the sort of situation in which derogation would need to be considered is where the ECHR would or might not cover or permit the taking of a step which was considered necessary for the proper and effective conduct of a military operation.</w:t>
      </w:r>
      <w:r w:rsidR="00FA3CD3" w:rsidRPr="0090131B">
        <w:t>’</w:t>
      </w:r>
      <w:r w:rsidR="00537CAD" w:rsidRPr="006E0B80">
        <w:rPr>
          <w:rStyle w:val="FootnoteReference"/>
        </w:rPr>
        <w:footnoteReference w:id="38"/>
      </w:r>
      <w:r w:rsidR="00537CAD" w:rsidRPr="006E0B80">
        <w:t xml:space="preserve"> </w:t>
      </w:r>
    </w:p>
    <w:p w14:paraId="4EFE84E8" w14:textId="6A5780D4" w:rsidR="00333F49" w:rsidRPr="0090131B" w:rsidRDefault="00CC2054" w:rsidP="0062577E">
      <w:pPr>
        <w:ind w:right="-52"/>
        <w:jc w:val="both"/>
      </w:pPr>
      <w:r w:rsidRPr="0090131B">
        <w:t>Furthermore, t</w:t>
      </w:r>
      <w:r w:rsidR="007F1AFE" w:rsidRPr="0090131B">
        <w:t xml:space="preserve">he </w:t>
      </w:r>
      <w:r w:rsidR="00C6673A" w:rsidRPr="0090131B">
        <w:t>M</w:t>
      </w:r>
      <w:r w:rsidR="007F1AFE" w:rsidRPr="0090131B">
        <w:t xml:space="preserve">emorandum elaborates on the vexatious nature of the claims </w:t>
      </w:r>
      <w:r w:rsidR="00927122" w:rsidRPr="0090131B">
        <w:t>against the UK government</w:t>
      </w:r>
      <w:r w:rsidR="007F1AFE" w:rsidRPr="0090131B">
        <w:rPr>
          <w:rStyle w:val="FootnoteReference"/>
        </w:rPr>
        <w:footnoteReference w:id="39"/>
      </w:r>
      <w:r w:rsidR="007F1AFE" w:rsidRPr="0090131B">
        <w:t xml:space="preserve"> and </w:t>
      </w:r>
      <w:r w:rsidR="00927122" w:rsidRPr="0090131B">
        <w:t>emphasi</w:t>
      </w:r>
      <w:r w:rsidR="006716F0" w:rsidRPr="0090131B">
        <w:t>z</w:t>
      </w:r>
      <w:r w:rsidR="00927122" w:rsidRPr="0090131B">
        <w:t xml:space="preserve">es </w:t>
      </w:r>
      <w:r w:rsidR="00897FE0" w:rsidRPr="0090131B">
        <w:t>the non-extraterritorial scope of the Convention</w:t>
      </w:r>
      <w:r w:rsidR="00927122" w:rsidRPr="0090131B">
        <w:t xml:space="preserve"> and the applicability of humanitarian law. As to </w:t>
      </w:r>
      <w:r w:rsidR="00DD26B1">
        <w:t>extraterritoriality</w:t>
      </w:r>
      <w:r w:rsidR="00897FE0" w:rsidRPr="0090131B">
        <w:t>, it refers explicitly to</w:t>
      </w:r>
      <w:r w:rsidR="00334E5F" w:rsidRPr="0090131B">
        <w:t xml:space="preserve"> the regional</w:t>
      </w:r>
      <w:r w:rsidR="00927122" w:rsidRPr="0090131B">
        <w:t xml:space="preserve"> </w:t>
      </w:r>
      <w:r w:rsidR="00897FE0" w:rsidRPr="0090131B">
        <w:t>character</w:t>
      </w:r>
      <w:r w:rsidR="00927122" w:rsidRPr="0090131B">
        <w:t xml:space="preserve"> of the Convention</w:t>
      </w:r>
      <w:r w:rsidR="0010178C" w:rsidRPr="0090131B">
        <w:t>,</w:t>
      </w:r>
      <w:r w:rsidR="0010178C" w:rsidRPr="0090131B">
        <w:rPr>
          <w:rStyle w:val="FootnoteReference"/>
        </w:rPr>
        <w:footnoteReference w:id="40"/>
      </w:r>
      <w:r w:rsidR="0010178C" w:rsidRPr="0090131B">
        <w:t xml:space="preserve"> arguing that its </w:t>
      </w:r>
      <w:r w:rsidR="006716F0" w:rsidRPr="0090131B">
        <w:t>‘</w:t>
      </w:r>
      <w:r w:rsidR="0010178C" w:rsidRPr="0090131B">
        <w:t>framers […] did not intend that it should apply to overseas armed conflicts which were already governed by International Humanitarian Law</w:t>
      </w:r>
      <w:r w:rsidR="006716F0" w:rsidRPr="0090131B">
        <w:t>’</w:t>
      </w:r>
      <w:r w:rsidR="0010178C" w:rsidRPr="0090131B">
        <w:t>.</w:t>
      </w:r>
      <w:bookmarkStart w:id="18" w:name="_Ref491351491"/>
      <w:r w:rsidR="0010178C" w:rsidRPr="0090131B">
        <w:rPr>
          <w:rStyle w:val="FootnoteReference"/>
        </w:rPr>
        <w:footnoteReference w:id="41"/>
      </w:r>
      <w:bookmarkEnd w:id="18"/>
      <w:r w:rsidR="0010178C" w:rsidRPr="0090131B">
        <w:t xml:space="preserve"> </w:t>
      </w:r>
      <w:r w:rsidR="005021F9" w:rsidRPr="0090131B">
        <w:t>As to the latter, after exp</w:t>
      </w:r>
      <w:r w:rsidR="001C2550" w:rsidRPr="0090131B">
        <w:t xml:space="preserve">laining that </w:t>
      </w:r>
      <w:r w:rsidR="00A57B50" w:rsidRPr="0090131B">
        <w:t>‘</w:t>
      </w:r>
      <w:r w:rsidR="001C2550" w:rsidRPr="0090131B">
        <w:t>the UK’s position</w:t>
      </w:r>
      <w:r w:rsidR="005021F9" w:rsidRPr="0090131B">
        <w:t xml:space="preserve"> has always </w:t>
      </w:r>
      <w:r w:rsidR="002E36FC" w:rsidRPr="0090131B">
        <w:t xml:space="preserve">been that IHL regulates </w:t>
      </w:r>
      <w:r w:rsidR="001C2550" w:rsidRPr="0090131B">
        <w:t xml:space="preserve">armed </w:t>
      </w:r>
      <w:r w:rsidR="002E36FC" w:rsidRPr="0090131B">
        <w:t>conflict</w:t>
      </w:r>
      <w:r w:rsidR="00A57B50" w:rsidRPr="0090131B">
        <w:t>’</w:t>
      </w:r>
      <w:r w:rsidR="002E36FC" w:rsidRPr="0090131B">
        <w:rPr>
          <w:rStyle w:val="FootnoteReference"/>
        </w:rPr>
        <w:footnoteReference w:id="42"/>
      </w:r>
      <w:r w:rsidR="002E36FC" w:rsidRPr="0090131B">
        <w:t xml:space="preserve"> and that the </w:t>
      </w:r>
      <w:r w:rsidR="00A57B50" w:rsidRPr="0090131B">
        <w:t>‘</w:t>
      </w:r>
      <w:r w:rsidR="002E36FC" w:rsidRPr="0090131B">
        <w:t xml:space="preserve">extension of the ECHR onto </w:t>
      </w:r>
      <w:r w:rsidR="001C6C68">
        <w:t xml:space="preserve">the </w:t>
      </w:r>
      <w:r w:rsidR="002E36FC" w:rsidRPr="0090131B">
        <w:t>battlefield creates a real potential difficulty</w:t>
      </w:r>
      <w:r w:rsidR="00A57B50" w:rsidRPr="0090131B">
        <w:t>’</w:t>
      </w:r>
      <w:r w:rsidR="00884FAE" w:rsidRPr="0090131B">
        <w:t>,</w:t>
      </w:r>
      <w:r w:rsidR="002E36FC" w:rsidRPr="0090131B">
        <w:rPr>
          <w:rStyle w:val="FootnoteReference"/>
        </w:rPr>
        <w:footnoteReference w:id="43"/>
      </w:r>
      <w:r w:rsidR="00B0520B" w:rsidRPr="0090131B">
        <w:t xml:space="preserve"> </w:t>
      </w:r>
      <w:r w:rsidR="007866C8" w:rsidRPr="0090131B">
        <w:t>the Memorandum</w:t>
      </w:r>
      <w:r w:rsidR="00B0520B" w:rsidRPr="0090131B">
        <w:t xml:space="preserve"> refers</w:t>
      </w:r>
      <w:r w:rsidR="00884FAE" w:rsidRPr="0090131B">
        <w:t xml:space="preserve"> to the relevant case law of the ECtHR</w:t>
      </w:r>
      <w:r w:rsidR="00452F65" w:rsidRPr="0090131B">
        <w:t>,</w:t>
      </w:r>
      <w:r w:rsidR="00884FAE" w:rsidRPr="0090131B">
        <w:rPr>
          <w:rStyle w:val="FootnoteReference"/>
        </w:rPr>
        <w:footnoteReference w:id="44"/>
      </w:r>
      <w:r w:rsidR="00884FAE" w:rsidRPr="0090131B">
        <w:t xml:space="preserve"> </w:t>
      </w:r>
      <w:r w:rsidR="00452F65" w:rsidRPr="0090131B">
        <w:t xml:space="preserve">and </w:t>
      </w:r>
      <w:r w:rsidR="00FC6A6C">
        <w:t xml:space="preserve">particularly </w:t>
      </w:r>
      <w:r w:rsidR="00452F65" w:rsidRPr="0090131B">
        <w:t xml:space="preserve">to </w:t>
      </w:r>
      <w:r w:rsidR="00452F65" w:rsidRPr="0090131B">
        <w:rPr>
          <w:i/>
        </w:rPr>
        <w:t>Hassan</w:t>
      </w:r>
      <w:bookmarkStart w:id="19" w:name="_Ref492821471"/>
      <w:r w:rsidR="00452F65" w:rsidRPr="0090131B">
        <w:rPr>
          <w:rStyle w:val="FootnoteReference"/>
        </w:rPr>
        <w:footnoteReference w:id="45"/>
      </w:r>
      <w:bookmarkEnd w:id="19"/>
      <w:r w:rsidR="00452F65" w:rsidRPr="0090131B">
        <w:t xml:space="preserve"> </w:t>
      </w:r>
      <w:r w:rsidR="00A85498" w:rsidRPr="0090131B">
        <w:t>(</w:t>
      </w:r>
      <w:r w:rsidR="00015BD8" w:rsidRPr="0090131B">
        <w:t>in which</w:t>
      </w:r>
      <w:r w:rsidR="00452F65" w:rsidRPr="0090131B">
        <w:t xml:space="preserve"> the </w:t>
      </w:r>
      <w:r w:rsidR="00333F49" w:rsidRPr="0090131B">
        <w:t>Convention</w:t>
      </w:r>
      <w:r w:rsidR="00A85498" w:rsidRPr="0090131B">
        <w:t xml:space="preserve"> </w:t>
      </w:r>
      <w:r w:rsidR="00015BD8" w:rsidRPr="0090131B">
        <w:t>ha</w:t>
      </w:r>
      <w:r w:rsidR="00A85498" w:rsidRPr="0090131B">
        <w:t xml:space="preserve">s </w:t>
      </w:r>
      <w:r w:rsidR="00015BD8" w:rsidRPr="0090131B">
        <w:t xml:space="preserve">been </w:t>
      </w:r>
      <w:r w:rsidR="00A85498" w:rsidRPr="0090131B">
        <w:t>interpreted</w:t>
      </w:r>
      <w:r w:rsidR="00333F49" w:rsidRPr="0090131B">
        <w:t xml:space="preserve"> </w:t>
      </w:r>
      <w:r w:rsidR="001C2550" w:rsidRPr="0090131B">
        <w:t>in the light of</w:t>
      </w:r>
      <w:r w:rsidR="00333F49" w:rsidRPr="0090131B">
        <w:t xml:space="preserve"> </w:t>
      </w:r>
      <w:r w:rsidR="00624ACF" w:rsidRPr="0090131B">
        <w:t>IHL</w:t>
      </w:r>
      <w:r w:rsidR="00A85498" w:rsidRPr="0090131B">
        <w:t>)</w:t>
      </w:r>
      <w:r w:rsidR="00333F49" w:rsidRPr="0090131B">
        <w:t xml:space="preserve">, </w:t>
      </w:r>
      <w:r w:rsidR="003671F0">
        <w:t xml:space="preserve">as </w:t>
      </w:r>
      <w:r w:rsidR="00333F49" w:rsidRPr="0090131B">
        <w:t xml:space="preserve">to conclude that uncertainty remains </w:t>
      </w:r>
      <w:r w:rsidR="00A57B50" w:rsidRPr="0090131B">
        <w:t>‘</w:t>
      </w:r>
      <w:r w:rsidR="00333F49" w:rsidRPr="0090131B">
        <w:t>as to whether the S</w:t>
      </w:r>
      <w:r w:rsidR="0062577E" w:rsidRPr="0090131B">
        <w:t>trasbourg Court would follow the</w:t>
      </w:r>
      <w:r w:rsidR="00333F49" w:rsidRPr="0090131B">
        <w:t xml:space="preserve"> Supreme Court’s reasoning</w:t>
      </w:r>
      <w:r w:rsidR="0062577E" w:rsidRPr="0090131B">
        <w:t xml:space="preserve"> [in </w:t>
      </w:r>
      <w:r w:rsidR="00EF3FC0" w:rsidRPr="0090131B">
        <w:rPr>
          <w:i/>
          <w:color w:val="000000" w:themeColor="text1"/>
        </w:rPr>
        <w:t>Mohammed and others v Ministry of Defence</w:t>
      </w:r>
      <w:r w:rsidR="00A16442" w:rsidRPr="0090131B">
        <w:rPr>
          <w:rStyle w:val="FootnoteReference"/>
        </w:rPr>
        <w:footnoteReference w:id="46"/>
      </w:r>
      <w:r w:rsidR="00A16442" w:rsidRPr="0090131B">
        <w:t xml:space="preserve">] </w:t>
      </w:r>
      <w:r w:rsidR="00333F49" w:rsidRPr="0090131B">
        <w:t>in extending the principle that IHL can modify the ECHR to other sources of international law and to non-international armed conflicts</w:t>
      </w:r>
      <w:r w:rsidR="00FD0169" w:rsidRPr="0090131B">
        <w:t>.</w:t>
      </w:r>
      <w:r w:rsidR="00A57B50" w:rsidRPr="0090131B">
        <w:t>’</w:t>
      </w:r>
      <w:r w:rsidR="00FD0169" w:rsidRPr="0090131B">
        <w:rPr>
          <w:rStyle w:val="FootnoteReference"/>
        </w:rPr>
        <w:footnoteReference w:id="47"/>
      </w:r>
      <w:r w:rsidR="00333F49" w:rsidRPr="0090131B">
        <w:t xml:space="preserve"> </w:t>
      </w:r>
    </w:p>
    <w:p w14:paraId="1E07CAD1" w14:textId="77777777" w:rsidR="00333F49" w:rsidRPr="0090131B" w:rsidRDefault="00333F49" w:rsidP="0010178C">
      <w:pPr>
        <w:ind w:right="-52"/>
        <w:jc w:val="both"/>
      </w:pPr>
    </w:p>
    <w:p w14:paraId="18C5DABB" w14:textId="3329FC4D" w:rsidR="00C603E8" w:rsidRPr="0090131B" w:rsidRDefault="009020A8" w:rsidP="00A811CD">
      <w:pPr>
        <w:ind w:right="-52"/>
        <w:jc w:val="both"/>
      </w:pPr>
      <w:r w:rsidRPr="0090131B">
        <w:t>After</w:t>
      </w:r>
      <w:r w:rsidR="00A36F2C" w:rsidRPr="0090131B">
        <w:t xml:space="preserve"> the general election of 8 June 2017, the Parliament was dissolved on 3</w:t>
      </w:r>
      <w:r w:rsidR="00AF61FD" w:rsidRPr="0090131B">
        <w:t xml:space="preserve"> May</w:t>
      </w:r>
      <w:r w:rsidR="00A36F2C" w:rsidRPr="0090131B">
        <w:t xml:space="preserve"> 2017 and all Committees ceased to exist. </w:t>
      </w:r>
      <w:r w:rsidR="00E21DA7" w:rsidRPr="0090131B">
        <w:t>As a result</w:t>
      </w:r>
      <w:r w:rsidR="00A36F2C" w:rsidRPr="0090131B">
        <w:t>, the</w:t>
      </w:r>
      <w:r w:rsidR="00B65B57" w:rsidRPr="0090131B">
        <w:t xml:space="preserve"> Committee did not follow up on the</w:t>
      </w:r>
      <w:r w:rsidR="00714383" w:rsidRPr="0090131B">
        <w:t xml:space="preserve"> </w:t>
      </w:r>
      <w:r w:rsidR="005F143C" w:rsidRPr="0090131B">
        <w:t>response</w:t>
      </w:r>
      <w:r w:rsidR="00B65B57" w:rsidRPr="0090131B">
        <w:t xml:space="preserve"> </w:t>
      </w:r>
      <w:r w:rsidR="00F9059C">
        <w:t xml:space="preserve">that </w:t>
      </w:r>
      <w:r w:rsidR="00B65B57" w:rsidRPr="0090131B">
        <w:lastRenderedPageBreak/>
        <w:t>it received from</w:t>
      </w:r>
      <w:r w:rsidR="00714383" w:rsidRPr="0090131B">
        <w:t xml:space="preserve"> the Ministry of Defence</w:t>
      </w:r>
      <w:r w:rsidR="00B65B57" w:rsidRPr="0090131B">
        <w:t>.</w:t>
      </w:r>
      <w:r w:rsidR="00714383" w:rsidRPr="0090131B">
        <w:t xml:space="preserve"> </w:t>
      </w:r>
      <w:r w:rsidR="006D52A8">
        <w:t>Rather, i</w:t>
      </w:r>
      <w:r w:rsidR="00A36F2C" w:rsidRPr="0090131B">
        <w:t>t</w:t>
      </w:r>
      <w:r w:rsidR="004E78A7" w:rsidRPr="0090131B">
        <w:t xml:space="preserve"> closed its inquiry, </w:t>
      </w:r>
      <w:r w:rsidR="00386830" w:rsidRPr="0090131B">
        <w:t>noting that it</w:t>
      </w:r>
      <w:r w:rsidR="004E78A7" w:rsidRPr="0090131B">
        <w:t xml:space="preserve"> may</w:t>
      </w:r>
      <w:r w:rsidR="00B8799F">
        <w:t>, however,</w:t>
      </w:r>
      <w:r w:rsidR="004E78A7" w:rsidRPr="0090131B">
        <w:t xml:space="preserve"> refer </w:t>
      </w:r>
      <w:r w:rsidR="00294B30" w:rsidRPr="0090131B">
        <w:t>to the evidence</w:t>
      </w:r>
      <w:r w:rsidR="006D52A8">
        <w:t xml:space="preserve"> that</w:t>
      </w:r>
      <w:r w:rsidR="00294B30" w:rsidRPr="0090131B">
        <w:t xml:space="preserve"> it</w:t>
      </w:r>
      <w:r w:rsidR="004E78A7" w:rsidRPr="0090131B">
        <w:t xml:space="preserve"> </w:t>
      </w:r>
      <w:r w:rsidR="0043355B" w:rsidRPr="0090131B">
        <w:t xml:space="preserve">has </w:t>
      </w:r>
      <w:r w:rsidR="001D1FF8" w:rsidRPr="0090131B">
        <w:t>collected</w:t>
      </w:r>
      <w:r w:rsidR="00AF61FD" w:rsidRPr="0090131B">
        <w:t xml:space="preserve"> in the future</w:t>
      </w:r>
      <w:r w:rsidR="004E78A7" w:rsidRPr="0090131B">
        <w:t>.</w:t>
      </w:r>
      <w:r w:rsidR="004E78A7" w:rsidRPr="0090131B">
        <w:rPr>
          <w:rStyle w:val="FootnoteReference"/>
        </w:rPr>
        <w:footnoteReference w:id="48"/>
      </w:r>
      <w:r w:rsidR="004E78A7" w:rsidRPr="0090131B">
        <w:t xml:space="preserve"> </w:t>
      </w:r>
    </w:p>
    <w:p w14:paraId="6D6ADBFF" w14:textId="77777777" w:rsidR="00C603E8" w:rsidRPr="0090131B" w:rsidRDefault="00C603E8" w:rsidP="00A811CD">
      <w:pPr>
        <w:ind w:right="-52"/>
        <w:jc w:val="both"/>
      </w:pPr>
    </w:p>
    <w:p w14:paraId="51BC7972" w14:textId="1B69867F" w:rsidR="00242BB9" w:rsidRPr="0090131B" w:rsidRDefault="00DC5029" w:rsidP="00A811CD">
      <w:pPr>
        <w:ind w:right="-52"/>
        <w:jc w:val="both"/>
      </w:pPr>
      <w:r w:rsidRPr="0090131B">
        <w:t>T</w:t>
      </w:r>
      <w:r w:rsidR="00D0531F" w:rsidRPr="0090131B">
        <w:t xml:space="preserve">he next </w:t>
      </w:r>
      <w:r w:rsidR="00C603E8" w:rsidRPr="0090131B">
        <w:t>section</w:t>
      </w:r>
      <w:r w:rsidRPr="0090131B">
        <w:t xml:space="preserve"> of the </w:t>
      </w:r>
      <w:r w:rsidR="00644251" w:rsidRPr="0090131B">
        <w:t>study</w:t>
      </w:r>
      <w:r w:rsidR="001D1FF8" w:rsidRPr="0090131B">
        <w:t xml:space="preserve"> </w:t>
      </w:r>
      <w:r w:rsidR="00A85EFD" w:rsidRPr="0090131B">
        <w:t>employs</w:t>
      </w:r>
      <w:r w:rsidR="00283CE7" w:rsidRPr="0090131B">
        <w:t xml:space="preserve"> </w:t>
      </w:r>
      <w:r w:rsidR="00F359D3" w:rsidRPr="0090131B">
        <w:t>th</w:t>
      </w:r>
      <w:r w:rsidR="009440A2" w:rsidRPr="0090131B">
        <w:t>e</w:t>
      </w:r>
      <w:r w:rsidR="0065548D" w:rsidRPr="0090131B">
        <w:t xml:space="preserve"> </w:t>
      </w:r>
      <w:r w:rsidRPr="0090131B">
        <w:t>evidence</w:t>
      </w:r>
      <w:r w:rsidR="009440A2" w:rsidRPr="0090131B">
        <w:t xml:space="preserve"> collected by the UK Parliament</w:t>
      </w:r>
      <w:r w:rsidR="009A7D6E" w:rsidRPr="0090131B">
        <w:t xml:space="preserve"> </w:t>
      </w:r>
      <w:r w:rsidR="003519A5" w:rsidRPr="0090131B">
        <w:t xml:space="preserve">as well as other sources </w:t>
      </w:r>
      <w:r w:rsidR="00303300">
        <w:t xml:space="preserve">as </w:t>
      </w:r>
      <w:r w:rsidR="00B13877" w:rsidRPr="0090131B">
        <w:t xml:space="preserve">to </w:t>
      </w:r>
      <w:r w:rsidR="00840A23" w:rsidRPr="0090131B">
        <w:t>evaluate the suitability of the</w:t>
      </w:r>
      <w:r w:rsidR="00B13877" w:rsidRPr="0090131B">
        <w:t xml:space="preserve"> proposed derogation(s) from the ECHR for the </w:t>
      </w:r>
      <w:r w:rsidR="00E928E8" w:rsidRPr="0090131B">
        <w:t xml:space="preserve">goals </w:t>
      </w:r>
      <w:r w:rsidR="00B13877" w:rsidRPr="0090131B">
        <w:t>pursued by the government.</w:t>
      </w:r>
      <w:r w:rsidR="003A60BE" w:rsidRPr="0090131B">
        <w:t xml:space="preserve"> To</w:t>
      </w:r>
      <w:r w:rsidR="00AE22B4" w:rsidRPr="0090131B">
        <w:t xml:space="preserve"> examine whether derogating from the ECHR can help t</w:t>
      </w:r>
      <w:r w:rsidR="004A592D" w:rsidRPr="0090131B">
        <w:t xml:space="preserve">he government </w:t>
      </w:r>
      <w:r w:rsidR="00B54BE0">
        <w:t xml:space="preserve">in </w:t>
      </w:r>
      <w:r w:rsidR="004A592D" w:rsidRPr="0090131B">
        <w:t>achiev</w:t>
      </w:r>
      <w:r w:rsidR="00B54BE0">
        <w:t>ing</w:t>
      </w:r>
      <w:r w:rsidR="004A592D" w:rsidRPr="0090131B">
        <w:t xml:space="preserve"> its goals, </w:t>
      </w:r>
      <w:r w:rsidR="00B54BE0" w:rsidRPr="0090131B">
        <w:t xml:space="preserve">Part III </w:t>
      </w:r>
      <w:r w:rsidR="00B54BE0">
        <w:t xml:space="preserve">of </w:t>
      </w:r>
      <w:r w:rsidR="004A592D" w:rsidRPr="0090131B">
        <w:t xml:space="preserve">the </w:t>
      </w:r>
      <w:r w:rsidR="00644251" w:rsidRPr="0090131B">
        <w:t>study</w:t>
      </w:r>
      <w:r w:rsidR="00B54BE0">
        <w:t xml:space="preserve"> first</w:t>
      </w:r>
      <w:r w:rsidR="004A592D" w:rsidRPr="0090131B">
        <w:t xml:space="preserve"> identif</w:t>
      </w:r>
      <w:r w:rsidR="00FC75E6">
        <w:t>ies</w:t>
      </w:r>
      <w:r w:rsidR="00B54BE0">
        <w:t xml:space="preserve"> these goals, prior to</w:t>
      </w:r>
      <w:r w:rsidR="004A592D" w:rsidRPr="0090131B">
        <w:t xml:space="preserve"> </w:t>
      </w:r>
      <w:r w:rsidR="00B54BE0">
        <w:t>assessing</w:t>
      </w:r>
      <w:r w:rsidR="00374824" w:rsidRPr="0090131B">
        <w:t xml:space="preserve"> </w:t>
      </w:r>
      <w:r w:rsidR="00B54BE0">
        <w:t>the</w:t>
      </w:r>
      <w:r w:rsidR="00374824" w:rsidRPr="0090131B">
        <w:t xml:space="preserve"> suitability </w:t>
      </w:r>
      <w:r w:rsidR="00B54BE0">
        <w:t>of the proposed derogation(s) thereafter</w:t>
      </w:r>
      <w:r w:rsidR="00374824" w:rsidRPr="0090131B">
        <w:t xml:space="preserve">. </w:t>
      </w:r>
    </w:p>
    <w:p w14:paraId="2319F07E" w14:textId="77777777" w:rsidR="00581F2E" w:rsidRPr="0090131B" w:rsidRDefault="00581F2E" w:rsidP="00A811CD">
      <w:pPr>
        <w:ind w:right="-52"/>
        <w:jc w:val="both"/>
      </w:pPr>
    </w:p>
    <w:p w14:paraId="23FDDE98" w14:textId="541517DB" w:rsidR="008E7ADF" w:rsidRPr="006E0B80" w:rsidRDefault="008E7ADF" w:rsidP="006E0B80">
      <w:pPr>
        <w:ind w:firstLine="720"/>
        <w:jc w:val="both"/>
        <w:rPr>
          <w:b/>
        </w:rPr>
      </w:pPr>
      <w:r w:rsidRPr="0090131B">
        <w:rPr>
          <w:b/>
        </w:rPr>
        <w:t xml:space="preserve">III. </w:t>
      </w:r>
      <w:r w:rsidR="00581F2E" w:rsidRPr="006E0B80">
        <w:rPr>
          <w:b/>
        </w:rPr>
        <w:t xml:space="preserve">Is the </w:t>
      </w:r>
      <w:r w:rsidR="00A20C66" w:rsidRPr="006E0B80">
        <w:rPr>
          <w:b/>
        </w:rPr>
        <w:t>P</w:t>
      </w:r>
      <w:r w:rsidR="00581F2E" w:rsidRPr="006E0B80">
        <w:rPr>
          <w:b/>
        </w:rPr>
        <w:t xml:space="preserve">resumption of </w:t>
      </w:r>
      <w:r w:rsidR="00A20C66" w:rsidRPr="006E0B80">
        <w:rPr>
          <w:b/>
        </w:rPr>
        <w:t>D</w:t>
      </w:r>
      <w:r w:rsidR="00581F2E" w:rsidRPr="006E0B80">
        <w:rPr>
          <w:b/>
        </w:rPr>
        <w:t xml:space="preserve">erogation </w:t>
      </w:r>
      <w:r w:rsidR="00A20C66" w:rsidRPr="006E0B80">
        <w:rPr>
          <w:b/>
        </w:rPr>
        <w:t>F</w:t>
      </w:r>
      <w:r w:rsidR="00581F2E" w:rsidRPr="006E0B80">
        <w:rPr>
          <w:b/>
        </w:rPr>
        <w:t xml:space="preserve">it for </w:t>
      </w:r>
      <w:r w:rsidR="00A20C66" w:rsidRPr="006E0B80">
        <w:rPr>
          <w:b/>
        </w:rPr>
        <w:t>P</w:t>
      </w:r>
      <w:r w:rsidR="00581F2E" w:rsidRPr="006E0B80">
        <w:rPr>
          <w:b/>
        </w:rPr>
        <w:t xml:space="preserve">urpose? </w:t>
      </w:r>
    </w:p>
    <w:p w14:paraId="47FDED7F" w14:textId="4840FE28" w:rsidR="00A20C66" w:rsidRPr="0090131B" w:rsidRDefault="00A20C66" w:rsidP="006E0B80">
      <w:pPr>
        <w:ind w:firstLine="720"/>
        <w:jc w:val="both"/>
        <w:rPr>
          <w:b/>
        </w:rPr>
      </w:pPr>
      <w:r w:rsidRPr="0090131B">
        <w:rPr>
          <w:b/>
        </w:rPr>
        <w:t>III.A.</w:t>
      </w:r>
      <w:r w:rsidR="00531B87" w:rsidRPr="0090131B">
        <w:rPr>
          <w:b/>
        </w:rPr>
        <w:t xml:space="preserve"> </w:t>
      </w:r>
      <w:r w:rsidR="00FB533A" w:rsidRPr="0090131B">
        <w:rPr>
          <w:b/>
        </w:rPr>
        <w:t xml:space="preserve">The </w:t>
      </w:r>
      <w:r w:rsidRPr="0090131B">
        <w:rPr>
          <w:b/>
        </w:rPr>
        <w:t>G</w:t>
      </w:r>
      <w:r w:rsidR="00FB533A" w:rsidRPr="0090131B">
        <w:rPr>
          <w:b/>
        </w:rPr>
        <w:t xml:space="preserve">oals </w:t>
      </w:r>
      <w:r w:rsidRPr="0090131B">
        <w:rPr>
          <w:b/>
        </w:rPr>
        <w:t>P</w:t>
      </w:r>
      <w:r w:rsidR="00FB533A" w:rsidRPr="0090131B">
        <w:rPr>
          <w:b/>
        </w:rPr>
        <w:t>ursued</w:t>
      </w:r>
    </w:p>
    <w:p w14:paraId="27F1CFC6" w14:textId="6D875C9C" w:rsidR="00542D21" w:rsidRPr="0090131B" w:rsidRDefault="0080433F" w:rsidP="004A592D">
      <w:pPr>
        <w:ind w:right="-52"/>
        <w:jc w:val="both"/>
      </w:pPr>
      <w:r w:rsidRPr="0090131B">
        <w:t>T</w:t>
      </w:r>
      <w:r w:rsidR="00B900F5" w:rsidRPr="0090131B">
        <w:t xml:space="preserve">he clarifications provided by the DS </w:t>
      </w:r>
      <w:r w:rsidRPr="0090131B">
        <w:t>in his communications with the Committee s</w:t>
      </w:r>
      <w:r w:rsidR="00A817A0" w:rsidRPr="0090131B">
        <w:t xml:space="preserve">often the </w:t>
      </w:r>
      <w:r w:rsidR="00552B55" w:rsidRPr="0090131B">
        <w:t>blow</w:t>
      </w:r>
      <w:r w:rsidR="000C604E" w:rsidRPr="0090131B">
        <w:t xml:space="preserve"> from</w:t>
      </w:r>
      <w:r w:rsidR="00A817A0" w:rsidRPr="0090131B">
        <w:t xml:space="preserve"> his initial statement at the Conservative Party Conference</w:t>
      </w:r>
      <w:r w:rsidR="00501E7D">
        <w:t>,</w:t>
      </w:r>
      <w:r w:rsidR="00A817A0" w:rsidRPr="0090131B">
        <w:rPr>
          <w:rStyle w:val="FootnoteReference"/>
        </w:rPr>
        <w:footnoteReference w:id="49"/>
      </w:r>
      <w:r w:rsidR="008F766C" w:rsidRPr="0090131B">
        <w:t xml:space="preserve"> </w:t>
      </w:r>
      <w:r w:rsidR="00501E7D">
        <w:t>b</w:t>
      </w:r>
      <w:r w:rsidR="008F766C" w:rsidRPr="0090131B">
        <w:t>ut</w:t>
      </w:r>
      <w:r w:rsidR="00B900F5" w:rsidRPr="0090131B">
        <w:t xml:space="preserve"> </w:t>
      </w:r>
      <w:r w:rsidR="00C262FB" w:rsidRPr="0090131B">
        <w:t>they</w:t>
      </w:r>
      <w:r w:rsidR="008F766C" w:rsidRPr="0090131B">
        <w:t xml:space="preserve"> also</w:t>
      </w:r>
      <w:r w:rsidR="00C262FB" w:rsidRPr="0090131B">
        <w:t xml:space="preserve"> </w:t>
      </w:r>
      <w:r w:rsidR="004E5636" w:rsidRPr="0090131B">
        <w:t>draw</w:t>
      </w:r>
      <w:r w:rsidR="00A817A0" w:rsidRPr="0090131B">
        <w:t xml:space="preserve"> </w:t>
      </w:r>
      <w:r w:rsidR="0018747B" w:rsidRPr="0090131B">
        <w:t xml:space="preserve">a </w:t>
      </w:r>
      <w:r w:rsidR="00CF400F" w:rsidRPr="0090131B">
        <w:t xml:space="preserve">rather </w:t>
      </w:r>
      <w:r w:rsidR="009A4C17" w:rsidRPr="0090131B">
        <w:t>incongruous</w:t>
      </w:r>
      <w:r w:rsidR="00CF400F" w:rsidRPr="0090131B">
        <w:t xml:space="preserve"> </w:t>
      </w:r>
      <w:r w:rsidR="0018747B" w:rsidRPr="0090131B">
        <w:t>picture</w:t>
      </w:r>
      <w:r w:rsidR="00CF400F" w:rsidRPr="0090131B">
        <w:t xml:space="preserve">. </w:t>
      </w:r>
      <w:r w:rsidR="00972F84" w:rsidRPr="0090131B">
        <w:t>On the</w:t>
      </w:r>
      <w:r w:rsidR="0018747B" w:rsidRPr="0090131B">
        <w:t xml:space="preserve"> </w:t>
      </w:r>
      <w:r w:rsidR="00972F84" w:rsidRPr="0090131B">
        <w:t>one hand,</w:t>
      </w:r>
      <w:r w:rsidR="00A817A0" w:rsidRPr="0090131B">
        <w:t xml:space="preserve"> </w:t>
      </w:r>
      <w:r w:rsidR="00972F84" w:rsidRPr="0090131B">
        <w:t>the</w:t>
      </w:r>
      <w:r w:rsidR="00A817A0" w:rsidRPr="0090131B">
        <w:t xml:space="preserve"> government</w:t>
      </w:r>
      <w:r w:rsidR="00195D31" w:rsidRPr="0090131B">
        <w:t xml:space="preserve"> </w:t>
      </w:r>
      <w:r w:rsidR="00A817A0" w:rsidRPr="0090131B">
        <w:t xml:space="preserve">insists on its </w:t>
      </w:r>
      <w:r w:rsidR="00E57477" w:rsidRPr="0090131B">
        <w:t>envisioned</w:t>
      </w:r>
      <w:r w:rsidR="00A817A0" w:rsidRPr="0090131B">
        <w:t xml:space="preserve"> policy to derogate from the ECHR</w:t>
      </w:r>
      <w:r w:rsidR="005B1B0D" w:rsidRPr="0090131B">
        <w:t xml:space="preserve"> </w:t>
      </w:r>
      <w:r w:rsidR="00C470C7" w:rsidRPr="0090131B">
        <w:t>for</w:t>
      </w:r>
      <w:r w:rsidR="005B1B0D" w:rsidRPr="0090131B">
        <w:t xml:space="preserve"> m</w:t>
      </w:r>
      <w:r w:rsidR="00972F84" w:rsidRPr="0090131B">
        <w:t>ilitary activities overseas, with t</w:t>
      </w:r>
      <w:r w:rsidR="00C470C7" w:rsidRPr="0090131B">
        <w:t xml:space="preserve">he Ministry of Defence </w:t>
      </w:r>
      <w:r w:rsidR="00972F84" w:rsidRPr="0090131B">
        <w:t>being</w:t>
      </w:r>
      <w:r w:rsidR="005B1B0D" w:rsidRPr="0090131B">
        <w:t xml:space="preserve"> cognizant of the conditions set by Article 15 ECHR and the need to justify </w:t>
      </w:r>
      <w:r w:rsidR="0005012B" w:rsidRPr="0090131B">
        <w:t>any</w:t>
      </w:r>
      <w:r w:rsidR="005B1B0D" w:rsidRPr="0090131B">
        <w:t xml:space="preserve"> derogation(s) in light of the particular circumstances </w:t>
      </w:r>
      <w:r w:rsidR="0077799E" w:rsidRPr="0090131B">
        <w:t>of the sit</w:t>
      </w:r>
      <w:r w:rsidR="005A2202" w:rsidRPr="0090131B">
        <w:t xml:space="preserve">uation calling for a derogation. </w:t>
      </w:r>
      <w:r w:rsidR="00972F84" w:rsidRPr="0090131B">
        <w:t>On the other hand,</w:t>
      </w:r>
      <w:r w:rsidR="0077799E" w:rsidRPr="0090131B">
        <w:t xml:space="preserve"> </w:t>
      </w:r>
      <w:r w:rsidR="005E1397" w:rsidRPr="0090131B">
        <w:t xml:space="preserve">the </w:t>
      </w:r>
      <w:r w:rsidR="00972F84" w:rsidRPr="0090131B">
        <w:t>D</w:t>
      </w:r>
      <w:r w:rsidR="005E1397" w:rsidRPr="0090131B">
        <w:t>S</w:t>
      </w:r>
      <w:r w:rsidR="005A2202" w:rsidRPr="0090131B">
        <w:t xml:space="preserve"> </w:t>
      </w:r>
      <w:r w:rsidR="00C262FB" w:rsidRPr="0090131B">
        <w:t>fram</w:t>
      </w:r>
      <w:r w:rsidR="00972F84" w:rsidRPr="0090131B">
        <w:t>es</w:t>
      </w:r>
      <w:r w:rsidR="00C262FB" w:rsidRPr="0090131B">
        <w:t xml:space="preserve"> its policy in terms of a presumpti</w:t>
      </w:r>
      <w:r w:rsidR="008F766C" w:rsidRPr="0090131B">
        <w:t>ve</w:t>
      </w:r>
      <w:r w:rsidR="00C262FB" w:rsidRPr="0090131B">
        <w:t xml:space="preserve"> derogation. The </w:t>
      </w:r>
      <w:r w:rsidR="002D1132" w:rsidRPr="0090131B">
        <w:t>study</w:t>
      </w:r>
      <w:r w:rsidR="00C262FB" w:rsidRPr="0090131B">
        <w:t xml:space="preserve"> will return to this term</w:t>
      </w:r>
      <w:r w:rsidR="0005012B" w:rsidRPr="0090131B">
        <w:t xml:space="preserve"> in Part </w:t>
      </w:r>
      <w:r w:rsidR="008D59BE" w:rsidRPr="0090131B">
        <w:t>V</w:t>
      </w:r>
      <w:r w:rsidR="00C262FB" w:rsidRPr="0090131B">
        <w:t>, but</w:t>
      </w:r>
      <w:r w:rsidR="0005012B" w:rsidRPr="0090131B">
        <w:t>,</w:t>
      </w:r>
      <w:r w:rsidR="00C262FB" w:rsidRPr="0090131B">
        <w:t xml:space="preserve"> for the moment</w:t>
      </w:r>
      <w:r w:rsidR="0005012B" w:rsidRPr="0090131B">
        <w:t>,</w:t>
      </w:r>
      <w:r w:rsidR="00C262FB" w:rsidRPr="0090131B">
        <w:t xml:space="preserve"> </w:t>
      </w:r>
      <w:r w:rsidR="00EF3C79" w:rsidRPr="0090131B">
        <w:t xml:space="preserve">it </w:t>
      </w:r>
      <w:r w:rsidR="00C262FB" w:rsidRPr="0090131B">
        <w:t>suffice</w:t>
      </w:r>
      <w:r w:rsidR="00EF3C79" w:rsidRPr="0090131B">
        <w:t>s</w:t>
      </w:r>
      <w:r w:rsidR="00C262FB" w:rsidRPr="0090131B">
        <w:t xml:space="preserve"> to highlight the </w:t>
      </w:r>
      <w:r w:rsidR="00EF3C79" w:rsidRPr="0090131B">
        <w:t xml:space="preserve">intended </w:t>
      </w:r>
      <w:r w:rsidR="00C262FB" w:rsidRPr="0090131B">
        <w:t>connotation</w:t>
      </w:r>
      <w:r w:rsidR="000F5ACD" w:rsidRPr="0090131B">
        <w:t xml:space="preserve">. The impression given is that the government purposefully employs </w:t>
      </w:r>
      <w:r w:rsidR="00011844" w:rsidRPr="0090131B">
        <w:t xml:space="preserve">said </w:t>
      </w:r>
      <w:r w:rsidR="00C043C5" w:rsidRPr="0090131B">
        <w:t>term</w:t>
      </w:r>
      <w:r w:rsidR="00011844" w:rsidRPr="0090131B">
        <w:t>inology</w:t>
      </w:r>
      <w:r w:rsidR="000F5ACD" w:rsidRPr="0090131B">
        <w:t xml:space="preserve"> </w:t>
      </w:r>
      <w:r w:rsidR="0043284E" w:rsidRPr="0090131B">
        <w:t>to enshrine a</w:t>
      </w:r>
      <w:r w:rsidR="000F5ACD" w:rsidRPr="0090131B">
        <w:t xml:space="preserve"> </w:t>
      </w:r>
      <w:r w:rsidR="000F5ACD" w:rsidRPr="0090131B">
        <w:rPr>
          <w:i/>
        </w:rPr>
        <w:t>contradictio in terminis</w:t>
      </w:r>
      <w:r w:rsidR="00A855C0" w:rsidRPr="00A855C0">
        <w:t xml:space="preserve">, </w:t>
      </w:r>
      <w:r w:rsidR="00E46CB1" w:rsidRPr="0090131B">
        <w:rPr>
          <w:i/>
        </w:rPr>
        <w:t>i.e.</w:t>
      </w:r>
      <w:r w:rsidR="00476F75" w:rsidRPr="0090131B">
        <w:t xml:space="preserve"> a se</w:t>
      </w:r>
      <w:r w:rsidR="00890186" w:rsidRPr="0090131B">
        <w:t xml:space="preserve">lf-contradiction that </w:t>
      </w:r>
      <w:r w:rsidR="0009525B" w:rsidRPr="0090131B">
        <w:t>permits</w:t>
      </w:r>
      <w:r w:rsidR="00890186" w:rsidRPr="0090131B">
        <w:t xml:space="preserve"> </w:t>
      </w:r>
      <w:r w:rsidR="00F22A51" w:rsidRPr="0090131B">
        <w:t>its</w:t>
      </w:r>
      <w:r w:rsidR="00476F75" w:rsidRPr="0090131B">
        <w:t xml:space="preserve"> policy</w:t>
      </w:r>
      <w:r w:rsidR="00890186" w:rsidRPr="0090131B">
        <w:t xml:space="preserve"> </w:t>
      </w:r>
      <w:r w:rsidR="00E46CB1" w:rsidRPr="0090131B">
        <w:t xml:space="preserve">– </w:t>
      </w:r>
      <w:r w:rsidR="007A4FC2" w:rsidRPr="0090131B">
        <w:t>which</w:t>
      </w:r>
      <w:r w:rsidR="00890186" w:rsidRPr="0090131B">
        <w:t xml:space="preserve"> cannot be lawful unless it concerns a specific situation that, under strict conditions, justifies a derogation</w:t>
      </w:r>
      <w:r w:rsidR="00E46CB1" w:rsidRPr="0090131B">
        <w:t xml:space="preserve"> –</w:t>
      </w:r>
      <w:r w:rsidR="00476F75" w:rsidRPr="0090131B">
        <w:t xml:space="preserve"> </w:t>
      </w:r>
      <w:r w:rsidR="006A21E0" w:rsidRPr="0090131B">
        <w:t xml:space="preserve">to acquire a wider </w:t>
      </w:r>
      <w:r w:rsidR="00F22A51" w:rsidRPr="0090131B">
        <w:t>capacity</w:t>
      </w:r>
      <w:r w:rsidR="006A21E0" w:rsidRPr="0090131B">
        <w:t xml:space="preserve"> by</w:t>
      </w:r>
      <w:r w:rsidR="00476F75" w:rsidRPr="0090131B">
        <w:t xml:space="preserve"> acting as an</w:t>
      </w:r>
      <w:r w:rsidR="00A15D69" w:rsidRPr="0090131B">
        <w:t xml:space="preserve"> all-embracing</w:t>
      </w:r>
      <w:r w:rsidR="00476F75" w:rsidRPr="0090131B">
        <w:t xml:space="preserve"> </w:t>
      </w:r>
      <w:r w:rsidR="00A15D69" w:rsidRPr="0090131B">
        <w:t>‘</w:t>
      </w:r>
      <w:r w:rsidR="00476F75" w:rsidRPr="0090131B">
        <w:t>umbrella</w:t>
      </w:r>
      <w:r w:rsidR="00A15D69" w:rsidRPr="0090131B">
        <w:t xml:space="preserve">’ that can </w:t>
      </w:r>
      <w:r w:rsidR="00476F75" w:rsidRPr="0090131B">
        <w:t>quasi-automatically cover</w:t>
      </w:r>
      <w:r w:rsidR="006A21E0" w:rsidRPr="0090131B">
        <w:t xml:space="preserve"> </w:t>
      </w:r>
      <w:r w:rsidR="00A15D69" w:rsidRPr="001157D4">
        <w:rPr>
          <w:i/>
        </w:rPr>
        <w:t>any</w:t>
      </w:r>
      <w:r w:rsidR="006A21E0" w:rsidRPr="0090131B">
        <w:t xml:space="preserve"> </w:t>
      </w:r>
      <w:r w:rsidR="00A15D69" w:rsidRPr="0090131B">
        <w:t xml:space="preserve">extraterritorial military operation. </w:t>
      </w:r>
      <w:r w:rsidR="00011844" w:rsidRPr="0090131B">
        <w:t>Th</w:t>
      </w:r>
      <w:r w:rsidR="009D6EA6" w:rsidRPr="0090131B">
        <w:t>is</w:t>
      </w:r>
      <w:r w:rsidR="007A4FC2" w:rsidRPr="0090131B">
        <w:t xml:space="preserve"> </w:t>
      </w:r>
      <w:r w:rsidR="003326B8" w:rsidRPr="0090131B">
        <w:t>widens the policy’s</w:t>
      </w:r>
      <w:r w:rsidR="002302DB" w:rsidRPr="0090131B">
        <w:t xml:space="preserve"> scope</w:t>
      </w:r>
      <w:r w:rsidR="003326B8" w:rsidRPr="0090131B">
        <w:t xml:space="preserve"> and</w:t>
      </w:r>
      <w:r w:rsidR="00D044DA" w:rsidRPr="0090131B">
        <w:t xml:space="preserve"> </w:t>
      </w:r>
      <w:r w:rsidR="0043284E" w:rsidRPr="0090131B">
        <w:t>paves</w:t>
      </w:r>
      <w:r w:rsidR="00480A09" w:rsidRPr="0090131B">
        <w:t xml:space="preserve"> the way for</w:t>
      </w:r>
      <w:r w:rsidR="00D044DA" w:rsidRPr="0090131B">
        <w:t xml:space="preserve"> adding </w:t>
      </w:r>
      <w:r w:rsidR="006A70A5" w:rsidRPr="0090131B">
        <w:t xml:space="preserve">objectives </w:t>
      </w:r>
      <w:r w:rsidR="00D044DA" w:rsidRPr="0090131B">
        <w:t xml:space="preserve">that </w:t>
      </w:r>
      <w:r w:rsidR="00B5280C" w:rsidRPr="0090131B">
        <w:t>are foreign to</w:t>
      </w:r>
      <w:r w:rsidR="005A2202" w:rsidRPr="0090131B">
        <w:t xml:space="preserve"> </w:t>
      </w:r>
      <w:r w:rsidR="002302DB" w:rsidRPr="0090131B">
        <w:t>Article 15 ECHR</w:t>
      </w:r>
      <w:r w:rsidR="00501E7D">
        <w:t>,</w:t>
      </w:r>
      <w:r w:rsidR="007A4FC2" w:rsidRPr="0090131B">
        <w:t xml:space="preserve"> </w:t>
      </w:r>
      <w:r w:rsidR="00D044DA" w:rsidRPr="0090131B">
        <w:t>which</w:t>
      </w:r>
      <w:r w:rsidR="007A4FC2" w:rsidRPr="0090131B">
        <w:t xml:space="preserve"> </w:t>
      </w:r>
      <w:r w:rsidR="00241C1E" w:rsidRPr="0090131B">
        <w:t>permits</w:t>
      </w:r>
      <w:r w:rsidR="00E049FC" w:rsidRPr="0090131B">
        <w:t xml:space="preserve"> derogating from the Convention as a safeguard </w:t>
      </w:r>
      <w:r w:rsidR="00E46CB1" w:rsidRPr="0090131B">
        <w:t>‘</w:t>
      </w:r>
      <w:r w:rsidR="00E049FC" w:rsidRPr="0090131B">
        <w:t>[i]n time of war or other public emergency threatening the life of the nation</w:t>
      </w:r>
      <w:r w:rsidR="00E46CB1" w:rsidRPr="0090131B">
        <w:t>’</w:t>
      </w:r>
      <w:r w:rsidR="00AC217A" w:rsidRPr="0090131B">
        <w:t>.</w:t>
      </w:r>
      <w:bookmarkStart w:id="20" w:name="_Ref496007621"/>
      <w:r w:rsidR="00281129" w:rsidRPr="0090131B">
        <w:rPr>
          <w:rStyle w:val="FootnoteReference"/>
        </w:rPr>
        <w:footnoteReference w:id="50"/>
      </w:r>
      <w:bookmarkEnd w:id="20"/>
      <w:r w:rsidR="00AC217A" w:rsidRPr="0090131B">
        <w:t xml:space="preserve"> It goes without saying that the objective pursued by Article 15 (</w:t>
      </w:r>
      <w:r w:rsidR="00E46CB1" w:rsidRPr="0090131B">
        <w:rPr>
          <w:i/>
        </w:rPr>
        <w:t>i.e.</w:t>
      </w:r>
      <w:r w:rsidR="00AC217A" w:rsidRPr="0090131B">
        <w:t xml:space="preserve"> </w:t>
      </w:r>
      <w:r w:rsidR="00250DA5" w:rsidRPr="0090131B">
        <w:t xml:space="preserve">protection from </w:t>
      </w:r>
      <w:r w:rsidR="00B166D0" w:rsidRPr="0090131B">
        <w:t xml:space="preserve">a </w:t>
      </w:r>
      <w:r w:rsidR="00281129" w:rsidRPr="0090131B">
        <w:t>threat</w:t>
      </w:r>
      <w:r w:rsidR="00B166D0" w:rsidRPr="0090131B">
        <w:t xml:space="preserve">) needs to always </w:t>
      </w:r>
      <w:r w:rsidR="006A70A5" w:rsidRPr="0090131B">
        <w:t xml:space="preserve">be </w:t>
      </w:r>
      <w:r w:rsidR="00B166D0" w:rsidRPr="0090131B">
        <w:t>present, as it amounts to one of the precondition</w:t>
      </w:r>
      <w:r w:rsidR="006A70A5" w:rsidRPr="0090131B">
        <w:t>s</w:t>
      </w:r>
      <w:r w:rsidR="00375EF3" w:rsidRPr="0090131B">
        <w:t xml:space="preserve"> of lawfulness f</w:t>
      </w:r>
      <w:r w:rsidR="00863BC7" w:rsidRPr="0090131B">
        <w:t>or</w:t>
      </w:r>
      <w:r w:rsidR="00B166D0" w:rsidRPr="0090131B">
        <w:t xml:space="preserve"> derogation</w:t>
      </w:r>
      <w:r w:rsidR="00375EF3" w:rsidRPr="0090131B">
        <w:t>s</w:t>
      </w:r>
      <w:r w:rsidR="00B166D0" w:rsidRPr="0090131B">
        <w:t xml:space="preserve">. </w:t>
      </w:r>
      <w:r w:rsidR="00DC536C">
        <w:t>B</w:t>
      </w:r>
      <w:r w:rsidR="0038782A" w:rsidRPr="0090131B">
        <w:t xml:space="preserve">y </w:t>
      </w:r>
      <w:r w:rsidR="00D92F98" w:rsidRPr="0090131B">
        <w:t>qualifying</w:t>
      </w:r>
      <w:r w:rsidR="0038782A" w:rsidRPr="0090131B">
        <w:t xml:space="preserve"> the </w:t>
      </w:r>
      <w:r w:rsidR="00375EF3" w:rsidRPr="0090131B">
        <w:t>derogation</w:t>
      </w:r>
      <w:r w:rsidR="0038782A" w:rsidRPr="0090131B">
        <w:t xml:space="preserve"> as presumptive</w:t>
      </w:r>
      <w:r w:rsidR="00B166D0" w:rsidRPr="0090131B">
        <w:t xml:space="preserve">, </w:t>
      </w:r>
      <w:r w:rsidR="006A70A5" w:rsidRPr="0090131B">
        <w:t>the Ministry of Defence</w:t>
      </w:r>
      <w:r w:rsidR="00250DA5" w:rsidRPr="0090131B">
        <w:t xml:space="preserve"> can add</w:t>
      </w:r>
      <w:r w:rsidR="00521F5A">
        <w:t>,</w:t>
      </w:r>
      <w:r w:rsidR="00250DA5" w:rsidRPr="0090131B">
        <w:t xml:space="preserve"> </w:t>
      </w:r>
      <w:r w:rsidR="00863BC7" w:rsidRPr="0090131B">
        <w:t>next to said</w:t>
      </w:r>
      <w:r w:rsidR="00375EF3" w:rsidRPr="0090131B">
        <w:t xml:space="preserve"> objective</w:t>
      </w:r>
      <w:r w:rsidR="00521F5A">
        <w:t>,</w:t>
      </w:r>
      <w:r w:rsidR="00375EF3" w:rsidRPr="0090131B">
        <w:t xml:space="preserve"> </w:t>
      </w:r>
      <w:r w:rsidR="0043284E" w:rsidRPr="0090131B">
        <w:t>further objectives</w:t>
      </w:r>
      <w:r w:rsidR="009A0B86" w:rsidRPr="0090131B">
        <w:t xml:space="preserve"> that are absent from both the text and the spirit of t</w:t>
      </w:r>
      <w:r w:rsidR="00FD3756">
        <w:t xml:space="preserve">he Convention. Among those </w:t>
      </w:r>
      <w:r w:rsidR="00BD6795" w:rsidRPr="0090131B">
        <w:t>additional,</w:t>
      </w:r>
      <w:r w:rsidR="00E82B8B" w:rsidRPr="0090131B">
        <w:t xml:space="preserve"> ‘extra-</w:t>
      </w:r>
      <w:r w:rsidR="00B4071C" w:rsidRPr="0090131B">
        <w:t>C</w:t>
      </w:r>
      <w:r w:rsidR="00E82B8B" w:rsidRPr="0090131B">
        <w:t xml:space="preserve">onventional’ </w:t>
      </w:r>
      <w:r w:rsidR="00A15D69" w:rsidRPr="0090131B">
        <w:t>aims</w:t>
      </w:r>
      <w:r w:rsidR="00127A40" w:rsidRPr="0090131B">
        <w:t xml:space="preserve"> </w:t>
      </w:r>
      <w:r w:rsidR="00D92F98" w:rsidRPr="0090131B">
        <w:t>that</w:t>
      </w:r>
      <w:r w:rsidR="00127A40" w:rsidRPr="0090131B">
        <w:t xml:space="preserve"> th</w:t>
      </w:r>
      <w:r w:rsidR="009A0B86" w:rsidRPr="0090131B">
        <w:t>e derogation</w:t>
      </w:r>
      <w:r w:rsidR="00127A40" w:rsidRPr="0090131B">
        <w:t xml:space="preserve"> policy</w:t>
      </w:r>
      <w:r w:rsidR="00D92F98" w:rsidRPr="0090131B">
        <w:t xml:space="preserve"> serves</w:t>
      </w:r>
      <w:r w:rsidR="00FD3756">
        <w:t>,</w:t>
      </w:r>
      <w:bookmarkStart w:id="21" w:name="_GoBack"/>
      <w:bookmarkEnd w:id="21"/>
      <w:r w:rsidR="00127A40" w:rsidRPr="0090131B">
        <w:t xml:space="preserve"> </w:t>
      </w:r>
      <w:r w:rsidR="00FD3756">
        <w:t>the stuy highlights two. The first</w:t>
      </w:r>
      <w:r w:rsidR="00E36A1E">
        <w:t xml:space="preserve"> </w:t>
      </w:r>
      <w:r w:rsidR="00127A40" w:rsidRPr="0090131B">
        <w:t>concerns the effec</w:t>
      </w:r>
      <w:r w:rsidR="00D92F98" w:rsidRPr="0090131B">
        <w:t>tiveness of military operations.</w:t>
      </w:r>
      <w:r w:rsidR="00127A40" w:rsidRPr="0090131B">
        <w:t xml:space="preserve"> </w:t>
      </w:r>
      <w:r w:rsidR="00501E7D">
        <w:t>A</w:t>
      </w:r>
      <w:r w:rsidR="00960058" w:rsidRPr="0090131B">
        <w:t>ccording to the government</w:t>
      </w:r>
      <w:r w:rsidR="00501E7D">
        <w:t>, what</w:t>
      </w:r>
      <w:r w:rsidR="00960058" w:rsidRPr="0090131B">
        <w:t xml:space="preserve"> </w:t>
      </w:r>
      <w:r w:rsidR="004C25BF" w:rsidRPr="0090131B">
        <w:t>undermines</w:t>
      </w:r>
      <w:r w:rsidR="00127A40" w:rsidRPr="0090131B">
        <w:t xml:space="preserve"> effectiveness is the scrutiny exercised by the ECtHR</w:t>
      </w:r>
      <w:r w:rsidR="00501E7D">
        <w:t>,</w:t>
      </w:r>
      <w:r w:rsidR="00D311CB" w:rsidRPr="0090131B">
        <w:t xml:space="preserve"> and</w:t>
      </w:r>
      <w:r w:rsidR="00127A40" w:rsidRPr="0090131B">
        <w:t xml:space="preserve"> </w:t>
      </w:r>
      <w:r w:rsidR="00D311CB" w:rsidRPr="0090131B">
        <w:t>w</w:t>
      </w:r>
      <w:r w:rsidR="00127A40" w:rsidRPr="0090131B">
        <w:t xml:space="preserve">hat </w:t>
      </w:r>
      <w:r w:rsidR="00BA2A8D" w:rsidRPr="0090131B">
        <w:t>makes scrutiny possible</w:t>
      </w:r>
      <w:r w:rsidR="00127A40" w:rsidRPr="0090131B">
        <w:t xml:space="preserve"> are the extraterritorial effects produced by the ECHR and its application in armed conflict situations. </w:t>
      </w:r>
      <w:commentRangeStart w:id="22"/>
      <w:commentRangeStart w:id="23"/>
      <w:r w:rsidR="00A53192" w:rsidRPr="0090131B">
        <w:t>The second</w:t>
      </w:r>
      <w:r w:rsidR="00521F5A">
        <w:t xml:space="preserve"> </w:t>
      </w:r>
      <w:r w:rsidR="00A53192" w:rsidRPr="0090131B">
        <w:t>concer</w:t>
      </w:r>
      <w:r w:rsidR="00BA2A8D" w:rsidRPr="0090131B">
        <w:t xml:space="preserve">ns </w:t>
      </w:r>
      <w:r w:rsidR="00521F5A">
        <w:t xml:space="preserve">the existence of </w:t>
      </w:r>
      <w:r w:rsidR="00BA2A8D" w:rsidRPr="0090131B">
        <w:t>vexatious/spurious claims,</w:t>
      </w:r>
      <w:r w:rsidR="00A53192" w:rsidRPr="0090131B">
        <w:t xml:space="preserve"> the</w:t>
      </w:r>
      <w:r w:rsidR="00BA2A8D" w:rsidRPr="0090131B">
        <w:t xml:space="preserve"> burden </w:t>
      </w:r>
      <w:r w:rsidR="00521F5A">
        <w:t xml:space="preserve">that </w:t>
      </w:r>
      <w:r w:rsidR="00BA2A8D" w:rsidRPr="0090131B">
        <w:t>they entail</w:t>
      </w:r>
      <w:r w:rsidR="00A81F26">
        <w:t>,</w:t>
      </w:r>
      <w:r w:rsidR="00BA2A8D" w:rsidRPr="0090131B">
        <w:t xml:space="preserve"> and the associated</w:t>
      </w:r>
      <w:r w:rsidR="00A310FE" w:rsidRPr="0090131B">
        <w:t xml:space="preserve"> </w:t>
      </w:r>
      <w:r w:rsidR="00AA7AEE" w:rsidRPr="0090131B">
        <w:t>multidimensional</w:t>
      </w:r>
      <w:r w:rsidR="00BA2A8D" w:rsidRPr="0090131B">
        <w:t xml:space="preserve"> cost</w:t>
      </w:r>
      <w:r w:rsidR="00980492" w:rsidRPr="0090131B">
        <w:t xml:space="preserve"> for the UK</w:t>
      </w:r>
      <w:r w:rsidR="00BA2A8D" w:rsidRPr="0090131B">
        <w:t xml:space="preserve">. </w:t>
      </w:r>
      <w:commentRangeEnd w:id="22"/>
      <w:r w:rsidR="008D59BE" w:rsidRPr="006E0B80">
        <w:rPr>
          <w:rStyle w:val="CommentReference"/>
          <w:sz w:val="24"/>
          <w:szCs w:val="24"/>
        </w:rPr>
        <w:commentReference w:id="22"/>
      </w:r>
      <w:commentRangeEnd w:id="23"/>
      <w:r w:rsidR="002E01ED" w:rsidRPr="006E0B80">
        <w:rPr>
          <w:rStyle w:val="CommentReference"/>
          <w:sz w:val="24"/>
          <w:szCs w:val="24"/>
        </w:rPr>
        <w:commentReference w:id="23"/>
      </w:r>
    </w:p>
    <w:p w14:paraId="1785CEBD" w14:textId="77777777" w:rsidR="00542D21" w:rsidRPr="0090131B" w:rsidRDefault="00542D21" w:rsidP="004A592D">
      <w:pPr>
        <w:ind w:right="-52"/>
        <w:jc w:val="both"/>
      </w:pPr>
    </w:p>
    <w:p w14:paraId="56FEC4C9" w14:textId="5FABB1A5" w:rsidR="00FB533A" w:rsidRPr="0090131B" w:rsidRDefault="00A20C66" w:rsidP="006E0B80">
      <w:pPr>
        <w:ind w:firstLine="720"/>
        <w:jc w:val="both"/>
        <w:rPr>
          <w:b/>
        </w:rPr>
      </w:pPr>
      <w:r w:rsidRPr="0090131B">
        <w:rPr>
          <w:b/>
        </w:rPr>
        <w:t xml:space="preserve">III.B. </w:t>
      </w:r>
      <w:r w:rsidR="00FB533A" w:rsidRPr="0090131B">
        <w:rPr>
          <w:b/>
        </w:rPr>
        <w:t xml:space="preserve">The </w:t>
      </w:r>
      <w:r w:rsidRPr="0090131B">
        <w:rPr>
          <w:b/>
        </w:rPr>
        <w:t>P</w:t>
      </w:r>
      <w:r w:rsidR="00FB533A" w:rsidRPr="0090131B">
        <w:rPr>
          <w:b/>
        </w:rPr>
        <w:t xml:space="preserve">olicy’s </w:t>
      </w:r>
      <w:r w:rsidRPr="0090131B">
        <w:rPr>
          <w:b/>
        </w:rPr>
        <w:t>S</w:t>
      </w:r>
      <w:r w:rsidR="00023F1F" w:rsidRPr="0090131B">
        <w:rPr>
          <w:b/>
        </w:rPr>
        <w:t>uitability</w:t>
      </w:r>
    </w:p>
    <w:p w14:paraId="429A6E3E" w14:textId="5CA1B4D3" w:rsidR="00CD358A" w:rsidRPr="0090131B" w:rsidRDefault="00374824" w:rsidP="00581F2E">
      <w:pPr>
        <w:ind w:right="-52"/>
        <w:jc w:val="both"/>
      </w:pPr>
      <w:r w:rsidRPr="0090131B">
        <w:t xml:space="preserve">Having </w:t>
      </w:r>
      <w:r w:rsidR="004021DE" w:rsidRPr="0090131B">
        <w:t xml:space="preserve">identified the </w:t>
      </w:r>
      <w:r w:rsidR="00DC536C">
        <w:t xml:space="preserve">key </w:t>
      </w:r>
      <w:r w:rsidR="004021DE" w:rsidRPr="0090131B">
        <w:t xml:space="preserve">goals </w:t>
      </w:r>
      <w:r w:rsidR="001A4CF7">
        <w:t>arguably</w:t>
      </w:r>
      <w:r w:rsidR="00EE51A5" w:rsidRPr="0090131B">
        <w:t xml:space="preserve"> </w:t>
      </w:r>
      <w:r w:rsidR="004021DE" w:rsidRPr="0090131B">
        <w:t xml:space="preserve">pursued by the policy, discussion </w:t>
      </w:r>
      <w:r w:rsidR="00EE51A5" w:rsidRPr="0090131B">
        <w:t>now</w:t>
      </w:r>
      <w:r w:rsidR="00BE7AF4">
        <w:t xml:space="preserve"> moves</w:t>
      </w:r>
      <w:r w:rsidR="004021DE" w:rsidRPr="0090131B">
        <w:t xml:space="preserve"> to its </w:t>
      </w:r>
      <w:r w:rsidR="007A7113" w:rsidRPr="0090131B">
        <w:t>suitability</w:t>
      </w:r>
      <w:r w:rsidR="004021DE" w:rsidRPr="0090131B">
        <w:t>.</w:t>
      </w:r>
      <w:r w:rsidR="001414AB" w:rsidRPr="0090131B">
        <w:rPr>
          <w:rStyle w:val="FootnoteReference"/>
        </w:rPr>
        <w:footnoteReference w:id="51"/>
      </w:r>
      <w:r w:rsidR="004021DE" w:rsidRPr="0090131B">
        <w:t xml:space="preserve"> </w:t>
      </w:r>
      <w:r w:rsidR="004C25BF" w:rsidRPr="0090131B">
        <w:t>But</w:t>
      </w:r>
      <w:r w:rsidR="00893055" w:rsidRPr="0090131B">
        <w:t>,</w:t>
      </w:r>
      <w:r w:rsidR="004C25BF" w:rsidRPr="0090131B">
        <w:t xml:space="preserve"> b</w:t>
      </w:r>
      <w:r w:rsidR="004021DE" w:rsidRPr="0090131B">
        <w:t xml:space="preserve">efore that, </w:t>
      </w:r>
      <w:r w:rsidR="007C69E4" w:rsidRPr="0090131B">
        <w:t>the following</w:t>
      </w:r>
      <w:r w:rsidR="004021DE" w:rsidRPr="0090131B">
        <w:t xml:space="preserve"> </w:t>
      </w:r>
      <w:r w:rsidR="007C69E4" w:rsidRPr="0090131B">
        <w:t>clarification is necessary</w:t>
      </w:r>
      <w:r w:rsidR="004021DE" w:rsidRPr="0090131B">
        <w:t xml:space="preserve">. </w:t>
      </w:r>
      <w:r w:rsidR="00C85AE9" w:rsidRPr="0090131B">
        <w:t xml:space="preserve">The </w:t>
      </w:r>
      <w:r w:rsidR="002D1132" w:rsidRPr="0090131B">
        <w:t>study</w:t>
      </w:r>
      <w:r w:rsidR="0010708A" w:rsidRPr="0090131B">
        <w:t xml:space="preserve"> does not examine whether the</w:t>
      </w:r>
      <w:r w:rsidR="004A592D" w:rsidRPr="0090131B">
        <w:t xml:space="preserve"> government is right to correlate the scrutiny exercised by the ECtHR with </w:t>
      </w:r>
      <w:r w:rsidR="004A592D" w:rsidRPr="0090131B">
        <w:lastRenderedPageBreak/>
        <w:t>the effectiveness of military operations</w:t>
      </w:r>
      <w:r w:rsidR="00F25685" w:rsidRPr="0090131B">
        <w:rPr>
          <w:rStyle w:val="FootnoteReference"/>
        </w:rPr>
        <w:footnoteReference w:id="52"/>
      </w:r>
      <w:r w:rsidR="004A592D" w:rsidRPr="0090131B">
        <w:t xml:space="preserve"> and the existence of vexatious/spurious claims</w:t>
      </w:r>
      <w:r w:rsidR="007F60E9" w:rsidRPr="0090131B">
        <w:t>.</w:t>
      </w:r>
      <w:r w:rsidR="00202B7D" w:rsidRPr="0090131B">
        <w:rPr>
          <w:rStyle w:val="FootnoteReference"/>
        </w:rPr>
        <w:footnoteReference w:id="53"/>
      </w:r>
      <w:r w:rsidR="00542D21" w:rsidRPr="0090131B">
        <w:t xml:space="preserve"> </w:t>
      </w:r>
      <w:r w:rsidR="007F60E9" w:rsidRPr="0090131B">
        <w:t>W</w:t>
      </w:r>
      <w:r w:rsidR="00542D21" w:rsidRPr="0090131B">
        <w:t xml:space="preserve">hether said correlation is </w:t>
      </w:r>
      <w:r w:rsidR="000869C7" w:rsidRPr="0090131B">
        <w:t>true</w:t>
      </w:r>
      <w:r w:rsidR="00542D21" w:rsidRPr="0090131B">
        <w:t xml:space="preserve"> has no</w:t>
      </w:r>
      <w:r w:rsidR="00581E68" w:rsidRPr="0090131B">
        <w:t xml:space="preserve"> major</w:t>
      </w:r>
      <w:r w:rsidR="00542D21" w:rsidRPr="0090131B">
        <w:t xml:space="preserve"> impact on the argument built below.</w:t>
      </w:r>
      <w:r w:rsidR="00ED0136" w:rsidRPr="0090131B">
        <w:t xml:space="preserve"> </w:t>
      </w:r>
      <w:r w:rsidR="00655444" w:rsidRPr="0090131B">
        <w:t>T</w:t>
      </w:r>
      <w:r w:rsidR="005502A7" w:rsidRPr="0090131B">
        <w:t xml:space="preserve">he </w:t>
      </w:r>
      <w:r w:rsidR="0010708A" w:rsidRPr="0090131B">
        <w:t xml:space="preserve">task undertaken </w:t>
      </w:r>
      <w:r w:rsidR="00A77F49" w:rsidRPr="0090131B">
        <w:t xml:space="preserve">in this </w:t>
      </w:r>
      <w:r w:rsidR="006242B2" w:rsidRPr="0090131B">
        <w:t xml:space="preserve">Part of the </w:t>
      </w:r>
      <w:r w:rsidR="00A77F49" w:rsidRPr="0090131B">
        <w:t>study</w:t>
      </w:r>
      <w:r w:rsidR="0010708A" w:rsidRPr="0090131B">
        <w:t xml:space="preserve"> is to </w:t>
      </w:r>
      <w:r w:rsidR="00C41894" w:rsidRPr="0090131B">
        <w:t>consider</w:t>
      </w:r>
      <w:r w:rsidR="0010708A" w:rsidRPr="0090131B">
        <w:t xml:space="preserve"> </w:t>
      </w:r>
      <w:r w:rsidR="005502A7" w:rsidRPr="0090131B">
        <w:t>whether</w:t>
      </w:r>
      <w:r w:rsidR="00CE20DA" w:rsidRPr="0090131B">
        <w:t xml:space="preserve"> th</w:t>
      </w:r>
      <w:r w:rsidR="00D767A9" w:rsidRPr="0090131B">
        <w:t>e</w:t>
      </w:r>
      <w:r w:rsidR="00CE20DA" w:rsidRPr="0090131B">
        <w:t xml:space="preserve"> presumption</w:t>
      </w:r>
      <w:r w:rsidR="007A3A63" w:rsidRPr="0090131B">
        <w:t xml:space="preserve"> of derogation</w:t>
      </w:r>
      <w:r w:rsidR="005502A7" w:rsidRPr="0090131B">
        <w:t xml:space="preserve"> can</w:t>
      </w:r>
      <w:r w:rsidR="007A3A63" w:rsidRPr="0090131B">
        <w:t xml:space="preserve"> </w:t>
      </w:r>
      <w:r w:rsidR="00D22763" w:rsidRPr="0090131B">
        <w:t xml:space="preserve">actually </w:t>
      </w:r>
      <w:r w:rsidR="00CA45E8" w:rsidRPr="0090131B">
        <w:t xml:space="preserve">untie the hands of </w:t>
      </w:r>
      <w:r w:rsidR="0092479C" w:rsidRPr="0090131B">
        <w:t>the British army</w:t>
      </w:r>
      <w:r w:rsidR="007A3A63" w:rsidRPr="0090131B">
        <w:t xml:space="preserve"> to </w:t>
      </w:r>
      <w:r w:rsidR="005502A7" w:rsidRPr="0090131B">
        <w:t>engage in</w:t>
      </w:r>
      <w:r w:rsidR="00655444" w:rsidRPr="0090131B">
        <w:t xml:space="preserve"> </w:t>
      </w:r>
      <w:r w:rsidR="005502A7" w:rsidRPr="0090131B">
        <w:t>conduct</w:t>
      </w:r>
      <w:r w:rsidR="007A3A63" w:rsidRPr="0090131B">
        <w:t xml:space="preserve"> enhanc</w:t>
      </w:r>
      <w:r w:rsidR="007A7113" w:rsidRPr="0090131B">
        <w:t>ing</w:t>
      </w:r>
      <w:r w:rsidR="007A3A63" w:rsidRPr="0090131B">
        <w:t xml:space="preserve"> the eff</w:t>
      </w:r>
      <w:r w:rsidR="0092479C" w:rsidRPr="0090131B">
        <w:t>ectiveness of</w:t>
      </w:r>
      <w:r w:rsidR="001E1C83" w:rsidRPr="0090131B">
        <w:t xml:space="preserve"> operations</w:t>
      </w:r>
      <w:r w:rsidR="005502A7" w:rsidRPr="0090131B">
        <w:t xml:space="preserve"> </w:t>
      </w:r>
      <w:r w:rsidR="00C41894" w:rsidRPr="0090131B">
        <w:t xml:space="preserve">overseas </w:t>
      </w:r>
      <w:r w:rsidR="00D22763" w:rsidRPr="0090131B">
        <w:t>with no regard to</w:t>
      </w:r>
      <w:r w:rsidR="005502A7" w:rsidRPr="0090131B">
        <w:t xml:space="preserve"> human rights protection considerations</w:t>
      </w:r>
      <w:r w:rsidR="001E1C83" w:rsidRPr="0090131B">
        <w:t xml:space="preserve"> an</w:t>
      </w:r>
      <w:r w:rsidR="00742DA4" w:rsidRPr="0090131B">
        <w:t xml:space="preserve">d </w:t>
      </w:r>
      <w:r w:rsidR="00D22763" w:rsidRPr="0090131B">
        <w:t xml:space="preserve">help UK authorities </w:t>
      </w:r>
      <w:r w:rsidR="00742DA4" w:rsidRPr="0090131B">
        <w:t>put a</w:t>
      </w:r>
      <w:r w:rsidR="001E1C83" w:rsidRPr="0090131B">
        <w:t xml:space="preserve"> bre</w:t>
      </w:r>
      <w:r w:rsidR="00DA3341" w:rsidRPr="0090131B">
        <w:t>ak on spurious/vexatious claims.</w:t>
      </w:r>
      <w:r w:rsidR="001E1C83" w:rsidRPr="0090131B">
        <w:t xml:space="preserve"> </w:t>
      </w:r>
      <w:r w:rsidR="00581F2E" w:rsidRPr="0090131B">
        <w:t xml:space="preserve">The </w:t>
      </w:r>
      <w:r w:rsidR="002D1132" w:rsidRPr="0090131B">
        <w:t>study</w:t>
      </w:r>
      <w:r w:rsidR="00581F2E" w:rsidRPr="0090131B">
        <w:t xml:space="preserve"> answers the question </w:t>
      </w:r>
      <w:r w:rsidR="00613CFC" w:rsidRPr="0090131B">
        <w:t xml:space="preserve">largely </w:t>
      </w:r>
      <w:r w:rsidR="00581F2E" w:rsidRPr="0090131B">
        <w:t xml:space="preserve">in the negative and enlists a number of reasons supporting the </w:t>
      </w:r>
      <w:r w:rsidR="00C41894" w:rsidRPr="0090131B">
        <w:t>position</w:t>
      </w:r>
      <w:r w:rsidR="00581F2E" w:rsidRPr="0090131B">
        <w:t xml:space="preserve"> that</w:t>
      </w:r>
      <w:r w:rsidR="00613CFC" w:rsidRPr="0090131B">
        <w:t>, essentially,</w:t>
      </w:r>
      <w:r w:rsidR="00581F2E" w:rsidRPr="0090131B">
        <w:t xml:space="preserve"> the UK cannot effectively achieve </w:t>
      </w:r>
      <w:r w:rsidR="00D22763" w:rsidRPr="0090131B">
        <w:t>these</w:t>
      </w:r>
      <w:r w:rsidR="00581F2E" w:rsidRPr="0090131B">
        <w:t xml:space="preserve"> goals (the legitimacy of which is not assessed here) through derogations.</w:t>
      </w:r>
      <w:r w:rsidR="003C41E5" w:rsidRPr="0090131B">
        <w:t xml:space="preserve"> </w:t>
      </w:r>
      <w:r w:rsidR="00D22763" w:rsidRPr="0090131B">
        <w:t xml:space="preserve">Moreover, the study argues that the </w:t>
      </w:r>
      <w:r w:rsidR="003C41E5" w:rsidRPr="0090131B">
        <w:t>policy might produce uninvited legal side-effects, whereas a lawful derogation from the ECHR would only serve the inte</w:t>
      </w:r>
      <w:r w:rsidR="00B248CC" w:rsidRPr="0090131B">
        <w:t>nded goals to a limited extent.</w:t>
      </w:r>
      <w:r w:rsidR="00785D6F" w:rsidRPr="0090131B">
        <w:t xml:space="preserve"> </w:t>
      </w:r>
      <w:r w:rsidR="0092479C" w:rsidRPr="0090131B">
        <w:t>As i</w:t>
      </w:r>
      <w:r w:rsidR="001A4CF7">
        <w:t>t will be</w:t>
      </w:r>
      <w:r w:rsidR="0092479C" w:rsidRPr="0090131B">
        <w:t xml:space="preserve"> argued in Part </w:t>
      </w:r>
      <w:r w:rsidR="008D59BE" w:rsidRPr="0090131B">
        <w:t>V</w:t>
      </w:r>
      <w:r w:rsidR="0092479C" w:rsidRPr="0090131B">
        <w:t>, t</w:t>
      </w:r>
      <w:r w:rsidR="00785D6F" w:rsidRPr="0090131B">
        <w:t xml:space="preserve">his does not mean that </w:t>
      </w:r>
      <w:r w:rsidR="00896F65" w:rsidRPr="0090131B">
        <w:t xml:space="preserve">it is impossible for the UK to lawfully derogate from the ECHR </w:t>
      </w:r>
      <w:r w:rsidR="00707D5A" w:rsidRPr="0090131B">
        <w:t xml:space="preserve">with regard to its </w:t>
      </w:r>
      <w:r w:rsidR="00896F65" w:rsidRPr="0090131B">
        <w:t xml:space="preserve">military operations overseas. </w:t>
      </w:r>
      <w:r w:rsidR="00497493" w:rsidRPr="0090131B">
        <w:t>I</w:t>
      </w:r>
      <w:r w:rsidR="00896F65" w:rsidRPr="0090131B">
        <w:t xml:space="preserve">f the exigencies of Article 15 ECHR are met, the UK may </w:t>
      </w:r>
      <w:r w:rsidR="00D43572" w:rsidRPr="0090131B">
        <w:t>derogate from the Convention</w:t>
      </w:r>
      <w:r w:rsidR="00AD27A8">
        <w:t>; h</w:t>
      </w:r>
      <w:r w:rsidR="00D43572" w:rsidRPr="0090131B">
        <w:t>owever, it will fail</w:t>
      </w:r>
      <w:r w:rsidR="00E974D2" w:rsidRPr="0090131B">
        <w:t xml:space="preserve"> to </w:t>
      </w:r>
      <w:r w:rsidR="006E0809" w:rsidRPr="0090131B">
        <w:t xml:space="preserve">fully </w:t>
      </w:r>
      <w:r w:rsidR="00E974D2" w:rsidRPr="0090131B">
        <w:t xml:space="preserve">achieve </w:t>
      </w:r>
      <w:r w:rsidR="00707D5A" w:rsidRPr="0090131B">
        <w:t>the results intended by its derogation(s) policy and the associated presumption to derogate</w:t>
      </w:r>
      <w:r w:rsidR="00D43572" w:rsidRPr="0090131B">
        <w:t>.</w:t>
      </w:r>
      <w:r w:rsidR="00531B87" w:rsidRPr="0090131B">
        <w:t xml:space="preserve"> </w:t>
      </w:r>
    </w:p>
    <w:p w14:paraId="572F9061" w14:textId="77777777" w:rsidR="00581F2E" w:rsidRPr="0090131B" w:rsidRDefault="00581F2E" w:rsidP="00581F2E">
      <w:pPr>
        <w:ind w:right="-52"/>
        <w:jc w:val="both"/>
      </w:pPr>
    </w:p>
    <w:p w14:paraId="7C283F5C" w14:textId="28FE27ED" w:rsidR="00CD358A" w:rsidRPr="0090131B" w:rsidRDefault="005349F9" w:rsidP="00CD358A">
      <w:pPr>
        <w:ind w:right="-52"/>
        <w:jc w:val="both"/>
      </w:pPr>
      <w:r w:rsidRPr="0090131B">
        <w:t>Starting</w:t>
      </w:r>
      <w:r w:rsidR="00D43572" w:rsidRPr="0090131B">
        <w:t xml:space="preserve"> </w:t>
      </w:r>
      <w:r w:rsidR="001E1C83" w:rsidRPr="0090131B">
        <w:t xml:space="preserve">with the effectiveness </w:t>
      </w:r>
      <w:r w:rsidR="00E55944" w:rsidRPr="0090131B">
        <w:t xml:space="preserve">of </w:t>
      </w:r>
      <w:r w:rsidRPr="0090131B">
        <w:t xml:space="preserve">extraterritorial </w:t>
      </w:r>
      <w:r w:rsidR="00E55944" w:rsidRPr="0090131B">
        <w:t xml:space="preserve">military operations that the </w:t>
      </w:r>
      <w:r w:rsidR="00EA058D" w:rsidRPr="0090131B">
        <w:t xml:space="preserve">UK </w:t>
      </w:r>
      <w:r w:rsidR="00E55944" w:rsidRPr="0090131B">
        <w:t xml:space="preserve">government </w:t>
      </w:r>
      <w:r w:rsidR="006665CB">
        <w:t>considers to be</w:t>
      </w:r>
      <w:r w:rsidR="000E7924">
        <w:t xml:space="preserve"> </w:t>
      </w:r>
      <w:r w:rsidR="00E55944" w:rsidRPr="0090131B">
        <w:t xml:space="preserve">undermined by the application of the ECHR, </w:t>
      </w:r>
      <w:r w:rsidR="00581F2E" w:rsidRPr="0090131B">
        <w:t>the</w:t>
      </w:r>
      <w:r w:rsidR="00E55944" w:rsidRPr="0090131B">
        <w:t xml:space="preserve"> </w:t>
      </w:r>
      <w:r w:rsidR="00E55944" w:rsidRPr="0090131B">
        <w:rPr>
          <w:i/>
        </w:rPr>
        <w:t>first</w:t>
      </w:r>
      <w:r w:rsidR="00E55944" w:rsidRPr="0090131B">
        <w:t xml:space="preserve"> argument</w:t>
      </w:r>
      <w:r w:rsidR="00CB42C0" w:rsidRPr="0090131B">
        <w:t xml:space="preserve"> supporting the thesis </w:t>
      </w:r>
      <w:r w:rsidR="00912A4A" w:rsidRPr="0090131B">
        <w:t>that the derogation(s) policy is not fit for purpose</w:t>
      </w:r>
      <w:r w:rsidR="00E55944" w:rsidRPr="0090131B">
        <w:t xml:space="preserve"> is that the</w:t>
      </w:r>
      <w:r w:rsidR="00581F2E" w:rsidRPr="0090131B">
        <w:t xml:space="preserve"> ECtHR will continue to exercise scrutin</w:t>
      </w:r>
      <w:r w:rsidR="00E55944" w:rsidRPr="0090131B">
        <w:t>y if the derogation is rejected.</w:t>
      </w:r>
      <w:r w:rsidR="00581F2E" w:rsidRPr="0090131B">
        <w:t xml:space="preserve"> </w:t>
      </w:r>
      <w:r w:rsidR="00D20BF6" w:rsidRPr="0090131B">
        <w:t>T</w:t>
      </w:r>
      <w:r w:rsidR="00581F2E" w:rsidRPr="0090131B">
        <w:t>he derogation will come into play</w:t>
      </w:r>
      <w:r w:rsidR="00742DA4" w:rsidRPr="0090131B">
        <w:t xml:space="preserve"> both at the national level and before the ECHR</w:t>
      </w:r>
      <w:r w:rsidR="00581F2E" w:rsidRPr="0090131B">
        <w:t xml:space="preserve"> as a </w:t>
      </w:r>
      <w:r w:rsidR="00745336" w:rsidRPr="0090131B">
        <w:t>(</w:t>
      </w:r>
      <w:r w:rsidR="00581F2E" w:rsidRPr="0090131B">
        <w:t>preliminary</w:t>
      </w:r>
      <w:r w:rsidR="00745336" w:rsidRPr="0090131B">
        <w:t>)</w:t>
      </w:r>
      <w:r w:rsidR="00581F2E" w:rsidRPr="0090131B">
        <w:t xml:space="preserve"> question conditioning the exercise of scrutiny.</w:t>
      </w:r>
      <w:bookmarkStart w:id="24" w:name="_Ref492989566"/>
      <w:r w:rsidR="00B13038" w:rsidRPr="0090131B">
        <w:rPr>
          <w:rStyle w:val="FootnoteReference"/>
        </w:rPr>
        <w:footnoteReference w:id="54"/>
      </w:r>
      <w:bookmarkEnd w:id="24"/>
      <w:r w:rsidR="00742DA4" w:rsidRPr="0090131B">
        <w:t xml:space="preserve"> </w:t>
      </w:r>
      <w:r w:rsidR="008B2E04" w:rsidRPr="0090131B">
        <w:t xml:space="preserve">Only if the circumstances of a future derogation are such that </w:t>
      </w:r>
      <w:r w:rsidR="001D1EF4">
        <w:t xml:space="preserve">genuinely </w:t>
      </w:r>
      <w:r w:rsidR="008B2E04" w:rsidRPr="0090131B">
        <w:t xml:space="preserve">justify </w:t>
      </w:r>
      <w:r w:rsidR="00DA3341" w:rsidRPr="0090131B">
        <w:t xml:space="preserve">it </w:t>
      </w:r>
      <w:r w:rsidR="006750DB" w:rsidRPr="0090131B">
        <w:t xml:space="preserve">in </w:t>
      </w:r>
      <w:r w:rsidR="00745336" w:rsidRPr="0090131B">
        <w:t>conformity</w:t>
      </w:r>
      <w:r w:rsidR="006750DB" w:rsidRPr="0090131B">
        <w:t xml:space="preserve"> with</w:t>
      </w:r>
      <w:r w:rsidR="00DA3341" w:rsidRPr="0090131B">
        <w:t xml:space="preserve"> the ECHR</w:t>
      </w:r>
      <w:r w:rsidR="00F339A7" w:rsidRPr="0090131B">
        <w:t xml:space="preserve"> criteria</w:t>
      </w:r>
      <w:r w:rsidR="00DA3341" w:rsidRPr="0090131B">
        <w:t xml:space="preserve"> (the way these are interpreted by the last word adjudicator in the ECHR system, namely the ECtHR)</w:t>
      </w:r>
      <w:r w:rsidR="00806F87">
        <w:t>,</w:t>
      </w:r>
      <w:r w:rsidR="008B2E04" w:rsidRPr="0090131B">
        <w:t xml:space="preserve"> this</w:t>
      </w:r>
      <w:r w:rsidR="00F339A7" w:rsidRPr="0090131B">
        <w:t xml:space="preserve"> (</w:t>
      </w:r>
      <w:r w:rsidR="00E46CB1" w:rsidRPr="0090131B">
        <w:rPr>
          <w:i/>
        </w:rPr>
        <w:t>i.e.</w:t>
      </w:r>
      <w:r w:rsidR="00F339A7" w:rsidRPr="0090131B">
        <w:t xml:space="preserve"> the derogation)</w:t>
      </w:r>
      <w:r w:rsidR="008B2E04" w:rsidRPr="0090131B">
        <w:t xml:space="preserve"> </w:t>
      </w:r>
      <w:r w:rsidR="008A12A2" w:rsidRPr="0090131B">
        <w:t>will be able to produce effects</w:t>
      </w:r>
      <w:r w:rsidR="00D46492" w:rsidRPr="0090131B">
        <w:t xml:space="preserve">, </w:t>
      </w:r>
      <w:r w:rsidR="008B2E04" w:rsidRPr="0090131B">
        <w:t>shield the government from</w:t>
      </w:r>
      <w:r w:rsidR="008A12A2" w:rsidRPr="0090131B">
        <w:t xml:space="preserve"> claims and</w:t>
      </w:r>
      <w:r w:rsidR="00F339A7" w:rsidRPr="0090131B">
        <w:t xml:space="preserve"> allow</w:t>
      </w:r>
      <w:r w:rsidR="008B2E04" w:rsidRPr="0090131B">
        <w:t xml:space="preserve"> the military personnel to act in </w:t>
      </w:r>
      <w:r w:rsidR="00826724" w:rsidRPr="0090131B">
        <w:t>way</w:t>
      </w:r>
      <w:r w:rsidR="006750DB" w:rsidRPr="0090131B">
        <w:t>s that offer</w:t>
      </w:r>
      <w:r w:rsidR="00826724" w:rsidRPr="0090131B">
        <w:t xml:space="preserve"> optimal military results with no regard to their </w:t>
      </w:r>
      <w:r w:rsidR="00912A4A" w:rsidRPr="0090131B">
        <w:t xml:space="preserve">possible </w:t>
      </w:r>
      <w:r w:rsidR="00826724" w:rsidRPr="0090131B">
        <w:t xml:space="preserve">detrimental consequences for human rights. </w:t>
      </w:r>
      <w:r w:rsidR="00581F2E" w:rsidRPr="0090131B">
        <w:rPr>
          <w:i/>
        </w:rPr>
        <w:t>Second</w:t>
      </w:r>
      <w:r w:rsidR="005E1397" w:rsidRPr="0090131B">
        <w:t xml:space="preserve">, as the </w:t>
      </w:r>
      <w:r w:rsidR="00581F2E" w:rsidRPr="0090131B">
        <w:t>D</w:t>
      </w:r>
      <w:r w:rsidR="005E1397" w:rsidRPr="0090131B">
        <w:t>S</w:t>
      </w:r>
      <w:r w:rsidR="00581F2E" w:rsidRPr="0090131B">
        <w:t xml:space="preserve"> openly admits</w:t>
      </w:r>
      <w:r w:rsidR="009206D7" w:rsidRPr="0090131B">
        <w:t>,</w:t>
      </w:r>
      <w:r w:rsidR="009206D7" w:rsidRPr="0090131B">
        <w:rPr>
          <w:rStyle w:val="FootnoteReference"/>
        </w:rPr>
        <w:footnoteReference w:id="55"/>
      </w:r>
      <w:r w:rsidR="00581F2E" w:rsidRPr="0090131B">
        <w:t xml:space="preserve"> </w:t>
      </w:r>
      <w:r w:rsidR="00D46492" w:rsidRPr="0090131B">
        <w:t xml:space="preserve">the UK </w:t>
      </w:r>
      <w:r w:rsidR="00581F2E" w:rsidRPr="0090131B">
        <w:t xml:space="preserve">will continue to be bound by other rules of international law, </w:t>
      </w:r>
      <w:r w:rsidR="0055568A" w:rsidRPr="0090131B">
        <w:t xml:space="preserve">both customary and conventional, </w:t>
      </w:r>
      <w:r w:rsidR="00581F2E" w:rsidRPr="0090131B">
        <w:t>such as the I</w:t>
      </w:r>
      <w:r w:rsidR="009206D7" w:rsidRPr="0090131B">
        <w:t xml:space="preserve">nternational </w:t>
      </w:r>
      <w:r w:rsidR="00581F2E" w:rsidRPr="0090131B">
        <w:t>C</w:t>
      </w:r>
      <w:r w:rsidR="009206D7" w:rsidRPr="0090131B">
        <w:t xml:space="preserve">ovenant on </w:t>
      </w:r>
      <w:r w:rsidR="00581F2E" w:rsidRPr="0090131B">
        <w:t>C</w:t>
      </w:r>
      <w:r w:rsidR="009206D7" w:rsidRPr="0090131B">
        <w:t xml:space="preserve">ivil and </w:t>
      </w:r>
      <w:r w:rsidR="00581F2E" w:rsidRPr="0090131B">
        <w:t>P</w:t>
      </w:r>
      <w:r w:rsidR="009206D7" w:rsidRPr="0090131B">
        <w:t xml:space="preserve">olitical </w:t>
      </w:r>
      <w:r w:rsidR="00581F2E" w:rsidRPr="0090131B">
        <w:t>R</w:t>
      </w:r>
      <w:r w:rsidR="009206D7" w:rsidRPr="0090131B">
        <w:t xml:space="preserve">ights. If it </w:t>
      </w:r>
      <w:r w:rsidR="00F07BE0" w:rsidRPr="0090131B">
        <w:t>derogates from</w:t>
      </w:r>
      <w:r w:rsidR="001B62EA">
        <w:t xml:space="preserve"> such rules</w:t>
      </w:r>
      <w:r w:rsidR="009B42EF" w:rsidRPr="0090131B">
        <w:t>,</w:t>
      </w:r>
      <w:bookmarkStart w:id="25" w:name="_Ref534027290"/>
      <w:r w:rsidR="009B42EF" w:rsidRPr="0090131B">
        <w:rPr>
          <w:rStyle w:val="FootnoteReference"/>
        </w:rPr>
        <w:footnoteReference w:id="56"/>
      </w:r>
      <w:bookmarkEnd w:id="25"/>
      <w:r w:rsidR="00F07BE0" w:rsidRPr="0090131B">
        <w:t xml:space="preserve"> </w:t>
      </w:r>
      <w:r w:rsidR="00773F5F" w:rsidRPr="0090131B">
        <w:t xml:space="preserve">the previous argument applies, </w:t>
      </w:r>
      <w:r w:rsidR="00F07BE0" w:rsidRPr="0090131B">
        <w:lastRenderedPageBreak/>
        <w:t xml:space="preserve">namely </w:t>
      </w:r>
      <w:r w:rsidR="00D60AB8">
        <w:t xml:space="preserve">that </w:t>
      </w:r>
      <w:r w:rsidR="00AB707B" w:rsidRPr="0090131B">
        <w:t>the lawfulness of the derogation will need to be assessed.</w:t>
      </w:r>
      <w:r w:rsidR="00D60AB8">
        <w:t xml:space="preserve"> Ultimately</w:t>
      </w:r>
      <w:r w:rsidR="00453EF3" w:rsidRPr="0090131B">
        <w:t xml:space="preserve">, the text of Article 15 ECHR is clear in that, amongst other preconditions that ought to be met, measures derogating from the Convention </w:t>
      </w:r>
      <w:r w:rsidR="006E5F78" w:rsidRPr="0090131B">
        <w:t xml:space="preserve">need to be consistent with the other obligations </w:t>
      </w:r>
      <w:r w:rsidR="00806F87">
        <w:t xml:space="preserve">that </w:t>
      </w:r>
      <w:r w:rsidR="006E5F78" w:rsidRPr="0090131B">
        <w:t>the derogating state has under international law.</w:t>
      </w:r>
      <w:r w:rsidR="006E5F78" w:rsidRPr="0090131B">
        <w:rPr>
          <w:rStyle w:val="FootnoteReference"/>
        </w:rPr>
        <w:footnoteReference w:id="57"/>
      </w:r>
      <w:r w:rsidR="006E5F78" w:rsidRPr="0090131B">
        <w:t xml:space="preserve"> </w:t>
      </w:r>
      <w:r w:rsidR="00423915" w:rsidRPr="0090131B">
        <w:t xml:space="preserve">Moving to the </w:t>
      </w:r>
      <w:r w:rsidR="00D577FA" w:rsidRPr="0090131B">
        <w:rPr>
          <w:i/>
        </w:rPr>
        <w:t>third</w:t>
      </w:r>
      <w:r w:rsidR="00D577FA" w:rsidRPr="0090131B">
        <w:t xml:space="preserve"> argument</w:t>
      </w:r>
      <w:r w:rsidR="00423915" w:rsidRPr="0090131B">
        <w:t>, t</w:t>
      </w:r>
      <w:r w:rsidR="005E1397" w:rsidRPr="0090131B">
        <w:t xml:space="preserve">he </w:t>
      </w:r>
      <w:r w:rsidR="00773F5F" w:rsidRPr="0090131B">
        <w:t>D</w:t>
      </w:r>
      <w:r w:rsidR="005E1397" w:rsidRPr="0090131B">
        <w:t>S</w:t>
      </w:r>
      <w:r w:rsidR="00423915" w:rsidRPr="0090131B">
        <w:t xml:space="preserve"> recogni</w:t>
      </w:r>
      <w:r w:rsidR="00D60AB8">
        <w:t>s</w:t>
      </w:r>
      <w:r w:rsidR="00423915" w:rsidRPr="0090131B">
        <w:t xml:space="preserve">es that </w:t>
      </w:r>
      <w:r w:rsidR="00500BD2" w:rsidRPr="0090131B">
        <w:t>‘</w:t>
      </w:r>
      <w:r w:rsidR="00423915" w:rsidRPr="0090131B">
        <w:t>the vast majority of the claims notified allege violations of Article 2, 3 and 5</w:t>
      </w:r>
      <w:r w:rsidR="00500BD2" w:rsidRPr="0090131B">
        <w:t>’</w:t>
      </w:r>
      <w:r w:rsidR="00423915" w:rsidRPr="0090131B">
        <w:rPr>
          <w:rStyle w:val="FootnoteReference"/>
        </w:rPr>
        <w:footnoteReference w:id="58"/>
      </w:r>
      <w:r w:rsidR="00423915" w:rsidRPr="0090131B">
        <w:t xml:space="preserve"> </w:t>
      </w:r>
      <w:r w:rsidR="001253E9" w:rsidRPr="0090131B">
        <w:t>Yet</w:t>
      </w:r>
      <w:r w:rsidR="00D577FA" w:rsidRPr="0090131B">
        <w:t>, t</w:t>
      </w:r>
      <w:r w:rsidR="00414289" w:rsidRPr="0090131B">
        <w:t xml:space="preserve">he text of the ECHR </w:t>
      </w:r>
      <w:r w:rsidR="00147FD1" w:rsidRPr="0090131B">
        <w:t xml:space="preserve">is </w:t>
      </w:r>
      <w:r w:rsidR="00414289" w:rsidRPr="0090131B">
        <w:t>explicit</w:t>
      </w:r>
      <w:r w:rsidR="00147FD1" w:rsidRPr="0090131B">
        <w:t xml:space="preserve"> in that</w:t>
      </w:r>
      <w:r w:rsidR="00414289" w:rsidRPr="0090131B">
        <w:t xml:space="preserve"> no derogation is allowed</w:t>
      </w:r>
      <w:r w:rsidR="001F22F4" w:rsidRPr="0090131B">
        <w:t xml:space="preserve"> from Articles 3, 4(1), 7 and 2</w:t>
      </w:r>
      <w:r w:rsidR="00414289" w:rsidRPr="0090131B">
        <w:t xml:space="preserve"> </w:t>
      </w:r>
      <w:r w:rsidR="00500BD2" w:rsidRPr="0090131B">
        <w:t>‘</w:t>
      </w:r>
      <w:r w:rsidR="00414289" w:rsidRPr="0090131B">
        <w:t>except in respect of death resulting from lawful acts of war</w:t>
      </w:r>
      <w:bookmarkStart w:id="26" w:name="_Ref492976153"/>
      <w:r w:rsidR="00500BD2" w:rsidRPr="0090131B">
        <w:t>’</w:t>
      </w:r>
      <w:r w:rsidR="007B23AB" w:rsidRPr="0090131B">
        <w:rPr>
          <w:rStyle w:val="FootnoteReference"/>
        </w:rPr>
        <w:footnoteReference w:id="59"/>
      </w:r>
      <w:bookmarkEnd w:id="26"/>
      <w:r w:rsidR="00147FD1" w:rsidRPr="0090131B">
        <w:t xml:space="preserve"> –</w:t>
      </w:r>
      <w:r w:rsidR="00500BD2" w:rsidRPr="0090131B">
        <w:t xml:space="preserve"> </w:t>
      </w:r>
      <w:r w:rsidR="00147FD1" w:rsidRPr="0090131B">
        <w:t>which</w:t>
      </w:r>
      <w:r w:rsidR="00B025E0" w:rsidRPr="0090131B">
        <w:t xml:space="preserve"> allows </w:t>
      </w:r>
      <w:r w:rsidR="00D60AB8">
        <w:t xml:space="preserve">the </w:t>
      </w:r>
      <w:r w:rsidR="00B025E0" w:rsidRPr="0090131B">
        <w:t xml:space="preserve">opening </w:t>
      </w:r>
      <w:r w:rsidR="00D60AB8">
        <w:t xml:space="preserve">of </w:t>
      </w:r>
      <w:r w:rsidR="00B025E0" w:rsidRPr="0090131B">
        <w:t>a parenthesis here to argue that this</w:t>
      </w:r>
      <w:r w:rsidR="00147FD1" w:rsidRPr="0090131B">
        <w:t xml:space="preserve"> is an indication that</w:t>
      </w:r>
      <w:r w:rsidR="002D5D74" w:rsidRPr="0090131B">
        <w:t>, indeed,</w:t>
      </w:r>
      <w:r w:rsidR="00147FD1" w:rsidRPr="0090131B">
        <w:t xml:space="preserve"> the ECHR </w:t>
      </w:r>
      <w:r w:rsidR="00B025E0" w:rsidRPr="0090131B">
        <w:t>ha</w:t>
      </w:r>
      <w:r w:rsidR="00147FD1" w:rsidRPr="0090131B">
        <w:t xml:space="preserve">s </w:t>
      </w:r>
      <w:r w:rsidR="00B025E0" w:rsidRPr="0090131B">
        <w:t xml:space="preserve">been </w:t>
      </w:r>
      <w:r w:rsidR="00147FD1" w:rsidRPr="0090131B">
        <w:t xml:space="preserve">designed to apply in times of war. </w:t>
      </w:r>
      <w:r w:rsidR="00D577FA" w:rsidRPr="0090131B">
        <w:t xml:space="preserve">As to the right to liberty under Article 5 ECHR, </w:t>
      </w:r>
      <w:r w:rsidR="007B23AB" w:rsidRPr="0090131B">
        <w:t>the effects of a lawful derogation will prove to be limited in the case of international armed conflicts as the EC</w:t>
      </w:r>
      <w:r w:rsidR="00500BD2" w:rsidRPr="0090131B">
        <w:t>t</w:t>
      </w:r>
      <w:r w:rsidR="007B23AB" w:rsidRPr="0090131B">
        <w:t xml:space="preserve">HR is already interpreting the Convention in the light of </w:t>
      </w:r>
      <w:r w:rsidR="00D0424B" w:rsidRPr="0090131B">
        <w:t>IHL</w:t>
      </w:r>
      <w:r w:rsidR="007B23AB" w:rsidRPr="0090131B">
        <w:t>.</w:t>
      </w:r>
      <w:bookmarkStart w:id="27" w:name="_Ref492826270"/>
      <w:r w:rsidR="007B23AB" w:rsidRPr="0090131B">
        <w:rPr>
          <w:rStyle w:val="FootnoteReference"/>
        </w:rPr>
        <w:footnoteReference w:id="60"/>
      </w:r>
      <w:bookmarkEnd w:id="27"/>
      <w:r w:rsidR="00B505F4" w:rsidRPr="0090131B">
        <w:t xml:space="preserve"> </w:t>
      </w:r>
      <w:r w:rsidR="00517810" w:rsidRPr="0090131B">
        <w:rPr>
          <w:i/>
        </w:rPr>
        <w:t>Fourth</w:t>
      </w:r>
      <w:r w:rsidR="0098301F" w:rsidRPr="0090131B">
        <w:rPr>
          <w:i/>
        </w:rPr>
        <w:t>,</w:t>
      </w:r>
      <w:r w:rsidR="00213B33" w:rsidRPr="0090131B">
        <w:rPr>
          <w:i/>
        </w:rPr>
        <w:t xml:space="preserve"> </w:t>
      </w:r>
      <w:r w:rsidR="00B85B7A" w:rsidRPr="0090131B">
        <w:t>Sari makes another</w:t>
      </w:r>
      <w:r w:rsidR="002F1A2C" w:rsidRPr="0090131B">
        <w:t xml:space="preserve"> very interesting</w:t>
      </w:r>
      <w:r w:rsidR="00B85B7A" w:rsidRPr="0090131B">
        <w:t xml:space="preserve"> point</w:t>
      </w:r>
      <w:r w:rsidR="000F0ADB" w:rsidRPr="0090131B">
        <w:t xml:space="preserve"> regarding the applicability of IHR law</w:t>
      </w:r>
      <w:r w:rsidR="00B85B7A" w:rsidRPr="0090131B">
        <w:t xml:space="preserve">: </w:t>
      </w:r>
      <w:r w:rsidR="0085194D" w:rsidRPr="0090131B">
        <w:t>by derogating from the ECHR</w:t>
      </w:r>
      <w:r w:rsidR="007F60E9" w:rsidRPr="0090131B">
        <w:t>,</w:t>
      </w:r>
      <w:r w:rsidR="0085194D" w:rsidRPr="0090131B">
        <w:t xml:space="preserve"> </w:t>
      </w:r>
      <w:r w:rsidR="007F60E9" w:rsidRPr="0090131B">
        <w:t xml:space="preserve">the UK </w:t>
      </w:r>
      <w:r w:rsidR="0085194D" w:rsidRPr="0090131B">
        <w:t xml:space="preserve">undermines </w:t>
      </w:r>
      <w:r w:rsidR="00543430">
        <w:t>its own earlier</w:t>
      </w:r>
      <w:r w:rsidR="008C5A91" w:rsidRPr="0090131B">
        <w:t xml:space="preserve"> </w:t>
      </w:r>
      <w:r w:rsidR="0085194D" w:rsidRPr="0090131B">
        <w:t>argument</w:t>
      </w:r>
      <w:r w:rsidR="00543430">
        <w:t>ation</w:t>
      </w:r>
      <w:r w:rsidR="0085194D" w:rsidRPr="0090131B">
        <w:t xml:space="preserve"> before the </w:t>
      </w:r>
      <w:r w:rsidR="008537EF" w:rsidRPr="0090131B">
        <w:t>Court</w:t>
      </w:r>
      <w:r w:rsidR="00543430">
        <w:t xml:space="preserve"> in its capacity</w:t>
      </w:r>
      <w:r w:rsidR="0085194D" w:rsidRPr="0090131B">
        <w:t xml:space="preserve"> as a respondent</w:t>
      </w:r>
      <w:r w:rsidR="00E07782" w:rsidRPr="0090131B">
        <w:t xml:space="preserve"> (which ha</w:t>
      </w:r>
      <w:r w:rsidR="000966B9">
        <w:t>s</w:t>
      </w:r>
      <w:r w:rsidR="00E07782" w:rsidRPr="0090131B">
        <w:t xml:space="preserve"> already produced some results</w:t>
      </w:r>
      <w:bookmarkStart w:id="28" w:name="_Ref496007580"/>
      <w:r w:rsidR="00581B93" w:rsidRPr="0090131B">
        <w:rPr>
          <w:rStyle w:val="FootnoteReference"/>
        </w:rPr>
        <w:footnoteReference w:id="61"/>
      </w:r>
      <w:bookmarkEnd w:id="28"/>
      <w:r w:rsidR="00E07782" w:rsidRPr="0090131B">
        <w:t>)</w:t>
      </w:r>
      <w:r w:rsidR="0085194D" w:rsidRPr="0090131B">
        <w:t xml:space="preserve"> and</w:t>
      </w:r>
      <w:r w:rsidR="00D60AB8">
        <w:t>,</w:t>
      </w:r>
      <w:r w:rsidR="0085194D" w:rsidRPr="0090131B">
        <w:t xml:space="preserve"> in particular</w:t>
      </w:r>
      <w:r w:rsidR="00D60AB8">
        <w:t>,</w:t>
      </w:r>
      <w:r w:rsidR="0085194D" w:rsidRPr="0090131B">
        <w:t xml:space="preserve"> th</w:t>
      </w:r>
      <w:r w:rsidR="000966B9">
        <w:t>e argument that</w:t>
      </w:r>
      <w:r w:rsidR="0085194D" w:rsidRPr="0090131B">
        <w:t xml:space="preserve"> humanitarian </w:t>
      </w:r>
      <w:r w:rsidR="0085194D" w:rsidRPr="0090131B">
        <w:lastRenderedPageBreak/>
        <w:t xml:space="preserve">law is </w:t>
      </w:r>
      <w:r w:rsidR="0085194D" w:rsidRPr="0090131B">
        <w:rPr>
          <w:i/>
        </w:rPr>
        <w:t>lex specialis</w:t>
      </w:r>
      <w:r w:rsidR="00D60AB8">
        <w:t>;</w:t>
      </w:r>
      <w:r w:rsidR="0085194D" w:rsidRPr="0090131B">
        <w:t xml:space="preserve"> thus applicable law.</w:t>
      </w:r>
      <w:r w:rsidR="0085194D" w:rsidRPr="0090131B">
        <w:rPr>
          <w:rStyle w:val="FootnoteReference"/>
        </w:rPr>
        <w:footnoteReference w:id="62"/>
      </w:r>
      <w:r w:rsidR="00DB39D1" w:rsidRPr="0090131B">
        <w:t xml:space="preserve"> </w:t>
      </w:r>
      <w:commentRangeStart w:id="29"/>
      <w:commentRangeStart w:id="30"/>
      <w:r w:rsidR="00DB39D1" w:rsidRPr="0090131B">
        <w:t xml:space="preserve">As to the </w:t>
      </w:r>
      <w:r w:rsidR="00DB39D1" w:rsidRPr="0090131B">
        <w:rPr>
          <w:i/>
        </w:rPr>
        <w:t>fifth</w:t>
      </w:r>
      <w:r w:rsidR="00DB39D1" w:rsidRPr="0090131B">
        <w:t xml:space="preserve"> argument,</w:t>
      </w:r>
      <w:r w:rsidR="00DB39D1" w:rsidRPr="0090131B">
        <w:rPr>
          <w:i/>
        </w:rPr>
        <w:t xml:space="preserve"> m</w:t>
      </w:r>
      <w:r w:rsidR="0098301F" w:rsidRPr="0090131B">
        <w:rPr>
          <w:i/>
        </w:rPr>
        <w:t xml:space="preserve">utatis mutandis, </w:t>
      </w:r>
      <w:r w:rsidR="0098301F" w:rsidRPr="0090131B">
        <w:t>the</w:t>
      </w:r>
      <w:r w:rsidR="00DB39D1" w:rsidRPr="0090131B">
        <w:t xml:space="preserve"> UK undermines its earlier </w:t>
      </w:r>
      <w:r w:rsidR="009D53C1" w:rsidRPr="0090131B">
        <w:t xml:space="preserve">approach </w:t>
      </w:r>
      <w:r w:rsidR="00DB39D1" w:rsidRPr="0090131B">
        <w:rPr>
          <w:i/>
        </w:rPr>
        <w:t>vis-à-vis</w:t>
      </w:r>
      <w:r w:rsidR="00DB39D1" w:rsidRPr="0090131B">
        <w:t xml:space="preserve"> extraterritoriality</w:t>
      </w:r>
      <w:r w:rsidR="00CA1D38" w:rsidRPr="0090131B">
        <w:t xml:space="preserve">, </w:t>
      </w:r>
      <w:r w:rsidR="00DC4CA2" w:rsidRPr="0090131B">
        <w:t>and implicitly admits the ECHR’s applicability overseas</w:t>
      </w:r>
      <w:r w:rsidR="00DB39D1" w:rsidRPr="0090131B">
        <w:t>.</w:t>
      </w:r>
      <w:r w:rsidR="000C32EF" w:rsidRPr="0090131B">
        <w:rPr>
          <w:rStyle w:val="FootnoteReference"/>
        </w:rPr>
        <w:footnoteReference w:id="63"/>
      </w:r>
      <w:r w:rsidR="00DB39D1" w:rsidRPr="0090131B">
        <w:t xml:space="preserve"> </w:t>
      </w:r>
      <w:r w:rsidR="009C326D" w:rsidRPr="0090131B">
        <w:t>D</w:t>
      </w:r>
      <w:r w:rsidR="002C11CE" w:rsidRPr="0090131B">
        <w:t>erogati</w:t>
      </w:r>
      <w:r w:rsidR="0098301F" w:rsidRPr="0090131B">
        <w:t>n</w:t>
      </w:r>
      <w:r w:rsidR="002C11CE" w:rsidRPr="0090131B">
        <w:t xml:space="preserve">g from the ECHR </w:t>
      </w:r>
      <w:r w:rsidR="000966B9">
        <w:t xml:space="preserve">as a means </w:t>
      </w:r>
      <w:r w:rsidR="00B6155E" w:rsidRPr="0090131B">
        <w:t xml:space="preserve">to avoid the scrutiny of </w:t>
      </w:r>
      <w:r w:rsidR="002C11CE" w:rsidRPr="0090131B">
        <w:t xml:space="preserve">extraterritorial conduct </w:t>
      </w:r>
      <w:r w:rsidR="004133D4" w:rsidRPr="0090131B">
        <w:t>is</w:t>
      </w:r>
      <w:r w:rsidR="002C11CE" w:rsidRPr="0090131B">
        <w:t xml:space="preserve"> </w:t>
      </w:r>
      <w:r w:rsidR="00DA03D2" w:rsidRPr="0090131B">
        <w:t>of</w:t>
      </w:r>
      <w:r w:rsidR="002C11CE" w:rsidRPr="0090131B">
        <w:t xml:space="preserve"> </w:t>
      </w:r>
      <w:r w:rsidR="00DA03D2" w:rsidRPr="0090131B">
        <w:t xml:space="preserve">no usefulness </w:t>
      </w:r>
      <w:r w:rsidR="00C47996" w:rsidRPr="0090131B">
        <w:t xml:space="preserve">if </w:t>
      </w:r>
      <w:r w:rsidR="009C326D" w:rsidRPr="0090131B">
        <w:t xml:space="preserve">(allegedly) </w:t>
      </w:r>
      <w:r w:rsidR="002C11CE" w:rsidRPr="0090131B">
        <w:t xml:space="preserve">the ECHR does not apply extraterritorially. </w:t>
      </w:r>
      <w:r w:rsidR="00DA03D2" w:rsidRPr="0090131B">
        <w:t>Suffice it to remind here that the</w:t>
      </w:r>
      <w:r w:rsidR="0098301F" w:rsidRPr="0090131B">
        <w:t xml:space="preserve"> ECtHR</w:t>
      </w:r>
      <w:r w:rsidR="001B5EF3" w:rsidRPr="0090131B">
        <w:t xml:space="preserve"> expands </w:t>
      </w:r>
      <w:r w:rsidR="00FB1630" w:rsidRPr="0090131B">
        <w:t xml:space="preserve">rather </w:t>
      </w:r>
      <w:r w:rsidR="001B5EF3" w:rsidRPr="0090131B">
        <w:t>exceptionally</w:t>
      </w:r>
      <w:r w:rsidR="00FB1630" w:rsidRPr="0090131B">
        <w:rPr>
          <w:rStyle w:val="FootnoteReference"/>
        </w:rPr>
        <w:footnoteReference w:id="64"/>
      </w:r>
      <w:r w:rsidR="001B5EF3" w:rsidRPr="0090131B">
        <w:t xml:space="preserve"> the application of the ECHR extraterritorially</w:t>
      </w:r>
      <w:r w:rsidR="0009782F" w:rsidRPr="0090131B">
        <w:t xml:space="preserve"> and that </w:t>
      </w:r>
      <w:r w:rsidR="00EF45AD">
        <w:t>extraterritoriality</w:t>
      </w:r>
      <w:r w:rsidR="0009782F" w:rsidRPr="0090131B">
        <w:t xml:space="preserve"> is conditioned</w:t>
      </w:r>
      <w:r w:rsidR="001B5EF3" w:rsidRPr="0090131B">
        <w:t xml:space="preserve"> </w:t>
      </w:r>
      <w:r w:rsidR="0009782F" w:rsidRPr="0090131B">
        <w:t>by</w:t>
      </w:r>
      <w:r w:rsidR="001B5EF3" w:rsidRPr="0090131B">
        <w:t xml:space="preserve"> the criterion of effective control</w:t>
      </w:r>
      <w:r w:rsidR="00EB64C9" w:rsidRPr="0090131B">
        <w:t xml:space="preserve"> </w:t>
      </w:r>
      <w:r w:rsidR="00BB4075" w:rsidRPr="0090131B">
        <w:t>(and its variations</w:t>
      </w:r>
      <w:r w:rsidR="006A777A" w:rsidRPr="0090131B">
        <w:rPr>
          <w:rStyle w:val="FootnoteReference"/>
        </w:rPr>
        <w:footnoteReference w:id="65"/>
      </w:r>
      <w:r w:rsidR="00BB4075" w:rsidRPr="0090131B">
        <w:t>)</w:t>
      </w:r>
      <w:r w:rsidR="001B5EF3" w:rsidRPr="0090131B">
        <w:t xml:space="preserve"> </w:t>
      </w:r>
      <w:r w:rsidR="00DF725F" w:rsidRPr="0090131B">
        <w:t xml:space="preserve">that </w:t>
      </w:r>
      <w:r w:rsidR="0009782F" w:rsidRPr="0090131B">
        <w:t>the Court</w:t>
      </w:r>
      <w:r w:rsidR="001B5EF3" w:rsidRPr="0090131B">
        <w:t xml:space="preserve"> has established </w:t>
      </w:r>
      <w:r w:rsidR="00AF3457" w:rsidRPr="0090131B">
        <w:t>with</w:t>
      </w:r>
      <w:r w:rsidR="001B5EF3" w:rsidRPr="0090131B">
        <w:t xml:space="preserve"> </w:t>
      </w:r>
      <w:r w:rsidR="00AF3457" w:rsidRPr="0090131B">
        <w:t>its case law.</w:t>
      </w:r>
      <w:r w:rsidR="00AF3457" w:rsidRPr="0090131B">
        <w:rPr>
          <w:rStyle w:val="FootnoteReference"/>
        </w:rPr>
        <w:footnoteReference w:id="66"/>
      </w:r>
      <w:r w:rsidR="001B5EF3" w:rsidRPr="0090131B">
        <w:t xml:space="preserve"> </w:t>
      </w:r>
      <w:commentRangeEnd w:id="29"/>
      <w:r w:rsidR="00A916BD" w:rsidRPr="006E0B80">
        <w:rPr>
          <w:rStyle w:val="CommentReference"/>
          <w:sz w:val="24"/>
          <w:szCs w:val="24"/>
        </w:rPr>
        <w:commentReference w:id="29"/>
      </w:r>
      <w:commentRangeEnd w:id="30"/>
      <w:r w:rsidR="00407A9C" w:rsidRPr="006E0B80">
        <w:rPr>
          <w:rStyle w:val="CommentReference"/>
          <w:sz w:val="24"/>
          <w:szCs w:val="24"/>
        </w:rPr>
        <w:commentReference w:id="30"/>
      </w:r>
    </w:p>
    <w:p w14:paraId="1A7E8446" w14:textId="0A2BDCA6" w:rsidR="00CD358A" w:rsidRPr="0090131B" w:rsidRDefault="00CD358A" w:rsidP="00CD358A">
      <w:pPr>
        <w:ind w:right="-52"/>
        <w:jc w:val="both"/>
      </w:pPr>
    </w:p>
    <w:p w14:paraId="7A67D04E" w14:textId="45048B21" w:rsidR="00DA42B2" w:rsidRPr="0090131B" w:rsidRDefault="00EF45AD" w:rsidP="00D34A98">
      <w:pPr>
        <w:ind w:right="-52"/>
        <w:jc w:val="both"/>
      </w:pPr>
      <w:r>
        <w:t xml:space="preserve">Moving now </w:t>
      </w:r>
      <w:r w:rsidR="000B5415" w:rsidRPr="0090131B">
        <w:t xml:space="preserve">to </w:t>
      </w:r>
      <w:r w:rsidR="00713BCC" w:rsidRPr="0090131B">
        <w:t>the</w:t>
      </w:r>
      <w:r w:rsidR="000B5415" w:rsidRPr="0090131B">
        <w:t xml:space="preserve"> </w:t>
      </w:r>
      <w:r w:rsidR="007044FB" w:rsidRPr="0090131B">
        <w:t xml:space="preserve">positive </w:t>
      </w:r>
      <w:r w:rsidR="000B5415" w:rsidRPr="0090131B">
        <w:t>impact</w:t>
      </w:r>
      <w:r w:rsidR="00713BCC" w:rsidRPr="0090131B">
        <w:t xml:space="preserve"> that</w:t>
      </w:r>
      <w:r w:rsidR="000B5415" w:rsidRPr="0090131B">
        <w:t xml:space="preserve"> </w:t>
      </w:r>
      <w:r w:rsidR="00575D82" w:rsidRPr="0090131B">
        <w:t xml:space="preserve">the </w:t>
      </w:r>
      <w:r w:rsidR="009D1A4A" w:rsidRPr="0090131B">
        <w:t xml:space="preserve">derogation(s) policy </w:t>
      </w:r>
      <w:r w:rsidR="000B5415" w:rsidRPr="0090131B">
        <w:t>could have</w:t>
      </w:r>
      <w:r w:rsidR="00575D82" w:rsidRPr="0090131B">
        <w:t xml:space="preserve"> on the</w:t>
      </w:r>
      <w:r w:rsidR="000B5415" w:rsidRPr="0090131B">
        <w:t xml:space="preserve"> problem of s</w:t>
      </w:r>
      <w:r w:rsidR="00575D82" w:rsidRPr="0090131B">
        <w:t>purious/vexatious legal claims</w:t>
      </w:r>
      <w:r w:rsidR="009F7216" w:rsidRPr="0090131B">
        <w:t xml:space="preserve">, </w:t>
      </w:r>
      <w:r w:rsidR="007044FB" w:rsidRPr="0090131B">
        <w:t>this</w:t>
      </w:r>
      <w:r w:rsidR="00D36BE1" w:rsidRPr="0090131B">
        <w:t xml:space="preserve"> </w:t>
      </w:r>
      <w:r w:rsidR="00713BCC" w:rsidRPr="0090131B">
        <w:t xml:space="preserve">would only </w:t>
      </w:r>
      <w:r w:rsidR="007044FB" w:rsidRPr="0090131B">
        <w:t xml:space="preserve">concern </w:t>
      </w:r>
      <w:commentRangeStart w:id="31"/>
      <w:commentRangeStart w:id="32"/>
      <w:r w:rsidR="007044FB" w:rsidRPr="0090131B">
        <w:t>derogable rights</w:t>
      </w:r>
      <w:commentRangeEnd w:id="31"/>
      <w:r w:rsidR="00A916BD" w:rsidRPr="006E0B80">
        <w:rPr>
          <w:rStyle w:val="CommentReference"/>
          <w:sz w:val="24"/>
          <w:szCs w:val="24"/>
        </w:rPr>
        <w:commentReference w:id="31"/>
      </w:r>
      <w:commentRangeEnd w:id="32"/>
      <w:r w:rsidR="00EA798F" w:rsidRPr="006E0B80">
        <w:rPr>
          <w:rStyle w:val="CommentReference"/>
          <w:sz w:val="24"/>
          <w:szCs w:val="24"/>
        </w:rPr>
        <w:commentReference w:id="32"/>
      </w:r>
      <w:r w:rsidR="009D1A4A" w:rsidRPr="0090131B">
        <w:t xml:space="preserve">. Yet, </w:t>
      </w:r>
      <w:r w:rsidR="00F009FC" w:rsidRPr="0090131B">
        <w:t xml:space="preserve">the litigation to </w:t>
      </w:r>
      <w:r w:rsidR="00F009FC" w:rsidRPr="0090131B">
        <w:lastRenderedPageBreak/>
        <w:t>which the Ministry of Defence refers mostly concerns non-derogable rights.</w:t>
      </w:r>
      <w:r w:rsidR="00A36EC9" w:rsidRPr="0090131B">
        <w:rPr>
          <w:rStyle w:val="FootnoteReference"/>
        </w:rPr>
        <w:footnoteReference w:id="67"/>
      </w:r>
      <w:r w:rsidR="00D36BE1" w:rsidRPr="0090131B">
        <w:t xml:space="preserve"> Moreover, </w:t>
      </w:r>
      <w:r w:rsidR="00445527" w:rsidRPr="0090131B">
        <w:t>as</w:t>
      </w:r>
      <w:r w:rsidR="001738A8" w:rsidRPr="0090131B">
        <w:t xml:space="preserve"> is explained by</w:t>
      </w:r>
      <w:r w:rsidR="00445527" w:rsidRPr="0090131B">
        <w:t xml:space="preserve"> </w:t>
      </w:r>
      <w:r w:rsidR="00D36BE1" w:rsidRPr="0090131B">
        <w:t>the evidence</w:t>
      </w:r>
      <w:r w:rsidR="00806F87">
        <w:t xml:space="preserve"> that</w:t>
      </w:r>
      <w:r w:rsidR="00D36BE1" w:rsidRPr="0090131B">
        <w:t xml:space="preserve"> </w:t>
      </w:r>
      <w:r w:rsidR="001738A8" w:rsidRPr="0090131B">
        <w:t xml:space="preserve">Oxford Pro Bono Publico </w:t>
      </w:r>
      <w:r w:rsidR="00D36BE1" w:rsidRPr="0090131B">
        <w:t>submitted to the Committee</w:t>
      </w:r>
      <w:r w:rsidR="00445527" w:rsidRPr="0090131B">
        <w:t xml:space="preserve">, the legal order of the UK offers a number of avenues </w:t>
      </w:r>
      <w:r w:rsidR="00E15CC3" w:rsidRPr="0090131B">
        <w:t xml:space="preserve">that can </w:t>
      </w:r>
      <w:r w:rsidR="00A916BD" w:rsidRPr="0090131B">
        <w:t>‘</w:t>
      </w:r>
      <w:r w:rsidR="00E15CC3" w:rsidRPr="0090131B">
        <w:t>prevent unfounded, weak or vexatious claims.</w:t>
      </w:r>
      <w:r w:rsidR="00A916BD" w:rsidRPr="0090131B">
        <w:t>’</w:t>
      </w:r>
      <w:r w:rsidR="00E15CC3" w:rsidRPr="0090131B">
        <w:rPr>
          <w:rStyle w:val="FootnoteReference"/>
        </w:rPr>
        <w:footnoteReference w:id="68"/>
      </w:r>
      <w:r w:rsidR="00EE7961" w:rsidRPr="0090131B">
        <w:t xml:space="preserve"> T</w:t>
      </w:r>
      <w:r w:rsidR="00A75EC4" w:rsidRPr="0090131B">
        <w:t xml:space="preserve">he </w:t>
      </w:r>
      <w:r w:rsidR="00EE7961" w:rsidRPr="0090131B">
        <w:t>UK national authorities will continue to deal with claims, a numb</w:t>
      </w:r>
      <w:r w:rsidR="00EF3CA5" w:rsidRPr="0090131B">
        <w:t xml:space="preserve">er of which </w:t>
      </w:r>
      <w:r w:rsidR="000027C6" w:rsidRPr="0090131B">
        <w:t>may</w:t>
      </w:r>
      <w:r w:rsidR="00EF3CA5" w:rsidRPr="0090131B">
        <w:t xml:space="preserve"> be </w:t>
      </w:r>
      <w:r w:rsidR="00EE7961" w:rsidRPr="0090131B">
        <w:t>spurious</w:t>
      </w:r>
      <w:r w:rsidR="00CB21AA" w:rsidRPr="0090131B">
        <w:t xml:space="preserve"> or vexatious</w:t>
      </w:r>
      <w:r w:rsidR="007A0043" w:rsidRPr="0090131B">
        <w:t>;</w:t>
      </w:r>
      <w:r w:rsidR="000027C6" w:rsidRPr="0090131B">
        <w:t xml:space="preserve"> </w:t>
      </w:r>
      <w:r w:rsidR="00D60AB8">
        <w:t xml:space="preserve">however, </w:t>
      </w:r>
      <w:r w:rsidR="000027C6" w:rsidRPr="0090131B">
        <w:t xml:space="preserve">this does </w:t>
      </w:r>
      <w:r w:rsidR="00AC6D0A" w:rsidRPr="0090131B">
        <w:t>not justify</w:t>
      </w:r>
      <w:r w:rsidR="000027C6" w:rsidRPr="0090131B">
        <w:t xml:space="preserve"> derogating from the ECHR or</w:t>
      </w:r>
      <w:r w:rsidR="00AC6D0A" w:rsidRPr="0090131B">
        <w:t xml:space="preserve"> limiting access to justice.</w:t>
      </w:r>
      <w:r w:rsidR="00BA55B0" w:rsidRPr="0090131B">
        <w:t xml:space="preserve"> More generally, one cannot remedy </w:t>
      </w:r>
      <w:r w:rsidR="00052D72" w:rsidRPr="0090131B">
        <w:t xml:space="preserve">frivolous litigation, </w:t>
      </w:r>
      <w:r w:rsidR="00E46CB1" w:rsidRPr="0090131B">
        <w:rPr>
          <w:i/>
        </w:rPr>
        <w:t>i.e.</w:t>
      </w:r>
      <w:r w:rsidR="00052D72" w:rsidRPr="0090131B">
        <w:t xml:space="preserve"> a</w:t>
      </w:r>
      <w:r w:rsidR="000C5E2A" w:rsidRPr="0090131B">
        <w:t>buse</w:t>
      </w:r>
      <w:r w:rsidR="00FD4FD2" w:rsidRPr="0090131B">
        <w:t xml:space="preserve"> of rights,</w:t>
      </w:r>
      <w:r w:rsidR="00052D72" w:rsidRPr="0090131B">
        <w:t xml:space="preserve"> </w:t>
      </w:r>
      <w:r w:rsidR="007A0043" w:rsidRPr="0090131B">
        <w:t>by means of</w:t>
      </w:r>
      <w:r w:rsidR="00052D72" w:rsidRPr="0090131B">
        <w:t xml:space="preserve"> an</w:t>
      </w:r>
      <w:r w:rsidR="00FD4FD2" w:rsidRPr="0090131B">
        <w:t>other</w:t>
      </w:r>
      <w:r w:rsidR="00052D72" w:rsidRPr="0090131B">
        <w:t xml:space="preserve"> abuse</w:t>
      </w:r>
      <w:r w:rsidR="00244D0A" w:rsidRPr="0090131B">
        <w:t xml:space="preserve"> of right</w:t>
      </w:r>
      <w:r w:rsidR="00FD4FD2" w:rsidRPr="0090131B">
        <w:t>s</w:t>
      </w:r>
      <w:r w:rsidR="00CB21AA" w:rsidRPr="0090131B">
        <w:t xml:space="preserve"> –</w:t>
      </w:r>
      <w:r w:rsidR="00A916BD" w:rsidRPr="0090131B">
        <w:t xml:space="preserve"> </w:t>
      </w:r>
      <w:r w:rsidR="00CB21AA" w:rsidRPr="0090131B">
        <w:t xml:space="preserve">which, according to the argument built </w:t>
      </w:r>
      <w:r w:rsidR="005C5D39" w:rsidRPr="0090131B">
        <w:t>in</w:t>
      </w:r>
      <w:r w:rsidR="00CB21AA" w:rsidRPr="0090131B">
        <w:t xml:space="preserve"> the </w:t>
      </w:r>
      <w:r w:rsidR="005C5D39" w:rsidRPr="0090131B">
        <w:t xml:space="preserve">next </w:t>
      </w:r>
      <w:r w:rsidR="007A0043" w:rsidRPr="0090131B">
        <w:t xml:space="preserve">two </w:t>
      </w:r>
      <w:r w:rsidR="005C5D39" w:rsidRPr="0090131B">
        <w:t>Part</w:t>
      </w:r>
      <w:r w:rsidR="007A0043" w:rsidRPr="0090131B">
        <w:t>s</w:t>
      </w:r>
      <w:r w:rsidR="00CB21AA" w:rsidRPr="0090131B">
        <w:t xml:space="preserve"> </w:t>
      </w:r>
      <w:r w:rsidR="005C5D39" w:rsidRPr="0090131B">
        <w:t xml:space="preserve">of the </w:t>
      </w:r>
      <w:r w:rsidR="002D1132" w:rsidRPr="0090131B">
        <w:t>study</w:t>
      </w:r>
      <w:r w:rsidR="00B0416B">
        <w:t>,</w:t>
      </w:r>
      <w:r w:rsidR="005C5D39" w:rsidRPr="0090131B">
        <w:t xml:space="preserve"> is the term to cha</w:t>
      </w:r>
      <w:r w:rsidR="00284EEB" w:rsidRPr="0090131B">
        <w:t>racteri</w:t>
      </w:r>
      <w:r w:rsidR="00C67BDD" w:rsidRPr="0090131B">
        <w:t>s</w:t>
      </w:r>
      <w:r w:rsidR="00284EEB" w:rsidRPr="0090131B">
        <w:t>e</w:t>
      </w:r>
      <w:r w:rsidR="005C67BD" w:rsidRPr="0090131B">
        <w:t xml:space="preserve"> the</w:t>
      </w:r>
      <w:r w:rsidR="00284EEB" w:rsidRPr="0090131B">
        <w:t xml:space="preserve"> UK’s </w:t>
      </w:r>
      <w:r w:rsidR="00C67BDD" w:rsidRPr="0090131B">
        <w:t xml:space="preserve">policy for </w:t>
      </w:r>
      <w:r w:rsidR="00284EEB" w:rsidRPr="0090131B">
        <w:t>future derogation(s)</w:t>
      </w:r>
      <w:r w:rsidR="005C5D39" w:rsidRPr="0090131B">
        <w:t>.</w:t>
      </w:r>
      <w:r w:rsidR="00D60F47" w:rsidRPr="0090131B">
        <w:rPr>
          <w:rStyle w:val="FootnoteReference"/>
        </w:rPr>
        <w:footnoteReference w:id="69"/>
      </w:r>
      <w:r w:rsidR="005C5D39" w:rsidRPr="0090131B">
        <w:t xml:space="preserve"> </w:t>
      </w:r>
      <w:r w:rsidR="00D023C7" w:rsidRPr="0090131B">
        <w:t>Even if one were to agree</w:t>
      </w:r>
      <w:r w:rsidR="00AD6214" w:rsidRPr="0090131B">
        <w:t xml:space="preserve"> with the UK government </w:t>
      </w:r>
      <w:r w:rsidR="00B0416B" w:rsidRPr="0090131B">
        <w:t>–</w:t>
      </w:r>
      <w:r w:rsidR="00B0416B">
        <w:t xml:space="preserve"> </w:t>
      </w:r>
      <w:r w:rsidR="00C67BDD" w:rsidRPr="0090131B">
        <w:t xml:space="preserve">when it </w:t>
      </w:r>
      <w:r w:rsidR="00AD6214" w:rsidRPr="0090131B">
        <w:t>raises the issue of the number of claims and the volume of compensation</w:t>
      </w:r>
      <w:r w:rsidR="00B0416B">
        <w:t xml:space="preserve"> </w:t>
      </w:r>
      <w:r w:rsidR="00B0416B" w:rsidRPr="0090131B">
        <w:t>–</w:t>
      </w:r>
      <w:r w:rsidR="00D023C7" w:rsidRPr="0090131B">
        <w:t xml:space="preserve"> that the rights and </w:t>
      </w:r>
      <w:r w:rsidR="004341F3" w:rsidRPr="0090131B">
        <w:t xml:space="preserve">means </w:t>
      </w:r>
      <w:r w:rsidR="00D023C7" w:rsidRPr="0090131B">
        <w:t>offered by the ECHR and the Court’s case law have been abused by civil society, victims</w:t>
      </w:r>
      <w:r w:rsidR="00D60AB8">
        <w:t>,</w:t>
      </w:r>
      <w:r w:rsidR="00D023C7" w:rsidRPr="0090131B">
        <w:t xml:space="preserve"> and </w:t>
      </w:r>
      <w:r w:rsidR="00D60AB8">
        <w:t xml:space="preserve">victim’s </w:t>
      </w:r>
      <w:r w:rsidR="00D023C7" w:rsidRPr="0090131B">
        <w:t>lawyers, the remedy of such an abuse cannot be an</w:t>
      </w:r>
      <w:r w:rsidR="00ED3BD4" w:rsidRPr="0090131B">
        <w:t>other</w:t>
      </w:r>
      <w:r w:rsidR="00D023C7" w:rsidRPr="0090131B">
        <w:t xml:space="preserve"> abuse. </w:t>
      </w:r>
      <w:r w:rsidR="00CB21AA" w:rsidRPr="0090131B">
        <w:t>Besides, the phenomenon</w:t>
      </w:r>
      <w:r w:rsidR="005C5D39" w:rsidRPr="0090131B">
        <w:t xml:space="preserve"> of</w:t>
      </w:r>
      <w:r w:rsidR="00CB21AA" w:rsidRPr="0090131B">
        <w:t xml:space="preserve"> vexatious claims</w:t>
      </w:r>
      <w:r w:rsidR="00AC6D0A" w:rsidRPr="0090131B">
        <w:t xml:space="preserve"> </w:t>
      </w:r>
      <w:r w:rsidR="005C5D39" w:rsidRPr="0090131B">
        <w:t>is</w:t>
      </w:r>
      <w:r w:rsidR="00CB21AA" w:rsidRPr="0090131B">
        <w:t xml:space="preserve"> </w:t>
      </w:r>
      <w:r w:rsidR="00EE7961" w:rsidRPr="0090131B">
        <w:t>by no me</w:t>
      </w:r>
      <w:r w:rsidR="00AC6D0A" w:rsidRPr="0090131B">
        <w:t>ans exceptional</w:t>
      </w:r>
      <w:r w:rsidR="008A58E2">
        <w:t>;</w:t>
      </w:r>
      <w:r w:rsidR="00806F87">
        <w:t xml:space="preserve"> </w:t>
      </w:r>
      <w:r w:rsidR="00D60AB8">
        <w:t>i</w:t>
      </w:r>
      <w:r w:rsidR="005C5D39" w:rsidRPr="0090131B">
        <w:t>t</w:t>
      </w:r>
      <w:r w:rsidR="00EE7961" w:rsidRPr="0090131B">
        <w:t xml:space="preserve"> happen</w:t>
      </w:r>
      <w:r w:rsidR="005C5D39" w:rsidRPr="0090131B">
        <w:t>s</w:t>
      </w:r>
      <w:r w:rsidR="00EE7961" w:rsidRPr="0090131B">
        <w:t xml:space="preserve"> in all legal systems</w:t>
      </w:r>
      <w:r w:rsidR="00E36A09" w:rsidRPr="0090131B">
        <w:t xml:space="preserve"> with regard to various legal issues</w:t>
      </w:r>
      <w:r w:rsidR="00EE7961" w:rsidRPr="0090131B">
        <w:t>. Competent authorities</w:t>
      </w:r>
      <w:r w:rsidR="00E36A09" w:rsidRPr="0090131B">
        <w:t xml:space="preserve"> </w:t>
      </w:r>
      <w:r w:rsidR="00EE7961" w:rsidRPr="0090131B">
        <w:t>are expected to duly consider claims and cases brought before them, discard spurious</w:t>
      </w:r>
      <w:r w:rsidR="00927AB8" w:rsidRPr="0090131B">
        <w:t xml:space="preserve"> and vexatious</w:t>
      </w:r>
      <w:r w:rsidR="00EE7961" w:rsidRPr="0090131B">
        <w:t xml:space="preserve"> claims</w:t>
      </w:r>
      <w:r w:rsidR="00B0416B">
        <w:t xml:space="preserve">, and </w:t>
      </w:r>
      <w:r w:rsidR="00B0416B" w:rsidRPr="0090131B">
        <w:t>deliver justice</w:t>
      </w:r>
      <w:r w:rsidR="00EE7961" w:rsidRPr="0090131B">
        <w:t>.</w:t>
      </w:r>
      <w:r w:rsidR="000406B3" w:rsidRPr="0090131B">
        <w:t xml:space="preserve"> </w:t>
      </w:r>
      <w:r w:rsidR="00AC6D0A" w:rsidRPr="0090131B">
        <w:t>A</w:t>
      </w:r>
      <w:r w:rsidR="00D60AB8">
        <w:t xml:space="preserve"> further </w:t>
      </w:r>
      <w:r w:rsidR="00AC6D0A" w:rsidRPr="0090131B">
        <w:t>argument is that</w:t>
      </w:r>
      <w:r w:rsidR="000406B3" w:rsidRPr="0090131B">
        <w:t xml:space="preserve"> </w:t>
      </w:r>
      <w:r w:rsidR="00D60AB8">
        <w:t xml:space="preserve"> one </w:t>
      </w:r>
      <w:r w:rsidR="000406B3" w:rsidRPr="0090131B">
        <w:t xml:space="preserve">would be </w:t>
      </w:r>
      <w:r w:rsidR="00D60AB8">
        <w:t xml:space="preserve">mistaken </w:t>
      </w:r>
      <w:r w:rsidR="000406B3" w:rsidRPr="0090131B">
        <w:t xml:space="preserve">to think that the </w:t>
      </w:r>
      <w:r w:rsidR="009A2C27" w:rsidRPr="0090131B">
        <w:t xml:space="preserve">derogation(s) </w:t>
      </w:r>
      <w:r w:rsidR="000406B3" w:rsidRPr="0090131B">
        <w:t>policy can protect military personnel</w:t>
      </w:r>
      <w:r w:rsidR="00927AB8" w:rsidRPr="0090131B">
        <w:t xml:space="preserve"> from</w:t>
      </w:r>
      <w:r w:rsidR="000406B3" w:rsidRPr="0090131B">
        <w:t xml:space="preserve"> claims against them. The ECHR </w:t>
      </w:r>
      <w:r w:rsidR="008F5345" w:rsidRPr="0090131B">
        <w:t xml:space="preserve">only </w:t>
      </w:r>
      <w:r w:rsidR="000406B3" w:rsidRPr="0090131B">
        <w:t>binds states</w:t>
      </w:r>
      <w:r w:rsidR="00AB7614">
        <w:t>,</w:t>
      </w:r>
      <w:r w:rsidR="00875129" w:rsidRPr="0090131B">
        <w:t xml:space="preserve"> and</w:t>
      </w:r>
      <w:r w:rsidR="000406B3" w:rsidRPr="0090131B">
        <w:t xml:space="preserve"> </w:t>
      </w:r>
      <w:r w:rsidR="002D0942" w:rsidRPr="0090131B">
        <w:t>t</w:t>
      </w:r>
      <w:r w:rsidR="000406B3" w:rsidRPr="0090131B">
        <w:t xml:space="preserve">he ECtHR </w:t>
      </w:r>
      <w:r w:rsidR="008F5345" w:rsidRPr="0090131B">
        <w:t xml:space="preserve">only </w:t>
      </w:r>
      <w:r w:rsidR="000406B3" w:rsidRPr="0090131B">
        <w:t>reviews the conduct of states</w:t>
      </w:r>
      <w:r w:rsidR="002D0942" w:rsidRPr="0090131B">
        <w:t xml:space="preserve">. </w:t>
      </w:r>
      <w:r w:rsidR="008F5345" w:rsidRPr="0090131B">
        <w:t>M</w:t>
      </w:r>
      <w:r w:rsidR="00134FD9" w:rsidRPr="0090131B">
        <w:t>ilitary personnel</w:t>
      </w:r>
      <w:r w:rsidR="008F5345" w:rsidRPr="0090131B">
        <w:t>’s</w:t>
      </w:r>
      <w:r w:rsidR="00134FD9" w:rsidRPr="0090131B">
        <w:t xml:space="preserve"> </w:t>
      </w:r>
      <w:r w:rsidR="008F5345" w:rsidRPr="0090131B">
        <w:t>conduct becomes</w:t>
      </w:r>
      <w:r w:rsidR="002D0942" w:rsidRPr="0090131B">
        <w:t xml:space="preserve"> relevant</w:t>
      </w:r>
      <w:r w:rsidR="008F5345" w:rsidRPr="0090131B">
        <w:t xml:space="preserve"> and may lead to state responsibility</w:t>
      </w:r>
      <w:r w:rsidR="002D0942" w:rsidRPr="0090131B">
        <w:t xml:space="preserve"> </w:t>
      </w:r>
      <w:r w:rsidR="00134FD9" w:rsidRPr="0090131B">
        <w:t>when it</w:t>
      </w:r>
      <w:r w:rsidR="002D0942" w:rsidRPr="0090131B">
        <w:t xml:space="preserve"> is attributable to a state</w:t>
      </w:r>
      <w:r w:rsidR="00134FD9" w:rsidRPr="0090131B">
        <w:t>,</w:t>
      </w:r>
      <w:bookmarkStart w:id="34" w:name="_Ref492900505"/>
      <w:r w:rsidR="00875129" w:rsidRPr="0090131B">
        <w:rPr>
          <w:rStyle w:val="FootnoteReference"/>
        </w:rPr>
        <w:footnoteReference w:id="70"/>
      </w:r>
      <w:bookmarkEnd w:id="34"/>
      <w:r w:rsidR="00134FD9" w:rsidRPr="0090131B">
        <w:t xml:space="preserve"> </w:t>
      </w:r>
      <w:r w:rsidR="002D0942" w:rsidRPr="0090131B">
        <w:t>an organ of which</w:t>
      </w:r>
      <w:r w:rsidR="008F5345" w:rsidRPr="0090131B">
        <w:t xml:space="preserve"> </w:t>
      </w:r>
      <w:r w:rsidR="002D0942" w:rsidRPr="0090131B">
        <w:t>the army and its personnel</w:t>
      </w:r>
      <w:r w:rsidR="00134FD9" w:rsidRPr="0090131B">
        <w:t xml:space="preserve"> are.</w:t>
      </w:r>
      <w:r w:rsidR="00875129" w:rsidRPr="0090131B">
        <w:rPr>
          <w:rStyle w:val="FootnoteReference"/>
        </w:rPr>
        <w:footnoteReference w:id="71"/>
      </w:r>
      <w:r w:rsidR="00134FD9" w:rsidRPr="0090131B">
        <w:t xml:space="preserve"> </w:t>
      </w:r>
      <w:r w:rsidR="005676F8" w:rsidRPr="0090131B">
        <w:t xml:space="preserve">State </w:t>
      </w:r>
      <w:r w:rsidR="003A4527" w:rsidRPr="0090131B">
        <w:t xml:space="preserve">responsibility can </w:t>
      </w:r>
      <w:r w:rsidR="005676F8" w:rsidRPr="0090131B">
        <w:t>also</w:t>
      </w:r>
      <w:r w:rsidR="003A4527" w:rsidRPr="0090131B">
        <w:t xml:space="preserve"> be engaged in case</w:t>
      </w:r>
      <w:r w:rsidR="00806F87">
        <w:t>s</w:t>
      </w:r>
      <w:r w:rsidR="003A4527" w:rsidRPr="0090131B">
        <w:t xml:space="preserve"> of failure (</w:t>
      </w:r>
      <w:r w:rsidR="00E46CB1" w:rsidRPr="0090131B">
        <w:rPr>
          <w:i/>
        </w:rPr>
        <w:t>i.e.</w:t>
      </w:r>
      <w:r w:rsidR="003A4527" w:rsidRPr="0090131B">
        <w:t xml:space="preserve"> negligence) </w:t>
      </w:r>
      <w:r w:rsidR="00134FD9" w:rsidRPr="0090131B">
        <w:t xml:space="preserve">to prevent, remedy and possibly punish </w:t>
      </w:r>
      <w:r w:rsidR="003A4527" w:rsidRPr="0090131B">
        <w:t>an endangerment</w:t>
      </w:r>
      <w:r w:rsidR="005676F8" w:rsidRPr="0090131B">
        <w:t xml:space="preserve"> or </w:t>
      </w:r>
      <w:r w:rsidR="00D17D4C" w:rsidRPr="0090131B">
        <w:t xml:space="preserve">an </w:t>
      </w:r>
      <w:r w:rsidR="005676F8" w:rsidRPr="0090131B">
        <w:t xml:space="preserve">actual breach of human rights by a </w:t>
      </w:r>
      <w:r w:rsidR="003A4527" w:rsidRPr="0090131B">
        <w:t>person (in our case</w:t>
      </w:r>
      <w:r w:rsidR="00166853">
        <w:t>,</w:t>
      </w:r>
      <w:r w:rsidR="005676F8" w:rsidRPr="0090131B">
        <w:t xml:space="preserve"> military personnel) whose conduct is not (directly</w:t>
      </w:r>
      <w:bookmarkStart w:id="35" w:name="_Ref492892977"/>
      <w:r w:rsidR="00995EDF" w:rsidRPr="0090131B">
        <w:rPr>
          <w:rStyle w:val="FootnoteReference"/>
        </w:rPr>
        <w:footnoteReference w:id="72"/>
      </w:r>
      <w:bookmarkEnd w:id="35"/>
      <w:r w:rsidR="005676F8" w:rsidRPr="0090131B">
        <w:t>) attributable</w:t>
      </w:r>
      <w:r w:rsidR="003872A3" w:rsidRPr="0090131B">
        <w:t xml:space="preserve"> to a </w:t>
      </w:r>
      <w:r w:rsidR="005676F8" w:rsidRPr="0090131B">
        <w:t>state.</w:t>
      </w:r>
      <w:r w:rsidR="00BC672E" w:rsidRPr="0090131B">
        <w:rPr>
          <w:rStyle w:val="FootnoteReference"/>
        </w:rPr>
        <w:footnoteReference w:id="73"/>
      </w:r>
      <w:r w:rsidR="005676F8" w:rsidRPr="0090131B">
        <w:t xml:space="preserve"> Yet, </w:t>
      </w:r>
      <w:r w:rsidR="008F5345" w:rsidRPr="0090131B">
        <w:t xml:space="preserve">both </w:t>
      </w:r>
      <w:r w:rsidR="00AB7614">
        <w:t xml:space="preserve">of </w:t>
      </w:r>
      <w:r w:rsidR="008F5345" w:rsidRPr="0090131B">
        <w:t xml:space="preserve">these scenarios </w:t>
      </w:r>
      <w:r w:rsidR="008F5345" w:rsidRPr="0090131B">
        <w:lastRenderedPageBreak/>
        <w:t>concern state</w:t>
      </w:r>
      <w:r w:rsidR="005676F8" w:rsidRPr="0090131B">
        <w:t xml:space="preserve"> </w:t>
      </w:r>
      <w:commentRangeStart w:id="36"/>
      <w:commentRangeStart w:id="37"/>
      <w:r w:rsidR="005676F8" w:rsidRPr="0090131B">
        <w:t>liability</w:t>
      </w:r>
      <w:commentRangeEnd w:id="36"/>
      <w:r w:rsidR="00AA30B8" w:rsidRPr="006E0B80">
        <w:rPr>
          <w:rStyle w:val="CommentReference"/>
          <w:sz w:val="24"/>
          <w:szCs w:val="24"/>
        </w:rPr>
        <w:commentReference w:id="36"/>
      </w:r>
      <w:commentRangeEnd w:id="37"/>
      <w:r w:rsidR="00013E2A" w:rsidRPr="006E0B80">
        <w:rPr>
          <w:rStyle w:val="CommentReference"/>
          <w:sz w:val="24"/>
          <w:szCs w:val="24"/>
        </w:rPr>
        <w:commentReference w:id="37"/>
      </w:r>
      <w:r w:rsidR="005676F8" w:rsidRPr="0090131B">
        <w:t xml:space="preserve">. </w:t>
      </w:r>
      <w:r w:rsidR="00DD19B2" w:rsidRPr="0090131B">
        <w:t>T</w:t>
      </w:r>
      <w:r w:rsidR="005676F8" w:rsidRPr="0090131B">
        <w:t xml:space="preserve">he effect </w:t>
      </w:r>
      <w:r w:rsidR="00150680" w:rsidRPr="0090131B">
        <w:t>that</w:t>
      </w:r>
      <w:r w:rsidR="005676F8" w:rsidRPr="0090131B">
        <w:t xml:space="preserve"> </w:t>
      </w:r>
      <w:r w:rsidR="00697FB1" w:rsidRPr="0090131B">
        <w:t xml:space="preserve">the </w:t>
      </w:r>
      <w:r w:rsidR="005676F8" w:rsidRPr="0090131B">
        <w:t>derogation</w:t>
      </w:r>
      <w:r w:rsidR="00150680" w:rsidRPr="0090131B">
        <w:t xml:space="preserve"> policy</w:t>
      </w:r>
      <w:r w:rsidR="005676F8" w:rsidRPr="0090131B">
        <w:t xml:space="preserve"> </w:t>
      </w:r>
      <w:r w:rsidR="00D44BEC" w:rsidRPr="0090131B">
        <w:t>can produce</w:t>
      </w:r>
      <w:r w:rsidR="00DD19B2" w:rsidRPr="0090131B">
        <w:t xml:space="preserve"> is limited to</w:t>
      </w:r>
      <w:r w:rsidR="005676F8" w:rsidRPr="0090131B">
        <w:t xml:space="preserve"> </w:t>
      </w:r>
      <w:r w:rsidR="00842BDF" w:rsidRPr="0090131B">
        <w:t>impeding</w:t>
      </w:r>
      <w:r w:rsidR="00E476E1" w:rsidRPr="0090131B">
        <w:t xml:space="preserve"> international state responsibility for </w:t>
      </w:r>
      <w:r w:rsidR="00150680" w:rsidRPr="0090131B">
        <w:t>conduct</w:t>
      </w:r>
      <w:r w:rsidR="00375EA6" w:rsidRPr="0090131B">
        <w:t xml:space="preserve"> (consisting in acts or omissions)</w:t>
      </w:r>
      <w:r w:rsidR="00150680" w:rsidRPr="0090131B">
        <w:t xml:space="preserve"> that would otherwise be incompatible with</w:t>
      </w:r>
      <w:r w:rsidR="00E476E1" w:rsidRPr="0090131B">
        <w:t xml:space="preserve"> an international treaty, namely the ECHR.</w:t>
      </w:r>
      <w:bookmarkStart w:id="38" w:name="_Ref493687984"/>
      <w:r w:rsidR="008A309D" w:rsidRPr="0090131B">
        <w:rPr>
          <w:rStyle w:val="FootnoteReference"/>
        </w:rPr>
        <w:footnoteReference w:id="74"/>
      </w:r>
      <w:bookmarkEnd w:id="38"/>
      <w:r w:rsidR="00E476E1" w:rsidRPr="0090131B">
        <w:t xml:space="preserve"> Military personnel’s liability under different legal bases </w:t>
      </w:r>
      <w:r w:rsidR="003872A3" w:rsidRPr="0090131B">
        <w:t>of</w:t>
      </w:r>
      <w:r w:rsidR="00E476E1" w:rsidRPr="0090131B">
        <w:t xml:space="preserve"> (</w:t>
      </w:r>
      <w:r w:rsidR="00806F87" w:rsidRPr="0090131B">
        <w:t>for instance</w:t>
      </w:r>
      <w:r w:rsidR="00806F87">
        <w:t>,</w:t>
      </w:r>
      <w:r w:rsidR="00806F87" w:rsidRPr="0090131B">
        <w:t xml:space="preserve"> </w:t>
      </w:r>
      <w:r w:rsidR="00E476E1" w:rsidRPr="0090131B">
        <w:t>civil or criminal) national law or international criminal law</w:t>
      </w:r>
      <w:r w:rsidR="002B3620" w:rsidRPr="0090131B">
        <w:rPr>
          <w:rStyle w:val="FootnoteReference"/>
        </w:rPr>
        <w:footnoteReference w:id="75"/>
      </w:r>
      <w:r w:rsidR="003872A3" w:rsidRPr="0090131B">
        <w:t xml:space="preserve"> </w:t>
      </w:r>
      <w:r w:rsidR="00437971" w:rsidRPr="0090131B">
        <w:t>remains intact</w:t>
      </w:r>
      <w:r w:rsidR="0097070A">
        <w:t>,</w:t>
      </w:r>
      <w:r w:rsidR="00437971" w:rsidRPr="0090131B">
        <w:t xml:space="preserve"> as it </w:t>
      </w:r>
      <w:r w:rsidR="003872A3" w:rsidRPr="0090131B">
        <w:t>is irrelevant to the intended derogation(s) from the ECHR.</w:t>
      </w:r>
      <w:r w:rsidR="00437971" w:rsidRPr="0090131B">
        <w:t xml:space="preserve"> Finally, whilst the derogation offers no </w:t>
      </w:r>
      <w:r w:rsidR="00FB5F0C" w:rsidRPr="0090131B">
        <w:t>‘</w:t>
      </w:r>
      <w:r w:rsidR="000F551E" w:rsidRPr="0090131B">
        <w:t>immunity</w:t>
      </w:r>
      <w:r w:rsidR="00FB5F0C" w:rsidRPr="0090131B">
        <w:t>’</w:t>
      </w:r>
      <w:r w:rsidR="000F551E" w:rsidRPr="0090131B">
        <w:t xml:space="preserve"> </w:t>
      </w:r>
      <w:r w:rsidR="00437971" w:rsidRPr="0090131B">
        <w:t>to military personnel</w:t>
      </w:r>
      <w:commentRangeStart w:id="39"/>
      <w:commentRangeStart w:id="40"/>
      <w:r w:rsidR="00437971" w:rsidRPr="0090131B">
        <w:t xml:space="preserve">, it also deprives them from the guarantees offered by the ECHR when they operate overseas and </w:t>
      </w:r>
      <w:r w:rsidR="00BC672E" w:rsidRPr="0090131B">
        <w:t>the UK (d</w:t>
      </w:r>
      <w:r w:rsidR="0085434E" w:rsidRPr="0090131B">
        <w:t>irectly or indirectly</w:t>
      </w:r>
      <w:r w:rsidR="00BC672E" w:rsidRPr="0090131B">
        <w:rPr>
          <w:rStyle w:val="FootnoteReference"/>
        </w:rPr>
        <w:footnoteReference w:id="76"/>
      </w:r>
      <w:r w:rsidR="00BC672E" w:rsidRPr="0090131B">
        <w:t>)</w:t>
      </w:r>
      <w:r w:rsidR="0085434E" w:rsidRPr="0090131B">
        <w:t xml:space="preserve"> violates their human rights.</w:t>
      </w:r>
      <w:r w:rsidR="00D34A98" w:rsidRPr="0090131B">
        <w:t xml:space="preserve"> </w:t>
      </w:r>
      <w:r w:rsidR="00F81E4C" w:rsidRPr="0090131B">
        <w:t>T</w:t>
      </w:r>
      <w:r w:rsidR="00375EA6" w:rsidRPr="0090131B">
        <w:t>he</w:t>
      </w:r>
      <w:r w:rsidR="00581F2E" w:rsidRPr="0090131B">
        <w:t xml:space="preserve"> intended derogation will exclude from the protection of the ECHR (</w:t>
      </w:r>
      <w:r w:rsidR="00375EA6" w:rsidRPr="0090131B">
        <w:t xml:space="preserve">when this </w:t>
      </w:r>
      <w:r w:rsidR="00581F2E" w:rsidRPr="0090131B">
        <w:t>applie</w:t>
      </w:r>
      <w:r w:rsidR="00375EA6" w:rsidRPr="0090131B">
        <w:t>s</w:t>
      </w:r>
      <w:r w:rsidR="00581F2E" w:rsidRPr="0090131B">
        <w:t xml:space="preserve"> extraterritorially) not only foreigners affected by </w:t>
      </w:r>
      <w:r w:rsidR="005C67BD" w:rsidRPr="0090131B">
        <w:t xml:space="preserve">the </w:t>
      </w:r>
      <w:r w:rsidR="00581F2E" w:rsidRPr="0090131B">
        <w:t xml:space="preserve">UK military operations, but also </w:t>
      </w:r>
      <w:r w:rsidR="005C67BD" w:rsidRPr="0090131B">
        <w:t>its</w:t>
      </w:r>
      <w:r w:rsidR="00581F2E" w:rsidRPr="0090131B">
        <w:t xml:space="preserve"> military personnel operating overseas.</w:t>
      </w:r>
      <w:r w:rsidR="00D34A98" w:rsidRPr="0090131B">
        <w:rPr>
          <w:rStyle w:val="FootnoteReference"/>
        </w:rPr>
        <w:footnoteReference w:id="77"/>
      </w:r>
      <w:r w:rsidR="00531B87" w:rsidRPr="0090131B">
        <w:t xml:space="preserve"> </w:t>
      </w:r>
      <w:commentRangeEnd w:id="39"/>
      <w:r w:rsidR="00AA30B8" w:rsidRPr="006E0B80">
        <w:rPr>
          <w:rStyle w:val="CommentReference"/>
          <w:sz w:val="24"/>
          <w:szCs w:val="24"/>
        </w:rPr>
        <w:commentReference w:id="39"/>
      </w:r>
      <w:commentRangeEnd w:id="40"/>
      <w:r w:rsidR="00D14691" w:rsidRPr="006E0B80">
        <w:rPr>
          <w:rStyle w:val="CommentReference"/>
          <w:sz w:val="24"/>
          <w:szCs w:val="24"/>
        </w:rPr>
        <w:commentReference w:id="40"/>
      </w:r>
    </w:p>
    <w:p w14:paraId="4CAAE048" w14:textId="77777777" w:rsidR="007E56E8" w:rsidRPr="0090131B" w:rsidRDefault="007E56E8" w:rsidP="00A811CD">
      <w:pPr>
        <w:jc w:val="both"/>
      </w:pPr>
    </w:p>
    <w:p w14:paraId="62AF1DB0" w14:textId="529C7317" w:rsidR="006158D0" w:rsidRPr="0090131B" w:rsidRDefault="007E56E8" w:rsidP="00A811CD">
      <w:pPr>
        <w:jc w:val="both"/>
      </w:pPr>
      <w:r w:rsidRPr="0090131B">
        <w:t xml:space="preserve">Having dealt with the concerns and reservations regarding the suitability of the derogation(s) policy </w:t>
      </w:r>
      <w:r w:rsidR="00266363">
        <w:t>given</w:t>
      </w:r>
      <w:r w:rsidRPr="0090131B">
        <w:t xml:space="preserve"> the goals </w:t>
      </w:r>
      <w:r w:rsidR="00AB7614">
        <w:t>that the same</w:t>
      </w:r>
      <w:r w:rsidRPr="0090131B">
        <w:t xml:space="preserve"> pursues, the study now turns in Parts IV and V to one of the </w:t>
      </w:r>
      <w:r w:rsidR="002817D2" w:rsidRPr="0090131B">
        <w:t>key</w:t>
      </w:r>
      <w:r w:rsidRPr="0090131B">
        <w:t xml:space="preserve"> side-effects </w:t>
      </w:r>
      <w:r w:rsidR="00AB7614">
        <w:t xml:space="preserve">that </w:t>
      </w:r>
      <w:r w:rsidRPr="0090131B">
        <w:t>t</w:t>
      </w:r>
      <w:r w:rsidR="00B16B6E" w:rsidRPr="0090131B">
        <w:t>his policy</w:t>
      </w:r>
      <w:r w:rsidRPr="0090131B">
        <w:t xml:space="preserve"> </w:t>
      </w:r>
      <w:r w:rsidR="0092770C" w:rsidRPr="0090131B">
        <w:t>can</w:t>
      </w:r>
      <w:r w:rsidRPr="0090131B">
        <w:t xml:space="preserve"> generate</w:t>
      </w:r>
      <w:r w:rsidR="00895E6F" w:rsidRPr="0090131B">
        <w:t>,</w:t>
      </w:r>
      <w:r w:rsidRPr="0090131B">
        <w:t xml:space="preserve"> </w:t>
      </w:r>
      <w:r w:rsidR="00895E6F" w:rsidRPr="0090131B">
        <w:t xml:space="preserve">namely that </w:t>
      </w:r>
      <w:r w:rsidR="004667C5" w:rsidRPr="0090131B">
        <w:t>–</w:t>
      </w:r>
      <w:r w:rsidR="004667C5">
        <w:t xml:space="preserve"> </w:t>
      </w:r>
      <w:r w:rsidR="00895E6F" w:rsidRPr="0090131B">
        <w:t>given especially its presumptive spirit</w:t>
      </w:r>
      <w:r w:rsidR="004667C5">
        <w:t xml:space="preserve"> </w:t>
      </w:r>
      <w:r w:rsidR="004667C5" w:rsidRPr="0090131B">
        <w:t>–</w:t>
      </w:r>
      <w:r w:rsidR="00895E6F" w:rsidRPr="0090131B">
        <w:t xml:space="preserve"> </w:t>
      </w:r>
      <w:r w:rsidR="00B16B6E" w:rsidRPr="0090131B">
        <w:t xml:space="preserve">it </w:t>
      </w:r>
      <w:r w:rsidR="00895E6F" w:rsidRPr="0090131B">
        <w:t xml:space="preserve">may lead to an abuse of rights. </w:t>
      </w:r>
      <w:r w:rsidRPr="0090131B">
        <w:t>This corresponds to the principal argument advanced in this study</w:t>
      </w:r>
      <w:r w:rsidR="002817D2" w:rsidRPr="0090131B">
        <w:t>.</w:t>
      </w:r>
      <w:r w:rsidRPr="0090131B">
        <w:t xml:space="preserve"> To build th</w:t>
      </w:r>
      <w:r w:rsidR="00266363">
        <w:t>is</w:t>
      </w:r>
      <w:r w:rsidRPr="0090131B">
        <w:t xml:space="preserve"> argument</w:t>
      </w:r>
      <w:r w:rsidR="004158BA" w:rsidRPr="0090131B">
        <w:t>,</w:t>
      </w:r>
      <w:r w:rsidRPr="0090131B">
        <w:t xml:space="preserve"> </w:t>
      </w:r>
      <w:r w:rsidR="00AB6426" w:rsidRPr="0090131B">
        <w:t>analysis</w:t>
      </w:r>
      <w:r w:rsidRPr="0090131B">
        <w:t xml:space="preserve"> mainly relies on the manifest misalignment between the aims pursued through the policy and the object and purpose of Article 15 ECHR. Among</w:t>
      </w:r>
      <w:r w:rsidR="0097070A">
        <w:t>st</w:t>
      </w:r>
      <w:r w:rsidRPr="0090131B">
        <w:t xml:space="preserve"> other points </w:t>
      </w:r>
      <w:r w:rsidR="0097070A">
        <w:t xml:space="preserve">that </w:t>
      </w:r>
      <w:r w:rsidRPr="0090131B">
        <w:t xml:space="preserve">it makes, Part V </w:t>
      </w:r>
      <w:r w:rsidR="00627B56" w:rsidRPr="0090131B">
        <w:t>suggests</w:t>
      </w:r>
      <w:r w:rsidRPr="0090131B">
        <w:t xml:space="preserve"> that the real aims pursued </w:t>
      </w:r>
      <w:r w:rsidR="00AB7614">
        <w:t xml:space="preserve">through </w:t>
      </w:r>
      <w:r w:rsidRPr="0090131B">
        <w:t xml:space="preserve">the intended derogation(s) are not to enable the UK to respond to an emergency that threatens it. This means that the British government </w:t>
      </w:r>
      <w:r w:rsidR="00266363">
        <w:t xml:space="preserve">may </w:t>
      </w:r>
      <w:r w:rsidRPr="0090131B">
        <w:t xml:space="preserve">intend to employ Article 15 for a different purpose than the one for which </w:t>
      </w:r>
      <w:r w:rsidR="005F1D55">
        <w:t>the same</w:t>
      </w:r>
      <w:r w:rsidRPr="0090131B">
        <w:t xml:space="preserve"> has been created. This corresponds</w:t>
      </w:r>
      <w:r w:rsidR="002817D2" w:rsidRPr="0090131B">
        <w:t xml:space="preserve">, </w:t>
      </w:r>
      <w:r w:rsidR="002817D2" w:rsidRPr="006E0B80">
        <w:rPr>
          <w:i/>
        </w:rPr>
        <w:t>inter alia</w:t>
      </w:r>
      <w:r w:rsidR="002817D2" w:rsidRPr="0090131B">
        <w:t>,</w:t>
      </w:r>
      <w:r w:rsidRPr="0090131B">
        <w:t xml:space="preserve"> to the first definition given by the </w:t>
      </w:r>
      <w:r w:rsidRPr="0090131B">
        <w:rPr>
          <w:i/>
        </w:rPr>
        <w:t xml:space="preserve">Dictionnaire de Droit International Public </w:t>
      </w:r>
      <w:r w:rsidRPr="0090131B">
        <w:t xml:space="preserve">of the term </w:t>
      </w:r>
      <w:r w:rsidRPr="0090131B">
        <w:rPr>
          <w:i/>
        </w:rPr>
        <w:t>abus de droit</w:t>
      </w:r>
      <w:r w:rsidRPr="0090131B">
        <w:t xml:space="preserve">, </w:t>
      </w:r>
      <w:r w:rsidRPr="0090131B">
        <w:rPr>
          <w:i/>
        </w:rPr>
        <w:t>i.e.</w:t>
      </w:r>
      <w:r w:rsidRPr="0090131B">
        <w:t xml:space="preserve"> abuse of rights.</w:t>
      </w:r>
      <w:r w:rsidRPr="0090131B">
        <w:rPr>
          <w:rStyle w:val="FootnoteReference"/>
        </w:rPr>
        <w:footnoteReference w:id="78"/>
      </w:r>
      <w:r w:rsidRPr="0090131B">
        <w:t xml:space="preserve"> Part IV </w:t>
      </w:r>
      <w:r w:rsidR="002817D2" w:rsidRPr="0090131B">
        <w:t xml:space="preserve">provides the theoretical framework that </w:t>
      </w:r>
      <w:r w:rsidR="00550E07" w:rsidRPr="0090131B">
        <w:t>underpins</w:t>
      </w:r>
      <w:r w:rsidR="002817D2" w:rsidRPr="0090131B">
        <w:t xml:space="preserve"> analysis in Part V</w:t>
      </w:r>
      <w:r w:rsidR="00627B56" w:rsidRPr="0090131B">
        <w:t xml:space="preserve"> by</w:t>
      </w:r>
      <w:r w:rsidR="00550E07" w:rsidRPr="0090131B">
        <w:t xml:space="preserve"> </w:t>
      </w:r>
      <w:r w:rsidRPr="0090131B">
        <w:t>discuss</w:t>
      </w:r>
      <w:r w:rsidR="00627B56" w:rsidRPr="0090131B">
        <w:t>ing</w:t>
      </w:r>
      <w:r w:rsidRPr="0090131B">
        <w:t xml:space="preserve"> </w:t>
      </w:r>
      <w:r w:rsidR="00550E07" w:rsidRPr="0090131B">
        <w:t xml:space="preserve">at a more abstract and theoretical level </w:t>
      </w:r>
      <w:r w:rsidRPr="0090131B">
        <w:t>the concept of abuse of rights (and, parenthetically, its interconnection with good faith) in terms</w:t>
      </w:r>
      <w:r w:rsidR="00550E07" w:rsidRPr="0090131B">
        <w:t>, first,</w:t>
      </w:r>
      <w:r w:rsidRPr="0090131B">
        <w:t xml:space="preserve"> of general international law</w:t>
      </w:r>
      <w:r w:rsidR="00550E07" w:rsidRPr="0090131B">
        <w:t xml:space="preserve"> and, second, of ECHR law</w:t>
      </w:r>
      <w:r w:rsidRPr="0090131B">
        <w:t xml:space="preserve">. </w:t>
      </w:r>
      <w:r w:rsidR="007E0AF7" w:rsidRPr="0090131B">
        <w:t xml:space="preserve">Part V employs the framework established in Part IV to assess the UK derogation(s) policy and to explore </w:t>
      </w:r>
      <w:r w:rsidR="00CB350F">
        <w:t>if/</w:t>
      </w:r>
      <w:r w:rsidR="007E0AF7" w:rsidRPr="0090131B">
        <w:t xml:space="preserve">when this may amount to abuse of rights. </w:t>
      </w:r>
    </w:p>
    <w:p w14:paraId="4F562FEB" w14:textId="14D9B7EE" w:rsidR="007E56E8" w:rsidRPr="0090131B" w:rsidRDefault="007E56E8" w:rsidP="00A811CD">
      <w:pPr>
        <w:jc w:val="both"/>
      </w:pPr>
    </w:p>
    <w:p w14:paraId="31018146" w14:textId="12FDC0E3" w:rsidR="008E7ADF" w:rsidRPr="0090131B" w:rsidRDefault="008E7ADF" w:rsidP="006E0B80">
      <w:pPr>
        <w:ind w:firstLine="720"/>
        <w:jc w:val="both"/>
      </w:pPr>
      <w:r w:rsidRPr="0090131B">
        <w:rPr>
          <w:b/>
        </w:rPr>
        <w:t xml:space="preserve">IV. </w:t>
      </w:r>
      <w:r w:rsidRPr="006E0B80">
        <w:rPr>
          <w:b/>
        </w:rPr>
        <w:t>Abuse of Rights: The Theoretical Framework</w:t>
      </w:r>
      <w:r w:rsidRPr="0090131B">
        <w:rPr>
          <w:b/>
        </w:rPr>
        <w:tab/>
      </w:r>
    </w:p>
    <w:p w14:paraId="2168E5A9" w14:textId="4093657C" w:rsidR="00A317DF" w:rsidRPr="0090131B" w:rsidRDefault="00A20C66" w:rsidP="006E0B80">
      <w:pPr>
        <w:ind w:firstLine="720"/>
        <w:jc w:val="both"/>
        <w:rPr>
          <w:b/>
        </w:rPr>
      </w:pPr>
      <w:r w:rsidRPr="0090131B">
        <w:rPr>
          <w:b/>
        </w:rPr>
        <w:t xml:space="preserve">IV.A. </w:t>
      </w:r>
      <w:r w:rsidR="00A317DF" w:rsidRPr="0090131B">
        <w:rPr>
          <w:b/>
        </w:rPr>
        <w:t xml:space="preserve">Abuse of </w:t>
      </w:r>
      <w:r w:rsidRPr="0090131B">
        <w:rPr>
          <w:b/>
        </w:rPr>
        <w:t>R</w:t>
      </w:r>
      <w:r w:rsidR="00A317DF" w:rsidRPr="0090131B">
        <w:rPr>
          <w:b/>
        </w:rPr>
        <w:t xml:space="preserve">ights as a </w:t>
      </w:r>
      <w:r w:rsidRPr="0090131B">
        <w:rPr>
          <w:b/>
        </w:rPr>
        <w:t>G</w:t>
      </w:r>
      <w:r w:rsidR="00A317DF" w:rsidRPr="0090131B">
        <w:rPr>
          <w:b/>
        </w:rPr>
        <w:t xml:space="preserve">eneral </w:t>
      </w:r>
      <w:r w:rsidRPr="0090131B">
        <w:rPr>
          <w:b/>
        </w:rPr>
        <w:t>P</w:t>
      </w:r>
      <w:r w:rsidR="00A317DF" w:rsidRPr="0090131B">
        <w:rPr>
          <w:b/>
        </w:rPr>
        <w:t xml:space="preserve">rinciple of </w:t>
      </w:r>
      <w:r w:rsidRPr="0090131B">
        <w:rPr>
          <w:b/>
        </w:rPr>
        <w:t>I</w:t>
      </w:r>
      <w:r w:rsidR="00A317DF" w:rsidRPr="0090131B">
        <w:rPr>
          <w:b/>
        </w:rPr>
        <w:t xml:space="preserve">nternational </w:t>
      </w:r>
      <w:r w:rsidRPr="0090131B">
        <w:rPr>
          <w:b/>
        </w:rPr>
        <w:t>L</w:t>
      </w:r>
      <w:r w:rsidR="00A317DF" w:rsidRPr="0090131B">
        <w:rPr>
          <w:b/>
        </w:rPr>
        <w:t xml:space="preserve">aw </w:t>
      </w:r>
    </w:p>
    <w:p w14:paraId="579B4FD8" w14:textId="6DA25CE9" w:rsidR="003C360F" w:rsidRPr="0090131B" w:rsidRDefault="00483CFC" w:rsidP="0020712C">
      <w:pPr>
        <w:ind w:right="-52"/>
        <w:jc w:val="both"/>
      </w:pPr>
      <w:r w:rsidRPr="006E0B80">
        <w:rPr>
          <w:i/>
        </w:rPr>
        <w:t>I</w:t>
      </w:r>
      <w:r w:rsidR="00D2156D" w:rsidRPr="0090131B">
        <w:rPr>
          <w:i/>
        </w:rPr>
        <w:t>nter alia</w:t>
      </w:r>
      <w:r w:rsidR="00D2156D" w:rsidRPr="0090131B">
        <w:t xml:space="preserve">, </w:t>
      </w:r>
      <w:r w:rsidR="00D2156D" w:rsidRPr="0090131B">
        <w:rPr>
          <w:i/>
        </w:rPr>
        <w:t>abus de droit</w:t>
      </w:r>
      <w:r w:rsidR="00D2156D" w:rsidRPr="0090131B">
        <w:t xml:space="preserve"> exists</w:t>
      </w:r>
      <w:r w:rsidR="009E1A36" w:rsidRPr="0090131B">
        <w:t xml:space="preserve"> </w:t>
      </w:r>
      <w:r w:rsidR="00B5584B" w:rsidRPr="0090131B">
        <w:t>w</w:t>
      </w:r>
      <w:r w:rsidR="007E3905" w:rsidRPr="0090131B">
        <w:t xml:space="preserve">hen a state exercises a right </w:t>
      </w:r>
      <w:r w:rsidR="006557E6" w:rsidRPr="0090131B">
        <w:t xml:space="preserve">– </w:t>
      </w:r>
      <w:r w:rsidR="003541E8" w:rsidRPr="0090131B">
        <w:t>in our case</w:t>
      </w:r>
      <w:r w:rsidR="00EA4CE8">
        <w:t>,</w:t>
      </w:r>
      <w:r w:rsidR="003541E8" w:rsidRPr="0090131B">
        <w:t xml:space="preserve"> the right to derogate from the ECHR</w:t>
      </w:r>
      <w:r w:rsidR="006557E6" w:rsidRPr="0090131B">
        <w:t xml:space="preserve"> –</w:t>
      </w:r>
      <w:r w:rsidR="003541E8" w:rsidRPr="0090131B">
        <w:t>, power or competence in a way or for a purpose that do</w:t>
      </w:r>
      <w:r w:rsidR="00EA4CE8">
        <w:t>es</w:t>
      </w:r>
      <w:r w:rsidR="003541E8" w:rsidRPr="0090131B">
        <w:t xml:space="preserve"> not correspond to the objectives of this right, power or competence</w:t>
      </w:r>
      <w:r w:rsidR="00E41468" w:rsidRPr="0090131B">
        <w:t xml:space="preserve"> </w:t>
      </w:r>
      <w:r w:rsidR="00D2156D" w:rsidRPr="0090131B">
        <w:t>–</w:t>
      </w:r>
      <w:r w:rsidR="00E41468" w:rsidRPr="0090131B">
        <w:t>for example</w:t>
      </w:r>
      <w:r w:rsidR="001E6A29" w:rsidRPr="0090131B">
        <w:t>,</w:t>
      </w:r>
      <w:r w:rsidR="00E41468" w:rsidRPr="0090131B">
        <w:t xml:space="preserve"> with an aim to escape an </w:t>
      </w:r>
      <w:r w:rsidR="00E41468" w:rsidRPr="0090131B">
        <w:lastRenderedPageBreak/>
        <w:t>international obligation or to obtain an undue advantage</w:t>
      </w:r>
      <w:r w:rsidR="00B5584B" w:rsidRPr="0090131B">
        <w:t>.</w:t>
      </w:r>
      <w:bookmarkStart w:id="41" w:name="_Ref492897664"/>
      <w:r w:rsidR="00B5584B" w:rsidRPr="0090131B">
        <w:rPr>
          <w:rStyle w:val="FootnoteReference"/>
        </w:rPr>
        <w:footnoteReference w:id="79"/>
      </w:r>
      <w:bookmarkEnd w:id="41"/>
      <w:r w:rsidR="00E41468" w:rsidRPr="0090131B">
        <w:t xml:space="preserve"> </w:t>
      </w:r>
      <w:r w:rsidR="008873DC" w:rsidRPr="0090131B">
        <w:t xml:space="preserve">From his side, Kolb </w:t>
      </w:r>
      <w:r w:rsidR="003E7573" w:rsidRPr="0090131B">
        <w:t>identifies four core elements</w:t>
      </w:r>
      <w:r w:rsidR="005F75AB" w:rsidRPr="0090131B">
        <w:t xml:space="preserve"> in the concept of abusive exercise o</w:t>
      </w:r>
      <w:r w:rsidR="00CB350F">
        <w:t>f</w:t>
      </w:r>
      <w:r w:rsidR="005F75AB" w:rsidRPr="0090131B">
        <w:t xml:space="preserve"> rig</w:t>
      </w:r>
      <w:r w:rsidR="003D5E6B" w:rsidRPr="0090131B">
        <w:t>hts under international law: int</w:t>
      </w:r>
      <w:r w:rsidR="005F75AB" w:rsidRPr="0090131B">
        <w:t>ention to harm</w:t>
      </w:r>
      <w:r w:rsidR="003D5E6B" w:rsidRPr="0090131B">
        <w:t xml:space="preserve"> (</w:t>
      </w:r>
      <w:r w:rsidR="003D5E6B" w:rsidRPr="0090131B">
        <w:rPr>
          <w:i/>
        </w:rPr>
        <w:t>intention de nuire</w:t>
      </w:r>
      <w:r w:rsidR="003D5E6B" w:rsidRPr="0090131B">
        <w:t>)</w:t>
      </w:r>
      <w:r w:rsidR="005F75AB" w:rsidRPr="0090131B">
        <w:t>,</w:t>
      </w:r>
      <w:r w:rsidR="003D5E6B" w:rsidRPr="0090131B">
        <w:t xml:space="preserve"> </w:t>
      </w:r>
      <w:r w:rsidR="00337C16" w:rsidRPr="0090131B">
        <w:t xml:space="preserve">misuse </w:t>
      </w:r>
      <w:r w:rsidR="003D5E6B" w:rsidRPr="0090131B">
        <w:t>of power (</w:t>
      </w:r>
      <w:r w:rsidR="003D5E6B" w:rsidRPr="0090131B">
        <w:rPr>
          <w:i/>
        </w:rPr>
        <w:t>détournement de pouvoir</w:t>
      </w:r>
      <w:r w:rsidR="003D5E6B" w:rsidRPr="0090131B">
        <w:t xml:space="preserve">), manifest </w:t>
      </w:r>
      <w:r w:rsidR="00826B68" w:rsidRPr="0090131B">
        <w:t>disproportion</w:t>
      </w:r>
      <w:r w:rsidR="003D5E6B" w:rsidRPr="0090131B">
        <w:t xml:space="preserve"> </w:t>
      </w:r>
      <w:r w:rsidR="00826B68" w:rsidRPr="0090131B">
        <w:t>in the balanced interests (</w:t>
      </w:r>
      <w:r w:rsidR="00826B68" w:rsidRPr="0090131B">
        <w:rPr>
          <w:i/>
        </w:rPr>
        <w:t>disproportion manifeste des intérêts</w:t>
      </w:r>
      <w:r w:rsidR="00826B68" w:rsidRPr="0090131B">
        <w:t>), and arbitrariness, unreasonableness</w:t>
      </w:r>
      <w:r w:rsidR="00EA4CE8">
        <w:t>,</w:t>
      </w:r>
      <w:r w:rsidR="00826B68" w:rsidRPr="0090131B">
        <w:t xml:space="preserve"> and </w:t>
      </w:r>
      <w:r w:rsidR="00946DD8" w:rsidRPr="0090131B">
        <w:t>fraud (</w:t>
      </w:r>
      <w:r w:rsidR="00946DD8" w:rsidRPr="0090131B">
        <w:rPr>
          <w:i/>
        </w:rPr>
        <w:t>l’arbitraire, le déraisonnable, la fraude</w:t>
      </w:r>
      <w:r w:rsidR="00946DD8" w:rsidRPr="0090131B">
        <w:t>).</w:t>
      </w:r>
      <w:r w:rsidR="00946DD8" w:rsidRPr="0090131B">
        <w:rPr>
          <w:rStyle w:val="FootnoteReference"/>
        </w:rPr>
        <w:footnoteReference w:id="80"/>
      </w:r>
      <w:r w:rsidR="00826B68" w:rsidRPr="0090131B">
        <w:t xml:space="preserve"> </w:t>
      </w:r>
      <w:r w:rsidR="007D0CD0" w:rsidRPr="0090131B">
        <w:t>Arguabl</w:t>
      </w:r>
      <w:r w:rsidR="00BB1104" w:rsidRPr="0090131B">
        <w:t>y</w:t>
      </w:r>
      <w:r w:rsidR="00AA1BFC" w:rsidRPr="0090131B">
        <w:t xml:space="preserve">, not all </w:t>
      </w:r>
      <w:r w:rsidR="00EA4CE8">
        <w:t xml:space="preserve">of </w:t>
      </w:r>
      <w:r w:rsidR="00AA1BFC" w:rsidRPr="0090131B">
        <w:t>these elements need to always be present</w:t>
      </w:r>
      <w:r w:rsidR="007D0CD0" w:rsidRPr="0090131B">
        <w:t>.</w:t>
      </w:r>
      <w:r w:rsidR="00531B87" w:rsidRPr="0090131B">
        <w:t xml:space="preserve"> </w:t>
      </w:r>
      <w:r w:rsidR="007D0CD0" w:rsidRPr="0090131B">
        <w:t>T</w:t>
      </w:r>
      <w:r w:rsidR="0024099A" w:rsidRPr="0090131B">
        <w:t xml:space="preserve">he prohibition of </w:t>
      </w:r>
      <w:r w:rsidR="00AA1BFC" w:rsidRPr="0090131B">
        <w:t>abus</w:t>
      </w:r>
      <w:r w:rsidR="0024099A" w:rsidRPr="0090131B">
        <w:t>e of rights</w:t>
      </w:r>
      <w:r w:rsidR="00AA1BFC" w:rsidRPr="0090131B">
        <w:t xml:space="preserve"> corresponds to a </w:t>
      </w:r>
      <w:commentRangeStart w:id="42"/>
      <w:commentRangeStart w:id="43"/>
      <w:r w:rsidR="00AA1BFC" w:rsidRPr="0090131B">
        <w:t xml:space="preserve">general principle of </w:t>
      </w:r>
      <w:r w:rsidR="0042123B" w:rsidRPr="0090131B">
        <w:t>(</w:t>
      </w:r>
      <w:r w:rsidR="00AA1BFC" w:rsidRPr="0090131B">
        <w:t>international</w:t>
      </w:r>
      <w:r w:rsidR="0042123B" w:rsidRPr="0090131B">
        <w:t>)</w:t>
      </w:r>
      <w:r w:rsidR="00AA1BFC" w:rsidRPr="0090131B">
        <w:t xml:space="preserve"> law</w:t>
      </w:r>
      <w:commentRangeEnd w:id="42"/>
      <w:r w:rsidR="00744A9F" w:rsidRPr="006E0B80">
        <w:rPr>
          <w:rStyle w:val="CommentReference"/>
          <w:sz w:val="24"/>
          <w:szCs w:val="24"/>
        </w:rPr>
        <w:commentReference w:id="42"/>
      </w:r>
      <w:commentRangeEnd w:id="43"/>
      <w:r w:rsidR="00FC6420" w:rsidRPr="006E0B80">
        <w:rPr>
          <w:rStyle w:val="CommentReference"/>
          <w:sz w:val="24"/>
          <w:szCs w:val="24"/>
        </w:rPr>
        <w:commentReference w:id="43"/>
      </w:r>
      <w:r w:rsidR="000767B4" w:rsidRPr="0090131B">
        <w:t>,</w:t>
      </w:r>
      <w:r w:rsidR="00AA1BFC" w:rsidRPr="0090131B">
        <w:rPr>
          <w:rStyle w:val="FootnoteReference"/>
        </w:rPr>
        <w:footnoteReference w:id="81"/>
      </w:r>
      <w:r w:rsidR="00BC359D" w:rsidRPr="0090131B">
        <w:t xml:space="preserve"> </w:t>
      </w:r>
      <w:r w:rsidR="00D11A64" w:rsidRPr="0090131B">
        <w:t xml:space="preserve">the </w:t>
      </w:r>
      <w:commentRangeStart w:id="44"/>
      <w:commentRangeEnd w:id="44"/>
      <w:r w:rsidR="00744A9F" w:rsidRPr="006E0B80">
        <w:rPr>
          <w:rStyle w:val="CommentReference"/>
          <w:sz w:val="24"/>
          <w:szCs w:val="24"/>
        </w:rPr>
        <w:commentReference w:id="44"/>
      </w:r>
      <w:r w:rsidR="00BC359D" w:rsidRPr="0090131B">
        <w:t>content</w:t>
      </w:r>
      <w:r w:rsidR="00BF3A2F" w:rsidRPr="0090131B">
        <w:t xml:space="preserve"> of which</w:t>
      </w:r>
      <w:r w:rsidR="00AA1BFC" w:rsidRPr="0090131B">
        <w:t xml:space="preserve"> is </w:t>
      </w:r>
      <w:r w:rsidR="00CA3416" w:rsidRPr="0090131B">
        <w:t>abstract and</w:t>
      </w:r>
      <w:r w:rsidR="00BB1104" w:rsidRPr="0090131B">
        <w:t xml:space="preserve"> flexible. </w:t>
      </w:r>
      <w:r w:rsidR="006A5903" w:rsidRPr="0090131B">
        <w:t>T</w:t>
      </w:r>
      <w:r w:rsidR="00EA4CE8">
        <w:t>hus, t</w:t>
      </w:r>
      <w:r w:rsidR="006A5903" w:rsidRPr="0090131B">
        <w:t>o acquire an</w:t>
      </w:r>
      <w:r w:rsidR="00CA3416" w:rsidRPr="0090131B">
        <w:t xml:space="preserve"> exact shape and content</w:t>
      </w:r>
      <w:r w:rsidR="00EA4CE8">
        <w:t>,</w:t>
      </w:r>
      <w:r w:rsidR="00CA3416" w:rsidRPr="0090131B">
        <w:t xml:space="preserve"> </w:t>
      </w:r>
      <w:r w:rsidR="006A5903" w:rsidRPr="0090131B">
        <w:t xml:space="preserve">it needs to be applied </w:t>
      </w:r>
      <w:r w:rsidR="00CA3416" w:rsidRPr="0090131B">
        <w:t>within the context of a concrete case.</w:t>
      </w:r>
      <w:r w:rsidR="006A5903" w:rsidRPr="0090131B">
        <w:t xml:space="preserve"> </w:t>
      </w:r>
      <w:r w:rsidR="00AE54D2" w:rsidRPr="0090131B">
        <w:t xml:space="preserve">As is explained in more detail below, the </w:t>
      </w:r>
      <w:r w:rsidR="00686D1C" w:rsidRPr="0090131B">
        <w:t>UK policy suggest</w:t>
      </w:r>
      <w:r w:rsidR="00780A5C" w:rsidRPr="0090131B">
        <w:t>s</w:t>
      </w:r>
      <w:r w:rsidR="00686D1C" w:rsidRPr="0090131B">
        <w:t xml:space="preserve"> exercising a state right </w:t>
      </w:r>
      <w:r w:rsidR="00BF3A2F" w:rsidRPr="0090131B">
        <w:t xml:space="preserve">provided by </w:t>
      </w:r>
      <w:r w:rsidR="00686D1C" w:rsidRPr="0090131B">
        <w:t>the ECHR for reasons that are foreign to its object and purpose.</w:t>
      </w:r>
      <w:r w:rsidR="007F05E8" w:rsidRPr="0090131B">
        <w:t xml:space="preserve"> </w:t>
      </w:r>
      <w:r w:rsidR="008B5BB0" w:rsidRPr="0090131B">
        <w:t xml:space="preserve">It </w:t>
      </w:r>
      <w:r w:rsidR="002A05F2">
        <w:t xml:space="preserve">thus </w:t>
      </w:r>
      <w:r w:rsidR="001E6A29" w:rsidRPr="0090131B">
        <w:t>anticipates</w:t>
      </w:r>
      <w:r w:rsidR="004247AE" w:rsidRPr="0090131B">
        <w:t xml:space="preserve"> </w:t>
      </w:r>
      <w:r w:rsidR="00305162" w:rsidRPr="0090131B">
        <w:t>securing</w:t>
      </w:r>
      <w:r w:rsidR="004247AE" w:rsidRPr="0090131B">
        <w:t xml:space="preserve"> for itself impunity and</w:t>
      </w:r>
      <w:r w:rsidR="008B5BB0" w:rsidRPr="0090131B">
        <w:t xml:space="preserve"> the right to</w:t>
      </w:r>
      <w:r w:rsidR="004247AE" w:rsidRPr="0090131B">
        <w:t xml:space="preserve"> act free from its commitments under the ECHR in a w</w:t>
      </w:r>
      <w:r w:rsidR="00D404A5" w:rsidRPr="0090131B">
        <w:t>ay that goes against the teleology of the Convention and</w:t>
      </w:r>
      <w:r w:rsidR="00661BAB" w:rsidRPr="0090131B">
        <w:t xml:space="preserve"> which</w:t>
      </w:r>
      <w:r w:rsidR="008B5BB0" w:rsidRPr="0090131B">
        <w:t xml:space="preserve"> </w:t>
      </w:r>
      <w:r w:rsidR="00780A5C" w:rsidRPr="0090131B">
        <w:t xml:space="preserve">is </w:t>
      </w:r>
      <w:r w:rsidR="008B5BB0" w:rsidRPr="0090131B">
        <w:t xml:space="preserve">potentially </w:t>
      </w:r>
      <w:r w:rsidR="00B96F0C" w:rsidRPr="0090131B">
        <w:t>harm</w:t>
      </w:r>
      <w:r w:rsidR="00780A5C" w:rsidRPr="0090131B">
        <w:t>ful</w:t>
      </w:r>
      <w:r w:rsidR="00B96F0C" w:rsidRPr="0090131B">
        <w:t xml:space="preserve">. </w:t>
      </w:r>
      <w:r w:rsidR="002A05F2">
        <w:t xml:space="preserve">This thereby supports the argument </w:t>
      </w:r>
      <w:r w:rsidR="00780A5C" w:rsidRPr="0090131B">
        <w:t>that, s</w:t>
      </w:r>
      <w:r w:rsidR="003774B0" w:rsidRPr="0090131B">
        <w:t>hould the UK policy materialise</w:t>
      </w:r>
      <w:r w:rsidR="00780A5C" w:rsidRPr="0090131B">
        <w:t xml:space="preserve"> </w:t>
      </w:r>
      <w:r w:rsidR="003774B0" w:rsidRPr="0090131B">
        <w:t>(</w:t>
      </w:r>
      <w:r w:rsidR="00E46CB1" w:rsidRPr="0090131B">
        <w:rPr>
          <w:i/>
        </w:rPr>
        <w:t>i.e.</w:t>
      </w:r>
      <w:r w:rsidR="003774B0" w:rsidRPr="0090131B">
        <w:t xml:space="preserve"> if the UK actually derogate</w:t>
      </w:r>
      <w:r w:rsidR="00A218F0" w:rsidRPr="0090131B">
        <w:t>s</w:t>
      </w:r>
      <w:r w:rsidR="003774B0" w:rsidRPr="0090131B">
        <w:t>)</w:t>
      </w:r>
      <w:r w:rsidR="00780A5C" w:rsidRPr="0090131B">
        <w:t xml:space="preserve"> from the ECHR under its policy and</w:t>
      </w:r>
      <w:r w:rsidR="00FE620F" w:rsidRPr="0090131B">
        <w:t xml:space="preserve"> for the purposes pursued by it, it will</w:t>
      </w:r>
      <w:r w:rsidR="00780A5C" w:rsidRPr="0090131B">
        <w:t xml:space="preserve"> </w:t>
      </w:r>
      <w:r w:rsidR="007375EB" w:rsidRPr="0090131B">
        <w:t xml:space="preserve">be </w:t>
      </w:r>
      <w:r w:rsidR="001F1C97" w:rsidRPr="0090131B">
        <w:t xml:space="preserve">in </w:t>
      </w:r>
      <w:r w:rsidR="00B96F0C" w:rsidRPr="0090131B">
        <w:t>breach</w:t>
      </w:r>
      <w:r w:rsidR="001F1C97" w:rsidRPr="0090131B">
        <w:t xml:space="preserve"> of</w:t>
      </w:r>
      <w:r w:rsidR="00B96F0C" w:rsidRPr="0090131B">
        <w:t xml:space="preserve"> the </w:t>
      </w:r>
      <w:r w:rsidR="004A5D1B" w:rsidRPr="0090131B">
        <w:t xml:space="preserve">general principles of international law that prohibit </w:t>
      </w:r>
      <w:r w:rsidR="00B96F0C" w:rsidRPr="0090131B">
        <w:t>abuse</w:t>
      </w:r>
      <w:r w:rsidR="004A5D1B" w:rsidRPr="0090131B">
        <w:t xml:space="preserve"> of rights and require states to act in good faith.</w:t>
      </w:r>
      <w:bookmarkStart w:id="45" w:name="_Ref492898912"/>
      <w:r w:rsidR="00AA369D" w:rsidRPr="0090131B">
        <w:rPr>
          <w:rStyle w:val="FootnoteReference"/>
        </w:rPr>
        <w:footnoteReference w:id="82"/>
      </w:r>
      <w:bookmarkEnd w:id="45"/>
      <w:r w:rsidR="006929BC" w:rsidRPr="0090131B">
        <w:t xml:space="preserve"> </w:t>
      </w:r>
    </w:p>
    <w:p w14:paraId="1381AE3A" w14:textId="77777777" w:rsidR="003C360F" w:rsidRPr="0090131B" w:rsidRDefault="003C360F" w:rsidP="0020712C">
      <w:pPr>
        <w:ind w:right="-52"/>
        <w:jc w:val="both"/>
      </w:pPr>
    </w:p>
    <w:p w14:paraId="1C93C189" w14:textId="5DECB7D9" w:rsidR="008A44E4" w:rsidRPr="0090131B" w:rsidRDefault="0075588C" w:rsidP="0020712C">
      <w:pPr>
        <w:ind w:right="-52"/>
        <w:jc w:val="both"/>
      </w:pPr>
      <w:r w:rsidRPr="0090131B">
        <w:t xml:space="preserve">The </w:t>
      </w:r>
      <w:r w:rsidRPr="0090131B">
        <w:rPr>
          <w:i/>
        </w:rPr>
        <w:t xml:space="preserve">Dictionnaire </w:t>
      </w:r>
      <w:r w:rsidRPr="0090131B">
        <w:t xml:space="preserve">associates abuse of rights with illegitimacy, </w:t>
      </w:r>
      <w:r w:rsidRPr="0090131B">
        <w:rPr>
          <w:i/>
        </w:rPr>
        <w:t>dolus</w:t>
      </w:r>
      <w:r w:rsidRPr="0090131B">
        <w:t xml:space="preserve"> and bad faith.</w:t>
      </w:r>
      <w:r w:rsidRPr="0090131B">
        <w:rPr>
          <w:rStyle w:val="FootnoteReference"/>
        </w:rPr>
        <w:footnoteReference w:id="83"/>
      </w:r>
      <w:r w:rsidRPr="0090131B">
        <w:t xml:space="preserve"> </w:t>
      </w:r>
      <w:r w:rsidR="00AE72AD" w:rsidRPr="0090131B">
        <w:t xml:space="preserve">Indeed, abuse of rights and good faith are conceptually very close and semantically intertwined. </w:t>
      </w:r>
      <w:r w:rsidR="009301F5" w:rsidRPr="0090131B">
        <w:t xml:space="preserve">Yet, their exact interrelationship and interdependence </w:t>
      </w:r>
      <w:r w:rsidR="00403A5D">
        <w:t xml:space="preserve">is </w:t>
      </w:r>
      <w:r w:rsidR="009301F5" w:rsidRPr="0090131B">
        <w:t>debated in scholarship. This leads to perplexity, with some authors using the</w:t>
      </w:r>
      <w:r w:rsidR="00FE0E6A" w:rsidRPr="0090131B">
        <w:t xml:space="preserve"> two terms</w:t>
      </w:r>
      <w:r w:rsidR="009301F5" w:rsidRPr="0090131B">
        <w:t xml:space="preserve"> interchangeably, others denying the autonomous standing of abuse of rights</w:t>
      </w:r>
      <w:r w:rsidR="00403A5D">
        <w:t>,</w:t>
      </w:r>
      <w:r w:rsidR="009301F5" w:rsidRPr="0090131B">
        <w:t xml:space="preserve"> and others holding that it derives from good faith, with </w:t>
      </w:r>
      <w:r w:rsidR="009301F5" w:rsidRPr="0090131B">
        <w:lastRenderedPageBreak/>
        <w:t xml:space="preserve">abuse of rights corresponding to something </w:t>
      </w:r>
      <w:r w:rsidR="00403A5D">
        <w:t xml:space="preserve">that </w:t>
      </w:r>
      <w:r w:rsidR="009301F5" w:rsidRPr="0090131B">
        <w:t>a state shall abstain from doing in order to act</w:t>
      </w:r>
      <w:r w:rsidR="0091669D" w:rsidRPr="0090131B">
        <w:t xml:space="preserve"> </w:t>
      </w:r>
      <w:r w:rsidR="0091669D" w:rsidRPr="006E0B80">
        <w:rPr>
          <w:i/>
        </w:rPr>
        <w:t>bona fide</w:t>
      </w:r>
      <w:r w:rsidR="009301F5" w:rsidRPr="0090131B">
        <w:t>.</w:t>
      </w:r>
      <w:r w:rsidR="009301F5" w:rsidRPr="0090131B">
        <w:rPr>
          <w:rStyle w:val="FootnoteReference"/>
        </w:rPr>
        <w:footnoteReference w:id="84"/>
      </w:r>
      <w:r w:rsidR="009301F5" w:rsidRPr="0090131B">
        <w:t xml:space="preserve"> But the purpose of this brief parenthesis is not to delve into </w:t>
      </w:r>
      <w:r w:rsidR="00A218F0" w:rsidRPr="0090131B">
        <w:t xml:space="preserve">theoretical </w:t>
      </w:r>
      <w:r w:rsidR="009301F5" w:rsidRPr="0090131B">
        <w:t>analysis</w:t>
      </w:r>
      <w:r w:rsidR="008F4DBC" w:rsidRPr="0090131B">
        <w:t xml:space="preserve"> on the connection</w:t>
      </w:r>
      <w:r w:rsidR="00A218F0" w:rsidRPr="0090131B">
        <w:t xml:space="preserve"> </w:t>
      </w:r>
      <w:r w:rsidR="008F4DBC" w:rsidRPr="0090131B">
        <w:t xml:space="preserve">between good faith and abuse of rights. </w:t>
      </w:r>
      <w:r w:rsidR="00DA1A07">
        <w:t>Rather, t</w:t>
      </w:r>
      <w:r w:rsidR="0092312A" w:rsidRPr="0090131B">
        <w:t>he reference made to the general principle of good faith and its association with abuse of rights</w:t>
      </w:r>
      <w:r w:rsidR="00450E74" w:rsidRPr="0090131B">
        <w:t xml:space="preserve"> </w:t>
      </w:r>
      <w:r w:rsidR="0010393A" w:rsidRPr="0090131B">
        <w:t xml:space="preserve">merely </w:t>
      </w:r>
      <w:r w:rsidR="00450E74" w:rsidRPr="0090131B">
        <w:t xml:space="preserve">aims at showing that, beyond the latter, </w:t>
      </w:r>
      <w:commentRangeStart w:id="46"/>
      <w:commentRangeStart w:id="47"/>
      <w:r w:rsidR="00450E74" w:rsidRPr="0090131B">
        <w:t xml:space="preserve">the UK </w:t>
      </w:r>
      <w:r w:rsidR="00DA1A07">
        <w:t xml:space="preserve">may </w:t>
      </w:r>
      <w:r w:rsidR="00450E74" w:rsidRPr="0090131B">
        <w:t xml:space="preserve">also be found acting in breach of </w:t>
      </w:r>
      <w:r w:rsidR="0016026C" w:rsidRPr="0090131B">
        <w:t>the princi</w:t>
      </w:r>
      <w:r w:rsidR="002B4A55" w:rsidRPr="0090131B">
        <w:t>ple of good faith.</w:t>
      </w:r>
      <w:r w:rsidR="006929BC" w:rsidRPr="0090131B">
        <w:t xml:space="preserve"> </w:t>
      </w:r>
      <w:r w:rsidR="002B4A55" w:rsidRPr="0090131B">
        <w:rPr>
          <w:i/>
        </w:rPr>
        <w:t>I</w:t>
      </w:r>
      <w:r w:rsidR="005F7180" w:rsidRPr="0090131B">
        <w:rPr>
          <w:i/>
        </w:rPr>
        <w:t>nter alia</w:t>
      </w:r>
      <w:r w:rsidR="006929BC" w:rsidRPr="0090131B">
        <w:t>, th</w:t>
      </w:r>
      <w:r w:rsidR="0032758F" w:rsidRPr="0090131B">
        <w:t>is</w:t>
      </w:r>
      <w:r w:rsidR="005F7180" w:rsidRPr="0090131B">
        <w:t xml:space="preserve"> </w:t>
      </w:r>
      <w:r w:rsidR="002E7358">
        <w:t>can</w:t>
      </w:r>
      <w:r w:rsidR="00EB6D93" w:rsidRPr="0090131B">
        <w:t xml:space="preserve"> be associated with</w:t>
      </w:r>
      <w:r w:rsidR="005F7180" w:rsidRPr="0090131B">
        <w:t xml:space="preserve"> Articles </w:t>
      </w:r>
      <w:r w:rsidR="00472F99" w:rsidRPr="0090131B">
        <w:t>26 (on the observation of treaties) and 31(1) (on the interpretation of treaties) of the 1969 Vienna Convention on the Law of Treaties</w:t>
      </w:r>
      <w:r w:rsidR="007D3BA1">
        <w:t xml:space="preserve"> (VCLT)</w:t>
      </w:r>
      <w:r w:rsidR="00472F99" w:rsidRPr="0090131B">
        <w:t>.</w:t>
      </w:r>
      <w:r w:rsidR="00472F99" w:rsidRPr="0090131B">
        <w:rPr>
          <w:rStyle w:val="FootnoteReference"/>
        </w:rPr>
        <w:footnoteReference w:id="85"/>
      </w:r>
      <w:r w:rsidR="0016026C" w:rsidRPr="0090131B">
        <w:t xml:space="preserve"> </w:t>
      </w:r>
      <w:commentRangeEnd w:id="46"/>
      <w:r w:rsidR="00A46A8A" w:rsidRPr="006E0B80">
        <w:rPr>
          <w:rStyle w:val="CommentReference"/>
          <w:sz w:val="24"/>
          <w:szCs w:val="24"/>
        </w:rPr>
        <w:commentReference w:id="46"/>
      </w:r>
      <w:commentRangeEnd w:id="47"/>
      <w:r w:rsidR="00AB2612" w:rsidRPr="006E0B80">
        <w:rPr>
          <w:rStyle w:val="CommentReference"/>
          <w:sz w:val="24"/>
          <w:szCs w:val="24"/>
        </w:rPr>
        <w:commentReference w:id="47"/>
      </w:r>
    </w:p>
    <w:p w14:paraId="6D1ECFE1" w14:textId="77777777" w:rsidR="008A44E4" w:rsidRPr="0090131B" w:rsidRDefault="008A44E4" w:rsidP="0020712C">
      <w:pPr>
        <w:ind w:right="-52"/>
        <w:jc w:val="both"/>
      </w:pPr>
    </w:p>
    <w:p w14:paraId="02E4A4F9" w14:textId="7BA1B01D" w:rsidR="00411C65" w:rsidRPr="0090131B" w:rsidRDefault="0069194C" w:rsidP="003D5AA6">
      <w:pPr>
        <w:ind w:right="-52"/>
        <w:jc w:val="both"/>
      </w:pPr>
      <w:r w:rsidRPr="0090131B">
        <w:t>Returning to abuse of rights, t</w:t>
      </w:r>
      <w:r w:rsidR="008A44E4" w:rsidRPr="0090131B">
        <w:t xml:space="preserve">he </w:t>
      </w:r>
      <w:r w:rsidR="00B33840" w:rsidRPr="0090131B">
        <w:t xml:space="preserve">two </w:t>
      </w:r>
      <w:r w:rsidR="008A44E4" w:rsidRPr="0090131B">
        <w:t>question</w:t>
      </w:r>
      <w:r w:rsidR="000818B7" w:rsidRPr="0090131B">
        <w:t>s</w:t>
      </w:r>
      <w:r w:rsidR="008A44E4" w:rsidRPr="0090131B">
        <w:t xml:space="preserve"> that arise from the argument </w:t>
      </w:r>
      <w:r w:rsidR="009002AC" w:rsidRPr="0090131B">
        <w:t>made here</w:t>
      </w:r>
      <w:r w:rsidR="008A44E4" w:rsidRPr="0090131B">
        <w:t xml:space="preserve"> </w:t>
      </w:r>
      <w:r w:rsidR="008938A4" w:rsidRPr="0090131B">
        <w:t>(</w:t>
      </w:r>
      <w:r w:rsidR="008A44E4" w:rsidRPr="0090131B">
        <w:t xml:space="preserve">namely that the UK </w:t>
      </w:r>
      <w:r w:rsidR="00FE620F" w:rsidRPr="0090131B">
        <w:t xml:space="preserve">policy </w:t>
      </w:r>
      <w:commentRangeStart w:id="48"/>
      <w:commentRangeStart w:id="49"/>
      <w:r w:rsidR="00FE620F" w:rsidRPr="0090131B">
        <w:t>m</w:t>
      </w:r>
      <w:r w:rsidR="00C730C0" w:rsidRPr="0090131B">
        <w:t>a</w:t>
      </w:r>
      <w:r w:rsidR="00FE620F" w:rsidRPr="0090131B">
        <w:t xml:space="preserve">y </w:t>
      </w:r>
      <w:r w:rsidR="00B33840" w:rsidRPr="0090131B">
        <w:t>constitute</w:t>
      </w:r>
      <w:r w:rsidR="00FE620F" w:rsidRPr="0090131B">
        <w:t xml:space="preserve"> a</w:t>
      </w:r>
      <w:r w:rsidR="008A44E4" w:rsidRPr="0090131B">
        <w:t xml:space="preserve"> breach</w:t>
      </w:r>
      <w:r w:rsidR="00FE620F" w:rsidRPr="0090131B">
        <w:t xml:space="preserve"> of</w:t>
      </w:r>
      <w:r w:rsidR="008A44E4" w:rsidRPr="0090131B">
        <w:t xml:space="preserve"> </w:t>
      </w:r>
      <w:r w:rsidR="00CE6A9C" w:rsidRPr="0090131B">
        <w:t xml:space="preserve">the </w:t>
      </w:r>
      <w:r w:rsidR="008938A4" w:rsidRPr="0090131B">
        <w:t>prohibition of</w:t>
      </w:r>
      <w:commentRangeEnd w:id="48"/>
      <w:r w:rsidR="00A46A8A" w:rsidRPr="006E0B80">
        <w:rPr>
          <w:rStyle w:val="CommentReference"/>
          <w:sz w:val="24"/>
          <w:szCs w:val="24"/>
        </w:rPr>
        <w:commentReference w:id="48"/>
      </w:r>
      <w:commentRangeEnd w:id="49"/>
      <w:r w:rsidR="00B33840" w:rsidRPr="006E0B80">
        <w:rPr>
          <w:rStyle w:val="CommentReference"/>
          <w:sz w:val="24"/>
          <w:szCs w:val="24"/>
        </w:rPr>
        <w:commentReference w:id="49"/>
      </w:r>
      <w:r w:rsidR="008938A4" w:rsidRPr="0090131B">
        <w:t xml:space="preserve"> abuse of rights)</w:t>
      </w:r>
      <w:r w:rsidR="00395B74" w:rsidRPr="0090131B">
        <w:t xml:space="preserve"> </w:t>
      </w:r>
      <w:r w:rsidR="000A05B2" w:rsidRPr="0090131B">
        <w:t>are</w:t>
      </w:r>
      <w:r w:rsidR="00C5367D">
        <w:t>:</w:t>
      </w:r>
      <w:r w:rsidR="00395B74" w:rsidRPr="0090131B">
        <w:t xml:space="preserve"> what </w:t>
      </w:r>
      <w:r w:rsidR="000818B7" w:rsidRPr="0090131B">
        <w:t>amounts</w:t>
      </w:r>
      <w:r w:rsidR="0093378B" w:rsidRPr="0090131B">
        <w:t xml:space="preserve"> to a breach</w:t>
      </w:r>
      <w:r w:rsidR="005A3A2A" w:rsidRPr="0090131B">
        <w:t xml:space="preserve"> (leading to state responsibility)</w:t>
      </w:r>
      <w:r w:rsidR="00C5367D">
        <w:t>,</w:t>
      </w:r>
      <w:r w:rsidR="0093378B" w:rsidRPr="0090131B">
        <w:t xml:space="preserve"> </w:t>
      </w:r>
      <w:r w:rsidR="00A85F89" w:rsidRPr="0090131B">
        <w:t xml:space="preserve">and what </w:t>
      </w:r>
      <w:r w:rsidR="000818B7" w:rsidRPr="0090131B">
        <w:t xml:space="preserve">are the </w:t>
      </w:r>
      <w:r w:rsidR="00773BF7" w:rsidRPr="0090131B">
        <w:t xml:space="preserve">legal </w:t>
      </w:r>
      <w:r w:rsidR="000818B7" w:rsidRPr="0090131B">
        <w:t>consequences of a</w:t>
      </w:r>
      <w:r w:rsidR="00395B74" w:rsidRPr="0090131B">
        <w:t xml:space="preserve"> breach</w:t>
      </w:r>
      <w:r w:rsidR="00C5367D">
        <w:t>?</w:t>
      </w:r>
      <w:r w:rsidR="00395B74" w:rsidRPr="0090131B">
        <w:t xml:space="preserve"> </w:t>
      </w:r>
      <w:r w:rsidR="00B10C9E" w:rsidRPr="0090131B">
        <w:t>Starting with the latter question, i</w:t>
      </w:r>
      <w:r w:rsidR="00A94795" w:rsidRPr="0090131B">
        <w:t>t has been suggested</w:t>
      </w:r>
      <w:r w:rsidR="00395B74" w:rsidRPr="0090131B">
        <w:t xml:space="preserve"> </w:t>
      </w:r>
      <w:r w:rsidR="009D2705" w:rsidRPr="0090131B">
        <w:t xml:space="preserve">that acts </w:t>
      </w:r>
      <w:r w:rsidR="00BE62CC" w:rsidRPr="0090131B">
        <w:t xml:space="preserve">falling under the </w:t>
      </w:r>
      <w:commentRangeStart w:id="50"/>
      <w:commentRangeStart w:id="51"/>
      <w:r w:rsidR="00BE62CC" w:rsidRPr="0090131B">
        <w:t xml:space="preserve">prohibition </w:t>
      </w:r>
      <w:commentRangeEnd w:id="50"/>
      <w:r w:rsidR="00C626B5" w:rsidRPr="006E0B80">
        <w:rPr>
          <w:rStyle w:val="CommentReference"/>
          <w:sz w:val="24"/>
          <w:szCs w:val="24"/>
        </w:rPr>
        <w:commentReference w:id="50"/>
      </w:r>
      <w:commentRangeEnd w:id="51"/>
      <w:r w:rsidR="008251C3" w:rsidRPr="006E0B80">
        <w:rPr>
          <w:rStyle w:val="CommentReference"/>
          <w:sz w:val="24"/>
          <w:szCs w:val="24"/>
        </w:rPr>
        <w:commentReference w:id="51"/>
      </w:r>
      <w:r w:rsidR="00BE62CC" w:rsidRPr="0090131B">
        <w:t>of</w:t>
      </w:r>
      <w:r w:rsidR="009D2705" w:rsidRPr="0090131B">
        <w:t xml:space="preserve"> </w:t>
      </w:r>
      <w:r w:rsidR="00ED28CB" w:rsidRPr="0090131B">
        <w:t xml:space="preserve">abuse of rights </w:t>
      </w:r>
      <w:r w:rsidR="00C730C0" w:rsidRPr="0090131B">
        <w:t>should</w:t>
      </w:r>
      <w:r w:rsidR="00ED28CB" w:rsidRPr="0090131B">
        <w:t xml:space="preserve"> </w:t>
      </w:r>
      <w:r w:rsidR="009D2705" w:rsidRPr="0090131B">
        <w:t>be legally void (</w:t>
      </w:r>
      <w:r w:rsidR="00E46CB1" w:rsidRPr="0090131B">
        <w:rPr>
          <w:i/>
        </w:rPr>
        <w:t>i.e.</w:t>
      </w:r>
      <w:r w:rsidR="009D2705" w:rsidRPr="0090131B">
        <w:t xml:space="preserve"> </w:t>
      </w:r>
      <w:r w:rsidR="0041205A" w:rsidRPr="0090131B">
        <w:t>null</w:t>
      </w:r>
      <w:r w:rsidR="00DA4F0A" w:rsidRPr="0090131B">
        <w:t>)</w:t>
      </w:r>
      <w:r w:rsidR="0041205A" w:rsidRPr="0090131B">
        <w:t xml:space="preserve"> as long as they are not executed</w:t>
      </w:r>
      <w:r w:rsidR="00187D79">
        <w:t xml:space="preserve">. Accordingly, in line with </w:t>
      </w:r>
      <w:r w:rsidR="006A163F">
        <w:t xml:space="preserve">this suggestion, </w:t>
      </w:r>
      <w:r w:rsidR="00187D79">
        <w:t>such acts</w:t>
      </w:r>
      <w:r w:rsidR="00691A5B">
        <w:t xml:space="preserve"> ought</w:t>
      </w:r>
      <w:r w:rsidR="0041205A" w:rsidRPr="0090131B">
        <w:t xml:space="preserve"> </w:t>
      </w:r>
      <w:r w:rsidR="002D7435" w:rsidRPr="0090131B">
        <w:t>only</w:t>
      </w:r>
      <w:r w:rsidR="00691A5B">
        <w:t xml:space="preserve"> to</w:t>
      </w:r>
      <w:r w:rsidR="0041205A" w:rsidRPr="0090131B">
        <w:t xml:space="preserve"> </w:t>
      </w:r>
      <w:r w:rsidR="00673AC5" w:rsidRPr="0090131B">
        <w:t>engage state responsibility (</w:t>
      </w:r>
      <w:r w:rsidR="00E46CB1" w:rsidRPr="0090131B">
        <w:rPr>
          <w:i/>
        </w:rPr>
        <w:t>i.e.</w:t>
      </w:r>
      <w:r w:rsidR="00673AC5" w:rsidRPr="0090131B">
        <w:t xml:space="preserve"> </w:t>
      </w:r>
      <w:r w:rsidR="0041205A" w:rsidRPr="0090131B">
        <w:t>transform into wrongful conduct</w:t>
      </w:r>
      <w:r w:rsidR="00673AC5" w:rsidRPr="0090131B">
        <w:t>)</w:t>
      </w:r>
      <w:r w:rsidR="0041205A" w:rsidRPr="0090131B">
        <w:t xml:space="preserve"> if executed.</w:t>
      </w:r>
      <w:r w:rsidR="0041205A" w:rsidRPr="0090131B">
        <w:rPr>
          <w:rStyle w:val="FootnoteReference"/>
        </w:rPr>
        <w:footnoteReference w:id="86"/>
      </w:r>
      <w:r w:rsidR="00286EC2" w:rsidRPr="0090131B">
        <w:t xml:space="preserve"> </w:t>
      </w:r>
      <w:r w:rsidR="00A9190B" w:rsidRPr="0090131B">
        <w:t>As to the former question</w:t>
      </w:r>
      <w:r w:rsidR="00C47B09" w:rsidRPr="0090131B">
        <w:t xml:space="preserve">, </w:t>
      </w:r>
      <w:r w:rsidR="00FF6696" w:rsidRPr="0090131B">
        <w:t>damage</w:t>
      </w:r>
      <w:r w:rsidR="00286EC2" w:rsidRPr="0090131B">
        <w:t xml:space="preserve"> </w:t>
      </w:r>
      <w:r w:rsidR="0096577A" w:rsidRPr="0090131B">
        <w:t xml:space="preserve">is considered </w:t>
      </w:r>
      <w:r w:rsidR="00BE62CC" w:rsidRPr="0090131B">
        <w:t xml:space="preserve">by some authors </w:t>
      </w:r>
      <w:r w:rsidR="0096577A" w:rsidRPr="0090131B">
        <w:t>to be necessary for state responsibility</w:t>
      </w:r>
      <w:r w:rsidR="006311D3" w:rsidRPr="0090131B">
        <w:t xml:space="preserve"> (</w:t>
      </w:r>
      <w:r w:rsidR="00B21C09">
        <w:t>particularly</w:t>
      </w:r>
      <w:r w:rsidR="006311D3" w:rsidRPr="0090131B">
        <w:t xml:space="preserve"> regarding the duty to repair)</w:t>
      </w:r>
      <w:r w:rsidR="0096577A" w:rsidRPr="0090131B">
        <w:t>,</w:t>
      </w:r>
      <w:r w:rsidR="0096577A" w:rsidRPr="0090131B">
        <w:rPr>
          <w:rStyle w:val="FootnoteReference"/>
        </w:rPr>
        <w:footnoteReference w:id="87"/>
      </w:r>
      <w:r w:rsidR="0096577A" w:rsidRPr="0090131B">
        <w:t xml:space="preserve"> </w:t>
      </w:r>
      <w:r w:rsidR="00B21C09">
        <w:t>whilst</w:t>
      </w:r>
      <w:r w:rsidR="0096577A" w:rsidRPr="0090131B">
        <w:t xml:space="preserve"> intention </w:t>
      </w:r>
      <w:r w:rsidR="00201B02" w:rsidRPr="0090131B">
        <w:t xml:space="preserve">to harm </w:t>
      </w:r>
      <w:r w:rsidR="008364FF" w:rsidRPr="0090131B">
        <w:t>may not be</w:t>
      </w:r>
      <w:r w:rsidR="0096577A" w:rsidRPr="0090131B">
        <w:t xml:space="preserve"> </w:t>
      </w:r>
      <w:r w:rsidR="005649ED" w:rsidRPr="0090131B">
        <w:t>required for establishing wrongfulness</w:t>
      </w:r>
      <w:r w:rsidR="00201B02" w:rsidRPr="0090131B">
        <w:t>.</w:t>
      </w:r>
      <w:r w:rsidR="00201B02" w:rsidRPr="0090131B">
        <w:rPr>
          <w:rStyle w:val="FootnoteReference"/>
        </w:rPr>
        <w:footnoteReference w:id="88"/>
      </w:r>
      <w:r w:rsidR="0096577A" w:rsidRPr="0090131B">
        <w:t xml:space="preserve"> </w:t>
      </w:r>
      <w:r w:rsidR="0045799A" w:rsidRPr="0090131B">
        <w:t xml:space="preserve">These (to </w:t>
      </w:r>
      <w:r w:rsidR="00A94795" w:rsidRPr="0090131B">
        <w:t>some</w:t>
      </w:r>
      <w:r w:rsidR="0045799A" w:rsidRPr="0090131B">
        <w:t xml:space="preserve"> extent </w:t>
      </w:r>
      <w:r w:rsidR="00BE62CC" w:rsidRPr="0090131B">
        <w:t>divergent</w:t>
      </w:r>
      <w:r w:rsidR="0045799A" w:rsidRPr="0090131B">
        <w:t xml:space="preserve">) approaches reveal that abuse of rights as a general principle of international law remains </w:t>
      </w:r>
      <w:r w:rsidR="00D2691B" w:rsidRPr="0090131B">
        <w:t>obscure as to its particulars.</w:t>
      </w:r>
      <w:r w:rsidR="00A85F89" w:rsidRPr="0090131B">
        <w:t xml:space="preserve"> The thesis </w:t>
      </w:r>
      <w:r w:rsidR="00A94795" w:rsidRPr="0090131B">
        <w:t xml:space="preserve">defended </w:t>
      </w:r>
      <w:r w:rsidR="00A85F89" w:rsidRPr="0090131B">
        <w:t>in this</w:t>
      </w:r>
      <w:r w:rsidR="00644251" w:rsidRPr="0090131B">
        <w:t xml:space="preserve"> study</w:t>
      </w:r>
      <w:r w:rsidR="00A85F89" w:rsidRPr="0090131B">
        <w:t xml:space="preserve"> is that intention </w:t>
      </w:r>
      <w:r w:rsidR="000767B4" w:rsidRPr="0090131B">
        <w:t xml:space="preserve">to abuse a right </w:t>
      </w:r>
      <w:r w:rsidR="00A85F89" w:rsidRPr="0090131B">
        <w:t>(</w:t>
      </w:r>
      <w:r w:rsidR="00E46CB1" w:rsidRPr="0090131B">
        <w:rPr>
          <w:i/>
        </w:rPr>
        <w:t>i.e.</w:t>
      </w:r>
      <w:r w:rsidR="000767B4" w:rsidRPr="0090131B">
        <w:t xml:space="preserve"> </w:t>
      </w:r>
      <w:r w:rsidR="00A85F89" w:rsidRPr="0090131B">
        <w:t xml:space="preserve">not necessarily to harm) is inherent to the notion of abuse of rights, </w:t>
      </w:r>
      <w:r w:rsidR="00E46CB1" w:rsidRPr="0090131B">
        <w:rPr>
          <w:i/>
        </w:rPr>
        <w:t>i.e.</w:t>
      </w:r>
      <w:r w:rsidR="00A85F89" w:rsidRPr="0090131B">
        <w:t xml:space="preserve"> </w:t>
      </w:r>
      <w:r w:rsidR="00804EBF" w:rsidRPr="0090131B">
        <w:t>it is one of the ingredients of the</w:t>
      </w:r>
      <w:r w:rsidR="00475F1D" w:rsidRPr="0090131B">
        <w:t xml:space="preserve"> prohibition of abuse of rights</w:t>
      </w:r>
      <w:r w:rsidR="00A85F89" w:rsidRPr="0090131B">
        <w:t>. This entails that, for a breach</w:t>
      </w:r>
      <w:r w:rsidR="00811614" w:rsidRPr="0090131B">
        <w:rPr>
          <w:rStyle w:val="FootnoteReference"/>
        </w:rPr>
        <w:footnoteReference w:id="89"/>
      </w:r>
      <w:r w:rsidR="00E73397" w:rsidRPr="0090131B">
        <w:t xml:space="preserve"> of the prohibition of abuse of rights</w:t>
      </w:r>
      <w:r w:rsidR="00804EBF" w:rsidRPr="0090131B">
        <w:t xml:space="preserve"> (which</w:t>
      </w:r>
      <w:r w:rsidR="00194430">
        <w:t xml:space="preserve"> </w:t>
      </w:r>
      <w:r w:rsidR="00DE03D9" w:rsidRPr="0090131B">
        <w:t>–</w:t>
      </w:r>
      <w:r w:rsidR="00DE03D9">
        <w:t xml:space="preserve"> </w:t>
      </w:r>
      <w:r w:rsidR="00DE03D9" w:rsidRPr="00DE03D9">
        <w:rPr>
          <w:i/>
        </w:rPr>
        <w:t>i.e.</w:t>
      </w:r>
      <w:r w:rsidR="00DE03D9">
        <w:t xml:space="preserve"> breach </w:t>
      </w:r>
      <w:r w:rsidR="00DE03D9" w:rsidRPr="0090131B">
        <w:t>–</w:t>
      </w:r>
      <w:r w:rsidR="003F11DF" w:rsidRPr="0090131B">
        <w:t>, together</w:t>
      </w:r>
      <w:r w:rsidR="001D7D57" w:rsidRPr="0090131B">
        <w:t xml:space="preserve"> </w:t>
      </w:r>
      <w:r w:rsidR="003F11DF" w:rsidRPr="0090131B">
        <w:t>with</w:t>
      </w:r>
      <w:r w:rsidR="001D7D57" w:rsidRPr="0090131B">
        <w:t xml:space="preserve"> attribution</w:t>
      </w:r>
      <w:r w:rsidR="003F11DF" w:rsidRPr="0090131B">
        <w:t>,</w:t>
      </w:r>
      <w:r w:rsidR="00804EBF" w:rsidRPr="0090131B">
        <w:t xml:space="preserve"> </w:t>
      </w:r>
      <w:r w:rsidR="001D7D57" w:rsidRPr="0090131B">
        <w:t>are the</w:t>
      </w:r>
      <w:r w:rsidR="00804EBF" w:rsidRPr="0090131B">
        <w:t xml:space="preserve"> triggers of state responsibility</w:t>
      </w:r>
      <w:r w:rsidR="006A0AD8" w:rsidRPr="0090131B">
        <w:rPr>
          <w:rStyle w:val="FootnoteReference"/>
        </w:rPr>
        <w:footnoteReference w:id="90"/>
      </w:r>
      <w:r w:rsidR="00804EBF" w:rsidRPr="0090131B">
        <w:t>)</w:t>
      </w:r>
      <w:r w:rsidR="00A85F89" w:rsidRPr="0090131B">
        <w:t xml:space="preserve"> to</w:t>
      </w:r>
      <w:r w:rsidR="00804EBF" w:rsidRPr="0090131B">
        <w:t xml:space="preserve"> occur,</w:t>
      </w:r>
      <w:r w:rsidR="001D7D57" w:rsidRPr="0090131B">
        <w:t xml:space="preserve"> intention needs to be present.</w:t>
      </w:r>
      <w:r w:rsidR="00D06F4B" w:rsidRPr="0090131B">
        <w:t xml:space="preserve"> </w:t>
      </w:r>
      <w:r w:rsidR="00F96F1A" w:rsidRPr="0090131B">
        <w:t>Consequently</w:t>
      </w:r>
      <w:r w:rsidR="000A05B2" w:rsidRPr="0090131B">
        <w:t>,</w:t>
      </w:r>
      <w:r w:rsidR="00BE62CC" w:rsidRPr="0090131B">
        <w:t xml:space="preserve"> state responsibility for abuse of rights </w:t>
      </w:r>
      <w:r w:rsidR="00F96F1A" w:rsidRPr="0090131B">
        <w:t>may be said to be</w:t>
      </w:r>
      <w:r w:rsidR="00BE62CC" w:rsidRPr="0090131B">
        <w:t xml:space="preserve"> subjective in nature.</w:t>
      </w:r>
      <w:r w:rsidR="00C855E8" w:rsidRPr="0090131B">
        <w:rPr>
          <w:rStyle w:val="FootnoteReference"/>
        </w:rPr>
        <w:footnoteReference w:id="91"/>
      </w:r>
      <w:r w:rsidR="00BE62CC" w:rsidRPr="0090131B">
        <w:t xml:space="preserve"> </w:t>
      </w:r>
      <w:r w:rsidR="00D06F4B" w:rsidRPr="0090131B">
        <w:t xml:space="preserve">Moreover, </w:t>
      </w:r>
      <w:r w:rsidR="00BB5A45" w:rsidRPr="0090131B">
        <w:t xml:space="preserve">it should be </w:t>
      </w:r>
      <w:r w:rsidR="005542DA">
        <w:t xml:space="preserve">reaffirmed </w:t>
      </w:r>
      <w:r w:rsidR="00BB5A45" w:rsidRPr="0090131B">
        <w:t>that,</w:t>
      </w:r>
      <w:r w:rsidR="00821E3D" w:rsidRPr="0090131B">
        <w:t xml:space="preserve"> in terms of general international law,</w:t>
      </w:r>
      <w:r w:rsidR="00BB5A45" w:rsidRPr="0090131B">
        <w:t xml:space="preserve"> </w:t>
      </w:r>
      <w:r w:rsidR="0052023A" w:rsidRPr="0090131B">
        <w:t>the term</w:t>
      </w:r>
      <w:r w:rsidR="00D06F4B" w:rsidRPr="0090131B">
        <w:t xml:space="preserve"> </w:t>
      </w:r>
      <w:r w:rsidR="0052023A" w:rsidRPr="0090131B">
        <w:t>“</w:t>
      </w:r>
      <w:r w:rsidR="00D06F4B" w:rsidRPr="0090131B">
        <w:t>breach</w:t>
      </w:r>
      <w:r w:rsidR="0052023A" w:rsidRPr="0090131B">
        <w:t>”</w:t>
      </w:r>
      <w:r w:rsidR="00F46275" w:rsidRPr="0090131B">
        <w:t xml:space="preserve"> of an international obligation</w:t>
      </w:r>
      <w:r w:rsidR="00AC3B28" w:rsidRPr="0090131B">
        <w:t xml:space="preserve"> </w:t>
      </w:r>
      <w:r w:rsidR="0052023A" w:rsidRPr="0090131B">
        <w:t>means</w:t>
      </w:r>
      <w:r w:rsidR="00AC3B28" w:rsidRPr="0090131B">
        <w:t xml:space="preserve"> </w:t>
      </w:r>
      <w:r w:rsidR="00700368" w:rsidRPr="0090131B">
        <w:t xml:space="preserve">an act </w:t>
      </w:r>
      <w:r w:rsidR="00AC3B28" w:rsidRPr="0090131B">
        <w:t>not in conformity with that obligation</w:t>
      </w:r>
      <w:r w:rsidR="00700368" w:rsidRPr="0090131B">
        <w:t>.</w:t>
      </w:r>
      <w:r w:rsidR="00996604" w:rsidRPr="0090131B">
        <w:rPr>
          <w:rStyle w:val="FootnoteReference"/>
        </w:rPr>
        <w:footnoteReference w:id="92"/>
      </w:r>
      <w:r w:rsidR="00F46275" w:rsidRPr="0090131B">
        <w:t xml:space="preserve"> </w:t>
      </w:r>
      <w:r w:rsidR="000117ED" w:rsidRPr="0090131B">
        <w:t>P</w:t>
      </w:r>
      <w:r w:rsidR="00F46275" w:rsidRPr="0090131B">
        <w:t>olicy plans and the discussion of such plans before national institutions and between national authorities</w:t>
      </w:r>
      <w:r w:rsidR="00D212B1" w:rsidRPr="0090131B">
        <w:t xml:space="preserve"> (like </w:t>
      </w:r>
      <w:r w:rsidR="005E1397" w:rsidRPr="0090131B">
        <w:t xml:space="preserve">the correspondence between the </w:t>
      </w:r>
      <w:r w:rsidR="00D212B1" w:rsidRPr="0090131B">
        <w:t>D</w:t>
      </w:r>
      <w:r w:rsidR="005E1397" w:rsidRPr="0090131B">
        <w:t>S</w:t>
      </w:r>
      <w:r w:rsidR="00D212B1" w:rsidRPr="0090131B">
        <w:t xml:space="preserve"> and the Committee</w:t>
      </w:r>
      <w:r w:rsidR="00555B70" w:rsidRPr="0090131B">
        <w:t xml:space="preserve"> examined earlier</w:t>
      </w:r>
      <w:r w:rsidR="00D212B1" w:rsidRPr="0090131B">
        <w:t>)</w:t>
      </w:r>
      <w:r w:rsidR="00F46275" w:rsidRPr="0090131B">
        <w:t xml:space="preserve"> </w:t>
      </w:r>
      <w:r w:rsidR="00D212B1" w:rsidRPr="0090131B">
        <w:t xml:space="preserve">do not amount to an act of derogation. They </w:t>
      </w:r>
      <w:r w:rsidR="00C43B8C" w:rsidRPr="0090131B">
        <w:t>may be used as evidence</w:t>
      </w:r>
      <w:bookmarkStart w:id="52" w:name="_Ref492904500"/>
      <w:r w:rsidR="00555B70" w:rsidRPr="0090131B">
        <w:rPr>
          <w:rStyle w:val="FootnoteReference"/>
        </w:rPr>
        <w:footnoteReference w:id="93"/>
      </w:r>
      <w:bookmarkEnd w:id="52"/>
      <w:r w:rsidR="00C43B8C" w:rsidRPr="0090131B">
        <w:t xml:space="preserve"> </w:t>
      </w:r>
      <w:r w:rsidR="00AC3B28" w:rsidRPr="0090131B">
        <w:t xml:space="preserve">to </w:t>
      </w:r>
      <w:r w:rsidR="007F5FF1" w:rsidRPr="0090131B">
        <w:t>reveal</w:t>
      </w:r>
      <w:r w:rsidR="00C43B8C" w:rsidRPr="0090131B">
        <w:t xml:space="preserve"> the</w:t>
      </w:r>
      <w:r w:rsidR="007F5FF1" w:rsidRPr="0090131B">
        <w:t xml:space="preserve"> true intention</w:t>
      </w:r>
      <w:r w:rsidR="00C43B8C" w:rsidRPr="0090131B">
        <w:t xml:space="preserve"> of the government (which, as already </w:t>
      </w:r>
      <w:r w:rsidR="00E2619E" w:rsidRPr="0090131B">
        <w:t>argued</w:t>
      </w:r>
      <w:r w:rsidR="00C43B8C" w:rsidRPr="0090131B">
        <w:t xml:space="preserve">, </w:t>
      </w:r>
      <w:r w:rsidR="00E2619E" w:rsidRPr="0090131B">
        <w:t xml:space="preserve">shall be treated as </w:t>
      </w:r>
      <w:r w:rsidR="00C43B8C" w:rsidRPr="0090131B">
        <w:t xml:space="preserve">a precondition for establishing a breach), but </w:t>
      </w:r>
      <w:r w:rsidR="00C30233">
        <w:t xml:space="preserve">they </w:t>
      </w:r>
      <w:r w:rsidR="00C43B8C" w:rsidRPr="0090131B">
        <w:t xml:space="preserve">do not amount to </w:t>
      </w:r>
      <w:r w:rsidR="00DE03D9">
        <w:t>conduct</w:t>
      </w:r>
      <w:r w:rsidR="00C43B8C" w:rsidRPr="0090131B">
        <w:t xml:space="preserve"> </w:t>
      </w:r>
      <w:r w:rsidR="00CE4128" w:rsidRPr="0090131B">
        <w:t>breach</w:t>
      </w:r>
      <w:r w:rsidR="0069264D" w:rsidRPr="0090131B">
        <w:t>ing</w:t>
      </w:r>
      <w:r w:rsidR="00C43B8C" w:rsidRPr="0090131B">
        <w:t xml:space="preserve"> internationa</w:t>
      </w:r>
      <w:r w:rsidR="00555B70" w:rsidRPr="0090131B">
        <w:t xml:space="preserve">l law. Such a </w:t>
      </w:r>
      <w:r w:rsidR="00DE03D9">
        <w:t>conduct</w:t>
      </w:r>
      <w:r w:rsidR="00555B70" w:rsidRPr="0090131B">
        <w:t xml:space="preserve"> requires</w:t>
      </w:r>
      <w:r w:rsidR="00C43B8C" w:rsidRPr="0090131B">
        <w:t xml:space="preserve"> </w:t>
      </w:r>
      <w:r w:rsidR="00555B70" w:rsidRPr="0090131B">
        <w:t>execution of the</w:t>
      </w:r>
      <w:r w:rsidR="00C43B8C" w:rsidRPr="0090131B">
        <w:t xml:space="preserve"> </w:t>
      </w:r>
      <w:r w:rsidR="00BE496C" w:rsidRPr="0090131B">
        <w:t xml:space="preserve">derogation(s) </w:t>
      </w:r>
      <w:r w:rsidR="00C43B8C" w:rsidRPr="0090131B">
        <w:t>policy</w:t>
      </w:r>
      <w:r w:rsidR="009E318C" w:rsidRPr="0090131B">
        <w:t xml:space="preserve">, </w:t>
      </w:r>
      <w:r w:rsidR="00E46CB1" w:rsidRPr="0090131B">
        <w:rPr>
          <w:i/>
        </w:rPr>
        <w:t>i.e.</w:t>
      </w:r>
      <w:r w:rsidR="009E318C" w:rsidRPr="0090131B">
        <w:t xml:space="preserve"> </w:t>
      </w:r>
      <w:r w:rsidR="00BE496C" w:rsidRPr="0090131B">
        <w:t>an</w:t>
      </w:r>
      <w:r w:rsidR="009E318C" w:rsidRPr="0090131B">
        <w:t xml:space="preserve"> actual derogat</w:t>
      </w:r>
      <w:r w:rsidR="00BE496C" w:rsidRPr="0090131B">
        <w:t>ion</w:t>
      </w:r>
      <w:r w:rsidR="009E318C" w:rsidRPr="0090131B">
        <w:t xml:space="preserve"> from the ECHR</w:t>
      </w:r>
      <w:r w:rsidR="00D340D9" w:rsidRPr="0090131B">
        <w:t xml:space="preserve">. </w:t>
      </w:r>
      <w:r w:rsidR="00D64CF7">
        <w:t>Thus, c</w:t>
      </w:r>
      <w:r w:rsidR="001548D0" w:rsidRPr="0090131B">
        <w:t xml:space="preserve">onduct </w:t>
      </w:r>
      <w:r w:rsidR="00EF1F36" w:rsidRPr="0090131B">
        <w:t xml:space="preserve">at the national level, </w:t>
      </w:r>
      <w:r w:rsidR="00EB6408" w:rsidRPr="0090131B">
        <w:t>such as the enactment of national legislation</w:t>
      </w:r>
      <w:r w:rsidR="00210CF8" w:rsidRPr="0090131B">
        <w:t xml:space="preserve"> or</w:t>
      </w:r>
      <w:r w:rsidR="006A4E93" w:rsidRPr="0090131B">
        <w:t>,</w:t>
      </w:r>
      <w:r w:rsidR="00210CF8" w:rsidRPr="0090131B">
        <w:t xml:space="preserve"> more generally</w:t>
      </w:r>
      <w:r w:rsidR="006A4E93" w:rsidRPr="0090131B">
        <w:t>,</w:t>
      </w:r>
      <w:r w:rsidR="00210CF8" w:rsidRPr="0090131B">
        <w:t xml:space="preserve"> measures taken</w:t>
      </w:r>
      <w:r w:rsidR="006A4E93" w:rsidRPr="0090131B">
        <w:t xml:space="preserve"> either domestically or internationally</w:t>
      </w:r>
      <w:r w:rsidR="00210CF8" w:rsidRPr="0090131B">
        <w:t xml:space="preserve"> </w:t>
      </w:r>
      <w:r w:rsidR="00BE496C" w:rsidRPr="0090131B">
        <w:t xml:space="preserve">in implementation of </w:t>
      </w:r>
      <w:r w:rsidR="00EB6408" w:rsidRPr="0090131B">
        <w:t xml:space="preserve">a derogation from the ECHR can </w:t>
      </w:r>
      <w:r w:rsidR="006A4E93" w:rsidRPr="0090131B">
        <w:t xml:space="preserve">be </w:t>
      </w:r>
      <w:commentRangeStart w:id="53"/>
      <w:commentRangeStart w:id="54"/>
      <w:r w:rsidR="006A4E93" w:rsidRPr="0090131B">
        <w:t xml:space="preserve">in </w:t>
      </w:r>
      <w:r w:rsidR="006A4E93" w:rsidRPr="0090131B">
        <w:lastRenderedPageBreak/>
        <w:t>breach of</w:t>
      </w:r>
      <w:r w:rsidR="009E318C" w:rsidRPr="0090131B">
        <w:t xml:space="preserve"> both Article 15</w:t>
      </w:r>
      <w:r w:rsidR="00EF1F36" w:rsidRPr="0090131B">
        <w:t xml:space="preserve"> ECHR and </w:t>
      </w:r>
      <w:commentRangeEnd w:id="53"/>
      <w:r w:rsidR="00C626B5" w:rsidRPr="006E0B80">
        <w:rPr>
          <w:rStyle w:val="CommentReference"/>
          <w:sz w:val="24"/>
          <w:szCs w:val="24"/>
        </w:rPr>
        <w:commentReference w:id="53"/>
      </w:r>
      <w:commentRangeEnd w:id="54"/>
      <w:r w:rsidR="00E2619E" w:rsidRPr="006E0B80">
        <w:rPr>
          <w:rStyle w:val="CommentReference"/>
          <w:sz w:val="24"/>
          <w:szCs w:val="24"/>
        </w:rPr>
        <w:commentReference w:id="54"/>
      </w:r>
      <w:r w:rsidR="00EF1F36" w:rsidRPr="0090131B">
        <w:t>the general principle of international law</w:t>
      </w:r>
      <w:r w:rsidR="006A4E93" w:rsidRPr="0090131B">
        <w:t xml:space="preserve"> that</w:t>
      </w:r>
      <w:r w:rsidR="00EF1F36" w:rsidRPr="0090131B">
        <w:t xml:space="preserve"> prohibit</w:t>
      </w:r>
      <w:r w:rsidR="006A4E93" w:rsidRPr="0090131B">
        <w:t>s</w:t>
      </w:r>
      <w:r w:rsidR="00EF1F36" w:rsidRPr="0090131B">
        <w:t xml:space="preserve"> abuse of rights</w:t>
      </w:r>
      <w:r w:rsidR="00EB6408" w:rsidRPr="0090131B">
        <w:t>.</w:t>
      </w:r>
      <w:r w:rsidR="00210CF8" w:rsidRPr="0090131B">
        <w:t xml:space="preserve"> </w:t>
      </w:r>
      <w:r w:rsidR="006D2812" w:rsidRPr="0090131B">
        <w:t>The last question to consider</w:t>
      </w:r>
      <w:r w:rsidR="00B42C2E" w:rsidRPr="0090131B">
        <w:t xml:space="preserve"> regarding the breach of the prohibition of abuse of rights under general international law</w:t>
      </w:r>
      <w:r w:rsidR="006D2812" w:rsidRPr="0090131B">
        <w:t xml:space="preserve"> is </w:t>
      </w:r>
      <w:r w:rsidR="00210CF8" w:rsidRPr="0090131B">
        <w:t xml:space="preserve">whether </w:t>
      </w:r>
      <w:r w:rsidR="00FC0869" w:rsidRPr="0090131B">
        <w:t>state responsibility ca</w:t>
      </w:r>
      <w:r w:rsidR="00723BF6" w:rsidRPr="0090131B">
        <w:t xml:space="preserve">n be established without damage, </w:t>
      </w:r>
      <w:r w:rsidR="00E46CB1" w:rsidRPr="0090131B">
        <w:rPr>
          <w:i/>
        </w:rPr>
        <w:t>i.e.</w:t>
      </w:r>
      <w:r w:rsidR="00723BF6" w:rsidRPr="0090131B">
        <w:t xml:space="preserve"> whether the exercise of a right can be </w:t>
      </w:r>
      <w:r w:rsidR="00B3243D" w:rsidRPr="0090131B">
        <w:t xml:space="preserve">characterised </w:t>
      </w:r>
      <w:r w:rsidR="00723BF6" w:rsidRPr="0090131B">
        <w:t>as abusive if it is not harmful.</w:t>
      </w:r>
      <w:r w:rsidR="00CA3C3A" w:rsidRPr="0090131B">
        <w:rPr>
          <w:rStyle w:val="FootnoteReference"/>
        </w:rPr>
        <w:footnoteReference w:id="94"/>
      </w:r>
      <w:r w:rsidR="00FC0869" w:rsidRPr="0090131B">
        <w:t xml:space="preserve"> T</w:t>
      </w:r>
      <w:r w:rsidR="00515532" w:rsidRPr="0090131B">
        <w:t>his criterion (</w:t>
      </w:r>
      <w:r w:rsidR="00E46CB1" w:rsidRPr="0090131B">
        <w:rPr>
          <w:i/>
        </w:rPr>
        <w:t>i.e.</w:t>
      </w:r>
      <w:r w:rsidR="00515532" w:rsidRPr="0090131B">
        <w:t xml:space="preserve"> damage) is not a precondition for state responsibility under the I</w:t>
      </w:r>
      <w:r w:rsidR="00F365DE" w:rsidRPr="0090131B">
        <w:t xml:space="preserve">nternational </w:t>
      </w:r>
      <w:r w:rsidR="00515532" w:rsidRPr="0090131B">
        <w:t>L</w:t>
      </w:r>
      <w:r w:rsidR="00F365DE" w:rsidRPr="0090131B">
        <w:t xml:space="preserve">aw </w:t>
      </w:r>
      <w:r w:rsidR="00515532" w:rsidRPr="0090131B">
        <w:t>C</w:t>
      </w:r>
      <w:r w:rsidR="00F365DE" w:rsidRPr="0090131B">
        <w:t>ommission’s</w:t>
      </w:r>
      <w:r w:rsidR="00515532" w:rsidRPr="0090131B">
        <w:t xml:space="preserve"> norms</w:t>
      </w:r>
      <w:r w:rsidR="004B3E84">
        <w:t>;</w:t>
      </w:r>
      <w:r w:rsidR="000B4620">
        <w:t xml:space="preserve"> </w:t>
      </w:r>
      <w:r w:rsidR="004B3E84">
        <w:t>t</w:t>
      </w:r>
      <w:r w:rsidR="00FC0869" w:rsidRPr="0090131B">
        <w:t>he</w:t>
      </w:r>
      <w:r w:rsidR="006B73FC" w:rsidRPr="0090131B">
        <w:t>refore, the</w:t>
      </w:r>
      <w:r w:rsidR="00FC0869" w:rsidRPr="0090131B">
        <w:t xml:space="preserve"> only way</w:t>
      </w:r>
      <w:r w:rsidR="004B3E84">
        <w:t xml:space="preserve"> tha</w:t>
      </w:r>
      <w:r w:rsidR="001E22D9">
        <w:t>t</w:t>
      </w:r>
      <w:r w:rsidR="00FC0869" w:rsidRPr="0090131B">
        <w:t xml:space="preserve"> it can play</w:t>
      </w:r>
      <w:r w:rsidR="006B73FC" w:rsidRPr="0090131B">
        <w:t xml:space="preserve"> a role is</w:t>
      </w:r>
      <w:r w:rsidR="00FC0869" w:rsidRPr="0090131B">
        <w:t xml:space="preserve"> if it is </w:t>
      </w:r>
      <w:r w:rsidR="001D148B" w:rsidRPr="0090131B">
        <w:t>part of the primary rule of the prohibition</w:t>
      </w:r>
      <w:r w:rsidR="00D871CB" w:rsidRPr="0090131B">
        <w:t xml:space="preserve"> of the abuse of rights</w:t>
      </w:r>
      <w:r w:rsidR="0052023A" w:rsidRPr="0090131B">
        <w:t>, that is</w:t>
      </w:r>
      <w:r w:rsidR="00D871CB" w:rsidRPr="0090131B">
        <w:t>,</w:t>
      </w:r>
      <w:r w:rsidR="001D148B" w:rsidRPr="0090131B">
        <w:t xml:space="preserve"> a precondition for its breach</w:t>
      </w:r>
      <w:r w:rsidR="008164EB" w:rsidRPr="0090131B">
        <w:t>.</w:t>
      </w:r>
      <w:r w:rsidR="001D148B" w:rsidRPr="0090131B">
        <w:t xml:space="preserve"> </w:t>
      </w:r>
      <w:r w:rsidR="00FC0869" w:rsidRPr="0090131B">
        <w:t>A</w:t>
      </w:r>
      <w:r w:rsidR="001D148B" w:rsidRPr="0090131B">
        <w:t>s already explained</w:t>
      </w:r>
      <w:r w:rsidR="00EF1F36" w:rsidRPr="0090131B">
        <w:t>,</w:t>
      </w:r>
      <w:r w:rsidR="001D148B" w:rsidRPr="0090131B">
        <w:t xml:space="preserve"> this </w:t>
      </w:r>
      <w:r w:rsidR="005B74AB" w:rsidRPr="0090131B">
        <w:t xml:space="preserve">issue </w:t>
      </w:r>
      <w:r w:rsidR="001D148B" w:rsidRPr="0090131B">
        <w:t xml:space="preserve">is debatable in scholarship. </w:t>
      </w:r>
      <w:r w:rsidR="00E24376" w:rsidRPr="0090131B">
        <w:t xml:space="preserve">A more </w:t>
      </w:r>
      <w:r w:rsidR="0035752C" w:rsidRPr="0090131B">
        <w:t>sensible</w:t>
      </w:r>
      <w:r w:rsidR="00E24376" w:rsidRPr="0090131B">
        <w:t xml:space="preserve"> approach</w:t>
      </w:r>
      <w:r w:rsidR="008164EB" w:rsidRPr="0090131B">
        <w:t xml:space="preserve"> would be</w:t>
      </w:r>
      <w:r w:rsidR="00E24376" w:rsidRPr="0090131B">
        <w:t xml:space="preserve"> to treat damage</w:t>
      </w:r>
      <w:r w:rsidR="0040197A" w:rsidRPr="0090131B">
        <w:t>,</w:t>
      </w:r>
      <w:r w:rsidR="00E24376" w:rsidRPr="0090131B">
        <w:t xml:space="preserve"> not </w:t>
      </w:r>
      <w:r w:rsidR="00D871CB" w:rsidRPr="0090131B">
        <w:t>as</w:t>
      </w:r>
      <w:r w:rsidR="00795537" w:rsidRPr="0090131B">
        <w:t xml:space="preserve"> an e</w:t>
      </w:r>
      <w:r w:rsidR="00A14760" w:rsidRPr="0090131B">
        <w:t>lement of the prohibition</w:t>
      </w:r>
      <w:r w:rsidR="00D871CB" w:rsidRPr="0090131B">
        <w:t xml:space="preserve"> of abuse of rights</w:t>
      </w:r>
      <w:r w:rsidR="00A14760" w:rsidRPr="0090131B">
        <w:t xml:space="preserve"> </w:t>
      </w:r>
      <w:r w:rsidR="00C626B5" w:rsidRPr="0090131B">
        <w:t xml:space="preserve">– </w:t>
      </w:r>
      <w:r w:rsidR="00A14760" w:rsidRPr="0090131B">
        <w:t>and</w:t>
      </w:r>
      <w:r w:rsidR="00E24376" w:rsidRPr="0090131B">
        <w:t xml:space="preserve"> a requirement</w:t>
      </w:r>
      <w:r w:rsidR="00795537" w:rsidRPr="0090131B">
        <w:t xml:space="preserve"> </w:t>
      </w:r>
      <w:r w:rsidR="003F3F0F" w:rsidRPr="0090131B">
        <w:t xml:space="preserve">consequently </w:t>
      </w:r>
      <w:r w:rsidR="00795537" w:rsidRPr="0090131B">
        <w:t>for establishing its breach</w:t>
      </w:r>
      <w:r w:rsidR="00C626B5" w:rsidRPr="0090131B">
        <w:t xml:space="preserve"> –</w:t>
      </w:r>
      <w:r w:rsidR="007053C8" w:rsidRPr="0090131B">
        <w:t>,</w:t>
      </w:r>
      <w:r w:rsidR="001A06B4" w:rsidRPr="0090131B">
        <w:t xml:space="preserve"> </w:t>
      </w:r>
      <w:r w:rsidR="0040197A" w:rsidRPr="0090131B">
        <w:t xml:space="preserve">but </w:t>
      </w:r>
      <w:r w:rsidR="003B0AB1" w:rsidRPr="0090131B">
        <w:t>as</w:t>
      </w:r>
      <w:r w:rsidR="007053C8" w:rsidRPr="0090131B">
        <w:t xml:space="preserve"> associated with the right abused. In different words, d</w:t>
      </w:r>
      <w:r w:rsidR="00A14760" w:rsidRPr="0090131B">
        <w:t>amage</w:t>
      </w:r>
      <w:r w:rsidR="0040197A" w:rsidRPr="0090131B">
        <w:t xml:space="preserve"> could be seen as extraneous to the abuse </w:t>
      </w:r>
      <w:r w:rsidR="0040197A" w:rsidRPr="0090131B">
        <w:rPr>
          <w:i/>
        </w:rPr>
        <w:t>per se</w:t>
      </w:r>
      <w:r w:rsidR="008164EB" w:rsidRPr="0090131B">
        <w:t>. It may</w:t>
      </w:r>
      <w:r w:rsidR="00FC690B" w:rsidRPr="0090131B">
        <w:t>, however,</w:t>
      </w:r>
      <w:r w:rsidR="008164EB" w:rsidRPr="0090131B">
        <w:t xml:space="preserve"> </w:t>
      </w:r>
      <w:r w:rsidR="004C6406" w:rsidRPr="0090131B">
        <w:t>occur</w:t>
      </w:r>
      <w:r w:rsidR="00A14760" w:rsidRPr="0090131B">
        <w:t xml:space="preserve"> when </w:t>
      </w:r>
      <w:r w:rsidR="00BC05C7" w:rsidRPr="0090131B">
        <w:t>the</w:t>
      </w:r>
      <w:r w:rsidR="00A14760" w:rsidRPr="0090131B">
        <w:t xml:space="preserve"> abus</w:t>
      </w:r>
      <w:r w:rsidR="007053C8" w:rsidRPr="0090131B">
        <w:t>ive exercise</w:t>
      </w:r>
      <w:r w:rsidR="00A14760" w:rsidRPr="0090131B">
        <w:t xml:space="preserve"> of </w:t>
      </w:r>
      <w:r w:rsidR="007053C8" w:rsidRPr="0090131B">
        <w:t xml:space="preserve">a </w:t>
      </w:r>
      <w:r w:rsidR="0001539C" w:rsidRPr="0090131B">
        <w:t xml:space="preserve">given </w:t>
      </w:r>
      <w:r w:rsidR="00A14760" w:rsidRPr="0090131B">
        <w:t xml:space="preserve">right leads to </w:t>
      </w:r>
      <w:r w:rsidR="005514BB" w:rsidRPr="0090131B">
        <w:t>the</w:t>
      </w:r>
      <w:r w:rsidR="00A14760" w:rsidRPr="0090131B">
        <w:t xml:space="preserve"> </w:t>
      </w:r>
      <w:r w:rsidR="00BA0713" w:rsidRPr="0090131B">
        <w:t>breach</w:t>
      </w:r>
      <w:r w:rsidR="00CE6C9A" w:rsidRPr="0090131B">
        <w:t xml:space="preserve"> of this right, </w:t>
      </w:r>
      <w:r w:rsidR="004C6406" w:rsidRPr="006E0B80">
        <w:rPr>
          <w:i/>
        </w:rPr>
        <w:t>i.e.</w:t>
      </w:r>
      <w:r w:rsidR="00CE6C9A" w:rsidRPr="0090131B">
        <w:t xml:space="preserve"> of the right in relation to which abuse of rights applies</w:t>
      </w:r>
      <w:r w:rsidR="000B4620">
        <w:t>;</w:t>
      </w:r>
      <w:r w:rsidR="007E1CD5" w:rsidRPr="0090131B">
        <w:rPr>
          <w:rStyle w:val="FootnoteReference"/>
        </w:rPr>
        <w:footnoteReference w:id="95"/>
      </w:r>
      <w:r w:rsidR="00C30233">
        <w:t xml:space="preserve"> f</w:t>
      </w:r>
      <w:r w:rsidR="00BA0713" w:rsidRPr="0090131B">
        <w:t>or</w:t>
      </w:r>
      <w:r w:rsidR="000B4620">
        <w:t>,</w:t>
      </w:r>
      <w:r w:rsidR="00BA0713" w:rsidRPr="0090131B">
        <w:t xml:space="preserve"> a</w:t>
      </w:r>
      <w:r w:rsidR="0098630D" w:rsidRPr="0090131B">
        <w:t xml:space="preserve">buse </w:t>
      </w:r>
      <w:r w:rsidR="005514BB" w:rsidRPr="0090131B">
        <w:t xml:space="preserve">of rights has no independent standing. It </w:t>
      </w:r>
      <w:r w:rsidR="00BA0713" w:rsidRPr="0090131B">
        <w:t xml:space="preserve">refers to and </w:t>
      </w:r>
      <w:r w:rsidR="0098630D" w:rsidRPr="0090131B">
        <w:t xml:space="preserve">is </w:t>
      </w:r>
      <w:r w:rsidR="0038442B" w:rsidRPr="0090131B">
        <w:t>intrinsically</w:t>
      </w:r>
      <w:r w:rsidR="009D2215" w:rsidRPr="0090131B">
        <w:t xml:space="preserve"> associated with </w:t>
      </w:r>
      <w:r w:rsidR="00BA0713" w:rsidRPr="0090131B">
        <w:t>another</w:t>
      </w:r>
      <w:r w:rsidR="009D2215" w:rsidRPr="0090131B">
        <w:t xml:space="preserve"> right under international law that </w:t>
      </w:r>
      <w:r w:rsidR="00FC690B" w:rsidRPr="0090131B">
        <w:t>may be</w:t>
      </w:r>
      <w:r w:rsidR="009D2215" w:rsidRPr="0090131B">
        <w:t xml:space="preserve"> </w:t>
      </w:r>
      <w:r w:rsidR="00475F1D" w:rsidRPr="0090131B">
        <w:t>impaired</w:t>
      </w:r>
      <w:r w:rsidR="00FC690B" w:rsidRPr="0090131B">
        <w:t xml:space="preserve"> (possibly leading to a damage)</w:t>
      </w:r>
      <w:r w:rsidR="001B40BA" w:rsidRPr="0090131B">
        <w:t xml:space="preserve"> as a result </w:t>
      </w:r>
      <w:r w:rsidR="002573A8" w:rsidRPr="0090131B">
        <w:t>of the abuse</w:t>
      </w:r>
      <w:r w:rsidR="009D2215" w:rsidRPr="0090131B">
        <w:t>.</w:t>
      </w:r>
      <w:r w:rsidR="00B626F2" w:rsidRPr="0090131B">
        <w:t xml:space="preserve"> </w:t>
      </w:r>
    </w:p>
    <w:p w14:paraId="557533DF" w14:textId="77777777" w:rsidR="00411C65" w:rsidRPr="0090131B" w:rsidRDefault="00411C65" w:rsidP="003D5AA6">
      <w:pPr>
        <w:ind w:right="-52"/>
        <w:jc w:val="both"/>
      </w:pPr>
    </w:p>
    <w:p w14:paraId="369ECC82" w14:textId="5D4946AF" w:rsidR="006416BF" w:rsidRPr="0090131B" w:rsidRDefault="00A20C66" w:rsidP="006E0B80">
      <w:pPr>
        <w:ind w:firstLine="720"/>
        <w:jc w:val="both"/>
        <w:rPr>
          <w:b/>
        </w:rPr>
      </w:pPr>
      <w:r w:rsidRPr="0090131B">
        <w:rPr>
          <w:b/>
        </w:rPr>
        <w:t xml:space="preserve">IV.B. </w:t>
      </w:r>
      <w:r w:rsidR="008F5C69" w:rsidRPr="0090131B">
        <w:rPr>
          <w:b/>
        </w:rPr>
        <w:t xml:space="preserve">Abuse of </w:t>
      </w:r>
      <w:r w:rsidRPr="0090131B">
        <w:rPr>
          <w:b/>
        </w:rPr>
        <w:t>R</w:t>
      </w:r>
      <w:r w:rsidR="008F5C69" w:rsidRPr="0090131B">
        <w:rPr>
          <w:b/>
        </w:rPr>
        <w:t xml:space="preserve">ights </w:t>
      </w:r>
      <w:r w:rsidR="00BA5D21" w:rsidRPr="0090131B">
        <w:rPr>
          <w:b/>
        </w:rPr>
        <w:t>with</w:t>
      </w:r>
      <w:r w:rsidR="008F5C69" w:rsidRPr="0090131B">
        <w:rPr>
          <w:b/>
        </w:rPr>
        <w:t>in the ECHR</w:t>
      </w:r>
    </w:p>
    <w:p w14:paraId="54AA11E9" w14:textId="0AF6C6F7" w:rsidR="009D2EDA" w:rsidRPr="0090131B" w:rsidRDefault="00F6641E" w:rsidP="00697BA1">
      <w:pPr>
        <w:ind w:right="-52"/>
        <w:jc w:val="both"/>
      </w:pPr>
      <w:r w:rsidRPr="0090131B">
        <w:t>The ECtHR</w:t>
      </w:r>
      <w:r w:rsidR="00D65356" w:rsidRPr="0090131B">
        <w:t xml:space="preserve"> </w:t>
      </w:r>
      <w:r w:rsidRPr="0090131B">
        <w:t>could consider applying the</w:t>
      </w:r>
      <w:r w:rsidR="007F641B" w:rsidRPr="0090131B">
        <w:t xml:space="preserve"> criteria that have just been </w:t>
      </w:r>
      <w:r w:rsidRPr="0090131B">
        <w:t xml:space="preserve">discussed </w:t>
      </w:r>
      <w:r w:rsidR="000340F7" w:rsidRPr="0090131B">
        <w:t xml:space="preserve">if </w:t>
      </w:r>
      <w:r w:rsidRPr="0090131B">
        <w:t>it</w:t>
      </w:r>
      <w:r w:rsidR="006311D3" w:rsidRPr="0090131B">
        <w:t xml:space="preserve"> </w:t>
      </w:r>
      <w:r w:rsidR="00ED1739" w:rsidRPr="0090131B">
        <w:t>decide</w:t>
      </w:r>
      <w:r w:rsidRPr="0090131B">
        <w:t>d</w:t>
      </w:r>
      <w:r w:rsidR="00496213" w:rsidRPr="0090131B">
        <w:t xml:space="preserve"> to interpret the ECHR in </w:t>
      </w:r>
      <w:r w:rsidR="00782498" w:rsidRPr="0090131B">
        <w:t xml:space="preserve">the </w:t>
      </w:r>
      <w:r w:rsidR="00496213" w:rsidRPr="0090131B">
        <w:t>light of general international law.</w:t>
      </w:r>
      <w:r w:rsidR="00A169A5" w:rsidRPr="0090131B">
        <w:rPr>
          <w:rStyle w:val="FootnoteReference"/>
        </w:rPr>
        <w:footnoteReference w:id="96"/>
      </w:r>
      <w:r w:rsidR="00496213" w:rsidRPr="0090131B">
        <w:t xml:space="preserve"> However, </w:t>
      </w:r>
      <w:r w:rsidR="00B1705C" w:rsidRPr="0090131B">
        <w:t>general international law’s role in that cas</w:t>
      </w:r>
      <w:r w:rsidR="00411C65" w:rsidRPr="0090131B">
        <w:t xml:space="preserve">e would primarily be subsidiary, </w:t>
      </w:r>
      <w:r w:rsidR="00BF3708" w:rsidRPr="0090131B">
        <w:t xml:space="preserve">that is, </w:t>
      </w:r>
      <w:r w:rsidR="00411C65" w:rsidRPr="0090131B">
        <w:t>intended to</w:t>
      </w:r>
      <w:r w:rsidR="00B1705C" w:rsidRPr="0090131B">
        <w:t xml:space="preserve"> </w:t>
      </w:r>
      <w:r w:rsidR="00661EAC" w:rsidRPr="0090131B">
        <w:t xml:space="preserve">mainly </w:t>
      </w:r>
      <w:r w:rsidR="00B1705C" w:rsidRPr="0090131B">
        <w:t>complement the text of the ECHR</w:t>
      </w:r>
      <w:r w:rsidR="00411C65" w:rsidRPr="0090131B">
        <w:t xml:space="preserve">. The reason is that the ECHR contains </w:t>
      </w:r>
      <w:r w:rsidR="00411C65" w:rsidRPr="0090131B">
        <w:rPr>
          <w:i/>
        </w:rPr>
        <w:t>le</w:t>
      </w:r>
      <w:r w:rsidR="007F6F6C" w:rsidRPr="0090131B">
        <w:rPr>
          <w:i/>
        </w:rPr>
        <w:t>ges</w:t>
      </w:r>
      <w:r w:rsidR="00411C65" w:rsidRPr="0090131B">
        <w:rPr>
          <w:i/>
        </w:rPr>
        <w:t xml:space="preserve"> </w:t>
      </w:r>
      <w:r w:rsidR="007F6F6C" w:rsidRPr="0090131B">
        <w:rPr>
          <w:i/>
        </w:rPr>
        <w:t>speciales</w:t>
      </w:r>
      <w:r w:rsidR="00411C65" w:rsidRPr="0090131B">
        <w:t>, namely</w:t>
      </w:r>
      <w:r w:rsidR="00B1705C" w:rsidRPr="0090131B">
        <w:t xml:space="preserve"> Article</w:t>
      </w:r>
      <w:r w:rsidR="009D2EDA" w:rsidRPr="0090131B">
        <w:t>s</w:t>
      </w:r>
      <w:r w:rsidR="00B1705C" w:rsidRPr="0090131B">
        <w:t xml:space="preserve"> 17</w:t>
      </w:r>
      <w:r w:rsidR="009D2EDA" w:rsidRPr="0090131B">
        <w:t xml:space="preserve"> and 18. </w:t>
      </w:r>
      <w:r w:rsidR="002B18BD" w:rsidRPr="0090131B">
        <w:t>Th</w:t>
      </w:r>
      <w:r w:rsidR="00825C5C">
        <w:t>e</w:t>
      </w:r>
      <w:r w:rsidR="00CE7372" w:rsidRPr="0090131B">
        <w:t xml:space="preserve"> </w:t>
      </w:r>
      <w:r w:rsidR="00C30233">
        <w:t xml:space="preserve">following </w:t>
      </w:r>
      <w:r w:rsidR="00CE7372" w:rsidRPr="0090131B">
        <w:t>se</w:t>
      </w:r>
      <w:r w:rsidR="008E4DA6">
        <w:t>cti</w:t>
      </w:r>
      <w:r w:rsidR="00CE7372" w:rsidRPr="0090131B">
        <w:t>on</w:t>
      </w:r>
      <w:r w:rsidR="00825C5C">
        <w:t>s</w:t>
      </w:r>
      <w:r w:rsidR="00CE7372" w:rsidRPr="0090131B">
        <w:t xml:space="preserve"> of th</w:t>
      </w:r>
      <w:r w:rsidR="00F93841">
        <w:t>is Part of the</w:t>
      </w:r>
      <w:r w:rsidR="00CE7372" w:rsidRPr="0090131B">
        <w:t xml:space="preserve"> study</w:t>
      </w:r>
      <w:r w:rsidR="00825C5C">
        <w:t xml:space="preserve"> </w:t>
      </w:r>
      <w:r w:rsidR="00CE7372" w:rsidRPr="0090131B">
        <w:t xml:space="preserve">give, first, a general overview of </w:t>
      </w:r>
      <w:r w:rsidR="00524A86" w:rsidRPr="0090131B">
        <w:t>named ECHR</w:t>
      </w:r>
      <w:r w:rsidR="003C4824">
        <w:t xml:space="preserve"> Articles</w:t>
      </w:r>
      <w:r w:rsidR="00CE7372" w:rsidRPr="0090131B">
        <w:t xml:space="preserve">, to focus then on Article 18 </w:t>
      </w:r>
      <w:r w:rsidR="00747065" w:rsidRPr="0090131B">
        <w:t>-</w:t>
      </w:r>
      <w:r w:rsidR="00CE7372" w:rsidRPr="0090131B">
        <w:t xml:space="preserve">in particular on the test for its breach </w:t>
      </w:r>
      <w:r w:rsidR="00524A86" w:rsidRPr="0090131B">
        <w:t xml:space="preserve">that the GC </w:t>
      </w:r>
      <w:r w:rsidR="00CE7372" w:rsidRPr="0090131B">
        <w:t xml:space="preserve">established relatively recently and the </w:t>
      </w:r>
      <w:r w:rsidR="00524A86" w:rsidRPr="0090131B">
        <w:t xml:space="preserve">scenarios </w:t>
      </w:r>
      <w:r w:rsidR="00C30233">
        <w:t xml:space="preserve">that </w:t>
      </w:r>
      <w:r w:rsidR="00524A86" w:rsidRPr="0090131B">
        <w:t xml:space="preserve">this entails. </w:t>
      </w:r>
      <w:r w:rsidR="001C0A3F">
        <w:t xml:space="preserve"> </w:t>
      </w:r>
      <w:r w:rsidR="005C6E81">
        <w:t xml:space="preserve">In comparison with </w:t>
      </w:r>
      <w:r w:rsidR="001C0A3F">
        <w:t xml:space="preserve">Article 17, </w:t>
      </w:r>
      <w:r w:rsidR="00147F8B">
        <w:t xml:space="preserve">Article 18 has been used </w:t>
      </w:r>
      <w:r w:rsidR="008444FA">
        <w:t xml:space="preserve">less </w:t>
      </w:r>
      <w:r w:rsidR="00147F8B">
        <w:t>in the ECtHR case law, staying for several decades in a dormant state.</w:t>
      </w:r>
      <w:bookmarkStart w:id="55" w:name="_Ref532311634"/>
      <w:r w:rsidR="00D75D23">
        <w:rPr>
          <w:rStyle w:val="FootnoteReference"/>
        </w:rPr>
        <w:footnoteReference w:id="97"/>
      </w:r>
      <w:bookmarkEnd w:id="55"/>
      <w:r w:rsidR="00147F8B">
        <w:t xml:space="preserve"> Yet, important recent case law reveals the effects </w:t>
      </w:r>
      <w:r w:rsidR="00752BFA">
        <w:t xml:space="preserve">that </w:t>
      </w:r>
      <w:r w:rsidR="00147F8B">
        <w:t xml:space="preserve">it can produce and establishes the conditions that should apply for these effects to be </w:t>
      </w:r>
      <w:r w:rsidR="00F93841">
        <w:t>generated</w:t>
      </w:r>
      <w:r w:rsidR="00147F8B">
        <w:t>.</w:t>
      </w:r>
    </w:p>
    <w:p w14:paraId="273BD7FD" w14:textId="77777777" w:rsidR="002B18BD" w:rsidRPr="0090131B" w:rsidRDefault="002B18BD" w:rsidP="00697BA1">
      <w:pPr>
        <w:ind w:right="-52"/>
        <w:jc w:val="both"/>
      </w:pPr>
    </w:p>
    <w:p w14:paraId="4B01C412" w14:textId="1326BBEB" w:rsidR="009D2EDA" w:rsidRPr="006E0B80" w:rsidRDefault="002B18BD" w:rsidP="006E0B80">
      <w:pPr>
        <w:ind w:firstLine="720"/>
        <w:jc w:val="both"/>
        <w:rPr>
          <w:b/>
        </w:rPr>
      </w:pPr>
      <w:r w:rsidRPr="0090131B">
        <w:rPr>
          <w:b/>
        </w:rPr>
        <w:t>IV.B.1. An Overview of Articles 17 and 18 ECHR</w:t>
      </w:r>
    </w:p>
    <w:p w14:paraId="2309DD54" w14:textId="29829CD2" w:rsidR="00C13450" w:rsidRPr="0090131B" w:rsidRDefault="009D2EDA" w:rsidP="00697BA1">
      <w:pPr>
        <w:ind w:right="-52"/>
        <w:jc w:val="both"/>
      </w:pPr>
      <w:r w:rsidRPr="0090131B">
        <w:t>Article 17</w:t>
      </w:r>
      <w:r w:rsidR="00B1705C" w:rsidRPr="0090131B">
        <w:t xml:space="preserve"> </w:t>
      </w:r>
      <w:r w:rsidR="00625C14" w:rsidRPr="0090131B">
        <w:t xml:space="preserve">ECHR </w:t>
      </w:r>
      <w:r w:rsidR="00B1705C" w:rsidRPr="0090131B">
        <w:t>explicitly prohibits abuse of rights</w:t>
      </w:r>
      <w:r w:rsidR="00734530" w:rsidRPr="0090131B">
        <w:t xml:space="preserve"> and</w:t>
      </w:r>
      <w:r w:rsidR="0007757A" w:rsidRPr="0090131B">
        <w:t>,</w:t>
      </w:r>
      <w:r w:rsidR="00734530" w:rsidRPr="0090131B">
        <w:t xml:space="preserve"> in particular</w:t>
      </w:r>
      <w:r w:rsidR="0007757A" w:rsidRPr="0090131B">
        <w:t>,</w:t>
      </w:r>
      <w:r w:rsidR="00734530" w:rsidRPr="0090131B">
        <w:t xml:space="preserve"> engaging “in any activity or perform</w:t>
      </w:r>
      <w:r w:rsidR="00C553A2" w:rsidRPr="0090131B">
        <w:t>[ing]</w:t>
      </w:r>
      <w:r w:rsidR="00734530" w:rsidRPr="0090131B">
        <w:t xml:space="preserve"> any act aimed at the destruction of any of the rights and</w:t>
      </w:r>
      <w:r w:rsidR="00C553A2" w:rsidRPr="0090131B">
        <w:t xml:space="preserve"> freedoms […] or at their limitation to a greater extent than is provided for in the Convention.’</w:t>
      </w:r>
      <w:bookmarkStart w:id="56" w:name="_Ref532310943"/>
      <w:r w:rsidR="00C672AE" w:rsidRPr="0090131B">
        <w:rPr>
          <w:rStyle w:val="FootnoteReference"/>
        </w:rPr>
        <w:footnoteReference w:id="98"/>
      </w:r>
      <w:bookmarkEnd w:id="56"/>
      <w:r w:rsidR="00B1705C" w:rsidRPr="0090131B">
        <w:t xml:space="preserve"> The prohibition </w:t>
      </w:r>
      <w:r w:rsidR="00F1351B" w:rsidRPr="0090131B">
        <w:t xml:space="preserve">is addressed to both </w:t>
      </w:r>
      <w:r w:rsidR="00C553A2" w:rsidRPr="0090131B">
        <w:t xml:space="preserve">human rights </w:t>
      </w:r>
      <w:r w:rsidR="00F1351B" w:rsidRPr="0090131B">
        <w:t>victims</w:t>
      </w:r>
      <w:r w:rsidR="007D6C27" w:rsidRPr="0090131B">
        <w:t xml:space="preserve"> and states</w:t>
      </w:r>
      <w:r w:rsidR="00F1351B" w:rsidRPr="0090131B">
        <w:t>.</w:t>
      </w:r>
      <w:r w:rsidR="007D6C27" w:rsidRPr="0090131B">
        <w:t xml:space="preserve"> Its latter dimension, </w:t>
      </w:r>
      <w:r w:rsidR="00E46CB1" w:rsidRPr="0090131B">
        <w:rPr>
          <w:i/>
        </w:rPr>
        <w:t>i.e.</w:t>
      </w:r>
      <w:r w:rsidR="007D6C27" w:rsidRPr="0090131B">
        <w:t xml:space="preserve"> when</w:t>
      </w:r>
      <w:r w:rsidR="00887983" w:rsidRPr="0090131B">
        <w:t xml:space="preserve"> </w:t>
      </w:r>
      <w:r w:rsidR="001E2753" w:rsidRPr="0090131B">
        <w:t xml:space="preserve">the prohibition </w:t>
      </w:r>
      <w:r w:rsidR="00887983" w:rsidRPr="0090131B">
        <w:t>concerns</w:t>
      </w:r>
      <w:r w:rsidR="007D6C27" w:rsidRPr="0090131B">
        <w:t xml:space="preserve"> states, aims at ensuring that national authorities will not restrict human rights </w:t>
      </w:r>
      <w:r w:rsidR="00266F6E" w:rsidRPr="0090131B">
        <w:t xml:space="preserve">for motivations and </w:t>
      </w:r>
      <w:r w:rsidR="007E6486">
        <w:t xml:space="preserve">the pursuance of </w:t>
      </w:r>
      <w:r w:rsidR="003B3A40" w:rsidRPr="0090131B">
        <w:t xml:space="preserve">aims that are </w:t>
      </w:r>
      <w:r w:rsidR="00795D4E" w:rsidRPr="0090131B">
        <w:t>foreign</w:t>
      </w:r>
      <w:r w:rsidR="003B3A40" w:rsidRPr="0090131B">
        <w:t xml:space="preserve"> to the ECHR.</w:t>
      </w:r>
      <w:bookmarkStart w:id="57" w:name="_Ref492905517"/>
      <w:r w:rsidR="00887983" w:rsidRPr="0090131B">
        <w:rPr>
          <w:rStyle w:val="FootnoteReference"/>
        </w:rPr>
        <w:footnoteReference w:id="99"/>
      </w:r>
      <w:bookmarkEnd w:id="57"/>
      <w:r w:rsidR="00F1351B" w:rsidRPr="0090131B">
        <w:t xml:space="preserve"> </w:t>
      </w:r>
      <w:r w:rsidR="00E213E4" w:rsidRPr="0090131B">
        <w:t>Article 17 may be pleaded agai</w:t>
      </w:r>
      <w:r w:rsidR="0007757A" w:rsidRPr="0090131B">
        <w:t>nst states, but also by states.</w:t>
      </w:r>
      <w:r w:rsidR="00E213E4" w:rsidRPr="0090131B">
        <w:t xml:space="preserve"> Starting with the </w:t>
      </w:r>
      <w:r w:rsidR="00012A6C" w:rsidRPr="0090131B">
        <w:t xml:space="preserve">second </w:t>
      </w:r>
      <w:r w:rsidR="00E213E4" w:rsidRPr="0090131B">
        <w:t>scenario, a</w:t>
      </w:r>
      <w:r w:rsidR="005F1B54" w:rsidRPr="0090131B">
        <w:t xml:space="preserve"> </w:t>
      </w:r>
      <w:r w:rsidR="00E213E4" w:rsidRPr="0090131B">
        <w:t>s</w:t>
      </w:r>
      <w:r w:rsidR="005F1B54" w:rsidRPr="0090131B">
        <w:t xml:space="preserve">tate </w:t>
      </w:r>
      <w:r w:rsidR="003D53A3" w:rsidRPr="0090131B">
        <w:t>can invoke Article 17 as a defence against abusive (o</w:t>
      </w:r>
      <w:r w:rsidR="005914E2" w:rsidRPr="0090131B">
        <w:t xml:space="preserve">ften declared </w:t>
      </w:r>
      <w:r w:rsidR="00723BF6" w:rsidRPr="0090131B">
        <w:t>inadmissible</w:t>
      </w:r>
      <w:r w:rsidR="00E85BC7" w:rsidRPr="0090131B">
        <w:rPr>
          <w:rStyle w:val="FootnoteReference"/>
        </w:rPr>
        <w:footnoteReference w:id="100"/>
      </w:r>
      <w:r w:rsidR="003D53A3" w:rsidRPr="0090131B">
        <w:t xml:space="preserve">) </w:t>
      </w:r>
      <w:r w:rsidR="00DA7932" w:rsidRPr="0090131B">
        <w:t>claims against it before the ECtHR</w:t>
      </w:r>
      <w:r w:rsidR="00782498" w:rsidRPr="0090131B">
        <w:t>.</w:t>
      </w:r>
      <w:r w:rsidR="00637753" w:rsidRPr="0090131B">
        <w:t xml:space="preserve"> </w:t>
      </w:r>
      <w:r w:rsidR="00782498" w:rsidRPr="0090131B">
        <w:t>This</w:t>
      </w:r>
      <w:r w:rsidR="00637753" w:rsidRPr="0090131B">
        <w:t xml:space="preserve"> may </w:t>
      </w:r>
      <w:r w:rsidR="00782498" w:rsidRPr="0090131B">
        <w:t>also be done</w:t>
      </w:r>
      <w:r w:rsidR="00637753" w:rsidRPr="0090131B">
        <w:t xml:space="preserve"> in case of emergencies justifying a derogation from the ECHR under Article 15. In </w:t>
      </w:r>
      <w:r w:rsidR="00637753" w:rsidRPr="0090131B">
        <w:rPr>
          <w:i/>
        </w:rPr>
        <w:t xml:space="preserve">Lawless </w:t>
      </w:r>
      <w:r w:rsidR="00030DF1" w:rsidRPr="0090131B">
        <w:rPr>
          <w:i/>
        </w:rPr>
        <w:t xml:space="preserve">(No </w:t>
      </w:r>
      <w:r w:rsidR="00637753" w:rsidRPr="0090131B">
        <w:rPr>
          <w:i/>
        </w:rPr>
        <w:t>3</w:t>
      </w:r>
      <w:r w:rsidR="00030DF1" w:rsidRPr="0090131B">
        <w:rPr>
          <w:i/>
        </w:rPr>
        <w:t>)</w:t>
      </w:r>
      <w:r w:rsidR="00030DF1" w:rsidRPr="0090131B">
        <w:t>,</w:t>
      </w:r>
      <w:r w:rsidR="003D5AA6" w:rsidRPr="0090131B">
        <w:t xml:space="preserve"> the </w:t>
      </w:r>
      <w:r w:rsidR="00D82E43" w:rsidRPr="0090131B">
        <w:t xml:space="preserve">Court </w:t>
      </w:r>
      <w:r w:rsidR="002A1DA4" w:rsidRPr="0090131B">
        <w:t>found</w:t>
      </w:r>
      <w:r w:rsidR="004B17E8" w:rsidRPr="0090131B">
        <w:t xml:space="preserve"> that</w:t>
      </w:r>
      <w:r w:rsidR="00DD25ED" w:rsidRPr="0090131B">
        <w:t>,</w:t>
      </w:r>
      <w:r w:rsidR="00782498" w:rsidRPr="0090131B">
        <w:t xml:space="preserve"> </w:t>
      </w:r>
      <w:r w:rsidR="00DD25ED" w:rsidRPr="0090131B">
        <w:t xml:space="preserve">in accordance with Article 15, </w:t>
      </w:r>
      <w:r w:rsidR="00D82E43" w:rsidRPr="0090131B">
        <w:lastRenderedPageBreak/>
        <w:t xml:space="preserve">the </w:t>
      </w:r>
      <w:r w:rsidR="004B17E8" w:rsidRPr="0090131B">
        <w:t xml:space="preserve">respondent state was </w:t>
      </w:r>
      <w:r w:rsidR="00D82E43" w:rsidRPr="0090131B">
        <w:t>entitled</w:t>
      </w:r>
      <w:r w:rsidR="00F35E2C" w:rsidRPr="0090131B">
        <w:t xml:space="preserve"> </w:t>
      </w:r>
      <w:r w:rsidR="004B17E8" w:rsidRPr="0090131B">
        <w:t xml:space="preserve">to take measures </w:t>
      </w:r>
      <w:r w:rsidR="00D82E43" w:rsidRPr="0090131B">
        <w:t xml:space="preserve">derogating from </w:t>
      </w:r>
      <w:r w:rsidR="004B17E8" w:rsidRPr="0090131B">
        <w:t>its</w:t>
      </w:r>
      <w:r w:rsidR="00D82E43" w:rsidRPr="0090131B">
        <w:t xml:space="preserve"> obligations</w:t>
      </w:r>
      <w:r w:rsidR="004B17E8" w:rsidRPr="0090131B">
        <w:t xml:space="preserve"> </w:t>
      </w:r>
      <w:r w:rsidR="002D317A" w:rsidRPr="0090131B">
        <w:t>under the Convention</w:t>
      </w:r>
      <w:r w:rsidR="00F35E2C" w:rsidRPr="0090131B">
        <w:t>, b</w:t>
      </w:r>
      <w:r w:rsidR="00DE3B72" w:rsidRPr="0090131B">
        <w:t xml:space="preserve">ut </w:t>
      </w:r>
      <w:r w:rsidR="00D013A7">
        <w:t xml:space="preserve">that </w:t>
      </w:r>
      <w:r w:rsidR="00F35E2C" w:rsidRPr="0090131B">
        <w:t>it</w:t>
      </w:r>
      <w:r w:rsidR="002A1DA4" w:rsidRPr="0090131B">
        <w:t xml:space="preserve"> was wrong to argue that the </w:t>
      </w:r>
      <w:r w:rsidR="00DE3B72" w:rsidRPr="0090131B">
        <w:t xml:space="preserve">applicant </w:t>
      </w:r>
      <w:r w:rsidR="00305F6A" w:rsidRPr="0090131B">
        <w:t xml:space="preserve">had </w:t>
      </w:r>
      <w:r w:rsidR="00DE3B72" w:rsidRPr="0090131B">
        <w:t>abuse</w:t>
      </w:r>
      <w:r w:rsidR="002A1DA4" w:rsidRPr="0090131B">
        <w:t>d</w:t>
      </w:r>
      <w:r w:rsidR="00DE3B72" w:rsidRPr="0090131B">
        <w:t xml:space="preserve"> his </w:t>
      </w:r>
      <w:r w:rsidR="00F35E2C" w:rsidRPr="0090131B">
        <w:t xml:space="preserve">ECHR </w:t>
      </w:r>
      <w:r w:rsidR="00DE3B72" w:rsidRPr="0090131B">
        <w:t>rights</w:t>
      </w:r>
      <w:r w:rsidR="00F35E2C" w:rsidRPr="0090131B">
        <w:t>.</w:t>
      </w:r>
      <w:r w:rsidR="00F35E2C" w:rsidRPr="0090131B">
        <w:rPr>
          <w:rStyle w:val="FootnoteReference"/>
        </w:rPr>
        <w:footnoteReference w:id="101"/>
      </w:r>
      <w:r w:rsidR="003D5AA6" w:rsidRPr="0090131B">
        <w:t xml:space="preserve"> </w:t>
      </w:r>
      <w:r w:rsidR="00F35E2C" w:rsidRPr="0090131B">
        <w:t>T</w:t>
      </w:r>
      <w:r w:rsidR="003D5AA6" w:rsidRPr="0090131B">
        <w:t>he purpose of Article 17 “</w:t>
      </w:r>
      <w:r w:rsidR="00DD3854" w:rsidRPr="0090131B">
        <w:t xml:space="preserve">is to make it impossible </w:t>
      </w:r>
      <w:r w:rsidR="003D5AA6" w:rsidRPr="0090131B">
        <w:t>[…]</w:t>
      </w:r>
      <w:r w:rsidR="00DD3854" w:rsidRPr="0090131B">
        <w:t xml:space="preserve"> to derive from the Convention a right to engage in any activity or perform any act aimed at destroying any of the rights and freedoms set forth in the Convention</w:t>
      </w:r>
      <w:r w:rsidR="002D317A" w:rsidRPr="0090131B">
        <w:t>”.</w:t>
      </w:r>
      <w:r w:rsidR="007A4387" w:rsidRPr="0090131B">
        <w:rPr>
          <w:rStyle w:val="FootnoteReference"/>
        </w:rPr>
        <w:footnoteReference w:id="102"/>
      </w:r>
      <w:r w:rsidR="002D317A" w:rsidRPr="0090131B">
        <w:t xml:space="preserve"> However, abuse of rights, “</w:t>
      </w:r>
      <w:r w:rsidR="00DD3854" w:rsidRPr="0090131B">
        <w:t xml:space="preserve">cannot be construed </w:t>
      </w:r>
      <w:r w:rsidR="00DD3854" w:rsidRPr="0090131B">
        <w:rPr>
          <w:i/>
        </w:rPr>
        <w:t>a contrario</w:t>
      </w:r>
      <w:r w:rsidR="00DD3854" w:rsidRPr="0090131B">
        <w:t xml:space="preserve"> as depriving a physical person of the fundamental individual rights guaranteed by </w:t>
      </w:r>
      <w:r w:rsidR="00EA02D7" w:rsidRPr="0090131B">
        <w:t>[…]</w:t>
      </w:r>
      <w:r w:rsidR="00DD3854" w:rsidRPr="0090131B">
        <w:t xml:space="preserve"> the Convention</w:t>
      </w:r>
      <w:r w:rsidR="00EA02D7" w:rsidRPr="0090131B">
        <w:t>”</w:t>
      </w:r>
      <w:r w:rsidR="007B7828">
        <w:t>;</w:t>
      </w:r>
      <w:r w:rsidR="007A4387" w:rsidRPr="0090131B">
        <w:rPr>
          <w:rStyle w:val="FootnoteReference"/>
        </w:rPr>
        <w:footnoteReference w:id="103"/>
      </w:r>
      <w:r w:rsidR="00DD3854" w:rsidRPr="0090131B">
        <w:t xml:space="preserve"> </w:t>
      </w:r>
      <w:r w:rsidR="007B7828">
        <w:t>t</w:t>
      </w:r>
      <w:r w:rsidR="00B41ECA" w:rsidRPr="0090131B">
        <w:t>herefore, b</w:t>
      </w:r>
      <w:r w:rsidR="00EA02D7" w:rsidRPr="0090131B">
        <w:t>ecause the applicant</w:t>
      </w:r>
      <w:r w:rsidR="00A054C3" w:rsidRPr="0090131B">
        <w:t xml:space="preserve"> in </w:t>
      </w:r>
      <w:r w:rsidR="00A054C3" w:rsidRPr="0090131B">
        <w:rPr>
          <w:i/>
        </w:rPr>
        <w:t>Lawless (No 3)</w:t>
      </w:r>
      <w:r w:rsidR="00DD3854" w:rsidRPr="0090131B">
        <w:t> ha</w:t>
      </w:r>
      <w:r w:rsidR="00EA02D7" w:rsidRPr="0090131B">
        <w:t>d</w:t>
      </w:r>
      <w:r w:rsidR="00DD3854" w:rsidRPr="0090131B">
        <w:t xml:space="preserve"> </w:t>
      </w:r>
      <w:r w:rsidR="007A4387" w:rsidRPr="0090131B">
        <w:t>“</w:t>
      </w:r>
      <w:r w:rsidR="00DD3854" w:rsidRPr="0090131B">
        <w:t xml:space="preserve">not relied on the Convention </w:t>
      </w:r>
      <w:r w:rsidR="00DD3854" w:rsidRPr="0090131B">
        <w:rPr>
          <w:i/>
        </w:rPr>
        <w:t>in order to</w:t>
      </w:r>
      <w:r w:rsidR="00DD3854" w:rsidRPr="0090131B">
        <w:t xml:space="preserve"> justify or perform acts contrary to</w:t>
      </w:r>
      <w:r w:rsidR="007A4387" w:rsidRPr="0090131B">
        <w:t>” it, the Court refused to treat the complaint as abusive.</w:t>
      </w:r>
      <w:r w:rsidR="007A4387" w:rsidRPr="0090131B">
        <w:rPr>
          <w:rStyle w:val="FootnoteReference"/>
        </w:rPr>
        <w:footnoteReference w:id="104"/>
      </w:r>
      <w:r w:rsidR="00DD3854" w:rsidRPr="0090131B">
        <w:t> </w:t>
      </w:r>
      <w:r w:rsidR="00D304BA" w:rsidRPr="0090131B">
        <w:t>Moving then to the scenario of Article 17 being pleaded against a state</w:t>
      </w:r>
      <w:r w:rsidR="00573D13">
        <w:t>, a</w:t>
      </w:r>
      <w:r w:rsidR="002D2280" w:rsidRPr="0090131B">
        <w:t>s already argued</w:t>
      </w:r>
      <w:r w:rsidR="00F845B3" w:rsidRPr="0090131B">
        <w:t>,</w:t>
      </w:r>
      <w:r w:rsidR="002D2280" w:rsidRPr="0090131B">
        <w:t xml:space="preserve"> </w:t>
      </w:r>
      <w:r w:rsidR="00D304BA" w:rsidRPr="0090131B">
        <w:t>this is</w:t>
      </w:r>
      <w:r w:rsidR="002D2280" w:rsidRPr="0090131B">
        <w:t xml:space="preserve"> </w:t>
      </w:r>
      <w:r w:rsidR="00E85308" w:rsidRPr="0090131B">
        <w:t>basically</w:t>
      </w:r>
      <w:r w:rsidR="002D2280" w:rsidRPr="0090131B">
        <w:t xml:space="preserve"> an allegation of bad faith.</w:t>
      </w:r>
      <w:r w:rsidR="00FF59C8" w:rsidRPr="0090131B">
        <w:t xml:space="preserve"> </w:t>
      </w:r>
      <w:r w:rsidR="00E8297E">
        <w:t>I</w:t>
      </w:r>
      <w:r w:rsidR="00E8297E" w:rsidRPr="0090131B">
        <w:t xml:space="preserve">n the </w:t>
      </w:r>
      <w:r w:rsidR="00E8297E" w:rsidRPr="0090131B">
        <w:rPr>
          <w:i/>
        </w:rPr>
        <w:t xml:space="preserve">Greek Case </w:t>
      </w:r>
      <w:r w:rsidR="00E8297E">
        <w:rPr>
          <w:i/>
        </w:rPr>
        <w:t>,</w:t>
      </w:r>
      <w:r w:rsidR="00E8297E">
        <w:t>h</w:t>
      </w:r>
      <w:r w:rsidR="00B95B63" w:rsidRPr="0090131B">
        <w:t xml:space="preserve">aving found the derogations of the respondent unlawful under Article 15, </w:t>
      </w:r>
      <w:r w:rsidR="008B5346" w:rsidRPr="0090131B">
        <w:t>t</w:t>
      </w:r>
      <w:r w:rsidR="00FF59C8" w:rsidRPr="0090131B">
        <w:t>h</w:t>
      </w:r>
      <w:r w:rsidR="003F782C" w:rsidRPr="0090131B">
        <w:t>e European Commission on Human Rights (ECmHR)</w:t>
      </w:r>
      <w:r w:rsidR="00FC4F44">
        <w:t>,</w:t>
      </w:r>
      <w:r w:rsidR="003F782C" w:rsidRPr="0090131B">
        <w:t xml:space="preserve"> under the old system</w:t>
      </w:r>
      <w:r w:rsidR="008B5346" w:rsidRPr="0090131B">
        <w:t xml:space="preserve"> </w:t>
      </w:r>
      <w:r w:rsidR="00D03D8C" w:rsidRPr="0090131B">
        <w:t>(</w:t>
      </w:r>
      <w:r w:rsidR="00D03D8C" w:rsidRPr="006E0B80">
        <w:rPr>
          <w:i/>
        </w:rPr>
        <w:t>i.e.</w:t>
      </w:r>
      <w:r w:rsidR="00D03D8C" w:rsidRPr="0090131B">
        <w:t xml:space="preserve"> before Protocol 11)</w:t>
      </w:r>
      <w:r w:rsidR="00FC4F44">
        <w:t>,</w:t>
      </w:r>
      <w:r w:rsidR="00D03D8C" w:rsidRPr="0090131B">
        <w:t xml:space="preserve"> </w:t>
      </w:r>
      <w:r w:rsidR="008B5346" w:rsidRPr="0090131B">
        <w:t xml:space="preserve">refrained </w:t>
      </w:r>
      <w:r w:rsidR="00B95B63" w:rsidRPr="0090131B">
        <w:t>from</w:t>
      </w:r>
      <w:r w:rsidR="008B5346" w:rsidRPr="0090131B">
        <w:t xml:space="preserve"> examin</w:t>
      </w:r>
      <w:r w:rsidR="00B95B63" w:rsidRPr="0090131B">
        <w:t>ing</w:t>
      </w:r>
      <w:r w:rsidR="008B5346" w:rsidRPr="0090131B">
        <w:t xml:space="preserve"> the alleged br</w:t>
      </w:r>
      <w:r w:rsidR="00B95B63" w:rsidRPr="0090131B">
        <w:t>each of Articles 17 and 18 ECHR</w:t>
      </w:r>
      <w:r w:rsidR="00B02C4F" w:rsidRPr="0090131B">
        <w:t>.</w:t>
      </w:r>
      <w:bookmarkStart w:id="58" w:name="_Ref492912809"/>
      <w:r w:rsidR="00DF010C" w:rsidRPr="0090131B">
        <w:rPr>
          <w:rStyle w:val="FootnoteReference"/>
        </w:rPr>
        <w:footnoteReference w:id="105"/>
      </w:r>
      <w:bookmarkEnd w:id="58"/>
      <w:r w:rsidR="00531B87" w:rsidRPr="0090131B">
        <w:t xml:space="preserve"> </w:t>
      </w:r>
    </w:p>
    <w:p w14:paraId="661F3DE7" w14:textId="77777777" w:rsidR="00C13450" w:rsidRPr="0090131B" w:rsidRDefault="00C13450" w:rsidP="00697BA1">
      <w:pPr>
        <w:ind w:right="-52"/>
        <w:jc w:val="both"/>
      </w:pPr>
    </w:p>
    <w:p w14:paraId="51903480" w14:textId="691A3513" w:rsidR="009F72D1" w:rsidRPr="0090131B" w:rsidRDefault="00B02C4F" w:rsidP="008F5C69">
      <w:pPr>
        <w:ind w:right="-52"/>
        <w:jc w:val="both"/>
      </w:pPr>
      <w:r w:rsidRPr="0090131B">
        <w:t xml:space="preserve">The reference made to the </w:t>
      </w:r>
      <w:r w:rsidRPr="0090131B">
        <w:rPr>
          <w:i/>
        </w:rPr>
        <w:t>Greek case</w:t>
      </w:r>
      <w:r w:rsidRPr="0090131B">
        <w:t xml:space="preserve"> allows </w:t>
      </w:r>
      <w:r w:rsidR="00FC4F44">
        <w:t xml:space="preserve">for </w:t>
      </w:r>
      <w:r w:rsidR="00B95B63" w:rsidRPr="0090131B">
        <w:t>noting</w:t>
      </w:r>
      <w:r w:rsidRPr="0090131B">
        <w:t xml:space="preserve"> that</w:t>
      </w:r>
      <w:r w:rsidR="006B4D17" w:rsidRPr="0090131B">
        <w:t>, when submitting a complaint,</w:t>
      </w:r>
      <w:r w:rsidRPr="0090131B">
        <w:t xml:space="preserve"> a</w:t>
      </w:r>
      <w:r w:rsidR="00E85308" w:rsidRPr="0090131B">
        <w:t>pplicants</w:t>
      </w:r>
      <w:r w:rsidR="00942FA6" w:rsidRPr="0090131B">
        <w:t xml:space="preserve"> </w:t>
      </w:r>
      <w:r w:rsidR="003009E4" w:rsidRPr="0090131B">
        <w:t>may</w:t>
      </w:r>
      <w:r w:rsidR="00573D13">
        <w:t xml:space="preserve"> </w:t>
      </w:r>
      <w:r w:rsidR="00573D13" w:rsidRPr="0090131B">
        <w:t>–</w:t>
      </w:r>
      <w:r w:rsidR="00D11E5D" w:rsidRPr="0090131B">
        <w:t xml:space="preserve"> </w:t>
      </w:r>
      <w:r w:rsidR="006C0AC4" w:rsidRPr="0090131B">
        <w:t>and often do</w:t>
      </w:r>
      <w:r w:rsidR="00D11E5D" w:rsidRPr="0090131B">
        <w:t xml:space="preserve"> </w:t>
      </w:r>
      <w:r w:rsidR="00573D13" w:rsidRPr="0090131B">
        <w:t>–</w:t>
      </w:r>
      <w:r w:rsidR="00E85308" w:rsidRPr="0090131B">
        <w:t xml:space="preserve"> rely</w:t>
      </w:r>
      <w:r w:rsidR="00AF76FC" w:rsidRPr="0090131B">
        <w:t xml:space="preserve"> on both Articles 17 and 18</w:t>
      </w:r>
      <w:r w:rsidR="008F4F1B" w:rsidRPr="0090131B">
        <w:t>.</w:t>
      </w:r>
      <w:bookmarkStart w:id="59" w:name="_Ref492972226"/>
      <w:r w:rsidR="00C13450" w:rsidRPr="0090131B">
        <w:rPr>
          <w:rStyle w:val="FootnoteReference"/>
        </w:rPr>
        <w:footnoteReference w:id="106"/>
      </w:r>
      <w:bookmarkEnd w:id="59"/>
      <w:r w:rsidR="008F4F1B" w:rsidRPr="0090131B">
        <w:t xml:space="preserve"> </w:t>
      </w:r>
      <w:r w:rsidR="00D77E3A" w:rsidRPr="0090131B">
        <w:t>As far as</w:t>
      </w:r>
      <w:r w:rsidR="009A3905" w:rsidRPr="0090131B">
        <w:t xml:space="preserve"> the </w:t>
      </w:r>
      <w:r w:rsidR="008F4F1B" w:rsidRPr="0090131B">
        <w:t>latter</w:t>
      </w:r>
      <w:r w:rsidR="00AF76FC" w:rsidRPr="0090131B">
        <w:t xml:space="preserve"> provision</w:t>
      </w:r>
      <w:r w:rsidR="00D77E3A" w:rsidRPr="0090131B">
        <w:t xml:space="preserve"> is concerned</w:t>
      </w:r>
      <w:r w:rsidR="009A3905" w:rsidRPr="0090131B">
        <w:t>, Article 18</w:t>
      </w:r>
      <w:r w:rsidR="00697BA1" w:rsidRPr="0090131B">
        <w:t xml:space="preserve"> </w:t>
      </w:r>
      <w:r w:rsidR="005A05F2" w:rsidRPr="0090131B">
        <w:t xml:space="preserve">ECHR </w:t>
      </w:r>
      <w:r w:rsidR="00697BA1" w:rsidRPr="0090131B">
        <w:t>prohibits restrictions permitted under th</w:t>
      </w:r>
      <w:r w:rsidR="00AF76FC" w:rsidRPr="0090131B">
        <w:t>e</w:t>
      </w:r>
      <w:r w:rsidR="00697BA1" w:rsidRPr="0090131B">
        <w:t xml:space="preserve"> Convention to be applied for purposes other than </w:t>
      </w:r>
      <w:r w:rsidR="00FC4F44">
        <w:t xml:space="preserve">for </w:t>
      </w:r>
      <w:r w:rsidR="00697BA1" w:rsidRPr="0090131B">
        <w:t>those for which they have been prescribed.</w:t>
      </w:r>
      <w:r w:rsidR="00942FA6" w:rsidRPr="0090131B">
        <w:rPr>
          <w:rStyle w:val="FootnoteReference"/>
        </w:rPr>
        <w:footnoteReference w:id="107"/>
      </w:r>
      <w:r w:rsidR="00697BA1" w:rsidRPr="0090131B">
        <w:t xml:space="preserve"> </w:t>
      </w:r>
      <w:r w:rsidR="009C658B" w:rsidRPr="0090131B">
        <w:t xml:space="preserve">Indeed, Article 18 may be seen as covering a </w:t>
      </w:r>
      <w:r w:rsidR="00423597" w:rsidRPr="0090131B">
        <w:t>particular instance of abuse of rights</w:t>
      </w:r>
      <w:bookmarkStart w:id="60" w:name="_Ref493764722"/>
      <w:r w:rsidR="009F2173" w:rsidRPr="0090131B">
        <w:rPr>
          <w:rStyle w:val="FootnoteReference"/>
        </w:rPr>
        <w:footnoteReference w:id="108"/>
      </w:r>
      <w:bookmarkEnd w:id="60"/>
      <w:r w:rsidR="00AF76FC" w:rsidRPr="0090131B">
        <w:t xml:space="preserve"> (which is </w:t>
      </w:r>
      <w:r w:rsidR="008F4F1B" w:rsidRPr="0090131B">
        <w:t>centr</w:t>
      </w:r>
      <w:r w:rsidR="005C67CB" w:rsidRPr="0090131B">
        <w:t xml:space="preserve">al to the point made in this </w:t>
      </w:r>
      <w:r w:rsidR="00644251" w:rsidRPr="0090131B">
        <w:t>study</w:t>
      </w:r>
      <w:r w:rsidR="008F4F1B" w:rsidRPr="0090131B">
        <w:t xml:space="preserve"> regarding the intentions of the UK government)</w:t>
      </w:r>
      <w:r w:rsidR="00423597" w:rsidRPr="0090131B">
        <w:t xml:space="preserve">, namely when a state relies on </w:t>
      </w:r>
      <w:r w:rsidR="00216DEE">
        <w:t>the</w:t>
      </w:r>
      <w:r w:rsidR="00423597" w:rsidRPr="0090131B">
        <w:t xml:space="preserve"> Convention</w:t>
      </w:r>
      <w:r w:rsidR="00216DEE">
        <w:t xml:space="preserve"> provisions</w:t>
      </w:r>
      <w:r w:rsidR="00423597" w:rsidRPr="0090131B">
        <w:t xml:space="preserve"> that permit restrict</w:t>
      </w:r>
      <w:r w:rsidR="00363910" w:rsidRPr="0090131B">
        <w:t xml:space="preserve">ing the rights it </w:t>
      </w:r>
      <w:r w:rsidR="006F218A">
        <w:t>enshrines</w:t>
      </w:r>
      <w:r w:rsidR="00363910" w:rsidRPr="0090131B">
        <w:t xml:space="preserve"> for reasons </w:t>
      </w:r>
      <w:r w:rsidR="00846F53" w:rsidRPr="0090131B">
        <w:t>that are not genuine</w:t>
      </w:r>
      <w:r w:rsidR="00DF3829" w:rsidRPr="0090131B">
        <w:t>,</w:t>
      </w:r>
      <w:r w:rsidR="00846F53" w:rsidRPr="0090131B">
        <w:t xml:space="preserve"> </w:t>
      </w:r>
      <w:r w:rsidR="00FF7A4B" w:rsidRPr="0090131B">
        <w:t>that is, for aims that</w:t>
      </w:r>
      <w:r w:rsidR="00846F53" w:rsidRPr="0090131B">
        <w:t xml:space="preserve"> do not correspond</w:t>
      </w:r>
      <w:r w:rsidR="00363910" w:rsidRPr="0090131B">
        <w:t xml:space="preserve"> </w:t>
      </w:r>
      <w:r w:rsidR="00846F53" w:rsidRPr="0090131B">
        <w:t xml:space="preserve">to </w:t>
      </w:r>
      <w:r w:rsidR="00363910" w:rsidRPr="0090131B">
        <w:t xml:space="preserve">the ones </w:t>
      </w:r>
      <w:r w:rsidR="000C5085" w:rsidRPr="0090131B">
        <w:t>truly</w:t>
      </w:r>
      <w:r w:rsidR="00846F53" w:rsidRPr="0090131B">
        <w:t xml:space="preserve"> </w:t>
      </w:r>
      <w:r w:rsidR="00A051A6" w:rsidRPr="0090131B">
        <w:t xml:space="preserve">animating </w:t>
      </w:r>
      <w:r w:rsidR="00363910" w:rsidRPr="0090131B">
        <w:t>its conduct</w:t>
      </w:r>
      <w:r w:rsidR="00081E09" w:rsidRPr="0090131B">
        <w:t xml:space="preserve"> and </w:t>
      </w:r>
      <w:r w:rsidR="000C5085" w:rsidRPr="0090131B">
        <w:t>to</w:t>
      </w:r>
      <w:r w:rsidR="00750FFD" w:rsidRPr="0090131B">
        <w:t xml:space="preserve"> the goals it </w:t>
      </w:r>
      <w:r w:rsidR="006C3A63" w:rsidRPr="0090131B">
        <w:t xml:space="preserve">actually </w:t>
      </w:r>
      <w:r w:rsidR="00750FFD" w:rsidRPr="0090131B">
        <w:t>pursues.</w:t>
      </w:r>
      <w:bookmarkStart w:id="61" w:name="_Ref493754440"/>
      <w:r w:rsidR="00DF6AE6" w:rsidRPr="0090131B">
        <w:rPr>
          <w:rStyle w:val="FootnoteReference"/>
        </w:rPr>
        <w:footnoteReference w:id="109"/>
      </w:r>
      <w:bookmarkEnd w:id="61"/>
      <w:r w:rsidR="003B0B02" w:rsidRPr="0090131B">
        <w:t xml:space="preserve"> Like Article 17, Article 18 may be </w:t>
      </w:r>
      <w:r w:rsidR="00D86E3D" w:rsidRPr="0090131B">
        <w:t xml:space="preserve">applied </w:t>
      </w:r>
      <w:r w:rsidR="00081E09" w:rsidRPr="0090131B">
        <w:t>in relation to</w:t>
      </w:r>
      <w:r w:rsidR="00D86E3D" w:rsidRPr="0090131B">
        <w:t xml:space="preserve"> Article 15.</w:t>
      </w:r>
      <w:bookmarkStart w:id="62" w:name="_Ref493233350"/>
      <w:r w:rsidR="00301B5D" w:rsidRPr="0090131B">
        <w:rPr>
          <w:rStyle w:val="FootnoteReference"/>
        </w:rPr>
        <w:footnoteReference w:id="110"/>
      </w:r>
      <w:bookmarkEnd w:id="62"/>
      <w:r w:rsidR="009F72D1" w:rsidRPr="0090131B">
        <w:t xml:space="preserve"> In </w:t>
      </w:r>
      <w:r w:rsidR="009F72D1" w:rsidRPr="0090131B">
        <w:rPr>
          <w:i/>
        </w:rPr>
        <w:t>De Becker</w:t>
      </w:r>
      <w:r w:rsidR="009F72D1" w:rsidRPr="0090131B">
        <w:t>,</w:t>
      </w:r>
      <w:r w:rsidR="009F72D1" w:rsidRPr="0090131B">
        <w:rPr>
          <w:i/>
        </w:rPr>
        <w:t xml:space="preserve"> </w:t>
      </w:r>
      <w:r w:rsidR="009F72D1" w:rsidRPr="0090131B">
        <w:t xml:space="preserve">the </w:t>
      </w:r>
      <w:r w:rsidR="00B84DA2" w:rsidRPr="0090131B">
        <w:t>ECmHR</w:t>
      </w:r>
      <w:r w:rsidR="00B84DA2" w:rsidRPr="0090131B" w:rsidDel="00B84DA2">
        <w:t xml:space="preserve"> </w:t>
      </w:r>
      <w:r w:rsidR="009F72D1" w:rsidRPr="0090131B">
        <w:t xml:space="preserve">employed Article 18 in a way that complemented Article 15(3) </w:t>
      </w:r>
      <w:r w:rsidR="005F7814">
        <w:t xml:space="preserve">as </w:t>
      </w:r>
      <w:r w:rsidR="009F72D1" w:rsidRPr="0090131B">
        <w:t xml:space="preserve">to conclude that derogations cannot continue once </w:t>
      </w:r>
      <w:r w:rsidR="00091134" w:rsidRPr="0090131B">
        <w:t xml:space="preserve">an </w:t>
      </w:r>
      <w:r w:rsidR="009F72D1" w:rsidRPr="0090131B">
        <w:t>emergency is over.</w:t>
      </w:r>
      <w:r w:rsidR="009F72D1" w:rsidRPr="0090131B">
        <w:rPr>
          <w:rStyle w:val="FootnoteReference"/>
        </w:rPr>
        <w:footnoteReference w:id="111"/>
      </w:r>
      <w:r w:rsidR="00531B87" w:rsidRPr="0090131B">
        <w:t xml:space="preserve"> </w:t>
      </w:r>
    </w:p>
    <w:p w14:paraId="0D33FE2A" w14:textId="77777777" w:rsidR="00D86E3D" w:rsidRPr="0090131B" w:rsidRDefault="00D86E3D" w:rsidP="008F5C69">
      <w:pPr>
        <w:ind w:right="-52"/>
        <w:jc w:val="both"/>
      </w:pPr>
    </w:p>
    <w:p w14:paraId="4F8EA93A" w14:textId="11C0EA5E" w:rsidR="008F5C69" w:rsidRPr="0090131B" w:rsidRDefault="005F7814" w:rsidP="006423D1">
      <w:pPr>
        <w:ind w:right="-52"/>
        <w:jc w:val="both"/>
      </w:pPr>
      <w:r>
        <w:t>This</w:t>
      </w:r>
      <w:r w:rsidR="00D86E3D" w:rsidRPr="0090131B">
        <w:t xml:space="preserve"> is not</w:t>
      </w:r>
      <w:r>
        <w:t>, however,</w:t>
      </w:r>
      <w:r w:rsidR="00D86E3D" w:rsidRPr="0090131B">
        <w:t xml:space="preserve"> where</w:t>
      </w:r>
      <w:r w:rsidR="00F546C2">
        <w:t xml:space="preserve"> the</w:t>
      </w:r>
      <w:r w:rsidR="00D86E3D" w:rsidRPr="0090131B">
        <w:t xml:space="preserve"> commonalities between </w:t>
      </w:r>
      <w:r w:rsidR="00B02C4F" w:rsidRPr="0090131B">
        <w:t xml:space="preserve">Articles 17 and 18 </w:t>
      </w:r>
      <w:r w:rsidR="00D86E3D" w:rsidRPr="0090131B">
        <w:t xml:space="preserve">stop. </w:t>
      </w:r>
      <w:r w:rsidR="00F546C2">
        <w:t>In fact, t</w:t>
      </w:r>
      <w:r w:rsidR="00B02C4F" w:rsidRPr="0090131B">
        <w:t xml:space="preserve">hey </w:t>
      </w:r>
      <w:r w:rsidR="00A40581" w:rsidRPr="0090131B">
        <w:t>are</w:t>
      </w:r>
      <w:r w:rsidR="00F546C2">
        <w:t xml:space="preserve"> also</w:t>
      </w:r>
      <w:r w:rsidR="00A40581" w:rsidRPr="0090131B">
        <w:t xml:space="preserve"> </w:t>
      </w:r>
      <w:r w:rsidR="00524602" w:rsidRPr="0090131B">
        <w:t xml:space="preserve">both </w:t>
      </w:r>
      <w:r w:rsidR="00A40581" w:rsidRPr="0090131B">
        <w:t xml:space="preserve">seen as </w:t>
      </w:r>
      <w:r w:rsidR="00B02C4F" w:rsidRPr="0090131B">
        <w:t>hav</w:t>
      </w:r>
      <w:r w:rsidR="00A40581" w:rsidRPr="0090131B">
        <w:t>ing</w:t>
      </w:r>
      <w:r w:rsidR="00B02C4F" w:rsidRPr="0090131B">
        <w:t xml:space="preserve"> no </w:t>
      </w:r>
      <w:r w:rsidR="00062954" w:rsidRPr="0090131B">
        <w:t>independent existence</w:t>
      </w:r>
      <w:r w:rsidR="000C5085" w:rsidRPr="0090131B">
        <w:t>.</w:t>
      </w:r>
      <w:bookmarkStart w:id="63" w:name="_Ref531270506"/>
      <w:r w:rsidR="009036B5" w:rsidRPr="0090131B">
        <w:rPr>
          <w:rStyle w:val="FootnoteReference"/>
        </w:rPr>
        <w:footnoteReference w:id="112"/>
      </w:r>
      <w:bookmarkEnd w:id="63"/>
      <w:r w:rsidR="00F546C2">
        <w:t>As such</w:t>
      </w:r>
      <w:r w:rsidR="000C5085" w:rsidRPr="0090131B">
        <w:t>, they</w:t>
      </w:r>
      <w:r w:rsidR="0048466D" w:rsidRPr="0090131B">
        <w:t xml:space="preserve"> must </w:t>
      </w:r>
      <w:r w:rsidR="00764968" w:rsidRPr="0090131B">
        <w:t xml:space="preserve">always </w:t>
      </w:r>
      <w:r w:rsidR="0048466D" w:rsidRPr="0090131B">
        <w:t>be associated</w:t>
      </w:r>
      <w:r w:rsidR="00C75535" w:rsidRPr="0090131B">
        <w:t>, that is</w:t>
      </w:r>
      <w:r w:rsidR="00691EEF" w:rsidRPr="0090131B">
        <w:t xml:space="preserve"> to say</w:t>
      </w:r>
      <w:r w:rsidR="00C75535" w:rsidRPr="0090131B">
        <w:t>,</w:t>
      </w:r>
      <w:r w:rsidR="0048466D" w:rsidRPr="0090131B">
        <w:t xml:space="preserve"> </w:t>
      </w:r>
      <w:r w:rsidR="00F546C2">
        <w:t xml:space="preserve">they must always be </w:t>
      </w:r>
      <w:r w:rsidR="00EE4980" w:rsidRPr="0090131B">
        <w:t xml:space="preserve">applied in conjunction with </w:t>
      </w:r>
      <w:r w:rsidR="0048466D" w:rsidRPr="0090131B">
        <w:t xml:space="preserve">another provision of the Convention </w:t>
      </w:r>
      <w:r w:rsidR="00081E09" w:rsidRPr="0090131B">
        <w:t>that allows</w:t>
      </w:r>
      <w:r w:rsidR="0048466D" w:rsidRPr="0090131B">
        <w:t xml:space="preserve"> restrictions to rights.</w:t>
      </w:r>
      <w:bookmarkStart w:id="64" w:name="_Ref492914856"/>
      <w:r w:rsidR="00B02C4F" w:rsidRPr="0090131B">
        <w:rPr>
          <w:rStyle w:val="FootnoteReference"/>
        </w:rPr>
        <w:footnoteReference w:id="113"/>
      </w:r>
      <w:bookmarkEnd w:id="64"/>
      <w:r w:rsidR="0048466D" w:rsidRPr="0090131B">
        <w:t xml:space="preserve"> </w:t>
      </w:r>
      <w:r w:rsidR="0058779A" w:rsidRPr="0090131B">
        <w:t>Accordingly</w:t>
      </w:r>
      <w:r w:rsidR="00EE4980" w:rsidRPr="0090131B">
        <w:t xml:space="preserve">, breaches </w:t>
      </w:r>
      <w:r w:rsidR="008F5C69" w:rsidRPr="0090131B">
        <w:t>of Article</w:t>
      </w:r>
      <w:r w:rsidR="002C597F" w:rsidRPr="0090131B">
        <w:t>s</w:t>
      </w:r>
      <w:r w:rsidR="008F5C69" w:rsidRPr="0090131B">
        <w:t xml:space="preserve"> 17</w:t>
      </w:r>
      <w:r w:rsidR="002C597F" w:rsidRPr="0090131B">
        <w:t xml:space="preserve"> and 18</w:t>
      </w:r>
      <w:r w:rsidR="008F5C69" w:rsidRPr="0090131B">
        <w:t xml:space="preserve"> need to relate to one of the rights guaranteed by the Convention. </w:t>
      </w:r>
      <w:r w:rsidR="00081E09" w:rsidRPr="0090131B">
        <w:t xml:space="preserve">This </w:t>
      </w:r>
      <w:r w:rsidR="003F4FD8" w:rsidRPr="0090131B">
        <w:t>confirms</w:t>
      </w:r>
      <w:r w:rsidR="008F5C69" w:rsidRPr="0090131B">
        <w:t xml:space="preserve"> the</w:t>
      </w:r>
      <w:r w:rsidR="00037A8A" w:rsidRPr="0090131B">
        <w:t xml:space="preserve"> point made </w:t>
      </w:r>
      <w:r w:rsidR="000C5085" w:rsidRPr="0090131B">
        <w:t xml:space="preserve">earlier in this study </w:t>
      </w:r>
      <w:r w:rsidR="00037A8A" w:rsidRPr="0090131B">
        <w:t xml:space="preserve">regarding the </w:t>
      </w:r>
      <w:r w:rsidR="0023285B" w:rsidRPr="0090131B">
        <w:t>inter</w:t>
      </w:r>
      <w:r w:rsidR="002F769B">
        <w:t>-</w:t>
      </w:r>
      <w:r w:rsidR="0023285B" w:rsidRPr="0090131B">
        <w:t xml:space="preserve">connection between </w:t>
      </w:r>
      <w:r w:rsidR="008F1851" w:rsidRPr="0090131B">
        <w:t xml:space="preserve">the </w:t>
      </w:r>
      <w:r w:rsidR="0023285B" w:rsidRPr="0090131B">
        <w:t xml:space="preserve">abusive exercise of </w:t>
      </w:r>
      <w:r w:rsidR="008F1851" w:rsidRPr="0090131B">
        <w:t>a</w:t>
      </w:r>
      <w:r w:rsidR="0023285B" w:rsidRPr="0090131B">
        <w:t xml:space="preserve"> right and the </w:t>
      </w:r>
      <w:r w:rsidR="00387A74" w:rsidRPr="0090131B">
        <w:t>right</w:t>
      </w:r>
      <w:r w:rsidR="000C4F46" w:rsidRPr="006E0B80">
        <w:t xml:space="preserve"> </w:t>
      </w:r>
      <w:r w:rsidR="000C4F46" w:rsidRPr="0090131B">
        <w:t>in respect of</w:t>
      </w:r>
      <w:r w:rsidR="000C4F46" w:rsidRPr="006E0B80">
        <w:t xml:space="preserve"> which abuse of rights is invoked</w:t>
      </w:r>
      <w:r w:rsidR="001973AA" w:rsidRPr="0090131B">
        <w:t xml:space="preserve">, </w:t>
      </w:r>
      <w:r w:rsidR="00E46CB1" w:rsidRPr="0090131B">
        <w:rPr>
          <w:i/>
        </w:rPr>
        <w:t>i.e.</w:t>
      </w:r>
      <w:r w:rsidR="001973AA" w:rsidRPr="0090131B">
        <w:t xml:space="preserve"> t</w:t>
      </w:r>
      <w:r w:rsidR="008F1851" w:rsidRPr="0090131B">
        <w:t>he fact that</w:t>
      </w:r>
      <w:r w:rsidR="001973AA" w:rsidRPr="0090131B">
        <w:t xml:space="preserve"> there cannot be abuse of rights unless there is </w:t>
      </w:r>
      <w:r w:rsidR="008F1851" w:rsidRPr="0090131B">
        <w:t xml:space="preserve">a </w:t>
      </w:r>
      <w:r w:rsidR="001973AA" w:rsidRPr="0090131B">
        <w:t xml:space="preserve">right </w:t>
      </w:r>
      <w:r w:rsidR="008F1851" w:rsidRPr="0090131B">
        <w:t>with</w:t>
      </w:r>
      <w:r w:rsidR="001973AA" w:rsidRPr="0090131B">
        <w:t xml:space="preserve">in a </w:t>
      </w:r>
      <w:r w:rsidR="008F1851" w:rsidRPr="0090131B">
        <w:t xml:space="preserve">given </w:t>
      </w:r>
      <w:r w:rsidR="001973AA" w:rsidRPr="0090131B">
        <w:t xml:space="preserve">legal system </w:t>
      </w:r>
      <w:r w:rsidR="006423D1" w:rsidRPr="0090131B">
        <w:t>with regard to which the prohibition of abuse applies</w:t>
      </w:r>
      <w:r w:rsidR="00EE4980" w:rsidRPr="0090131B">
        <w:t xml:space="preserve"> -irrespectively, as it will be explained in more detail below, </w:t>
      </w:r>
      <w:r w:rsidR="009F6AD3" w:rsidRPr="0090131B">
        <w:t>of whether the right with regard to which the abuse of rights applies has been breached</w:t>
      </w:r>
      <w:r w:rsidR="000C4F46" w:rsidRPr="0090131B">
        <w:t xml:space="preserve"> or not</w:t>
      </w:r>
      <w:r w:rsidR="006423D1" w:rsidRPr="0090131B">
        <w:t>.</w:t>
      </w:r>
      <w:r w:rsidR="001973AA" w:rsidRPr="0090131B">
        <w:t xml:space="preserve"> </w:t>
      </w:r>
      <w:r w:rsidR="006423D1" w:rsidRPr="0090131B">
        <w:t>Within</w:t>
      </w:r>
      <w:r w:rsidR="007B2D68" w:rsidRPr="0090131B">
        <w:t xml:space="preserve"> the ECHR </w:t>
      </w:r>
      <w:r w:rsidR="006423D1" w:rsidRPr="0090131B">
        <w:t>environment</w:t>
      </w:r>
      <w:r w:rsidR="007B2D68" w:rsidRPr="0090131B">
        <w:t>,</w:t>
      </w:r>
      <w:r w:rsidR="008F5C69" w:rsidRPr="0090131B">
        <w:t xml:space="preserve"> </w:t>
      </w:r>
      <w:r w:rsidR="006423D1" w:rsidRPr="0090131B">
        <w:t>the prohibition of abuse</w:t>
      </w:r>
      <w:r w:rsidR="007B2D68" w:rsidRPr="0090131B">
        <w:t xml:space="preserve"> </w:t>
      </w:r>
      <w:r w:rsidR="008F5C69" w:rsidRPr="0090131B">
        <w:t>concerns</w:t>
      </w:r>
      <w:r w:rsidR="006423D1" w:rsidRPr="0090131B">
        <w:t xml:space="preserve"> the</w:t>
      </w:r>
      <w:r w:rsidR="008F5C69" w:rsidRPr="0090131B">
        <w:t xml:space="preserve"> rights protected by the Convention.</w:t>
      </w:r>
      <w:r w:rsidR="00A95564" w:rsidRPr="0090131B">
        <w:t xml:space="preserve"> </w:t>
      </w:r>
      <w:r w:rsidR="008F5C69" w:rsidRPr="0090131B">
        <w:t>This is what connects Articles 17 and 18 with the other provisions of the ECHR</w:t>
      </w:r>
      <w:r w:rsidR="00C13450" w:rsidRPr="0090131B">
        <w:t>.</w:t>
      </w:r>
      <w:r w:rsidR="008F5C69" w:rsidRPr="0090131B">
        <w:t xml:space="preserve"> </w:t>
      </w:r>
      <w:r w:rsidR="00C13450" w:rsidRPr="0090131B">
        <w:t>T</w:t>
      </w:r>
      <w:r w:rsidR="008F5C69" w:rsidRPr="0090131B">
        <w:t>his is</w:t>
      </w:r>
      <w:r w:rsidR="00C13450" w:rsidRPr="0090131B">
        <w:t xml:space="preserve"> also</w:t>
      </w:r>
      <w:r w:rsidR="008F5C69" w:rsidRPr="0090131B">
        <w:t xml:space="preserve"> </w:t>
      </w:r>
      <w:r w:rsidR="00705D2B">
        <w:t>one</w:t>
      </w:r>
      <w:r w:rsidR="003F4FD8" w:rsidRPr="0090131B">
        <w:t xml:space="preserve"> reason</w:t>
      </w:r>
      <w:r w:rsidR="008F5C69" w:rsidRPr="0090131B">
        <w:t xml:space="preserve"> </w:t>
      </w:r>
      <w:r w:rsidR="005245B2" w:rsidRPr="0090131B">
        <w:t>why</w:t>
      </w:r>
      <w:r w:rsidR="003F4FD8" w:rsidRPr="0090131B">
        <w:t xml:space="preserve"> </w:t>
      </w:r>
      <w:r w:rsidR="00A95564" w:rsidRPr="0090131B">
        <w:t>find</w:t>
      </w:r>
      <w:r w:rsidR="005245B2" w:rsidRPr="0090131B">
        <w:t>ing</w:t>
      </w:r>
      <w:r w:rsidR="00A95564" w:rsidRPr="0090131B">
        <w:t xml:space="preserve"> </w:t>
      </w:r>
      <w:r w:rsidR="00E257A9" w:rsidRPr="0090131B">
        <w:t>that</w:t>
      </w:r>
      <w:r w:rsidR="008F5C69" w:rsidRPr="0090131B">
        <w:t xml:space="preserve"> state</w:t>
      </w:r>
      <w:r w:rsidR="007B2D68" w:rsidRPr="0090131B">
        <w:t>s</w:t>
      </w:r>
      <w:r w:rsidR="005245B2" w:rsidRPr="0090131B">
        <w:t xml:space="preserve"> </w:t>
      </w:r>
      <w:r w:rsidR="00122D44" w:rsidRPr="006E0B80">
        <w:t>ha</w:t>
      </w:r>
      <w:r w:rsidR="00E257A9" w:rsidRPr="0090131B">
        <w:t>ve abused the Convention rights</w:t>
      </w:r>
      <w:r w:rsidR="00122D44" w:rsidRPr="006E0B80">
        <w:t xml:space="preserve"> </w:t>
      </w:r>
      <w:r w:rsidR="00CF66BB" w:rsidRPr="0090131B">
        <w:t xml:space="preserve">has </w:t>
      </w:r>
      <w:r w:rsidR="00122D44" w:rsidRPr="006E0B80">
        <w:t>proven to be</w:t>
      </w:r>
      <w:r w:rsidR="005245B2" w:rsidRPr="0090131B">
        <w:t xml:space="preserve"> </w:t>
      </w:r>
      <w:r w:rsidR="00CF66BB" w:rsidRPr="0090131B">
        <w:t>rather arduous</w:t>
      </w:r>
      <w:r w:rsidR="007675E3" w:rsidRPr="0090131B">
        <w:t xml:space="preserve"> in the past</w:t>
      </w:r>
      <w:r w:rsidR="00CF66BB" w:rsidRPr="0090131B">
        <w:t xml:space="preserve"> </w:t>
      </w:r>
      <w:r w:rsidR="00122D44" w:rsidRPr="006E0B80">
        <w:t xml:space="preserve">-especially before the GC judgment in </w:t>
      </w:r>
      <w:r w:rsidR="00122D44" w:rsidRPr="0090131B">
        <w:rPr>
          <w:i/>
          <w:color w:val="000000" w:themeColor="text1"/>
        </w:rPr>
        <w:t>Merabishvili v. Georgia</w:t>
      </w:r>
      <w:r w:rsidR="00CF66BB" w:rsidRPr="0090131B">
        <w:rPr>
          <w:color w:val="000000" w:themeColor="text1"/>
        </w:rPr>
        <w:t>,</w:t>
      </w:r>
      <w:r w:rsidR="00122D44" w:rsidRPr="0090131B">
        <w:rPr>
          <w:rStyle w:val="FootnoteReference"/>
        </w:rPr>
        <w:footnoteReference w:id="114"/>
      </w:r>
      <w:r w:rsidR="00122D44" w:rsidRPr="0090131B">
        <w:t xml:space="preserve"> </w:t>
      </w:r>
      <w:r w:rsidR="00CF66BB" w:rsidRPr="0090131B">
        <w:t>which provide</w:t>
      </w:r>
      <w:r w:rsidR="00D91E26">
        <w:t>d</w:t>
      </w:r>
      <w:r w:rsidR="00CF66BB" w:rsidRPr="0090131B">
        <w:t xml:space="preserve"> guidance on Article 18 and is</w:t>
      </w:r>
      <w:r w:rsidR="008052EE" w:rsidRPr="0090131B">
        <w:t xml:space="preserve"> discussed in detail </w:t>
      </w:r>
      <w:r w:rsidR="00D91E26">
        <w:t>with</w:t>
      </w:r>
      <w:r w:rsidR="008052EE" w:rsidRPr="0090131B">
        <w:t>in the next se</w:t>
      </w:r>
      <w:r w:rsidR="008E4DA6">
        <w:t>ct</w:t>
      </w:r>
      <w:r w:rsidR="008052EE" w:rsidRPr="0090131B">
        <w:t>ion</w:t>
      </w:r>
      <w:r w:rsidR="00CF66BB" w:rsidRPr="0090131B">
        <w:t xml:space="preserve"> of the study</w:t>
      </w:r>
      <w:r w:rsidR="008F5C69" w:rsidRPr="0090131B">
        <w:t xml:space="preserve">. </w:t>
      </w:r>
      <w:r w:rsidR="00597302">
        <w:t xml:space="preserve">As </w:t>
      </w:r>
      <w:r w:rsidR="008F5C69" w:rsidRPr="0090131B">
        <w:t>Articles</w:t>
      </w:r>
      <w:r w:rsidR="009F4C92" w:rsidRPr="0090131B">
        <w:t xml:space="preserve"> 17 and 18</w:t>
      </w:r>
      <w:r w:rsidR="008F5C69" w:rsidRPr="0090131B">
        <w:t xml:space="preserve"> need to be </w:t>
      </w:r>
      <w:r w:rsidR="00A91D8F" w:rsidRPr="0090131B">
        <w:t>associated</w:t>
      </w:r>
      <w:r w:rsidR="008F5C69" w:rsidRPr="0090131B">
        <w:t xml:space="preserve"> with another right in the Convention, the Court routinely start</w:t>
      </w:r>
      <w:r w:rsidR="00C74793">
        <w:t>s</w:t>
      </w:r>
      <w:r w:rsidR="008F5C69" w:rsidRPr="0090131B">
        <w:t xml:space="preserve"> by examining the</w:t>
      </w:r>
      <w:r w:rsidR="003F4FD8" w:rsidRPr="0090131B">
        <w:t xml:space="preserve"> legitimacy and</w:t>
      </w:r>
      <w:r w:rsidR="008F5C69" w:rsidRPr="0090131B">
        <w:t xml:space="preserve"> lawfulness of the restrictions applied</w:t>
      </w:r>
      <w:r w:rsidR="00A91D8F" w:rsidRPr="0090131B">
        <w:t xml:space="preserve"> under that other right</w:t>
      </w:r>
      <w:r w:rsidR="008F5C69" w:rsidRPr="0090131B">
        <w:t xml:space="preserve">. If these are found to </w:t>
      </w:r>
      <w:r w:rsidR="005928C7" w:rsidRPr="0090131B">
        <w:t>pursue a</w:t>
      </w:r>
      <w:r w:rsidR="003D7609" w:rsidRPr="0090131B">
        <w:t xml:space="preserve"> legitimate</w:t>
      </w:r>
      <w:r w:rsidR="005928C7" w:rsidRPr="0090131B">
        <w:t xml:space="preserve"> aim that satisfies the Convention’s exigencies and sufficiently justifies the restrictions at stake</w:t>
      </w:r>
      <w:r w:rsidR="002E6531" w:rsidRPr="0090131B">
        <w:t xml:space="preserve"> (i.e. the restrictions are found to be necessary in a democratic societ</w:t>
      </w:r>
      <w:r w:rsidR="005245B2" w:rsidRPr="0090131B">
        <w:t>y in conformity with</w:t>
      </w:r>
      <w:r w:rsidR="002E6531" w:rsidRPr="0090131B">
        <w:t xml:space="preserve"> proportionality)</w:t>
      </w:r>
      <w:r w:rsidR="005928C7" w:rsidRPr="0090131B">
        <w:t xml:space="preserve">, they </w:t>
      </w:r>
      <w:r w:rsidR="00CB2FB6" w:rsidRPr="0090131B">
        <w:t xml:space="preserve">shall </w:t>
      </w:r>
      <w:r w:rsidR="005928C7" w:rsidRPr="0090131B">
        <w:t>be declared</w:t>
      </w:r>
      <w:r w:rsidR="008F5C69" w:rsidRPr="0090131B">
        <w:t xml:space="preserve"> lawful.</w:t>
      </w:r>
      <w:r w:rsidR="00285AF7" w:rsidRPr="0090131B">
        <w:t xml:space="preserve"> </w:t>
      </w:r>
      <w:r w:rsidR="009F4C92" w:rsidRPr="0090131B">
        <w:t xml:space="preserve">As is explained below, </w:t>
      </w:r>
      <w:r w:rsidR="009F4C92" w:rsidRPr="006E0B80">
        <w:t>a</w:t>
      </w:r>
      <w:r w:rsidR="003D7609" w:rsidRPr="0090131B">
        <w:t xml:space="preserve">buse of rights </w:t>
      </w:r>
      <w:r w:rsidR="00CB2FB6" w:rsidRPr="0090131B">
        <w:t>can</w:t>
      </w:r>
      <w:r w:rsidR="003D7609" w:rsidRPr="0090131B">
        <w:t xml:space="preserve"> be found in the absence of a breach of the right with respect to which abuse of rights has been invoked</w:t>
      </w:r>
      <w:r w:rsidR="004072B6" w:rsidRPr="0090131B">
        <w:t>.</w:t>
      </w:r>
      <w:r w:rsidR="004072B6" w:rsidRPr="0090131B">
        <w:rPr>
          <w:rStyle w:val="FootnoteReference"/>
        </w:rPr>
        <w:footnoteReference w:id="115"/>
      </w:r>
      <w:r w:rsidR="003D7609" w:rsidRPr="0090131B">
        <w:t xml:space="preserve"> However, </w:t>
      </w:r>
      <w:r w:rsidR="005D5095" w:rsidRPr="0090131B">
        <w:t xml:space="preserve">finding lawful a restriction to a right with regard to which a complaint of abuse of rights has been made </w:t>
      </w:r>
      <w:r w:rsidR="00A30C90" w:rsidRPr="0090131B">
        <w:t xml:space="preserve">has </w:t>
      </w:r>
      <w:r w:rsidR="00D27DFE" w:rsidRPr="0090131B">
        <w:t>in the past</w:t>
      </w:r>
      <w:r w:rsidR="00C37FF6">
        <w:t xml:space="preserve"> led</w:t>
      </w:r>
      <w:r w:rsidR="00D27DFE" w:rsidRPr="0090131B">
        <w:t xml:space="preserve"> </w:t>
      </w:r>
      <w:r w:rsidR="000842F6" w:rsidRPr="0090131B">
        <w:t xml:space="preserve">the Court </w:t>
      </w:r>
      <w:r w:rsidR="00A95A07" w:rsidRPr="0090131B">
        <w:t>to</w:t>
      </w:r>
      <w:r w:rsidR="00285AF7" w:rsidRPr="0090131B">
        <w:t xml:space="preserve"> </w:t>
      </w:r>
      <w:r w:rsidR="00A95A07" w:rsidRPr="0090131B">
        <w:t>abstain from</w:t>
      </w:r>
      <w:r w:rsidR="00285AF7" w:rsidRPr="0090131B">
        <w:t xml:space="preserve"> examin</w:t>
      </w:r>
      <w:r w:rsidR="00A95A07" w:rsidRPr="0090131B">
        <w:t>ing</w:t>
      </w:r>
      <w:r w:rsidR="00285AF7" w:rsidRPr="0090131B">
        <w:t xml:space="preserve"> the </w:t>
      </w:r>
      <w:r w:rsidR="00A95A07" w:rsidRPr="0090131B">
        <w:t xml:space="preserve">associated </w:t>
      </w:r>
      <w:r w:rsidR="00285AF7" w:rsidRPr="0090131B">
        <w:t>allegations under Articles 17 and 1</w:t>
      </w:r>
      <w:r w:rsidR="00285AF7" w:rsidRPr="0050108C">
        <w:t>8.</w:t>
      </w:r>
      <w:bookmarkStart w:id="65" w:name="_Ref492977542"/>
      <w:r w:rsidR="008E66A4" w:rsidRPr="0050108C">
        <w:rPr>
          <w:rStyle w:val="FootnoteReference"/>
        </w:rPr>
        <w:footnoteReference w:id="116"/>
      </w:r>
      <w:bookmarkEnd w:id="65"/>
      <w:r w:rsidR="002905FB" w:rsidRPr="0090131B">
        <w:t xml:space="preserve"> </w:t>
      </w:r>
      <w:r w:rsidR="005928C7" w:rsidRPr="0090131B">
        <w:t>In the opposite scenario</w:t>
      </w:r>
      <w:r w:rsidR="000D3540" w:rsidRPr="0090131B">
        <w:t>, that is,</w:t>
      </w:r>
      <w:r w:rsidR="00657AC8" w:rsidRPr="0090131B">
        <w:t xml:space="preserve"> if</w:t>
      </w:r>
      <w:r w:rsidR="008F5C69" w:rsidRPr="0090131B">
        <w:t xml:space="preserve"> </w:t>
      </w:r>
      <w:r w:rsidR="00657AC8" w:rsidRPr="0090131B">
        <w:t xml:space="preserve">the state has not acted in conformity with </w:t>
      </w:r>
      <w:r w:rsidR="000D3540" w:rsidRPr="0090131B">
        <w:t>a</w:t>
      </w:r>
      <w:r w:rsidR="00657AC8" w:rsidRPr="0090131B">
        <w:t xml:space="preserve"> provision of the Convention</w:t>
      </w:r>
      <w:r w:rsidR="000D3540" w:rsidRPr="0090131B">
        <w:t xml:space="preserve"> that tolerates restrictions</w:t>
      </w:r>
      <w:r w:rsidR="00657AC8" w:rsidRPr="0090131B">
        <w:t xml:space="preserve">, </w:t>
      </w:r>
      <w:r w:rsidR="000D3540" w:rsidRPr="0090131B">
        <w:t>these (</w:t>
      </w:r>
      <w:r w:rsidR="00E46CB1" w:rsidRPr="0090131B">
        <w:rPr>
          <w:i/>
        </w:rPr>
        <w:t>i.e.</w:t>
      </w:r>
      <w:r w:rsidR="000D3540" w:rsidRPr="0090131B">
        <w:t xml:space="preserve"> the </w:t>
      </w:r>
      <w:r w:rsidR="00657AC8" w:rsidRPr="0090131B">
        <w:t>restrictions</w:t>
      </w:r>
      <w:r w:rsidR="000D3540" w:rsidRPr="0090131B">
        <w:t>)</w:t>
      </w:r>
      <w:r w:rsidR="00657AC8" w:rsidRPr="0090131B">
        <w:t xml:space="preserve"> will</w:t>
      </w:r>
      <w:r w:rsidR="008F5C69" w:rsidRPr="0090131B">
        <w:t xml:space="preserve"> </w:t>
      </w:r>
      <w:r w:rsidR="000D3540" w:rsidRPr="0090131B">
        <w:t xml:space="preserve">be </w:t>
      </w:r>
      <w:r w:rsidR="008F5C69" w:rsidRPr="0090131B">
        <w:t>found to be unlawful</w:t>
      </w:r>
      <w:r w:rsidR="00700964" w:rsidRPr="0090131B">
        <w:t>.</w:t>
      </w:r>
      <w:r w:rsidR="003338AB" w:rsidRPr="0090131B">
        <w:t xml:space="preserve"> </w:t>
      </w:r>
      <w:r w:rsidR="000D3540" w:rsidRPr="0090131B">
        <w:t>From a p</w:t>
      </w:r>
      <w:r w:rsidR="008F5C69" w:rsidRPr="0090131B">
        <w:t>ractical</w:t>
      </w:r>
      <w:r w:rsidR="000D3540" w:rsidRPr="0090131B">
        <w:t xml:space="preserve"> point of view</w:t>
      </w:r>
      <w:r w:rsidR="008F5C69" w:rsidRPr="0090131B">
        <w:t xml:space="preserve">, </w:t>
      </w:r>
      <w:r w:rsidR="00700964" w:rsidRPr="0090131B">
        <w:t xml:space="preserve">it adds little to </w:t>
      </w:r>
      <w:r w:rsidR="008F5C69" w:rsidRPr="0090131B">
        <w:t>characteri</w:t>
      </w:r>
      <w:r w:rsidR="00A95564" w:rsidRPr="0090131B">
        <w:t>s</w:t>
      </w:r>
      <w:r w:rsidR="00700964" w:rsidRPr="0090131B">
        <w:t>e</w:t>
      </w:r>
      <w:r w:rsidR="008F5C69" w:rsidRPr="0090131B">
        <w:t xml:space="preserve"> </w:t>
      </w:r>
      <w:r w:rsidR="00700964" w:rsidRPr="0090131B">
        <w:t>an already established breach</w:t>
      </w:r>
      <w:r w:rsidR="008F5C69" w:rsidRPr="0090131B">
        <w:t xml:space="preserve"> as an abuse of rights to</w:t>
      </w:r>
      <w:r w:rsidR="00700964" w:rsidRPr="0090131B">
        <w:t>o</w:t>
      </w:r>
      <w:r w:rsidR="00AA446F">
        <w:t xml:space="preserve">. </w:t>
      </w:r>
      <w:r w:rsidR="00C12669" w:rsidRPr="0090131B">
        <w:t xml:space="preserve">Again, the discussion that follows in the study on </w:t>
      </w:r>
      <w:r w:rsidR="00C12669" w:rsidRPr="0090131B">
        <w:rPr>
          <w:i/>
          <w:color w:val="000000" w:themeColor="text1"/>
        </w:rPr>
        <w:t>Merabishvili</w:t>
      </w:r>
      <w:r w:rsidR="00C12669" w:rsidRPr="0090131B">
        <w:t xml:space="preserve"> shows that </w:t>
      </w:r>
      <w:r w:rsidR="00C12669" w:rsidRPr="006E0B80">
        <w:t>s</w:t>
      </w:r>
      <w:r w:rsidR="00C12669" w:rsidRPr="0090131B">
        <w:t xml:space="preserve">uch </w:t>
      </w:r>
      <w:r w:rsidR="008F5C69" w:rsidRPr="0090131B">
        <w:t>a characteri</w:t>
      </w:r>
      <w:r w:rsidR="00A95564" w:rsidRPr="0090131B">
        <w:t>s</w:t>
      </w:r>
      <w:r w:rsidR="008F5C69" w:rsidRPr="0090131B">
        <w:t>ation</w:t>
      </w:r>
      <w:r w:rsidR="00C441AC" w:rsidRPr="0090131B">
        <w:t xml:space="preserve"> is not impossible</w:t>
      </w:r>
      <w:r w:rsidR="005D5095" w:rsidRPr="0090131B">
        <w:t>.</w:t>
      </w:r>
      <w:r w:rsidR="001A17DB" w:rsidRPr="006E0B80">
        <w:rPr>
          <w:rStyle w:val="FootnoteReference"/>
        </w:rPr>
        <w:footnoteReference w:id="117"/>
      </w:r>
      <w:r w:rsidR="005D5095" w:rsidRPr="0090131B">
        <w:t xml:space="preserve"> </w:t>
      </w:r>
      <w:r w:rsidR="00263173" w:rsidRPr="0090131B">
        <w:t>Yet, e</w:t>
      </w:r>
      <w:r w:rsidR="00C441AC" w:rsidRPr="0090131B">
        <w:t>stablishing</w:t>
      </w:r>
      <w:r w:rsidR="008B040D" w:rsidRPr="0090131B">
        <w:t xml:space="preserve"> abuse of rights</w:t>
      </w:r>
      <w:r w:rsidR="008F5C69" w:rsidRPr="0090131B">
        <w:t xml:space="preserve"> involves questioning the true intentions of the respondent state, which</w:t>
      </w:r>
      <w:r w:rsidR="00EE0F9E" w:rsidRPr="0090131B">
        <w:t>,</w:t>
      </w:r>
      <w:r w:rsidR="008F5C69" w:rsidRPr="0090131B">
        <w:t xml:space="preserve"> on the one hand</w:t>
      </w:r>
      <w:r w:rsidR="00EE0F9E" w:rsidRPr="0090131B">
        <w:t>,</w:t>
      </w:r>
      <w:r w:rsidR="008F5C69" w:rsidRPr="0090131B">
        <w:t xml:space="preserve"> </w:t>
      </w:r>
      <w:r w:rsidR="004B4C7E" w:rsidRPr="006E0B80">
        <w:t>might be</w:t>
      </w:r>
      <w:r w:rsidR="008F5C69" w:rsidRPr="0090131B">
        <w:t xml:space="preserve"> difficult to prove</w:t>
      </w:r>
      <w:bookmarkStart w:id="66" w:name="_Ref493753816"/>
      <w:r w:rsidR="00306812" w:rsidRPr="0090131B">
        <w:rPr>
          <w:rStyle w:val="FootnoteReference"/>
        </w:rPr>
        <w:footnoteReference w:id="118"/>
      </w:r>
      <w:bookmarkEnd w:id="66"/>
      <w:r w:rsidR="008F5C69" w:rsidRPr="0090131B">
        <w:t xml:space="preserve"> and, on the other</w:t>
      </w:r>
      <w:r w:rsidR="007A408A" w:rsidRPr="0090131B">
        <w:t xml:space="preserve"> hand</w:t>
      </w:r>
      <w:r w:rsidR="008F5C69" w:rsidRPr="0090131B">
        <w:t xml:space="preserve">, brings the Court </w:t>
      </w:r>
      <w:r w:rsidR="00F4008D" w:rsidRPr="0090131B">
        <w:t xml:space="preserve">– </w:t>
      </w:r>
      <w:r w:rsidR="008F5C69" w:rsidRPr="0090131B">
        <w:t xml:space="preserve">which is an international </w:t>
      </w:r>
      <w:r w:rsidR="008F5C69" w:rsidRPr="0090131B">
        <w:lastRenderedPageBreak/>
        <w:t>adjudicatory institution whose powers and authority stem from state consent</w:t>
      </w:r>
      <w:r w:rsidR="00F4008D" w:rsidRPr="0090131B">
        <w:t xml:space="preserve"> –</w:t>
      </w:r>
      <w:r w:rsidR="008F5C69" w:rsidRPr="0090131B">
        <w:t xml:space="preserve"> in the rather unpleasant position </w:t>
      </w:r>
      <w:r w:rsidR="001F7644">
        <w:t>of having</w:t>
      </w:r>
      <w:r w:rsidR="005F600E" w:rsidRPr="0090131B">
        <w:t xml:space="preserve"> </w:t>
      </w:r>
      <w:r w:rsidR="000059AD" w:rsidRPr="0090131B">
        <w:t>to reason as to why</w:t>
      </w:r>
      <w:r w:rsidR="004072B6" w:rsidRPr="0090131B">
        <w:t xml:space="preserve"> </w:t>
      </w:r>
      <w:r w:rsidR="005F600E" w:rsidRPr="0090131B">
        <w:t xml:space="preserve">it considers that </w:t>
      </w:r>
      <w:r w:rsidR="008F5C69" w:rsidRPr="0090131B">
        <w:t xml:space="preserve">the respondent state </w:t>
      </w:r>
      <w:r w:rsidR="005F600E" w:rsidRPr="0090131B">
        <w:t>ha</w:t>
      </w:r>
      <w:r w:rsidR="008F5C69" w:rsidRPr="0090131B">
        <w:t>s</w:t>
      </w:r>
      <w:r w:rsidR="004072B6" w:rsidRPr="0090131B">
        <w:t>, in essence,</w:t>
      </w:r>
      <w:r w:rsidR="008F5C69" w:rsidRPr="0090131B">
        <w:t xml:space="preserve"> act</w:t>
      </w:r>
      <w:r w:rsidR="005F600E" w:rsidRPr="0090131B">
        <w:t>ed</w:t>
      </w:r>
      <w:r w:rsidR="008F5C69" w:rsidRPr="0090131B">
        <w:t xml:space="preserve"> hypocritical</w:t>
      </w:r>
      <w:r w:rsidR="005F600E" w:rsidRPr="0090131B">
        <w:t>ly</w:t>
      </w:r>
      <w:r w:rsidR="00AA446F">
        <w:t xml:space="preserve"> </w:t>
      </w:r>
      <w:r w:rsidR="001F7644">
        <w:t>(</w:t>
      </w:r>
      <w:r w:rsidR="00AA446F" w:rsidRPr="00AA446F">
        <w:rPr>
          <w:i/>
        </w:rPr>
        <w:t>i.e.</w:t>
      </w:r>
      <w:r w:rsidR="00AA446F">
        <w:t xml:space="preserve"> </w:t>
      </w:r>
      <w:r w:rsidR="005F600E" w:rsidRPr="0090131B">
        <w:t>in</w:t>
      </w:r>
      <w:r w:rsidR="008F5C69" w:rsidRPr="0090131B">
        <w:t xml:space="preserve"> bad faith</w:t>
      </w:r>
      <w:r w:rsidR="001F7644">
        <w:t>)</w:t>
      </w:r>
      <w:r w:rsidR="008F5C69" w:rsidRPr="0090131B">
        <w:t xml:space="preserve">. This </w:t>
      </w:r>
      <w:r w:rsidR="007B7F31" w:rsidRPr="006E0B80">
        <w:t xml:space="preserve">presumably </w:t>
      </w:r>
      <w:r w:rsidR="008F5C69" w:rsidRPr="0090131B">
        <w:t>explains why the Court</w:t>
      </w:r>
      <w:r w:rsidR="008F553C" w:rsidRPr="0090131B">
        <w:t xml:space="preserve">’s starting point </w:t>
      </w:r>
      <w:r w:rsidR="007B7F31" w:rsidRPr="006E0B80">
        <w:t xml:space="preserve">before </w:t>
      </w:r>
      <w:r w:rsidR="007B7F31" w:rsidRPr="006E0B80">
        <w:rPr>
          <w:i/>
        </w:rPr>
        <w:t>Merabishvili</w:t>
      </w:r>
      <w:r w:rsidR="008F553C" w:rsidRPr="0090131B">
        <w:t xml:space="preserve"> </w:t>
      </w:r>
      <w:r w:rsidR="007B7F31" w:rsidRPr="006E0B80">
        <w:t xml:space="preserve">was </w:t>
      </w:r>
      <w:r w:rsidR="008F553C" w:rsidRPr="0090131B">
        <w:t xml:space="preserve">the assumption that states act </w:t>
      </w:r>
      <w:r w:rsidR="000B5BDF" w:rsidRPr="0090131B">
        <w:t>in</w:t>
      </w:r>
      <w:r w:rsidR="008F553C" w:rsidRPr="0090131B">
        <w:t xml:space="preserve"> good faith</w:t>
      </w:r>
      <w:bookmarkStart w:id="67" w:name="_Ref534041081"/>
      <w:r w:rsidR="00FA7036">
        <w:rPr>
          <w:rStyle w:val="FootnoteReference"/>
        </w:rPr>
        <w:footnoteReference w:id="119"/>
      </w:r>
      <w:bookmarkEnd w:id="67"/>
      <w:r w:rsidR="008F553C" w:rsidRPr="0090131B">
        <w:t xml:space="preserve"> -</w:t>
      </w:r>
      <w:r w:rsidR="001F7644">
        <w:t xml:space="preserve"> </w:t>
      </w:r>
      <w:r w:rsidR="008F553C" w:rsidRPr="0090131B">
        <w:t>which</w:t>
      </w:r>
      <w:r w:rsidR="008F5C69" w:rsidRPr="0090131B">
        <w:t xml:space="preserve"> </w:t>
      </w:r>
      <w:r w:rsidR="008F553C" w:rsidRPr="0090131B">
        <w:t>is</w:t>
      </w:r>
      <w:r w:rsidR="007B7F31" w:rsidRPr="006E0B80">
        <w:t xml:space="preserve"> </w:t>
      </w:r>
      <w:r w:rsidR="008F553C" w:rsidRPr="0090131B">
        <w:t xml:space="preserve">a rebuttable </w:t>
      </w:r>
      <w:r w:rsidR="008B040D" w:rsidRPr="0090131B">
        <w:t>presumption.</w:t>
      </w:r>
      <w:bookmarkStart w:id="68" w:name="_Ref531871996"/>
      <w:r w:rsidR="008F553C" w:rsidRPr="0090131B">
        <w:rPr>
          <w:rStyle w:val="FootnoteReference"/>
        </w:rPr>
        <w:footnoteReference w:id="120"/>
      </w:r>
      <w:bookmarkEnd w:id="68"/>
      <w:r w:rsidR="008B040D" w:rsidRPr="0090131B">
        <w:t xml:space="preserve"> This also explains why </w:t>
      </w:r>
      <w:r w:rsidR="0071664D" w:rsidRPr="0090131B">
        <w:t>in the past</w:t>
      </w:r>
      <w:r w:rsidR="008B040D" w:rsidRPr="0090131B">
        <w:t xml:space="preserve"> </w:t>
      </w:r>
      <w:r w:rsidR="00A30C90" w:rsidRPr="0090131B">
        <w:t xml:space="preserve">– </w:t>
      </w:r>
      <w:r w:rsidR="00F170BF" w:rsidRPr="0090131B">
        <w:t xml:space="preserve">again </w:t>
      </w:r>
      <w:r w:rsidR="007B7F31" w:rsidRPr="0090131B">
        <w:t xml:space="preserve">before </w:t>
      </w:r>
      <w:r w:rsidR="007B7F31" w:rsidRPr="006E0B80">
        <w:rPr>
          <w:i/>
        </w:rPr>
        <w:t>Merabishvili</w:t>
      </w:r>
      <w:r w:rsidR="007B7F31" w:rsidRPr="0090131B">
        <w:t xml:space="preserve"> </w:t>
      </w:r>
      <w:r w:rsidR="00A30C90" w:rsidRPr="0090131B">
        <w:t xml:space="preserve">– </w:t>
      </w:r>
      <w:r w:rsidR="0064688A" w:rsidRPr="0090131B">
        <w:t xml:space="preserve"> </w:t>
      </w:r>
      <w:r w:rsidR="0071664D" w:rsidRPr="0090131B">
        <w:t>the ECtHR has been</w:t>
      </w:r>
      <w:r w:rsidR="008F5C69" w:rsidRPr="0090131B">
        <w:t xml:space="preserve"> satisfied with declaring the breach of the rights in relation to which a complaint of a</w:t>
      </w:r>
      <w:r w:rsidR="0064688A" w:rsidRPr="0090131B">
        <w:t>buse of rights has been made</w:t>
      </w:r>
      <w:r w:rsidR="0071664D" w:rsidRPr="0090131B">
        <w:t xml:space="preserve"> and</w:t>
      </w:r>
      <w:r w:rsidR="0064688A" w:rsidRPr="0090131B">
        <w:t xml:space="preserve"> refrain</w:t>
      </w:r>
      <w:r w:rsidR="0071664D" w:rsidRPr="0090131B">
        <w:t>ed</w:t>
      </w:r>
      <w:r w:rsidR="008F5C69" w:rsidRPr="0090131B">
        <w:t xml:space="preserve"> from </w:t>
      </w:r>
      <w:r w:rsidR="005C45F3" w:rsidRPr="0090131B">
        <w:t xml:space="preserve">further </w:t>
      </w:r>
      <w:r w:rsidR="008F5C69" w:rsidRPr="0090131B">
        <w:t>examining allegations regarding Articles 17 and 1</w:t>
      </w:r>
      <w:r w:rsidR="008F5C69" w:rsidRPr="005E6631">
        <w:t>8.</w:t>
      </w:r>
      <w:bookmarkStart w:id="69" w:name="_Ref492975223"/>
      <w:r w:rsidR="004A747D" w:rsidRPr="005E6631">
        <w:rPr>
          <w:rStyle w:val="FootnoteReference"/>
        </w:rPr>
        <w:footnoteReference w:id="121"/>
      </w:r>
      <w:bookmarkEnd w:id="69"/>
      <w:r w:rsidR="009E4132" w:rsidRPr="0090131B">
        <w:t xml:space="preserve"> In </w:t>
      </w:r>
      <w:r w:rsidR="006F62BA">
        <w:t xml:space="preserve">other </w:t>
      </w:r>
      <w:r w:rsidR="009E4132" w:rsidRPr="0090131B">
        <w:t xml:space="preserve">words, the ECtHR </w:t>
      </w:r>
      <w:r w:rsidR="00931E2A" w:rsidRPr="006E0B80">
        <w:t>has chosen in the past</w:t>
      </w:r>
      <w:r w:rsidR="008B040D" w:rsidRPr="0090131B">
        <w:t xml:space="preserve"> </w:t>
      </w:r>
      <w:r w:rsidR="00931E2A" w:rsidRPr="0090131B">
        <w:t xml:space="preserve">– </w:t>
      </w:r>
      <w:r w:rsidR="008B040D" w:rsidRPr="0090131B">
        <w:t xml:space="preserve">and, indeed, </w:t>
      </w:r>
      <w:r w:rsidR="00AB5E94" w:rsidRPr="0090131B">
        <w:t xml:space="preserve">it </w:t>
      </w:r>
      <w:r w:rsidR="008B040D" w:rsidRPr="0090131B">
        <w:t>ha</w:t>
      </w:r>
      <w:r w:rsidR="00F170BF" w:rsidRPr="0090131B">
        <w:t>d</w:t>
      </w:r>
      <w:r w:rsidR="008B040D" w:rsidRPr="0090131B">
        <w:t xml:space="preserve"> good reason</w:t>
      </w:r>
      <w:r w:rsidR="00931E2A" w:rsidRPr="0090131B">
        <w:t>s</w:t>
      </w:r>
      <w:r w:rsidR="008B040D" w:rsidRPr="0090131B">
        <w:t xml:space="preserve"> </w:t>
      </w:r>
      <w:r w:rsidR="00A32F23" w:rsidRPr="0090131B">
        <w:t xml:space="preserve">to </w:t>
      </w:r>
      <w:r w:rsidR="00931E2A" w:rsidRPr="0090131B">
        <w:t>choose –</w:t>
      </w:r>
      <w:r w:rsidR="009E4132" w:rsidRPr="0090131B">
        <w:t xml:space="preserve"> to be “diplomatic” </w:t>
      </w:r>
      <w:r w:rsidR="009E4132" w:rsidRPr="006E0B80">
        <w:rPr>
          <w:i/>
        </w:rPr>
        <w:t>vis-à-vis</w:t>
      </w:r>
      <w:r w:rsidR="009E4132" w:rsidRPr="0090131B">
        <w:t xml:space="preserve"> states</w:t>
      </w:r>
      <w:r w:rsidR="006E1A9E" w:rsidRPr="0090131B">
        <w:t xml:space="preserve"> by self-restraining its powers</w:t>
      </w:r>
      <w:r w:rsidR="009E4132" w:rsidRPr="0090131B">
        <w:t xml:space="preserve">. </w:t>
      </w:r>
    </w:p>
    <w:p w14:paraId="7BDA44FA" w14:textId="2F286CF4" w:rsidR="00486C20" w:rsidRPr="0090131B" w:rsidRDefault="00BF7152" w:rsidP="006E0B80">
      <w:pPr>
        <w:ind w:right="-52"/>
        <w:jc w:val="both"/>
        <w:rPr>
          <w:b/>
        </w:rPr>
      </w:pPr>
      <w:r w:rsidRPr="0090131B">
        <w:rPr>
          <w:b/>
        </w:rPr>
        <w:tab/>
      </w:r>
    </w:p>
    <w:p w14:paraId="648F565E" w14:textId="28633644" w:rsidR="00B92D19" w:rsidRPr="006E0B80" w:rsidRDefault="00486C20" w:rsidP="006E0B80">
      <w:pPr>
        <w:ind w:right="-52" w:firstLine="720"/>
        <w:jc w:val="both"/>
        <w:rPr>
          <w:b/>
        </w:rPr>
      </w:pPr>
      <w:r w:rsidRPr="0090131B">
        <w:rPr>
          <w:b/>
        </w:rPr>
        <w:t xml:space="preserve">IV.B.2. </w:t>
      </w:r>
      <w:r w:rsidR="00177B83" w:rsidRPr="006E0B80">
        <w:rPr>
          <w:b/>
        </w:rPr>
        <w:t xml:space="preserve">The </w:t>
      </w:r>
      <w:r w:rsidR="00177B83" w:rsidRPr="006E0B80">
        <w:rPr>
          <w:b/>
          <w:i/>
        </w:rPr>
        <w:t>Merabishvili</w:t>
      </w:r>
      <w:r w:rsidR="00177B83" w:rsidRPr="006E0B80">
        <w:rPr>
          <w:b/>
        </w:rPr>
        <w:t xml:space="preserve"> </w:t>
      </w:r>
      <w:r w:rsidRPr="0090131B">
        <w:rPr>
          <w:b/>
        </w:rPr>
        <w:t>T</w:t>
      </w:r>
      <w:r w:rsidR="00177B83" w:rsidRPr="006E0B80">
        <w:rPr>
          <w:b/>
        </w:rPr>
        <w:t xml:space="preserve">est </w:t>
      </w:r>
      <w:r w:rsidR="006416BF" w:rsidRPr="006E0B80">
        <w:rPr>
          <w:b/>
        </w:rPr>
        <w:t xml:space="preserve">on Article 18 </w:t>
      </w:r>
    </w:p>
    <w:p w14:paraId="00FC69F5" w14:textId="6CE9AF67" w:rsidR="001F3235" w:rsidRPr="0090131B" w:rsidRDefault="0022666D" w:rsidP="00612095">
      <w:pPr>
        <w:ind w:right="-52"/>
        <w:jc w:val="both"/>
      </w:pPr>
      <w:r w:rsidRPr="0090131B">
        <w:t>In November 2018</w:t>
      </w:r>
      <w:r w:rsidR="001F0D2F" w:rsidRPr="0090131B">
        <w:t xml:space="preserve">, the ECtHR’s GC delivered its seminal judgment in </w:t>
      </w:r>
      <w:r w:rsidR="001F0D2F" w:rsidRPr="006E0B80">
        <w:rPr>
          <w:i/>
          <w:color w:val="000000" w:themeColor="text1"/>
        </w:rPr>
        <w:t>Merabishvili v. Georgia</w:t>
      </w:r>
      <w:r w:rsidR="001F0D2F" w:rsidRPr="0090131B">
        <w:t xml:space="preserve"> </w:t>
      </w:r>
      <w:r w:rsidR="00A475C3" w:rsidRPr="0090131B">
        <w:t xml:space="preserve">whereby it provided a </w:t>
      </w:r>
      <w:r w:rsidR="00F90C2A" w:rsidRPr="0090131B">
        <w:t>fairly</w:t>
      </w:r>
      <w:r w:rsidR="00A475C3" w:rsidRPr="0090131B">
        <w:t xml:space="preserve"> analytical guide on Article 18</w:t>
      </w:r>
      <w:r w:rsidR="00D914C7">
        <w:t>.</w:t>
      </w:r>
      <w:r w:rsidR="005E658A" w:rsidRPr="0090131B">
        <w:t xml:space="preserve"> </w:t>
      </w:r>
      <w:r w:rsidR="00FA6B41">
        <w:t xml:space="preserve">Irrespective of the critique that follows in this study, admittedly, </w:t>
      </w:r>
      <w:r w:rsidR="00FA6B41" w:rsidRPr="006E0B80">
        <w:rPr>
          <w:i/>
          <w:color w:val="000000" w:themeColor="text1"/>
        </w:rPr>
        <w:t>Merabishvili</w:t>
      </w:r>
      <w:r w:rsidR="00D55967">
        <w:t xml:space="preserve"> </w:t>
      </w:r>
      <w:r w:rsidR="00FA6B41">
        <w:t xml:space="preserve">and the guidance </w:t>
      </w:r>
      <w:r w:rsidR="000F6F7F">
        <w:t xml:space="preserve">that </w:t>
      </w:r>
      <w:r w:rsidR="00FA6B41">
        <w:t xml:space="preserve">it offers </w:t>
      </w:r>
      <w:r w:rsidR="005E658A" w:rsidRPr="0090131B">
        <w:t>favour legal certainty. The Court</w:t>
      </w:r>
      <w:r w:rsidR="0016498A" w:rsidRPr="0090131B">
        <w:t xml:space="preserve"> </w:t>
      </w:r>
      <w:r w:rsidR="003D6A6D">
        <w:t>started</w:t>
      </w:r>
      <w:r w:rsidR="0016498A" w:rsidRPr="0090131B">
        <w:t xml:space="preserve"> </w:t>
      </w:r>
      <w:r w:rsidR="003D6A6D">
        <w:t xml:space="preserve">with </w:t>
      </w:r>
      <w:r w:rsidR="0016498A" w:rsidRPr="0090131B">
        <w:t>a detailed overview of previous case law</w:t>
      </w:r>
      <w:r w:rsidR="0016498A" w:rsidRPr="0090131B">
        <w:rPr>
          <w:rStyle w:val="FootnoteReference"/>
        </w:rPr>
        <w:footnoteReference w:id="122"/>
      </w:r>
      <w:r w:rsidR="0016498A" w:rsidRPr="0090131B">
        <w:t xml:space="preserve"> on Article</w:t>
      </w:r>
      <w:r w:rsidR="00FA6B41">
        <w:t xml:space="preserve"> 18</w:t>
      </w:r>
      <w:r w:rsidR="0016498A" w:rsidRPr="0090131B">
        <w:t xml:space="preserve">, recognised the need to clarify </w:t>
      </w:r>
      <w:r w:rsidR="00CC6CAC" w:rsidRPr="0090131B">
        <w:t>its</w:t>
      </w:r>
      <w:r w:rsidR="0016498A" w:rsidRPr="0090131B">
        <w:t xml:space="preserve"> case law,</w:t>
      </w:r>
      <w:r w:rsidR="0016498A" w:rsidRPr="0090131B">
        <w:rPr>
          <w:rStyle w:val="FootnoteReference"/>
        </w:rPr>
        <w:footnoteReference w:id="123"/>
      </w:r>
      <w:r w:rsidR="0016498A" w:rsidRPr="0090131B">
        <w:t xml:space="preserve"> and </w:t>
      </w:r>
      <w:r w:rsidR="000F6F7F">
        <w:t xml:space="preserve">then </w:t>
      </w:r>
      <w:r w:rsidR="0016498A" w:rsidRPr="0090131B">
        <w:t xml:space="preserve">proceeded </w:t>
      </w:r>
      <w:r w:rsidR="000F6F7F">
        <w:t>to offer</w:t>
      </w:r>
      <w:r w:rsidR="00CC6CAC" w:rsidRPr="0090131B">
        <w:t xml:space="preserve"> guidance -</w:t>
      </w:r>
      <w:r w:rsidR="000F6F7F">
        <w:t xml:space="preserve"> </w:t>
      </w:r>
      <w:r w:rsidR="00CC6CAC" w:rsidRPr="0090131B">
        <w:t>by focusing especially on the questions of the plurality of purposes pursued by a restriction</w:t>
      </w:r>
      <w:r w:rsidR="00CC6CAC" w:rsidRPr="0090131B">
        <w:rPr>
          <w:rStyle w:val="FootnoteReference"/>
        </w:rPr>
        <w:footnoteReference w:id="124"/>
      </w:r>
      <w:r w:rsidR="00CC6CAC" w:rsidRPr="0090131B">
        <w:t xml:space="preserve"> and </w:t>
      </w:r>
      <w:r w:rsidR="00AE2041">
        <w:t>on the</w:t>
      </w:r>
      <w:r w:rsidR="00CC6CAC" w:rsidRPr="0090131B">
        <w:t xml:space="preserve"> proof to establish a breach of Article 18.</w:t>
      </w:r>
      <w:r w:rsidR="00A27000" w:rsidRPr="0090131B">
        <w:rPr>
          <w:rStyle w:val="FootnoteReference"/>
        </w:rPr>
        <w:footnoteReference w:id="125"/>
      </w:r>
      <w:r w:rsidR="00CC6CAC" w:rsidRPr="0090131B">
        <w:t xml:space="preserve"> </w:t>
      </w:r>
      <w:r w:rsidR="0016498A" w:rsidRPr="0090131B">
        <w:t xml:space="preserve"> </w:t>
      </w:r>
      <w:r w:rsidR="00193E25" w:rsidRPr="0090131B">
        <w:t xml:space="preserve">The </w:t>
      </w:r>
      <w:r w:rsidR="00B30485" w:rsidRPr="0090131B">
        <w:t>GC confirmed that Article 18 only applies</w:t>
      </w:r>
      <w:r w:rsidR="00D02187" w:rsidRPr="0090131B">
        <w:t xml:space="preserve"> in conjunction with another qualified Article of the ECHR, that is, in </w:t>
      </w:r>
      <w:r w:rsidR="00453716" w:rsidRPr="0090131B">
        <w:t>combination</w:t>
      </w:r>
      <w:r w:rsidR="00D02187" w:rsidRPr="0090131B">
        <w:t xml:space="preserve"> with non-absolute rights that are subject to restrictions.</w:t>
      </w:r>
      <w:r w:rsidR="00D02187" w:rsidRPr="0090131B">
        <w:rPr>
          <w:rStyle w:val="FootnoteReference"/>
        </w:rPr>
        <w:footnoteReference w:id="126"/>
      </w:r>
      <w:r w:rsidR="00D02187" w:rsidRPr="0090131B">
        <w:t xml:space="preserve"> </w:t>
      </w:r>
      <w:r w:rsidR="003E0BAF" w:rsidRPr="0090131B">
        <w:t>Furthermore, it explained that it understands Article 18 as complementing the restriction clauses contained in the ECHR.</w:t>
      </w:r>
      <w:r w:rsidR="003E0BAF" w:rsidRPr="0090131B">
        <w:rPr>
          <w:rStyle w:val="FootnoteReference"/>
        </w:rPr>
        <w:footnoteReference w:id="127"/>
      </w:r>
      <w:r w:rsidR="00D02187" w:rsidRPr="0090131B">
        <w:t xml:space="preserve"> </w:t>
      </w:r>
    </w:p>
    <w:p w14:paraId="499ED4ED" w14:textId="77777777" w:rsidR="001F3235" w:rsidRPr="0090131B" w:rsidRDefault="001F3235" w:rsidP="00612095">
      <w:pPr>
        <w:ind w:right="-52"/>
        <w:jc w:val="both"/>
      </w:pPr>
    </w:p>
    <w:p w14:paraId="5AC537BE" w14:textId="3A29E801" w:rsidR="00612095" w:rsidRPr="0090131B" w:rsidRDefault="00F57594" w:rsidP="00612095">
      <w:pPr>
        <w:ind w:right="-52"/>
        <w:jc w:val="both"/>
      </w:pPr>
      <w:r w:rsidRPr="0090131B">
        <w:t>But</w:t>
      </w:r>
      <w:r w:rsidR="00101400" w:rsidRPr="0090131B">
        <w:t>,</w:t>
      </w:r>
      <w:r w:rsidRPr="0090131B">
        <w:t xml:space="preserve"> if Article 18</w:t>
      </w:r>
      <w:r w:rsidR="00260605" w:rsidRPr="0090131B">
        <w:t xml:space="preserve"> </w:t>
      </w:r>
      <w:r w:rsidR="00FC01E1" w:rsidRPr="0090131B">
        <w:t xml:space="preserve">has no independent standing and its </w:t>
      </w:r>
      <w:r w:rsidR="00260605" w:rsidRPr="0090131B">
        <w:t>role is complementary</w:t>
      </w:r>
      <w:r w:rsidR="00351BBC" w:rsidRPr="0090131B">
        <w:t>, w</w:t>
      </w:r>
      <w:r w:rsidR="00FB2854" w:rsidRPr="0090131B">
        <w:t xml:space="preserve">hat </w:t>
      </w:r>
      <w:r w:rsidR="00FC01E1" w:rsidRPr="0090131B">
        <w:t>can</w:t>
      </w:r>
      <w:r w:rsidR="00FB2854" w:rsidRPr="0090131B">
        <w:t xml:space="preserve"> </w:t>
      </w:r>
      <w:r w:rsidR="00351BBC" w:rsidRPr="0090131B">
        <w:t>its</w:t>
      </w:r>
      <w:r w:rsidR="00FB2854" w:rsidRPr="0090131B">
        <w:t xml:space="preserve"> “added value”</w:t>
      </w:r>
      <w:r w:rsidR="00FC01E1" w:rsidRPr="0090131B">
        <w:t xml:space="preserve"> be</w:t>
      </w:r>
      <w:r w:rsidR="00351BBC" w:rsidRPr="0090131B">
        <w:t>?</w:t>
      </w:r>
      <w:r w:rsidRPr="0090131B">
        <w:t xml:space="preserve"> </w:t>
      </w:r>
      <w:r w:rsidR="003B4027">
        <w:t>In that</w:t>
      </w:r>
      <w:r w:rsidR="00164C13" w:rsidRPr="0090131B">
        <w:t xml:space="preserve"> respect</w:t>
      </w:r>
      <w:r w:rsidR="003B4027">
        <w:t>, the Court explicated</w:t>
      </w:r>
      <w:r w:rsidR="00612095" w:rsidRPr="0090131B">
        <w:t xml:space="preserve"> that</w:t>
      </w:r>
      <w:r w:rsidR="00351BBC" w:rsidRPr="0090131B">
        <w:t xml:space="preserve"> the absence of independence should not be understood </w:t>
      </w:r>
      <w:r w:rsidR="00C0691B" w:rsidRPr="0090131B">
        <w:t xml:space="preserve">as </w:t>
      </w:r>
      <w:r w:rsidR="00612095" w:rsidRPr="0090131B">
        <w:t>lack of autonomy.  Accordingly,</w:t>
      </w:r>
    </w:p>
    <w:p w14:paraId="7791C93A" w14:textId="77777777" w:rsidR="00EE561E" w:rsidRPr="0090131B" w:rsidRDefault="00612095" w:rsidP="00EE561E">
      <w:pPr>
        <w:pStyle w:val="ListParagraph"/>
        <w:ind w:right="658"/>
        <w:jc w:val="both"/>
        <w:rPr>
          <w:rFonts w:ascii="Times New Roman" w:hAnsi="Times New Roman" w:cs="Times New Roman"/>
        </w:rPr>
      </w:pPr>
      <w:r w:rsidRPr="0090131B">
        <w:rPr>
          <w:rFonts w:ascii="Times New Roman" w:hAnsi="Times New Roman" w:cs="Times New Roman"/>
        </w:rPr>
        <w:lastRenderedPageBreak/>
        <w:t>‘Article 18 does not […] serve merely to clarify the scope of [the ECHR] restriction clauses. It also expressly prohibits the High Contracting Parties from restricting the rights and freedoms enshrined in the Convention for purposes not prescribed by the Convention itself, and to this extent it is autonomous’.</w:t>
      </w:r>
      <w:r w:rsidRPr="006E0B80">
        <w:rPr>
          <w:rStyle w:val="FootnoteReference"/>
          <w:rFonts w:ascii="Times New Roman" w:hAnsi="Times New Roman" w:cs="Times New Roman"/>
        </w:rPr>
        <w:footnoteReference w:id="128"/>
      </w:r>
    </w:p>
    <w:p w14:paraId="11EA9FCE" w14:textId="45175356" w:rsidR="004E4226" w:rsidRPr="0090131B" w:rsidRDefault="00AE16E9" w:rsidP="003421FA">
      <w:pPr>
        <w:ind w:right="-52"/>
        <w:jc w:val="both"/>
      </w:pPr>
      <w:r w:rsidRPr="0090131B">
        <w:t xml:space="preserve">Thus, </w:t>
      </w:r>
      <w:r w:rsidR="00BB17B7" w:rsidRPr="0090131B">
        <w:t>Article 18’s autonomy justifies a separate examination of the purpose of a restriction</w:t>
      </w:r>
      <w:r w:rsidRPr="0090131B">
        <w:t>. By separate examination is meant scrutiny of the respondent’s conduct under Article 18</w:t>
      </w:r>
      <w:r w:rsidR="00DA2393" w:rsidRPr="0090131B">
        <w:t xml:space="preserve"> aside from</w:t>
      </w:r>
      <w:r w:rsidRPr="0090131B">
        <w:t xml:space="preserve"> the ordinary control of compatibility (that involves assessing their legitimacy and necessity) with the Convention of restrictions to ECHR rights in conjunction with which Article 18 has been invoked</w:t>
      </w:r>
      <w:r w:rsidR="00DA2393" w:rsidRPr="0090131B">
        <w:t xml:space="preserve">. However, autonomy </w:t>
      </w:r>
      <w:r w:rsidR="00412857" w:rsidRPr="0090131B">
        <w:t>is not unconditional. The Court holds that</w:t>
      </w:r>
    </w:p>
    <w:p w14:paraId="4B217C63" w14:textId="2E689E53" w:rsidR="004E4226" w:rsidRPr="00D0652C" w:rsidRDefault="004E4226" w:rsidP="006E0B80">
      <w:pPr>
        <w:pStyle w:val="ListParagraph"/>
        <w:ind w:right="658"/>
        <w:jc w:val="both"/>
      </w:pPr>
      <w:r w:rsidRPr="006E0B80">
        <w:rPr>
          <w:rFonts w:ascii="Times New Roman" w:hAnsi="Times New Roman" w:cs="Times New Roman"/>
        </w:rPr>
        <w:t>‘[t]he mere fact that a restriction of a Convention right or freedom does not meet all the requirements of the clause that permits it does not necessarily raise an issue under Article 18. Separate examination of a complaint under that Article is only warranted if the claim that a restriction has been applied for a purpose not prescribed by the Convention appears to be a fundamental aspect of the case</w:t>
      </w:r>
      <w:r w:rsidR="00BB17B7" w:rsidRPr="006E0B80">
        <w:rPr>
          <w:rFonts w:ascii="Times New Roman" w:hAnsi="Times New Roman" w:cs="Times New Roman"/>
        </w:rPr>
        <w:t>”.</w:t>
      </w:r>
      <w:bookmarkStart w:id="70" w:name="_Ref532218359"/>
      <w:r w:rsidR="00BB17B7" w:rsidRPr="006E0B80">
        <w:rPr>
          <w:rStyle w:val="FootnoteReference"/>
          <w:rFonts w:ascii="Times New Roman" w:hAnsi="Times New Roman" w:cs="Times New Roman"/>
        </w:rPr>
        <w:footnoteReference w:id="129"/>
      </w:r>
      <w:bookmarkEnd w:id="70"/>
      <w:r w:rsidR="00BB17B7" w:rsidRPr="006E0B80">
        <w:rPr>
          <w:rStyle w:val="FootnoteReference"/>
        </w:rPr>
        <w:t xml:space="preserve"> </w:t>
      </w:r>
    </w:p>
    <w:p w14:paraId="263A530D" w14:textId="2395EAA9" w:rsidR="005872CC" w:rsidRPr="0090131B" w:rsidRDefault="00BB17B7">
      <w:pPr>
        <w:ind w:right="-52"/>
        <w:jc w:val="both"/>
      </w:pPr>
      <w:r w:rsidRPr="0090131B">
        <w:t xml:space="preserve">This way, the  ECtHR establishes a gravity threshold to be met before it </w:t>
      </w:r>
      <w:r w:rsidR="00175B4A">
        <w:t xml:space="preserve">proceeds with </w:t>
      </w:r>
      <w:r w:rsidRPr="0090131B">
        <w:t>separately examin</w:t>
      </w:r>
      <w:r w:rsidR="00175B4A">
        <w:t>ing</w:t>
      </w:r>
      <w:r w:rsidRPr="0090131B">
        <w:t xml:space="preserve"> an allegation of breach of Article 18</w:t>
      </w:r>
      <w:r w:rsidR="003421FA" w:rsidRPr="0090131B">
        <w:t>.</w:t>
      </w:r>
      <w:bookmarkStart w:id="71" w:name="_Ref532220551"/>
      <w:r w:rsidR="00C91FA4">
        <w:rPr>
          <w:rStyle w:val="FootnoteReference"/>
        </w:rPr>
        <w:footnoteReference w:id="130"/>
      </w:r>
      <w:bookmarkEnd w:id="71"/>
      <w:r w:rsidR="003421FA" w:rsidRPr="0090131B">
        <w:t xml:space="preserve"> </w:t>
      </w:r>
    </w:p>
    <w:p w14:paraId="0A069CA2" w14:textId="77777777" w:rsidR="00BB17B7" w:rsidRPr="0090131B" w:rsidRDefault="00BB17B7" w:rsidP="006E0B80">
      <w:pPr>
        <w:ind w:right="-52"/>
        <w:jc w:val="both"/>
      </w:pPr>
    </w:p>
    <w:p w14:paraId="0316AE33" w14:textId="621EBAC7" w:rsidR="00D74BAF" w:rsidRPr="0090131B" w:rsidRDefault="003421FA">
      <w:pPr>
        <w:ind w:right="-52"/>
        <w:jc w:val="both"/>
      </w:pPr>
      <w:r w:rsidRPr="0090131B">
        <w:t>Next to th</w:t>
      </w:r>
      <w:r w:rsidR="00D9594C" w:rsidRPr="0090131B">
        <w:t>e</w:t>
      </w:r>
      <w:r w:rsidRPr="0090131B">
        <w:t xml:space="preserve"> “fundamental aspect” threshold, a second </w:t>
      </w:r>
      <w:r w:rsidR="009718CA" w:rsidRPr="0090131B">
        <w:t xml:space="preserve">criterion </w:t>
      </w:r>
      <w:r w:rsidRPr="0090131B">
        <w:t>applies for “unlocking” Article 18.</w:t>
      </w:r>
      <w:r w:rsidR="00A75D81">
        <w:rPr>
          <w:rStyle w:val="FootnoteReference"/>
        </w:rPr>
        <w:footnoteReference w:id="131"/>
      </w:r>
      <w:r w:rsidRPr="0090131B">
        <w:t xml:space="preserve"> Said </w:t>
      </w:r>
      <w:r w:rsidR="00D60A45" w:rsidRPr="0090131B">
        <w:t>Article</w:t>
      </w:r>
      <w:r w:rsidR="00370593" w:rsidRPr="0090131B">
        <w:t xml:space="preserve"> </w:t>
      </w:r>
      <w:r w:rsidR="00D60A45" w:rsidRPr="0090131B">
        <w:t xml:space="preserve">is assigned to a more concrete task, as it allows </w:t>
      </w:r>
      <w:r w:rsidR="00C97585">
        <w:t>‘</w:t>
      </w:r>
      <w:r w:rsidR="00D60A45" w:rsidRPr="006E0B80">
        <w:t>a more objective assessment of the presence or absence of an ulterior purpose and thus of a misuse of power</w:t>
      </w:r>
      <w:r w:rsidR="00D60A45" w:rsidRPr="0090131B">
        <w:t xml:space="preserve"> (“</w:t>
      </w:r>
      <w:r w:rsidR="00D60A45" w:rsidRPr="0090131B">
        <w:rPr>
          <w:i/>
        </w:rPr>
        <w:t>détournement de pouvoir</w:t>
      </w:r>
      <w:r w:rsidR="00D60A45" w:rsidRPr="0090131B">
        <w:t>” […]</w:t>
      </w:r>
      <w:r w:rsidR="00C97585">
        <w:t>’</w:t>
      </w:r>
      <w:r w:rsidR="001530EE" w:rsidRPr="0090131B">
        <w:t>.</w:t>
      </w:r>
      <w:r w:rsidR="001530EE" w:rsidRPr="0090131B">
        <w:rPr>
          <w:rStyle w:val="FootnoteReference"/>
        </w:rPr>
        <w:footnoteReference w:id="132"/>
      </w:r>
      <w:r w:rsidR="00D60A45" w:rsidRPr="0090131B">
        <w:t xml:space="preserve"> </w:t>
      </w:r>
      <w:r w:rsidR="009F4CA7" w:rsidRPr="0090131B">
        <w:t>Accordingly</w:t>
      </w:r>
      <w:r w:rsidR="00806D4F" w:rsidRPr="0090131B">
        <w:t xml:space="preserve">, ulterior purpose is a decisive element for “activating” Article 18. </w:t>
      </w:r>
      <w:r w:rsidR="007C2BE8" w:rsidRPr="0090131B">
        <w:t>By th</w:t>
      </w:r>
      <w:r w:rsidR="00806D4F" w:rsidRPr="0090131B">
        <w:t>is</w:t>
      </w:r>
      <w:r w:rsidR="007C2BE8" w:rsidRPr="0090131B">
        <w:t xml:space="preserve"> term</w:t>
      </w:r>
      <w:r w:rsidR="007C2BE8" w:rsidRPr="006E0B80">
        <w:t xml:space="preserve"> </w:t>
      </w:r>
      <w:r w:rsidR="00806D4F" w:rsidRPr="0090131B">
        <w:t>(</w:t>
      </w:r>
      <w:r w:rsidR="00806D4F" w:rsidRPr="006E0B80">
        <w:rPr>
          <w:i/>
        </w:rPr>
        <w:t>i.e.</w:t>
      </w:r>
      <w:r w:rsidR="00806D4F" w:rsidRPr="0090131B">
        <w:t xml:space="preserve"> </w:t>
      </w:r>
      <w:r w:rsidR="007C2BE8" w:rsidRPr="0090131B">
        <w:t>“</w:t>
      </w:r>
      <w:r w:rsidR="007C2BE8" w:rsidRPr="006E0B80">
        <w:t>ulterior purpose</w:t>
      </w:r>
      <w:r w:rsidR="007C2BE8" w:rsidRPr="0090131B">
        <w:t>”</w:t>
      </w:r>
      <w:r w:rsidR="00806D4F" w:rsidRPr="0090131B">
        <w:t>)</w:t>
      </w:r>
      <w:r w:rsidR="007C2BE8" w:rsidRPr="006E0B80">
        <w:t xml:space="preserve"> </w:t>
      </w:r>
      <w:r w:rsidR="00FF4EB5">
        <w:t xml:space="preserve">it </w:t>
      </w:r>
      <w:r w:rsidR="007C2BE8" w:rsidRPr="006E0B80">
        <w:t xml:space="preserve">is </w:t>
      </w:r>
      <w:r w:rsidR="007C2BE8" w:rsidRPr="0090131B">
        <w:t>mean</w:t>
      </w:r>
      <w:r w:rsidR="00476B51" w:rsidRPr="0090131B">
        <w:t>t</w:t>
      </w:r>
      <w:r w:rsidR="007C2BE8" w:rsidRPr="0090131B">
        <w:t xml:space="preserve"> </w:t>
      </w:r>
      <w:r w:rsidR="00FF4EB5">
        <w:t xml:space="preserve">that there is </w:t>
      </w:r>
      <w:r w:rsidR="007C2BE8" w:rsidRPr="006E0B80">
        <w:t xml:space="preserve">a </w:t>
      </w:r>
      <w:r w:rsidR="00833D05" w:rsidRPr="0090131B">
        <w:t>“hidden agenda”, that is</w:t>
      </w:r>
      <w:r w:rsidR="00A03856" w:rsidRPr="0090131B">
        <w:t>,</w:t>
      </w:r>
      <w:r w:rsidR="00833D05" w:rsidRPr="0090131B">
        <w:t xml:space="preserve"> a </w:t>
      </w:r>
      <w:r w:rsidR="007C2BE8" w:rsidRPr="006E0B80">
        <w:t>purpose</w:t>
      </w:r>
      <w:r w:rsidR="00833D05" w:rsidRPr="0090131B">
        <w:t xml:space="preserve"> </w:t>
      </w:r>
      <w:r w:rsidR="007C2BE8" w:rsidRPr="006E0B80">
        <w:t xml:space="preserve">not prescribed by </w:t>
      </w:r>
      <w:r w:rsidR="007C2BE8" w:rsidRPr="0090131B">
        <w:t>the</w:t>
      </w:r>
      <w:r w:rsidR="007C2BE8" w:rsidRPr="006E0B80">
        <w:t xml:space="preserve"> </w:t>
      </w:r>
      <w:r w:rsidR="007C2BE8" w:rsidRPr="0090131B">
        <w:t xml:space="preserve">ECHR </w:t>
      </w:r>
      <w:r w:rsidR="007C2BE8" w:rsidRPr="006E0B80">
        <w:t xml:space="preserve">provision </w:t>
      </w:r>
      <w:r w:rsidR="00D467DB" w:rsidRPr="0090131B">
        <w:t>in conjunction with which Article 18 has been invoked</w:t>
      </w:r>
      <w:r w:rsidR="007C114B" w:rsidRPr="0090131B">
        <w:t xml:space="preserve"> which</w:t>
      </w:r>
      <w:r w:rsidR="00BB170B" w:rsidRPr="0090131B">
        <w:t xml:space="preserve"> (</w:t>
      </w:r>
      <w:r w:rsidR="00BB170B" w:rsidRPr="006E0B80">
        <w:rPr>
          <w:i/>
        </w:rPr>
        <w:t>i.e.</w:t>
      </w:r>
      <w:r w:rsidR="00BB170B" w:rsidRPr="0090131B">
        <w:t xml:space="preserve"> the purpose)</w:t>
      </w:r>
      <w:r w:rsidR="007C114B" w:rsidRPr="0090131B">
        <w:t xml:space="preserve"> </w:t>
      </w:r>
      <w:r w:rsidR="007C2BE8" w:rsidRPr="006E0B80">
        <w:t>differ</w:t>
      </w:r>
      <w:r w:rsidR="00AD743C" w:rsidRPr="0090131B">
        <w:t>s</w:t>
      </w:r>
      <w:r w:rsidR="007C2BE8" w:rsidRPr="006E0B80">
        <w:t xml:space="preserve"> from th</w:t>
      </w:r>
      <w:r w:rsidR="00D467DB" w:rsidRPr="0090131B">
        <w:t>e purpose</w:t>
      </w:r>
      <w:r w:rsidR="007C2BE8" w:rsidRPr="006E0B80">
        <w:t xml:space="preserve"> proclaimed by the authorities</w:t>
      </w:r>
      <w:r w:rsidR="00D467DB" w:rsidRPr="0090131B">
        <w:t>.</w:t>
      </w:r>
      <w:bookmarkStart w:id="72" w:name="_Ref531700274"/>
      <w:r w:rsidR="00D467DB" w:rsidRPr="0090131B">
        <w:rPr>
          <w:rStyle w:val="FootnoteReference"/>
        </w:rPr>
        <w:footnoteReference w:id="133"/>
      </w:r>
      <w:bookmarkEnd w:id="72"/>
      <w:r w:rsidR="007B3FA0" w:rsidRPr="0090131B">
        <w:t xml:space="preserve"> </w:t>
      </w:r>
      <w:r w:rsidR="00814942" w:rsidRPr="0090131B">
        <w:t>Th</w:t>
      </w:r>
      <w:r w:rsidR="00D467DB" w:rsidRPr="0090131B">
        <w:t>e “ulterior purpose”</w:t>
      </w:r>
      <w:r w:rsidR="00814942" w:rsidRPr="0090131B">
        <w:t xml:space="preserve"> criterion is related to bad faith, but the two “</w:t>
      </w:r>
      <w:r w:rsidR="0017268E" w:rsidRPr="006E0B80">
        <w:t>are not necessarily equivalent in each case</w:t>
      </w:r>
      <w:r w:rsidR="00814942" w:rsidRPr="0090131B">
        <w:t>”</w:t>
      </w:r>
      <w:r w:rsidR="0017268E" w:rsidRPr="006E0B80">
        <w:t>.</w:t>
      </w:r>
      <w:r w:rsidR="00814942" w:rsidRPr="0090131B">
        <w:rPr>
          <w:rStyle w:val="FootnoteReference"/>
        </w:rPr>
        <w:footnoteReference w:id="134"/>
      </w:r>
      <w:r w:rsidR="006B1ADE" w:rsidRPr="0090131B">
        <w:t xml:space="preserve"> </w:t>
      </w:r>
      <w:r w:rsidR="004A5CF7" w:rsidRPr="0090131B">
        <w:t>Therefore</w:t>
      </w:r>
      <w:r w:rsidR="006B1ADE" w:rsidRPr="0090131B">
        <w:t>, the GC</w:t>
      </w:r>
      <w:r w:rsidR="004A5CF7" w:rsidRPr="0090131B">
        <w:t xml:space="preserve"> appears to</w:t>
      </w:r>
      <w:r w:rsidR="006B1ADE" w:rsidRPr="0090131B">
        <w:t xml:space="preserve"> concur with scholarship </w:t>
      </w:r>
      <w:r w:rsidR="004A5CF7" w:rsidRPr="0090131B">
        <w:t>when it</w:t>
      </w:r>
      <w:r w:rsidR="006B1ADE" w:rsidRPr="0090131B">
        <w:t xml:space="preserve"> identifi</w:t>
      </w:r>
      <w:r w:rsidR="004A5CF7" w:rsidRPr="0090131B">
        <w:t>es</w:t>
      </w:r>
      <w:r w:rsidR="006B1ADE" w:rsidRPr="0090131B">
        <w:t xml:space="preserve"> a common </w:t>
      </w:r>
      <w:r w:rsidR="00145BAA" w:rsidRPr="0090131B">
        <w:t>space between bad faith and abuse of rights (under Article 18)</w:t>
      </w:r>
      <w:r w:rsidR="00977442" w:rsidRPr="0090131B">
        <w:t xml:space="preserve"> </w:t>
      </w:r>
      <w:r w:rsidR="00C82687" w:rsidRPr="0090131B">
        <w:t xml:space="preserve">-although, admittedly, it </w:t>
      </w:r>
      <w:r w:rsidR="00244C39" w:rsidRPr="0090131B">
        <w:t>prefers employing the term “misuse of power” instead of “abuse</w:t>
      </w:r>
      <w:r w:rsidR="00C82687" w:rsidRPr="0090131B">
        <w:t xml:space="preserve"> </w:t>
      </w:r>
      <w:r w:rsidR="00244C39" w:rsidRPr="0090131B">
        <w:t>of rights”</w:t>
      </w:r>
      <w:r w:rsidR="00C82687" w:rsidRPr="0090131B">
        <w:t>.</w:t>
      </w:r>
      <w:r w:rsidR="006D3D3A" w:rsidRPr="0090131B">
        <w:t xml:space="preserve"> </w:t>
      </w:r>
    </w:p>
    <w:p w14:paraId="73A8CF54" w14:textId="77777777" w:rsidR="00D74BAF" w:rsidRPr="0090131B" w:rsidRDefault="00D74BAF" w:rsidP="002A329C">
      <w:pPr>
        <w:ind w:right="-52"/>
        <w:jc w:val="both"/>
      </w:pPr>
    </w:p>
    <w:p w14:paraId="003655F8" w14:textId="10FF78ED" w:rsidR="0068674E" w:rsidRPr="0090131B" w:rsidRDefault="00370593" w:rsidP="0068674E">
      <w:pPr>
        <w:ind w:right="-52"/>
        <w:jc w:val="both"/>
      </w:pPr>
      <w:r w:rsidRPr="0090131B">
        <w:t xml:space="preserve">Things are rather straightforward </w:t>
      </w:r>
      <w:r w:rsidR="00355A06" w:rsidRPr="0090131B">
        <w:t>if</w:t>
      </w:r>
      <w:r w:rsidRPr="0090131B">
        <w:t xml:space="preserve"> the ulterior purpose </w:t>
      </w:r>
      <w:r w:rsidR="00355A06" w:rsidRPr="0090131B">
        <w:t xml:space="preserve">is the sole purpose animating the conduct of </w:t>
      </w:r>
      <w:r w:rsidR="0026700F" w:rsidRPr="0090131B">
        <w:t xml:space="preserve">national </w:t>
      </w:r>
      <w:r w:rsidR="00355A06" w:rsidRPr="0090131B">
        <w:t>authorities</w:t>
      </w:r>
      <w:r w:rsidR="009718CA" w:rsidRPr="0090131B">
        <w:t xml:space="preserve"> </w:t>
      </w:r>
      <w:r w:rsidR="00355A06" w:rsidRPr="0090131B">
        <w:t>le</w:t>
      </w:r>
      <w:r w:rsidR="009718CA" w:rsidRPr="0090131B">
        <w:t>a</w:t>
      </w:r>
      <w:r w:rsidR="00355A06" w:rsidRPr="0090131B">
        <w:t>d</w:t>
      </w:r>
      <w:r w:rsidR="009718CA" w:rsidRPr="0090131B">
        <w:t xml:space="preserve">ing </w:t>
      </w:r>
      <w:r w:rsidR="00355A06" w:rsidRPr="0090131B">
        <w:t>to an ECHR right</w:t>
      </w:r>
      <w:r w:rsidR="0068674E" w:rsidRPr="0090131B">
        <w:t xml:space="preserve"> restriction</w:t>
      </w:r>
      <w:r w:rsidR="00E748D6">
        <w:t>, b</w:t>
      </w:r>
      <w:r w:rsidR="0068674E" w:rsidRPr="0090131B">
        <w:t xml:space="preserve">ut a plurality of purposes may </w:t>
      </w:r>
      <w:r w:rsidR="00093B59" w:rsidRPr="0090131B">
        <w:t xml:space="preserve">well </w:t>
      </w:r>
      <w:r w:rsidR="0068674E" w:rsidRPr="0090131B">
        <w:t xml:space="preserve">exist. </w:t>
      </w:r>
      <w:r w:rsidR="00355A06" w:rsidRPr="0090131B">
        <w:t xml:space="preserve"> </w:t>
      </w:r>
      <w:r w:rsidR="0068674E" w:rsidRPr="0090131B">
        <w:t>Thus, the Court’s GC explains:</w:t>
      </w:r>
    </w:p>
    <w:p w14:paraId="3F8CB893" w14:textId="77777777" w:rsidR="0068674E" w:rsidRPr="006E0B80" w:rsidRDefault="0068674E" w:rsidP="0068674E">
      <w:pPr>
        <w:pStyle w:val="ListParagraph"/>
        <w:ind w:right="658"/>
        <w:jc w:val="both"/>
        <w:rPr>
          <w:rFonts w:ascii="Times New Roman" w:hAnsi="Times New Roman" w:cs="Times New Roman"/>
        </w:rPr>
      </w:pPr>
      <w:r w:rsidRPr="0090131B">
        <w:rPr>
          <w:rFonts w:ascii="Times New Roman" w:hAnsi="Times New Roman" w:cs="Times New Roman"/>
        </w:rPr>
        <w:t xml:space="preserve">‘[a] right or freedom is sometimes restricted solely for a purpose which is not prescribed by the Convention. But it is equally possible that a restriction is applied both for an ulterior purpose and a purpose prescribed by the Convention; in other words, that it pursues a plurality of purposes. The question in such situations is whether the prescribed purpose invariably expunges the ulterior one, </w:t>
      </w:r>
      <w:r w:rsidRPr="0090131B">
        <w:rPr>
          <w:rFonts w:ascii="Times New Roman" w:hAnsi="Times New Roman" w:cs="Times New Roman"/>
        </w:rPr>
        <w:lastRenderedPageBreak/>
        <w:t>whether the mere presence of an ulterior purpose contravenes Article 18, or whether there is some intermediary answer.’</w:t>
      </w:r>
      <w:r w:rsidRPr="0090131B">
        <w:rPr>
          <w:rStyle w:val="FootnoteReference"/>
          <w:rFonts w:ascii="Times New Roman" w:hAnsi="Times New Roman" w:cs="Times New Roman"/>
        </w:rPr>
        <w:footnoteReference w:id="135"/>
      </w:r>
      <w:r w:rsidRPr="0090131B">
        <w:rPr>
          <w:rFonts w:ascii="Times New Roman" w:hAnsi="Times New Roman" w:cs="Times New Roman"/>
        </w:rPr>
        <w:t xml:space="preserve">   </w:t>
      </w:r>
    </w:p>
    <w:p w14:paraId="61EFD7AB" w14:textId="32002741" w:rsidR="00C7486B" w:rsidRPr="0090131B" w:rsidRDefault="001C0F96" w:rsidP="00C7486B">
      <w:pPr>
        <w:ind w:right="-52"/>
        <w:jc w:val="both"/>
      </w:pPr>
      <w:r w:rsidRPr="0090131B">
        <w:t>In its answer to this set of questions the GC c</w:t>
      </w:r>
      <w:r w:rsidR="00897D91" w:rsidRPr="006E0B80">
        <w:t>onsider</w:t>
      </w:r>
      <w:r w:rsidRPr="0090131B">
        <w:t xml:space="preserve">s </w:t>
      </w:r>
      <w:r w:rsidR="00897D91" w:rsidRPr="006E0B80">
        <w:t>Article 18’s teleology, ‘which is to prohibit the misuse of power’</w:t>
      </w:r>
      <w:r w:rsidRPr="0090131B">
        <w:t>,</w:t>
      </w:r>
      <w:r w:rsidR="00897D91" w:rsidRPr="006E0B80">
        <w:rPr>
          <w:rStyle w:val="FootnoteReference"/>
        </w:rPr>
        <w:footnoteReference w:id="136"/>
      </w:r>
      <w:r w:rsidRPr="0090131B">
        <w:t xml:space="preserve"> to hold that</w:t>
      </w:r>
      <w:r w:rsidR="00897D91" w:rsidRPr="006E0B80">
        <w:t xml:space="preserve"> </w:t>
      </w:r>
      <w:r w:rsidR="0077417D" w:rsidRPr="006E0B80">
        <w:t xml:space="preserve">the </w:t>
      </w:r>
      <w:r w:rsidR="0077417D" w:rsidRPr="0090131B">
        <w:t>existence</w:t>
      </w:r>
      <w:r w:rsidR="0077417D" w:rsidRPr="006E0B80">
        <w:t xml:space="preserve"> of a purpose not fall</w:t>
      </w:r>
      <w:r w:rsidR="0077417D" w:rsidRPr="0090131B">
        <w:t>ing</w:t>
      </w:r>
      <w:r w:rsidR="0077417D" w:rsidRPr="006E0B80">
        <w:t xml:space="preserve"> within the restriction</w:t>
      </w:r>
      <w:r w:rsidR="008420D1" w:rsidRPr="0090131B">
        <w:t xml:space="preserve">s allowed by the ECHR Article in combination with which Article 18 has been invoked does not lead </w:t>
      </w:r>
      <w:r w:rsidR="008420D1" w:rsidRPr="006E0B80">
        <w:rPr>
          <w:i/>
        </w:rPr>
        <w:t>per se</w:t>
      </w:r>
      <w:r w:rsidR="0077417D" w:rsidRPr="006E0B80">
        <w:t xml:space="preserve"> to a breach of Article 18.</w:t>
      </w:r>
      <w:r w:rsidR="000776F7" w:rsidRPr="0090131B">
        <w:t xml:space="preserve"> </w:t>
      </w:r>
      <w:r w:rsidR="00C7486B" w:rsidRPr="0090131B">
        <w:t>For</w:t>
      </w:r>
      <w:r w:rsidR="008D01F8" w:rsidRPr="0090131B">
        <w:t>,</w:t>
      </w:r>
    </w:p>
    <w:p w14:paraId="493198EE" w14:textId="35C12E7E" w:rsidR="00C7486B" w:rsidRPr="0090131B" w:rsidRDefault="00C7486B" w:rsidP="00C7486B">
      <w:pPr>
        <w:pStyle w:val="ListParagraph"/>
        <w:ind w:right="658"/>
        <w:jc w:val="both"/>
        <w:rPr>
          <w:rFonts w:ascii="Times New Roman" w:hAnsi="Times New Roman" w:cs="Times New Roman"/>
        </w:rPr>
      </w:pPr>
      <w:r w:rsidRPr="0090131B">
        <w:rPr>
          <w:rFonts w:ascii="Times New Roman" w:hAnsi="Times New Roman" w:cs="Times New Roman"/>
        </w:rPr>
        <w:t>‘[t]here is a considerable difference between cases in which the prescribed purpose was the one that truly actuated the authorities, though they also wanted to gain some other advantage, and cases in which the prescribed purpose, while present, was in reality simply a cover enabling the authorities to attain an extraneous purpose, which was the overriding focus of their efforts.</w:t>
      </w:r>
      <w:r w:rsidR="0042062E">
        <w:rPr>
          <w:rFonts w:ascii="Times New Roman" w:hAnsi="Times New Roman" w:cs="Times New Roman"/>
        </w:rPr>
        <w:t>’</w:t>
      </w:r>
      <w:r w:rsidRPr="0090131B">
        <w:rPr>
          <w:rStyle w:val="FootnoteReference"/>
          <w:rFonts w:ascii="Times New Roman" w:hAnsi="Times New Roman" w:cs="Times New Roman"/>
        </w:rPr>
        <w:footnoteReference w:id="137"/>
      </w:r>
    </w:p>
    <w:p w14:paraId="29EE353A" w14:textId="4F640653" w:rsidR="0011452D" w:rsidRPr="0090131B" w:rsidRDefault="000776F7" w:rsidP="00177B83">
      <w:pPr>
        <w:ind w:right="-52"/>
        <w:jc w:val="both"/>
      </w:pPr>
      <w:r w:rsidRPr="0090131B">
        <w:t xml:space="preserve">Thus, </w:t>
      </w:r>
      <w:r w:rsidRPr="006E0B80">
        <w:t>‘the mere presence of a purpose which does not fall within the respective restriction clause cannot of itself give rise to a breach of Article 18.’</w:t>
      </w:r>
      <w:r w:rsidRPr="006E0B80">
        <w:rPr>
          <w:rStyle w:val="FootnoteReference"/>
        </w:rPr>
        <w:footnoteReference w:id="138"/>
      </w:r>
      <w:r w:rsidRPr="006E0B80">
        <w:t xml:space="preserve"> </w:t>
      </w:r>
      <w:r w:rsidR="008420D1" w:rsidRPr="006E0B80">
        <w:rPr>
          <w:i/>
        </w:rPr>
        <w:t>Mutatis mutandis</w:t>
      </w:r>
      <w:r w:rsidR="0077417D" w:rsidRPr="006E0B80">
        <w:t xml:space="preserve">, finding that the </w:t>
      </w:r>
      <w:r w:rsidR="008420D1" w:rsidRPr="0090131B">
        <w:t xml:space="preserve">purpose pursued by a </w:t>
      </w:r>
      <w:r w:rsidR="0077417D" w:rsidRPr="006E0B80">
        <w:t xml:space="preserve">restriction </w:t>
      </w:r>
      <w:r w:rsidR="008420D1" w:rsidRPr="0090131B">
        <w:t>is</w:t>
      </w:r>
      <w:r w:rsidR="0077417D" w:rsidRPr="006E0B80">
        <w:t xml:space="preserve"> prescribed by the Convention </w:t>
      </w:r>
      <w:r w:rsidR="0042062E">
        <w:t>‘</w:t>
      </w:r>
      <w:r w:rsidR="0077417D" w:rsidRPr="006E0B80">
        <w:t>does not</w:t>
      </w:r>
      <w:r w:rsidR="000519DC" w:rsidRPr="0090131B">
        <w:t xml:space="preserve"> necessarily rule out a breach of Article 18 either.</w:t>
      </w:r>
      <w:r w:rsidR="0042062E">
        <w:t>’</w:t>
      </w:r>
      <w:r w:rsidR="00DC198A" w:rsidRPr="0090131B">
        <w:rPr>
          <w:rStyle w:val="FootnoteReference"/>
        </w:rPr>
        <w:footnoteReference w:id="139"/>
      </w:r>
      <w:r w:rsidR="00DC198A" w:rsidRPr="0090131B">
        <w:t xml:space="preserve"> </w:t>
      </w:r>
      <w:r w:rsidR="00D43920" w:rsidRPr="0090131B">
        <w:t>The decisive criterion in that respect is whether the ulterior purpose was predominant.</w:t>
      </w:r>
      <w:r w:rsidR="00D43920" w:rsidRPr="006E0B80">
        <w:rPr>
          <w:rStyle w:val="FootnoteReference"/>
        </w:rPr>
        <w:footnoteReference w:id="140"/>
      </w:r>
      <w:r w:rsidR="00D43920" w:rsidRPr="0090131B">
        <w:t xml:space="preserve"> </w:t>
      </w:r>
    </w:p>
    <w:p w14:paraId="3796473A" w14:textId="62510D00" w:rsidR="0011452D" w:rsidRPr="00D0652C" w:rsidRDefault="00E14EAD" w:rsidP="006E0B80">
      <w:pPr>
        <w:pStyle w:val="ListParagraph"/>
        <w:ind w:right="658"/>
        <w:jc w:val="both"/>
      </w:pPr>
      <w:r w:rsidRPr="006E0B80">
        <w:rPr>
          <w:rFonts w:ascii="Times New Roman" w:hAnsi="Times New Roman" w:cs="Times New Roman"/>
        </w:rPr>
        <w:t>‘</w:t>
      </w:r>
      <w:r w:rsidR="0011452D" w:rsidRPr="006E0B80">
        <w:rPr>
          <w:rFonts w:ascii="Times New Roman" w:hAnsi="Times New Roman" w:cs="Times New Roman"/>
        </w:rPr>
        <w:t>Which purpose is predominant in a given case depends on all the circumstances. In assessing that point, the Court will have regard to the nature and degree of reprehensibility of the alleged ulterior purpose, and bear in mind that the Convention was designed to maintain and promote the ideals and values of a democratic society governed by the rule of law.</w:t>
      </w:r>
      <w:r w:rsidRPr="006E0B80">
        <w:rPr>
          <w:rFonts w:ascii="Times New Roman" w:hAnsi="Times New Roman" w:cs="Times New Roman"/>
        </w:rPr>
        <w:t>’</w:t>
      </w:r>
      <w:r w:rsidR="00D46A44" w:rsidRPr="006E0B80">
        <w:rPr>
          <w:rStyle w:val="FootnoteReference"/>
          <w:rFonts w:ascii="Times New Roman" w:hAnsi="Times New Roman" w:cs="Times New Roman"/>
        </w:rPr>
        <w:footnoteReference w:id="141"/>
      </w:r>
    </w:p>
    <w:p w14:paraId="2ECFC9F7" w14:textId="153DE45D" w:rsidR="00FC5B51" w:rsidRPr="0090131B" w:rsidRDefault="00444D53" w:rsidP="00177B83">
      <w:pPr>
        <w:ind w:right="-52"/>
        <w:jc w:val="both"/>
      </w:pPr>
      <w:r w:rsidRPr="0090131B">
        <w:t xml:space="preserve">In </w:t>
      </w:r>
      <w:r w:rsidR="00E748D6">
        <w:t xml:space="preserve">other </w:t>
      </w:r>
      <w:r w:rsidRPr="0090131B">
        <w:t xml:space="preserve">words, the autonomous nature </w:t>
      </w:r>
      <w:r w:rsidR="0079439E" w:rsidRPr="0090131B">
        <w:t xml:space="preserve">and teleology </w:t>
      </w:r>
      <w:r w:rsidRPr="0090131B">
        <w:t xml:space="preserve">of Article 18 require investigating the true </w:t>
      </w:r>
      <w:r w:rsidR="00967DDD" w:rsidRPr="0090131B">
        <w:t xml:space="preserve">key </w:t>
      </w:r>
      <w:r w:rsidRPr="0090131B">
        <w:t xml:space="preserve">intentions of the national authorities. Outside of the question of the lawfulness of a restriction (which involves different questions, including the legitimacy and the necessity of the restriction), </w:t>
      </w:r>
      <w:r w:rsidR="00BB5C48" w:rsidRPr="0090131B">
        <w:t xml:space="preserve">under Article 18 </w:t>
      </w:r>
      <w:r w:rsidRPr="0090131B">
        <w:t xml:space="preserve">the Court </w:t>
      </w:r>
      <w:r w:rsidR="00FC5B51" w:rsidRPr="0090131B">
        <w:t xml:space="preserve">will </w:t>
      </w:r>
      <w:r w:rsidRPr="0090131B">
        <w:t>need to explore</w:t>
      </w:r>
      <w:r w:rsidR="00FC5B51" w:rsidRPr="0090131B">
        <w:t xml:space="preserve"> </w:t>
      </w:r>
      <w:r w:rsidR="00B66C51">
        <w:t>whether</w:t>
      </w:r>
      <w:r w:rsidRPr="0090131B">
        <w:t xml:space="preserve"> the justification of a restriction is </w:t>
      </w:r>
      <w:r w:rsidRPr="006E0B80">
        <w:rPr>
          <w:i/>
        </w:rPr>
        <w:t xml:space="preserve">primarily </w:t>
      </w:r>
      <w:r w:rsidRPr="0090131B">
        <w:t xml:space="preserve">a pretext for notional authorities to pursue aims that are extraneous to </w:t>
      </w:r>
      <w:r w:rsidR="00BB5C48">
        <w:t>the Convention.</w:t>
      </w:r>
      <w:r w:rsidRPr="0090131B">
        <w:t xml:space="preserve"> </w:t>
      </w:r>
      <w:r w:rsidR="00BB5C48">
        <w:t>In other</w:t>
      </w:r>
      <w:r w:rsidRPr="0090131B">
        <w:t xml:space="preserve"> words, </w:t>
      </w:r>
      <w:r w:rsidR="00BB5C48">
        <w:t>the ECtHR must consider whether</w:t>
      </w:r>
      <w:r w:rsidRPr="0090131B">
        <w:t xml:space="preserve"> national authorities are </w:t>
      </w:r>
      <w:r w:rsidR="00BB5C48">
        <w:t xml:space="preserve">predominantly </w:t>
      </w:r>
      <w:r w:rsidRPr="0090131B">
        <w:t>endeavouring to misuse/abuse the possibility provided by the ECHR to</w:t>
      </w:r>
      <w:r w:rsidR="00F91E25">
        <w:t xml:space="preserve"> lawfully</w:t>
      </w:r>
      <w:r w:rsidRPr="0090131B">
        <w:t xml:space="preserve"> restrict the rights and freedoms it enshrines.</w:t>
      </w:r>
      <w:r w:rsidR="00FC5B51" w:rsidRPr="0090131B">
        <w:t xml:space="preserve"> </w:t>
      </w:r>
    </w:p>
    <w:p w14:paraId="033025DC" w14:textId="77777777" w:rsidR="00FC5B51" w:rsidRPr="0090131B" w:rsidRDefault="00FC5B51" w:rsidP="00177B83">
      <w:pPr>
        <w:ind w:right="-52"/>
        <w:jc w:val="both"/>
      </w:pPr>
    </w:p>
    <w:p w14:paraId="45ECD746" w14:textId="7EAEF0C0" w:rsidR="00E56234" w:rsidRPr="0090131B" w:rsidRDefault="00AC2776" w:rsidP="001B164A">
      <w:pPr>
        <w:ind w:right="-52"/>
        <w:jc w:val="both"/>
      </w:pPr>
      <w:r w:rsidRPr="0090131B">
        <w:t xml:space="preserve">Consequently, </w:t>
      </w:r>
      <w:r w:rsidR="00FC5B51" w:rsidRPr="0090131B">
        <w:t xml:space="preserve">not all ulterior purposes are able to breach Article 18 when </w:t>
      </w:r>
      <w:r w:rsidR="00BB5C48">
        <w:t xml:space="preserve">a plurality of purposes exists. Should the Court find in a case wherein a plurality of purposes exist that </w:t>
      </w:r>
      <w:r w:rsidR="00BB5C48" w:rsidRPr="0090131B">
        <w:t>a restriction also pursues an ulterior purpose, Article 18 will only be breached if the ulterior purpose is predominant.</w:t>
      </w:r>
      <w:r w:rsidR="006466E7" w:rsidRPr="0090131B">
        <w:rPr>
          <w:rStyle w:val="FootnoteReference"/>
        </w:rPr>
        <w:footnoteReference w:id="142"/>
      </w:r>
      <w:r w:rsidR="0009546E" w:rsidRPr="0090131B">
        <w:t xml:space="preserve"> </w:t>
      </w:r>
      <w:r w:rsidRPr="0090131B">
        <w:t>Conversely,</w:t>
      </w:r>
      <w:r w:rsidR="0009546E" w:rsidRPr="0090131B">
        <w:t xml:space="preserve"> </w:t>
      </w:r>
      <w:r w:rsidR="0009546E" w:rsidRPr="006E0B80">
        <w:t xml:space="preserve">if </w:t>
      </w:r>
      <w:r w:rsidRPr="0090131B">
        <w:t xml:space="preserve">the predominant purpose that truly actuated the conduct of the respondent’s authorities is </w:t>
      </w:r>
      <w:r w:rsidR="0009546E" w:rsidRPr="006E0B80">
        <w:t xml:space="preserve">the prescribed </w:t>
      </w:r>
      <w:r w:rsidRPr="0090131B">
        <w:t>one,</w:t>
      </w:r>
      <w:r w:rsidR="0009546E" w:rsidRPr="006E0B80">
        <w:t xml:space="preserve"> </w:t>
      </w:r>
      <w:r w:rsidR="001D7289" w:rsidRPr="0090131B">
        <w:t xml:space="preserve">no issue </w:t>
      </w:r>
      <w:r w:rsidR="009906CC">
        <w:t xml:space="preserve">will </w:t>
      </w:r>
      <w:r w:rsidR="001D7289" w:rsidRPr="0090131B">
        <w:t>arise under</w:t>
      </w:r>
      <w:r w:rsidR="0009546E" w:rsidRPr="006E0B80">
        <w:t xml:space="preserve"> Article 18</w:t>
      </w:r>
      <w:r w:rsidR="001D7289" w:rsidRPr="0090131B">
        <w:t xml:space="preserve"> </w:t>
      </w:r>
      <w:r w:rsidR="00F91E25" w:rsidRPr="0090131B">
        <w:t>–</w:t>
      </w:r>
      <w:r w:rsidR="001D7289" w:rsidRPr="0090131B">
        <w:t>with no regard to whether national authorities pursued other objectives as well.</w:t>
      </w:r>
      <w:r w:rsidR="001D7289" w:rsidRPr="0090131B">
        <w:rPr>
          <w:rStyle w:val="FootnoteReference"/>
        </w:rPr>
        <w:footnoteReference w:id="143"/>
      </w:r>
      <w:r w:rsidR="001D7289" w:rsidRPr="0090131B">
        <w:t xml:space="preserve"> </w:t>
      </w:r>
      <w:r w:rsidR="00C93EC0" w:rsidRPr="0090131B">
        <w:t xml:space="preserve">Thus, the </w:t>
      </w:r>
      <w:r w:rsidR="00134940">
        <w:t>decisive</w:t>
      </w:r>
      <w:r w:rsidR="00C93EC0" w:rsidRPr="0090131B">
        <w:t xml:space="preserve"> criterion whe</w:t>
      </w:r>
      <w:r w:rsidR="009906CC">
        <w:t>re</w:t>
      </w:r>
      <w:r w:rsidR="00C93EC0" w:rsidRPr="0090131B">
        <w:t xml:space="preserve"> the Court finds no breach of the provision in conjunction with which Article 18 has been invoked is the </w:t>
      </w:r>
      <w:r w:rsidR="00C93EC0" w:rsidRPr="006E0B80">
        <w:t xml:space="preserve">predominant </w:t>
      </w:r>
      <w:r w:rsidR="00C93EC0" w:rsidRPr="0090131B">
        <w:t>rationale and objectives</w:t>
      </w:r>
      <w:r w:rsidR="00BE023F" w:rsidRPr="0090131B">
        <w:t>, that is to say,</w:t>
      </w:r>
      <w:r w:rsidR="006744AB" w:rsidRPr="0090131B">
        <w:t xml:space="preserve"> the </w:t>
      </w:r>
      <w:r w:rsidR="00BE023F" w:rsidRPr="0090131B">
        <w:t xml:space="preserve"> </w:t>
      </w:r>
      <w:r w:rsidR="006744AB" w:rsidRPr="0090131B">
        <w:t>principal and prevalent</w:t>
      </w:r>
      <w:r w:rsidR="006744AB" w:rsidRPr="006E0B80">
        <w:rPr>
          <w:i/>
        </w:rPr>
        <w:t xml:space="preserve"> </w:t>
      </w:r>
      <w:r w:rsidR="00BE023F" w:rsidRPr="006E0B80">
        <w:rPr>
          <w:i/>
        </w:rPr>
        <w:t>intentions</w:t>
      </w:r>
      <w:r w:rsidR="00C93EC0" w:rsidRPr="0090131B">
        <w:t xml:space="preserve"> behind the restriction </w:t>
      </w:r>
      <w:r w:rsidR="00BE023F" w:rsidRPr="0090131B">
        <w:t>of a</w:t>
      </w:r>
      <w:r w:rsidR="00C93EC0" w:rsidRPr="0090131B">
        <w:t xml:space="preserve"> Convention</w:t>
      </w:r>
      <w:r w:rsidR="00BE023F" w:rsidRPr="0090131B">
        <w:t xml:space="preserve"> right</w:t>
      </w:r>
      <w:r w:rsidR="00C93EC0" w:rsidRPr="0090131B">
        <w:t xml:space="preserve">. </w:t>
      </w:r>
    </w:p>
    <w:p w14:paraId="1200CBB4" w14:textId="77777777" w:rsidR="00E56234" w:rsidRPr="0090131B" w:rsidRDefault="00E56234" w:rsidP="001B164A">
      <w:pPr>
        <w:ind w:right="-52"/>
        <w:jc w:val="both"/>
      </w:pPr>
    </w:p>
    <w:p w14:paraId="210E8001" w14:textId="59F2D126" w:rsidR="00911F74" w:rsidRPr="0090131B" w:rsidRDefault="00C93EC0">
      <w:pPr>
        <w:ind w:right="-52"/>
        <w:jc w:val="both"/>
      </w:pPr>
      <w:r w:rsidRPr="0090131B">
        <w:t xml:space="preserve">The GC is setting a quality threshold that </w:t>
      </w:r>
      <w:r w:rsidR="000D49C8" w:rsidRPr="0090131B">
        <w:t>must</w:t>
      </w:r>
      <w:r w:rsidRPr="0090131B">
        <w:t xml:space="preserve"> to be met</w:t>
      </w:r>
      <w:r w:rsidR="000D019A" w:rsidRPr="0090131B">
        <w:t xml:space="preserve"> when plural purposes </w:t>
      </w:r>
      <w:r w:rsidR="00E56234" w:rsidRPr="0090131B">
        <w:t>drive the respondent’s conduct</w:t>
      </w:r>
      <w:r w:rsidRPr="0090131B">
        <w:t>.</w:t>
      </w:r>
      <w:r w:rsidR="00DB7453">
        <w:t xml:space="preserve"> </w:t>
      </w:r>
      <w:r w:rsidR="00911F74" w:rsidRPr="0090131B">
        <w:rPr>
          <w:i/>
        </w:rPr>
        <w:t>P</w:t>
      </w:r>
      <w:r w:rsidR="00911F74" w:rsidRPr="006E0B80">
        <w:rPr>
          <w:i/>
        </w:rPr>
        <w:t>rima facie</w:t>
      </w:r>
      <w:r w:rsidR="00911F74" w:rsidRPr="0090131B">
        <w:t xml:space="preserve">, </w:t>
      </w:r>
      <w:r w:rsidR="00FF060C" w:rsidRPr="0090131B">
        <w:t xml:space="preserve">the “predominant purpose” criterion </w:t>
      </w:r>
      <w:r w:rsidR="00FE4433" w:rsidRPr="0090131B">
        <w:t>curtails</w:t>
      </w:r>
      <w:r w:rsidR="00FF060C" w:rsidRPr="0090131B">
        <w:t>,</w:t>
      </w:r>
      <w:r w:rsidR="00FE4433" w:rsidRPr="0090131B">
        <w:t xml:space="preserve"> compromises</w:t>
      </w:r>
      <w:r w:rsidR="00AA2881">
        <w:t>,</w:t>
      </w:r>
      <w:r w:rsidR="00FF060C" w:rsidRPr="0090131B">
        <w:t xml:space="preserve"> and possibly undermines Article 18’s autonomy. In a sense, non-predominant u</w:t>
      </w:r>
      <w:r w:rsidR="00911F74" w:rsidRPr="0090131B">
        <w:t>lterior purpose</w:t>
      </w:r>
      <w:r w:rsidR="00FE4433" w:rsidRPr="0090131B">
        <w:t>s</w:t>
      </w:r>
      <w:r w:rsidR="00911F74" w:rsidRPr="0090131B">
        <w:t xml:space="preserve"> </w:t>
      </w:r>
      <w:r w:rsidR="00FE4433" w:rsidRPr="0090131B">
        <w:t>are</w:t>
      </w:r>
      <w:r w:rsidR="00911F74" w:rsidRPr="0090131B">
        <w:t xml:space="preserve"> absorbed by</w:t>
      </w:r>
      <w:r w:rsidR="00FF060C" w:rsidRPr="0090131B">
        <w:t xml:space="preserve"> the legitimate</w:t>
      </w:r>
      <w:r w:rsidR="00911F74" w:rsidRPr="0090131B">
        <w:t xml:space="preserve"> prescribed aim</w:t>
      </w:r>
      <w:r w:rsidR="00FE4433" w:rsidRPr="0090131B">
        <w:t>s</w:t>
      </w:r>
      <w:r w:rsidR="00FF060C" w:rsidRPr="0090131B">
        <w:t xml:space="preserve"> that justif</w:t>
      </w:r>
      <w:r w:rsidR="00FE4433" w:rsidRPr="0090131B">
        <w:t>y</w:t>
      </w:r>
      <w:r w:rsidR="00FF060C" w:rsidRPr="0090131B">
        <w:t xml:space="preserve"> a restriction.</w:t>
      </w:r>
      <w:r w:rsidR="009E358B" w:rsidRPr="0090131B">
        <w:t xml:space="preserve"> </w:t>
      </w:r>
      <w:r w:rsidR="00D23897" w:rsidRPr="0090131B">
        <w:t xml:space="preserve">The thesis </w:t>
      </w:r>
      <w:r w:rsidR="00134940">
        <w:t>defended</w:t>
      </w:r>
      <w:r w:rsidR="00D23897" w:rsidRPr="0090131B">
        <w:t xml:space="preserve"> in </w:t>
      </w:r>
      <w:r w:rsidR="00D23897" w:rsidRPr="0090131B">
        <w:lastRenderedPageBreak/>
        <w:t>this study is that, f</w:t>
      </w:r>
      <w:r w:rsidR="009E358B" w:rsidRPr="0090131B">
        <w:t xml:space="preserve">or Article 18 to be fully autonomous from the ECHR provision in conjunction with which it is invoked, each and every </w:t>
      </w:r>
      <w:r w:rsidR="003D6A6D">
        <w:rPr>
          <w:i/>
        </w:rPr>
        <w:t xml:space="preserve">mala fide </w:t>
      </w:r>
      <w:r w:rsidR="009E358B" w:rsidRPr="0090131B">
        <w:t>ulterior purpose (rather than predominant purposes only)</w:t>
      </w:r>
      <w:r w:rsidR="00FF060C" w:rsidRPr="0090131B">
        <w:t xml:space="preserve"> </w:t>
      </w:r>
      <w:r w:rsidR="009E358B" w:rsidRPr="0090131B">
        <w:t xml:space="preserve">should be </w:t>
      </w:r>
      <w:r w:rsidR="00FE4433" w:rsidRPr="0090131B">
        <w:t>sanctioned.</w:t>
      </w:r>
      <w:r w:rsidR="00A56051">
        <w:rPr>
          <w:rStyle w:val="FootnoteReference"/>
        </w:rPr>
        <w:footnoteReference w:id="144"/>
      </w:r>
      <w:r w:rsidR="00F62EB7" w:rsidRPr="0090131B">
        <w:t xml:space="preserve"> </w:t>
      </w:r>
      <w:r w:rsidR="009C0F42" w:rsidRPr="006E0B80">
        <w:rPr>
          <w:i/>
        </w:rPr>
        <w:t>Mala fide</w:t>
      </w:r>
      <w:r w:rsidR="009C0F42" w:rsidRPr="0090131B">
        <w:t xml:space="preserve"> ulterior purposes complementing</w:t>
      </w:r>
      <w:r w:rsidR="00EE333A" w:rsidRPr="0090131B">
        <w:t xml:space="preserve"> or running in parallel with</w:t>
      </w:r>
      <w:r w:rsidR="009C0F42" w:rsidRPr="0090131B">
        <w:t xml:space="preserve"> a legitimate purpose prescribed by the ECHR should not be tolerated as “</w:t>
      </w:r>
      <w:r w:rsidR="005A616B" w:rsidRPr="0090131B">
        <w:t>collateral</w:t>
      </w:r>
      <w:r w:rsidR="009C0F42" w:rsidRPr="0090131B">
        <w:t xml:space="preserve"> benefits”.</w:t>
      </w:r>
      <w:r w:rsidR="00EE333A" w:rsidRPr="0090131B">
        <w:t xml:space="preserve"> Otherwise, </w:t>
      </w:r>
      <w:r w:rsidR="00C54189" w:rsidRPr="0090131B">
        <w:t xml:space="preserve">the Court will </w:t>
      </w:r>
      <w:r w:rsidR="00135A1B">
        <w:t xml:space="preserve">essentially </w:t>
      </w:r>
      <w:r w:rsidR="00C54189" w:rsidRPr="0090131B">
        <w:t xml:space="preserve">be giving leeway to national authorities by </w:t>
      </w:r>
      <w:r w:rsidR="008453E5" w:rsidRPr="0090131B">
        <w:t>permitting</w:t>
      </w:r>
      <w:r w:rsidR="00C54189" w:rsidRPr="0090131B">
        <w:t xml:space="preserve"> some degree of hypocrisy and insincerity by states</w:t>
      </w:r>
      <w:r w:rsidR="008453E5" w:rsidRPr="0090131B">
        <w:t>,</w:t>
      </w:r>
      <w:r w:rsidR="00C54189" w:rsidRPr="0090131B">
        <w:t xml:space="preserve"> and condoning illegitimate political motivations </w:t>
      </w:r>
      <w:r w:rsidR="004578D3" w:rsidRPr="0090131B">
        <w:t xml:space="preserve">that fall </w:t>
      </w:r>
      <w:r w:rsidR="00C54189" w:rsidRPr="0090131B">
        <w:t>outside the spirit of the ECHR</w:t>
      </w:r>
      <w:r w:rsidR="004578D3" w:rsidRPr="0090131B">
        <w:t xml:space="preserve">. </w:t>
      </w:r>
      <w:r w:rsidR="00054770">
        <w:t>T</w:t>
      </w:r>
      <w:r w:rsidR="004578D3" w:rsidRPr="0090131B">
        <w:t>o be in a position to validly criticise the Court’s test in cases of plurality of purposes</w:t>
      </w:r>
      <w:r w:rsidR="00054770">
        <w:t>, however,</w:t>
      </w:r>
      <w:r w:rsidR="00EE333A" w:rsidRPr="0090131B">
        <w:t xml:space="preserve"> we shall </w:t>
      </w:r>
      <w:r w:rsidR="004578D3" w:rsidRPr="0090131B">
        <w:t xml:space="preserve">first </w:t>
      </w:r>
      <w:r w:rsidR="00EE333A" w:rsidRPr="0090131B">
        <w:t xml:space="preserve">wait to see how </w:t>
      </w:r>
      <w:r w:rsidR="004578D3" w:rsidRPr="0090131B">
        <w:t>it</w:t>
      </w:r>
      <w:r w:rsidR="00EE333A" w:rsidRPr="0090131B">
        <w:t xml:space="preserve"> will interpret the term “predominant” and how high the threshold will be to meet this standard.</w:t>
      </w:r>
      <w:r w:rsidR="004578D3" w:rsidRPr="0090131B">
        <w:t xml:space="preserve"> This also depends </w:t>
      </w:r>
      <w:r w:rsidR="00491C17" w:rsidRPr="0090131B">
        <w:t>on how proof operates in this framework.</w:t>
      </w:r>
      <w:r w:rsidR="006F2E08">
        <w:rPr>
          <w:rStyle w:val="FootnoteReference"/>
        </w:rPr>
        <w:footnoteReference w:id="145"/>
      </w:r>
      <w:r w:rsidR="00491C17" w:rsidRPr="0090131B">
        <w:t xml:space="preserve"> </w:t>
      </w:r>
      <w:r w:rsidR="004578D3" w:rsidRPr="0090131B">
        <w:t xml:space="preserve"> </w:t>
      </w:r>
      <w:r w:rsidR="00EE333A" w:rsidRPr="0090131B">
        <w:t xml:space="preserve">  </w:t>
      </w:r>
      <w:r w:rsidR="009C0F42" w:rsidRPr="0090131B">
        <w:t xml:space="preserve"> </w:t>
      </w:r>
      <w:r w:rsidR="005A616B" w:rsidRPr="0090131B">
        <w:t xml:space="preserve"> </w:t>
      </w:r>
      <w:r w:rsidR="00F62EB7" w:rsidRPr="0090131B">
        <w:t xml:space="preserve"> </w:t>
      </w:r>
      <w:r w:rsidR="00FE4433" w:rsidRPr="0090131B">
        <w:t xml:space="preserve"> </w:t>
      </w:r>
    </w:p>
    <w:p w14:paraId="0DEC0458" w14:textId="77777777" w:rsidR="00911F74" w:rsidRPr="0090131B" w:rsidRDefault="00911F74" w:rsidP="001B164A">
      <w:pPr>
        <w:ind w:right="-52"/>
        <w:jc w:val="both"/>
      </w:pPr>
    </w:p>
    <w:p w14:paraId="5AF1B307" w14:textId="073D23AC" w:rsidR="0099187F" w:rsidRPr="0090131B" w:rsidRDefault="00491C17" w:rsidP="0068674E">
      <w:pPr>
        <w:ind w:right="-52"/>
        <w:jc w:val="both"/>
      </w:pPr>
      <w:r w:rsidRPr="0090131B">
        <w:t xml:space="preserve">Before spending a few words on the contribution of the GC’s judgment on </w:t>
      </w:r>
      <w:r w:rsidR="005A718D" w:rsidRPr="0090131B">
        <w:t xml:space="preserve">the question of proof, a </w:t>
      </w:r>
      <w:r w:rsidR="00346E37">
        <w:t xml:space="preserve">summary </w:t>
      </w:r>
      <w:r w:rsidR="005A718D" w:rsidRPr="0090131B">
        <w:t>is attempted</w:t>
      </w:r>
      <w:r w:rsidR="00134940">
        <w:t xml:space="preserve"> below</w:t>
      </w:r>
      <w:r w:rsidR="005A718D" w:rsidRPr="0090131B">
        <w:t xml:space="preserve"> by providing the </w:t>
      </w:r>
      <w:r w:rsidR="0026700F" w:rsidRPr="0090131B">
        <w:t xml:space="preserve">following scheme </w:t>
      </w:r>
      <w:r w:rsidR="005A718D" w:rsidRPr="0090131B">
        <w:t xml:space="preserve">that </w:t>
      </w:r>
      <w:r w:rsidR="0026700F" w:rsidRPr="0090131B">
        <w:t xml:space="preserve">depicts the </w:t>
      </w:r>
      <w:r w:rsidR="005A718D" w:rsidRPr="0090131B">
        <w:rPr>
          <w:i/>
        </w:rPr>
        <w:t>Merabishvili</w:t>
      </w:r>
      <w:r w:rsidR="005A718D" w:rsidRPr="0090131B">
        <w:t xml:space="preserve"> </w:t>
      </w:r>
      <w:r w:rsidR="0026700F" w:rsidRPr="0090131B">
        <w:t xml:space="preserve">test </w:t>
      </w:r>
      <w:r w:rsidR="005A718D" w:rsidRPr="0090131B">
        <w:t xml:space="preserve">on Article 18 and the </w:t>
      </w:r>
      <w:r w:rsidR="0099187F" w:rsidRPr="0090131B">
        <w:t xml:space="preserve">autonomous effects </w:t>
      </w:r>
      <w:r w:rsidR="00346E37">
        <w:t xml:space="preserve">that </w:t>
      </w:r>
      <w:r w:rsidR="005A718D" w:rsidRPr="0090131B">
        <w:t xml:space="preserve">it </w:t>
      </w:r>
      <w:r w:rsidR="0099187F" w:rsidRPr="0090131B">
        <w:t>produce</w:t>
      </w:r>
      <w:r w:rsidR="005A718D" w:rsidRPr="0090131B">
        <w:t>s</w:t>
      </w:r>
      <w:r w:rsidR="0099187F" w:rsidRPr="0090131B">
        <w:t>.</w:t>
      </w:r>
      <w:r w:rsidR="009E74FA">
        <w:t xml:space="preserve"> The Court openly admits that</w:t>
      </w:r>
      <w:r w:rsidR="00F31C72">
        <w:t>,</w:t>
      </w:r>
      <w:r w:rsidR="009E74FA">
        <w:t xml:space="preserve"> ‘</w:t>
      </w:r>
      <w:r w:rsidR="009E74FA" w:rsidRPr="00C70627">
        <w:t>Article 18 of the Convention can only be breached after a significantly high threshold has been crossed</w:t>
      </w:r>
      <w:r w:rsidR="009E74FA">
        <w:t>’.</w:t>
      </w:r>
      <w:r w:rsidR="009E74FA">
        <w:rPr>
          <w:rStyle w:val="FootnoteReference"/>
        </w:rPr>
        <w:footnoteReference w:id="146"/>
      </w:r>
      <w:r w:rsidR="009E74FA">
        <w:t xml:space="preserve"> The test is as follows:</w:t>
      </w:r>
    </w:p>
    <w:p w14:paraId="30151282" w14:textId="3B2651F7" w:rsidR="00094B73" w:rsidRPr="0090131B" w:rsidRDefault="0099187F">
      <w:pPr>
        <w:pStyle w:val="ListParagraph"/>
        <w:numPr>
          <w:ilvl w:val="0"/>
          <w:numId w:val="30"/>
        </w:numPr>
        <w:ind w:right="-52"/>
        <w:jc w:val="both"/>
        <w:rPr>
          <w:rFonts w:ascii="Times New Roman" w:hAnsi="Times New Roman" w:cs="Times New Roman"/>
        </w:rPr>
      </w:pPr>
      <w:r w:rsidRPr="006E0B80">
        <w:rPr>
          <w:rFonts w:ascii="Times New Roman" w:hAnsi="Times New Roman" w:cs="Times New Roman"/>
        </w:rPr>
        <w:t>Is the claim that a restriction has been applied for a purpose</w:t>
      </w:r>
      <w:r w:rsidR="00F35CBB" w:rsidRPr="0090131B">
        <w:rPr>
          <w:rFonts w:ascii="Times New Roman" w:hAnsi="Times New Roman" w:cs="Times New Roman"/>
        </w:rPr>
        <w:t xml:space="preserve"> that is</w:t>
      </w:r>
      <w:r w:rsidRPr="006E0B80">
        <w:rPr>
          <w:rFonts w:ascii="Times New Roman" w:hAnsi="Times New Roman" w:cs="Times New Roman"/>
        </w:rPr>
        <w:t xml:space="preserve"> not prescribed by the Convention a fundamental aspect of the case</w:t>
      </w:r>
      <w:r w:rsidRPr="0090131B">
        <w:rPr>
          <w:rFonts w:ascii="Times New Roman" w:hAnsi="Times New Roman" w:cs="Times New Roman"/>
        </w:rPr>
        <w:t>?</w:t>
      </w:r>
    </w:p>
    <w:p w14:paraId="0C263DC2" w14:textId="2CAC5077" w:rsidR="00094B73" w:rsidRPr="006E0B80" w:rsidRDefault="0099187F" w:rsidP="006E0B80">
      <w:pPr>
        <w:pStyle w:val="ListParagraph"/>
        <w:numPr>
          <w:ilvl w:val="1"/>
          <w:numId w:val="30"/>
        </w:numPr>
        <w:ind w:right="-52"/>
        <w:jc w:val="both"/>
      </w:pPr>
      <w:r w:rsidRPr="006E0B80">
        <w:rPr>
          <w:rFonts w:ascii="Times New Roman" w:hAnsi="Times New Roman" w:cs="Times New Roman"/>
        </w:rPr>
        <w:t>No</w:t>
      </w:r>
      <w:r w:rsidR="00E805E0" w:rsidRPr="006E0B80">
        <w:rPr>
          <w:rFonts w:ascii="Times New Roman" w:hAnsi="Times New Roman" w:cs="Times New Roman"/>
        </w:rPr>
        <w:t xml:space="preserve"> </w:t>
      </w:r>
      <w:r w:rsidR="00094B73" w:rsidRPr="006E0B80">
        <w:rPr>
          <w:rFonts w:ascii="Times New Roman" w:hAnsi="Times New Roman" w:cs="Times New Roman"/>
        </w:rPr>
        <w:t>→ No issue under Article 18</w:t>
      </w:r>
      <w:r w:rsidR="00DF31CB" w:rsidRPr="006E0B80">
        <w:rPr>
          <w:rFonts w:ascii="Times New Roman" w:hAnsi="Times New Roman" w:cs="Times New Roman"/>
        </w:rPr>
        <w:t>.</w:t>
      </w:r>
    </w:p>
    <w:p w14:paraId="3DAE6151" w14:textId="6BE78A2A" w:rsidR="00BE1CE2" w:rsidRPr="0090131B" w:rsidRDefault="00094B73">
      <w:pPr>
        <w:pStyle w:val="ListParagraph"/>
        <w:numPr>
          <w:ilvl w:val="1"/>
          <w:numId w:val="30"/>
        </w:numPr>
        <w:ind w:right="-52"/>
        <w:jc w:val="both"/>
        <w:rPr>
          <w:rFonts w:ascii="Times New Roman" w:hAnsi="Times New Roman" w:cs="Times New Roman"/>
        </w:rPr>
      </w:pPr>
      <w:r w:rsidRPr="0090131B">
        <w:rPr>
          <w:rFonts w:ascii="Times New Roman" w:hAnsi="Times New Roman" w:cs="Times New Roman"/>
        </w:rPr>
        <w:t xml:space="preserve">Yes → </w:t>
      </w:r>
      <w:r w:rsidR="00BE1CE2" w:rsidRPr="0090131B">
        <w:rPr>
          <w:rFonts w:ascii="Times New Roman" w:hAnsi="Times New Roman" w:cs="Times New Roman"/>
        </w:rPr>
        <w:t>Does the restriction pursue an ulterior purpose</w:t>
      </w:r>
      <w:r w:rsidR="00DF31CB" w:rsidRPr="0090131B">
        <w:rPr>
          <w:rFonts w:ascii="Times New Roman" w:hAnsi="Times New Roman" w:cs="Times New Roman"/>
        </w:rPr>
        <w:t>?</w:t>
      </w:r>
    </w:p>
    <w:p w14:paraId="3A8890BB" w14:textId="6997AB96" w:rsidR="00BE1CE2" w:rsidRPr="0090131B" w:rsidRDefault="00BE1CE2">
      <w:pPr>
        <w:pStyle w:val="ListParagraph"/>
        <w:numPr>
          <w:ilvl w:val="2"/>
          <w:numId w:val="30"/>
        </w:numPr>
        <w:ind w:right="-52"/>
        <w:jc w:val="both"/>
        <w:rPr>
          <w:rFonts w:ascii="Times New Roman" w:hAnsi="Times New Roman" w:cs="Times New Roman"/>
        </w:rPr>
      </w:pPr>
      <w:r w:rsidRPr="0090131B">
        <w:rPr>
          <w:rFonts w:ascii="Times New Roman" w:hAnsi="Times New Roman" w:cs="Times New Roman"/>
        </w:rPr>
        <w:t>No → No issue under Article 18</w:t>
      </w:r>
      <w:r w:rsidR="00DF31CB" w:rsidRPr="0090131B">
        <w:rPr>
          <w:rFonts w:ascii="Times New Roman" w:hAnsi="Times New Roman" w:cs="Times New Roman"/>
        </w:rPr>
        <w:t>.</w:t>
      </w:r>
    </w:p>
    <w:p w14:paraId="09C03AB1" w14:textId="77777777" w:rsidR="00BE1CE2" w:rsidRPr="0090131B" w:rsidRDefault="00BE1CE2">
      <w:pPr>
        <w:pStyle w:val="ListParagraph"/>
        <w:numPr>
          <w:ilvl w:val="2"/>
          <w:numId w:val="30"/>
        </w:numPr>
        <w:ind w:right="-52"/>
        <w:jc w:val="both"/>
        <w:rPr>
          <w:rFonts w:ascii="Times New Roman" w:hAnsi="Times New Roman" w:cs="Times New Roman"/>
        </w:rPr>
      </w:pPr>
      <w:r w:rsidRPr="0090131B">
        <w:rPr>
          <w:rFonts w:ascii="Times New Roman" w:hAnsi="Times New Roman" w:cs="Times New Roman"/>
        </w:rPr>
        <w:t>Yes → Is the ulterior purpose the sole purpose or a plurality of purposes exists?</w:t>
      </w:r>
    </w:p>
    <w:p w14:paraId="07FB273D" w14:textId="7A9E88D5" w:rsidR="00CE7786" w:rsidRPr="0090131B" w:rsidRDefault="00CE7786">
      <w:pPr>
        <w:pStyle w:val="ListParagraph"/>
        <w:numPr>
          <w:ilvl w:val="3"/>
          <w:numId w:val="30"/>
        </w:numPr>
        <w:ind w:right="-52"/>
        <w:jc w:val="both"/>
        <w:rPr>
          <w:rFonts w:ascii="Times New Roman" w:hAnsi="Times New Roman" w:cs="Times New Roman"/>
        </w:rPr>
      </w:pPr>
      <w:r w:rsidRPr="0090131B">
        <w:rPr>
          <w:rFonts w:ascii="Times New Roman" w:hAnsi="Times New Roman" w:cs="Times New Roman"/>
        </w:rPr>
        <w:t>Sole purpose → Breach of Article 18</w:t>
      </w:r>
      <w:r w:rsidR="00DF31CB" w:rsidRPr="0090131B">
        <w:rPr>
          <w:rFonts w:ascii="Times New Roman" w:hAnsi="Times New Roman" w:cs="Times New Roman"/>
        </w:rPr>
        <w:t>.</w:t>
      </w:r>
    </w:p>
    <w:p w14:paraId="1E82FB36" w14:textId="77777777" w:rsidR="00CE7786" w:rsidRPr="0090131B" w:rsidRDefault="00CE7786">
      <w:pPr>
        <w:pStyle w:val="ListParagraph"/>
        <w:numPr>
          <w:ilvl w:val="3"/>
          <w:numId w:val="30"/>
        </w:numPr>
        <w:ind w:right="-52"/>
        <w:jc w:val="both"/>
        <w:rPr>
          <w:rFonts w:ascii="Times New Roman" w:hAnsi="Times New Roman" w:cs="Times New Roman"/>
        </w:rPr>
      </w:pPr>
      <w:r w:rsidRPr="0090131B">
        <w:rPr>
          <w:rFonts w:ascii="Times New Roman" w:hAnsi="Times New Roman" w:cs="Times New Roman"/>
        </w:rPr>
        <w:t>Plurality of purposes → Is the ulterior purpose the predominant one?</w:t>
      </w:r>
    </w:p>
    <w:p w14:paraId="1A6A8BA5" w14:textId="2EF45070" w:rsidR="00CE7786" w:rsidRPr="0090131B" w:rsidRDefault="00CE7786">
      <w:pPr>
        <w:pStyle w:val="ListParagraph"/>
        <w:numPr>
          <w:ilvl w:val="4"/>
          <w:numId w:val="30"/>
        </w:numPr>
        <w:ind w:right="-52"/>
        <w:jc w:val="both"/>
        <w:rPr>
          <w:rFonts w:ascii="Times New Roman" w:hAnsi="Times New Roman" w:cs="Times New Roman"/>
        </w:rPr>
      </w:pPr>
      <w:r w:rsidRPr="0090131B">
        <w:rPr>
          <w:rFonts w:ascii="Times New Roman" w:hAnsi="Times New Roman" w:cs="Times New Roman"/>
        </w:rPr>
        <w:t>No → No issue under Article 18</w:t>
      </w:r>
      <w:r w:rsidR="00DF31CB" w:rsidRPr="0090131B">
        <w:rPr>
          <w:rFonts w:ascii="Times New Roman" w:hAnsi="Times New Roman" w:cs="Times New Roman"/>
        </w:rPr>
        <w:t>.</w:t>
      </w:r>
    </w:p>
    <w:p w14:paraId="254A9A44" w14:textId="08338BC2" w:rsidR="00BF7152" w:rsidRPr="006E0B80" w:rsidRDefault="00CE7786" w:rsidP="006E0B80">
      <w:pPr>
        <w:pStyle w:val="ListParagraph"/>
        <w:numPr>
          <w:ilvl w:val="4"/>
          <w:numId w:val="30"/>
        </w:numPr>
        <w:ind w:right="-52"/>
        <w:jc w:val="both"/>
      </w:pPr>
      <w:r w:rsidRPr="006E0B80">
        <w:rPr>
          <w:rFonts w:ascii="Times New Roman" w:hAnsi="Times New Roman" w:cs="Times New Roman"/>
        </w:rPr>
        <w:t>Yes</w:t>
      </w:r>
      <w:r w:rsidR="00E96926" w:rsidRPr="006E0B80">
        <w:rPr>
          <w:rFonts w:ascii="Times New Roman" w:hAnsi="Times New Roman" w:cs="Times New Roman"/>
        </w:rPr>
        <w:t xml:space="preserve"> → Breach of Article 18 (irrespective of whether the ECHR provision in conjunction with which Article 18 has been invoked is </w:t>
      </w:r>
      <w:r w:rsidR="00DF31CB" w:rsidRPr="006E0B80">
        <w:rPr>
          <w:rFonts w:ascii="Times New Roman" w:hAnsi="Times New Roman" w:cs="Times New Roman"/>
        </w:rPr>
        <w:t xml:space="preserve">found to be </w:t>
      </w:r>
      <w:r w:rsidR="00E96926" w:rsidRPr="006E0B80">
        <w:rPr>
          <w:rFonts w:ascii="Times New Roman" w:hAnsi="Times New Roman" w:cs="Times New Roman"/>
        </w:rPr>
        <w:t>breached)</w:t>
      </w:r>
      <w:r w:rsidR="00DF31CB" w:rsidRPr="006E0B80">
        <w:rPr>
          <w:rFonts w:ascii="Times New Roman" w:hAnsi="Times New Roman" w:cs="Times New Roman"/>
        </w:rPr>
        <w:t>.</w:t>
      </w:r>
      <w:r w:rsidR="00E96926" w:rsidRPr="006E0B80">
        <w:rPr>
          <w:rFonts w:ascii="Times New Roman" w:hAnsi="Times New Roman" w:cs="Times New Roman"/>
        </w:rPr>
        <w:t xml:space="preserve"> </w:t>
      </w:r>
      <w:r w:rsidRPr="006E0B80">
        <w:rPr>
          <w:rFonts w:ascii="Times New Roman" w:hAnsi="Times New Roman" w:cs="Times New Roman"/>
        </w:rPr>
        <w:t xml:space="preserve"> </w:t>
      </w:r>
      <w:r w:rsidR="00094B73" w:rsidRPr="006E0B80">
        <w:rPr>
          <w:rFonts w:ascii="Times New Roman" w:hAnsi="Times New Roman" w:cs="Times New Roman"/>
        </w:rPr>
        <w:t xml:space="preserve"> </w:t>
      </w:r>
      <w:r w:rsidR="0099187F" w:rsidRPr="006E0B80">
        <w:rPr>
          <w:rFonts w:ascii="Times New Roman" w:hAnsi="Times New Roman" w:cs="Times New Roman"/>
        </w:rPr>
        <w:t xml:space="preserve"> </w:t>
      </w:r>
    </w:p>
    <w:p w14:paraId="02DA9DB1" w14:textId="54CD19D8" w:rsidR="00BF7152" w:rsidRPr="0090131B" w:rsidRDefault="00BF7152" w:rsidP="0068674E">
      <w:pPr>
        <w:ind w:right="-52"/>
        <w:jc w:val="both"/>
      </w:pPr>
    </w:p>
    <w:p w14:paraId="404A8680" w14:textId="71005D1B" w:rsidR="00402468" w:rsidRPr="0090131B" w:rsidRDefault="00193E25" w:rsidP="0068674E">
      <w:pPr>
        <w:ind w:right="-52"/>
        <w:jc w:val="both"/>
      </w:pPr>
      <w:r w:rsidRPr="0090131B">
        <w:t>This test and the identification of the key criteria that shall apply</w:t>
      </w:r>
      <w:r w:rsidR="00402468" w:rsidRPr="0090131B">
        <w:t xml:space="preserve"> for establishing a breach of Article 18 led the Court to revisit its approach on proof by focusing on</w:t>
      </w:r>
      <w:r w:rsidR="00401880" w:rsidRPr="0090131B">
        <w:t xml:space="preserve"> </w:t>
      </w:r>
      <w:r w:rsidR="009E7DF4" w:rsidRPr="0090131B">
        <w:t>the criteria of</w:t>
      </w:r>
      <w:r w:rsidR="00401880" w:rsidRPr="0090131B">
        <w:t xml:space="preserve"> </w:t>
      </w:r>
      <w:r w:rsidR="009E7DF4" w:rsidRPr="0090131B">
        <w:t>“</w:t>
      </w:r>
      <w:r w:rsidR="00401880" w:rsidRPr="0090131B">
        <w:t>ulterior purpose</w:t>
      </w:r>
      <w:r w:rsidR="009E7DF4" w:rsidRPr="0090131B">
        <w:t>”</w:t>
      </w:r>
      <w:r w:rsidR="00401880" w:rsidRPr="0090131B">
        <w:t xml:space="preserve"> </w:t>
      </w:r>
      <w:r w:rsidR="009E7DF4" w:rsidRPr="0090131B">
        <w:t>and</w:t>
      </w:r>
      <w:r w:rsidR="00401880" w:rsidRPr="0090131B">
        <w:t xml:space="preserve"> </w:t>
      </w:r>
      <w:r w:rsidR="009E7DF4" w:rsidRPr="0090131B">
        <w:t>“</w:t>
      </w:r>
      <w:r w:rsidR="00401880" w:rsidRPr="0090131B">
        <w:t>predominant</w:t>
      </w:r>
      <w:r w:rsidR="009E7DF4" w:rsidRPr="0090131B">
        <w:t xml:space="preserve"> purpose”</w:t>
      </w:r>
      <w:r w:rsidR="00401880" w:rsidRPr="0090131B">
        <w:t xml:space="preserve"> when a plurality of purposes co-exist.</w:t>
      </w:r>
      <w:bookmarkStart w:id="73" w:name="_Ref531871648"/>
      <w:r w:rsidR="00402468" w:rsidRPr="0090131B">
        <w:rPr>
          <w:rStyle w:val="FootnoteReference"/>
        </w:rPr>
        <w:footnoteReference w:id="147"/>
      </w:r>
      <w:bookmarkEnd w:id="73"/>
      <w:r w:rsidR="00402468" w:rsidRPr="0090131B">
        <w:t xml:space="preserve"> </w:t>
      </w:r>
      <w:r w:rsidR="00D33557" w:rsidRPr="0090131B">
        <w:t xml:space="preserve">Thus, </w:t>
      </w:r>
      <w:r w:rsidR="00945955" w:rsidRPr="0090131B">
        <w:t xml:space="preserve">the Court </w:t>
      </w:r>
      <w:r w:rsidR="009B20BF">
        <w:t xml:space="preserve">now </w:t>
      </w:r>
      <w:r w:rsidR="00945955" w:rsidRPr="0090131B">
        <w:t xml:space="preserve">finds no reason to depart from </w:t>
      </w:r>
      <w:r w:rsidR="00111AAB" w:rsidRPr="0090131B">
        <w:t xml:space="preserve"> its usual approach to proof -rather than applying special rules established in its earlier case law on Article 18.</w:t>
      </w:r>
      <w:bookmarkStart w:id="74" w:name="_Ref534041162"/>
      <w:r w:rsidR="00111AAB" w:rsidRPr="0090131B">
        <w:rPr>
          <w:rStyle w:val="FootnoteReference"/>
        </w:rPr>
        <w:footnoteReference w:id="148"/>
      </w:r>
      <w:bookmarkEnd w:id="74"/>
      <w:r w:rsidR="00D33557" w:rsidRPr="0090131B">
        <w:t xml:space="preserve"> </w:t>
      </w:r>
      <w:r w:rsidR="00D30794" w:rsidRPr="0090131B">
        <w:t>This also concerns</w:t>
      </w:r>
      <w:r w:rsidR="00D77B55" w:rsidRPr="0090131B">
        <w:t xml:space="preserve"> the presumption applied by the Court</w:t>
      </w:r>
      <w:r w:rsidR="00D5470E">
        <w:t xml:space="preserve"> </w:t>
      </w:r>
      <w:r w:rsidR="00D5470E" w:rsidRPr="0090131B">
        <w:t>in the past</w:t>
      </w:r>
      <w:r w:rsidR="00D77B55" w:rsidRPr="0090131B">
        <w:t xml:space="preserve"> that national authorities </w:t>
      </w:r>
      <w:r w:rsidR="0054585A" w:rsidRPr="0090131B">
        <w:t xml:space="preserve">act in good faith, </w:t>
      </w:r>
      <w:r w:rsidR="000D643F" w:rsidRPr="0090131B">
        <w:t xml:space="preserve">which resulted in applicants </w:t>
      </w:r>
      <w:r w:rsidR="003E6D44" w:rsidRPr="0090131B">
        <w:t xml:space="preserve">having the burden of proof </w:t>
      </w:r>
      <w:r w:rsidR="003E6D44">
        <w:t xml:space="preserve">when they </w:t>
      </w:r>
      <w:r w:rsidR="000D643F" w:rsidRPr="0090131B">
        <w:t>wish</w:t>
      </w:r>
      <w:r w:rsidR="003E6D44">
        <w:t>ed</w:t>
      </w:r>
      <w:r w:rsidR="000D643F" w:rsidRPr="0090131B">
        <w:t xml:space="preserve"> to rebut </w:t>
      </w:r>
      <w:r w:rsidR="00941DA3">
        <w:t>such</w:t>
      </w:r>
      <w:r w:rsidR="000D643F" w:rsidRPr="0090131B">
        <w:t xml:space="preserve"> presumption</w:t>
      </w:r>
      <w:r w:rsidR="008F42C9" w:rsidRPr="0090131B">
        <w:t>.</w:t>
      </w:r>
      <w:bookmarkStart w:id="75" w:name="_Ref531871788"/>
      <w:r w:rsidR="008F42C9" w:rsidRPr="0090131B">
        <w:rPr>
          <w:rStyle w:val="FootnoteReference"/>
        </w:rPr>
        <w:footnoteReference w:id="149"/>
      </w:r>
      <w:bookmarkEnd w:id="75"/>
      <w:r w:rsidR="00931FA7" w:rsidRPr="0090131B">
        <w:t xml:space="preserve"> </w:t>
      </w:r>
      <w:r w:rsidR="008F42C9" w:rsidRPr="0090131B">
        <w:t>Thus</w:t>
      </w:r>
      <w:r w:rsidR="00111AAB" w:rsidRPr="0090131B">
        <w:t xml:space="preserve">, </w:t>
      </w:r>
      <w:r w:rsidR="00234C67" w:rsidRPr="0090131B">
        <w:t>‘</w:t>
      </w:r>
      <w:r w:rsidR="00111AAB" w:rsidRPr="0090131B">
        <w:t xml:space="preserve">the burden of proof is not borne by one or the other party because the Court examines all material before it irrespective of its origin, and because it can, if necessary, obtain material of </w:t>
      </w:r>
      <w:r w:rsidR="00111AAB" w:rsidRPr="0090131B">
        <w:lastRenderedPageBreak/>
        <w:t>its own motion.</w:t>
      </w:r>
      <w:bookmarkStart w:id="76" w:name="_Ref531871790"/>
      <w:r w:rsidR="00234C67" w:rsidRPr="0090131B">
        <w:t>’</w:t>
      </w:r>
      <w:r w:rsidR="00111AAB" w:rsidRPr="0090131B">
        <w:rPr>
          <w:rStyle w:val="FootnoteReference"/>
        </w:rPr>
        <w:footnoteReference w:id="150"/>
      </w:r>
      <w:bookmarkEnd w:id="76"/>
      <w:r w:rsidR="00111AAB" w:rsidRPr="0090131B">
        <w:t xml:space="preserve"> </w:t>
      </w:r>
      <w:r w:rsidR="004535FC" w:rsidRPr="0090131B">
        <w:t xml:space="preserve">The parties </w:t>
      </w:r>
      <w:r w:rsidR="00135A1B" w:rsidRPr="0090131B">
        <w:t xml:space="preserve">spontaneously </w:t>
      </w:r>
      <w:r w:rsidR="004535FC" w:rsidRPr="0090131B">
        <w:t>adduce evidence on which the Court relies</w:t>
      </w:r>
      <w:r w:rsidR="00135A1B">
        <w:t>,</w:t>
      </w:r>
      <w:r w:rsidR="002E0282" w:rsidRPr="0090131B">
        <w:rPr>
          <w:rStyle w:val="FootnoteReference"/>
        </w:rPr>
        <w:footnoteReference w:id="151"/>
      </w:r>
      <w:r w:rsidR="004535FC" w:rsidRPr="0090131B">
        <w:t xml:space="preserve"> </w:t>
      </w:r>
      <w:r w:rsidR="00135A1B">
        <w:t>b</w:t>
      </w:r>
      <w:r w:rsidR="004535FC" w:rsidRPr="0090131B">
        <w:t>ut it may also ask the parties to a dispute to provide evidentiary material</w:t>
      </w:r>
      <w:r w:rsidR="001536F7" w:rsidRPr="0090131B">
        <w:t xml:space="preserve"> </w:t>
      </w:r>
      <w:r w:rsidR="001536F7" w:rsidRPr="0090131B">
        <w:rPr>
          <w:i/>
        </w:rPr>
        <w:t>proprio motu</w:t>
      </w:r>
      <w:r w:rsidR="00725630">
        <w:t>.</w:t>
      </w:r>
      <w:r w:rsidR="001536F7" w:rsidRPr="0090131B">
        <w:rPr>
          <w:rStyle w:val="FootnoteReference"/>
        </w:rPr>
        <w:t xml:space="preserve"> </w:t>
      </w:r>
      <w:r w:rsidR="002E0282" w:rsidRPr="0090131B">
        <w:rPr>
          <w:rStyle w:val="FootnoteReference"/>
        </w:rPr>
        <w:footnoteReference w:id="152"/>
      </w:r>
      <w:r w:rsidR="002E0282" w:rsidRPr="0090131B">
        <w:t xml:space="preserve"> </w:t>
      </w:r>
      <w:r w:rsidR="00725630">
        <w:t xml:space="preserve">The Court may also </w:t>
      </w:r>
      <w:r w:rsidR="002E0282" w:rsidRPr="0090131B">
        <w:t>draw inferences from the respondent’s conduct in the proceedings before it</w:t>
      </w:r>
      <w:r w:rsidR="0095353A" w:rsidRPr="0090131B">
        <w:t>, especially if the nature of the case is such that the respondent alone has access to information corroborating or refuting the allegations against it.</w:t>
      </w:r>
      <w:r w:rsidR="002E0282" w:rsidRPr="0090131B">
        <w:rPr>
          <w:rStyle w:val="FootnoteReference"/>
        </w:rPr>
        <w:footnoteReference w:id="153"/>
      </w:r>
      <w:r w:rsidR="002E0282" w:rsidRPr="0090131B">
        <w:t xml:space="preserve"> </w:t>
      </w:r>
      <w:r w:rsidR="000B490E" w:rsidRPr="0090131B">
        <w:t xml:space="preserve">Moreover, </w:t>
      </w:r>
      <w:r w:rsidR="00402468" w:rsidRPr="0090131B">
        <w:t>the</w:t>
      </w:r>
      <w:r w:rsidR="00FC54B1" w:rsidRPr="0090131B">
        <w:t xml:space="preserve"> applicable</w:t>
      </w:r>
      <w:r w:rsidR="00402468" w:rsidRPr="0090131B">
        <w:t xml:space="preserve"> standard of proof </w:t>
      </w:r>
      <w:r w:rsidR="00FC54B1" w:rsidRPr="0090131B">
        <w:t>is that of</w:t>
      </w:r>
      <w:r w:rsidR="00402468" w:rsidRPr="0090131B">
        <w:t xml:space="preserve"> </w:t>
      </w:r>
      <w:r w:rsidR="00234C67" w:rsidRPr="0090131B">
        <w:t>‘</w:t>
      </w:r>
      <w:r w:rsidR="00402468" w:rsidRPr="0090131B">
        <w:t>beyond reasonable doubt</w:t>
      </w:r>
      <w:r w:rsidR="00234C67" w:rsidRPr="0090131B">
        <w:t>’</w:t>
      </w:r>
      <w:r w:rsidR="003D5E7B" w:rsidRPr="0090131B">
        <w:t xml:space="preserve">, which </w:t>
      </w:r>
      <w:r w:rsidR="003D5E7B" w:rsidRPr="006E0B80">
        <w:rPr>
          <w:i/>
        </w:rPr>
        <w:t>inter alia</w:t>
      </w:r>
      <w:r w:rsidR="00402468" w:rsidRPr="0090131B">
        <w:t xml:space="preserve"> </w:t>
      </w:r>
      <w:r w:rsidR="00234C67" w:rsidRPr="0090131B">
        <w:t>‘</w:t>
      </w:r>
      <w:r w:rsidR="00402468" w:rsidRPr="0090131B">
        <w:t>is linked to the specificity of the facts, the nature of the allegation made, and the Convention right at stake.</w:t>
      </w:r>
      <w:r w:rsidR="00234C67" w:rsidRPr="0090131B">
        <w:t>’</w:t>
      </w:r>
      <w:r w:rsidR="002C4B27" w:rsidRPr="0090131B">
        <w:rPr>
          <w:rStyle w:val="FootnoteReference"/>
        </w:rPr>
        <w:footnoteReference w:id="154"/>
      </w:r>
      <w:r w:rsidR="002C4B27" w:rsidRPr="0090131B">
        <w:t xml:space="preserve"> The </w:t>
      </w:r>
      <w:r w:rsidR="00402468" w:rsidRPr="0090131B">
        <w:t>Court</w:t>
      </w:r>
      <w:r w:rsidR="002C4B27" w:rsidRPr="0090131B">
        <w:t xml:space="preserve"> shall be</w:t>
      </w:r>
      <w:r w:rsidR="00402468" w:rsidRPr="0090131B">
        <w:t xml:space="preserve"> free to assess the probative value of each item of evidence before it</w:t>
      </w:r>
      <w:r w:rsidR="001726F4">
        <w:t>,</w:t>
      </w:r>
      <w:r w:rsidR="002C4B27" w:rsidRPr="0090131B">
        <w:rPr>
          <w:rStyle w:val="FootnoteReference"/>
        </w:rPr>
        <w:footnoteReference w:id="155"/>
      </w:r>
      <w:r w:rsidR="00402468" w:rsidRPr="0090131B">
        <w:t xml:space="preserve"> </w:t>
      </w:r>
      <w:r w:rsidR="00D70A04">
        <w:t>t</w:t>
      </w:r>
      <w:r w:rsidR="00764C4E" w:rsidRPr="0090131B">
        <w:t xml:space="preserve">herefore it </w:t>
      </w:r>
      <w:r w:rsidR="00764C4E" w:rsidRPr="006E0B80">
        <w:t xml:space="preserve">will not restrict itself to direct proof </w:t>
      </w:r>
      <w:r w:rsidR="00D70A04">
        <w:t xml:space="preserve">and it will not </w:t>
      </w:r>
      <w:r w:rsidR="00764C4E" w:rsidRPr="006E0B80">
        <w:t xml:space="preserve">apply a special standard of proof </w:t>
      </w:r>
      <w:r w:rsidR="00764C4E" w:rsidRPr="0090131B">
        <w:t>in relation to complaints under Article 18.</w:t>
      </w:r>
      <w:bookmarkStart w:id="77" w:name="_Ref532326341"/>
      <w:r w:rsidR="00764C4E" w:rsidRPr="0090131B">
        <w:rPr>
          <w:rStyle w:val="FootnoteReference"/>
        </w:rPr>
        <w:footnoteReference w:id="156"/>
      </w:r>
      <w:bookmarkEnd w:id="77"/>
    </w:p>
    <w:p w14:paraId="4AA9B09D" w14:textId="77777777" w:rsidR="00402468" w:rsidRPr="0090131B" w:rsidRDefault="00402468" w:rsidP="0068674E">
      <w:pPr>
        <w:ind w:right="-52"/>
        <w:jc w:val="both"/>
      </w:pPr>
    </w:p>
    <w:p w14:paraId="4326E18D" w14:textId="49CEF387" w:rsidR="007A2052" w:rsidRPr="006E0B80" w:rsidRDefault="00BF7152" w:rsidP="006E0B80">
      <w:pPr>
        <w:ind w:right="-52" w:firstLine="720"/>
        <w:jc w:val="both"/>
        <w:rPr>
          <w:b/>
        </w:rPr>
      </w:pPr>
      <w:r w:rsidRPr="0090131B">
        <w:rPr>
          <w:b/>
        </w:rPr>
        <w:t xml:space="preserve">IV.B.3. </w:t>
      </w:r>
      <w:r w:rsidR="007A2052" w:rsidRPr="006E0B80">
        <w:rPr>
          <w:b/>
        </w:rPr>
        <w:t xml:space="preserve">The </w:t>
      </w:r>
      <w:r w:rsidRPr="0090131B">
        <w:rPr>
          <w:b/>
        </w:rPr>
        <w:t>C</w:t>
      </w:r>
      <w:r w:rsidR="007A2052" w:rsidRPr="006E0B80">
        <w:rPr>
          <w:b/>
        </w:rPr>
        <w:t xml:space="preserve">ombination of </w:t>
      </w:r>
      <w:r w:rsidRPr="0090131B">
        <w:rPr>
          <w:b/>
        </w:rPr>
        <w:t>A</w:t>
      </w:r>
      <w:r w:rsidR="007A2052" w:rsidRPr="006E0B80">
        <w:rPr>
          <w:b/>
        </w:rPr>
        <w:t xml:space="preserve">utonomy and </w:t>
      </w:r>
      <w:r w:rsidRPr="0090131B">
        <w:rPr>
          <w:b/>
        </w:rPr>
        <w:t>L</w:t>
      </w:r>
      <w:r w:rsidR="007A2052" w:rsidRPr="006E0B80">
        <w:rPr>
          <w:b/>
        </w:rPr>
        <w:t xml:space="preserve">ack of </w:t>
      </w:r>
      <w:r w:rsidRPr="0090131B">
        <w:rPr>
          <w:b/>
        </w:rPr>
        <w:t>I</w:t>
      </w:r>
      <w:r w:rsidR="007A2052" w:rsidRPr="006E0B80">
        <w:rPr>
          <w:b/>
        </w:rPr>
        <w:t>ndependence</w:t>
      </w:r>
      <w:r w:rsidR="007E0087" w:rsidRPr="0090131B">
        <w:rPr>
          <w:b/>
        </w:rPr>
        <w:t xml:space="preserve"> of Article 18 ECHR</w:t>
      </w:r>
      <w:r w:rsidR="007A2052" w:rsidRPr="006E0B80">
        <w:rPr>
          <w:b/>
        </w:rPr>
        <w:t xml:space="preserve"> and the </w:t>
      </w:r>
      <w:r w:rsidRPr="0090131B">
        <w:rPr>
          <w:b/>
        </w:rPr>
        <w:t>S</w:t>
      </w:r>
      <w:r w:rsidR="007A2052" w:rsidRPr="006E0B80">
        <w:rPr>
          <w:b/>
        </w:rPr>
        <w:t xml:space="preserve">cenarios </w:t>
      </w:r>
      <w:r w:rsidR="007E0087" w:rsidRPr="0090131B">
        <w:rPr>
          <w:b/>
        </w:rPr>
        <w:t>it</w:t>
      </w:r>
      <w:r w:rsidR="007A2052" w:rsidRPr="006E0B80">
        <w:rPr>
          <w:b/>
        </w:rPr>
        <w:t xml:space="preserve"> </w:t>
      </w:r>
      <w:r w:rsidRPr="0090131B">
        <w:rPr>
          <w:b/>
        </w:rPr>
        <w:t>G</w:t>
      </w:r>
      <w:r w:rsidR="007A2052" w:rsidRPr="006E0B80">
        <w:rPr>
          <w:b/>
        </w:rPr>
        <w:t xml:space="preserve">ives </w:t>
      </w:r>
    </w:p>
    <w:p w14:paraId="3D97B161" w14:textId="43293C6A" w:rsidR="00587EDE" w:rsidRPr="0090131B" w:rsidRDefault="00CF5FAA" w:rsidP="00740426">
      <w:pPr>
        <w:ind w:right="-52"/>
        <w:jc w:val="both"/>
      </w:pPr>
      <w:r w:rsidRPr="0090131B">
        <w:t>The combination of autonomy (</w:t>
      </w:r>
      <w:r w:rsidRPr="006E0B80">
        <w:rPr>
          <w:i/>
        </w:rPr>
        <w:t>i.e.</w:t>
      </w:r>
      <w:r w:rsidRPr="0090131B">
        <w:t xml:space="preserve"> the idea of separate examination </w:t>
      </w:r>
      <w:r w:rsidR="00D20A98">
        <w:t xml:space="preserve">under Article 18 </w:t>
      </w:r>
      <w:r w:rsidRPr="0090131B">
        <w:t>of the purpose of a restriction) and lack of independence (</w:t>
      </w:r>
      <w:r w:rsidRPr="006E0B80">
        <w:rPr>
          <w:i/>
        </w:rPr>
        <w:t>i.e.</w:t>
      </w:r>
      <w:r w:rsidRPr="0090131B">
        <w:t xml:space="preserve"> that Article 18 can only</w:t>
      </w:r>
      <w:r w:rsidR="00847ACE" w:rsidRPr="0090131B">
        <w:t xml:space="preserve"> </w:t>
      </w:r>
      <w:r w:rsidRPr="0090131B">
        <w:t>be invoked in conjunction with other Article</w:t>
      </w:r>
      <w:r w:rsidR="007F1222" w:rsidRPr="0090131B">
        <w:t>s</w:t>
      </w:r>
      <w:r w:rsidRPr="0090131B">
        <w:t xml:space="preserve"> of the ECHR that provide</w:t>
      </w:r>
      <w:r w:rsidR="002D626F" w:rsidRPr="0090131B">
        <w:t xml:space="preserve"> for restrictions) lead</w:t>
      </w:r>
      <w:r w:rsidR="000F18B5" w:rsidRPr="0090131B">
        <w:t>s</w:t>
      </w:r>
      <w:r w:rsidR="002D626F" w:rsidRPr="0090131B">
        <w:t xml:space="preserve"> to four different scenarios. The first two concern the case where </w:t>
      </w:r>
      <w:r w:rsidR="00F35EFC" w:rsidRPr="0090131B">
        <w:t xml:space="preserve">the Court finds </w:t>
      </w:r>
      <w:r w:rsidR="001621FC" w:rsidRPr="0090131B">
        <w:t>a</w:t>
      </w:r>
      <w:r w:rsidR="00F35EFC" w:rsidRPr="0090131B">
        <w:t xml:space="preserve"> breach of the provision of the ECHR with regard to which Article 18 has been invoked. </w:t>
      </w:r>
      <w:r w:rsidR="007A5B04" w:rsidRPr="0090131B">
        <w:t xml:space="preserve">This can be further analysed in the scenarios of breach </w:t>
      </w:r>
      <w:r w:rsidR="00587EDE" w:rsidRPr="0090131B">
        <w:t>and</w:t>
      </w:r>
      <w:r w:rsidR="007A5B04" w:rsidRPr="0090131B">
        <w:t xml:space="preserve"> no breach of Article 18. </w:t>
      </w:r>
      <w:r w:rsidR="00F35EFC" w:rsidRPr="0090131B">
        <w:t>The second set of scenarios is exactly the opposite</w:t>
      </w:r>
      <w:r w:rsidR="007442D5" w:rsidRPr="0090131B">
        <w:t xml:space="preserve">, that is, when the Court finds </w:t>
      </w:r>
      <w:r w:rsidR="001621FC" w:rsidRPr="0090131B">
        <w:t>no</w:t>
      </w:r>
      <w:r w:rsidR="007442D5" w:rsidRPr="0090131B">
        <w:t xml:space="preserve"> breach of the provision of the ECHR with regard to which Article 18 has been invoked.</w:t>
      </w:r>
      <w:r w:rsidR="007A5B04" w:rsidRPr="0090131B">
        <w:t xml:space="preserve"> In similar terms, this scenario can be further analysed </w:t>
      </w:r>
      <w:r w:rsidR="00587EDE" w:rsidRPr="0090131B">
        <w:t>in scenarios of breach and no breach of Article 18. The following table portrays these scenarios.</w:t>
      </w:r>
      <w:r w:rsidR="00F15942" w:rsidRPr="0090131B">
        <w:t xml:space="preserve"> </w:t>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242"/>
        <w:gridCol w:w="4395"/>
        <w:gridCol w:w="3685"/>
      </w:tblGrid>
      <w:tr w:rsidR="00373A9B" w:rsidRPr="0090131B" w14:paraId="326DE42D" w14:textId="77777777" w:rsidTr="006E0B80">
        <w:tc>
          <w:tcPr>
            <w:tcW w:w="1242" w:type="dxa"/>
          </w:tcPr>
          <w:p w14:paraId="0C64DF9C" w14:textId="1B03E286" w:rsidR="00373A9B" w:rsidRPr="006E0B80" w:rsidRDefault="00373A9B" w:rsidP="00740426">
            <w:pPr>
              <w:ind w:right="-52"/>
              <w:jc w:val="both"/>
              <w:rPr>
                <w:i/>
              </w:rPr>
            </w:pPr>
            <w:r w:rsidRPr="006E0B80">
              <w:rPr>
                <w:i/>
              </w:rPr>
              <w:t>Scenarios</w:t>
            </w:r>
          </w:p>
        </w:tc>
        <w:tc>
          <w:tcPr>
            <w:tcW w:w="4395" w:type="dxa"/>
          </w:tcPr>
          <w:p w14:paraId="14E3149A" w14:textId="5CEE1285" w:rsidR="00373A9B" w:rsidRPr="006E0B80" w:rsidRDefault="00373A9B" w:rsidP="006E0B80">
            <w:pPr>
              <w:ind w:right="-52"/>
              <w:rPr>
                <w:i/>
              </w:rPr>
            </w:pPr>
            <w:r w:rsidRPr="006E0B80">
              <w:rPr>
                <w:i/>
              </w:rPr>
              <w:t xml:space="preserve">Provision of the ECHR in conjunction with which Article 18 has been invoked  </w:t>
            </w:r>
          </w:p>
        </w:tc>
        <w:tc>
          <w:tcPr>
            <w:tcW w:w="3685" w:type="dxa"/>
          </w:tcPr>
          <w:p w14:paraId="669A22DF" w14:textId="2A12D292" w:rsidR="00373A9B" w:rsidRPr="006E0B80" w:rsidRDefault="00373A9B" w:rsidP="00740426">
            <w:pPr>
              <w:ind w:right="-52"/>
              <w:jc w:val="both"/>
              <w:rPr>
                <w:i/>
              </w:rPr>
            </w:pPr>
            <w:r w:rsidRPr="006E0B80">
              <w:rPr>
                <w:i/>
              </w:rPr>
              <w:t>Article 18</w:t>
            </w:r>
          </w:p>
        </w:tc>
      </w:tr>
      <w:tr w:rsidR="00373A9B" w:rsidRPr="0090131B" w14:paraId="307F0937" w14:textId="77777777" w:rsidTr="006E0B80">
        <w:tc>
          <w:tcPr>
            <w:tcW w:w="1242" w:type="dxa"/>
          </w:tcPr>
          <w:p w14:paraId="3CD7685E" w14:textId="0A210CB4" w:rsidR="00373A9B" w:rsidRPr="006E0B80" w:rsidRDefault="00373A9B" w:rsidP="00740426">
            <w:pPr>
              <w:ind w:right="-52"/>
              <w:jc w:val="both"/>
              <w:rPr>
                <w:i/>
              </w:rPr>
            </w:pPr>
            <w:r w:rsidRPr="006E0B80">
              <w:rPr>
                <w:i/>
              </w:rPr>
              <w:t>1.</w:t>
            </w:r>
          </w:p>
        </w:tc>
        <w:tc>
          <w:tcPr>
            <w:tcW w:w="4395" w:type="dxa"/>
          </w:tcPr>
          <w:p w14:paraId="2ECBA5B5" w14:textId="0E561A58" w:rsidR="00373A9B" w:rsidRPr="0090131B" w:rsidRDefault="00373A9B" w:rsidP="00740426">
            <w:pPr>
              <w:ind w:right="-52"/>
              <w:jc w:val="both"/>
            </w:pPr>
            <w:r w:rsidRPr="0090131B">
              <w:t xml:space="preserve">Breach </w:t>
            </w:r>
          </w:p>
        </w:tc>
        <w:tc>
          <w:tcPr>
            <w:tcW w:w="3685" w:type="dxa"/>
          </w:tcPr>
          <w:p w14:paraId="55A0D623" w14:textId="45B817E1" w:rsidR="00373A9B" w:rsidRPr="0090131B" w:rsidRDefault="00373A9B" w:rsidP="00740426">
            <w:pPr>
              <w:ind w:right="-52"/>
              <w:jc w:val="both"/>
            </w:pPr>
            <w:r w:rsidRPr="0090131B">
              <w:t xml:space="preserve">Breach </w:t>
            </w:r>
          </w:p>
        </w:tc>
      </w:tr>
      <w:tr w:rsidR="00373A9B" w:rsidRPr="0090131B" w14:paraId="2A1E131C" w14:textId="77777777" w:rsidTr="006E0B80">
        <w:tc>
          <w:tcPr>
            <w:tcW w:w="1242" w:type="dxa"/>
          </w:tcPr>
          <w:p w14:paraId="1491510F" w14:textId="2E10314F" w:rsidR="00373A9B" w:rsidRPr="006E0B80" w:rsidRDefault="00373A9B" w:rsidP="00740426">
            <w:pPr>
              <w:ind w:right="-52"/>
              <w:jc w:val="both"/>
              <w:rPr>
                <w:i/>
              </w:rPr>
            </w:pPr>
            <w:r w:rsidRPr="006E0B80">
              <w:rPr>
                <w:i/>
              </w:rPr>
              <w:t xml:space="preserve">2. </w:t>
            </w:r>
          </w:p>
        </w:tc>
        <w:tc>
          <w:tcPr>
            <w:tcW w:w="4395" w:type="dxa"/>
          </w:tcPr>
          <w:p w14:paraId="25DF6A44" w14:textId="3B7928D3" w:rsidR="00373A9B" w:rsidRPr="0090131B" w:rsidRDefault="00373A9B" w:rsidP="00740426">
            <w:pPr>
              <w:ind w:right="-52"/>
              <w:jc w:val="both"/>
            </w:pPr>
            <w:r w:rsidRPr="0090131B">
              <w:t xml:space="preserve">Breach </w:t>
            </w:r>
          </w:p>
        </w:tc>
        <w:tc>
          <w:tcPr>
            <w:tcW w:w="3685" w:type="dxa"/>
          </w:tcPr>
          <w:p w14:paraId="06FC86ED" w14:textId="3E5263C3" w:rsidR="00373A9B" w:rsidRPr="0090131B" w:rsidRDefault="00373A9B" w:rsidP="00740426">
            <w:pPr>
              <w:ind w:right="-52"/>
              <w:jc w:val="both"/>
            </w:pPr>
            <w:r w:rsidRPr="0090131B">
              <w:t>No breach</w:t>
            </w:r>
          </w:p>
        </w:tc>
      </w:tr>
      <w:tr w:rsidR="00373A9B" w:rsidRPr="0090131B" w14:paraId="6EB594E3" w14:textId="77777777" w:rsidTr="006E0B80">
        <w:tc>
          <w:tcPr>
            <w:tcW w:w="1242" w:type="dxa"/>
          </w:tcPr>
          <w:p w14:paraId="5ECFE081" w14:textId="70AB03CA" w:rsidR="00373A9B" w:rsidRPr="006E0B80" w:rsidRDefault="00373A9B" w:rsidP="00740426">
            <w:pPr>
              <w:ind w:right="-52"/>
              <w:jc w:val="both"/>
              <w:rPr>
                <w:i/>
              </w:rPr>
            </w:pPr>
            <w:r w:rsidRPr="006E0B80">
              <w:rPr>
                <w:i/>
              </w:rPr>
              <w:t xml:space="preserve">3. </w:t>
            </w:r>
          </w:p>
        </w:tc>
        <w:tc>
          <w:tcPr>
            <w:tcW w:w="4395" w:type="dxa"/>
          </w:tcPr>
          <w:p w14:paraId="67E48BB4" w14:textId="133D7A67" w:rsidR="00373A9B" w:rsidRPr="0090131B" w:rsidRDefault="00373A9B" w:rsidP="00740426">
            <w:pPr>
              <w:ind w:right="-52"/>
              <w:jc w:val="both"/>
            </w:pPr>
            <w:r w:rsidRPr="0090131B">
              <w:t>No breach</w:t>
            </w:r>
          </w:p>
        </w:tc>
        <w:tc>
          <w:tcPr>
            <w:tcW w:w="3685" w:type="dxa"/>
          </w:tcPr>
          <w:p w14:paraId="45D0663C" w14:textId="0D1B03DC" w:rsidR="00373A9B" w:rsidRPr="0090131B" w:rsidRDefault="00373A9B" w:rsidP="00740426">
            <w:pPr>
              <w:ind w:right="-52"/>
              <w:jc w:val="both"/>
            </w:pPr>
            <w:r w:rsidRPr="0090131B">
              <w:t xml:space="preserve">Breach </w:t>
            </w:r>
          </w:p>
        </w:tc>
      </w:tr>
      <w:tr w:rsidR="00373A9B" w:rsidRPr="0090131B" w14:paraId="02B7E0B3" w14:textId="77777777" w:rsidTr="006E0B80">
        <w:tc>
          <w:tcPr>
            <w:tcW w:w="1242" w:type="dxa"/>
          </w:tcPr>
          <w:p w14:paraId="471DCD76" w14:textId="58DB0C27" w:rsidR="00373A9B" w:rsidRPr="006E0B80" w:rsidRDefault="00373A9B" w:rsidP="00740426">
            <w:pPr>
              <w:ind w:right="-52"/>
              <w:jc w:val="both"/>
              <w:rPr>
                <w:i/>
              </w:rPr>
            </w:pPr>
            <w:r w:rsidRPr="006E0B80">
              <w:rPr>
                <w:i/>
              </w:rPr>
              <w:t>4.</w:t>
            </w:r>
          </w:p>
        </w:tc>
        <w:tc>
          <w:tcPr>
            <w:tcW w:w="4395" w:type="dxa"/>
          </w:tcPr>
          <w:p w14:paraId="5D601197" w14:textId="3E30146B" w:rsidR="00373A9B" w:rsidRPr="0090131B" w:rsidRDefault="00373A9B" w:rsidP="00740426">
            <w:pPr>
              <w:ind w:right="-52"/>
              <w:jc w:val="both"/>
            </w:pPr>
            <w:r w:rsidRPr="0090131B">
              <w:t>No breach</w:t>
            </w:r>
          </w:p>
        </w:tc>
        <w:tc>
          <w:tcPr>
            <w:tcW w:w="3685" w:type="dxa"/>
          </w:tcPr>
          <w:p w14:paraId="498FB302" w14:textId="32E1E0FB" w:rsidR="00373A9B" w:rsidRPr="0090131B" w:rsidRDefault="00373A9B" w:rsidP="00740426">
            <w:pPr>
              <w:ind w:right="-52"/>
              <w:jc w:val="both"/>
            </w:pPr>
            <w:r w:rsidRPr="0090131B">
              <w:t>No breach</w:t>
            </w:r>
          </w:p>
        </w:tc>
      </w:tr>
    </w:tbl>
    <w:p w14:paraId="0B5A9234" w14:textId="3600B744" w:rsidR="00CF2440" w:rsidRPr="0090131B" w:rsidRDefault="00EC267C">
      <w:pPr>
        <w:ind w:right="-52"/>
        <w:jc w:val="both"/>
      </w:pPr>
      <w:r w:rsidRPr="0090131B">
        <w:t xml:space="preserve">These scenarios can be further </w:t>
      </w:r>
      <w:r w:rsidR="00D20A98">
        <w:t>divided</w:t>
      </w:r>
      <w:r w:rsidRPr="0090131B">
        <w:t xml:space="preserve"> in</w:t>
      </w:r>
      <w:r w:rsidR="001726F4">
        <w:t>to</w:t>
      </w:r>
      <w:r w:rsidRPr="0090131B">
        <w:t xml:space="preserve"> two broad categories: first, if the </w:t>
      </w:r>
      <w:r w:rsidR="000B4EA2" w:rsidRPr="0090131B">
        <w:t>ulterior purpose is the sole purpose (allegedly) justifying a restriction</w:t>
      </w:r>
      <w:r w:rsidR="00255924">
        <w:t>, and</w:t>
      </w:r>
      <w:r w:rsidR="000B4EA2" w:rsidRPr="0090131B">
        <w:t xml:space="preserve"> second, if plural purposes exist.</w:t>
      </w:r>
      <w:r w:rsidR="00FE3C17" w:rsidRPr="0090131B">
        <w:t xml:space="preserve"> </w:t>
      </w:r>
      <w:r w:rsidR="00CF2440" w:rsidRPr="0090131B">
        <w:t xml:space="preserve">The first category invites us to apply the </w:t>
      </w:r>
      <w:r w:rsidR="00CF2440" w:rsidRPr="006E0B80">
        <w:rPr>
          <w:i/>
        </w:rPr>
        <w:t>Merabishvili</w:t>
      </w:r>
      <w:r w:rsidR="00CF2440" w:rsidRPr="0090131B">
        <w:t xml:space="preserve"> test</w:t>
      </w:r>
      <w:r w:rsidR="00302602">
        <w:t xml:space="preserve"> without considering</w:t>
      </w:r>
      <w:r w:rsidR="00CF2440" w:rsidRPr="0090131B">
        <w:t xml:space="preserve"> the “predominant purpose” criterion. The second involves </w:t>
      </w:r>
      <w:r w:rsidR="00302602">
        <w:t>said</w:t>
      </w:r>
      <w:r w:rsidR="00CF2440" w:rsidRPr="0090131B">
        <w:t xml:space="preserve"> criterion. </w:t>
      </w:r>
    </w:p>
    <w:p w14:paraId="32388F0C" w14:textId="77777777" w:rsidR="00CF2440" w:rsidRPr="0090131B" w:rsidRDefault="00CF2440">
      <w:pPr>
        <w:ind w:right="-52"/>
        <w:jc w:val="both"/>
      </w:pPr>
    </w:p>
    <w:p w14:paraId="7E189AD4" w14:textId="5F743038" w:rsidR="004B6663" w:rsidRPr="0090131B" w:rsidRDefault="002B4FD6">
      <w:pPr>
        <w:ind w:right="-52"/>
        <w:jc w:val="both"/>
      </w:pPr>
      <w:r w:rsidRPr="0090131B">
        <w:t>Starting</w:t>
      </w:r>
      <w:r w:rsidR="00CF2440" w:rsidRPr="0090131B">
        <w:t xml:space="preserve"> then</w:t>
      </w:r>
      <w:r w:rsidRPr="0090131B">
        <w:t xml:space="preserve"> with the first case, namely when a restriction</w:t>
      </w:r>
      <w:r w:rsidR="00B7013C" w:rsidRPr="0090131B">
        <w:t xml:space="preserve"> pursues solely an ulterior purpose</w:t>
      </w:r>
      <w:r w:rsidRPr="0090131B">
        <w:t xml:space="preserve">, scenario 1 is possible if the claim that a restriction has been applied for a purpose that is not prescribed by the Convention </w:t>
      </w:r>
      <w:r w:rsidR="00377091" w:rsidRPr="0090131B">
        <w:t xml:space="preserve">is </w:t>
      </w:r>
      <w:r w:rsidRPr="0090131B">
        <w:t>a fundamental aspect of the case</w:t>
      </w:r>
      <w:r w:rsidR="005B08DA" w:rsidRPr="0090131B">
        <w:t xml:space="preserve">. In </w:t>
      </w:r>
      <w:r w:rsidR="00D50481">
        <w:t xml:space="preserve">such a </w:t>
      </w:r>
      <w:r w:rsidR="005B08DA" w:rsidRPr="0090131B">
        <w:t xml:space="preserve">case, </w:t>
      </w:r>
      <w:r w:rsidR="00FF38C7" w:rsidRPr="0090131B">
        <w:t xml:space="preserve">because an ulterior purpose exists </w:t>
      </w:r>
      <w:r w:rsidR="001726F4">
        <w:t>which</w:t>
      </w:r>
      <w:r w:rsidR="00FF38C7" w:rsidRPr="0090131B">
        <w:t xml:space="preserve"> amounts to a fundamental aspect of the case</w:t>
      </w:r>
      <w:r w:rsidR="00FF38C7">
        <w:t>,</w:t>
      </w:r>
      <w:r w:rsidR="00FF38C7" w:rsidRPr="0090131B">
        <w:t xml:space="preserve"> </w:t>
      </w:r>
      <w:r w:rsidR="005B08DA" w:rsidRPr="0090131B">
        <w:t xml:space="preserve">the Court </w:t>
      </w:r>
      <w:r w:rsidR="0008559C">
        <w:t>shall</w:t>
      </w:r>
      <w:r w:rsidR="005B08DA" w:rsidRPr="0090131B">
        <w:t xml:space="preserve"> find a breach of both the provision in connection with which Article 18 has been invoked and of Article 18.</w:t>
      </w:r>
      <w:bookmarkStart w:id="78" w:name="_Ref531700793"/>
      <w:r w:rsidR="006600D9" w:rsidRPr="0090131B">
        <w:rPr>
          <w:rStyle w:val="FootnoteReference"/>
        </w:rPr>
        <w:footnoteReference w:id="157"/>
      </w:r>
      <w:bookmarkEnd w:id="78"/>
      <w:r w:rsidR="005B08DA" w:rsidRPr="0090131B">
        <w:t xml:space="preserve"> </w:t>
      </w:r>
      <w:r w:rsidR="00931EE0" w:rsidRPr="0090131B">
        <w:t>Obviously, when a right is restricted for a sole purpose and this purpose is found to be illegitimate, this may lead to a breach of both the restricted right (because the interference does not pursue a legitimate purpose) and of Article 18 (because of restricting the right in conjunction with which it was invoked for a</w:t>
      </w:r>
      <w:r w:rsidR="00F71227" w:rsidRPr="0090131B">
        <w:t>n ulterior</w:t>
      </w:r>
      <w:r w:rsidR="00931EE0" w:rsidRPr="0090131B">
        <w:t xml:space="preserve"> purpose). In this case, </w:t>
      </w:r>
      <w:r w:rsidR="00C47370" w:rsidRPr="0090131B">
        <w:t xml:space="preserve">the same flaw amounts to a breach of both </w:t>
      </w:r>
      <w:r w:rsidR="00931EE0" w:rsidRPr="0090131B">
        <w:t>Article 1</w:t>
      </w:r>
      <w:r w:rsidR="00C47370" w:rsidRPr="0090131B">
        <w:t>8 and</w:t>
      </w:r>
      <w:r w:rsidR="00931EE0" w:rsidRPr="0090131B">
        <w:t xml:space="preserve"> of the right in conjunction with which it (</w:t>
      </w:r>
      <w:r w:rsidR="00931EE0" w:rsidRPr="0090131B">
        <w:rPr>
          <w:i/>
        </w:rPr>
        <w:t>i.e.</w:t>
      </w:r>
      <w:r w:rsidR="00931EE0" w:rsidRPr="0090131B">
        <w:t xml:space="preserve"> Article </w:t>
      </w:r>
      <w:r w:rsidR="00931EE0" w:rsidRPr="0090131B">
        <w:lastRenderedPageBreak/>
        <w:t>18) has been invoked</w:t>
      </w:r>
      <w:r w:rsidR="00C47370" w:rsidRPr="0090131B">
        <w:t xml:space="preserve">, with the sole difference </w:t>
      </w:r>
      <w:r w:rsidR="00FA751B">
        <w:t xml:space="preserve">being </w:t>
      </w:r>
      <w:r w:rsidR="00C47370" w:rsidRPr="0090131B">
        <w:t xml:space="preserve">that </w:t>
      </w:r>
      <w:r w:rsidR="002F3B43">
        <w:t xml:space="preserve">in regards </w:t>
      </w:r>
      <w:r w:rsidR="00C47370" w:rsidRPr="0090131B">
        <w:t xml:space="preserve">to Article 18 the Court will need to establish </w:t>
      </w:r>
      <w:r w:rsidR="00B93B7C" w:rsidRPr="006E0B80">
        <w:t xml:space="preserve">that </w:t>
      </w:r>
      <w:r w:rsidR="00C257BD">
        <w:t>the</w:t>
      </w:r>
      <w:r w:rsidR="00B93B7C" w:rsidRPr="006E0B80">
        <w:t xml:space="preserve"> restriction for a purpose not prescribed by the Convention </w:t>
      </w:r>
      <w:r w:rsidR="006A64BE">
        <w:t xml:space="preserve">amounts to </w:t>
      </w:r>
      <w:r w:rsidR="006A64BE" w:rsidRPr="0090131B">
        <w:t>an ulterior purpose</w:t>
      </w:r>
      <w:r w:rsidR="006A64BE">
        <w:t xml:space="preserve"> and that this </w:t>
      </w:r>
      <w:r w:rsidR="00B93B7C">
        <w:t>is</w:t>
      </w:r>
      <w:r w:rsidR="00B93B7C" w:rsidRPr="006E0B80">
        <w:t xml:space="preserve"> a fundamental aspect of the case</w:t>
      </w:r>
      <w:r w:rsidR="00D71852" w:rsidRPr="0090131B">
        <w:t>.</w:t>
      </w:r>
      <w:bookmarkStart w:id="79" w:name="_Ref532219250"/>
      <w:r w:rsidR="004C1B90">
        <w:rPr>
          <w:rStyle w:val="FootnoteReference"/>
        </w:rPr>
        <w:footnoteReference w:id="158"/>
      </w:r>
      <w:bookmarkEnd w:id="79"/>
      <w:r w:rsidR="00D71852" w:rsidRPr="0090131B">
        <w:t xml:space="preserve"> </w:t>
      </w:r>
      <w:r w:rsidR="002F3B43">
        <w:t>In that respect, i</w:t>
      </w:r>
      <w:r w:rsidR="00813535" w:rsidRPr="0090131B">
        <w:t xml:space="preserve">t is interesting to note that in </w:t>
      </w:r>
      <w:r w:rsidR="00813535" w:rsidRPr="0090131B">
        <w:rPr>
          <w:i/>
        </w:rPr>
        <w:t xml:space="preserve">Merabishvili </w:t>
      </w:r>
      <w:r w:rsidR="00813535" w:rsidRPr="0090131B">
        <w:t>the GC openly admits that respondents</w:t>
      </w:r>
      <w:r w:rsidR="002267C2">
        <w:t>,</w:t>
      </w:r>
      <w:r w:rsidR="00813535" w:rsidRPr="0090131B">
        <w:t xml:space="preserve"> ‘normally have a relatively easy task in persuading the Court that [an] interference pursue[s] a legitimate aim, even when the applicants cogently argue that it actually pursue[s] an unavowed ulterior purpose’.</w:t>
      </w:r>
      <w:r w:rsidR="00813535" w:rsidRPr="0090131B">
        <w:rPr>
          <w:rStyle w:val="FootnoteReference"/>
        </w:rPr>
        <w:footnoteReference w:id="159"/>
      </w:r>
      <w:r w:rsidR="00813535" w:rsidRPr="0090131B">
        <w:t xml:space="preserve"> Indeed, </w:t>
      </w:r>
      <w:r w:rsidR="002267C2">
        <w:t xml:space="preserve">in the past </w:t>
      </w:r>
      <w:r w:rsidR="00813535" w:rsidRPr="0090131B">
        <w:t>the Court tend</w:t>
      </w:r>
      <w:r w:rsidR="00DB7CD9" w:rsidRPr="0090131B">
        <w:t xml:space="preserve">ed </w:t>
      </w:r>
      <w:r w:rsidR="00813535" w:rsidRPr="0090131B">
        <w:t xml:space="preserve">to demonstrate flexibility and </w:t>
      </w:r>
      <w:r w:rsidR="00EB1950">
        <w:t xml:space="preserve">to </w:t>
      </w:r>
      <w:r w:rsidR="00813535" w:rsidRPr="0090131B">
        <w:t>apply the legitimacy test in a rather loose manner, with its real focus being on proportionality.</w:t>
      </w:r>
      <w:bookmarkStart w:id="80" w:name="_Ref531871656"/>
      <w:r w:rsidR="00813535" w:rsidRPr="0090131B">
        <w:rPr>
          <w:rStyle w:val="FootnoteReference"/>
        </w:rPr>
        <w:footnoteReference w:id="160"/>
      </w:r>
      <w:bookmarkEnd w:id="80"/>
      <w:r w:rsidR="00813535" w:rsidRPr="0090131B">
        <w:t xml:space="preserve"> </w:t>
      </w:r>
      <w:r w:rsidR="00DE5710">
        <w:t>At the same time, the presumption of good faith was rather difficult to rebut.</w:t>
      </w:r>
      <w:r w:rsidR="00DE5710">
        <w:rPr>
          <w:rStyle w:val="FootnoteReference"/>
        </w:rPr>
        <w:footnoteReference w:id="161"/>
      </w:r>
      <w:r w:rsidR="00DE5710">
        <w:t xml:space="preserve"> </w:t>
      </w:r>
      <w:r w:rsidR="00037490">
        <w:t>As</w:t>
      </w:r>
      <w:r w:rsidR="00DB7CD9" w:rsidRPr="0090131B">
        <w:t xml:space="preserve"> already mentioned,</w:t>
      </w:r>
      <w:r w:rsidR="00037490">
        <w:t xml:space="preserve"> however,</w:t>
      </w:r>
      <w:r w:rsidR="00DB7CD9" w:rsidRPr="0090131B">
        <w:t xml:space="preserve"> the presumption of good faith </w:t>
      </w:r>
      <w:r w:rsidR="00A10377" w:rsidRPr="0090131B">
        <w:t xml:space="preserve">is no </w:t>
      </w:r>
      <w:r w:rsidR="00AA2106">
        <w:t xml:space="preserve">longer </w:t>
      </w:r>
      <w:r w:rsidR="00A10377" w:rsidRPr="0090131B">
        <w:t xml:space="preserve">the standard approach, as proof in that respect operates now differently. Moreover, </w:t>
      </w:r>
      <w:r w:rsidR="00970E0B" w:rsidRPr="0090131B">
        <w:t>if the ulterior purpose is found to contravene Article 18, it is difficult to see how it could pass as a legitimate purpose lawfully justifying a restriction of the right in conjunction with which Article 18 has been invoked.</w:t>
      </w:r>
      <w:r w:rsidR="00B610FD">
        <w:t xml:space="preserve"> Accordingly</w:t>
      </w:r>
      <w:r w:rsidR="00A10377" w:rsidRPr="0090131B">
        <w:t>, the</w:t>
      </w:r>
      <w:r w:rsidR="00970E0B" w:rsidRPr="0090131B">
        <w:t xml:space="preserve"> breach of Article 18 goes hand in hand with the breach of the </w:t>
      </w:r>
      <w:r w:rsidR="0094187D" w:rsidRPr="0090131B">
        <w:t xml:space="preserve">provision in conjunction with which Article 18 has been invoked. Moving to scenario 2, </w:t>
      </w:r>
      <w:r w:rsidR="001726F4">
        <w:t xml:space="preserve">such a scenario </w:t>
      </w:r>
      <w:r w:rsidR="0094187D" w:rsidRPr="0090131B">
        <w:t xml:space="preserve">is possible if the sole purpose </w:t>
      </w:r>
      <w:r w:rsidR="002A577C" w:rsidRPr="0090131B">
        <w:t>behind a restriction does not qualify as an ulterior purpose and/or it does not amount to a fundamental aspect of the case</w:t>
      </w:r>
      <w:r w:rsidR="00A10377" w:rsidRPr="0090131B">
        <w:t xml:space="preserve">, that is, if the respondent has not abused </w:t>
      </w:r>
      <w:r w:rsidR="00DC7826" w:rsidRPr="0090131B">
        <w:t>the ECHR</w:t>
      </w:r>
      <w:r w:rsidR="001726F4">
        <w:t>’s</w:t>
      </w:r>
      <w:r w:rsidR="00DC7826" w:rsidRPr="0090131B">
        <w:t xml:space="preserve"> permissible restrictions.</w:t>
      </w:r>
      <w:r w:rsidR="002A577C" w:rsidRPr="0090131B">
        <w:t xml:space="preserve"> The Court may find a breach of a qualified right enshrined in the Convention in conjunction with whi</w:t>
      </w:r>
      <w:r w:rsidR="00150D42" w:rsidRPr="0090131B">
        <w:t xml:space="preserve">ch Article 18 has been invoked for other reasons (e.g. because </w:t>
      </w:r>
      <w:r w:rsidR="009C7242" w:rsidRPr="0090131B">
        <w:t>a restriction</w:t>
      </w:r>
      <w:r w:rsidR="00150D42" w:rsidRPr="0090131B">
        <w:t xml:space="preserve"> fail</w:t>
      </w:r>
      <w:r w:rsidR="009C7242" w:rsidRPr="0090131B">
        <w:t>ed</w:t>
      </w:r>
      <w:r w:rsidR="00150D42" w:rsidRPr="0090131B">
        <w:t xml:space="preserve"> to pass the test of necessity), without establishing Article 18’s breach. </w:t>
      </w:r>
      <w:r w:rsidR="00FF4BDA" w:rsidRPr="0090131B">
        <w:t xml:space="preserve">Not all breaches of a provision in regard to which Article 18 has been invoked </w:t>
      </w:r>
      <w:r w:rsidR="004773BA">
        <w:t>involve</w:t>
      </w:r>
      <w:r w:rsidR="00FF4BDA" w:rsidRPr="0090131B">
        <w:t xml:space="preserve"> </w:t>
      </w:r>
      <w:r w:rsidR="009C7242" w:rsidRPr="0090131B">
        <w:t xml:space="preserve">ulterior </w:t>
      </w:r>
      <w:r w:rsidR="00FF4BDA" w:rsidRPr="0090131B">
        <w:t xml:space="preserve">purposes. This means that the purpose behind a restriction can be genuine and pursue legitimate aims in accordance with the grounds for restrictions provided by the Convention, </w:t>
      </w:r>
      <w:r w:rsidR="001726F4">
        <w:t xml:space="preserve">whilst also failing </w:t>
      </w:r>
      <w:r w:rsidR="00FF4BDA" w:rsidRPr="0090131B">
        <w:t xml:space="preserve">to meet the exigencies of the ECHR in other respects. </w:t>
      </w:r>
      <w:r w:rsidR="00AF5F51" w:rsidRPr="0090131B">
        <w:t xml:space="preserve">Scenario 3 </w:t>
      </w:r>
      <w:r w:rsidR="00681723" w:rsidRPr="0090131B">
        <w:t>seems to be</w:t>
      </w:r>
      <w:r w:rsidR="00AF5F51" w:rsidRPr="0090131B">
        <w:t xml:space="preserve"> </w:t>
      </w:r>
      <w:r w:rsidR="009C7242" w:rsidRPr="0090131B">
        <w:t>un</w:t>
      </w:r>
      <w:r w:rsidR="00681723" w:rsidRPr="0090131B">
        <w:t>likely to occur.</w:t>
      </w:r>
      <w:r w:rsidR="00AF5F51" w:rsidRPr="0090131B">
        <w:t xml:space="preserve"> </w:t>
      </w:r>
      <w:r w:rsidR="00681723" w:rsidRPr="0090131B">
        <w:t>If</w:t>
      </w:r>
      <w:r w:rsidR="00AF5F51" w:rsidRPr="0090131B">
        <w:t xml:space="preserve"> </w:t>
      </w:r>
      <w:r w:rsidR="00681723" w:rsidRPr="0090131B">
        <w:t>the purpose pursued by a restriction is found to be justified (</w:t>
      </w:r>
      <w:r w:rsidR="00F4678A" w:rsidRPr="0090131B">
        <w:t xml:space="preserve">because it is, </w:t>
      </w:r>
      <w:r w:rsidR="00F4678A" w:rsidRPr="006E0B80">
        <w:rPr>
          <w:i/>
        </w:rPr>
        <w:t>inter alia</w:t>
      </w:r>
      <w:r w:rsidR="00F4678A" w:rsidRPr="0090131B">
        <w:t xml:space="preserve">, </w:t>
      </w:r>
      <w:r w:rsidR="00681723" w:rsidRPr="0090131B">
        <w:t>legitimate)</w:t>
      </w:r>
      <w:r w:rsidR="00F84559" w:rsidRPr="0090131B">
        <w:t>, this means that</w:t>
      </w:r>
      <w:r w:rsidR="00D273EE" w:rsidRPr="0090131B">
        <w:t>, in principle,</w:t>
      </w:r>
      <w:r w:rsidR="00F84559" w:rsidRPr="0090131B">
        <w:t xml:space="preserve"> it </w:t>
      </w:r>
      <w:r w:rsidR="00563C10">
        <w:t>does not amount to an</w:t>
      </w:r>
      <w:r w:rsidR="00F84559" w:rsidRPr="0090131B">
        <w:t xml:space="preserve"> ulterior purpose</w:t>
      </w:r>
      <w:r w:rsidR="00D2670A" w:rsidRPr="0090131B">
        <w:t xml:space="preserve"> -thus, no breach of Article</w:t>
      </w:r>
      <w:r w:rsidR="00961519">
        <w:t xml:space="preserve"> 18</w:t>
      </w:r>
      <w:r w:rsidR="00D2670A" w:rsidRPr="0090131B">
        <w:t xml:space="preserve"> can be established</w:t>
      </w:r>
      <w:r w:rsidR="00F84559" w:rsidRPr="0090131B">
        <w:t>. If t</w:t>
      </w:r>
      <w:r w:rsidR="00D2670A" w:rsidRPr="0090131B">
        <w:t>he</w:t>
      </w:r>
      <w:r w:rsidR="00F84559" w:rsidRPr="0090131B">
        <w:t xml:space="preserve"> </w:t>
      </w:r>
      <w:r w:rsidR="00D2670A" w:rsidRPr="0090131B">
        <w:t xml:space="preserve">purpose </w:t>
      </w:r>
      <w:r w:rsidR="00F84559" w:rsidRPr="0090131B">
        <w:t xml:space="preserve">is different from the </w:t>
      </w:r>
      <w:r w:rsidR="00D2670A" w:rsidRPr="0090131B">
        <w:t>one</w:t>
      </w:r>
      <w:r w:rsidR="00F84559" w:rsidRPr="0090131B">
        <w:t xml:space="preserve"> invoked by the respondent, it is a</w:t>
      </w:r>
      <w:r w:rsidR="000712E2" w:rsidRPr="0090131B">
        <w:t>nother</w:t>
      </w:r>
      <w:r w:rsidR="001C528C" w:rsidRPr="0090131B">
        <w:t xml:space="preserve"> purpose, which automatically shifts analysis away from the framework discussed here</w:t>
      </w:r>
      <w:r w:rsidR="00B47863">
        <w:t xml:space="preserve"> (i.e. sole purpose pursued by a restriction)</w:t>
      </w:r>
      <w:r w:rsidR="001C528C" w:rsidRPr="0090131B">
        <w:t xml:space="preserve"> to that of plurality of purposes. Finally, scenario 4 is possible</w:t>
      </w:r>
      <w:r w:rsidR="00D2670A" w:rsidRPr="0090131B">
        <w:t xml:space="preserve"> indeed</w:t>
      </w:r>
      <w:r w:rsidR="001C528C" w:rsidRPr="0090131B">
        <w:t>.</w:t>
      </w:r>
      <w:r w:rsidR="00FF4BDA" w:rsidRPr="0090131B">
        <w:t xml:space="preserve"> </w:t>
      </w:r>
      <w:r w:rsidR="004B6663" w:rsidRPr="0090131B">
        <w:t>F</w:t>
      </w:r>
      <w:r w:rsidR="00816470" w:rsidRPr="0090131B">
        <w:t>inding no breach of the provision with re</w:t>
      </w:r>
      <w:r w:rsidR="00E43666" w:rsidRPr="0090131B">
        <w:t>spect</w:t>
      </w:r>
      <w:r w:rsidR="00816470" w:rsidRPr="0090131B">
        <w:t xml:space="preserve"> to which Article 18 has been invoked </w:t>
      </w:r>
      <w:r w:rsidR="00C20F3D" w:rsidRPr="0090131B">
        <w:t xml:space="preserve">means that </w:t>
      </w:r>
      <w:r w:rsidR="00F87D8F" w:rsidRPr="0090131B">
        <w:t>the</w:t>
      </w:r>
      <w:r w:rsidR="00C20F3D" w:rsidRPr="0090131B">
        <w:t xml:space="preserve"> restriction</w:t>
      </w:r>
      <w:r w:rsidR="00F87D8F" w:rsidRPr="0090131B">
        <w:t xml:space="preserve"> at issue</w:t>
      </w:r>
      <w:r w:rsidR="00C20F3D" w:rsidRPr="0090131B">
        <w:t xml:space="preserve"> is lawful. This </w:t>
      </w:r>
      <w:r w:rsidR="0014785F" w:rsidRPr="0090131B">
        <w:t xml:space="preserve">suggests </w:t>
      </w:r>
      <w:r w:rsidR="00C20F3D" w:rsidRPr="0090131B">
        <w:t xml:space="preserve">that </w:t>
      </w:r>
      <w:r w:rsidR="00222400" w:rsidRPr="0090131B">
        <w:t>it</w:t>
      </w:r>
      <w:r w:rsidR="00C20F3D" w:rsidRPr="0090131B">
        <w:t xml:space="preserve"> is necessary/proportionate to th</w:t>
      </w:r>
      <w:r w:rsidR="0009443F" w:rsidRPr="0090131B">
        <w:t>e</w:t>
      </w:r>
      <w:r w:rsidR="00C20F3D" w:rsidRPr="0090131B">
        <w:t xml:space="preserve"> aim</w:t>
      </w:r>
      <w:r w:rsidR="0009443F" w:rsidRPr="0090131B">
        <w:t xml:space="preserve">s </w:t>
      </w:r>
      <w:r w:rsidR="001726F4">
        <w:t xml:space="preserve">that </w:t>
      </w:r>
      <w:r w:rsidR="0009443F" w:rsidRPr="0090131B">
        <w:t>it pursues</w:t>
      </w:r>
      <w:r w:rsidR="00C736B3" w:rsidRPr="0090131B">
        <w:t>, but also</w:t>
      </w:r>
      <w:r w:rsidR="00F87D8F" w:rsidRPr="0090131B">
        <w:t xml:space="preserve"> that</w:t>
      </w:r>
      <w:r w:rsidR="00C736B3" w:rsidRPr="0090131B">
        <w:t xml:space="preserve"> </w:t>
      </w:r>
      <w:r w:rsidR="0009443F" w:rsidRPr="0090131B">
        <w:t>these</w:t>
      </w:r>
      <w:r w:rsidR="0014785F" w:rsidRPr="0090131B">
        <w:t xml:space="preserve"> a</w:t>
      </w:r>
      <w:r w:rsidR="0009443F" w:rsidRPr="0090131B">
        <w:t xml:space="preserve">ims </w:t>
      </w:r>
      <w:r w:rsidR="00222400" w:rsidRPr="0090131B">
        <w:t>have been evaluated by the Court as</w:t>
      </w:r>
      <w:r w:rsidR="0014785F" w:rsidRPr="0090131B">
        <w:t xml:space="preserve"> legitimate</w:t>
      </w:r>
      <w:r w:rsidR="00954F10" w:rsidRPr="0090131B">
        <w:t xml:space="preserve">, </w:t>
      </w:r>
      <w:r w:rsidR="003C1772" w:rsidRPr="0090131B">
        <w:t xml:space="preserve">and more generally as being </w:t>
      </w:r>
      <w:r w:rsidR="0009443F" w:rsidRPr="0090131B">
        <w:t>in conformity with</w:t>
      </w:r>
      <w:r w:rsidR="00C736B3" w:rsidRPr="0090131B">
        <w:t xml:space="preserve"> </w:t>
      </w:r>
      <w:r w:rsidR="0009443F" w:rsidRPr="0090131B">
        <w:t xml:space="preserve">the </w:t>
      </w:r>
      <w:r w:rsidR="00C736B3" w:rsidRPr="0090131B">
        <w:t xml:space="preserve">grounds </w:t>
      </w:r>
      <w:r w:rsidR="0009443F" w:rsidRPr="0090131B">
        <w:t xml:space="preserve">for restrictions </w:t>
      </w:r>
      <w:r w:rsidR="0077523F" w:rsidRPr="0090131B">
        <w:t>set out in the Convention.</w:t>
      </w:r>
      <w:r w:rsidR="0077523F" w:rsidRPr="0090131B">
        <w:rPr>
          <w:rStyle w:val="FootnoteReference"/>
        </w:rPr>
        <w:footnoteReference w:id="162"/>
      </w:r>
      <w:r w:rsidR="00360F76" w:rsidRPr="0090131B">
        <w:t xml:space="preserve"> </w:t>
      </w:r>
      <w:r w:rsidR="004B6663" w:rsidRPr="0090131B">
        <w:t>A</w:t>
      </w:r>
      <w:r w:rsidR="00954F10" w:rsidRPr="0090131B">
        <w:t xml:space="preserve">n otherwise lawful/justified </w:t>
      </w:r>
      <w:r w:rsidR="0009443F" w:rsidRPr="0090131B">
        <w:t>restriction</w:t>
      </w:r>
      <w:r w:rsidR="00360F76" w:rsidRPr="0090131B">
        <w:t xml:space="preserve"> should not raise an issue of abuse of rights</w:t>
      </w:r>
      <w:r w:rsidR="004B6663" w:rsidRPr="0090131B">
        <w:t xml:space="preserve"> when the sole purpose </w:t>
      </w:r>
      <w:r w:rsidR="003C1772" w:rsidRPr="0090131B">
        <w:t>behind</w:t>
      </w:r>
      <w:r w:rsidR="004B6663" w:rsidRPr="0090131B">
        <w:t xml:space="preserve"> a restriction is the one that has been found</w:t>
      </w:r>
      <w:r w:rsidR="000317D8" w:rsidRPr="0090131B">
        <w:t xml:space="preserve"> to justify a restriction of the right/freedom in conjunction with which Article 18 has been invoked</w:t>
      </w:r>
      <w:r w:rsidR="00360F76" w:rsidRPr="0090131B">
        <w:t xml:space="preserve">. </w:t>
      </w:r>
    </w:p>
    <w:p w14:paraId="2D861487" w14:textId="77777777" w:rsidR="004B6663" w:rsidRPr="0090131B" w:rsidRDefault="004B6663">
      <w:pPr>
        <w:ind w:right="-52"/>
        <w:jc w:val="both"/>
      </w:pPr>
    </w:p>
    <w:p w14:paraId="00B09FA7" w14:textId="17D883A6" w:rsidR="009514AB" w:rsidRPr="0090131B" w:rsidRDefault="006F2901" w:rsidP="009514AB">
      <w:pPr>
        <w:ind w:right="-52"/>
        <w:jc w:val="both"/>
      </w:pPr>
      <w:r w:rsidRPr="0090131B">
        <w:t xml:space="preserve">Moving to the second case, namely when a plurality of purposes exist, </w:t>
      </w:r>
      <w:r w:rsidR="00BD72F4" w:rsidRPr="0090131B">
        <w:t>as already explained</w:t>
      </w:r>
      <w:r w:rsidR="00DC3640">
        <w:t>,</w:t>
      </w:r>
      <w:r w:rsidR="00BD72F4" w:rsidRPr="0090131B">
        <w:t xml:space="preserve"> the key criterion is whether the </w:t>
      </w:r>
      <w:r w:rsidR="00F85B58" w:rsidRPr="0090131B">
        <w:t xml:space="preserve">ulterior purpose pursued by a restriction is predominant or not. In scenarios </w:t>
      </w:r>
      <w:r w:rsidR="00CA71BF" w:rsidRPr="0090131B">
        <w:t>3</w:t>
      </w:r>
      <w:r w:rsidR="00F85B58" w:rsidRPr="0090131B">
        <w:t xml:space="preserve"> and </w:t>
      </w:r>
      <w:r w:rsidR="00CA71BF" w:rsidRPr="0090131B">
        <w:t>4</w:t>
      </w:r>
      <w:r w:rsidR="00F85B58" w:rsidRPr="0090131B">
        <w:t xml:space="preserve"> the restriction </w:t>
      </w:r>
      <w:r w:rsidR="00CA71BF" w:rsidRPr="0090131B">
        <w:t>does not</w:t>
      </w:r>
      <w:r w:rsidR="00F85B58" w:rsidRPr="0090131B">
        <w:t xml:space="preserve"> breach</w:t>
      </w:r>
      <w:r w:rsidR="00CA71BF" w:rsidRPr="0090131B">
        <w:t xml:space="preserve"> the provision of the ECHR in conjunction with which Article 18 has been invoked as, outside of the ulterior purpose, t</w:t>
      </w:r>
      <w:r w:rsidR="003C1772" w:rsidRPr="0090131B">
        <w:t>he restriction</w:t>
      </w:r>
      <w:r w:rsidR="00CA71BF" w:rsidRPr="0090131B">
        <w:t xml:space="preserve"> also pursues purposes that are legitimate and necessary, thus lawful</w:t>
      </w:r>
      <w:r w:rsidR="00CD3F6E" w:rsidRPr="0090131B">
        <w:t xml:space="preserve">. If the ulterior purpose is </w:t>
      </w:r>
      <w:r w:rsidR="00CD3F6E" w:rsidRPr="0090131B">
        <w:lastRenderedPageBreak/>
        <w:t>predominant, Article 18 will be breached (scenario 3).</w:t>
      </w:r>
      <w:r w:rsidR="00676092">
        <w:rPr>
          <w:rStyle w:val="FootnoteReference"/>
        </w:rPr>
        <w:footnoteReference w:id="163"/>
      </w:r>
      <w:r w:rsidR="00CD3F6E" w:rsidRPr="0090131B">
        <w:t xml:space="preserve"> In the opposite case, when the ulterior purpose is not predominant, no breach of Article 18 exists (scenario 4). </w:t>
      </w:r>
      <w:r w:rsidR="009514AB" w:rsidRPr="0090131B">
        <w:t>Thus,</w:t>
      </w:r>
    </w:p>
    <w:p w14:paraId="6949BFB6" w14:textId="55B8C57B" w:rsidR="005D66BD" w:rsidRPr="00D0652C" w:rsidRDefault="009514AB" w:rsidP="006E0B80">
      <w:pPr>
        <w:pStyle w:val="ListParagraph"/>
        <w:ind w:right="658"/>
        <w:jc w:val="both"/>
      </w:pPr>
      <w:r w:rsidRPr="006E0B80">
        <w:rPr>
          <w:rFonts w:ascii="Times New Roman" w:hAnsi="Times New Roman" w:cs="Times New Roman"/>
        </w:rPr>
        <w:t xml:space="preserve"> </w:t>
      </w:r>
      <w:r w:rsidR="005D66BD" w:rsidRPr="006E0B80">
        <w:rPr>
          <w:rFonts w:ascii="Times New Roman" w:hAnsi="Times New Roman" w:cs="Times New Roman"/>
        </w:rPr>
        <w:t>‘</w:t>
      </w:r>
      <w:r w:rsidRPr="006E0B80">
        <w:rPr>
          <w:rFonts w:ascii="Times New Roman" w:hAnsi="Times New Roman" w:cs="Times New Roman"/>
        </w:rPr>
        <w:t>[t]</w:t>
      </w:r>
      <w:r w:rsidR="005D66BD" w:rsidRPr="006E0B80">
        <w:rPr>
          <w:rFonts w:ascii="Times New Roman" w:hAnsi="Times New Roman" w:cs="Times New Roman"/>
        </w:rPr>
        <w:t xml:space="preserve">he Court is </w:t>
      </w:r>
      <w:r w:rsidRPr="006E0B80">
        <w:rPr>
          <w:rFonts w:ascii="Times New Roman" w:hAnsi="Times New Roman" w:cs="Times New Roman"/>
        </w:rPr>
        <w:t>[…]</w:t>
      </w:r>
      <w:r w:rsidR="005D66BD" w:rsidRPr="006E0B80">
        <w:rPr>
          <w:rFonts w:ascii="Times New Roman" w:hAnsi="Times New Roman" w:cs="Times New Roman"/>
        </w:rPr>
        <w:t xml:space="preserve"> of the view that a restriction can be compatible with the substantive Convention provision which authorises it because it pursues an aim permissible under that provision, but still infringe Article 18 because it was chiefly meant for another purpose that is not prescribed by the Convention; in other words, if that other purpose was predominant. Conversely, if the prescribed purpose was the main one, the restriction does not run counter to Article 18 even if it also pursues another purpose.’</w:t>
      </w:r>
      <w:r w:rsidR="005D66BD" w:rsidRPr="006E0B80">
        <w:rPr>
          <w:rStyle w:val="FootnoteReference"/>
          <w:rFonts w:ascii="Times New Roman" w:hAnsi="Times New Roman" w:cs="Times New Roman"/>
        </w:rPr>
        <w:footnoteReference w:id="164"/>
      </w:r>
      <w:r w:rsidR="005D66BD" w:rsidRPr="006E0B80">
        <w:rPr>
          <w:rFonts w:ascii="Times New Roman" w:hAnsi="Times New Roman" w:cs="Times New Roman"/>
        </w:rPr>
        <w:t xml:space="preserve"> </w:t>
      </w:r>
    </w:p>
    <w:p w14:paraId="253F1E82" w14:textId="256C32EF" w:rsidR="00D71852" w:rsidRPr="0090131B" w:rsidRDefault="00CD3F6E">
      <w:pPr>
        <w:ind w:right="-52"/>
        <w:jc w:val="both"/>
      </w:pPr>
      <w:r w:rsidRPr="0090131B">
        <w:t>Th</w:t>
      </w:r>
      <w:r w:rsidR="00A366D9" w:rsidRPr="0090131B">
        <w:t>is study has already criticised the “predominant purpose” criterion</w:t>
      </w:r>
      <w:r w:rsidR="00284346">
        <w:t>,</w:t>
      </w:r>
      <w:r w:rsidR="00A366D9" w:rsidRPr="0090131B">
        <w:t xml:space="preserve"> </w:t>
      </w:r>
      <w:r w:rsidR="00D91D44">
        <w:t>t</w:t>
      </w:r>
      <w:r w:rsidR="00A366D9" w:rsidRPr="0090131B">
        <w:t xml:space="preserve">hus, it shall abstain from repeating itself by explaining the reasons why </w:t>
      </w:r>
      <w:r w:rsidR="00B926EE" w:rsidRPr="0090131B">
        <w:t>said criterion undermines the effectiveness and autonomy of Article 18.</w:t>
      </w:r>
      <w:r w:rsidR="00A366D9" w:rsidRPr="0090131B">
        <w:t xml:space="preserve"> </w:t>
      </w:r>
      <w:r w:rsidR="00B926EE" w:rsidRPr="0090131B">
        <w:t xml:space="preserve">Moving to </w:t>
      </w:r>
      <w:r w:rsidRPr="0090131B">
        <w:t xml:space="preserve">scenarios </w:t>
      </w:r>
      <w:r w:rsidR="00693C0A" w:rsidRPr="0090131B">
        <w:t>1 (if the ulterior purpose is predominant) and 2 (if the ulterior purpose is not pre</w:t>
      </w:r>
      <w:r w:rsidR="00716A36" w:rsidRPr="0090131B">
        <w:t>d</w:t>
      </w:r>
      <w:r w:rsidR="00693C0A" w:rsidRPr="0090131B">
        <w:t xml:space="preserve">ominant), </w:t>
      </w:r>
      <w:r w:rsidR="00B926EE" w:rsidRPr="0090131B">
        <w:t>the same logic applies</w:t>
      </w:r>
      <w:r w:rsidR="00D91D44">
        <w:t>,</w:t>
      </w:r>
      <w:r w:rsidR="00B926EE" w:rsidRPr="0090131B">
        <w:t xml:space="preserve"> </w:t>
      </w:r>
      <w:r w:rsidR="00693C0A" w:rsidRPr="0090131B">
        <w:t xml:space="preserve">with the difference that the ECHR provision in conjunction with which Article 18 has been invoked is found to be breached because of not satisfying the other requirements that shall be met for a restriction to be lawful (e.g. </w:t>
      </w:r>
      <w:r w:rsidR="00B926EE" w:rsidRPr="0090131B">
        <w:t>proportionality</w:t>
      </w:r>
      <w:r w:rsidR="00693C0A" w:rsidRPr="0090131B">
        <w:t xml:space="preserve">).   </w:t>
      </w:r>
      <w:r w:rsidRPr="0090131B">
        <w:t xml:space="preserve">  </w:t>
      </w:r>
      <w:r w:rsidR="00CA71BF" w:rsidRPr="0090131B">
        <w:t xml:space="preserve">   </w:t>
      </w:r>
      <w:r w:rsidR="00F85B58" w:rsidRPr="0090131B">
        <w:t xml:space="preserve">   </w:t>
      </w:r>
    </w:p>
    <w:p w14:paraId="287CF734" w14:textId="5D24425B" w:rsidR="000776F7" w:rsidRPr="0090131B" w:rsidRDefault="000776F7">
      <w:pPr>
        <w:ind w:right="-52"/>
        <w:jc w:val="both"/>
      </w:pPr>
    </w:p>
    <w:p w14:paraId="6845E419" w14:textId="7840057F" w:rsidR="00AE1DB9" w:rsidRPr="0090131B" w:rsidRDefault="00B926EE" w:rsidP="006423D1">
      <w:pPr>
        <w:ind w:right="-52"/>
        <w:jc w:val="both"/>
      </w:pPr>
      <w:r w:rsidRPr="006E0B80">
        <w:t xml:space="preserve">Having concluded with this </w:t>
      </w:r>
      <w:r w:rsidR="00666FDF">
        <w:t>Part</w:t>
      </w:r>
      <w:r w:rsidRPr="006E0B80">
        <w:t xml:space="preserve"> of the study </w:t>
      </w:r>
      <w:r w:rsidR="00284346">
        <w:t xml:space="preserve">examining </w:t>
      </w:r>
      <w:r w:rsidRPr="006E0B80">
        <w:t>abuse of rights</w:t>
      </w:r>
      <w:r w:rsidR="00AE1DB9" w:rsidRPr="0090131B">
        <w:t xml:space="preserve"> at a theoretical level</w:t>
      </w:r>
      <w:r w:rsidR="00FA2DFE" w:rsidRPr="0090131B">
        <w:t>, first, in terms of general international law and, second,</w:t>
      </w:r>
      <w:r w:rsidRPr="006E0B80">
        <w:t xml:space="preserve"> within the ECHR system, </w:t>
      </w:r>
      <w:r w:rsidR="008A1E93" w:rsidRPr="0090131B">
        <w:t>discussion now moves at applying</w:t>
      </w:r>
      <w:r w:rsidR="00FA2DFE" w:rsidRPr="0090131B">
        <w:t xml:space="preserve"> the </w:t>
      </w:r>
      <w:r w:rsidR="002927C6">
        <w:t xml:space="preserve">analytical </w:t>
      </w:r>
      <w:r w:rsidR="00FA2DFE" w:rsidRPr="0090131B">
        <w:t xml:space="preserve">framework established thus far in the context of </w:t>
      </w:r>
      <w:r w:rsidR="006F4031">
        <w:t xml:space="preserve">the </w:t>
      </w:r>
      <w:r w:rsidR="00FA2DFE" w:rsidRPr="0090131B">
        <w:t>UK derogation(s) policy.</w:t>
      </w:r>
      <w:r w:rsidR="00614C5D" w:rsidRPr="0090131B">
        <w:t xml:space="preserve"> </w:t>
      </w:r>
    </w:p>
    <w:p w14:paraId="7E6B03D4" w14:textId="77777777" w:rsidR="00AE1DB9" w:rsidRPr="0090131B" w:rsidRDefault="00AE1DB9" w:rsidP="006423D1">
      <w:pPr>
        <w:ind w:right="-52"/>
        <w:jc w:val="both"/>
      </w:pPr>
    </w:p>
    <w:p w14:paraId="5FF2A988" w14:textId="5F35C3B7" w:rsidR="00B34D92" w:rsidRPr="006E0B80" w:rsidRDefault="00AE1DB9" w:rsidP="00B34D92">
      <w:pPr>
        <w:ind w:right="-52"/>
        <w:jc w:val="both"/>
        <w:rPr>
          <w:b/>
        </w:rPr>
      </w:pPr>
      <w:r w:rsidRPr="0090131B">
        <w:tab/>
      </w:r>
      <w:r w:rsidR="00B34D92" w:rsidRPr="0090131B">
        <w:rPr>
          <w:b/>
        </w:rPr>
        <w:t xml:space="preserve">V. </w:t>
      </w:r>
      <w:r w:rsidR="00B34D92" w:rsidRPr="006E0B80">
        <w:rPr>
          <w:b/>
        </w:rPr>
        <w:t>The Presumption to Derogate From the ECHR Before Embarking in Military Operations Overseas and Abuse of Rights</w:t>
      </w:r>
    </w:p>
    <w:p w14:paraId="7B5EBC57" w14:textId="2101236C" w:rsidR="00B34D92" w:rsidRPr="0090131B" w:rsidRDefault="000346FA" w:rsidP="00B34D92">
      <w:pPr>
        <w:ind w:right="-52"/>
        <w:jc w:val="both"/>
      </w:pPr>
      <w:r>
        <w:t>T</w:t>
      </w:r>
      <w:r w:rsidR="00F609AB" w:rsidRPr="006E0B80">
        <w:t xml:space="preserve">he </w:t>
      </w:r>
      <w:r>
        <w:t>key</w:t>
      </w:r>
      <w:r w:rsidR="00706D6D" w:rsidRPr="006E0B80">
        <w:t xml:space="preserve"> point in this study </w:t>
      </w:r>
      <w:r w:rsidR="00944DEA">
        <w:t>is</w:t>
      </w:r>
      <w:r w:rsidR="00B34D92" w:rsidRPr="006E0B80">
        <w:t xml:space="preserve"> the manifest misalignment between the aims pursued through</w:t>
      </w:r>
      <w:r w:rsidR="00D3199C">
        <w:t xml:space="preserve"> the</w:t>
      </w:r>
      <w:r w:rsidR="00B34D92" w:rsidRPr="006E0B80">
        <w:t xml:space="preserve"> </w:t>
      </w:r>
      <w:r w:rsidR="00706D6D" w:rsidRPr="006E0B80">
        <w:t xml:space="preserve">UK derogation(s) </w:t>
      </w:r>
      <w:r w:rsidR="00B34D92" w:rsidRPr="006E0B80">
        <w:t>policy and the object and purpose of Article 15 ECHR.</w:t>
      </w:r>
      <w:r w:rsidR="00B34D92" w:rsidRPr="0090131B">
        <w:t xml:space="preserve"> Yet, this is not the only infirmity. As already discussed, the government has labelled its policy as a presumption of derogation. The study has already discussed </w:t>
      </w:r>
      <w:r w:rsidR="00FC423D">
        <w:t xml:space="preserve">in Part III </w:t>
      </w:r>
      <w:r w:rsidR="00B34D92" w:rsidRPr="0090131B">
        <w:t xml:space="preserve">the assumed rationale behind that labelling, namely the widening of the policy’s scope to cover all future military operations overseas, and the oxymoron of a wide-ranging, all-inclusive policy regarding future scenarios of derogation, the lawfulness of which can only be assessed specifically and on an </w:t>
      </w:r>
      <w:r w:rsidR="00B34D92" w:rsidRPr="0090131B">
        <w:rPr>
          <w:i/>
        </w:rPr>
        <w:t>ad hoc</w:t>
      </w:r>
      <w:r w:rsidR="00B34D92" w:rsidRPr="0090131B">
        <w:t xml:space="preserve"> basis. What remains to be discussed here</w:t>
      </w:r>
      <w:r w:rsidR="004108CF">
        <w:t>,</w:t>
      </w:r>
      <w:r w:rsidR="00B34D92" w:rsidRPr="0090131B">
        <w:t xml:space="preserve"> regarding the presumptive nature of the intended derogation(s)</w:t>
      </w:r>
      <w:r w:rsidR="004108CF">
        <w:t>,</w:t>
      </w:r>
      <w:r w:rsidR="00B34D92" w:rsidRPr="0090131B">
        <w:t xml:space="preserve"> is that this </w:t>
      </w:r>
      <w:r w:rsidR="0056167D">
        <w:t>–</w:t>
      </w:r>
      <w:r w:rsidR="004108CF">
        <w:t xml:space="preserve"> </w:t>
      </w:r>
      <w:r w:rsidR="00B34D92" w:rsidRPr="0090131B">
        <w:rPr>
          <w:i/>
        </w:rPr>
        <w:t>i.e.</w:t>
      </w:r>
      <w:r w:rsidR="00B34D92" w:rsidRPr="0090131B">
        <w:t xml:space="preserve"> the presumptive nature</w:t>
      </w:r>
      <w:r w:rsidR="004108CF">
        <w:t xml:space="preserve"> </w:t>
      </w:r>
      <w:r w:rsidR="0056167D">
        <w:t>–</w:t>
      </w:r>
      <w:r w:rsidR="00B34D92" w:rsidRPr="0090131B">
        <w:t xml:space="preserve"> is deprived of legal meaning, </w:t>
      </w:r>
      <w:r w:rsidR="00406E17">
        <w:t>and it</w:t>
      </w:r>
      <w:r w:rsidR="00B34D92" w:rsidRPr="0090131B">
        <w:t xml:space="preserve"> is also quite telling about the true </w:t>
      </w:r>
      <w:r w:rsidR="00B34D92" w:rsidRPr="0090131B">
        <w:rPr>
          <w:i/>
        </w:rPr>
        <w:t>intentions</w:t>
      </w:r>
      <w:r w:rsidR="00B34D92" w:rsidRPr="0090131B">
        <w:t xml:space="preserve"> of the British government. Intentions correspond to one of the key legal ‘ingredients’ for </w:t>
      </w:r>
      <w:r w:rsidR="00FC423D">
        <w:t>establishing</w:t>
      </w:r>
      <w:r w:rsidR="00B34D92" w:rsidRPr="0090131B">
        <w:t xml:space="preserve"> abuse of rights and bad faith.</w:t>
      </w:r>
    </w:p>
    <w:p w14:paraId="7C6C520F" w14:textId="77777777" w:rsidR="00B34D92" w:rsidRPr="0090131B" w:rsidRDefault="00B34D92" w:rsidP="00B34D92">
      <w:pPr>
        <w:ind w:right="-52"/>
        <w:jc w:val="both"/>
      </w:pPr>
    </w:p>
    <w:p w14:paraId="6294FE69" w14:textId="6C29088F" w:rsidR="00B34D92" w:rsidRPr="0090131B" w:rsidRDefault="00B34D92" w:rsidP="00B34D92">
      <w:pPr>
        <w:ind w:right="-52"/>
        <w:jc w:val="both"/>
      </w:pPr>
      <w:r w:rsidRPr="0090131B">
        <w:t>Starting with the former aspect of the critique against the presumptive character of the policy (namely</w:t>
      </w:r>
      <w:r w:rsidR="004A5AF4">
        <w:t>,</w:t>
      </w:r>
      <w:r w:rsidRPr="0090131B">
        <w:t xml:space="preserve"> that it is legally immaterial), indeed, from a legal perspective it remains unclear what is meant by the term presumption. The very idea of a presumption of derogation is irreconcilable with the logic and exigencies of a test assessing the precise conditions that may justify a derogation. Under Article 15, no prospective derogation can be accepted, the reason being that decisions regarding the permissibility of a derogation can only be made on a case by case basis, </w:t>
      </w:r>
      <w:r w:rsidR="001B6CDC">
        <w:t xml:space="preserve">particularly </w:t>
      </w:r>
      <w:r w:rsidR="00DF2571" w:rsidRPr="0090131B">
        <w:t>considering</w:t>
      </w:r>
      <w:r w:rsidRPr="0090131B">
        <w:t xml:space="preserve"> the preconditions </w:t>
      </w:r>
      <w:r w:rsidR="00DF2571" w:rsidRPr="0090131B">
        <w:t>for a lawful</w:t>
      </w:r>
      <w:r w:rsidRPr="0090131B">
        <w:t xml:space="preserve"> derogation and</w:t>
      </w:r>
      <w:r w:rsidR="008E7D32">
        <w:t>,</w:t>
      </w:r>
      <w:r w:rsidRPr="0090131B">
        <w:t xml:space="preserve"> </w:t>
      </w:r>
      <w:r w:rsidR="00DF2571" w:rsidRPr="0090131B">
        <w:t>in particular</w:t>
      </w:r>
      <w:r w:rsidR="008E7D32">
        <w:t>,</w:t>
      </w:r>
      <w:r w:rsidRPr="0090131B">
        <w:t xml:space="preserve"> necessity. With this in mind, the idea of presumed derogations has to be rejected</w:t>
      </w:r>
      <w:r w:rsidR="002311F6">
        <w:t>,</w:t>
      </w:r>
      <w:r w:rsidRPr="0090131B">
        <w:t xml:space="preserve"> as </w:t>
      </w:r>
      <w:r w:rsidR="002311F6">
        <w:t>this</w:t>
      </w:r>
      <w:r w:rsidRPr="0090131B">
        <w:t xml:space="preserve"> turns into a ‘rule’ what is meant to be an exception – under strict conditions – from a rule. </w:t>
      </w:r>
      <w:r w:rsidR="00726CE8">
        <w:t>This is, u</w:t>
      </w:r>
      <w:r w:rsidRPr="0090131B">
        <w:t xml:space="preserve">nless one treats the term ‘presumption’ in merely political terms, </w:t>
      </w:r>
      <w:r w:rsidRPr="0090131B">
        <w:rPr>
          <w:i/>
        </w:rPr>
        <w:t>i.e.</w:t>
      </w:r>
      <w:r w:rsidRPr="0090131B">
        <w:t xml:space="preserve"> as if it is deprived of any legal significance, in which case the choice of the term is revelatory of the </w:t>
      </w:r>
      <w:r w:rsidR="008D7E8E">
        <w:t xml:space="preserve">true </w:t>
      </w:r>
      <w:r w:rsidRPr="0090131B">
        <w:t xml:space="preserve">intentions of the government. </w:t>
      </w:r>
    </w:p>
    <w:p w14:paraId="08F0F0D1" w14:textId="77777777" w:rsidR="00B34D92" w:rsidRPr="0090131B" w:rsidRDefault="00B34D92" w:rsidP="00B34D92">
      <w:pPr>
        <w:ind w:right="-52"/>
        <w:jc w:val="both"/>
      </w:pPr>
    </w:p>
    <w:p w14:paraId="1E534045" w14:textId="48A970C3" w:rsidR="00B34D92" w:rsidRPr="0090131B" w:rsidRDefault="00B34D92" w:rsidP="00B34D92">
      <w:pPr>
        <w:ind w:right="-52"/>
        <w:jc w:val="both"/>
      </w:pPr>
      <w:r w:rsidRPr="0090131B">
        <w:lastRenderedPageBreak/>
        <w:t>Moving</w:t>
      </w:r>
      <w:r w:rsidR="00ED1AD5" w:rsidRPr="0090131B">
        <w:t xml:space="preserve"> then</w:t>
      </w:r>
      <w:r w:rsidRPr="0090131B">
        <w:t xml:space="preserve"> to the second aspect, namely the intentions of the government, these have been very el</w:t>
      </w:r>
      <w:r w:rsidR="00D87E20">
        <w:t>oquently summaris</w:t>
      </w:r>
      <w:r w:rsidRPr="0090131B">
        <w:t>ed by the Ministry of Defence in the Memorandum it submitted to the Parliament:</w:t>
      </w:r>
    </w:p>
    <w:p w14:paraId="7AD54F56" w14:textId="77777777" w:rsidR="00B34D92" w:rsidRPr="0090131B" w:rsidRDefault="00B34D92" w:rsidP="00B34D92">
      <w:pPr>
        <w:pStyle w:val="ListParagraph"/>
        <w:ind w:right="658"/>
        <w:jc w:val="both"/>
        <w:rPr>
          <w:rFonts w:ascii="Times New Roman" w:hAnsi="Times New Roman" w:cs="Times New Roman"/>
        </w:rPr>
      </w:pPr>
      <w:r w:rsidRPr="0090131B">
        <w:rPr>
          <w:rFonts w:ascii="Times New Roman" w:hAnsi="Times New Roman" w:cs="Times New Roman"/>
        </w:rPr>
        <w:t>‘the sort of situation in which derogation would need to be considered is where the ECHR would or might not cover or permit the taking of a step which was considered necessary for the proper and effective conduct of a military operation.’</w:t>
      </w:r>
      <w:r w:rsidRPr="0090131B">
        <w:rPr>
          <w:rStyle w:val="FootnoteReference"/>
          <w:rFonts w:ascii="Times New Roman" w:hAnsi="Times New Roman" w:cs="Times New Roman"/>
        </w:rPr>
        <w:footnoteReference w:id="165"/>
      </w:r>
      <w:r w:rsidRPr="0090131B">
        <w:rPr>
          <w:rFonts w:ascii="Times New Roman" w:hAnsi="Times New Roman" w:cs="Times New Roman"/>
        </w:rPr>
        <w:t xml:space="preserve"> </w:t>
      </w:r>
    </w:p>
    <w:p w14:paraId="64517FE4" w14:textId="74120CA9" w:rsidR="00B34D92" w:rsidRPr="0090131B" w:rsidRDefault="00B34D92" w:rsidP="00B34D92">
      <w:pPr>
        <w:ind w:right="-52"/>
        <w:jc w:val="both"/>
      </w:pPr>
      <w:r w:rsidRPr="0090131B">
        <w:t>The study has already reproduced this passage, but the repetition is necessary here</w:t>
      </w:r>
      <w:r w:rsidR="00033AB2">
        <w:t xml:space="preserve"> as</w:t>
      </w:r>
      <w:r w:rsidRPr="0090131B">
        <w:t xml:space="preserve"> to highlight that </w:t>
      </w:r>
      <w:r w:rsidRPr="0090131B">
        <w:rPr>
          <w:i/>
        </w:rPr>
        <w:t>necessity</w:t>
      </w:r>
      <w:r w:rsidRPr="0090131B">
        <w:t xml:space="preserve"> </w:t>
      </w:r>
      <w:r w:rsidR="00284346">
        <w:t>with</w:t>
      </w:r>
      <w:r w:rsidRPr="0090131B">
        <w:t xml:space="preserve">in the quote is not associated with emergency situations calling for a derogation, as Article 15 ECHR requires, but with the needs of military operations. These two </w:t>
      </w:r>
      <w:r w:rsidR="00ED1AD5" w:rsidRPr="0090131B">
        <w:t>types</w:t>
      </w:r>
      <w:r w:rsidRPr="0090131B">
        <w:t xml:space="preserve"> of necessity, </w:t>
      </w:r>
      <w:r w:rsidRPr="0090131B">
        <w:rPr>
          <w:i/>
        </w:rPr>
        <w:t>i.e.</w:t>
      </w:r>
      <w:r w:rsidRPr="0090131B">
        <w:t xml:space="preserve"> the need to protect a nation from an emergency/threat and the need to promote effectiveness in military undertakings, may meet and even overlap when military action is a necessary means to protect a nation from a situation of the kind that is envisaged in Article 15. </w:t>
      </w:r>
      <w:r w:rsidR="000A6B0F">
        <w:t>These</w:t>
      </w:r>
      <w:r w:rsidRPr="0090131B">
        <w:t xml:space="preserve"> two </w:t>
      </w:r>
      <w:r w:rsidR="008D7E8E">
        <w:t>types</w:t>
      </w:r>
      <w:r w:rsidRPr="0090131B">
        <w:t xml:space="preserve"> of necessity do not</w:t>
      </w:r>
      <w:r w:rsidR="000A6B0F">
        <w:t>, however,</w:t>
      </w:r>
      <w:r w:rsidRPr="0090131B">
        <w:t xml:space="preserve"> always converge. The latter, </w:t>
      </w:r>
      <w:r w:rsidRPr="0090131B">
        <w:rPr>
          <w:i/>
        </w:rPr>
        <w:t>i.e.</w:t>
      </w:r>
      <w:r w:rsidRPr="0090131B">
        <w:t xml:space="preserve"> necessity associated with the effectiveness of military operations, is broader and concerns each and every type of military operation overseas. The policy is </w:t>
      </w:r>
      <w:r w:rsidR="00B82603">
        <w:t xml:space="preserve">thus </w:t>
      </w:r>
      <w:r w:rsidRPr="0090131B">
        <w:t xml:space="preserve">only incidentally covering </w:t>
      </w:r>
      <w:r w:rsidR="008D7E8E">
        <w:t>permissible</w:t>
      </w:r>
      <w:r w:rsidRPr="0090131B">
        <w:t xml:space="preserve"> derogations in </w:t>
      </w:r>
      <w:r w:rsidR="008D7E8E">
        <w:t>conformity</w:t>
      </w:r>
      <w:r w:rsidRPr="0090131B">
        <w:t xml:space="preserve"> with and for the purposes of Article 15. Ultimately, the presumption may be seen as aiming at granting a free hand to the UK government and army to operate overseas without scrutiny by the ECtHR. The head of the Parliamentary Committee has characteri</w:t>
      </w:r>
      <w:r w:rsidR="00ED1AD5" w:rsidRPr="0090131B">
        <w:t>s</w:t>
      </w:r>
      <w:r w:rsidRPr="0090131B">
        <w:t>ed this as ‘immunity from certain legal claims’,</w:t>
      </w:r>
      <w:r w:rsidRPr="0090131B">
        <w:rPr>
          <w:rStyle w:val="FootnoteReference"/>
        </w:rPr>
        <w:footnoteReference w:id="166"/>
      </w:r>
      <w:r w:rsidRPr="0090131B">
        <w:t xml:space="preserve"> but this study would go one step further to employ the term ‘impunity’</w:t>
      </w:r>
      <w:r w:rsidR="00D87E20">
        <w:t>;</w:t>
      </w:r>
      <w:r w:rsidRPr="0090131B">
        <w:rPr>
          <w:rStyle w:val="FootnoteReference"/>
        </w:rPr>
        <w:footnoteReference w:id="167"/>
      </w:r>
      <w:r w:rsidRPr="0090131B">
        <w:t xml:space="preserve"> </w:t>
      </w:r>
      <w:r w:rsidR="00284346">
        <w:t>f</w:t>
      </w:r>
      <w:r w:rsidRPr="0090131B">
        <w:t xml:space="preserve">or, this is what the UK government appears to be truly seeking. Outside of the goals pursued with the policy (as these have been discussed </w:t>
      </w:r>
      <w:r w:rsidR="002E621E">
        <w:t>earlier in</w:t>
      </w:r>
      <w:r w:rsidRPr="0090131B">
        <w:t xml:space="preserve"> the study), the UK is requesting a </w:t>
      </w:r>
      <w:r w:rsidRPr="0090131B">
        <w:rPr>
          <w:i/>
        </w:rPr>
        <w:t>carte blanche</w:t>
      </w:r>
      <w:r w:rsidRPr="0090131B">
        <w:t xml:space="preserve"> to operate overseas in quest of optimal military outputs without the accountability of the ECHR system. </w:t>
      </w:r>
    </w:p>
    <w:p w14:paraId="25A42C2A" w14:textId="77777777" w:rsidR="00B34D92" w:rsidRPr="0090131B" w:rsidRDefault="00B34D92" w:rsidP="00B34D92">
      <w:pPr>
        <w:ind w:right="-52"/>
        <w:jc w:val="both"/>
      </w:pPr>
    </w:p>
    <w:p w14:paraId="7F898ECF" w14:textId="01731D6B" w:rsidR="000B031C" w:rsidRPr="006E0B80" w:rsidRDefault="00B34D92">
      <w:pPr>
        <w:ind w:right="-52"/>
        <w:jc w:val="both"/>
        <w:rPr>
          <w:b/>
        </w:rPr>
      </w:pPr>
      <w:r w:rsidRPr="0090131B">
        <w:t xml:space="preserve">To the extent that this hypothesis/reading of the inner causes of the UK policy may be correct, one cannot but conclude that these </w:t>
      </w:r>
      <w:r w:rsidR="00002790" w:rsidRPr="0090131B">
        <w:t>goals</w:t>
      </w:r>
      <w:r w:rsidRPr="0090131B">
        <w:t xml:space="preserve"> are not aligned with the object and purpose of Article 15 (as these are also reflected in its text). </w:t>
      </w:r>
      <w:r w:rsidR="00DC4051">
        <w:t>Alternatively</w:t>
      </w:r>
      <w:r w:rsidR="002A5F5F">
        <w:t xml:space="preserve">, to use ECtHR’s terminology, the </w:t>
      </w:r>
      <w:r w:rsidR="00415A0D">
        <w:t>policy</w:t>
      </w:r>
      <w:r w:rsidR="002A5F5F">
        <w:t xml:space="preserve"> pursues ulterior purposes</w:t>
      </w:r>
      <w:r w:rsidR="0088164A">
        <w:t xml:space="preserve"> and a </w:t>
      </w:r>
      <w:r w:rsidR="004E37BB">
        <w:t>“hidden agenda”</w:t>
      </w:r>
      <w:r w:rsidR="002A5F5F">
        <w:t xml:space="preserve">. </w:t>
      </w:r>
      <w:r w:rsidR="005C1D30" w:rsidRPr="0090131B">
        <w:t>That being explained, t</w:t>
      </w:r>
      <w:r w:rsidR="00AE1DB9" w:rsidRPr="0090131B">
        <w:t xml:space="preserve">he main questions that need to be </w:t>
      </w:r>
      <w:r w:rsidR="00D751EA" w:rsidRPr="0090131B">
        <w:t xml:space="preserve">(further) </w:t>
      </w:r>
      <w:r w:rsidR="00AE1DB9" w:rsidRPr="0090131B">
        <w:t>explored are, first, wheth</w:t>
      </w:r>
      <w:r w:rsidR="00393017" w:rsidRPr="0090131B">
        <w:t>er</w:t>
      </w:r>
      <w:r w:rsidR="00AE1DB9" w:rsidRPr="0090131B">
        <w:t xml:space="preserve"> a derogation under said policy can ever be lawful and, second,</w:t>
      </w:r>
      <w:r w:rsidR="0090131B" w:rsidRPr="0090131B">
        <w:t xml:space="preserve"> </w:t>
      </w:r>
      <w:r w:rsidR="0003418A">
        <w:t>if</w:t>
      </w:r>
      <w:r w:rsidR="0090131B" w:rsidRPr="0090131B">
        <w:t xml:space="preserve"> </w:t>
      </w:r>
      <w:r w:rsidR="0003418A" w:rsidRPr="001D46E5">
        <w:t xml:space="preserve"> –</w:t>
      </w:r>
      <w:r w:rsidR="0003418A">
        <w:t xml:space="preserve"> </w:t>
      </w:r>
      <w:r w:rsidR="0090131B" w:rsidRPr="0090131B">
        <w:t xml:space="preserve">given that the policy </w:t>
      </w:r>
      <w:r w:rsidR="0003418A">
        <w:t xml:space="preserve">arguably </w:t>
      </w:r>
      <w:r w:rsidR="0090131B" w:rsidRPr="0090131B">
        <w:t xml:space="preserve">pursues ulterior aims that are not prescribed by the ECHR </w:t>
      </w:r>
      <w:r w:rsidR="0003418A" w:rsidRPr="001D46E5">
        <w:t xml:space="preserve"> – </w:t>
      </w:r>
      <w:r w:rsidR="0003418A">
        <w:t xml:space="preserve">the UK risks </w:t>
      </w:r>
      <w:r w:rsidR="00506D69">
        <w:t xml:space="preserve">being found in breach of Articles 17 </w:t>
      </w:r>
      <w:r w:rsidR="00506D69" w:rsidRPr="00506D69">
        <w:t xml:space="preserve">and </w:t>
      </w:r>
      <w:r w:rsidR="00506D69" w:rsidRPr="006E0B80">
        <w:t xml:space="preserve">primarily (given recent evolution and the </w:t>
      </w:r>
      <w:r w:rsidR="00506D69" w:rsidRPr="006E0B80">
        <w:rPr>
          <w:i/>
        </w:rPr>
        <w:t>Merabishvili</w:t>
      </w:r>
      <w:r w:rsidR="00506D69" w:rsidRPr="006E0B80">
        <w:t xml:space="preserve"> test) 18</w:t>
      </w:r>
      <w:r w:rsidR="00506D69">
        <w:t xml:space="preserve"> ECHR. </w:t>
      </w:r>
      <w:r w:rsidR="003E4788">
        <w:t>Moreover, b</w:t>
      </w:r>
      <w:r w:rsidR="00F91BC2">
        <w:t xml:space="preserve">efore concluding, the study </w:t>
      </w:r>
      <w:r w:rsidR="001E6262">
        <w:t xml:space="preserve">also </w:t>
      </w:r>
      <w:r w:rsidR="00F91BC2">
        <w:t xml:space="preserve">briefly addresses a third question, namely whether a self-inflicted </w:t>
      </w:r>
      <w:r w:rsidR="00F36898" w:rsidRPr="0090131B">
        <w:t>emergency</w:t>
      </w:r>
      <w:r w:rsidR="00F36898">
        <w:t xml:space="preserve"> may</w:t>
      </w:r>
      <w:r w:rsidR="00F36898" w:rsidRPr="0090131B">
        <w:t xml:space="preserve"> </w:t>
      </w:r>
      <w:r w:rsidR="00F36898">
        <w:t xml:space="preserve">lawfully </w:t>
      </w:r>
      <w:r w:rsidR="00F36898" w:rsidRPr="0090131B">
        <w:t>justify derogating from human rights</w:t>
      </w:r>
      <w:r w:rsidR="00F36898">
        <w:t>, and if this can amount to abuse of rights.</w:t>
      </w:r>
      <w:r w:rsidR="00F91BC2">
        <w:t xml:space="preserve"> </w:t>
      </w:r>
      <w:r w:rsidR="0090131B" w:rsidRPr="0090131B">
        <w:t xml:space="preserve"> </w:t>
      </w:r>
      <w:r w:rsidR="00AE1DB9" w:rsidRPr="0090131B">
        <w:t xml:space="preserve"> </w:t>
      </w:r>
    </w:p>
    <w:p w14:paraId="5BC65744" w14:textId="53ECB6CA" w:rsidR="0088307F" w:rsidRPr="006E0B80" w:rsidRDefault="0088307F" w:rsidP="006E0B80">
      <w:pPr>
        <w:ind w:right="-52"/>
        <w:jc w:val="both"/>
        <w:rPr>
          <w:b/>
        </w:rPr>
      </w:pPr>
    </w:p>
    <w:p w14:paraId="3567A4C6" w14:textId="40E54675" w:rsidR="00400522" w:rsidRDefault="003E4788" w:rsidP="00400522">
      <w:pPr>
        <w:jc w:val="both"/>
      </w:pPr>
      <w:r>
        <w:t>Starting with the first issue, a</w:t>
      </w:r>
      <w:r w:rsidR="00485E12" w:rsidRPr="0090131B">
        <w:t>n</w:t>
      </w:r>
      <w:r w:rsidR="0088307F" w:rsidRPr="0090131B">
        <w:t xml:space="preserve"> answer to </w:t>
      </w:r>
      <w:r>
        <w:t>this</w:t>
      </w:r>
      <w:r w:rsidR="0088307F" w:rsidRPr="0090131B">
        <w:t xml:space="preserve"> question has already been </w:t>
      </w:r>
      <w:r w:rsidR="0050644E" w:rsidRPr="0090131B">
        <w:t>foreshadowed</w:t>
      </w:r>
      <w:r w:rsidR="00465B2B" w:rsidRPr="0090131B">
        <w:t xml:space="preserve"> </w:t>
      </w:r>
      <w:r w:rsidR="00E310D0" w:rsidRPr="0090131B">
        <w:t xml:space="preserve">in this </w:t>
      </w:r>
      <w:r w:rsidR="00644251" w:rsidRPr="0090131B">
        <w:t>study</w:t>
      </w:r>
      <w:r w:rsidR="00485E12" w:rsidRPr="0090131B">
        <w:t xml:space="preserve"> when it was </w:t>
      </w:r>
      <w:r w:rsidR="00BD607F" w:rsidRPr="0090131B">
        <w:t xml:space="preserve">earlier </w:t>
      </w:r>
      <w:r w:rsidR="00485E12" w:rsidRPr="0090131B">
        <w:t xml:space="preserve">observed that the aims intended by </w:t>
      </w:r>
      <w:r w:rsidR="005C67BD" w:rsidRPr="0090131B">
        <w:t xml:space="preserve">the </w:t>
      </w:r>
      <w:r w:rsidR="00485E12" w:rsidRPr="0090131B">
        <w:t xml:space="preserve">UK’s policy may converge with </w:t>
      </w:r>
      <w:r w:rsidR="00603AD9" w:rsidRPr="0090131B">
        <w:t>the</w:t>
      </w:r>
      <w:r w:rsidR="00485E12" w:rsidRPr="0090131B">
        <w:t xml:space="preserve"> permissible ground</w:t>
      </w:r>
      <w:r w:rsidR="00603AD9" w:rsidRPr="0090131B">
        <w:t>s</w:t>
      </w:r>
      <w:r w:rsidR="00485E12" w:rsidRPr="0090131B">
        <w:t xml:space="preserve"> for derogation from the Convention under Article 15</w:t>
      </w:r>
      <w:r w:rsidR="000206C8" w:rsidRPr="0090131B">
        <w:t>. For instance, this may be the case</w:t>
      </w:r>
      <w:r w:rsidR="00485E12" w:rsidRPr="0090131B">
        <w:t xml:space="preserve"> if the necessity to maximise the effectiveness of military operations</w:t>
      </w:r>
      <w:r w:rsidR="00B44862" w:rsidRPr="0090131B">
        <w:t xml:space="preserve"> (which is on</w:t>
      </w:r>
      <w:r w:rsidR="00AB4525" w:rsidRPr="0090131B">
        <w:t>e</w:t>
      </w:r>
      <w:r w:rsidR="00B44862" w:rsidRPr="0090131B">
        <w:t xml:space="preserve"> of the main goals pursued through the </w:t>
      </w:r>
      <w:r w:rsidR="00AC5B6B">
        <w:t xml:space="preserve">derogation(s) </w:t>
      </w:r>
      <w:r w:rsidR="00B44862" w:rsidRPr="0090131B">
        <w:t xml:space="preserve">policy) is a </w:t>
      </w:r>
      <w:r w:rsidR="00E31950">
        <w:lastRenderedPageBreak/>
        <w:t xml:space="preserve">necessary </w:t>
      </w:r>
      <w:r w:rsidR="00B44862" w:rsidRPr="0090131B">
        <w:t>means of reaction against</w:t>
      </w:r>
      <w:r w:rsidR="00E31950">
        <w:t xml:space="preserve"> or protection from</w:t>
      </w:r>
      <w:r w:rsidR="00B44862" w:rsidRPr="0090131B">
        <w:t xml:space="preserve"> a situation of emergency threatening </w:t>
      </w:r>
      <w:r w:rsidR="001B435B" w:rsidRPr="0090131B">
        <w:t>the life of the nation</w:t>
      </w:r>
      <w:r w:rsidR="00007FD5" w:rsidRPr="0090131B">
        <w:t xml:space="preserve"> (which is a </w:t>
      </w:r>
      <w:r w:rsidR="00DC0A73" w:rsidRPr="0090131B">
        <w:t>prerequisite</w:t>
      </w:r>
      <w:r w:rsidR="00007FD5" w:rsidRPr="0090131B">
        <w:t xml:space="preserve"> for lawfully derogat</w:t>
      </w:r>
      <w:r w:rsidR="007365F5" w:rsidRPr="0090131B">
        <w:t>ing from the Convention)</w:t>
      </w:r>
      <w:r w:rsidR="001B435B" w:rsidRPr="0090131B">
        <w:t>.</w:t>
      </w:r>
      <w:r w:rsidR="00CD0C11" w:rsidRPr="0090131B">
        <w:t xml:space="preserve"> </w:t>
      </w:r>
      <w:r w:rsidR="00AE2319" w:rsidRPr="0090131B">
        <w:t xml:space="preserve">More generally, the </w:t>
      </w:r>
      <w:r w:rsidR="00CD0C11" w:rsidRPr="0090131B">
        <w:t xml:space="preserve">Court will need to examine if the conditions set by </w:t>
      </w:r>
      <w:r w:rsidR="007365F5" w:rsidRPr="0090131B">
        <w:t>Article</w:t>
      </w:r>
      <w:r w:rsidR="00544E2B" w:rsidRPr="0090131B">
        <w:t xml:space="preserve"> 15</w:t>
      </w:r>
      <w:r w:rsidR="00CD0C11" w:rsidRPr="0090131B">
        <w:t xml:space="preserve"> are</w:t>
      </w:r>
      <w:r w:rsidR="007414F1" w:rsidRPr="0090131B">
        <w:t xml:space="preserve"> </w:t>
      </w:r>
      <w:r w:rsidR="00CD0C11" w:rsidRPr="0090131B">
        <w:t>met.</w:t>
      </w:r>
      <w:r w:rsidR="00460C94" w:rsidRPr="0090131B">
        <w:rPr>
          <w:rStyle w:val="FootnoteReference"/>
        </w:rPr>
        <w:footnoteReference w:id="168"/>
      </w:r>
      <w:r w:rsidR="00CD0C11" w:rsidRPr="0090131B">
        <w:t xml:space="preserve"> I</w:t>
      </w:r>
      <w:r w:rsidR="00284346">
        <w:t>f</w:t>
      </w:r>
      <w:r w:rsidR="00CD0C11" w:rsidRPr="0090131B">
        <w:t xml:space="preserve"> </w:t>
      </w:r>
      <w:r w:rsidR="00193D5A">
        <w:t xml:space="preserve">it answers in </w:t>
      </w:r>
      <w:r w:rsidR="00CD0C11" w:rsidRPr="0090131B">
        <w:t>the affirmative</w:t>
      </w:r>
      <w:r w:rsidR="00517E85" w:rsidRPr="0090131B">
        <w:t>,</w:t>
      </w:r>
      <w:r w:rsidR="00CD0C11" w:rsidRPr="0090131B">
        <w:t xml:space="preserve"> it will need to permit the requested derogation</w:t>
      </w:r>
      <w:r w:rsidR="00B30BC0">
        <w:t>(</w:t>
      </w:r>
      <w:r w:rsidR="00CD0C11" w:rsidRPr="0090131B">
        <w:t>s</w:t>
      </w:r>
      <w:r w:rsidR="00B30BC0">
        <w:t>)</w:t>
      </w:r>
      <w:r w:rsidR="00CD0C11" w:rsidRPr="0090131B">
        <w:t xml:space="preserve"> to the extent that </w:t>
      </w:r>
      <w:r w:rsidR="00B30BC0">
        <w:t>the same</w:t>
      </w:r>
      <w:r w:rsidR="002F118B">
        <w:t xml:space="preserve"> are</w:t>
      </w:r>
      <w:r w:rsidR="00CD0C11" w:rsidRPr="0090131B">
        <w:t xml:space="preserve"> justified by the special circumstances of each case.</w:t>
      </w:r>
      <w:r w:rsidR="003113AB" w:rsidRPr="0090131B">
        <w:rPr>
          <w:rStyle w:val="FootnoteReference"/>
        </w:rPr>
        <w:footnoteReference w:id="169"/>
      </w:r>
      <w:r w:rsidR="003113AB" w:rsidRPr="0090131B">
        <w:t xml:space="preserve"> </w:t>
      </w:r>
      <w:r w:rsidR="00D65807" w:rsidRPr="0090131B">
        <w:t xml:space="preserve">If, outside </w:t>
      </w:r>
      <w:r w:rsidR="00AE3025">
        <w:t xml:space="preserve">of </w:t>
      </w:r>
      <w:r w:rsidR="00D65807" w:rsidRPr="0090131B">
        <w:t>the</w:t>
      </w:r>
      <w:r w:rsidR="00E31950">
        <w:t xml:space="preserve"> ulterior purposes and the</w:t>
      </w:r>
      <w:r w:rsidR="00D65807" w:rsidRPr="0090131B">
        <w:t xml:space="preserve"> drivers behind </w:t>
      </w:r>
      <w:r w:rsidR="005C67BD" w:rsidRPr="0090131B">
        <w:t xml:space="preserve">the </w:t>
      </w:r>
      <w:r w:rsidR="00D65807" w:rsidRPr="0090131B">
        <w:t>UK’s</w:t>
      </w:r>
      <w:r w:rsidR="006D1C88" w:rsidRPr="0090131B">
        <w:t xml:space="preserve"> policy</w:t>
      </w:r>
      <w:r w:rsidR="00E973AF" w:rsidRPr="0090131B">
        <w:t xml:space="preserve"> discussed earlier</w:t>
      </w:r>
      <w:r w:rsidR="00D65807" w:rsidRPr="0090131B">
        <w:t xml:space="preserve">, other genuine reasons apply that can duly and legitimately justify a derogation in </w:t>
      </w:r>
      <w:r w:rsidR="00E973AF" w:rsidRPr="0090131B">
        <w:t>conformity</w:t>
      </w:r>
      <w:r w:rsidR="00D65807" w:rsidRPr="0090131B">
        <w:t xml:space="preserve"> with Article 15 ECHR, such a derogation should be allowed. </w:t>
      </w:r>
      <w:r w:rsidR="006B611A" w:rsidRPr="0090131B">
        <w:t xml:space="preserve">This means that there is nothing to exclude that </w:t>
      </w:r>
      <w:r w:rsidR="00147E7A" w:rsidRPr="0090131B">
        <w:t xml:space="preserve">in the future </w:t>
      </w:r>
      <w:r w:rsidR="006B611A" w:rsidRPr="0090131B">
        <w:t xml:space="preserve">the UK might lawfully derogate from the ECHR in a situation of military operations overseas. </w:t>
      </w:r>
      <w:r w:rsidR="00A76FB6" w:rsidRPr="0090131B">
        <w:t xml:space="preserve">In </w:t>
      </w:r>
      <w:r w:rsidR="009B1A19">
        <w:t>such a</w:t>
      </w:r>
      <w:r w:rsidR="00A76FB6" w:rsidRPr="0090131B">
        <w:t xml:space="preserve"> case</w:t>
      </w:r>
      <w:r w:rsidR="005A48A7" w:rsidRPr="0090131B">
        <w:t xml:space="preserve"> </w:t>
      </w:r>
      <w:r w:rsidR="008E40EC" w:rsidRPr="0090131B">
        <w:t xml:space="preserve">– </w:t>
      </w:r>
      <w:r w:rsidR="005A48A7" w:rsidRPr="0090131B">
        <w:t xml:space="preserve">and for the </w:t>
      </w:r>
      <w:r w:rsidR="00AE2319" w:rsidRPr="0090131B">
        <w:t xml:space="preserve">particular </w:t>
      </w:r>
      <w:r w:rsidR="0028715C" w:rsidRPr="0090131B">
        <w:t>conditions</w:t>
      </w:r>
      <w:r w:rsidR="005A48A7" w:rsidRPr="0090131B">
        <w:t xml:space="preserve"> falling within the confines of that </w:t>
      </w:r>
      <w:r w:rsidR="00AE2319" w:rsidRPr="0090131B">
        <w:t xml:space="preserve">specific </w:t>
      </w:r>
      <w:r w:rsidR="005A48A7" w:rsidRPr="0090131B">
        <w:t>case</w:t>
      </w:r>
      <w:r w:rsidR="008E40EC" w:rsidRPr="0090131B">
        <w:t xml:space="preserve"> –</w:t>
      </w:r>
      <w:r w:rsidR="005A48A7" w:rsidRPr="0090131B">
        <w:t>,</w:t>
      </w:r>
      <w:r w:rsidR="00F02682" w:rsidRPr="0090131B">
        <w:t xml:space="preserve"> the Court will</w:t>
      </w:r>
      <w:r w:rsidR="005A48A7" w:rsidRPr="0090131B">
        <w:t xml:space="preserve"> have to </w:t>
      </w:r>
      <w:r w:rsidR="00243AFF" w:rsidRPr="0090131B">
        <w:t>declare</w:t>
      </w:r>
      <w:r w:rsidR="005A48A7" w:rsidRPr="0090131B">
        <w:t xml:space="preserve"> the derogation</w:t>
      </w:r>
      <w:r w:rsidR="00243AFF" w:rsidRPr="0090131B">
        <w:t xml:space="preserve"> lawful</w:t>
      </w:r>
      <w:r w:rsidR="0062474C" w:rsidRPr="0090131B">
        <w:t>.</w:t>
      </w:r>
      <w:r w:rsidR="005A48A7" w:rsidRPr="0090131B">
        <w:t xml:space="preserve"> </w:t>
      </w:r>
    </w:p>
    <w:p w14:paraId="17A90DEC" w14:textId="54A56081" w:rsidR="00400522" w:rsidRDefault="00400522" w:rsidP="00400522">
      <w:pPr>
        <w:jc w:val="both"/>
      </w:pPr>
    </w:p>
    <w:p w14:paraId="1313E5AC" w14:textId="16BC6196" w:rsidR="00E414A6" w:rsidRDefault="00B52920">
      <w:pPr>
        <w:jc w:val="both"/>
      </w:pPr>
      <w:r>
        <w:t>As to the second question, this has in essence be</w:t>
      </w:r>
      <w:r w:rsidR="00AC5B6B">
        <w:t>en</w:t>
      </w:r>
      <w:r>
        <w:t xml:space="preserve"> answered in the previous Part of the study, especially in the section discussing the scenarios that </w:t>
      </w:r>
      <w:r w:rsidR="003C7867">
        <w:t xml:space="preserve">result from the combination of Article’s 18 autonomy and lack of independence. Abuse (or misuse, since this seems to be the Court’s preferable term when referring to Article 18) of rights will need to </w:t>
      </w:r>
      <w:r w:rsidR="008B7CC5">
        <w:t xml:space="preserve">be </w:t>
      </w:r>
      <w:r w:rsidR="003C7867">
        <w:t xml:space="preserve">invoked in conjunction with Article 15 ECHR or </w:t>
      </w:r>
      <w:r w:rsidR="00CA43D1">
        <w:t xml:space="preserve">with another qualified right </w:t>
      </w:r>
      <w:r w:rsidR="00B136C2">
        <w:t xml:space="preserve">that is restricted because of a derogation. </w:t>
      </w:r>
      <w:r w:rsidR="008B7CC5">
        <w:t>Arguably, to a great extent t</w:t>
      </w:r>
      <w:r w:rsidR="00B136C2">
        <w:t xml:space="preserve">he intentions and </w:t>
      </w:r>
      <w:r w:rsidR="003D12AC">
        <w:t xml:space="preserve">the </w:t>
      </w:r>
      <w:r w:rsidR="00B136C2">
        <w:t>goals of the British government</w:t>
      </w:r>
      <w:r w:rsidR="004A1DC9">
        <w:t xml:space="preserve">’s derogation(s) policy </w:t>
      </w:r>
      <w:r w:rsidR="004A1DC9" w:rsidRPr="0090131B">
        <w:t>– a</w:t>
      </w:r>
      <w:r w:rsidR="004A1DC9">
        <w:t xml:space="preserve">s these have </w:t>
      </w:r>
      <w:r w:rsidR="00156BB6">
        <w:t>been refined earlier</w:t>
      </w:r>
      <w:r w:rsidR="004A1DC9" w:rsidRPr="0090131B">
        <w:t xml:space="preserve"> </w:t>
      </w:r>
      <w:r w:rsidR="00156BB6">
        <w:t>in the study</w:t>
      </w:r>
      <w:r w:rsidR="008B7CC5">
        <w:t xml:space="preserve"> </w:t>
      </w:r>
      <w:r w:rsidR="004A1DC9" w:rsidRPr="0090131B">
        <w:t>–</w:t>
      </w:r>
      <w:r w:rsidR="004A1DC9">
        <w:t xml:space="preserve"> </w:t>
      </w:r>
      <w:r w:rsidR="00847686">
        <w:t>are</w:t>
      </w:r>
      <w:r w:rsidR="006A2E99">
        <w:t xml:space="preserve"> not prescribed by the ECHR</w:t>
      </w:r>
      <w:r w:rsidR="00191901">
        <w:t>;</w:t>
      </w:r>
      <w:r w:rsidR="004578CC">
        <w:t xml:space="preserve"> thus</w:t>
      </w:r>
      <w:r w:rsidR="00191901">
        <w:t>,</w:t>
      </w:r>
      <w:r w:rsidR="004578CC">
        <w:t xml:space="preserve"> they differ from the reasons that may lawfully justify a restriction of Convention rights. </w:t>
      </w:r>
      <w:r w:rsidR="005D5721">
        <w:t xml:space="preserve">This means that if they are the sole </w:t>
      </w:r>
      <w:r w:rsidR="00E26D73">
        <w:t xml:space="preserve">(set of) </w:t>
      </w:r>
      <w:r w:rsidR="005D5721">
        <w:t>purpose</w:t>
      </w:r>
      <w:r w:rsidR="00E26D73">
        <w:t>(s) behind a future British derogation</w:t>
      </w:r>
      <w:r w:rsidR="005D5721">
        <w:t xml:space="preserve">, </w:t>
      </w:r>
      <w:r w:rsidR="009E19E7">
        <w:t>the Court should find a breach of both Article 18 and the ECHR provision in conjunction with which this has been invoked (Article 15).</w:t>
      </w:r>
      <w:r w:rsidR="001F29B7">
        <w:rPr>
          <w:rStyle w:val="FootnoteReference"/>
        </w:rPr>
        <w:footnoteReference w:id="170"/>
      </w:r>
      <w:r w:rsidR="009E19E7">
        <w:t xml:space="preserve"> </w:t>
      </w:r>
      <w:r w:rsidR="007B441E">
        <w:t>To that end, the ECtHR will be expected to consider if t</w:t>
      </w:r>
      <w:r w:rsidR="007B441E" w:rsidRPr="001D46E5">
        <w:t>h</w:t>
      </w:r>
      <w:r w:rsidR="007B441E">
        <w:t xml:space="preserve">e fact that </w:t>
      </w:r>
      <w:r w:rsidR="007B441E" w:rsidRPr="001D46E5">
        <w:t>a restriction has been applied for a purpose</w:t>
      </w:r>
      <w:r w:rsidR="007B441E" w:rsidRPr="0090131B">
        <w:t xml:space="preserve"> that is</w:t>
      </w:r>
      <w:r w:rsidR="007B441E" w:rsidRPr="001D46E5">
        <w:t xml:space="preserve"> not prescribed by the Convention </w:t>
      </w:r>
      <w:r w:rsidR="007B441E">
        <w:t xml:space="preserve">is </w:t>
      </w:r>
      <w:r w:rsidR="007B441E" w:rsidRPr="001D46E5">
        <w:t>a fundamental aspect of the case</w:t>
      </w:r>
      <w:r w:rsidR="005A0861">
        <w:t xml:space="preserve"> and if the restriction pursues an ulterior purpose -which is a question </w:t>
      </w:r>
      <w:r w:rsidR="008B7CC5">
        <w:t xml:space="preserve">largely </w:t>
      </w:r>
      <w:r w:rsidR="005A0861">
        <w:t xml:space="preserve">answered in the affirmative in this study for the reasons given earlier. </w:t>
      </w:r>
      <w:r w:rsidR="00E746E2">
        <w:t>Most</w:t>
      </w:r>
      <w:r w:rsidR="00F03F5C">
        <w:t xml:space="preserve"> probably</w:t>
      </w:r>
      <w:r w:rsidR="00E746E2">
        <w:t>,</w:t>
      </w:r>
      <w:r w:rsidR="005A0861">
        <w:t xml:space="preserve"> the Court will</w:t>
      </w:r>
      <w:r w:rsidR="00E746E2">
        <w:t>, however,</w:t>
      </w:r>
      <w:r w:rsidR="00F03F5C">
        <w:t xml:space="preserve"> </w:t>
      </w:r>
      <w:r w:rsidR="004578CC">
        <w:t xml:space="preserve">be dealing with a situation </w:t>
      </w:r>
      <w:r w:rsidR="00F83AB0">
        <w:t>involving a</w:t>
      </w:r>
      <w:r w:rsidR="004578CC">
        <w:t xml:space="preserve"> plurality of purposes</w:t>
      </w:r>
      <w:r w:rsidR="00F03F5C">
        <w:t xml:space="preserve"> </w:t>
      </w:r>
      <w:r w:rsidR="00E26D73">
        <w:t>allegedly</w:t>
      </w:r>
      <w:r w:rsidR="00F03F5C">
        <w:t xml:space="preserve"> justify</w:t>
      </w:r>
      <w:r w:rsidR="00E26D73">
        <w:t>ing</w:t>
      </w:r>
      <w:r w:rsidR="00F03F5C">
        <w:t xml:space="preserve"> a </w:t>
      </w:r>
      <w:r w:rsidR="00E26D73">
        <w:t>derogatio</w:t>
      </w:r>
      <w:r w:rsidR="00BD4C8D">
        <w:t>n</w:t>
      </w:r>
      <w:r w:rsidR="00F03F5C">
        <w:t xml:space="preserve"> under Article 15</w:t>
      </w:r>
      <w:r w:rsidR="00DE1496">
        <w:t xml:space="preserve">. As already explained, some of these purposes may be genuine and legitimate, possibly (if the other requirements of Article 15 have been satisfied) leading to a lawful derogation. </w:t>
      </w:r>
      <w:r w:rsidR="00AC7CD4">
        <w:t>Another scenario is that,</w:t>
      </w:r>
      <w:r w:rsidR="00DE1496">
        <w:t xml:space="preserve"> otherwise </w:t>
      </w:r>
      <w:r w:rsidR="00E26D73">
        <w:t>l</w:t>
      </w:r>
      <w:r w:rsidR="00DE1496">
        <w:t>egitimate purposes</w:t>
      </w:r>
      <w:r w:rsidR="00AC7CD4">
        <w:t>,</w:t>
      </w:r>
      <w:r w:rsidR="00DE1496">
        <w:t xml:space="preserve"> may fail to translate into a lawful derogation because of failing to meet other Article 15 requirements. </w:t>
      </w:r>
      <w:r w:rsidR="004414EC">
        <w:t>In both cases (i.e.</w:t>
      </w:r>
      <w:r w:rsidR="00AC7CD4">
        <w:t xml:space="preserve"> both if a derogation is found to be lawful </w:t>
      </w:r>
      <w:r w:rsidR="00AC7CD4" w:rsidRPr="0090131B">
        <w:t>–</w:t>
      </w:r>
      <w:r w:rsidR="00AC7CD4">
        <w:t xml:space="preserve"> in which case the Court shall establish no breach of Article 15 </w:t>
      </w:r>
      <w:r w:rsidR="00AC7CD4" w:rsidRPr="0090131B">
        <w:t>–</w:t>
      </w:r>
      <w:r w:rsidR="00AC7CD4">
        <w:t xml:space="preserve"> </w:t>
      </w:r>
      <w:r w:rsidR="00E139FD">
        <w:t>and if it is unlawful</w:t>
      </w:r>
      <w:r w:rsidR="00AC7CD4">
        <w:t>)</w:t>
      </w:r>
      <w:r w:rsidR="00F83AB0">
        <w:t>,</w:t>
      </w:r>
      <w:r w:rsidR="004414EC">
        <w:t xml:space="preserve"> </w:t>
      </w:r>
      <w:r w:rsidR="00E139FD">
        <w:t xml:space="preserve">the Court will </w:t>
      </w:r>
      <w:r w:rsidR="001B118B">
        <w:t xml:space="preserve">also </w:t>
      </w:r>
      <w:r w:rsidR="00E139FD">
        <w:t>need to investigate</w:t>
      </w:r>
      <w:r w:rsidR="004578CC">
        <w:t xml:space="preserve"> if </w:t>
      </w:r>
      <w:r w:rsidR="00E139FD">
        <w:t>other</w:t>
      </w:r>
      <w:r w:rsidR="004578CC">
        <w:t xml:space="preserve"> </w:t>
      </w:r>
      <w:r w:rsidR="005554CD">
        <w:t>(ulterior) purposes exist</w:t>
      </w:r>
      <w:r w:rsidR="00E139FD">
        <w:t xml:space="preserve"> as well</w:t>
      </w:r>
      <w:r w:rsidR="005554CD">
        <w:t>,</w:t>
      </w:r>
      <w:r w:rsidR="00E139FD">
        <w:t xml:space="preserve"> that is</w:t>
      </w:r>
      <w:r w:rsidR="00BD4C8D">
        <w:t>,</w:t>
      </w:r>
      <w:r w:rsidR="00E139FD">
        <w:t xml:space="preserve"> if a plurality of purposes co-exist.</w:t>
      </w:r>
      <w:r w:rsidR="00CB495A">
        <w:t xml:space="preserve"> </w:t>
      </w:r>
      <w:r w:rsidR="002E3318">
        <w:t>Following this</w:t>
      </w:r>
      <w:r w:rsidR="00CB495A">
        <w:t>,</w:t>
      </w:r>
      <w:r w:rsidR="005554CD">
        <w:t xml:space="preserve"> in accordance with its </w:t>
      </w:r>
      <w:r w:rsidR="005554CD" w:rsidRPr="001D46E5">
        <w:rPr>
          <w:i/>
        </w:rPr>
        <w:t>Merabishvili</w:t>
      </w:r>
      <w:r w:rsidR="005554CD" w:rsidRPr="001D46E5">
        <w:t xml:space="preserve"> test</w:t>
      </w:r>
      <w:r w:rsidR="00CB495A">
        <w:t>, the ECtHR shall</w:t>
      </w:r>
      <w:r w:rsidR="005554CD">
        <w:t xml:space="preserve"> </w:t>
      </w:r>
      <w:r w:rsidR="00CB495A">
        <w:t xml:space="preserve">explore </w:t>
      </w:r>
      <w:r w:rsidR="005554CD">
        <w:t xml:space="preserve">if the ulterior purpose is the predominant one. </w:t>
      </w:r>
      <w:r w:rsidR="00BD4C8D">
        <w:t>Evidently</w:t>
      </w:r>
      <w:r w:rsidR="009B5D64">
        <w:t>, this is a matter of proof</w:t>
      </w:r>
      <w:r w:rsidR="00E15C1E">
        <w:t>.</w:t>
      </w:r>
      <w:r w:rsidR="00E15C1E" w:rsidRPr="00E15C1E">
        <w:t xml:space="preserve"> </w:t>
      </w:r>
      <w:r w:rsidR="00E15C1E" w:rsidRPr="0090131B">
        <w:t>The obvious hurdle in the cases of Articles 17 and 18 is proving what the true intentions of a state have been and dissociating them from reasons that legitimately justify restrictions. However, in the case discussed here</w:t>
      </w:r>
      <w:r w:rsidR="005C65DC">
        <w:t>,</w:t>
      </w:r>
      <w:r w:rsidR="00E15C1E" w:rsidRPr="0090131B">
        <w:t xml:space="preserve"> the statements by the DS and the </w:t>
      </w:r>
      <w:r w:rsidR="00E15C1E" w:rsidRPr="0090131B">
        <w:lastRenderedPageBreak/>
        <w:t xml:space="preserve">clarifications provided both officially </w:t>
      </w:r>
      <w:r w:rsidR="00E15C1E" w:rsidRPr="00E15C1E">
        <w:t xml:space="preserve">(including the letters and the Memorandum addressed to the Parliament) and unofficially may serve as </w:t>
      </w:r>
      <w:r w:rsidR="00E15C1E" w:rsidRPr="006E0B80">
        <w:t>evidence</w:t>
      </w:r>
      <w:r w:rsidR="00E15C1E" w:rsidRPr="00E15C1E">
        <w:t xml:space="preserve"> to be taken into</w:t>
      </w:r>
      <w:r w:rsidR="00E15C1E" w:rsidRPr="0090131B">
        <w:t xml:space="preserve"> consideration by the ECHR. Besides, this is not uncommon in the ECHR system and in international law more generally.</w:t>
      </w:r>
      <w:r w:rsidR="00E15C1E" w:rsidRPr="0090131B">
        <w:rPr>
          <w:rStyle w:val="FootnoteReference"/>
        </w:rPr>
        <w:footnoteReference w:id="171"/>
      </w:r>
      <w:r w:rsidR="00E15C1E" w:rsidRPr="0090131B">
        <w:t xml:space="preserve"> </w:t>
      </w:r>
      <w:r w:rsidR="005F4ED8">
        <w:t xml:space="preserve">The changes introduced in </w:t>
      </w:r>
      <w:r w:rsidR="005F4ED8" w:rsidRPr="005F4ED8">
        <w:rPr>
          <w:i/>
        </w:rPr>
        <w:t>Merabishvili</w:t>
      </w:r>
      <w:r w:rsidR="005F4ED8">
        <w:t xml:space="preserve"> regarding proof standards </w:t>
      </w:r>
      <w:r w:rsidR="005652AC">
        <w:t xml:space="preserve">give more leeway and untie the Court’s hands. </w:t>
      </w:r>
      <w:r w:rsidR="00BD4C8D">
        <w:t>More generally</w:t>
      </w:r>
      <w:r w:rsidR="00CB495A">
        <w:t>,</w:t>
      </w:r>
      <w:r w:rsidR="009B5D64">
        <w:t xml:space="preserve"> a case’s outcome</w:t>
      </w:r>
      <w:r w:rsidR="00847686">
        <w:t xml:space="preserve"> </w:t>
      </w:r>
      <w:r w:rsidR="009B5D64">
        <w:t xml:space="preserve">will also depend </w:t>
      </w:r>
      <w:r w:rsidR="005C65DC">
        <w:t>up</w:t>
      </w:r>
      <w:r w:rsidR="00847686">
        <w:t>on t</w:t>
      </w:r>
      <w:r w:rsidR="009B5D64">
        <w:t>he</w:t>
      </w:r>
      <w:r w:rsidR="00847686">
        <w:t xml:space="preserve"> particular circumstances </w:t>
      </w:r>
      <w:r w:rsidR="009B5D64">
        <w:t xml:space="preserve">that surround it and </w:t>
      </w:r>
      <w:r w:rsidR="005C65DC">
        <w:t xml:space="preserve">particularly whether </w:t>
      </w:r>
      <w:r w:rsidR="009B5D64">
        <w:t>the derogation responds to a</w:t>
      </w:r>
      <w:r w:rsidR="00847686">
        <w:t xml:space="preserve"> genuine </w:t>
      </w:r>
      <w:r w:rsidR="00246067">
        <w:t>emergency situation</w:t>
      </w:r>
      <w:r w:rsidR="00284346">
        <w:t xml:space="preserve"> (</w:t>
      </w:r>
      <w:r w:rsidR="00847686">
        <w:t>that is</w:t>
      </w:r>
      <w:r w:rsidR="00BD4C8D">
        <w:t>,</w:t>
      </w:r>
      <w:r w:rsidR="00847686">
        <w:t xml:space="preserve"> </w:t>
      </w:r>
      <w:r w:rsidR="00246067">
        <w:t xml:space="preserve">whether </w:t>
      </w:r>
      <w:r w:rsidR="00847686">
        <w:t xml:space="preserve">the derogation is </w:t>
      </w:r>
      <w:r w:rsidR="00246067">
        <w:t>authentic and unpretentious</w:t>
      </w:r>
      <w:r w:rsidR="002A485A">
        <w:t>)</w:t>
      </w:r>
      <w:r w:rsidR="00847686">
        <w:t xml:space="preserve">. </w:t>
      </w:r>
      <w:r w:rsidR="00E414A6">
        <w:t xml:space="preserve">In the case of a lawful derogation that pursues legitimate aims, Article 18 will only be breached if the ulterior purpose pursued by the derogation is the predominant one.  </w:t>
      </w:r>
    </w:p>
    <w:p w14:paraId="3230A3CB" w14:textId="77777777" w:rsidR="00E414A6" w:rsidRDefault="00E414A6" w:rsidP="00400522">
      <w:pPr>
        <w:jc w:val="both"/>
      </w:pPr>
    </w:p>
    <w:p w14:paraId="445F3511" w14:textId="36CA12D6" w:rsidR="00947D32" w:rsidRPr="0090131B" w:rsidRDefault="00E414A6" w:rsidP="00615986">
      <w:pPr>
        <w:jc w:val="both"/>
      </w:pPr>
      <w:r>
        <w:t>In spite</w:t>
      </w:r>
      <w:r w:rsidR="00847686">
        <w:t xml:space="preserve"> of the reservations expressed in this study </w:t>
      </w:r>
      <w:r>
        <w:t xml:space="preserve">regarding the “predominant purpose” criterion </w:t>
      </w:r>
      <w:r w:rsidR="009641DB">
        <w:t>an</w:t>
      </w:r>
      <w:r w:rsidR="00471AF2">
        <w:t>d</w:t>
      </w:r>
      <w:r w:rsidR="009641DB">
        <w:t xml:space="preserve"> its potential to undermine Article 18</w:t>
      </w:r>
      <w:r w:rsidR="00284346">
        <w:t>’s</w:t>
      </w:r>
      <w:r w:rsidR="009641DB">
        <w:t xml:space="preserve"> autonomy and capacity to filter and sanction illegitimate and insincere </w:t>
      </w:r>
      <w:r w:rsidR="00AC0A1B">
        <w:t>objectives that states may pursue in bad faith, good reasons exist</w:t>
      </w:r>
      <w:r w:rsidR="004057C8">
        <w:t xml:space="preserve"> as to why applicants should invoke Articles 17 and 18 ECHR when challenging the compatibility with the Convention of a future derogation under the British policy discussed in this study. </w:t>
      </w:r>
      <w:r w:rsidR="000C1523">
        <w:t>Moreover, t</w:t>
      </w:r>
      <w:r w:rsidR="00934D2F">
        <w:t xml:space="preserve">he study does not </w:t>
      </w:r>
      <w:r w:rsidR="00D515D5">
        <w:t>overlook or underestimate how difficult</w:t>
      </w:r>
      <w:r w:rsidR="005652AC">
        <w:t xml:space="preserve"> (both legally and politically)</w:t>
      </w:r>
      <w:r w:rsidR="00D515D5">
        <w:t xml:space="preserve"> it is to ascertain bad faith and treat a state fighting an emergency situation that threatens its existence as dishonest for </w:t>
      </w:r>
      <w:r w:rsidR="00D515D5" w:rsidRPr="006F3733">
        <w:t>conduct that</w:t>
      </w:r>
      <w:r w:rsidR="000C1523">
        <w:t xml:space="preserve"> essentially</w:t>
      </w:r>
      <w:r w:rsidR="00D515D5" w:rsidRPr="006F3733">
        <w:t xml:space="preserve"> amounts to lawful/justified interferences with human rights. However, </w:t>
      </w:r>
      <w:r w:rsidR="006F3733" w:rsidRPr="006F3733">
        <w:t>invoking Articles 17 and 18 might be worth it</w:t>
      </w:r>
      <w:r w:rsidR="00C6360B">
        <w:t>,</w:t>
      </w:r>
      <w:r w:rsidR="006F3733" w:rsidRPr="006F3733">
        <w:t xml:space="preserve"> </w:t>
      </w:r>
      <w:r w:rsidR="006F3733" w:rsidRPr="006E0B80">
        <w:t>as</w:t>
      </w:r>
      <w:r w:rsidR="00A617DA" w:rsidRPr="006F3733">
        <w:t xml:space="preserve"> </w:t>
      </w:r>
      <w:r w:rsidR="00C6360B">
        <w:t>this</w:t>
      </w:r>
      <w:r w:rsidR="00A617DA" w:rsidRPr="006F3733">
        <w:t xml:space="preserve"> may reinforce</w:t>
      </w:r>
      <w:r w:rsidR="007D42E4" w:rsidRPr="006F3733">
        <w:t xml:space="preserve"> the claims made for breaches of Article 15 and any other Convention </w:t>
      </w:r>
      <w:r w:rsidR="00DF2C5C" w:rsidRPr="006F3733">
        <w:t xml:space="preserve">right </w:t>
      </w:r>
      <w:r w:rsidR="007D42E4" w:rsidRPr="006F3733">
        <w:t xml:space="preserve">affected by the derogation. </w:t>
      </w:r>
      <w:r w:rsidR="00AE0FB1" w:rsidRPr="006F3733">
        <w:t xml:space="preserve">When proportionality </w:t>
      </w:r>
      <w:r w:rsidR="00C668F0" w:rsidRPr="006F3733">
        <w:t xml:space="preserve">is </w:t>
      </w:r>
      <w:r w:rsidR="00AE0FB1" w:rsidRPr="006F3733">
        <w:t>applie</w:t>
      </w:r>
      <w:r w:rsidR="00C668F0" w:rsidRPr="006F3733">
        <w:t>d</w:t>
      </w:r>
      <w:r w:rsidR="00AE0FB1" w:rsidRPr="006F3733">
        <w:t xml:space="preserve"> to assess the lawfulness of a restriction (</w:t>
      </w:r>
      <w:r w:rsidR="00E46CB1" w:rsidRPr="006F3733">
        <w:rPr>
          <w:i/>
        </w:rPr>
        <w:t>i.e.</w:t>
      </w:r>
      <w:r w:rsidR="00AE0FB1" w:rsidRPr="006F3733">
        <w:t xml:space="preserve"> a limitation or a derogation), the Court will need to test the suitability and</w:t>
      </w:r>
      <w:r w:rsidR="006F3733">
        <w:t>, primarily,</w:t>
      </w:r>
      <w:r w:rsidR="00AE0FB1" w:rsidRPr="006F3733">
        <w:t xml:space="preserve"> the necessity of the restrictions. </w:t>
      </w:r>
      <w:r w:rsidR="000C1523">
        <w:t>Outside of its autonomous role, a</w:t>
      </w:r>
      <w:r w:rsidR="000C1523" w:rsidRPr="006F3733">
        <w:t xml:space="preserve">rgumentation </w:t>
      </w:r>
      <w:r w:rsidR="00AE0FB1" w:rsidRPr="006F3733">
        <w:t>on the basis of Articles 17 and 18 may inform th</w:t>
      </w:r>
      <w:r w:rsidR="00E369D0" w:rsidRPr="006F3733">
        <w:t>at</w:t>
      </w:r>
      <w:r w:rsidR="00AE0FB1" w:rsidRPr="006F3733">
        <w:t xml:space="preserve"> test</w:t>
      </w:r>
      <w:r w:rsidR="000C1523">
        <w:t xml:space="preserve"> of</w:t>
      </w:r>
      <w:r w:rsidR="00E369D0" w:rsidRPr="006F3733">
        <w:t xml:space="preserve"> proportionality. This </w:t>
      </w:r>
      <w:r w:rsidR="00290C81" w:rsidRPr="006F3733">
        <w:t>can</w:t>
      </w:r>
      <w:r w:rsidR="00E369D0" w:rsidRPr="006F3733">
        <w:t xml:space="preserve"> help applicants </w:t>
      </w:r>
      <w:r w:rsidR="006A251C">
        <w:t xml:space="preserve">to </w:t>
      </w:r>
      <w:r w:rsidR="00E369D0" w:rsidRPr="006F3733">
        <w:t>challenge the necessity argumentation of the respondent</w:t>
      </w:r>
      <w:r w:rsidR="004C2FF2" w:rsidRPr="006F3733">
        <w:t xml:space="preserve"> and </w:t>
      </w:r>
      <w:r w:rsidR="006A251C">
        <w:t xml:space="preserve">to thereby </w:t>
      </w:r>
      <w:r w:rsidR="004C2FF2" w:rsidRPr="006F3733">
        <w:t>increase their chances to successfully claim a breach of their rights under the Convention</w:t>
      </w:r>
      <w:r w:rsidR="00E369D0" w:rsidRPr="006F3733">
        <w:t>.</w:t>
      </w:r>
      <w:bookmarkStart w:id="81" w:name="_Ref493774029"/>
      <w:r w:rsidR="007A038D" w:rsidRPr="006F3733">
        <w:rPr>
          <w:rStyle w:val="FootnoteReference"/>
        </w:rPr>
        <w:footnoteReference w:id="172"/>
      </w:r>
      <w:bookmarkEnd w:id="81"/>
      <w:r w:rsidR="00E369D0" w:rsidRPr="0090131B">
        <w:t xml:space="preserve"> </w:t>
      </w:r>
      <w:r w:rsidR="00615986" w:rsidRPr="00D82836">
        <w:t xml:space="preserve">The </w:t>
      </w:r>
      <w:r w:rsidR="00615986" w:rsidRPr="006E0B80">
        <w:t>second</w:t>
      </w:r>
      <w:r w:rsidR="00615986" w:rsidRPr="00D82836">
        <w:t xml:space="preserve"> reason</w:t>
      </w:r>
      <w:r w:rsidR="00930FE5">
        <w:t xml:space="preserve"> to give in support of the argument that applicants should try their chances under Articles 17 and 18 </w:t>
      </w:r>
      <w:r w:rsidR="00615986" w:rsidRPr="0090131B">
        <w:t>is less utilitarian or strategic</w:t>
      </w:r>
      <w:r w:rsidR="00D82836">
        <w:t>,</w:t>
      </w:r>
      <w:r w:rsidR="00615986" w:rsidRPr="0090131B">
        <w:t xml:space="preserve"> and more value</w:t>
      </w:r>
      <w:r w:rsidR="000C677A" w:rsidRPr="0090131B">
        <w:t>-</w:t>
      </w:r>
      <w:r w:rsidR="00553B0C" w:rsidRPr="0090131B">
        <w:t>oriented</w:t>
      </w:r>
      <w:r w:rsidR="000C677A" w:rsidRPr="0090131B">
        <w:t>. Good faith is a fundamental principle of law. It serves the purposes</w:t>
      </w:r>
      <w:r w:rsidR="00D722AA" w:rsidRPr="0090131B">
        <w:t xml:space="preserve"> of</w:t>
      </w:r>
      <w:r w:rsidR="000C677A" w:rsidRPr="0090131B">
        <w:t xml:space="preserve"> and is a precondition for trust, which is a value </w:t>
      </w:r>
      <w:r w:rsidR="000C677A" w:rsidRPr="0090131B">
        <w:rPr>
          <w:i/>
        </w:rPr>
        <w:t>per se</w:t>
      </w:r>
      <w:r w:rsidR="000C677A" w:rsidRPr="0090131B">
        <w:t xml:space="preserve"> and a prerequisite for </w:t>
      </w:r>
      <w:r w:rsidR="00CA2097" w:rsidRPr="0090131B">
        <w:t xml:space="preserve">actors in the society </w:t>
      </w:r>
      <w:r w:rsidR="000C677A" w:rsidRPr="0090131B">
        <w:t>to</w:t>
      </w:r>
      <w:r w:rsidR="00CA2097" w:rsidRPr="0090131B">
        <w:t xml:space="preserve"> engage in relationships. Good faith is especially important in a human rights treaty </w:t>
      </w:r>
      <w:r w:rsidR="00725B75" w:rsidRPr="0090131B">
        <w:t xml:space="preserve">because of the goals </w:t>
      </w:r>
      <w:r w:rsidR="00153C5F">
        <w:t xml:space="preserve">that </w:t>
      </w:r>
      <w:r w:rsidR="00725B75" w:rsidRPr="0090131B">
        <w:t>such a treaty pursues and the values</w:t>
      </w:r>
      <w:r w:rsidR="00B6795A">
        <w:t xml:space="preserve"> that</w:t>
      </w:r>
      <w:r w:rsidR="00044F09">
        <w:t xml:space="preserve"> such a treaty</w:t>
      </w:r>
      <w:r w:rsidR="00725B75" w:rsidRPr="0090131B">
        <w:t xml:space="preserve"> protects. This is a reason why the ECHR explicitly prohibits </w:t>
      </w:r>
      <w:r w:rsidR="004E131C" w:rsidRPr="0090131B">
        <w:t xml:space="preserve">abuse of rights and why the </w:t>
      </w:r>
      <w:r w:rsidR="00F639C3" w:rsidRPr="0090131B">
        <w:t>Convention’s institutions</w:t>
      </w:r>
      <w:r w:rsidR="004E131C" w:rsidRPr="0090131B">
        <w:t xml:space="preserve"> </w:t>
      </w:r>
      <w:r w:rsidR="00F639C3" w:rsidRPr="0090131B">
        <w:t>can</w:t>
      </w:r>
      <w:r w:rsidR="004E131C" w:rsidRPr="0090131B">
        <w:t xml:space="preserve"> apply </w:t>
      </w:r>
      <w:r w:rsidR="004E131C" w:rsidRPr="0090131B">
        <w:rPr>
          <w:i/>
        </w:rPr>
        <w:t>ex officio</w:t>
      </w:r>
      <w:r w:rsidR="004E131C" w:rsidRPr="0090131B">
        <w:t xml:space="preserve"> </w:t>
      </w:r>
      <w:r w:rsidR="00F639C3" w:rsidRPr="0090131B">
        <w:t>the provisions that prohibit abuse of rights</w:t>
      </w:r>
      <w:r w:rsidR="004E131C" w:rsidRPr="0090131B">
        <w:t>.</w:t>
      </w:r>
      <w:r w:rsidR="004E131C" w:rsidRPr="0090131B">
        <w:rPr>
          <w:rStyle w:val="FootnoteReference"/>
        </w:rPr>
        <w:footnoteReference w:id="173"/>
      </w:r>
      <w:r w:rsidR="004E131C" w:rsidRPr="0090131B">
        <w:t xml:space="preserve"> W</w:t>
      </w:r>
      <w:r w:rsidR="00725B75" w:rsidRPr="0090131B">
        <w:t>hen a state</w:t>
      </w:r>
      <w:r w:rsidR="004E131C" w:rsidRPr="0090131B">
        <w:t xml:space="preserve"> acts in bad faith, this needs to be sanctioned and the state should bring the stigma associated with the breach of Articles 17 and 18. </w:t>
      </w:r>
      <w:r w:rsidR="00E15E8C">
        <w:t xml:space="preserve">The abuse of </w:t>
      </w:r>
      <w:r w:rsidR="00947D32" w:rsidRPr="0090131B">
        <w:t xml:space="preserve">human rights law may lead to violations of various human rights, </w:t>
      </w:r>
      <w:r w:rsidR="00D51E07">
        <w:t>and, as such,</w:t>
      </w:r>
      <w:r w:rsidR="00E15E8C">
        <w:t xml:space="preserve"> such conduct</w:t>
      </w:r>
      <w:r w:rsidR="00947D32" w:rsidRPr="0090131B">
        <w:t xml:space="preserve"> is also a </w:t>
      </w:r>
      <w:r w:rsidR="00290C81" w:rsidRPr="0090131B">
        <w:t xml:space="preserve">distinctive </w:t>
      </w:r>
      <w:r w:rsidR="00947D32" w:rsidRPr="0090131B">
        <w:t>violation of in</w:t>
      </w:r>
      <w:r w:rsidR="00D722AA" w:rsidRPr="0090131B">
        <w:t>ternational law and of the ECHR</w:t>
      </w:r>
      <w:r w:rsidR="00947D32" w:rsidRPr="0090131B">
        <w:t xml:space="preserve">. </w:t>
      </w:r>
      <w:r w:rsidR="00290C81" w:rsidRPr="0090131B">
        <w:t>In a nutshell, i</w:t>
      </w:r>
      <w:r w:rsidR="00F532DB" w:rsidRPr="0090131B">
        <w:t xml:space="preserve">t has the potential to lead to human rights violations, it undermines the </w:t>
      </w:r>
      <w:r w:rsidR="00D722AA" w:rsidRPr="0090131B">
        <w:t>faith</w:t>
      </w:r>
      <w:r w:rsidR="00F532DB" w:rsidRPr="0090131B">
        <w:t xml:space="preserve"> to the system of human rights protection</w:t>
      </w:r>
      <w:r w:rsidR="009E3736">
        <w:t>,</w:t>
      </w:r>
      <w:r w:rsidR="00F532DB" w:rsidRPr="0090131B">
        <w:t xml:space="preserve"> and </w:t>
      </w:r>
      <w:r w:rsidR="009E3736">
        <w:t xml:space="preserve">it </w:t>
      </w:r>
      <w:r w:rsidR="00A9419B" w:rsidRPr="0090131B">
        <w:t>goes against the overall teleology of the ECHR system.</w:t>
      </w:r>
      <w:r w:rsidR="00D82836">
        <w:t xml:space="preserve"> These are good reasons for applicants to invoke Articles 17 and 18,</w:t>
      </w:r>
      <w:r w:rsidR="00B84DA2">
        <w:t xml:space="preserve"> but also</w:t>
      </w:r>
      <w:r w:rsidR="00D82836">
        <w:t xml:space="preserve"> for the Court to interpret accordingly (</w:t>
      </w:r>
      <w:r w:rsidR="00B84DA2">
        <w:t>by</w:t>
      </w:r>
      <w:r w:rsidR="00D82836">
        <w:t xml:space="preserve"> possibly </w:t>
      </w:r>
      <w:r w:rsidR="00B84DA2">
        <w:t>setting a low</w:t>
      </w:r>
      <w:r w:rsidR="0087106B">
        <w:t>er</w:t>
      </w:r>
      <w:r w:rsidR="00B84DA2">
        <w:t xml:space="preserve"> threshold or </w:t>
      </w:r>
      <w:r w:rsidR="00D82836">
        <w:t>water</w:t>
      </w:r>
      <w:r w:rsidR="00B84DA2">
        <w:t>ing</w:t>
      </w:r>
      <w:r w:rsidR="00D82836">
        <w:t xml:space="preserve"> down) the criterion of “predominant purpose”.    </w:t>
      </w:r>
    </w:p>
    <w:p w14:paraId="038828F7" w14:textId="77777777" w:rsidR="00E15C1E" w:rsidRPr="0090131B" w:rsidRDefault="00E15C1E" w:rsidP="00615986">
      <w:pPr>
        <w:jc w:val="both"/>
      </w:pPr>
    </w:p>
    <w:p w14:paraId="1A69E971" w14:textId="01417A31" w:rsidR="004B6917" w:rsidRPr="0090131B" w:rsidRDefault="00D65807" w:rsidP="005D2DD9">
      <w:pPr>
        <w:jc w:val="both"/>
      </w:pPr>
      <w:r w:rsidRPr="0090131B">
        <w:t xml:space="preserve">The last </w:t>
      </w:r>
      <w:r w:rsidR="00B84DA2">
        <w:t>question to address</w:t>
      </w:r>
      <w:r w:rsidRPr="0090131B">
        <w:t xml:space="preserve"> concerns an argument </w:t>
      </w:r>
      <w:r w:rsidR="00701D12" w:rsidRPr="0090131B">
        <w:t xml:space="preserve">that </w:t>
      </w:r>
      <w:r w:rsidR="00C465A0" w:rsidRPr="0090131B">
        <w:t xml:space="preserve">the applicants </w:t>
      </w:r>
      <w:r w:rsidR="00267A2B" w:rsidRPr="0090131B">
        <w:t xml:space="preserve">may find </w:t>
      </w:r>
      <w:r w:rsidR="0096749E">
        <w:t xml:space="preserve">it </w:t>
      </w:r>
      <w:r w:rsidR="00267A2B" w:rsidRPr="0090131B">
        <w:t xml:space="preserve">harder to </w:t>
      </w:r>
      <w:r w:rsidR="00074E88">
        <w:t>fight</w:t>
      </w:r>
      <w:r w:rsidR="00267A2B" w:rsidRPr="0090131B">
        <w:t xml:space="preserve"> if the</w:t>
      </w:r>
      <w:r w:rsidR="007A7104" w:rsidRPr="0090131B">
        <w:t>y</w:t>
      </w:r>
      <w:r w:rsidR="00267A2B" w:rsidRPr="0090131B">
        <w:t xml:space="preserve"> challenge </w:t>
      </w:r>
      <w:r w:rsidR="00C465A0" w:rsidRPr="0090131B">
        <w:t>a futur</w:t>
      </w:r>
      <w:r w:rsidR="00701D12" w:rsidRPr="0090131B">
        <w:t>e derogation by the UK</w:t>
      </w:r>
      <w:r w:rsidR="00C465A0" w:rsidRPr="0090131B">
        <w:t>. In his sharp</w:t>
      </w:r>
      <w:r w:rsidR="00A754FB" w:rsidRPr="0090131B">
        <w:t xml:space="preserve"> and thought-provoking</w:t>
      </w:r>
      <w:r w:rsidR="00C465A0" w:rsidRPr="0090131B">
        <w:t xml:space="preserve"> critique of </w:t>
      </w:r>
      <w:r w:rsidR="00C465A0" w:rsidRPr="0090131B">
        <w:lastRenderedPageBreak/>
        <w:t>the UK policy</w:t>
      </w:r>
      <w:r w:rsidR="005D2DD9" w:rsidRPr="0090131B">
        <w:t xml:space="preserve"> (albeit in the</w:t>
      </w:r>
      <w:r w:rsidR="00C465A0" w:rsidRPr="0090131B">
        <w:t xml:space="preserve"> context</w:t>
      </w:r>
      <w:r w:rsidR="005D2DD9" w:rsidRPr="0090131B">
        <w:t xml:space="preserve"> of</w:t>
      </w:r>
      <w:r w:rsidR="00C465A0" w:rsidRPr="0090131B">
        <w:t xml:space="preserve"> and for the purposes of an argument</w:t>
      </w:r>
      <w:r w:rsidR="005D2DD9" w:rsidRPr="0090131B">
        <w:t xml:space="preserve"> irrelevant to abuse of </w:t>
      </w:r>
      <w:r w:rsidR="00F24636" w:rsidRPr="0090131B">
        <w:t>rights</w:t>
      </w:r>
      <w:r w:rsidR="007A7104" w:rsidRPr="0090131B">
        <w:t>)</w:t>
      </w:r>
      <w:r w:rsidR="00C465A0" w:rsidRPr="0090131B">
        <w:t>, Dzehtsiarou</w:t>
      </w:r>
      <w:r w:rsidR="005D2DD9" w:rsidRPr="0090131B">
        <w:t xml:space="preserve"> maintains that</w:t>
      </w:r>
    </w:p>
    <w:p w14:paraId="4F68D57C" w14:textId="672F8F99" w:rsidR="00166E4B" w:rsidRPr="0090131B" w:rsidRDefault="0040535E" w:rsidP="00A811CD">
      <w:pPr>
        <w:ind w:left="567" w:right="656"/>
        <w:jc w:val="both"/>
      </w:pPr>
      <w:r w:rsidRPr="0090131B">
        <w:t>‘</w:t>
      </w:r>
      <w:r w:rsidR="003E7820" w:rsidRPr="0090131B">
        <w:t>[…]</w:t>
      </w:r>
      <w:r w:rsidR="000A37A9" w:rsidRPr="0090131B">
        <w:t xml:space="preserve"> </w:t>
      </w:r>
      <w:r w:rsidR="00166E4B" w:rsidRPr="0090131B">
        <w:t>military operations abroad are typically undertaken voluntarily, irrespectively of how onerous they are. In simple terms, the U.K. when acting abroad decides to create a situation of emergency and then chooses to derogate from the European Convention on Human Rights due to this emergency. It is like setting a fire to your own house and then claiming insurance money for your situation. In real life it is called insurance fraud […]</w:t>
      </w:r>
      <w:r w:rsidRPr="0090131B">
        <w:t>’</w:t>
      </w:r>
      <w:r w:rsidR="00C100C0" w:rsidRPr="0090131B">
        <w:t>.</w:t>
      </w:r>
      <w:r w:rsidR="00C100C0" w:rsidRPr="0090131B">
        <w:rPr>
          <w:rStyle w:val="FootnoteReference"/>
        </w:rPr>
        <w:footnoteReference w:id="174"/>
      </w:r>
    </w:p>
    <w:p w14:paraId="1F463365" w14:textId="6F1CDF59" w:rsidR="00166E4B" w:rsidRPr="0090131B" w:rsidRDefault="00166E4B" w:rsidP="00A811CD">
      <w:pPr>
        <w:ind w:right="-52"/>
        <w:jc w:val="both"/>
      </w:pPr>
      <w:r w:rsidRPr="0090131B">
        <w:t xml:space="preserve">The </w:t>
      </w:r>
      <w:r w:rsidR="00701D12" w:rsidRPr="0090131B">
        <w:t>issue raised by Dzehtsiarou</w:t>
      </w:r>
      <w:r w:rsidRPr="0090131B">
        <w:t xml:space="preserve"> is </w:t>
      </w:r>
      <w:r w:rsidR="00FA42BE" w:rsidRPr="0090131B">
        <w:t xml:space="preserve">that </w:t>
      </w:r>
      <w:r w:rsidRPr="0090131B">
        <w:t>of a self-inflicted emergency</w:t>
      </w:r>
      <w:r w:rsidR="00E5724F" w:rsidRPr="0090131B">
        <w:t>,</w:t>
      </w:r>
      <w:r w:rsidR="00547C81" w:rsidRPr="0090131B">
        <w:t xml:space="preserve"> and whether this </w:t>
      </w:r>
      <w:r w:rsidR="00EB4514" w:rsidRPr="0090131B">
        <w:t xml:space="preserve">can justify derogating from human rights. </w:t>
      </w:r>
      <w:r w:rsidR="00FC7E5E" w:rsidRPr="0090131B">
        <w:t>The same</w:t>
      </w:r>
      <w:r w:rsidR="00791AE7" w:rsidRPr="0090131B">
        <w:t xml:space="preserve"> argument </w:t>
      </w:r>
      <w:r w:rsidR="00FC7E5E" w:rsidRPr="0090131B">
        <w:t>had been advanced</w:t>
      </w:r>
      <w:r w:rsidR="00791AE7" w:rsidRPr="0090131B">
        <w:t xml:space="preserve"> by the applicant states against Greece in the aforementioned </w:t>
      </w:r>
      <w:r w:rsidR="00791AE7" w:rsidRPr="0090131B">
        <w:rPr>
          <w:i/>
        </w:rPr>
        <w:t>Greek case</w:t>
      </w:r>
      <w:r w:rsidR="00FC7E5E" w:rsidRPr="0090131B">
        <w:t>.</w:t>
      </w:r>
      <w:r w:rsidR="00FC7E5E" w:rsidRPr="0090131B">
        <w:rPr>
          <w:rStyle w:val="FootnoteReference"/>
        </w:rPr>
        <w:footnoteReference w:id="175"/>
      </w:r>
      <w:r w:rsidR="00791AE7" w:rsidRPr="0090131B">
        <w:t xml:space="preserve"> </w:t>
      </w:r>
      <w:r w:rsidR="00767A5E" w:rsidRPr="0090131B">
        <w:t xml:space="preserve">A dictator cannot invoke the state of emergency that s/he has caused </w:t>
      </w:r>
      <w:r w:rsidR="00781492">
        <w:t xml:space="preserve">as </w:t>
      </w:r>
      <w:r w:rsidR="00767A5E" w:rsidRPr="0090131B">
        <w:t>to lawfully exempt her/his regime from human rights commitments. Unfortunately, t</w:t>
      </w:r>
      <w:r w:rsidR="00CF544E" w:rsidRPr="0090131B">
        <w:t xml:space="preserve">he </w:t>
      </w:r>
      <w:r w:rsidR="00F84BDB" w:rsidRPr="0090131B">
        <w:t>ECmHR</w:t>
      </w:r>
      <w:r w:rsidR="00CF544E" w:rsidRPr="0090131B">
        <w:t xml:space="preserve"> refrained from addressing this particular issue</w:t>
      </w:r>
      <w:r w:rsidR="00906313">
        <w:t>;</w:t>
      </w:r>
      <w:r w:rsidR="003861FC">
        <w:t xml:space="preserve"> h</w:t>
      </w:r>
      <w:r w:rsidR="007A7104" w:rsidRPr="0090131B">
        <w:t>aving</w:t>
      </w:r>
      <w:r w:rsidR="003270E3" w:rsidRPr="0090131B">
        <w:t xml:space="preserve"> </w:t>
      </w:r>
      <w:r w:rsidR="007A7104" w:rsidRPr="0090131B">
        <w:t xml:space="preserve">concluded </w:t>
      </w:r>
      <w:r w:rsidR="003270E3" w:rsidRPr="0090131B">
        <w:t xml:space="preserve">that the respondent state’s conduct </w:t>
      </w:r>
      <w:r w:rsidR="00243AFF" w:rsidRPr="0090131B">
        <w:t>did</w:t>
      </w:r>
      <w:r w:rsidR="003270E3" w:rsidRPr="0090131B">
        <w:t xml:space="preserve"> not fall under Article 15</w:t>
      </w:r>
      <w:r w:rsidR="007A7104" w:rsidRPr="0090131B">
        <w:t xml:space="preserve"> ECHR</w:t>
      </w:r>
      <w:r w:rsidR="003270E3" w:rsidRPr="0090131B">
        <w:t>, i</w:t>
      </w:r>
      <w:r w:rsidR="00CF544E" w:rsidRPr="0090131B">
        <w:t xml:space="preserve">t </w:t>
      </w:r>
      <w:r w:rsidR="003270E3" w:rsidRPr="0090131B">
        <w:t>considered</w:t>
      </w:r>
      <w:r w:rsidR="00FA5D56" w:rsidRPr="0090131B">
        <w:t xml:space="preserve"> it</w:t>
      </w:r>
      <w:r w:rsidR="003270E3" w:rsidRPr="0090131B">
        <w:t xml:space="preserve"> unnecessary</w:t>
      </w:r>
      <w:r w:rsidR="00CF544E" w:rsidRPr="0090131B">
        <w:t xml:space="preserve"> to examine the allegations under Articles 17 and 18 ECHR</w:t>
      </w:r>
      <w:r w:rsidR="00980E13" w:rsidRPr="0090131B">
        <w:t>.</w:t>
      </w:r>
      <w:r w:rsidR="00980E13" w:rsidRPr="0090131B">
        <w:rPr>
          <w:rStyle w:val="FootnoteReference"/>
        </w:rPr>
        <w:footnoteReference w:id="176"/>
      </w:r>
      <w:r w:rsidR="00CF544E" w:rsidRPr="0090131B">
        <w:t xml:space="preserve"> </w:t>
      </w:r>
      <w:r w:rsidR="00170883">
        <w:t>In that respect, w</w:t>
      </w:r>
      <w:r w:rsidR="00FC2F71" w:rsidRPr="0090131B">
        <w:t xml:space="preserve">hat is argued </w:t>
      </w:r>
      <w:r w:rsidR="00980E13" w:rsidRPr="0090131B">
        <w:t xml:space="preserve">in this </w:t>
      </w:r>
      <w:r w:rsidR="00644251" w:rsidRPr="0090131B">
        <w:t>study</w:t>
      </w:r>
      <w:r w:rsidR="00980E13" w:rsidRPr="0090131B">
        <w:t xml:space="preserve"> is</w:t>
      </w:r>
      <w:r w:rsidR="005D11AB" w:rsidRPr="0090131B">
        <w:t xml:space="preserve"> </w:t>
      </w:r>
      <w:r w:rsidR="00980E13" w:rsidRPr="0090131B">
        <w:t xml:space="preserve">that </w:t>
      </w:r>
      <w:r w:rsidR="005D11AB" w:rsidRPr="0090131B">
        <w:t>t</w:t>
      </w:r>
      <w:r w:rsidR="00EB4514" w:rsidRPr="0090131B">
        <w:t xml:space="preserve">he text of Article 15 does not </w:t>
      </w:r>
      <w:r w:rsidR="00FA5D56" w:rsidRPr="0090131B">
        <w:t>exclude self-inflicted emergencies</w:t>
      </w:r>
      <w:r w:rsidR="00FC2F71" w:rsidRPr="0090131B">
        <w:t>.</w:t>
      </w:r>
      <w:r w:rsidR="00FA5D56" w:rsidRPr="0090131B">
        <w:t xml:space="preserve"> </w:t>
      </w:r>
      <w:r w:rsidR="00FC2F71" w:rsidRPr="0090131B">
        <w:t>M</w:t>
      </w:r>
      <w:r w:rsidR="00FA5D56" w:rsidRPr="0090131B">
        <w:t>ore generally,</w:t>
      </w:r>
      <w:r w:rsidR="00FC2F71" w:rsidRPr="0090131B">
        <w:t xml:space="preserve"> it</w:t>
      </w:r>
      <w:r w:rsidR="00FA5D56" w:rsidRPr="0090131B">
        <w:t xml:space="preserve"> </w:t>
      </w:r>
      <w:r w:rsidR="00547C81" w:rsidRPr="0090131B">
        <w:t>set</w:t>
      </w:r>
      <w:r w:rsidR="00FA5D56" w:rsidRPr="0090131B">
        <w:t>s</w:t>
      </w:r>
      <w:r w:rsidR="00547C81" w:rsidRPr="0090131B">
        <w:t xml:space="preserve"> </w:t>
      </w:r>
      <w:r w:rsidR="00FA5D56" w:rsidRPr="0090131B">
        <w:t>no</w:t>
      </w:r>
      <w:r w:rsidR="00547C81" w:rsidRPr="0090131B">
        <w:t xml:space="preserve"> restriction as to the causes of</w:t>
      </w:r>
      <w:r w:rsidR="00EB4514" w:rsidRPr="0090131B">
        <w:t xml:space="preserve"> </w:t>
      </w:r>
      <w:r w:rsidR="003F51A8" w:rsidRPr="0090131B">
        <w:t xml:space="preserve">an </w:t>
      </w:r>
      <w:r w:rsidR="00EB4514" w:rsidRPr="0090131B">
        <w:t>emergency</w:t>
      </w:r>
      <w:r w:rsidR="005D11AB" w:rsidRPr="0090131B">
        <w:t>.</w:t>
      </w:r>
      <w:r w:rsidR="00547C81" w:rsidRPr="0090131B">
        <w:t xml:space="preserve"> </w:t>
      </w:r>
      <w:r w:rsidR="00FA5D56" w:rsidRPr="0090131B">
        <w:t>There is a good reason behind that choice.</w:t>
      </w:r>
      <w:r w:rsidR="00547C81" w:rsidRPr="0090131B">
        <w:t xml:space="preserve"> </w:t>
      </w:r>
      <w:r w:rsidR="00FA5D56" w:rsidRPr="0090131B">
        <w:t>E</w:t>
      </w:r>
      <w:r w:rsidR="00547C81" w:rsidRPr="0090131B">
        <w:t>stablishing causality</w:t>
      </w:r>
      <w:r w:rsidR="00C100C0" w:rsidRPr="0090131B">
        <w:t xml:space="preserve"> in that type of </w:t>
      </w:r>
      <w:r w:rsidR="007D0A85" w:rsidRPr="0090131B">
        <w:t xml:space="preserve">complex, political and multidimensional </w:t>
      </w:r>
      <w:r w:rsidR="00C100C0" w:rsidRPr="0090131B">
        <w:t>situations</w:t>
      </w:r>
      <w:r w:rsidR="007D0A85" w:rsidRPr="0090131B">
        <w:t xml:space="preserve"> can be a</w:t>
      </w:r>
      <w:r w:rsidR="00547C81" w:rsidRPr="0090131B">
        <w:t xml:space="preserve"> slippery-slope that </w:t>
      </w:r>
      <w:r w:rsidR="00C100C0" w:rsidRPr="0090131B">
        <w:t>courts</w:t>
      </w:r>
      <w:r w:rsidR="00547C81" w:rsidRPr="0090131B">
        <w:t xml:space="preserve"> should better avoid. For these reasons, </w:t>
      </w:r>
      <w:r w:rsidR="006C4B90" w:rsidRPr="0090131B">
        <w:t xml:space="preserve">the fact that the UK might be willingly put into a situation </w:t>
      </w:r>
      <w:r w:rsidR="00172C10">
        <w:t>which</w:t>
      </w:r>
      <w:r w:rsidR="00B548B1" w:rsidRPr="0090131B">
        <w:t xml:space="preserve"> </w:t>
      </w:r>
      <w:r w:rsidR="006C4B90" w:rsidRPr="0090131B">
        <w:t>requir</w:t>
      </w:r>
      <w:r w:rsidR="00B548B1" w:rsidRPr="0090131B">
        <w:t>es</w:t>
      </w:r>
      <w:r w:rsidR="006C4B90" w:rsidRPr="0090131B">
        <w:t xml:space="preserve"> it to derogate from the ECHR is not</w:t>
      </w:r>
      <w:r w:rsidR="00B700AE" w:rsidRPr="0090131B">
        <w:t xml:space="preserve"> </w:t>
      </w:r>
      <w:r w:rsidR="00B700AE" w:rsidRPr="0090131B">
        <w:rPr>
          <w:i/>
        </w:rPr>
        <w:t>per se</w:t>
      </w:r>
      <w:r w:rsidR="006C4B90" w:rsidRPr="0090131B">
        <w:t xml:space="preserve"> </w:t>
      </w:r>
      <w:r w:rsidR="00C84EAF" w:rsidRPr="0090131B">
        <w:t>a reason precluding the lawfulness of a derogation.</w:t>
      </w:r>
      <w:bookmarkStart w:id="82" w:name="_Ref492986231"/>
      <w:r w:rsidR="009617D6" w:rsidRPr="0090131B">
        <w:rPr>
          <w:rStyle w:val="FootnoteReference"/>
        </w:rPr>
        <w:footnoteReference w:id="177"/>
      </w:r>
      <w:bookmarkEnd w:id="82"/>
      <w:r w:rsidR="00C84EAF" w:rsidRPr="0090131B">
        <w:t xml:space="preserve"> </w:t>
      </w:r>
      <w:r w:rsidR="00C93AB3" w:rsidRPr="0090131B">
        <w:t xml:space="preserve">The rationale behind derogations is to allow states to protect themselves from </w:t>
      </w:r>
      <w:r w:rsidR="00CA4C3B" w:rsidRPr="0090131B">
        <w:t>emergencies</w:t>
      </w:r>
      <w:r w:rsidR="00C93AB3" w:rsidRPr="0090131B">
        <w:t xml:space="preserve"> threatening </w:t>
      </w:r>
      <w:r w:rsidR="00CA4C3B" w:rsidRPr="0090131B">
        <w:t>them</w:t>
      </w:r>
      <w:r w:rsidR="000D1D51">
        <w:t>;</w:t>
      </w:r>
      <w:r w:rsidR="002A782F">
        <w:t xml:space="preserve"> thus,</w:t>
      </w:r>
      <w:r w:rsidR="000D1D51">
        <w:t xml:space="preserve"> states</w:t>
      </w:r>
      <w:r w:rsidR="00C93AB3" w:rsidRPr="0090131B">
        <w:t xml:space="preserve"> should be allowed to employ derogation</w:t>
      </w:r>
      <w:r w:rsidR="00064A33" w:rsidRPr="0090131B">
        <w:t>s</w:t>
      </w:r>
      <w:r w:rsidR="00C93AB3" w:rsidRPr="0090131B">
        <w:t xml:space="preserve"> in such situations irrespective of the reasons leading to an emergency or war. </w:t>
      </w:r>
      <w:r w:rsidR="008C7D8D" w:rsidRPr="0090131B">
        <w:rPr>
          <w:i/>
        </w:rPr>
        <w:t>Mutatis mutandis</w:t>
      </w:r>
      <w:r w:rsidR="00743C82" w:rsidRPr="0090131B">
        <w:t>, as long as a derogation is driven by genuine self-protection reasons</w:t>
      </w:r>
      <w:r w:rsidR="008C7D8D" w:rsidRPr="0090131B">
        <w:t>,</w:t>
      </w:r>
      <w:r w:rsidR="00743C82" w:rsidRPr="0090131B">
        <w:t xml:space="preserve"> the self-inflicted nature of an emergency</w:t>
      </w:r>
      <w:r w:rsidR="00C84EAF" w:rsidRPr="0090131B">
        <w:t xml:space="preserve"> does not </w:t>
      </w:r>
      <w:r w:rsidR="008C7D8D" w:rsidRPr="0090131B">
        <w:t>engender</w:t>
      </w:r>
      <w:r w:rsidR="00652F91" w:rsidRPr="0090131B">
        <w:t xml:space="preserve"> </w:t>
      </w:r>
      <w:r w:rsidR="006C4B90" w:rsidRPr="0090131B">
        <w:t>an abuse</w:t>
      </w:r>
      <w:r w:rsidR="00C93AB3" w:rsidRPr="0090131B">
        <w:t xml:space="preserve"> </w:t>
      </w:r>
      <w:r w:rsidR="003E1C48" w:rsidRPr="0090131B">
        <w:t>of the</w:t>
      </w:r>
      <w:r w:rsidR="000A37A9" w:rsidRPr="0090131B">
        <w:t xml:space="preserve"> </w:t>
      </w:r>
      <w:r w:rsidR="006C4B90" w:rsidRPr="0090131B">
        <w:t>right</w:t>
      </w:r>
      <w:r w:rsidR="000A37A9" w:rsidRPr="0090131B">
        <w:t xml:space="preserve"> to derogate from the ECHR</w:t>
      </w:r>
      <w:r w:rsidR="00F0398A" w:rsidRPr="0090131B">
        <w:t xml:space="preserve"> </w:t>
      </w:r>
      <w:r w:rsidR="00F0398A" w:rsidRPr="0090131B">
        <w:rPr>
          <w:i/>
        </w:rPr>
        <w:t>unless</w:t>
      </w:r>
      <w:r w:rsidR="00F0398A" w:rsidRPr="0090131B">
        <w:t xml:space="preserve"> it can be established that the very </w:t>
      </w:r>
      <w:r w:rsidR="0015180D" w:rsidRPr="0090131B">
        <w:t>purpose (</w:t>
      </w:r>
      <w:r w:rsidR="00E46CB1" w:rsidRPr="0090131B">
        <w:rPr>
          <w:i/>
        </w:rPr>
        <w:t>i.e.</w:t>
      </w:r>
      <w:r w:rsidR="0015180D" w:rsidRPr="0090131B">
        <w:t xml:space="preserve"> </w:t>
      </w:r>
      <w:r w:rsidR="00F0398A" w:rsidRPr="0090131B">
        <w:t>intention</w:t>
      </w:r>
      <w:r w:rsidR="0015180D" w:rsidRPr="0090131B">
        <w:t xml:space="preserve">, </w:t>
      </w:r>
      <w:r w:rsidR="0015180D" w:rsidRPr="0090131B">
        <w:rPr>
          <w:i/>
        </w:rPr>
        <w:t>dolus</w:t>
      </w:r>
      <w:r w:rsidR="0015180D" w:rsidRPr="0090131B">
        <w:t>)</w:t>
      </w:r>
      <w:r w:rsidR="00F0398A" w:rsidRPr="0090131B">
        <w:t xml:space="preserve"> of </w:t>
      </w:r>
      <w:r w:rsidR="0015180D" w:rsidRPr="0090131B">
        <w:t>the</w:t>
      </w:r>
      <w:r w:rsidR="00F0398A" w:rsidRPr="0090131B">
        <w:t xml:space="preserve"> self-inflicted emergency was to abuse </w:t>
      </w:r>
      <w:r w:rsidR="002F7A09" w:rsidRPr="0090131B">
        <w:t>that right (</w:t>
      </w:r>
      <w:r w:rsidR="00E46CB1" w:rsidRPr="0090131B">
        <w:rPr>
          <w:i/>
        </w:rPr>
        <w:t>i.e.</w:t>
      </w:r>
      <w:r w:rsidR="002F7A09" w:rsidRPr="0090131B">
        <w:t xml:space="preserve"> </w:t>
      </w:r>
      <w:r w:rsidR="00652F91" w:rsidRPr="0090131B">
        <w:t xml:space="preserve">derogation under </w:t>
      </w:r>
      <w:r w:rsidR="0015180D" w:rsidRPr="0090131B">
        <w:t>Article 15</w:t>
      </w:r>
      <w:r w:rsidR="00F50614" w:rsidRPr="0090131B">
        <w:t xml:space="preserve"> ECHR)</w:t>
      </w:r>
      <w:r w:rsidR="00F84BDB">
        <w:t>, in which case the derogation will still be justified (</w:t>
      </w:r>
      <w:r w:rsidR="00F84BDB" w:rsidRPr="006E0B80">
        <w:rPr>
          <w:i/>
        </w:rPr>
        <w:t>i.e.</w:t>
      </w:r>
      <w:r w:rsidR="00F84BDB">
        <w:t xml:space="preserve"> lawfully permitted) but abuse of rights separately/autonomously sanctioned.</w:t>
      </w:r>
      <w:r w:rsidR="00531B87" w:rsidRPr="0090131B">
        <w:t xml:space="preserve"> </w:t>
      </w:r>
    </w:p>
    <w:p w14:paraId="3DF47F2E" w14:textId="77777777" w:rsidR="00901B01" w:rsidRPr="0090131B" w:rsidRDefault="00901B01" w:rsidP="00A811CD">
      <w:pPr>
        <w:ind w:right="-52"/>
        <w:jc w:val="both"/>
      </w:pPr>
    </w:p>
    <w:p w14:paraId="67BFDB67" w14:textId="64A7A190" w:rsidR="00901B01" w:rsidRPr="001C4BA6" w:rsidRDefault="00846C8D" w:rsidP="006E0B80">
      <w:pPr>
        <w:ind w:firstLine="720"/>
        <w:jc w:val="both"/>
        <w:rPr>
          <w:b/>
        </w:rPr>
      </w:pPr>
      <w:r w:rsidRPr="00D0652C">
        <w:rPr>
          <w:b/>
        </w:rPr>
        <w:t xml:space="preserve">VI. </w:t>
      </w:r>
      <w:r w:rsidR="00741E3D" w:rsidRPr="00B93B7C">
        <w:rPr>
          <w:b/>
        </w:rPr>
        <w:t xml:space="preserve">Some </w:t>
      </w:r>
      <w:r w:rsidR="00A20C66" w:rsidRPr="001C4BA6">
        <w:rPr>
          <w:b/>
        </w:rPr>
        <w:t>Concluding T</w:t>
      </w:r>
      <w:r w:rsidR="00741E3D" w:rsidRPr="001C4BA6">
        <w:rPr>
          <w:b/>
        </w:rPr>
        <w:t>houghts</w:t>
      </w:r>
      <w:r w:rsidR="00901B01" w:rsidRPr="001C4BA6">
        <w:rPr>
          <w:b/>
        </w:rPr>
        <w:t xml:space="preserve"> </w:t>
      </w:r>
    </w:p>
    <w:p w14:paraId="3541CC29" w14:textId="52250113" w:rsidR="001E1180" w:rsidRPr="0090131B" w:rsidRDefault="00901B01" w:rsidP="00A811CD">
      <w:pPr>
        <w:ind w:right="-52"/>
        <w:jc w:val="both"/>
      </w:pPr>
      <w:r w:rsidRPr="0090131B">
        <w:t>The argument made in</w:t>
      </w:r>
      <w:r w:rsidR="00E310D0" w:rsidRPr="0090131B">
        <w:t xml:space="preserve"> the </w:t>
      </w:r>
      <w:r w:rsidR="00644251" w:rsidRPr="0090131B">
        <w:t>study</w:t>
      </w:r>
      <w:r w:rsidR="00E31136" w:rsidRPr="0090131B">
        <w:t xml:space="preserve"> can be summari</w:t>
      </w:r>
      <w:r w:rsidR="00404D1C">
        <w:t>s</w:t>
      </w:r>
      <w:r w:rsidR="00E31136" w:rsidRPr="0090131B">
        <w:t xml:space="preserve">ed in the following way. </w:t>
      </w:r>
      <w:r w:rsidR="00E22858" w:rsidRPr="0090131B">
        <w:t>T</w:t>
      </w:r>
      <w:r w:rsidR="00E31136" w:rsidRPr="0090131B">
        <w:t xml:space="preserve">he aims pursued by the UK </w:t>
      </w:r>
      <w:r w:rsidR="001F143D" w:rsidRPr="0090131B">
        <w:t xml:space="preserve">policy </w:t>
      </w:r>
      <w:r w:rsidR="00E31136" w:rsidRPr="0090131B">
        <w:t xml:space="preserve">cannot be </w:t>
      </w:r>
      <w:r w:rsidR="003E1C48" w:rsidRPr="0090131B">
        <w:t xml:space="preserve">fully </w:t>
      </w:r>
      <w:r w:rsidR="001622E2" w:rsidRPr="0090131B">
        <w:t>achieved through</w:t>
      </w:r>
      <w:r w:rsidR="00404D1C">
        <w:t xml:space="preserve"> its</w:t>
      </w:r>
      <w:r w:rsidR="00E31136" w:rsidRPr="0090131B">
        <w:t xml:space="preserve"> derogation</w:t>
      </w:r>
      <w:r w:rsidR="00404D1C">
        <w:t>(</w:t>
      </w:r>
      <w:r w:rsidR="00E31136" w:rsidRPr="0090131B">
        <w:t>s</w:t>
      </w:r>
      <w:r w:rsidR="00404D1C">
        <w:t>) policy</w:t>
      </w:r>
      <w:r w:rsidR="00BD7A69" w:rsidRPr="0090131B">
        <w:t xml:space="preserve">. </w:t>
      </w:r>
      <w:r w:rsidR="00A76C70" w:rsidRPr="0090131B">
        <w:t>The policy</w:t>
      </w:r>
      <w:r w:rsidR="007B147C" w:rsidRPr="0090131B">
        <w:t xml:space="preserve"> at issue</w:t>
      </w:r>
      <w:r w:rsidR="00A76C70" w:rsidRPr="0090131B">
        <w:t xml:space="preserve"> </w:t>
      </w:r>
      <w:r w:rsidR="00150F1C" w:rsidRPr="0090131B">
        <w:t xml:space="preserve">is not fit for </w:t>
      </w:r>
      <w:r w:rsidR="00C51AAF">
        <w:t xml:space="preserve">the </w:t>
      </w:r>
      <w:r w:rsidR="00150F1C" w:rsidRPr="0090131B">
        <w:t>purpose</w:t>
      </w:r>
      <w:r w:rsidR="00CA5ECF">
        <w:t>s</w:t>
      </w:r>
      <w:r w:rsidR="00150F1C" w:rsidRPr="0090131B">
        <w:t xml:space="preserve"> </w:t>
      </w:r>
      <w:r w:rsidR="00CA5ECF">
        <w:t>that</w:t>
      </w:r>
      <w:r w:rsidR="00150F1C" w:rsidRPr="0090131B">
        <w:t xml:space="preserve"> the UK appears to </w:t>
      </w:r>
      <w:r w:rsidR="00CA5ECF">
        <w:t>pursue</w:t>
      </w:r>
      <w:r w:rsidR="001F143D" w:rsidRPr="0090131B">
        <w:t>. Quite the opposite, it</w:t>
      </w:r>
      <w:r w:rsidR="00150F1C" w:rsidRPr="0090131B">
        <w:t xml:space="preserve"> </w:t>
      </w:r>
      <w:r w:rsidR="001F143D" w:rsidRPr="0090131B">
        <w:t xml:space="preserve">may </w:t>
      </w:r>
      <w:r w:rsidR="00150F1C" w:rsidRPr="0090131B">
        <w:t>even</w:t>
      </w:r>
      <w:r w:rsidR="001F143D" w:rsidRPr="0090131B">
        <w:t xml:space="preserve"> “backfire” and</w:t>
      </w:r>
      <w:r w:rsidR="00150F1C" w:rsidRPr="0090131B">
        <w:t xml:space="preserve"> generate </w:t>
      </w:r>
      <w:r w:rsidR="00C85AD7" w:rsidRPr="0090131B">
        <w:t>unsought</w:t>
      </w:r>
      <w:r w:rsidR="00150F1C" w:rsidRPr="0090131B">
        <w:t xml:space="preserve"> </w:t>
      </w:r>
      <w:r w:rsidR="00A76C70" w:rsidRPr="0090131B">
        <w:t xml:space="preserve">legal </w:t>
      </w:r>
      <w:r w:rsidR="00150F1C" w:rsidRPr="0090131B">
        <w:t xml:space="preserve">side-effects. </w:t>
      </w:r>
      <w:r w:rsidR="007B147C" w:rsidRPr="0090131B">
        <w:t>Moreover, a</w:t>
      </w:r>
      <w:r w:rsidR="00672DA6" w:rsidRPr="0090131B">
        <w:t xml:space="preserve"> derogation under </w:t>
      </w:r>
      <w:r w:rsidR="00DD582B" w:rsidRPr="0090131B">
        <w:t>that</w:t>
      </w:r>
      <w:r w:rsidR="00672DA6" w:rsidRPr="0090131B">
        <w:t xml:space="preserve"> policy </w:t>
      </w:r>
      <w:r w:rsidR="0033637C" w:rsidRPr="0090131B">
        <w:t>in breach of Article 15 ECHR</w:t>
      </w:r>
      <w:r w:rsidR="00672DA6" w:rsidRPr="0090131B">
        <w:t xml:space="preserve"> might </w:t>
      </w:r>
      <w:r w:rsidR="00672DA6" w:rsidRPr="0090131B">
        <w:rPr>
          <w:i/>
        </w:rPr>
        <w:t>also</w:t>
      </w:r>
      <w:r w:rsidR="00672DA6" w:rsidRPr="0090131B">
        <w:t xml:space="preserve"> </w:t>
      </w:r>
      <w:r w:rsidR="00BE6466" w:rsidRPr="0090131B">
        <w:t>amount to</w:t>
      </w:r>
      <w:r w:rsidR="00BD7A69" w:rsidRPr="0090131B">
        <w:t xml:space="preserve"> </w:t>
      </w:r>
      <w:r w:rsidR="00E31136" w:rsidRPr="0090131B">
        <w:t xml:space="preserve">an abuse of </w:t>
      </w:r>
      <w:r w:rsidR="00FA42BE" w:rsidRPr="0090131B">
        <w:t>rights</w:t>
      </w:r>
      <w:r w:rsidR="00C671B9" w:rsidRPr="0090131B">
        <w:t xml:space="preserve"> under Articles 17 and 18 ECHR</w:t>
      </w:r>
      <w:r w:rsidR="007B147C" w:rsidRPr="0090131B">
        <w:t xml:space="preserve"> with</w:t>
      </w:r>
      <w:r w:rsidR="00BE6466" w:rsidRPr="0090131B">
        <w:t>in</w:t>
      </w:r>
      <w:r w:rsidR="007B147C" w:rsidRPr="0090131B">
        <w:t xml:space="preserve"> </w:t>
      </w:r>
      <w:r w:rsidR="00DF49B4">
        <w:t xml:space="preserve">both </w:t>
      </w:r>
      <w:r w:rsidR="007B147C" w:rsidRPr="0090131B">
        <w:t xml:space="preserve">the normative </w:t>
      </w:r>
      <w:r w:rsidR="0095029A">
        <w:t xml:space="preserve">environment </w:t>
      </w:r>
      <w:r w:rsidR="007B147C" w:rsidRPr="0090131B">
        <w:t>of the Convention,</w:t>
      </w:r>
      <w:r w:rsidR="00D57324" w:rsidRPr="0090131B">
        <w:t xml:space="preserve"> and</w:t>
      </w:r>
      <w:r w:rsidR="00546F39">
        <w:t xml:space="preserve"> in</w:t>
      </w:r>
      <w:r w:rsidR="00D57324" w:rsidRPr="0090131B">
        <w:t xml:space="preserve"> the general principles of international law that prohibit acting in bad faith and abusing the law.</w:t>
      </w:r>
      <w:r w:rsidR="00E31136" w:rsidRPr="0090131B">
        <w:t xml:space="preserve"> </w:t>
      </w:r>
      <w:r w:rsidR="001C2ABC" w:rsidRPr="0090131B">
        <w:t xml:space="preserve">The UK might find a </w:t>
      </w:r>
      <w:r w:rsidR="001C2ABC" w:rsidRPr="0090131B">
        <w:lastRenderedPageBreak/>
        <w:t xml:space="preserve">place next to </w:t>
      </w:r>
      <w:r w:rsidR="006700DD" w:rsidRPr="0090131B">
        <w:t>Azerbaijan</w:t>
      </w:r>
      <w:r w:rsidR="006700DD">
        <w:t>,</w:t>
      </w:r>
      <w:r w:rsidR="006700DD" w:rsidRPr="0090131B">
        <w:rPr>
          <w:rStyle w:val="FootnoteReference"/>
        </w:rPr>
        <w:footnoteReference w:id="178"/>
      </w:r>
      <w:r w:rsidR="006700DD" w:rsidRPr="0090131B">
        <w:t xml:space="preserve"> Georgia,</w:t>
      </w:r>
      <w:r w:rsidR="006700DD" w:rsidRPr="0090131B">
        <w:rPr>
          <w:rStyle w:val="FootnoteReference"/>
        </w:rPr>
        <w:footnoteReference w:id="179"/>
      </w:r>
      <w:r w:rsidR="006700DD" w:rsidRPr="0090131B">
        <w:t xml:space="preserve"> Moldova</w:t>
      </w:r>
      <w:r w:rsidR="006700DD">
        <w:t>,</w:t>
      </w:r>
      <w:r w:rsidR="006700DD" w:rsidRPr="0090131B">
        <w:rPr>
          <w:rStyle w:val="FootnoteReference"/>
        </w:rPr>
        <w:footnoteReference w:id="180"/>
      </w:r>
      <w:r w:rsidR="006700DD">
        <w:t xml:space="preserve"> </w:t>
      </w:r>
      <w:r w:rsidR="001C2ABC" w:rsidRPr="0090131B">
        <w:t>Russia,</w:t>
      </w:r>
      <w:r w:rsidR="00B935AA" w:rsidRPr="0090131B">
        <w:rPr>
          <w:rStyle w:val="FootnoteReference"/>
        </w:rPr>
        <w:footnoteReference w:id="181"/>
      </w:r>
      <w:r w:rsidR="001C2ABC" w:rsidRPr="0090131B">
        <w:t xml:space="preserve"> </w:t>
      </w:r>
      <w:r w:rsidR="006700DD" w:rsidRPr="004932A4">
        <w:t>Turkey</w:t>
      </w:r>
      <w:r w:rsidR="006700DD" w:rsidRPr="004932A4">
        <w:rPr>
          <w:rStyle w:val="FootnoteReference"/>
        </w:rPr>
        <w:footnoteReference w:id="182"/>
      </w:r>
      <w:r w:rsidR="006700DD">
        <w:t xml:space="preserve"> and</w:t>
      </w:r>
      <w:r w:rsidR="006700DD" w:rsidRPr="0090131B">
        <w:t xml:space="preserve"> </w:t>
      </w:r>
      <w:r w:rsidR="00B935AA" w:rsidRPr="0090131B">
        <w:t>Ukraine</w:t>
      </w:r>
      <w:r w:rsidR="00B935AA" w:rsidRPr="0090131B">
        <w:rPr>
          <w:rStyle w:val="FootnoteReference"/>
        </w:rPr>
        <w:footnoteReference w:id="183"/>
      </w:r>
      <w:r w:rsidR="00B935AA" w:rsidRPr="0090131B">
        <w:t xml:space="preserve"> who have been condemned by the Court (admittedly</w:t>
      </w:r>
      <w:r w:rsidR="000F1921" w:rsidRPr="0090131B">
        <w:t>,</w:t>
      </w:r>
      <w:r w:rsidR="00B935AA" w:rsidRPr="0090131B">
        <w:t xml:space="preserve"> in entirely different contexts) for violations of Article 18 ECHR. </w:t>
      </w:r>
      <w:r w:rsidR="00D57324" w:rsidRPr="0090131B">
        <w:t>This</w:t>
      </w:r>
      <w:r w:rsidR="00A5511A" w:rsidRPr="0090131B">
        <w:t>, however,</w:t>
      </w:r>
      <w:r w:rsidR="00E31136" w:rsidRPr="0090131B">
        <w:t xml:space="preserve"> does not mean that</w:t>
      </w:r>
      <w:r w:rsidR="00BD7A69" w:rsidRPr="0090131B">
        <w:t xml:space="preserve"> </w:t>
      </w:r>
      <w:r w:rsidR="00170883">
        <w:t xml:space="preserve">in the future </w:t>
      </w:r>
      <w:r w:rsidR="00BD7A69" w:rsidRPr="0090131B">
        <w:t xml:space="preserve">there might </w:t>
      </w:r>
      <w:r w:rsidR="00170883">
        <w:t>not be</w:t>
      </w:r>
      <w:r w:rsidR="00BD7A69" w:rsidRPr="0090131B">
        <w:t xml:space="preserve"> cases of </w:t>
      </w:r>
      <w:r w:rsidR="00D57324" w:rsidRPr="0090131B">
        <w:t xml:space="preserve">British </w:t>
      </w:r>
      <w:r w:rsidR="00BD7A69" w:rsidRPr="0090131B">
        <w:t>military operations overseas lawfully justifying a derogation</w:t>
      </w:r>
      <w:r w:rsidR="00D57324" w:rsidRPr="0090131B">
        <w:t xml:space="preserve"> from the ECHR</w:t>
      </w:r>
      <w:r w:rsidR="00CA5ECF">
        <w:t>,</w:t>
      </w:r>
      <w:r w:rsidR="0095029A">
        <w:t xml:space="preserve"> </w:t>
      </w:r>
      <w:r w:rsidR="00C85AD7" w:rsidRPr="0090131B">
        <w:t>which may</w:t>
      </w:r>
      <w:r w:rsidR="007854A5" w:rsidRPr="0090131B">
        <w:t xml:space="preserve"> </w:t>
      </w:r>
      <w:r w:rsidR="0040535E" w:rsidRPr="0090131B">
        <w:t xml:space="preserve">– </w:t>
      </w:r>
      <w:r w:rsidR="00C85AD7" w:rsidRPr="0090131B">
        <w:t>in</w:t>
      </w:r>
      <w:r w:rsidR="007854A5" w:rsidRPr="0090131B">
        <w:t xml:space="preserve"> </w:t>
      </w:r>
      <w:r w:rsidR="00C85AD7" w:rsidRPr="0090131B">
        <w:t xml:space="preserve">spite of </w:t>
      </w:r>
      <w:r w:rsidR="00CA5ECF">
        <w:t>their</w:t>
      </w:r>
      <w:r w:rsidR="00C85AD7" w:rsidRPr="0090131B">
        <w:t xml:space="preserve"> lawfulness under Article 15</w:t>
      </w:r>
      <w:r w:rsidR="0040535E" w:rsidRPr="0090131B">
        <w:t xml:space="preserve"> –</w:t>
      </w:r>
      <w:r w:rsidR="007854A5" w:rsidRPr="0090131B">
        <w:t xml:space="preserve"> still be abusive if </w:t>
      </w:r>
      <w:r w:rsidR="00BB4A06">
        <w:t>they</w:t>
      </w:r>
      <w:r w:rsidR="007854A5" w:rsidRPr="0090131B">
        <w:t xml:space="preserve"> </w:t>
      </w:r>
      <w:r w:rsidR="000C51CA" w:rsidRPr="0090131B">
        <w:t xml:space="preserve">predominantly </w:t>
      </w:r>
      <w:r w:rsidR="007854A5" w:rsidRPr="0090131B">
        <w:t xml:space="preserve">pursue </w:t>
      </w:r>
      <w:r w:rsidR="000C51CA" w:rsidRPr="006E0B80">
        <w:rPr>
          <w:i/>
        </w:rPr>
        <w:t>mala fide</w:t>
      </w:r>
      <w:r w:rsidR="000C51CA" w:rsidRPr="0090131B">
        <w:t xml:space="preserve"> </w:t>
      </w:r>
      <w:r w:rsidR="007854A5" w:rsidRPr="0090131B">
        <w:t xml:space="preserve">goals that are foreign to the </w:t>
      </w:r>
      <w:r w:rsidR="008C11D1">
        <w:t xml:space="preserve">rationale behind the </w:t>
      </w:r>
      <w:r w:rsidR="007854A5" w:rsidRPr="0090131B">
        <w:t>restrictions permitted by the Convention</w:t>
      </w:r>
      <w:r w:rsidR="00634C08" w:rsidRPr="0090131B">
        <w:t>.</w:t>
      </w:r>
      <w:r w:rsidR="00BD7A69" w:rsidRPr="0090131B">
        <w:t xml:space="preserve"> </w:t>
      </w:r>
    </w:p>
    <w:p w14:paraId="00B14B1E" w14:textId="77777777" w:rsidR="00AC4586" w:rsidRPr="0090131B" w:rsidRDefault="00AC4586" w:rsidP="00A811CD">
      <w:pPr>
        <w:ind w:right="-52"/>
        <w:jc w:val="both"/>
      </w:pPr>
    </w:p>
    <w:p w14:paraId="7DB8397B" w14:textId="7F0EDA7E" w:rsidR="00020047" w:rsidRPr="0090131B" w:rsidRDefault="007A7070" w:rsidP="00020047">
      <w:pPr>
        <w:ind w:right="-52"/>
        <w:jc w:val="both"/>
      </w:pPr>
      <w:r>
        <w:t xml:space="preserve">The </w:t>
      </w:r>
      <w:r w:rsidR="00E310D0" w:rsidRPr="0090131B">
        <w:t>ambition of this last</w:t>
      </w:r>
      <w:r w:rsidR="00C80628" w:rsidRPr="0090131B">
        <w:t>, conclusive</w:t>
      </w:r>
      <w:r w:rsidR="00E310D0" w:rsidRPr="0090131B">
        <w:t xml:space="preserve"> Part of the </w:t>
      </w:r>
      <w:r w:rsidR="00644251" w:rsidRPr="0090131B">
        <w:t>study</w:t>
      </w:r>
      <w:r>
        <w:t>, however,</w:t>
      </w:r>
      <w:r w:rsidR="00FA42BE" w:rsidRPr="0090131B">
        <w:t xml:space="preserve"> exceeds </w:t>
      </w:r>
      <w:r w:rsidR="009A4339" w:rsidRPr="0090131B">
        <w:t xml:space="preserve">this </w:t>
      </w:r>
      <w:r w:rsidR="00F61D0B" w:rsidRPr="0090131B">
        <w:t>concise</w:t>
      </w:r>
      <w:r w:rsidR="009A4339" w:rsidRPr="0090131B">
        <w:t xml:space="preserve"> </w:t>
      </w:r>
      <w:r w:rsidR="00C671B9" w:rsidRPr="0090131B">
        <w:t>account of the main arguments it contains</w:t>
      </w:r>
      <w:r w:rsidR="009A4339" w:rsidRPr="0090131B">
        <w:t xml:space="preserve">. </w:t>
      </w:r>
      <w:r w:rsidR="00DD582B" w:rsidRPr="0090131B">
        <w:t xml:space="preserve">A last, this time </w:t>
      </w:r>
      <w:r w:rsidR="00C80628" w:rsidRPr="0090131B">
        <w:t xml:space="preserve">largely </w:t>
      </w:r>
      <w:r w:rsidR="00BA2F81" w:rsidRPr="0090131B">
        <w:t>‘extra-legal’</w:t>
      </w:r>
      <w:r w:rsidR="00DD582B" w:rsidRPr="0090131B">
        <w:t xml:space="preserve">, </w:t>
      </w:r>
      <w:r w:rsidR="001A0F9D" w:rsidRPr="0090131B">
        <w:t xml:space="preserve">point </w:t>
      </w:r>
      <w:r w:rsidR="009112EF" w:rsidRPr="0090131B">
        <w:t>needs to be</w:t>
      </w:r>
      <w:r w:rsidR="001A0F9D" w:rsidRPr="0090131B">
        <w:t xml:space="preserve"> ma</w:t>
      </w:r>
      <w:r w:rsidR="009112EF" w:rsidRPr="0090131B">
        <w:t>d</w:t>
      </w:r>
      <w:r w:rsidR="001A0F9D" w:rsidRPr="0090131B">
        <w:t>e</w:t>
      </w:r>
      <w:r w:rsidR="00DD582B" w:rsidRPr="0090131B">
        <w:t xml:space="preserve">. One </w:t>
      </w:r>
      <w:r w:rsidR="000A660E" w:rsidRPr="0090131B">
        <w:t>must</w:t>
      </w:r>
      <w:r w:rsidR="0046430A" w:rsidRPr="0090131B">
        <w:t xml:space="preserve"> zoom-out from the </w:t>
      </w:r>
      <w:r w:rsidR="005E2229" w:rsidRPr="0090131B">
        <w:t xml:space="preserve">specific </w:t>
      </w:r>
      <w:r w:rsidR="0046430A" w:rsidRPr="0090131B">
        <w:t xml:space="preserve">policy discussed in this </w:t>
      </w:r>
      <w:r w:rsidR="00644251" w:rsidRPr="0090131B">
        <w:t>study</w:t>
      </w:r>
      <w:r w:rsidR="0046430A" w:rsidRPr="0090131B">
        <w:t xml:space="preserve"> and </w:t>
      </w:r>
      <w:r w:rsidR="00DD582B" w:rsidRPr="0090131B">
        <w:t>see the big picture</w:t>
      </w:r>
      <w:r w:rsidR="00091FBD" w:rsidRPr="0090131B">
        <w:t xml:space="preserve"> </w:t>
      </w:r>
      <w:r w:rsidR="004568AF">
        <w:t xml:space="preserve">as </w:t>
      </w:r>
      <w:r w:rsidR="00091FBD" w:rsidRPr="0090131B">
        <w:t>to realise that t</w:t>
      </w:r>
      <w:r w:rsidR="009112EF" w:rsidRPr="0090131B">
        <w:t>he</w:t>
      </w:r>
      <w:r w:rsidR="00581F2E" w:rsidRPr="0090131B">
        <w:t xml:space="preserve"> intention</w:t>
      </w:r>
      <w:r w:rsidR="009112EF" w:rsidRPr="0090131B">
        <w:t xml:space="preserve"> of the UK</w:t>
      </w:r>
      <w:r w:rsidR="00581F2E" w:rsidRPr="0090131B">
        <w:t xml:space="preserve"> to derogate from the ECHR a</w:t>
      </w:r>
      <w:r w:rsidR="009112EF" w:rsidRPr="0090131B">
        <w:t>s a means to</w:t>
      </w:r>
      <w:r w:rsidR="00581F2E" w:rsidRPr="0090131B">
        <w:t xml:space="preserve"> avoid the scrutiny of the ECHR for </w:t>
      </w:r>
      <w:r w:rsidR="009112EF" w:rsidRPr="0090131B">
        <w:t xml:space="preserve">its </w:t>
      </w:r>
      <w:r w:rsidR="00581F2E" w:rsidRPr="0090131B">
        <w:t>military operations oversea</w:t>
      </w:r>
      <w:r w:rsidR="0002423A" w:rsidRPr="0090131B">
        <w:t xml:space="preserve">s </w:t>
      </w:r>
      <w:r w:rsidR="0046430A" w:rsidRPr="0090131B">
        <w:t>is</w:t>
      </w:r>
      <w:r w:rsidR="00581F2E" w:rsidRPr="0090131B">
        <w:t xml:space="preserve"> n</w:t>
      </w:r>
      <w:r w:rsidR="0046430A" w:rsidRPr="0090131B">
        <w:t>ot an</w:t>
      </w:r>
      <w:r w:rsidR="00581F2E" w:rsidRPr="0090131B">
        <w:t xml:space="preserve"> isolated phenomenon. </w:t>
      </w:r>
      <w:r w:rsidR="008C11D1">
        <w:t>This</w:t>
      </w:r>
      <w:r w:rsidR="00581F2E" w:rsidRPr="0090131B">
        <w:t xml:space="preserve"> </w:t>
      </w:r>
      <w:r w:rsidR="00F61D0B" w:rsidRPr="0090131B">
        <w:t xml:space="preserve">should not be </w:t>
      </w:r>
      <w:r w:rsidR="00091FBD" w:rsidRPr="0090131B">
        <w:t>‘read’</w:t>
      </w:r>
      <w:r w:rsidR="00F61D0B" w:rsidRPr="0090131B">
        <w:t xml:space="preserve"> </w:t>
      </w:r>
      <w:r w:rsidR="00581F2E" w:rsidRPr="0090131B">
        <w:t>i</w:t>
      </w:r>
      <w:r w:rsidR="00F61D0B" w:rsidRPr="0090131B">
        <w:t xml:space="preserve">n </w:t>
      </w:r>
      <w:r w:rsidR="00C80628" w:rsidRPr="0090131B">
        <w:t>separation</w:t>
      </w:r>
      <w:r w:rsidR="00F61D0B" w:rsidRPr="0090131B">
        <w:t xml:space="preserve"> </w:t>
      </w:r>
      <w:r w:rsidR="009E49DA" w:rsidRPr="0090131B">
        <w:t>from</w:t>
      </w:r>
      <w:r w:rsidR="009112EF" w:rsidRPr="0090131B">
        <w:t xml:space="preserve"> </w:t>
      </w:r>
      <w:r w:rsidR="00581F2E" w:rsidRPr="0090131B">
        <w:t xml:space="preserve">the </w:t>
      </w:r>
      <w:r w:rsidR="008F4907" w:rsidRPr="0090131B">
        <w:t xml:space="preserve">broader </w:t>
      </w:r>
      <w:r w:rsidR="00581F2E" w:rsidRPr="0090131B">
        <w:t xml:space="preserve">legitimacy crisis </w:t>
      </w:r>
      <w:r w:rsidR="001839DA" w:rsidRPr="0090131B">
        <w:t>that</w:t>
      </w:r>
      <w:r w:rsidR="00581F2E" w:rsidRPr="0090131B">
        <w:t xml:space="preserve"> the ECHR system</w:t>
      </w:r>
      <w:r w:rsidR="001839DA" w:rsidRPr="0090131B">
        <w:t xml:space="preserve"> is currently experiencing </w:t>
      </w:r>
      <w:r w:rsidR="004568AF">
        <w:t>with respect to</w:t>
      </w:r>
      <w:r w:rsidR="0048605A">
        <w:t xml:space="preserve"> </w:t>
      </w:r>
      <w:r w:rsidR="001839DA" w:rsidRPr="0090131B">
        <w:t xml:space="preserve">how </w:t>
      </w:r>
      <w:r w:rsidR="0033637C" w:rsidRPr="0090131B">
        <w:t xml:space="preserve">far </w:t>
      </w:r>
      <w:r w:rsidR="001839DA" w:rsidRPr="0090131B">
        <w:t>t</w:t>
      </w:r>
      <w:r w:rsidR="0033637C" w:rsidRPr="0090131B">
        <w:t>his</w:t>
      </w:r>
      <w:r w:rsidR="00581F2E" w:rsidRPr="0090131B">
        <w:t xml:space="preserve"> has gone</w:t>
      </w:r>
      <w:r w:rsidR="0048605A">
        <w:t>,</w:t>
      </w:r>
      <w:r w:rsidR="00581F2E" w:rsidRPr="0090131B">
        <w:t xml:space="preserve"> and how much it has evolved since its inception. </w:t>
      </w:r>
      <w:r w:rsidR="0046430A" w:rsidRPr="0090131B">
        <w:t xml:space="preserve">The </w:t>
      </w:r>
      <w:r w:rsidR="00C80628" w:rsidRPr="0090131B">
        <w:t xml:space="preserve">UK </w:t>
      </w:r>
      <w:r w:rsidR="0046430A" w:rsidRPr="0090131B">
        <w:t>policy</w:t>
      </w:r>
      <w:r w:rsidR="00581F2E" w:rsidRPr="0090131B">
        <w:t xml:space="preserve"> </w:t>
      </w:r>
      <w:r w:rsidR="00AB29FA" w:rsidRPr="0090131B">
        <w:t xml:space="preserve">can be read as reflecting </w:t>
      </w:r>
      <w:r w:rsidR="00581F2E" w:rsidRPr="0090131B">
        <w:t xml:space="preserve">scepticism </w:t>
      </w:r>
      <w:r w:rsidR="00581F2E" w:rsidRPr="0090131B">
        <w:rPr>
          <w:i/>
        </w:rPr>
        <w:t>vis-à-vis</w:t>
      </w:r>
      <w:r w:rsidR="00581F2E" w:rsidRPr="0090131B">
        <w:t xml:space="preserve"> an instrument designed</w:t>
      </w:r>
      <w:r w:rsidR="00F61D0B" w:rsidRPr="0090131B">
        <w:t xml:space="preserve"> </w:t>
      </w:r>
      <w:r w:rsidR="00581F2E" w:rsidRPr="0090131B">
        <w:t xml:space="preserve">to serve </w:t>
      </w:r>
      <w:r w:rsidR="009E49DA" w:rsidRPr="0090131B">
        <w:t>(</w:t>
      </w:r>
      <w:r w:rsidR="009E49DA" w:rsidRPr="0090131B">
        <w:rPr>
          <w:i/>
        </w:rPr>
        <w:t>inter alia</w:t>
      </w:r>
      <w:r w:rsidR="009E49DA" w:rsidRPr="0090131B">
        <w:t xml:space="preserve">) </w:t>
      </w:r>
      <w:r w:rsidR="00581F2E" w:rsidRPr="0090131B">
        <w:t>the purposes of regional integration through human right</w:t>
      </w:r>
      <w:r w:rsidR="00112701" w:rsidRPr="0090131B">
        <w:t>s</w:t>
      </w:r>
      <w:r w:rsidR="00297477" w:rsidRPr="0090131B">
        <w:t>.</w:t>
      </w:r>
      <w:bookmarkStart w:id="83" w:name="_Ref534223461"/>
      <w:r w:rsidR="00634C08" w:rsidRPr="0090131B">
        <w:rPr>
          <w:rStyle w:val="FootnoteReference"/>
        </w:rPr>
        <w:footnoteReference w:id="184"/>
      </w:r>
      <w:bookmarkEnd w:id="83"/>
      <w:r w:rsidR="002C20AD" w:rsidRPr="0090131B">
        <w:t xml:space="preserve"> </w:t>
      </w:r>
      <w:r w:rsidR="00297477" w:rsidRPr="0090131B">
        <w:t>It may</w:t>
      </w:r>
      <w:r w:rsidR="00AB29FA" w:rsidRPr="0090131B">
        <w:t xml:space="preserve"> also</w:t>
      </w:r>
      <w:r w:rsidR="00297477" w:rsidRPr="0090131B">
        <w:t xml:space="preserve"> be perceived as </w:t>
      </w:r>
      <w:r w:rsidR="009E49DA" w:rsidRPr="0090131B">
        <w:t>a symptom</w:t>
      </w:r>
      <w:r w:rsidR="00581F2E" w:rsidRPr="0090131B">
        <w:t xml:space="preserve"> of the same broader phenomenon that causes the UK </w:t>
      </w:r>
      <w:r w:rsidR="0040535E" w:rsidRPr="0090131B">
        <w:t xml:space="preserve">– </w:t>
      </w:r>
      <w:r w:rsidR="00581F2E" w:rsidRPr="0090131B">
        <w:t>and other national legal orders</w:t>
      </w:r>
      <w:r w:rsidR="0040535E" w:rsidRPr="0090131B">
        <w:t xml:space="preserve"> –</w:t>
      </w:r>
      <w:r w:rsidR="00581F2E" w:rsidRPr="0090131B">
        <w:t xml:space="preserve"> to refuse to comply with the judgments of the ECtHR</w:t>
      </w:r>
      <w:r w:rsidR="00581F2E" w:rsidRPr="0090131B">
        <w:rPr>
          <w:rStyle w:val="FootnoteReference"/>
        </w:rPr>
        <w:footnoteReference w:id="185"/>
      </w:r>
      <w:r w:rsidR="000A660E" w:rsidRPr="0090131B">
        <w:t xml:space="preserve"> </w:t>
      </w:r>
      <w:r w:rsidR="00F32714" w:rsidRPr="0090131B">
        <w:t>a</w:t>
      </w:r>
      <w:r w:rsidR="00297477" w:rsidRPr="0090131B">
        <w:t>nd</w:t>
      </w:r>
      <w:r w:rsidR="00F32714" w:rsidRPr="0090131B">
        <w:t xml:space="preserve"> </w:t>
      </w:r>
      <w:r w:rsidR="000A660E" w:rsidRPr="0090131B">
        <w:t>question its authority to set standards of human rights protection,</w:t>
      </w:r>
      <w:r w:rsidR="00581F2E" w:rsidRPr="0090131B">
        <w:t xml:space="preserve"> push</w:t>
      </w:r>
      <w:r w:rsidR="000A660E" w:rsidRPr="0090131B">
        <w:t>ing</w:t>
      </w:r>
      <w:r w:rsidR="00581F2E" w:rsidRPr="0090131B">
        <w:t xml:space="preserve"> it (the Court) towards </w:t>
      </w:r>
      <w:r w:rsidR="00581F2E" w:rsidRPr="0090131B">
        <w:lastRenderedPageBreak/>
        <w:t>more consensual reasoning</w:t>
      </w:r>
      <w:r w:rsidR="00581F2E" w:rsidRPr="0090131B">
        <w:rPr>
          <w:rStyle w:val="FootnoteReference"/>
        </w:rPr>
        <w:footnoteReference w:id="186"/>
      </w:r>
      <w:r w:rsidR="00581F2E" w:rsidRPr="0090131B">
        <w:t xml:space="preserve"> </w:t>
      </w:r>
      <w:r w:rsidR="000A660E" w:rsidRPr="0090131B">
        <w:t xml:space="preserve">and </w:t>
      </w:r>
      <w:r w:rsidR="00581F2E" w:rsidRPr="0090131B">
        <w:t>self-restraint</w:t>
      </w:r>
      <w:r w:rsidR="000A660E" w:rsidRPr="0090131B">
        <w:t>.</w:t>
      </w:r>
      <w:r w:rsidR="00A2261E" w:rsidRPr="0090131B">
        <w:rPr>
          <w:rStyle w:val="FootnoteReference"/>
        </w:rPr>
        <w:footnoteReference w:id="187"/>
      </w:r>
      <w:r w:rsidR="00581F2E" w:rsidRPr="0090131B">
        <w:t xml:space="preserve"> Seen from the perspective of the ECHR system, </w:t>
      </w:r>
      <w:r w:rsidR="005C67BD" w:rsidRPr="0090131B">
        <w:t xml:space="preserve">the </w:t>
      </w:r>
      <w:r w:rsidR="00581F2E" w:rsidRPr="0090131B">
        <w:t xml:space="preserve">UK’s presumption of derogation </w:t>
      </w:r>
      <w:r w:rsidR="00921E93" w:rsidRPr="0090131B">
        <w:t>goes against the duty of sincere collaboration established by Article 3 of the Council of Europe’s Statute</w:t>
      </w:r>
      <w:r w:rsidR="00921E93" w:rsidRPr="0090131B">
        <w:rPr>
          <w:rStyle w:val="FootnoteReference"/>
        </w:rPr>
        <w:footnoteReference w:id="188"/>
      </w:r>
      <w:r w:rsidR="00921E93" w:rsidRPr="0090131B">
        <w:t xml:space="preserve"> and </w:t>
      </w:r>
      <w:r w:rsidR="00581F2E" w:rsidRPr="0090131B">
        <w:t>gives a wrong message to all other states, namely</w:t>
      </w:r>
      <w:r w:rsidR="00442720" w:rsidRPr="0090131B">
        <w:t xml:space="preserve"> that human rights protection can be</w:t>
      </w:r>
      <w:r w:rsidR="00581F2E" w:rsidRPr="0090131B">
        <w:t xml:space="preserve"> </w:t>
      </w:r>
      <w:r w:rsidR="00581F2E" w:rsidRPr="0090131B">
        <w:rPr>
          <w:i/>
        </w:rPr>
        <w:t>à la carte</w:t>
      </w:r>
      <w:r w:rsidR="00442720" w:rsidRPr="0090131B">
        <w:t xml:space="preserve"> and</w:t>
      </w:r>
      <w:r w:rsidR="00581F2E" w:rsidRPr="0090131B">
        <w:t xml:space="preserve"> states may be both inside and outside the system, </w:t>
      </w:r>
      <w:r w:rsidR="00E46CB1" w:rsidRPr="0090131B">
        <w:rPr>
          <w:i/>
        </w:rPr>
        <w:t>i.e.</w:t>
      </w:r>
      <w:r w:rsidR="00581F2E" w:rsidRPr="0090131B">
        <w:t xml:space="preserve"> </w:t>
      </w:r>
      <w:r w:rsidR="000A2DBD">
        <w:t xml:space="preserve">to </w:t>
      </w:r>
      <w:r w:rsidR="00581F2E" w:rsidRPr="0090131B">
        <w:t>benefit from it</w:t>
      </w:r>
      <w:r w:rsidR="00F32714" w:rsidRPr="0090131B">
        <w:t>,</w:t>
      </w:r>
      <w:r w:rsidR="00581F2E" w:rsidRPr="0090131B">
        <w:t xml:space="preserve"> but only when they wish and under the terms </w:t>
      </w:r>
      <w:r w:rsidR="00837A03">
        <w:t xml:space="preserve">that </w:t>
      </w:r>
      <w:r w:rsidR="00581F2E" w:rsidRPr="0090131B">
        <w:t>they wish.</w:t>
      </w:r>
      <w:r w:rsidR="00D41D76" w:rsidRPr="0090131B">
        <w:rPr>
          <w:rStyle w:val="FootnoteReference"/>
        </w:rPr>
        <w:footnoteReference w:id="189"/>
      </w:r>
      <w:r w:rsidR="00581F2E" w:rsidRPr="0090131B">
        <w:t xml:space="preserve"> The intended policy </w:t>
      </w:r>
      <w:r w:rsidR="00E552B2">
        <w:t xml:space="preserve">thus </w:t>
      </w:r>
      <w:r w:rsidR="00581F2E" w:rsidRPr="0090131B">
        <w:t>reveals a logic of double standards.</w:t>
      </w:r>
      <w:r w:rsidR="00DD6557" w:rsidRPr="0090131B">
        <w:rPr>
          <w:rStyle w:val="FootnoteReference"/>
        </w:rPr>
        <w:footnoteReference w:id="190"/>
      </w:r>
      <w:r w:rsidR="00581F2E" w:rsidRPr="0090131B">
        <w:t xml:space="preserve"> Human rights are good for home, but not when a state acts overseas.</w:t>
      </w:r>
      <w:r w:rsidR="00C101C5" w:rsidRPr="0090131B">
        <w:t xml:space="preserve"> </w:t>
      </w:r>
      <w:r w:rsidR="00EB6226" w:rsidRPr="0090131B">
        <w:t xml:space="preserve">It </w:t>
      </w:r>
      <w:r w:rsidR="004B7E7C" w:rsidRPr="0090131B">
        <w:t xml:space="preserve">undermines international rule of law (in the sense that the subjects of </w:t>
      </w:r>
      <w:r w:rsidR="00442720" w:rsidRPr="0090131B">
        <w:t xml:space="preserve">that legal order </w:t>
      </w:r>
      <w:r w:rsidR="004B7E7C" w:rsidRPr="0090131B">
        <w:t xml:space="preserve">need to abide by </w:t>
      </w:r>
      <w:r w:rsidR="00442720" w:rsidRPr="0090131B">
        <w:t>its</w:t>
      </w:r>
      <w:r w:rsidR="004B7E7C" w:rsidRPr="0090131B">
        <w:t xml:space="preserve"> rules) and </w:t>
      </w:r>
      <w:r w:rsidR="00EB6226" w:rsidRPr="0090131B">
        <w:t xml:space="preserve">marks a return </w:t>
      </w:r>
      <w:r w:rsidR="008F50CF" w:rsidRPr="0090131B">
        <w:t xml:space="preserve">to </w:t>
      </w:r>
      <w:r w:rsidR="00EB6226" w:rsidRPr="0090131B">
        <w:t>state voluntarism</w:t>
      </w:r>
      <w:r w:rsidR="00F32714" w:rsidRPr="0090131B">
        <w:t>,</w:t>
      </w:r>
      <w:r w:rsidR="008F50CF" w:rsidRPr="0090131B">
        <w:t xml:space="preserve"> sovereignty</w:t>
      </w:r>
      <w:r w:rsidR="00F32714" w:rsidRPr="0090131B">
        <w:t xml:space="preserve"> and </w:t>
      </w:r>
      <w:r w:rsidR="00C52D32" w:rsidRPr="0090131B">
        <w:t>the ‘nationalisation’ (as opposed to the internationalisation) of human rights protection</w:t>
      </w:r>
      <w:r w:rsidR="004B7E7C" w:rsidRPr="0090131B">
        <w:t>.</w:t>
      </w:r>
      <w:r w:rsidR="00EB6226" w:rsidRPr="0090131B">
        <w:t xml:space="preserve"> </w:t>
      </w:r>
      <w:r w:rsidR="007765EC" w:rsidRPr="0090131B">
        <w:t>Finally,</w:t>
      </w:r>
      <w:r w:rsidR="00DD621D" w:rsidRPr="0090131B">
        <w:t xml:space="preserve"> maybe a parallel can be drawn between the presumption to derogate from the Convention (and</w:t>
      </w:r>
      <w:r w:rsidR="00540D35" w:rsidRPr="0090131B">
        <w:t>,</w:t>
      </w:r>
      <w:r w:rsidR="00DD621D" w:rsidRPr="0090131B">
        <w:t xml:space="preserve"> more generally</w:t>
      </w:r>
      <w:r w:rsidR="00540D35" w:rsidRPr="0090131B">
        <w:t>,</w:t>
      </w:r>
      <w:r w:rsidR="00DD621D" w:rsidRPr="0090131B">
        <w:t xml:space="preserve"> the d</w:t>
      </w:r>
      <w:r w:rsidR="00540D35" w:rsidRPr="0090131B">
        <w:t>iscussion</w:t>
      </w:r>
      <w:r w:rsidR="00DD621D" w:rsidRPr="0090131B">
        <w:t xml:space="preserve"> in the UK about a possible withdrawal from the ECHR) and Brexit.</w:t>
      </w:r>
      <w:r w:rsidR="0042797D" w:rsidRPr="0090131B">
        <w:rPr>
          <w:rStyle w:val="FootnoteReference"/>
        </w:rPr>
        <w:footnoteReference w:id="191"/>
      </w:r>
      <w:r w:rsidR="00DD621D" w:rsidRPr="0090131B">
        <w:t xml:space="preserve"> </w:t>
      </w:r>
      <w:r w:rsidR="00C52D32" w:rsidRPr="0090131B">
        <w:t>Indeed, a</w:t>
      </w:r>
      <w:r w:rsidR="007765EC" w:rsidRPr="0090131B">
        <w:t>n interesting question t</w:t>
      </w:r>
      <w:r w:rsidR="00DD621D" w:rsidRPr="0090131B">
        <w:t>hat</w:t>
      </w:r>
      <w:r w:rsidR="007765EC" w:rsidRPr="0090131B">
        <w:t xml:space="preserve"> political scientists</w:t>
      </w:r>
      <w:r w:rsidR="00DD621D" w:rsidRPr="0090131B">
        <w:t xml:space="preserve"> may wish to </w:t>
      </w:r>
      <w:r w:rsidR="00CA5ECF">
        <w:t>explore</w:t>
      </w:r>
      <w:r w:rsidR="007765EC" w:rsidRPr="0090131B">
        <w:t xml:space="preserve"> is whether the British policy discussed in this </w:t>
      </w:r>
      <w:r w:rsidR="00644251" w:rsidRPr="0090131B">
        <w:t>study</w:t>
      </w:r>
      <w:r w:rsidR="007765EC" w:rsidRPr="0090131B">
        <w:t xml:space="preserve"> shares the same roots with Brexit and the </w:t>
      </w:r>
      <w:r w:rsidR="005050B6" w:rsidRPr="0090131B">
        <w:t>route</w:t>
      </w:r>
      <w:r w:rsidR="007765EC" w:rsidRPr="0090131B">
        <w:t xml:space="preserve"> of </w:t>
      </w:r>
      <w:r w:rsidR="00CB7066" w:rsidRPr="0090131B">
        <w:t xml:space="preserve">isolation, </w:t>
      </w:r>
      <w:r w:rsidR="007765EC" w:rsidRPr="0090131B">
        <w:t>disengagement</w:t>
      </w:r>
      <w:r w:rsidR="001576CD">
        <w:t>,</w:t>
      </w:r>
      <w:r w:rsidR="007765EC" w:rsidRPr="0090131B">
        <w:t xml:space="preserve"> </w:t>
      </w:r>
      <w:r w:rsidR="00CB7066" w:rsidRPr="0090131B">
        <w:t xml:space="preserve">and distancing </w:t>
      </w:r>
      <w:r w:rsidR="007765EC" w:rsidRPr="0090131B">
        <w:t>from Europe</w:t>
      </w:r>
      <w:r w:rsidR="00540D35" w:rsidRPr="0090131B">
        <w:t xml:space="preserve"> (its institutions, the aims they pursue and the values they promote)</w:t>
      </w:r>
      <w:r w:rsidR="007765EC" w:rsidRPr="0090131B">
        <w:t xml:space="preserve"> that the UK</w:t>
      </w:r>
      <w:r w:rsidR="00CB7066" w:rsidRPr="0090131B">
        <w:t xml:space="preserve"> </w:t>
      </w:r>
      <w:r w:rsidR="00FC124E" w:rsidRPr="0090131B">
        <w:t>i</w:t>
      </w:r>
      <w:r w:rsidR="00CB7066" w:rsidRPr="0090131B">
        <w:t>s</w:t>
      </w:r>
      <w:r w:rsidR="007765EC" w:rsidRPr="0090131B">
        <w:t xml:space="preserve"> </w:t>
      </w:r>
      <w:r w:rsidR="00CB7066" w:rsidRPr="0090131B">
        <w:t>tak</w:t>
      </w:r>
      <w:r w:rsidR="00FC124E" w:rsidRPr="0090131B">
        <w:t>ing</w:t>
      </w:r>
      <w:r w:rsidR="00962BC0" w:rsidRPr="0090131B">
        <w:t>.</w:t>
      </w:r>
      <w:r w:rsidR="00F73D99" w:rsidRPr="0090131B">
        <w:t xml:space="preserve"> </w:t>
      </w:r>
    </w:p>
    <w:sectPr w:rsidR="00020047" w:rsidRPr="0090131B" w:rsidSect="00A0644B">
      <w:footerReference w:type="even" r:id="rId11"/>
      <w:footerReference w:type="default" r:id="rId12"/>
      <w:pgSz w:w="11900" w:h="16840"/>
      <w:pgMar w:top="1440" w:right="1440" w:bottom="1440" w:left="1440" w:header="708" w:footer="708" w:gutter="0"/>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ne Alice Hofbauer" w:date="2018-09-30T15:58:00Z" w:initials="JAH">
    <w:p w14:paraId="34A99D40" w14:textId="36523D5C" w:rsidR="00A51F58" w:rsidRDefault="00A51F58">
      <w:pPr>
        <w:pStyle w:val="CommentText"/>
      </w:pPr>
      <w:r>
        <w:rPr>
          <w:rStyle w:val="CommentReference"/>
        </w:rPr>
        <w:annotationRef/>
      </w:r>
      <w:r>
        <w:t>Delete?</w:t>
      </w:r>
    </w:p>
  </w:comment>
  <w:comment w:id="1" w:author="Dr Vassilis Tzevelekos" w:date="2018-11-07T15:37:00Z" w:initials="VT">
    <w:p w14:paraId="42E3EB02" w14:textId="2F358A1A" w:rsidR="00A51F58" w:rsidRDefault="00A51F58">
      <w:pPr>
        <w:pStyle w:val="CommentText"/>
      </w:pPr>
      <w:r>
        <w:rPr>
          <w:rStyle w:val="CommentReference"/>
        </w:rPr>
        <w:annotationRef/>
      </w:r>
      <w:r>
        <w:t>deleted</w:t>
      </w:r>
    </w:p>
  </w:comment>
  <w:comment w:id="9" w:author="Jane Alice Hofbauer" w:date="2018-10-05T15:03:00Z" w:initials="JAH">
    <w:p w14:paraId="313117AE" w14:textId="262E3392" w:rsidR="00A51F58" w:rsidRDefault="00A51F58">
      <w:pPr>
        <w:pStyle w:val="CommentText"/>
      </w:pPr>
      <w:r>
        <w:rPr>
          <w:rStyle w:val="CommentReference"/>
        </w:rPr>
        <w:annotationRef/>
      </w:r>
      <w:r>
        <w:t>shift in policy?</w:t>
      </w:r>
    </w:p>
  </w:comment>
  <w:comment w:id="10" w:author="Dr Vassilis Tzevelekos" w:date="2018-11-07T15:53:00Z" w:initials="VT">
    <w:p w14:paraId="2ECD83F8" w14:textId="0E5594B1" w:rsidR="00A51F58" w:rsidRPr="002E7747" w:rsidRDefault="00A51F58">
      <w:pPr>
        <w:pStyle w:val="CommentText"/>
      </w:pPr>
      <w:r>
        <w:rPr>
          <w:rStyle w:val="CommentReference"/>
        </w:rPr>
        <w:annotationRef/>
      </w:r>
      <w:r>
        <w:t>Clearer now?</w:t>
      </w:r>
    </w:p>
  </w:comment>
  <w:comment w:id="13" w:author="Jane Alice Hofbauer" w:date="2018-10-05T15:04:00Z" w:initials="JAH">
    <w:p w14:paraId="53CDF18E" w14:textId="22FD627B" w:rsidR="00A51F58" w:rsidRDefault="00A51F58">
      <w:pPr>
        <w:pStyle w:val="CommentText"/>
      </w:pPr>
      <w:r>
        <w:rPr>
          <w:rStyle w:val="CommentReference"/>
        </w:rPr>
        <w:annotationRef/>
      </w:r>
      <w:r>
        <w:t>Elaborate? It doesn’t seem clear he draws that conclusion</w:t>
      </w:r>
    </w:p>
  </w:comment>
  <w:comment w:id="14" w:author="Dr Vassilis Tzevelekos" w:date="2018-12-27T21:52:00Z" w:initials="VT">
    <w:p w14:paraId="0E2EC57F" w14:textId="045E138D" w:rsidR="00A51F58" w:rsidRDefault="00A51F58">
      <w:pPr>
        <w:pStyle w:val="CommentText"/>
      </w:pPr>
      <w:r>
        <w:rPr>
          <w:rStyle w:val="CommentReference"/>
        </w:rPr>
        <w:annotationRef/>
      </w:r>
      <w:r>
        <w:t>Clearer now?</w:t>
      </w:r>
    </w:p>
  </w:comment>
  <w:comment w:id="22" w:author="Jane Alice Hofbauer" w:date="2018-11-02T11:32:00Z" w:initials="JAH">
    <w:p w14:paraId="107C385B" w14:textId="73BCB629" w:rsidR="00A51F58" w:rsidRDefault="00A51F58">
      <w:pPr>
        <w:pStyle w:val="CommentText"/>
      </w:pPr>
      <w:r>
        <w:rPr>
          <w:rStyle w:val="CommentReference"/>
        </w:rPr>
        <w:annotationRef/>
      </w:r>
      <w:r>
        <w:t>What does this relate to specifically, i.e. how can this be deduced as an aim?</w:t>
      </w:r>
    </w:p>
  </w:comment>
  <w:comment w:id="23" w:author="Dr Vassilis Tzevelekos" w:date="2018-11-08T13:19:00Z" w:initials="VT">
    <w:p w14:paraId="49EED02E" w14:textId="77777777" w:rsidR="00A51F58" w:rsidRDefault="00A51F58">
      <w:pPr>
        <w:pStyle w:val="CommentText"/>
      </w:pPr>
      <w:r>
        <w:rPr>
          <w:rStyle w:val="CommentReference"/>
        </w:rPr>
        <w:annotationRef/>
      </w:r>
      <w:r>
        <w:t xml:space="preserve">I am not sure I fully understand the question. What I am arguing is that, outside of any genuine reasons justifying a derogation in conformity with the ECHR, one can identify two more (strands of) reasons. This stems from the reading of the exchange of documents between the Parliament and the Ministry of Defence.  </w:t>
      </w:r>
    </w:p>
    <w:p w14:paraId="6A6E1615" w14:textId="77777777" w:rsidR="00A51F58" w:rsidRDefault="00A51F58">
      <w:pPr>
        <w:pStyle w:val="CommentText"/>
      </w:pPr>
    </w:p>
    <w:p w14:paraId="4CCB4B79" w14:textId="6FBB2B4F" w:rsidR="00A51F58" w:rsidRDefault="00A51F58">
      <w:pPr>
        <w:pStyle w:val="CommentText"/>
      </w:pPr>
      <w:r>
        <w:t xml:space="preserve">See please rephrasing -in case it makes it clearer.    </w:t>
      </w:r>
    </w:p>
  </w:comment>
  <w:comment w:id="29" w:author="Jane Alice Hofbauer" w:date="2018-11-02T12:01:00Z" w:initials="JAH">
    <w:p w14:paraId="392DFF7E" w14:textId="1E88959D" w:rsidR="00A51F58" w:rsidRDefault="00A51F58">
      <w:pPr>
        <w:pStyle w:val="CommentText"/>
      </w:pPr>
      <w:r>
        <w:rPr>
          <w:rStyle w:val="CommentReference"/>
        </w:rPr>
        <w:annotationRef/>
      </w:r>
      <w:r>
        <w:t>Precisely the shift in case law top increasingly expand extraterritorially is one of the primary motives for the plans to derogate… do you mean that this would entail that the UK admits its application? Clarify?</w:t>
      </w:r>
    </w:p>
  </w:comment>
  <w:comment w:id="30" w:author="Dr Vassilis Tzevelekos" w:date="2018-11-08T13:36:00Z" w:initials="VT">
    <w:p w14:paraId="0BA55ACE" w14:textId="7F59FB16" w:rsidR="00A51F58" w:rsidRDefault="00A51F58">
      <w:pPr>
        <w:pStyle w:val="CommentText"/>
      </w:pPr>
      <w:r>
        <w:rPr>
          <w:rStyle w:val="CommentReference"/>
        </w:rPr>
        <w:annotationRef/>
      </w:r>
      <w:r>
        <w:t xml:space="preserve">I hope the changes introduced here and the addition in the fn clarify sufficiently. </w:t>
      </w:r>
    </w:p>
  </w:comment>
  <w:comment w:id="31" w:author="Jane Alice Hofbauer" w:date="2018-11-02T12:02:00Z" w:initials="JAH">
    <w:p w14:paraId="12D6A97B" w14:textId="77B72A80" w:rsidR="00A51F58" w:rsidRDefault="00A51F58">
      <w:pPr>
        <w:pStyle w:val="CommentText"/>
      </w:pPr>
      <w:r>
        <w:rPr>
          <w:rStyle w:val="CommentReference"/>
        </w:rPr>
        <w:annotationRef/>
      </w:r>
      <w:r>
        <w:t>? do you mean derogable?</w:t>
      </w:r>
    </w:p>
  </w:comment>
  <w:comment w:id="32" w:author="Dr Vassilis Tzevelekos" w:date="2018-11-08T13:54:00Z" w:initials="VT">
    <w:p w14:paraId="483E255A" w14:textId="5451AF6C" w:rsidR="00A51F58" w:rsidRDefault="00A51F58">
      <w:pPr>
        <w:pStyle w:val="CommentText"/>
      </w:pPr>
      <w:r>
        <w:rPr>
          <w:rStyle w:val="CommentReference"/>
        </w:rPr>
        <w:annotationRef/>
      </w:r>
      <w:r>
        <w:t xml:space="preserve">Thanks for spotting this. See please introduced changes </w:t>
      </w:r>
    </w:p>
  </w:comment>
  <w:comment w:id="36" w:author="Jane Alice Hofbauer" w:date="2018-11-02T12:05:00Z" w:initials="JAH">
    <w:p w14:paraId="7E09E527" w14:textId="1B9F6DA8" w:rsidR="00A51F58" w:rsidRDefault="00A51F58">
      <w:pPr>
        <w:pStyle w:val="CommentText"/>
      </w:pPr>
      <w:r>
        <w:rPr>
          <w:rStyle w:val="CommentReference"/>
        </w:rPr>
        <w:annotationRef/>
      </w:r>
      <w:r>
        <w:t>responsibility?</w:t>
      </w:r>
    </w:p>
  </w:comment>
  <w:comment w:id="37" w:author="Dr Vassilis Tzevelekos" w:date="2018-11-08T14:16:00Z" w:initials="VT">
    <w:p w14:paraId="03482001" w14:textId="58135755" w:rsidR="00A51F58" w:rsidRDefault="00A51F58">
      <w:pPr>
        <w:pStyle w:val="CommentText"/>
      </w:pPr>
      <w:r>
        <w:rPr>
          <w:rStyle w:val="CommentReference"/>
        </w:rPr>
        <w:annotationRef/>
      </w:r>
      <w:r>
        <w:t xml:space="preserve">In my mind the two terms are synonymous. </w:t>
      </w:r>
    </w:p>
  </w:comment>
  <w:comment w:id="39" w:author="Jane Alice Hofbauer" w:date="2018-11-02T12:05:00Z" w:initials="JAH">
    <w:p w14:paraId="790FB2F1" w14:textId="4B7BA375" w:rsidR="00A51F58" w:rsidRDefault="00A51F58">
      <w:pPr>
        <w:pStyle w:val="CommentText"/>
      </w:pPr>
      <w:r>
        <w:rPr>
          <w:rStyle w:val="CommentReference"/>
        </w:rPr>
        <w:annotationRef/>
      </w:r>
      <w:r>
        <w:t>Have here ever been cases where this has been alleged?</w:t>
      </w:r>
    </w:p>
  </w:comment>
  <w:comment w:id="40" w:author="Dr Vassilis Tzevelekos" w:date="2018-11-08T14:19:00Z" w:initials="VT">
    <w:p w14:paraId="7C4BEA74" w14:textId="7776FFCD" w:rsidR="00A51F58" w:rsidRDefault="00A51F58">
      <w:pPr>
        <w:pStyle w:val="CommentText"/>
      </w:pPr>
      <w:r>
        <w:rPr>
          <w:rStyle w:val="CommentReference"/>
        </w:rPr>
        <w:annotationRef/>
      </w:r>
      <w:r>
        <w:t xml:space="preserve">See please references in the fns. It is merely an auxiliary argument in my analysis and I would not wish to further elaborate. </w:t>
      </w:r>
    </w:p>
  </w:comment>
  <w:comment w:id="42" w:author="Philipp Andreas Janig" w:date="2018-11-02T17:50:00Z" w:initials="PAJ">
    <w:p w14:paraId="0D548573" w14:textId="101527F9" w:rsidR="00A51F58" w:rsidRDefault="00A51F58" w:rsidP="00756B87">
      <w:pPr>
        <w:pStyle w:val="CommentText"/>
      </w:pPr>
      <w:r>
        <w:t xml:space="preserve">The principle of abuse of rights is </w:t>
      </w:r>
      <w:r w:rsidRPr="00744A9F">
        <w:rPr>
          <w:i/>
        </w:rPr>
        <w:t>supra</w:t>
      </w:r>
      <w:r>
        <w:t xml:space="preserve"> and </w:t>
      </w:r>
      <w:r w:rsidRPr="00744A9F">
        <w:rPr>
          <w:i/>
        </w:rPr>
        <w:t>infra</w:t>
      </w:r>
      <w:r>
        <w:t xml:space="preserve"> consistently referred to as a “general principle of international law”</w:t>
      </w:r>
      <w:r>
        <w:rPr>
          <w:rStyle w:val="CommentReference"/>
        </w:rPr>
        <w:annotationRef/>
      </w:r>
      <w:r>
        <w:t>. Is that denomination intentional (</w:t>
      </w:r>
      <w:r w:rsidRPr="00756B87">
        <w:rPr>
          <w:i/>
        </w:rPr>
        <w:t>i.e.</w:t>
      </w:r>
      <w:r>
        <w:t xml:space="preserve"> in contrast to a “general principle of law”)? Maybe clarify in the fn</w:t>
      </w:r>
    </w:p>
  </w:comment>
  <w:comment w:id="43" w:author="Dr Vassilis Tzevelekos" w:date="2018-11-08T14:47:00Z" w:initials="VT">
    <w:p w14:paraId="560D2AB2" w14:textId="480D5F14" w:rsidR="00A51F58" w:rsidRDefault="00A51F58">
      <w:pPr>
        <w:pStyle w:val="CommentText"/>
      </w:pPr>
      <w:r>
        <w:rPr>
          <w:rStyle w:val="CommentReference"/>
        </w:rPr>
        <w:annotationRef/>
      </w:r>
      <w:r>
        <w:t xml:space="preserve">See please added txt in the fn. </w:t>
      </w:r>
    </w:p>
  </w:comment>
  <w:comment w:id="44" w:author="Philipp Andreas Janig" w:date="2018-11-02T17:52:00Z" w:initials="PAJ">
    <w:p w14:paraId="3E3D1092" w14:textId="4E35DBC8" w:rsidR="00A51F58" w:rsidRDefault="00A51F58">
      <w:pPr>
        <w:pStyle w:val="CommentText"/>
      </w:pPr>
      <w:r>
        <w:rPr>
          <w:rStyle w:val="CommentReference"/>
        </w:rPr>
        <w:annotationRef/>
      </w:r>
      <w:r>
        <w:t>Maybe replace by: “the content of which”</w:t>
      </w:r>
    </w:p>
  </w:comment>
  <w:comment w:id="46" w:author="Philipp Andreas Janig" w:date="2018-11-02T15:03:00Z" w:initials="PAJ">
    <w:p w14:paraId="631FB27A" w14:textId="4E62E6B2" w:rsidR="00A51F58" w:rsidRDefault="00A51F58">
      <w:pPr>
        <w:pStyle w:val="CommentText"/>
      </w:pPr>
      <w:r>
        <w:rPr>
          <w:rStyle w:val="CommentReference"/>
        </w:rPr>
        <w:annotationRef/>
      </w:r>
      <w:r>
        <w:t xml:space="preserve">Please clarify: can states even </w:t>
      </w:r>
      <w:r w:rsidRPr="00A46A8A">
        <w:rPr>
          <w:u w:val="single"/>
        </w:rPr>
        <w:t>violate</w:t>
      </w:r>
      <w:r>
        <w:t xml:space="preserve"> the principle of good faith by itself? </w:t>
      </w:r>
      <w:r w:rsidRPr="00A46A8A">
        <w:rPr>
          <w:i/>
        </w:rPr>
        <w:t>Cf</w:t>
      </w:r>
      <w:r>
        <w:t xml:space="preserve"> also ICJ on good faith: </w:t>
      </w:r>
      <w:r w:rsidRPr="00A46A8A">
        <w:t>“it is not in itself a source of obligation where none would otherwise exist”</w:t>
      </w:r>
      <w:r>
        <w:t xml:space="preserve"> (</w:t>
      </w:r>
      <w:r w:rsidRPr="00A46A8A">
        <w:rPr>
          <w:i/>
        </w:rPr>
        <w:t>Border and Transborder Armed Actions</w:t>
      </w:r>
      <w:r w:rsidRPr="00A46A8A">
        <w:t xml:space="preserve"> (</w:t>
      </w:r>
      <w:r w:rsidRPr="00A46A8A">
        <w:rPr>
          <w:i/>
        </w:rPr>
        <w:t>Nicaragua v Honduras</w:t>
      </w:r>
      <w:r w:rsidRPr="00A46A8A">
        <w:t>) (Jurisdiction and Admissibility) [1988] ICJ Rep 69, para 94</w:t>
      </w:r>
      <w:r>
        <w:t>).</w:t>
      </w:r>
    </w:p>
  </w:comment>
  <w:comment w:id="47" w:author="Dr Vassilis Tzevelekos" w:date="2018-11-08T15:28:00Z" w:initials="VT">
    <w:p w14:paraId="613DD184" w14:textId="77777777" w:rsidR="00A51F58" w:rsidRDefault="00A51F58">
      <w:pPr>
        <w:pStyle w:val="CommentText"/>
      </w:pPr>
      <w:r>
        <w:rPr>
          <w:rStyle w:val="CommentReference"/>
        </w:rPr>
        <w:annotationRef/>
      </w:r>
      <w:r>
        <w:t xml:space="preserve">Thank you for this -very interesting point. </w:t>
      </w:r>
    </w:p>
    <w:p w14:paraId="53188A02" w14:textId="77777777" w:rsidR="00A51F58" w:rsidRDefault="00A51F58" w:rsidP="00AB2612">
      <w:pPr>
        <w:pStyle w:val="CommentText"/>
        <w:numPr>
          <w:ilvl w:val="0"/>
          <w:numId w:val="28"/>
        </w:numPr>
      </w:pPr>
      <w:r>
        <w:t>I would not wish -given the paper’s scope- to engage in a theoretical discussion on good faith</w:t>
      </w:r>
    </w:p>
    <w:p w14:paraId="1536E68C" w14:textId="77777777" w:rsidR="00A51F58" w:rsidRDefault="00A51F58" w:rsidP="00AB2612">
      <w:pPr>
        <w:pStyle w:val="CommentText"/>
        <w:numPr>
          <w:ilvl w:val="0"/>
          <w:numId w:val="28"/>
        </w:numPr>
      </w:pPr>
      <w:r>
        <w:t>This passage is more of a (rather obscure) obiter dictum. The Court is not all detailed and clear. It mainly refer to the power o good faith to generate new obligations, not to its breach per se.</w:t>
      </w:r>
    </w:p>
    <w:p w14:paraId="15666377" w14:textId="77777777" w:rsidR="00A51F58" w:rsidRDefault="00A51F58" w:rsidP="00AB2612">
      <w:pPr>
        <w:pStyle w:val="CommentText"/>
        <w:numPr>
          <w:ilvl w:val="0"/>
          <w:numId w:val="28"/>
        </w:numPr>
      </w:pPr>
      <w:r>
        <w:t xml:space="preserve">My opinion would be that good faith needs to be associated with another rule, the breach of which (because of bad faith) encompasses bad faith. But, this is rather theoretical and not necessary for the purposes of this paper. </w:t>
      </w:r>
    </w:p>
    <w:p w14:paraId="25CAC856" w14:textId="3F7A0658" w:rsidR="00A51F58" w:rsidRDefault="00A51F58" w:rsidP="00AB2612">
      <w:pPr>
        <w:pStyle w:val="CommentText"/>
        <w:numPr>
          <w:ilvl w:val="0"/>
          <w:numId w:val="28"/>
        </w:numPr>
      </w:pPr>
      <w:r>
        <w:t xml:space="preserve">Similar concerns exist regarding abuse of rights? Can it ever constitute an (autonomous) breach? One is breaching its rights by abusing them. The former absorbs the latter, i.e. the breach of the right that has been  abused conditions the abuse, that is, no abuse can exist unless it has led to a breach. See in that respect discussion below in the paper. </w:t>
      </w:r>
    </w:p>
  </w:comment>
  <w:comment w:id="48" w:author="Philipp Andreas Janig" w:date="2018-11-02T15:04:00Z" w:initials="PAJ">
    <w:p w14:paraId="01760D09" w14:textId="7669CDD0" w:rsidR="00A51F58" w:rsidRDefault="00A51F58">
      <w:pPr>
        <w:pStyle w:val="CommentText"/>
      </w:pPr>
      <w:r>
        <w:rPr>
          <w:rStyle w:val="CommentReference"/>
        </w:rPr>
        <w:annotationRef/>
      </w:r>
      <w:r>
        <w:t>Maybe replace by: “may constitute an”</w:t>
      </w:r>
    </w:p>
  </w:comment>
  <w:comment w:id="49" w:author="Dr Vassilis Tzevelekos" w:date="2018-11-08T15:36:00Z" w:initials="VT">
    <w:p w14:paraId="0883AE21" w14:textId="7D6AE53D" w:rsidR="00A51F58" w:rsidRDefault="00A51F58">
      <w:pPr>
        <w:pStyle w:val="CommentText"/>
      </w:pPr>
      <w:r>
        <w:rPr>
          <w:rStyle w:val="CommentReference"/>
        </w:rPr>
        <w:annotationRef/>
      </w:r>
      <w:r>
        <w:t>done</w:t>
      </w:r>
    </w:p>
  </w:comment>
  <w:comment w:id="50" w:author="Philipp Andreas Janig" w:date="2018-11-02T15:11:00Z" w:initials="PAJ">
    <w:p w14:paraId="5FABA4DB" w14:textId="64025DD3" w:rsidR="00A51F58" w:rsidRDefault="00A51F58">
      <w:pPr>
        <w:pStyle w:val="CommentText"/>
      </w:pPr>
      <w:r>
        <w:rPr>
          <w:rStyle w:val="CommentReference"/>
        </w:rPr>
        <w:annotationRef/>
      </w:r>
      <w:r>
        <w:t>For easier readability please insert paras on this page</w:t>
      </w:r>
    </w:p>
  </w:comment>
  <w:comment w:id="51" w:author="Dr Vassilis Tzevelekos" w:date="2018-11-08T15:38:00Z" w:initials="VT">
    <w:p w14:paraId="7FB79C79" w14:textId="557FC7BF" w:rsidR="00A51F58" w:rsidRDefault="00A51F58">
      <w:pPr>
        <w:pStyle w:val="CommentText"/>
      </w:pPr>
      <w:r>
        <w:rPr>
          <w:rStyle w:val="CommentReference"/>
        </w:rPr>
        <w:annotationRef/>
      </w:r>
      <w:r>
        <w:t>I am not sure I understand this comment.</w:t>
      </w:r>
    </w:p>
  </w:comment>
  <w:comment w:id="53" w:author="Philipp Andreas Janig" w:date="2018-11-02T15:14:00Z" w:initials="PAJ">
    <w:p w14:paraId="74CA81E2" w14:textId="48FB8C81" w:rsidR="00A51F58" w:rsidRDefault="00A51F58">
      <w:pPr>
        <w:pStyle w:val="CommentText"/>
      </w:pPr>
      <w:r>
        <w:rPr>
          <w:rStyle w:val="CommentReference"/>
        </w:rPr>
        <w:annotationRef/>
      </w:r>
      <w:r>
        <w:t>Maybe replace by: “in excess of Article 15 ECHR and contrary to”</w:t>
      </w:r>
    </w:p>
  </w:comment>
  <w:comment w:id="54" w:author="Dr Vassilis Tzevelekos" w:date="2018-11-08T15:43:00Z" w:initials="VT">
    <w:p w14:paraId="6EF079CE" w14:textId="6A61DB66" w:rsidR="00A51F58" w:rsidRDefault="00A51F58">
      <w:pPr>
        <w:pStyle w:val="CommentText"/>
      </w:pPr>
      <w:r>
        <w:rPr>
          <w:rStyle w:val="CommentReference"/>
        </w:rPr>
        <w:annotationRef/>
      </w:r>
      <w:r>
        <w:t>Thank you for this point, but I would prefer keeping the term “breach” as this better reflects the argument built in these 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A99D40" w15:done="0"/>
  <w15:commentEx w15:paraId="42E3EB02" w15:paraIdParent="34A99D40" w15:done="0"/>
  <w15:commentEx w15:paraId="313117AE" w15:done="0"/>
  <w15:commentEx w15:paraId="2ECD83F8" w15:paraIdParent="313117AE" w15:done="0"/>
  <w15:commentEx w15:paraId="53CDF18E" w15:done="0"/>
  <w15:commentEx w15:paraId="0E2EC57F" w15:paraIdParent="53CDF18E" w15:done="0"/>
  <w15:commentEx w15:paraId="107C385B" w15:done="0"/>
  <w15:commentEx w15:paraId="4CCB4B79" w15:paraIdParent="107C385B" w15:done="0"/>
  <w15:commentEx w15:paraId="392DFF7E" w15:done="0"/>
  <w15:commentEx w15:paraId="0BA55ACE" w15:paraIdParent="392DFF7E" w15:done="0"/>
  <w15:commentEx w15:paraId="12D6A97B" w15:done="0"/>
  <w15:commentEx w15:paraId="483E255A" w15:paraIdParent="12D6A97B" w15:done="0"/>
  <w15:commentEx w15:paraId="7E09E527" w15:done="0"/>
  <w15:commentEx w15:paraId="03482001" w15:paraIdParent="7E09E527" w15:done="0"/>
  <w15:commentEx w15:paraId="790FB2F1" w15:done="0"/>
  <w15:commentEx w15:paraId="7C4BEA74" w15:paraIdParent="790FB2F1" w15:done="0"/>
  <w15:commentEx w15:paraId="0D548573" w15:done="0"/>
  <w15:commentEx w15:paraId="560D2AB2" w15:paraIdParent="0D548573" w15:done="0"/>
  <w15:commentEx w15:paraId="3E3D1092" w15:done="0"/>
  <w15:commentEx w15:paraId="631FB27A" w15:done="0"/>
  <w15:commentEx w15:paraId="25CAC856" w15:paraIdParent="631FB27A" w15:done="0"/>
  <w15:commentEx w15:paraId="01760D09" w15:done="0"/>
  <w15:commentEx w15:paraId="0883AE21" w15:paraIdParent="01760D09" w15:done="0"/>
  <w15:commentEx w15:paraId="5FABA4DB" w15:done="0"/>
  <w15:commentEx w15:paraId="7FB79C79" w15:paraIdParent="5FABA4DB" w15:done="0"/>
  <w15:commentEx w15:paraId="74CA81E2" w15:done="0"/>
  <w15:commentEx w15:paraId="6EF079CE" w15:paraIdParent="74CA81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99D40" w16cid:durableId="1FBA6B4E"/>
  <w16cid:commentId w16cid:paraId="42E3EB02" w16cid:durableId="1F8D853F"/>
  <w16cid:commentId w16cid:paraId="313117AE" w16cid:durableId="1F8D84E0"/>
  <w16cid:commentId w16cid:paraId="2ECD83F8" w16cid:durableId="1F8D88EA"/>
  <w16cid:commentId w16cid:paraId="53CDF18E" w16cid:durableId="1F8D84E1"/>
  <w16cid:commentId w16cid:paraId="0E2EC57F" w16cid:durableId="1FCFC81F"/>
  <w16cid:commentId w16cid:paraId="107C385B" w16cid:durableId="1F8D84E4"/>
  <w16cid:commentId w16cid:paraId="4CCB4B79" w16cid:durableId="1F8EB665"/>
  <w16cid:commentId w16cid:paraId="392DFF7E" w16cid:durableId="1F8D84E5"/>
  <w16cid:commentId w16cid:paraId="0BA55ACE" w16cid:durableId="1F8EBA49"/>
  <w16cid:commentId w16cid:paraId="12D6A97B" w16cid:durableId="1F8D84E6"/>
  <w16cid:commentId w16cid:paraId="483E255A" w16cid:durableId="1F8EBE93"/>
  <w16cid:commentId w16cid:paraId="7E09E527" w16cid:durableId="1F8D84E7"/>
  <w16cid:commentId w16cid:paraId="03482001" w16cid:durableId="1F8EC3AC"/>
  <w16cid:commentId w16cid:paraId="790FB2F1" w16cid:durableId="1F8D84E8"/>
  <w16cid:commentId w16cid:paraId="7C4BEA74" w16cid:durableId="1F8EC485"/>
  <w16cid:commentId w16cid:paraId="0D548573" w16cid:durableId="1F8D84EA"/>
  <w16cid:commentId w16cid:paraId="560D2AB2" w16cid:durableId="1F8ECAF5"/>
  <w16cid:commentId w16cid:paraId="3E3D1092" w16cid:durableId="1FBA6B61"/>
  <w16cid:commentId w16cid:paraId="631FB27A" w16cid:durableId="1F8D84EC"/>
  <w16cid:commentId w16cid:paraId="25CAC856" w16cid:durableId="1F8ED497"/>
  <w16cid:commentId w16cid:paraId="01760D09" w16cid:durableId="1F8D84ED"/>
  <w16cid:commentId w16cid:paraId="0883AE21" w16cid:durableId="1F8ED680"/>
  <w16cid:commentId w16cid:paraId="5FABA4DB" w16cid:durableId="1F8D84EE"/>
  <w16cid:commentId w16cid:paraId="7FB79C79" w16cid:durableId="1F8ED6FB"/>
  <w16cid:commentId w16cid:paraId="74CA81E2" w16cid:durableId="1F8D84EF"/>
  <w16cid:commentId w16cid:paraId="6EF079CE" w16cid:durableId="1F8ED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E590" w14:textId="77777777" w:rsidR="00E95B7D" w:rsidRDefault="00E95B7D" w:rsidP="00100316">
      <w:r>
        <w:separator/>
      </w:r>
    </w:p>
  </w:endnote>
  <w:endnote w:type="continuationSeparator" w:id="0">
    <w:p w14:paraId="1127DDC9" w14:textId="77777777" w:rsidR="00E95B7D" w:rsidRDefault="00E95B7D" w:rsidP="0010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D674" w14:textId="77777777" w:rsidR="00A51F58" w:rsidRDefault="00A51F58" w:rsidP="00821C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D1C1A" w14:textId="77777777" w:rsidR="00A51F58" w:rsidRDefault="00A51F58" w:rsidP="00A06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0524" w14:textId="6245DA36" w:rsidR="00A51F58" w:rsidRDefault="00A51F58" w:rsidP="00821C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- 18 -</w:t>
    </w:r>
    <w:r>
      <w:rPr>
        <w:rStyle w:val="PageNumber"/>
      </w:rPr>
      <w:fldChar w:fldCharType="end"/>
    </w:r>
  </w:p>
  <w:p w14:paraId="24ACAFD0" w14:textId="77777777" w:rsidR="00A51F58" w:rsidRDefault="00A51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226DE" w14:textId="77777777" w:rsidR="00E95B7D" w:rsidRDefault="00E95B7D" w:rsidP="00100316">
      <w:r>
        <w:separator/>
      </w:r>
    </w:p>
  </w:footnote>
  <w:footnote w:type="continuationSeparator" w:id="0">
    <w:p w14:paraId="57706E45" w14:textId="77777777" w:rsidR="00E95B7D" w:rsidRDefault="00E95B7D" w:rsidP="00100316">
      <w:r>
        <w:continuationSeparator/>
      </w:r>
    </w:p>
  </w:footnote>
  <w:footnote w:id="1">
    <w:p w14:paraId="0D6DCB71" w14:textId="7FAA21AC" w:rsidR="00A51F58" w:rsidRPr="006A7923" w:rsidRDefault="00A51F58" w:rsidP="008E72AA">
      <w:pPr>
        <w:ind w:right="-52"/>
        <w:jc w:val="both"/>
        <w:rPr>
          <w:sz w:val="20"/>
          <w:szCs w:val="20"/>
        </w:rPr>
      </w:pPr>
      <w:r w:rsidRPr="006A7923">
        <w:rPr>
          <w:rStyle w:val="FootnoteReference"/>
          <w:sz w:val="20"/>
          <w:szCs w:val="20"/>
        </w:rPr>
        <w:t>*</w:t>
      </w:r>
      <w:r w:rsidRPr="006A7923">
        <w:rPr>
          <w:sz w:val="20"/>
          <w:szCs w:val="20"/>
        </w:rPr>
        <w:t xml:space="preserve"> Senior Lecturer in Law, University of Liverpool School of Law and Social Justice. The author is thankful to S. Salomon, K. Istrefi, K. Dzehtsiarou, D. Kagiaros, R. Grozdanova, J.A. Hofbauer and P.A. Janig for their comments on previous versions of the study. He is also</w:t>
      </w:r>
      <w:r w:rsidRPr="006A7923">
        <w:rPr>
          <w:color w:val="000000" w:themeColor="text1"/>
          <w:sz w:val="20"/>
          <w:szCs w:val="20"/>
        </w:rPr>
        <w:t xml:space="preserve"> thankful to G. Oberleitner who acted as discussant in the conference leading to this special journal issue.</w:t>
      </w:r>
      <w:r w:rsidRPr="006A7923">
        <w:rPr>
          <w:sz w:val="20"/>
          <w:szCs w:val="20"/>
        </w:rPr>
        <w:t xml:space="preserve"> The usual disclaimer applies regarding errors. The study was completed in August 2017. It was partially updated in December 2018 to include important recent case law.</w:t>
      </w:r>
    </w:p>
  </w:footnote>
  <w:footnote w:id="2">
    <w:p w14:paraId="3D101356" w14:textId="3CDAB813" w:rsidR="00A51F58" w:rsidRPr="006A7923" w:rsidRDefault="00A51F58" w:rsidP="008E72AA">
      <w:pPr>
        <w:jc w:val="both"/>
        <w:rPr>
          <w:color w:val="000000" w:themeColor="text1"/>
          <w:sz w:val="20"/>
          <w:szCs w:val="20"/>
        </w:rPr>
      </w:pPr>
      <w:r w:rsidRPr="006A7923">
        <w:rPr>
          <w:rStyle w:val="FootnoteReference"/>
          <w:color w:val="000000" w:themeColor="text1"/>
          <w:sz w:val="20"/>
          <w:szCs w:val="20"/>
        </w:rPr>
        <w:footnoteRef/>
      </w:r>
      <w:r w:rsidRPr="006A7923">
        <w:rPr>
          <w:color w:val="000000" w:themeColor="text1"/>
          <w:sz w:val="20"/>
          <w:szCs w:val="20"/>
        </w:rPr>
        <w:t xml:space="preserve"> Rt Hon Michael Fallon MP, Secretary of State for Defence, speech at the Conservative Party Conference, 04 October 2016, available at &lt;http://press.conservatives.com/post/151334557375/fallon-our-armed-forces-delivering-security-and&gt; accessed 19 July 2017.</w:t>
      </w:r>
    </w:p>
  </w:footnote>
  <w:footnote w:id="3">
    <w:p w14:paraId="73F2DFA2" w14:textId="0525C14D"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Which is often portrayed in the UK as a folk devil. As Cohen has shown, folk devils are associated with moral panics, </w:t>
      </w:r>
      <w:r w:rsidRPr="006A7923">
        <w:rPr>
          <w:rFonts w:ascii="Times New Roman" w:hAnsi="Times New Roman" w:cs="Times New Roman"/>
          <w:i/>
          <w:sz w:val="20"/>
          <w:szCs w:val="20"/>
        </w:rPr>
        <w:t>i.e.</w:t>
      </w:r>
      <w:r w:rsidRPr="006A7923">
        <w:rPr>
          <w:rFonts w:ascii="Times New Roman" w:hAnsi="Times New Roman" w:cs="Times New Roman"/>
          <w:sz w:val="20"/>
          <w:szCs w:val="20"/>
        </w:rPr>
        <w:t xml:space="preserve"> exaggerated over-reaction to a perceived problem. Stanley Cohen, </w:t>
      </w:r>
      <w:r w:rsidRPr="006A7923">
        <w:rPr>
          <w:rFonts w:ascii="Times New Roman" w:hAnsi="Times New Roman" w:cs="Times New Roman"/>
          <w:i/>
          <w:sz w:val="20"/>
          <w:szCs w:val="20"/>
        </w:rPr>
        <w:t xml:space="preserve">Folk Devils and Moral Panics </w:t>
      </w:r>
      <w:r w:rsidRPr="006A7923">
        <w:rPr>
          <w:rFonts w:ascii="Times New Roman" w:hAnsi="Times New Roman" w:cs="Times New Roman"/>
          <w:sz w:val="20"/>
          <w:szCs w:val="20"/>
        </w:rPr>
        <w:t xml:space="preserve">(Routledge 2011). </w:t>
      </w:r>
    </w:p>
  </w:footnote>
  <w:footnote w:id="4">
    <w:p w14:paraId="3414E462" w14:textId="6D9D1995"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On the practice of the ECHR institutions on derogations, see the ECtHR, ‘Factsheet – Derogation in Time of Emergency’ (July 2017), available at &lt;www.echr.coe.int/Documents/FS_Derogation_ENG.pdf&gt; accessed 25 August 2017. Regarding British derogations, see </w:t>
      </w:r>
      <w:r w:rsidRPr="006A7923">
        <w:rPr>
          <w:rFonts w:ascii="Times New Roman" w:hAnsi="Times New Roman" w:cs="Times New Roman"/>
          <w:i/>
          <w:color w:val="000000" w:themeColor="text1"/>
          <w:sz w:val="20"/>
          <w:szCs w:val="20"/>
        </w:rPr>
        <w:t xml:space="preserve">Greece v UK </w:t>
      </w:r>
      <w:r w:rsidRPr="006A7923">
        <w:rPr>
          <w:rFonts w:ascii="Times New Roman" w:hAnsi="Times New Roman" w:cs="Times New Roman"/>
          <w:color w:val="000000" w:themeColor="text1"/>
          <w:sz w:val="20"/>
          <w:szCs w:val="20"/>
        </w:rPr>
        <w:t>App no 176/56</w:t>
      </w:r>
      <w:r w:rsidRPr="006A7923">
        <w:rPr>
          <w:rFonts w:ascii="Times New Roman" w:hAnsi="Times New Roman" w:cs="Times New Roman"/>
          <w:i/>
          <w:color w:val="000000" w:themeColor="text1"/>
          <w:sz w:val="20"/>
          <w:szCs w:val="20"/>
        </w:rPr>
        <w:t xml:space="preserve"> </w:t>
      </w:r>
      <w:r w:rsidRPr="006A7923">
        <w:rPr>
          <w:rFonts w:ascii="Times New Roman" w:hAnsi="Times New Roman" w:cs="Times New Roman"/>
          <w:color w:val="000000" w:themeColor="text1"/>
          <w:sz w:val="20"/>
          <w:szCs w:val="20"/>
        </w:rPr>
        <w:t xml:space="preserve">(ECmHR, </w:t>
      </w:r>
      <w:r w:rsidRPr="006A7923">
        <w:rPr>
          <w:rFonts w:ascii="Times New Roman" w:hAnsi="Times New Roman" w:cs="Times New Roman"/>
          <w:color w:val="000000" w:themeColor="text1"/>
          <w:sz w:val="20"/>
          <w:szCs w:val="20"/>
          <w:highlight w:val="yellow"/>
        </w:rPr>
        <w:t>26 September 1958</w:t>
      </w:r>
      <w:r w:rsidRPr="006A7923">
        <w:rPr>
          <w:rFonts w:ascii="Times New Roman" w:hAnsi="Times New Roman" w:cs="Times New Roman"/>
          <w:color w:val="000000" w:themeColor="text1"/>
          <w:sz w:val="20"/>
          <w:szCs w:val="20"/>
        </w:rPr>
        <w:t xml:space="preserve">, report); </w:t>
      </w:r>
      <w:r w:rsidRPr="006A7923">
        <w:rPr>
          <w:rFonts w:ascii="Times New Roman" w:hAnsi="Times New Roman" w:cs="Times New Roman"/>
          <w:i/>
          <w:color w:val="000000" w:themeColor="text1"/>
          <w:sz w:val="20"/>
          <w:szCs w:val="20"/>
        </w:rPr>
        <w:t>Ireland v UK</w:t>
      </w:r>
      <w:r w:rsidRPr="006A7923">
        <w:rPr>
          <w:rFonts w:ascii="Times New Roman" w:hAnsi="Times New Roman" w:cs="Times New Roman"/>
          <w:color w:val="000000" w:themeColor="text1"/>
          <w:sz w:val="20"/>
          <w:szCs w:val="20"/>
        </w:rPr>
        <w:t xml:space="preserve"> App no 5310/71 (ECtHR, </w:t>
      </w:r>
      <w:r w:rsidRPr="006A7923">
        <w:rPr>
          <w:rFonts w:ascii="Times New Roman" w:hAnsi="Times New Roman" w:cs="Times New Roman"/>
          <w:color w:val="000000" w:themeColor="text1"/>
          <w:sz w:val="20"/>
          <w:szCs w:val="20"/>
          <w:highlight w:val="yellow"/>
        </w:rPr>
        <w:t>18 January 1978</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Brogan and others v UK</w:t>
      </w:r>
      <w:r w:rsidRPr="006A7923">
        <w:rPr>
          <w:rFonts w:ascii="Times New Roman" w:hAnsi="Times New Roman" w:cs="Times New Roman"/>
          <w:color w:val="000000" w:themeColor="text1"/>
          <w:sz w:val="20"/>
          <w:szCs w:val="20"/>
        </w:rPr>
        <w:t xml:space="preserve"> App nos 11209/84, 11234/84, 11266/84, 11386/85 (ECtHR, </w:t>
      </w:r>
      <w:r w:rsidRPr="006A7923">
        <w:rPr>
          <w:rFonts w:ascii="Times New Roman" w:hAnsi="Times New Roman" w:cs="Times New Roman"/>
          <w:color w:val="000000" w:themeColor="text1"/>
          <w:sz w:val="20"/>
          <w:szCs w:val="20"/>
          <w:highlight w:val="yellow"/>
        </w:rPr>
        <w:t>29 November 1988</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Brannigan and McBride v UK</w:t>
      </w:r>
      <w:r w:rsidRPr="006A7923">
        <w:rPr>
          <w:rFonts w:ascii="Times New Roman" w:hAnsi="Times New Roman" w:cs="Times New Roman"/>
          <w:color w:val="000000" w:themeColor="text1"/>
          <w:sz w:val="20"/>
          <w:szCs w:val="20"/>
        </w:rPr>
        <w:t xml:space="preserve"> App nos 14553/89, 14554/89 (ECtHR, </w:t>
      </w:r>
      <w:r w:rsidRPr="006A7923">
        <w:rPr>
          <w:rFonts w:ascii="Times New Roman" w:hAnsi="Times New Roman" w:cs="Times New Roman"/>
          <w:color w:val="000000" w:themeColor="text1"/>
          <w:sz w:val="20"/>
          <w:szCs w:val="20"/>
          <w:highlight w:val="yellow"/>
        </w:rPr>
        <w:t>25 May 1993</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Marshall v UK </w:t>
      </w:r>
      <w:r w:rsidRPr="006A7923">
        <w:rPr>
          <w:rFonts w:ascii="Times New Roman" w:hAnsi="Times New Roman" w:cs="Times New Roman"/>
          <w:color w:val="000000" w:themeColor="text1"/>
          <w:sz w:val="20"/>
          <w:szCs w:val="20"/>
        </w:rPr>
        <w:t>App no </w:t>
      </w:r>
      <w:r w:rsidRPr="006A7923">
        <w:rPr>
          <w:rFonts w:ascii="Times New Roman" w:eastAsia="Times New Roman" w:hAnsi="Times New Roman" w:cs="Times New Roman"/>
          <w:color w:val="000000" w:themeColor="text1"/>
          <w:sz w:val="20"/>
          <w:szCs w:val="20"/>
          <w:lang w:eastAsia="en-GB"/>
        </w:rPr>
        <w:t>41571/98 (ECtHR,</w:t>
      </w:r>
      <w:r w:rsidRPr="006A7923">
        <w:rPr>
          <w:rFonts w:ascii="Times New Roman" w:eastAsia="Times New Roman" w:hAnsi="Times New Roman" w:cs="Times New Roman"/>
          <w:color w:val="000000" w:themeColor="text1"/>
          <w:sz w:val="20"/>
          <w:szCs w:val="20"/>
          <w:highlight w:val="yellow"/>
          <w:lang w:eastAsia="en-GB"/>
        </w:rPr>
        <w:t xml:space="preserve"> 10 July 2001</w:t>
      </w:r>
      <w:r w:rsidRPr="006A7923">
        <w:rPr>
          <w:rFonts w:ascii="Times New Roman" w:eastAsia="Times New Roman" w:hAnsi="Times New Roman" w:cs="Times New Roman"/>
          <w:color w:val="000000" w:themeColor="text1"/>
          <w:sz w:val="20"/>
          <w:szCs w:val="20"/>
          <w:lang w:eastAsia="en-GB"/>
        </w:rPr>
        <w:t>, admissibility);</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A. and others v UK</w:t>
      </w:r>
      <w:r w:rsidRPr="006A7923">
        <w:rPr>
          <w:rFonts w:ascii="Times New Roman" w:hAnsi="Times New Roman" w:cs="Times New Roman"/>
          <w:color w:val="000000" w:themeColor="text1"/>
          <w:sz w:val="20"/>
          <w:szCs w:val="20"/>
        </w:rPr>
        <w:t xml:space="preserve"> App no 3455/05 (ECtHR, </w:t>
      </w:r>
      <w:r w:rsidRPr="006A7923">
        <w:rPr>
          <w:rFonts w:ascii="Times New Roman" w:hAnsi="Times New Roman" w:cs="Times New Roman"/>
          <w:color w:val="000000" w:themeColor="text1"/>
          <w:sz w:val="20"/>
          <w:szCs w:val="20"/>
          <w:highlight w:val="yellow"/>
        </w:rPr>
        <w:t>19 February 2009</w:t>
      </w:r>
      <w:r w:rsidRPr="006A7923">
        <w:rPr>
          <w:rFonts w:ascii="Times New Roman" w:hAnsi="Times New Roman" w:cs="Times New Roman"/>
          <w:color w:val="000000" w:themeColor="text1"/>
          <w:sz w:val="20"/>
          <w:szCs w:val="20"/>
        </w:rPr>
        <w:t xml:space="preserve">). See also the thorough discussion of the </w:t>
      </w:r>
      <w:r w:rsidRPr="006A7923">
        <w:rPr>
          <w:rFonts w:ascii="Times New Roman" w:hAnsi="Times New Roman" w:cs="Times New Roman"/>
          <w:i/>
          <w:color w:val="000000" w:themeColor="text1"/>
          <w:sz w:val="20"/>
          <w:szCs w:val="20"/>
        </w:rPr>
        <w:t xml:space="preserve">Brannigan and McBride </w:t>
      </w:r>
      <w:r w:rsidRPr="006A7923">
        <w:rPr>
          <w:rFonts w:ascii="Times New Roman" w:hAnsi="Times New Roman" w:cs="Times New Roman"/>
          <w:color w:val="000000" w:themeColor="text1"/>
          <w:sz w:val="20"/>
          <w:szCs w:val="20"/>
        </w:rPr>
        <w:t>case by Susan Marks, ‘Civil Liberties at the Margin: The UK Derogation and the European Court of Human Rights’ (1995) 15 Oxford Journal of Legal Studies 69.</w:t>
      </w:r>
    </w:p>
  </w:footnote>
  <w:footnote w:id="5">
    <w:p w14:paraId="7621EFAB" w14:textId="45A27819"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On the role of this parliamentary committee, see Joint Select Committee, ‘Role – Joint Committee on Human Rights’, available at &lt;www.parliament.uk/business/committees/committees-a-z/joint-select/human-rights-committee/role/&gt; accessed 19 July 2017. </w:t>
      </w:r>
    </w:p>
  </w:footnote>
  <w:footnote w:id="6">
    <w:p w14:paraId="0EF459DA" w14:textId="26582E35"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See Joint Committee on Human Rights, ‘ECHR: Committee launches inquiry into Government’s proposed derogation’ (2016-17), available at &lt;www.parliament.uk/business/committees/committees-a-z/joint-select/human-rights-committee/news-parliament-2015/echr-derogation-launch-16-17/&gt; accessed 10 October 2017. </w:t>
      </w:r>
    </w:p>
  </w:footnote>
  <w:footnote w:id="7">
    <w:p w14:paraId="24F9B5CE" w14:textId="2499E93D" w:rsidR="00A51F58" w:rsidRPr="006A7923" w:rsidRDefault="00A51F58" w:rsidP="008E72AA">
      <w:pPr>
        <w:pStyle w:val="FootnoteText"/>
        <w:jc w:val="both"/>
        <w:rPr>
          <w:rFonts w:ascii="Times New Roman" w:hAnsi="Times New Roman" w:cs="Times New Roman"/>
          <w:sz w:val="20"/>
          <w:szCs w:val="20"/>
          <w:highlight w:val="yellow"/>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But, see </w:t>
      </w:r>
      <w:r w:rsidRPr="006A7923">
        <w:rPr>
          <w:rFonts w:ascii="Times New Roman" w:hAnsi="Times New Roman" w:cs="Times New Roman"/>
          <w:i/>
          <w:sz w:val="20"/>
          <w:szCs w:val="20"/>
        </w:rPr>
        <w:t xml:space="preserve">infra </w:t>
      </w:r>
      <w:r w:rsidRPr="006A7923">
        <w:rPr>
          <w:rFonts w:ascii="Times New Roman" w:hAnsi="Times New Roman" w:cs="Times New Roman"/>
          <w:sz w:val="20"/>
          <w:szCs w:val="20"/>
        </w:rPr>
        <w:t xml:space="preserve">notes </w:t>
      </w:r>
      <w:r w:rsidRPr="006A7923">
        <w:rPr>
          <w:rFonts w:ascii="Times New Roman" w:hAnsi="Times New Roman" w:cs="Times New Roman"/>
          <w:sz w:val="20"/>
          <w:szCs w:val="20"/>
          <w:highlight w:val="yellow"/>
        </w:rPr>
        <w:fldChar w:fldCharType="begin"/>
      </w:r>
      <w:r w:rsidRPr="006A7923">
        <w:rPr>
          <w:rFonts w:ascii="Times New Roman" w:hAnsi="Times New Roman" w:cs="Times New Roman"/>
          <w:sz w:val="20"/>
          <w:szCs w:val="20"/>
          <w:highlight w:val="yellow"/>
        </w:rPr>
        <w:instrText xml:space="preserve"> NOTEREF _Ref492991005 \h  \* MERGEFORMAT </w:instrText>
      </w:r>
      <w:r w:rsidRPr="006A7923">
        <w:rPr>
          <w:rFonts w:ascii="Times New Roman" w:hAnsi="Times New Roman" w:cs="Times New Roman"/>
          <w:sz w:val="20"/>
          <w:szCs w:val="20"/>
          <w:highlight w:val="yellow"/>
        </w:rPr>
      </w:r>
      <w:r w:rsidRPr="006A7923">
        <w:rPr>
          <w:rFonts w:ascii="Times New Roman" w:hAnsi="Times New Roman" w:cs="Times New Roman"/>
          <w:sz w:val="20"/>
          <w:szCs w:val="20"/>
          <w:highlight w:val="yellow"/>
        </w:rPr>
        <w:fldChar w:fldCharType="separate"/>
      </w:r>
      <w:r w:rsidRPr="006A7923">
        <w:rPr>
          <w:rFonts w:ascii="Times New Roman" w:hAnsi="Times New Roman" w:cs="Times New Roman"/>
          <w:sz w:val="20"/>
          <w:szCs w:val="20"/>
          <w:highlight w:val="yellow"/>
        </w:rPr>
        <w:t>8</w:t>
      </w:r>
      <w:r w:rsidRPr="006A7923">
        <w:rPr>
          <w:rFonts w:ascii="Times New Roman" w:hAnsi="Times New Roman" w:cs="Times New Roman"/>
          <w:sz w:val="20"/>
          <w:szCs w:val="20"/>
          <w:highlight w:val="yellow"/>
        </w:rPr>
        <w:fldChar w:fldCharType="end"/>
      </w:r>
      <w:r w:rsidRPr="006A7923">
        <w:rPr>
          <w:rFonts w:ascii="Times New Roman" w:hAnsi="Times New Roman" w:cs="Times New Roman"/>
          <w:sz w:val="20"/>
          <w:szCs w:val="20"/>
        </w:rPr>
        <w:t xml:space="preserve"> and </w:t>
      </w:r>
      <w:r w:rsidRPr="006A7923">
        <w:rPr>
          <w:rFonts w:ascii="Times New Roman" w:hAnsi="Times New Roman" w:cs="Times New Roman"/>
          <w:sz w:val="20"/>
          <w:szCs w:val="20"/>
        </w:rPr>
        <w:fldChar w:fldCharType="begin"/>
      </w:r>
      <w:r w:rsidRPr="006A7923">
        <w:rPr>
          <w:rFonts w:ascii="Times New Roman" w:hAnsi="Times New Roman" w:cs="Times New Roman"/>
          <w:sz w:val="20"/>
          <w:szCs w:val="20"/>
        </w:rPr>
        <w:instrText xml:space="preserve"> NOTEREF _Ref493233350 \h  \* MERGEFORMAT </w:instrText>
      </w:r>
      <w:r w:rsidRPr="006A7923">
        <w:rPr>
          <w:rFonts w:ascii="Times New Roman" w:hAnsi="Times New Roman" w:cs="Times New Roman"/>
          <w:sz w:val="20"/>
          <w:szCs w:val="20"/>
        </w:rPr>
      </w:r>
      <w:r w:rsidRPr="006A7923">
        <w:rPr>
          <w:rFonts w:ascii="Times New Roman" w:hAnsi="Times New Roman" w:cs="Times New Roman"/>
          <w:sz w:val="20"/>
          <w:szCs w:val="20"/>
        </w:rPr>
        <w:fldChar w:fldCharType="separate"/>
      </w:r>
      <w:r w:rsidRPr="006A7923">
        <w:rPr>
          <w:rFonts w:ascii="Times New Roman" w:hAnsi="Times New Roman" w:cs="Times New Roman"/>
          <w:sz w:val="20"/>
          <w:szCs w:val="20"/>
          <w:highlight w:val="yellow"/>
        </w:rPr>
        <w:t>109</w:t>
      </w:r>
      <w:r w:rsidRPr="006A7923">
        <w:rPr>
          <w:rFonts w:ascii="Times New Roman" w:hAnsi="Times New Roman" w:cs="Times New Roman"/>
          <w:sz w:val="20"/>
          <w:szCs w:val="20"/>
        </w:rPr>
        <w:fldChar w:fldCharType="end"/>
      </w:r>
      <w:r w:rsidRPr="006A7923">
        <w:rPr>
          <w:rFonts w:ascii="Times New Roman" w:hAnsi="Times New Roman" w:cs="Times New Roman"/>
          <w:sz w:val="20"/>
          <w:szCs w:val="20"/>
        </w:rPr>
        <w:t xml:space="preserve">.The authors speak briefly of good faith and Article 18 ECHR in the context of the broader arguments that they build. </w:t>
      </w:r>
    </w:p>
  </w:footnote>
  <w:footnote w:id="8">
    <w:p w14:paraId="50E5B2BA" w14:textId="2E443E0D"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the announcement of the Ministry of Defence stating that, ‘[t]he Government will protect [British] Armed Forces from persistent legal claims by introducing a presumption to derogate from the [… ECHR] in future conflicts’, Ministry of Defence, ‘Government to protect Armed Forces from persistent legal claims in future overseas operations’ (04 October 2016), available at &lt;www.gov.uk/government/news/government-to-protect-armed-forces-from-persistent-legal-claims-in-future-overseas-operations&gt; accessed 19 July 2017.</w:t>
      </w:r>
    </w:p>
  </w:footnote>
  <w:footnote w:id="9">
    <w:p w14:paraId="78CC48F4" w14:textId="520B4E1F"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Style w:val="FootnoteReference"/>
          <w:rFonts w:ascii="Times New Roman" w:hAnsi="Times New Roman" w:cs="Times New Roman"/>
          <w:color w:val="000000" w:themeColor="text1"/>
          <w:sz w:val="20"/>
          <w:szCs w:val="20"/>
        </w:rPr>
        <w:t xml:space="preserve"> </w:t>
      </w:r>
      <w:r w:rsidRPr="006A7923">
        <w:rPr>
          <w:rFonts w:ascii="Times New Roman" w:hAnsi="Times New Roman" w:cs="Times New Roman"/>
          <w:color w:val="000000" w:themeColor="text1"/>
          <w:sz w:val="20"/>
          <w:szCs w:val="20"/>
        </w:rPr>
        <w:t xml:space="preserve">The author is thankful for this point to Gerd Oberleitner. See also </w:t>
      </w:r>
      <w:r w:rsidRPr="006A7923">
        <w:rPr>
          <w:rFonts w:ascii="Times New Roman" w:eastAsia="Times New Roman" w:hAnsi="Times New Roman" w:cs="Times New Roman"/>
          <w:bCs/>
          <w:color w:val="000000" w:themeColor="text1"/>
          <w:sz w:val="20"/>
          <w:szCs w:val="20"/>
          <w:lang w:eastAsia="en-GB"/>
        </w:rPr>
        <w:t xml:space="preserve">Fiona de Londras, ‘The Government’s Proposed Derogation from the ECHR’ </w:t>
      </w:r>
      <w:r w:rsidRPr="006A7923">
        <w:rPr>
          <w:rFonts w:ascii="Times New Roman" w:eastAsia="Times New Roman" w:hAnsi="Times New Roman" w:cs="Times New Roman"/>
          <w:bCs/>
          <w:i/>
          <w:color w:val="000000" w:themeColor="text1"/>
          <w:sz w:val="20"/>
          <w:szCs w:val="20"/>
          <w:lang w:eastAsia="en-GB"/>
        </w:rPr>
        <w:t>Parliament written evidence</w:t>
      </w:r>
      <w:r w:rsidRPr="006A7923">
        <w:rPr>
          <w:rFonts w:ascii="Times New Roman" w:eastAsia="Times New Roman" w:hAnsi="Times New Roman" w:cs="Times New Roman"/>
          <w:bCs/>
          <w:color w:val="000000" w:themeColor="text1"/>
          <w:sz w:val="20"/>
          <w:szCs w:val="20"/>
          <w:lang w:eastAsia="en-GB"/>
        </w:rPr>
        <w:t xml:space="preserve">, March 2017 (DRO0013), at para 17 and summary, available at &lt;http://data.parliament.uk/writtenevidence/committeeevidence.svc/evidencedocument/human-rights-committee/the-governments-proposed-derogation-from-the-echr/written/49575.html&gt; </w:t>
      </w:r>
      <w:r w:rsidRPr="006A7923">
        <w:rPr>
          <w:rFonts w:ascii="Times New Roman" w:hAnsi="Times New Roman" w:cs="Times New Roman"/>
          <w:color w:val="000000" w:themeColor="text1"/>
          <w:sz w:val="20"/>
          <w:szCs w:val="20"/>
        </w:rPr>
        <w:t xml:space="preserve">accessed 19 July 2017. </w:t>
      </w:r>
      <w:r w:rsidRPr="006A7923">
        <w:rPr>
          <w:rFonts w:ascii="Times New Roman" w:eastAsia="Times New Roman" w:hAnsi="Times New Roman" w:cs="Times New Roman"/>
          <w:bCs/>
          <w:color w:val="000000" w:themeColor="text1"/>
          <w:sz w:val="20"/>
          <w:szCs w:val="20"/>
          <w:lang w:eastAsia="en-GB"/>
        </w:rPr>
        <w:t>De Londras argues in para 18 of her evidence that the British derogation ‘should be motivated by a good faith desire to ensure that military operations can be undertaken and the war or emergency brought to an end, rather than to evade accountability for human rights violations’.</w:t>
      </w:r>
    </w:p>
  </w:footnote>
  <w:footnote w:id="10">
    <w:p w14:paraId="11D043BD" w14:textId="3C100491"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The literature on extraterritoriality and human rights protection, especially regarding the ECHR regime, is vast. The author of this study has written on this issue, criticising the approach of the ECtHR: Vassilis P. Tzevelekos, ‘Reconstructing the Effective Control Criterion in Extraterritorial Human Rights Breaches: Direct Attribution of Wrongfulness, Due Diligence, and Concurrent Responsibility’ (2016) 36(1) MJIL 129.</w:t>
      </w:r>
    </w:p>
  </w:footnote>
  <w:footnote w:id="11">
    <w:p w14:paraId="45D730E7" w14:textId="77E109A2" w:rsidR="00A51F58" w:rsidRPr="006A7923" w:rsidRDefault="00A51F58" w:rsidP="008E72AA">
      <w:pPr>
        <w:pStyle w:val="p1"/>
        <w:rPr>
          <w:rFonts w:ascii="Times New Roman" w:hAnsi="Times New Roman"/>
          <w:color w:val="000000" w:themeColor="text1"/>
          <w:sz w:val="20"/>
          <w:szCs w:val="20"/>
          <w:highlight w:val="yellow"/>
        </w:rPr>
      </w:pPr>
      <w:r w:rsidRPr="006A7923">
        <w:rPr>
          <w:rStyle w:val="FootnoteReference"/>
          <w:rFonts w:ascii="Times New Roman" w:hAnsi="Times New Roman"/>
          <w:color w:val="000000" w:themeColor="text1"/>
          <w:sz w:val="20"/>
          <w:szCs w:val="20"/>
        </w:rPr>
        <w:footnoteRef/>
      </w:r>
      <w:r w:rsidRPr="006A7923">
        <w:rPr>
          <w:rFonts w:ascii="Times New Roman" w:hAnsi="Times New Roman"/>
          <w:color w:val="000000" w:themeColor="text1"/>
          <w:sz w:val="20"/>
          <w:szCs w:val="20"/>
        </w:rPr>
        <w:t xml:space="preserve"> The literature is also vast on this topic. For a concise overview, see Christian Tomuschat, ‘Human Rights and International Humanitarian Law’ (2010) 21(1) EJIL 15. See also Alexander Orakhelashvili, ‘The Interaction between Human Rights and Humanitarian Law: Fragmentation, Conflict, Parallelism, or Convergence?’ (2008) 19(1) EJIL 161. The ECtHR has repeatedly dealt with this issue. On the approach of the ECtHR </w:t>
      </w:r>
      <w:r w:rsidRPr="006A7923">
        <w:rPr>
          <w:rFonts w:ascii="Times New Roman" w:hAnsi="Times New Roman"/>
          <w:i/>
          <w:color w:val="000000" w:themeColor="text1"/>
          <w:sz w:val="20"/>
          <w:szCs w:val="20"/>
        </w:rPr>
        <w:t>vis-à-vis</w:t>
      </w:r>
      <w:r w:rsidRPr="006A7923">
        <w:rPr>
          <w:rFonts w:ascii="Times New Roman" w:hAnsi="Times New Roman"/>
          <w:color w:val="000000" w:themeColor="text1"/>
          <w:sz w:val="20"/>
          <w:szCs w:val="20"/>
        </w:rPr>
        <w:t xml:space="preserve"> IHL and how this has evolved, see the critical overview by the Vice President of the ECtHR, Judge Linos Alexandre Sicilianos, ‘L’Articulation entre droit international humanitaire et droits de l’homme dans la jurisprudence de la Cour européenne des droits de l’homme’ (2017) 27(1) Revue Suisse de Droit International et Européen 3. See also </w:t>
      </w:r>
      <w:r w:rsidRPr="006A7923">
        <w:rPr>
          <w:rFonts w:ascii="Times New Roman" w:hAnsi="Times New Roman"/>
          <w:i/>
          <w:color w:val="000000" w:themeColor="text1"/>
          <w:sz w:val="20"/>
          <w:szCs w:val="20"/>
        </w:rPr>
        <w:t xml:space="preserve">infra </w:t>
      </w:r>
      <w:r w:rsidRPr="006A7923">
        <w:rPr>
          <w:rFonts w:ascii="Times New Roman" w:hAnsi="Times New Roman"/>
          <w:color w:val="000000" w:themeColor="text1"/>
          <w:sz w:val="20"/>
          <w:szCs w:val="20"/>
        </w:rPr>
        <w:t xml:space="preserve">notes </w:t>
      </w:r>
      <w:r w:rsidRPr="006A7923">
        <w:rPr>
          <w:rFonts w:ascii="Times New Roman" w:hAnsi="Times New Roman"/>
          <w:color w:val="000000" w:themeColor="text1"/>
          <w:sz w:val="20"/>
          <w:szCs w:val="20"/>
          <w:highlight w:val="yellow"/>
        </w:rPr>
        <w:fldChar w:fldCharType="begin"/>
      </w:r>
      <w:r w:rsidRPr="006A7923">
        <w:rPr>
          <w:rFonts w:ascii="Times New Roman" w:hAnsi="Times New Roman"/>
          <w:color w:val="000000" w:themeColor="text1"/>
          <w:sz w:val="20"/>
          <w:szCs w:val="20"/>
          <w:highlight w:val="yellow"/>
        </w:rPr>
        <w:instrText xml:space="preserve"> NOTEREF _Ref492826270 \h  \* MERGEFORMAT </w:instrText>
      </w:r>
      <w:r w:rsidRPr="006A7923">
        <w:rPr>
          <w:rFonts w:ascii="Times New Roman" w:hAnsi="Times New Roman"/>
          <w:color w:val="000000" w:themeColor="text1"/>
          <w:sz w:val="20"/>
          <w:szCs w:val="20"/>
          <w:highlight w:val="yellow"/>
        </w:rPr>
      </w:r>
      <w:r w:rsidRPr="006A7923">
        <w:rPr>
          <w:rFonts w:ascii="Times New Roman" w:hAnsi="Times New Roman"/>
          <w:color w:val="000000" w:themeColor="text1"/>
          <w:sz w:val="20"/>
          <w:szCs w:val="20"/>
          <w:highlight w:val="yellow"/>
        </w:rPr>
        <w:fldChar w:fldCharType="separate"/>
      </w:r>
      <w:r w:rsidRPr="006A7923">
        <w:rPr>
          <w:rFonts w:ascii="Times New Roman" w:hAnsi="Times New Roman"/>
          <w:color w:val="000000" w:themeColor="text1"/>
          <w:sz w:val="20"/>
          <w:szCs w:val="20"/>
          <w:highlight w:val="yellow"/>
        </w:rPr>
        <w:t>59</w:t>
      </w:r>
      <w:r w:rsidRPr="006A7923">
        <w:rPr>
          <w:rFonts w:ascii="Times New Roman" w:hAnsi="Times New Roman"/>
          <w:color w:val="000000" w:themeColor="text1"/>
          <w:sz w:val="20"/>
          <w:szCs w:val="20"/>
          <w:highlight w:val="yellow"/>
        </w:rPr>
        <w:fldChar w:fldCharType="end"/>
      </w:r>
      <w:r w:rsidRPr="006A7923">
        <w:rPr>
          <w:rFonts w:ascii="Times New Roman" w:hAnsi="Times New Roman"/>
          <w:color w:val="000000" w:themeColor="text1"/>
          <w:sz w:val="20"/>
          <w:szCs w:val="20"/>
        </w:rPr>
        <w:t xml:space="preserve">, </w:t>
      </w:r>
      <w:r w:rsidRPr="006A7923">
        <w:rPr>
          <w:rFonts w:ascii="Times New Roman" w:hAnsi="Times New Roman"/>
          <w:color w:val="000000" w:themeColor="text1"/>
          <w:sz w:val="20"/>
          <w:szCs w:val="20"/>
          <w:highlight w:val="yellow"/>
        </w:rPr>
        <w:fldChar w:fldCharType="begin"/>
      </w:r>
      <w:r w:rsidRPr="006A7923">
        <w:rPr>
          <w:rFonts w:ascii="Times New Roman" w:hAnsi="Times New Roman"/>
          <w:color w:val="000000" w:themeColor="text1"/>
          <w:sz w:val="20"/>
          <w:szCs w:val="20"/>
          <w:highlight w:val="yellow"/>
        </w:rPr>
        <w:instrText xml:space="preserve"> NOTEREF _Ref496007580 \h  \* MERGEFORMAT </w:instrText>
      </w:r>
      <w:r w:rsidRPr="006A7923">
        <w:rPr>
          <w:rFonts w:ascii="Times New Roman" w:hAnsi="Times New Roman"/>
          <w:color w:val="000000" w:themeColor="text1"/>
          <w:sz w:val="20"/>
          <w:szCs w:val="20"/>
          <w:highlight w:val="yellow"/>
        </w:rPr>
      </w:r>
      <w:r w:rsidRPr="006A7923">
        <w:rPr>
          <w:rFonts w:ascii="Times New Roman" w:hAnsi="Times New Roman"/>
          <w:color w:val="000000" w:themeColor="text1"/>
          <w:sz w:val="20"/>
          <w:szCs w:val="20"/>
          <w:highlight w:val="yellow"/>
        </w:rPr>
        <w:fldChar w:fldCharType="separate"/>
      </w:r>
      <w:r w:rsidRPr="006A7923">
        <w:rPr>
          <w:rFonts w:ascii="Times New Roman" w:hAnsi="Times New Roman"/>
          <w:color w:val="000000" w:themeColor="text1"/>
          <w:sz w:val="20"/>
          <w:szCs w:val="20"/>
          <w:highlight w:val="yellow"/>
        </w:rPr>
        <w:t>60</w:t>
      </w:r>
      <w:r w:rsidRPr="006A7923">
        <w:rPr>
          <w:rFonts w:ascii="Times New Roman" w:hAnsi="Times New Roman"/>
          <w:color w:val="000000" w:themeColor="text1"/>
          <w:sz w:val="20"/>
          <w:szCs w:val="20"/>
          <w:highlight w:val="yellow"/>
        </w:rPr>
        <w:fldChar w:fldCharType="end"/>
      </w:r>
      <w:r w:rsidRPr="006A7923">
        <w:rPr>
          <w:rFonts w:ascii="Times New Roman" w:hAnsi="Times New Roman"/>
          <w:color w:val="000000" w:themeColor="text1"/>
          <w:sz w:val="20"/>
          <w:szCs w:val="20"/>
        </w:rPr>
        <w:t xml:space="preserve"> and </w:t>
      </w:r>
      <w:r w:rsidRPr="006A7923">
        <w:rPr>
          <w:rFonts w:ascii="Times New Roman" w:hAnsi="Times New Roman"/>
          <w:color w:val="000000" w:themeColor="text1"/>
          <w:sz w:val="20"/>
          <w:szCs w:val="20"/>
          <w:highlight w:val="yellow"/>
        </w:rPr>
        <w:fldChar w:fldCharType="begin"/>
      </w:r>
      <w:r w:rsidRPr="006A7923">
        <w:rPr>
          <w:rFonts w:ascii="Times New Roman" w:hAnsi="Times New Roman"/>
          <w:color w:val="000000" w:themeColor="text1"/>
          <w:sz w:val="20"/>
          <w:szCs w:val="20"/>
          <w:highlight w:val="yellow"/>
        </w:rPr>
        <w:instrText xml:space="preserve"> NOTEREF _Ref492986231 \h  \* MERGEFORMAT </w:instrText>
      </w:r>
      <w:r w:rsidRPr="006A7923">
        <w:rPr>
          <w:rFonts w:ascii="Times New Roman" w:hAnsi="Times New Roman"/>
          <w:color w:val="000000" w:themeColor="text1"/>
          <w:sz w:val="20"/>
          <w:szCs w:val="20"/>
          <w:highlight w:val="yellow"/>
        </w:rPr>
      </w:r>
      <w:r w:rsidRPr="006A7923">
        <w:rPr>
          <w:rFonts w:ascii="Times New Roman" w:hAnsi="Times New Roman"/>
          <w:color w:val="000000" w:themeColor="text1"/>
          <w:sz w:val="20"/>
          <w:szCs w:val="20"/>
          <w:highlight w:val="yellow"/>
        </w:rPr>
        <w:fldChar w:fldCharType="separate"/>
      </w:r>
      <w:r w:rsidRPr="006A7923">
        <w:rPr>
          <w:rFonts w:ascii="Times New Roman" w:hAnsi="Times New Roman"/>
          <w:color w:val="000000" w:themeColor="text1"/>
          <w:sz w:val="20"/>
          <w:szCs w:val="20"/>
          <w:highlight w:val="yellow"/>
        </w:rPr>
        <w:t>176</w:t>
      </w:r>
      <w:r w:rsidRPr="006A7923">
        <w:rPr>
          <w:rFonts w:ascii="Times New Roman" w:hAnsi="Times New Roman"/>
          <w:color w:val="000000" w:themeColor="text1"/>
          <w:sz w:val="20"/>
          <w:szCs w:val="20"/>
          <w:highlight w:val="yellow"/>
        </w:rPr>
        <w:fldChar w:fldCharType="end"/>
      </w:r>
      <w:r w:rsidRPr="006A7923">
        <w:rPr>
          <w:rFonts w:ascii="Times New Roman" w:hAnsi="Times New Roman"/>
          <w:color w:val="000000" w:themeColor="text1"/>
          <w:sz w:val="20"/>
          <w:szCs w:val="20"/>
        </w:rPr>
        <w:t>.</w:t>
      </w:r>
    </w:p>
  </w:footnote>
  <w:footnote w:id="12">
    <w:p w14:paraId="7096958A" w14:textId="05A7DDE5"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Letter from the Chair of the Committee, Harriet Harman MP, to Michael Fallon DS (13 October 2016), available at &lt;www.parliament.uk/documents/joint-committees/human-rights/correspondence/2016-17/HH_to_MF_re_derogation.pdf&gt; accessed 19 July 2017.</w:t>
      </w:r>
    </w:p>
  </w:footnote>
  <w:footnote w:id="13">
    <w:p w14:paraId="72D8E2CA" w14:textId="19BBAFC2" w:rsidR="00A51F58" w:rsidRPr="006A7923" w:rsidRDefault="00A51F58" w:rsidP="008E72AA">
      <w:pPr>
        <w:jc w:val="both"/>
        <w:rPr>
          <w:color w:val="000000" w:themeColor="text1"/>
          <w:sz w:val="20"/>
          <w:szCs w:val="20"/>
        </w:rPr>
      </w:pPr>
      <w:r w:rsidRPr="006A7923">
        <w:rPr>
          <w:rStyle w:val="FootnoteReference"/>
          <w:color w:val="000000" w:themeColor="text1"/>
          <w:sz w:val="20"/>
          <w:szCs w:val="20"/>
        </w:rPr>
        <w:footnoteRef/>
      </w:r>
      <w:r w:rsidRPr="006A7923">
        <w:rPr>
          <w:color w:val="000000" w:themeColor="text1"/>
          <w:sz w:val="20"/>
          <w:szCs w:val="20"/>
        </w:rPr>
        <w:t xml:space="preserve"> </w:t>
      </w:r>
      <w:r w:rsidRPr="006A7923">
        <w:rPr>
          <w:i/>
          <w:color w:val="000000" w:themeColor="text1"/>
          <w:sz w:val="20"/>
          <w:szCs w:val="20"/>
        </w:rPr>
        <w:t>Ibid.</w:t>
      </w:r>
    </w:p>
  </w:footnote>
  <w:footnote w:id="14">
    <w:p w14:paraId="427E41EF" w14:textId="73E1B3CD"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A. and others</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_Ref492811412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3</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w:t>
      </w:r>
    </w:p>
  </w:footnote>
  <w:footnote w:id="15">
    <w:p w14:paraId="7C981B81" w14:textId="6EF17E7E"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Letter from Harman MP to Fallon DS,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_Ref491245799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w:t>
      </w:r>
    </w:p>
  </w:footnote>
  <w:footnote w:id="16">
    <w:p w14:paraId="2E9E9BCA" w14:textId="157972FF"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A. and others</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_Ref492811412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3</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at para 181.</w:t>
      </w:r>
    </w:p>
  </w:footnote>
  <w:footnote w:id="17">
    <w:p w14:paraId="7CE098D8" w14:textId="4EC82AA8"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190.</w:t>
      </w:r>
      <w:r w:rsidRPr="006A7923">
        <w:rPr>
          <w:rFonts w:ascii="Times New Roman" w:hAnsi="Times New Roman" w:cs="Times New Roman"/>
          <w:i/>
          <w:color w:val="000000" w:themeColor="text1"/>
          <w:sz w:val="20"/>
          <w:szCs w:val="20"/>
        </w:rPr>
        <w:t xml:space="preserve"> </w:t>
      </w:r>
    </w:p>
  </w:footnote>
  <w:footnote w:id="18">
    <w:p w14:paraId="5E93D122" w14:textId="69C8706D"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Annex to the Letter from Harman MP to Fallon DS,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_Ref491245799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w:t>
      </w:r>
    </w:p>
  </w:footnote>
  <w:footnote w:id="19">
    <w:p w14:paraId="57E99D9A" w14:textId="4179ED76"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Letter from Michael Fallon DS to the Chair of the Committee, Harriet Harman MP (22 November 2016), available at &lt;www.parliament.uk/documents/joint-committees/human-rights/correspondence/2016-17/HH_to_MF_re_derogation.pdf&gt; accessed 19 July 2017.</w:t>
      </w:r>
    </w:p>
  </w:footnote>
  <w:footnote w:id="20">
    <w:p w14:paraId="464B1B7D" w14:textId="3C16E2FC"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xml:space="preserve"> </w:t>
      </w:r>
    </w:p>
  </w:footnote>
  <w:footnote w:id="21">
    <w:p w14:paraId="2DF11DE8" w14:textId="2FC3AC77"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p>
  </w:footnote>
  <w:footnote w:id="22">
    <w:p w14:paraId="41D8319F" w14:textId="636CB033" w:rsidR="00A51F58" w:rsidRPr="006A7923" w:rsidRDefault="00A51F58" w:rsidP="008E72AA">
      <w:pPr>
        <w:pStyle w:val="FootnoteText"/>
        <w:jc w:val="both"/>
        <w:rPr>
          <w:rFonts w:ascii="Times New Roman" w:hAnsi="Times New Roman" w:cs="Times New Roman"/>
          <w:color w:val="FF0000"/>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Cf</w:t>
      </w:r>
      <w:r w:rsidRPr="006A7923">
        <w:rPr>
          <w:rFonts w:ascii="Times New Roman" w:hAnsi="Times New Roman" w:cs="Times New Roman"/>
          <w:color w:val="000000" w:themeColor="text1"/>
          <w:sz w:val="20"/>
          <w:szCs w:val="20"/>
        </w:rPr>
        <w:t>. Marko Milanovic, ‘The Government’s Proposed Derogation from the ECHR’</w:t>
      </w:r>
      <w:r w:rsidRPr="006A7923">
        <w:rPr>
          <w:rFonts w:ascii="Times New Roman" w:eastAsia="Times New Roman" w:hAnsi="Times New Roman" w:cs="Times New Roman"/>
          <w:bCs/>
          <w:color w:val="000000" w:themeColor="text1"/>
          <w:sz w:val="20"/>
          <w:szCs w:val="20"/>
          <w:lang w:eastAsia="en-GB"/>
        </w:rPr>
        <w:t xml:space="preserve">, </w:t>
      </w:r>
      <w:r w:rsidRPr="006A7923">
        <w:rPr>
          <w:rFonts w:ascii="Times New Roman" w:eastAsia="Times New Roman" w:hAnsi="Times New Roman" w:cs="Times New Roman"/>
          <w:bCs/>
          <w:i/>
          <w:color w:val="000000" w:themeColor="text1"/>
          <w:sz w:val="20"/>
          <w:szCs w:val="20"/>
          <w:lang w:eastAsia="en-GB"/>
        </w:rPr>
        <w:t xml:space="preserve">Parliament written statement </w:t>
      </w:r>
      <w:r w:rsidRPr="006A7923">
        <w:rPr>
          <w:rFonts w:ascii="Times New Roman" w:eastAsia="Times New Roman" w:hAnsi="Times New Roman" w:cs="Times New Roman"/>
          <w:bCs/>
          <w:color w:val="000000" w:themeColor="text1"/>
          <w:sz w:val="20"/>
          <w:szCs w:val="20"/>
          <w:lang w:eastAsia="en-GB"/>
        </w:rPr>
        <w:t xml:space="preserve">March 2017 (DRO0004), </w:t>
      </w:r>
      <w:r w:rsidRPr="006A7923">
        <w:rPr>
          <w:rFonts w:ascii="Times New Roman" w:hAnsi="Times New Roman" w:cs="Times New Roman"/>
          <w:color w:val="000000" w:themeColor="text1"/>
          <w:sz w:val="20"/>
          <w:szCs w:val="20"/>
        </w:rPr>
        <w:t xml:space="preserve">available at </w:t>
      </w:r>
      <w:r w:rsidRPr="006A7923">
        <w:rPr>
          <w:rFonts w:ascii="Times New Roman" w:eastAsia="Times New Roman" w:hAnsi="Times New Roman" w:cs="Times New Roman"/>
          <w:bCs/>
          <w:color w:val="000000" w:themeColor="text1"/>
          <w:sz w:val="20"/>
          <w:szCs w:val="20"/>
          <w:lang w:eastAsia="en-GB"/>
        </w:rPr>
        <w:t xml:space="preserve">http://data.parliament.uk/writtenevidence/committeeevidence.svc/evidencedocument/human-rights-committee/the-governments-proposed-derogation-from-the-echr/written/48963.html&gt; </w:t>
      </w:r>
      <w:r w:rsidRPr="006A7923">
        <w:rPr>
          <w:rFonts w:ascii="Times New Roman" w:hAnsi="Times New Roman" w:cs="Times New Roman"/>
          <w:color w:val="000000" w:themeColor="text1"/>
          <w:sz w:val="20"/>
          <w:szCs w:val="20"/>
        </w:rPr>
        <w:t>accessed 19 July 2017.</w:t>
      </w:r>
      <w:r w:rsidRPr="006A7923">
        <w:rPr>
          <w:rFonts w:ascii="Times New Roman" w:eastAsia="Times New Roman" w:hAnsi="Times New Roman" w:cs="Times New Roman"/>
          <w:bCs/>
          <w:color w:val="000000" w:themeColor="text1"/>
          <w:sz w:val="20"/>
          <w:szCs w:val="20"/>
          <w:lang w:eastAsia="en-GB"/>
        </w:rPr>
        <w:t xml:space="preserve"> According to Milanovic, ‘nobody has an idea what the framers of the ECHR specifically intended with regard to overseas armed conflicts’ (para 6). </w:t>
      </w:r>
    </w:p>
  </w:footnote>
  <w:footnote w:id="23">
    <w:p w14:paraId="544B98F0" w14:textId="46BE8024"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Letter from Fallon DS to Harman MP,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_Ref491246737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w:t>
      </w:r>
    </w:p>
  </w:footnote>
  <w:footnote w:id="24">
    <w:p w14:paraId="5B6355D9" w14:textId="3320FC7B"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Annex to letter from Fallon DS to Harman MP,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_Ref491246737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Q. 2. See </w:t>
      </w:r>
      <w:r w:rsidRPr="006A7923">
        <w:rPr>
          <w:rFonts w:ascii="Times New Roman" w:hAnsi="Times New Roman" w:cs="Times New Roman"/>
          <w:i/>
          <w:color w:val="000000" w:themeColor="text1"/>
          <w:sz w:val="20"/>
          <w:szCs w:val="20"/>
        </w:rPr>
        <w:t>Al-Jedda v UK</w:t>
      </w:r>
      <w:r w:rsidRPr="006A7923">
        <w:rPr>
          <w:rFonts w:ascii="Times New Roman" w:hAnsi="Times New Roman" w:cs="Times New Roman"/>
          <w:color w:val="000000" w:themeColor="text1"/>
          <w:sz w:val="20"/>
          <w:szCs w:val="20"/>
        </w:rPr>
        <w:t xml:space="preserve"> App no 27021/08 (ECtHR, </w:t>
      </w:r>
      <w:r w:rsidRPr="006A7923">
        <w:rPr>
          <w:rFonts w:ascii="Times New Roman" w:hAnsi="Times New Roman" w:cs="Times New Roman"/>
          <w:color w:val="000000" w:themeColor="text1"/>
          <w:sz w:val="20"/>
          <w:szCs w:val="20"/>
          <w:highlight w:val="yellow"/>
        </w:rPr>
        <w:t>7 July 2011</w:t>
      </w:r>
      <w:r w:rsidRPr="006A7923">
        <w:rPr>
          <w:rFonts w:ascii="Times New Roman" w:hAnsi="Times New Roman" w:cs="Times New Roman"/>
          <w:color w:val="000000" w:themeColor="text1"/>
          <w:sz w:val="20"/>
          <w:szCs w:val="20"/>
        </w:rPr>
        <w:t>).</w:t>
      </w:r>
      <w:r w:rsidRPr="006A7923">
        <w:rPr>
          <w:rFonts w:ascii="Times New Roman" w:hAnsi="Times New Roman" w:cs="Times New Roman"/>
          <w:color w:val="000000" w:themeColor="text1"/>
          <w:sz w:val="20"/>
          <w:szCs w:val="20"/>
          <w:highlight w:val="yellow"/>
        </w:rPr>
        <w:t xml:space="preserve"> </w:t>
      </w:r>
    </w:p>
  </w:footnote>
  <w:footnote w:id="25">
    <w:p w14:paraId="31DDBD2C" w14:textId="10BCA013"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Annex to letter from Fallon DS to Harman MP,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_Ref491246737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Q. 1-3.</w:t>
      </w:r>
    </w:p>
  </w:footnote>
  <w:footnote w:id="26">
    <w:p w14:paraId="7B63F2DA" w14:textId="4EAD591F"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Q. 7.</w:t>
      </w:r>
    </w:p>
  </w:footnote>
  <w:footnote w:id="27">
    <w:p w14:paraId="453015EE" w14:textId="34969E3C"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Q. 8.</w:t>
      </w:r>
    </w:p>
  </w:footnote>
  <w:footnote w:id="28">
    <w:p w14:paraId="521FF0AF" w14:textId="43719404"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Q. 10 and 15.</w:t>
      </w:r>
    </w:p>
  </w:footnote>
  <w:footnote w:id="29">
    <w:p w14:paraId="65B08BBA" w14:textId="50EF7DE5"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Letter from the Chair of the Committee, Harriet Harman MP, to Michael Fallon DS (14 December 2016), available at &lt;www.parliament.uk/documents/joint-committees/human-rights/correspondence/2016-17/161214_Letter_from_Rt_Hon_Harriet_Harman_to_SoS_Defence.pdf&gt; accessed 19 July 2017.</w:t>
      </w:r>
    </w:p>
  </w:footnote>
  <w:footnote w:id="30">
    <w:p w14:paraId="69AF7BEA" w14:textId="3DDDFB8B"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p>
  </w:footnote>
  <w:footnote w:id="31">
    <w:p w14:paraId="1946ABD4" w14:textId="319D7416"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p>
  </w:footnote>
  <w:footnote w:id="32">
    <w:p w14:paraId="0057DD95" w14:textId="13C98DB1"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p>
  </w:footnote>
  <w:footnote w:id="33">
    <w:p w14:paraId="40ED5316" w14:textId="57FEEE03"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p>
  </w:footnote>
  <w:footnote w:id="34">
    <w:p w14:paraId="3046CF2A" w14:textId="2C607599"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Letter from Michael Fallon DS to the Chair of the Committee, Harriet Harman MP (28 February 2017) available at &lt;www.parliament.uk/documents/joint-committees/human-rights/correspondence/2016-17/170301_SoS_to_Chair_re_Derogation.pdf&gt; accessed 19 July 2017.</w:t>
      </w:r>
    </w:p>
  </w:footnote>
  <w:footnote w:id="35">
    <w:p w14:paraId="657EC5A0" w14:textId="48C143E6"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p>
  </w:footnote>
  <w:footnote w:id="36">
    <w:p w14:paraId="7FF1E9A2" w14:textId="4B9E26D7"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p>
  </w:footnote>
  <w:footnote w:id="37">
    <w:p w14:paraId="6E6990D6" w14:textId="4E620042"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Government Memorandum to the Joint Committee on Human Rights, accompanying the letter from Fallon DS to Harman MP,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_Ref492813769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33</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at para 7.</w:t>
      </w:r>
    </w:p>
  </w:footnote>
  <w:footnote w:id="38">
    <w:p w14:paraId="6D611C40" w14:textId="7DA43EEB"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5.</w:t>
      </w:r>
    </w:p>
  </w:footnote>
  <w:footnote w:id="39">
    <w:p w14:paraId="60B5B7CA" w14:textId="493D16C0"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13.</w:t>
      </w:r>
    </w:p>
  </w:footnote>
  <w:footnote w:id="40">
    <w:p w14:paraId="228E292B" w14:textId="303AA528"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xml:space="preserve">, at para 2. But see also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_Ref491676723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21</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w:t>
      </w:r>
    </w:p>
  </w:footnote>
  <w:footnote w:id="41">
    <w:p w14:paraId="1CD91F52" w14:textId="301D4F01"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Government Memorandum,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_Ref533801382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36</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 1. </w:t>
      </w:r>
    </w:p>
  </w:footnote>
  <w:footnote w:id="42">
    <w:p w14:paraId="56731DAF" w14:textId="525EA989"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4.</w:t>
      </w:r>
    </w:p>
  </w:footnote>
  <w:footnote w:id="43">
    <w:p w14:paraId="0015C0D2" w14:textId="75C60B0B"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p>
  </w:footnote>
  <w:footnote w:id="44">
    <w:p w14:paraId="47BAA6AB" w14:textId="12325B68"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especially at paras 15 and 16.</w:t>
      </w:r>
    </w:p>
  </w:footnote>
  <w:footnote w:id="45">
    <w:p w14:paraId="6677BCB7" w14:textId="434ABB33"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Hassan v UK</w:t>
      </w:r>
      <w:r w:rsidRPr="006A7923">
        <w:rPr>
          <w:rFonts w:ascii="Times New Roman" w:hAnsi="Times New Roman" w:cs="Times New Roman"/>
          <w:color w:val="000000" w:themeColor="text1"/>
          <w:sz w:val="20"/>
          <w:szCs w:val="20"/>
        </w:rPr>
        <w:t xml:space="preserve"> App no 29750/09 (ECtHR, </w:t>
      </w:r>
      <w:r w:rsidRPr="006A7923">
        <w:rPr>
          <w:rFonts w:ascii="Times New Roman" w:hAnsi="Times New Roman" w:cs="Times New Roman"/>
          <w:color w:val="000000" w:themeColor="text1"/>
          <w:sz w:val="20"/>
          <w:szCs w:val="20"/>
          <w:highlight w:val="yellow"/>
        </w:rPr>
        <w:t>16 September 2014</w:t>
      </w:r>
      <w:r w:rsidRPr="006A7923">
        <w:rPr>
          <w:rFonts w:ascii="Times New Roman" w:hAnsi="Times New Roman" w:cs="Times New Roman"/>
          <w:color w:val="000000" w:themeColor="text1"/>
          <w:sz w:val="20"/>
          <w:szCs w:val="20"/>
        </w:rPr>
        <w:t>).</w:t>
      </w:r>
    </w:p>
  </w:footnote>
  <w:footnote w:id="46">
    <w:p w14:paraId="3278C8A3" w14:textId="61A0E8C2" w:rsidR="00A51F58" w:rsidRPr="006A7923" w:rsidRDefault="00A51F58" w:rsidP="008E72AA">
      <w:pPr>
        <w:jc w:val="both"/>
        <w:rPr>
          <w:rFonts w:eastAsia="Times New Roman"/>
          <w:color w:val="000000" w:themeColor="text1"/>
          <w:sz w:val="20"/>
          <w:szCs w:val="20"/>
          <w:highlight w:val="yellow"/>
        </w:rPr>
      </w:pPr>
      <w:r w:rsidRPr="006A7923">
        <w:rPr>
          <w:rStyle w:val="FootnoteReference"/>
          <w:color w:val="000000" w:themeColor="text1"/>
          <w:sz w:val="20"/>
          <w:szCs w:val="20"/>
        </w:rPr>
        <w:footnoteRef/>
      </w:r>
      <w:r w:rsidRPr="006A7923">
        <w:rPr>
          <w:color w:val="000000" w:themeColor="text1"/>
          <w:sz w:val="20"/>
          <w:szCs w:val="20"/>
        </w:rPr>
        <w:t xml:space="preserve"> </w:t>
      </w:r>
      <w:r w:rsidRPr="006A7923">
        <w:rPr>
          <w:i/>
          <w:color w:val="000000" w:themeColor="text1"/>
          <w:sz w:val="20"/>
          <w:szCs w:val="20"/>
        </w:rPr>
        <w:t>Mohammed and others v Ministry of Defence</w:t>
      </w:r>
      <w:r w:rsidRPr="006A7923">
        <w:rPr>
          <w:color w:val="000000" w:themeColor="text1"/>
          <w:sz w:val="20"/>
          <w:szCs w:val="20"/>
        </w:rPr>
        <w:t xml:space="preserve"> [2017] UKSC 1 and [2017] UKSC 2. See also references made to that case in the Government Memorandum, </w:t>
      </w:r>
      <w:r w:rsidRPr="006A7923">
        <w:rPr>
          <w:i/>
          <w:color w:val="000000" w:themeColor="text1"/>
          <w:sz w:val="20"/>
          <w:szCs w:val="20"/>
        </w:rPr>
        <w:t xml:space="preserve">supra </w:t>
      </w:r>
      <w:r w:rsidRPr="006A7923">
        <w:rPr>
          <w:color w:val="000000" w:themeColor="text1"/>
          <w:sz w:val="20"/>
          <w:szCs w:val="20"/>
        </w:rPr>
        <w:t xml:space="preserve">note </w:t>
      </w:r>
      <w:r w:rsidRPr="006A7923">
        <w:rPr>
          <w:color w:val="000000" w:themeColor="text1"/>
          <w:sz w:val="20"/>
          <w:szCs w:val="20"/>
          <w:highlight w:val="yellow"/>
        </w:rPr>
        <w:fldChar w:fldCharType="begin"/>
      </w:r>
      <w:r w:rsidRPr="006A7923">
        <w:rPr>
          <w:color w:val="000000" w:themeColor="text1"/>
          <w:sz w:val="20"/>
          <w:szCs w:val="20"/>
          <w:highlight w:val="yellow"/>
        </w:rPr>
        <w:instrText xml:space="preserve"> NOTEREF _Ref533801382 \h  \* MERGEFORMAT </w:instrText>
      </w:r>
      <w:r w:rsidRPr="006A7923">
        <w:rPr>
          <w:color w:val="000000" w:themeColor="text1"/>
          <w:sz w:val="20"/>
          <w:szCs w:val="20"/>
          <w:highlight w:val="yellow"/>
        </w:rPr>
      </w:r>
      <w:r w:rsidRPr="006A7923">
        <w:rPr>
          <w:color w:val="000000" w:themeColor="text1"/>
          <w:sz w:val="20"/>
          <w:szCs w:val="20"/>
          <w:highlight w:val="yellow"/>
        </w:rPr>
        <w:fldChar w:fldCharType="separate"/>
      </w:r>
      <w:r w:rsidRPr="006A7923">
        <w:rPr>
          <w:color w:val="000000" w:themeColor="text1"/>
          <w:sz w:val="20"/>
          <w:szCs w:val="20"/>
          <w:highlight w:val="yellow"/>
        </w:rPr>
        <w:t>36</w:t>
      </w:r>
      <w:r w:rsidRPr="006A7923">
        <w:rPr>
          <w:color w:val="000000" w:themeColor="text1"/>
          <w:sz w:val="20"/>
          <w:szCs w:val="20"/>
          <w:highlight w:val="yellow"/>
        </w:rPr>
        <w:fldChar w:fldCharType="end"/>
      </w:r>
      <w:r w:rsidRPr="006A7923">
        <w:rPr>
          <w:color w:val="000000" w:themeColor="text1"/>
          <w:sz w:val="20"/>
          <w:szCs w:val="20"/>
        </w:rPr>
        <w:t xml:space="preserve"> at paras 2, 15 and 17. </w:t>
      </w:r>
    </w:p>
  </w:footnote>
  <w:footnote w:id="47">
    <w:p w14:paraId="6FD9A946" w14:textId="5105EE85"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Government Memorandum,</w:t>
      </w:r>
      <w:r w:rsidRPr="006A7923">
        <w:rPr>
          <w:rFonts w:ascii="Times New Roman" w:hAnsi="Times New Roman" w:cs="Times New Roman"/>
          <w:i/>
          <w:color w:val="000000" w:themeColor="text1"/>
          <w:sz w:val="20"/>
          <w:szCs w:val="20"/>
        </w:rPr>
        <w:t xml:space="preserve"> 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_Ref533801382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36</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 17. </w:t>
      </w:r>
    </w:p>
  </w:footnote>
  <w:footnote w:id="48">
    <w:p w14:paraId="30BFD4F3" w14:textId="75CBC630"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Joint Committee on Human Rights, ‘The Government’s proposed derogation from the ECHR inquiry’ (2016-2017), available at &lt;www.parliament.uk/business/committees/committees-a-z/joint-select/human-rights-committee/inquiries/parliament-2015/government-proposed-echr-derogation-16-17/&gt; accessed 19 July 2017.</w:t>
      </w:r>
    </w:p>
  </w:footnote>
  <w:footnote w:id="49">
    <w:p w14:paraId="37FFC4FC" w14:textId="3D4495BC"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w:t>
      </w:r>
      <w:r w:rsidRPr="006A7923">
        <w:rPr>
          <w:rFonts w:ascii="Times New Roman" w:hAnsi="Times New Roman" w:cs="Times New Roman"/>
          <w:i/>
          <w:color w:val="000000" w:themeColor="text1"/>
          <w:sz w:val="20"/>
          <w:szCs w:val="20"/>
        </w:rPr>
        <w:t xml:space="preserve"> 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_Ref491177287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w:t>
      </w:r>
    </w:p>
  </w:footnote>
  <w:footnote w:id="50">
    <w:p w14:paraId="728FAD09" w14:textId="6CCB8DF2"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Convention for the Protection of Human Rights and Fundamental Freedoms (European Convention on Human Rights, as amended, adopted 04 November 1950, entered into force 03 September 1953) ETS 5, Article 15.</w:t>
      </w:r>
    </w:p>
  </w:footnote>
  <w:footnote w:id="51">
    <w:p w14:paraId="2E1D668E" w14:textId="1D5B3D3C"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The same question is raised and thoroughly examined </w:t>
      </w:r>
      <w:r w:rsidRPr="006A7923">
        <w:rPr>
          <w:rFonts w:ascii="Times New Roman" w:eastAsia="Times New Roman" w:hAnsi="Times New Roman" w:cs="Times New Roman"/>
          <w:bCs/>
          <w:color w:val="000000" w:themeColor="text1"/>
          <w:sz w:val="20"/>
          <w:szCs w:val="20"/>
          <w:lang w:eastAsia="en-GB"/>
        </w:rPr>
        <w:t xml:space="preserve">by Tom Ruys and Cedric De Koker, ‘The Government’s Proposed Derogation from the ECHR’ </w:t>
      </w:r>
      <w:r w:rsidRPr="006A7923">
        <w:rPr>
          <w:rFonts w:ascii="Times New Roman" w:eastAsia="Times New Roman" w:hAnsi="Times New Roman" w:cs="Times New Roman"/>
          <w:bCs/>
          <w:i/>
          <w:color w:val="000000" w:themeColor="text1"/>
          <w:sz w:val="20"/>
          <w:szCs w:val="20"/>
          <w:lang w:eastAsia="en-GB"/>
        </w:rPr>
        <w:t xml:space="preserve">Parliament written evidence, </w:t>
      </w:r>
      <w:r w:rsidRPr="006A7923">
        <w:rPr>
          <w:rFonts w:ascii="Times New Roman" w:eastAsia="Times New Roman" w:hAnsi="Times New Roman" w:cs="Times New Roman"/>
          <w:bCs/>
          <w:color w:val="000000" w:themeColor="text1"/>
          <w:sz w:val="20"/>
          <w:szCs w:val="20"/>
          <w:lang w:eastAsia="en-GB"/>
        </w:rPr>
        <w:t xml:space="preserve">March 2017 (DRO0009), available at &lt;http://data.parliament.uk/writtenevidence/committeeevidence.svc/evidencedocument/human-rights-committee/the-governments-proposed-derogation-from-the-echr/written/49471.html&gt; </w:t>
      </w:r>
      <w:r w:rsidRPr="006A7923">
        <w:rPr>
          <w:rFonts w:ascii="Times New Roman" w:hAnsi="Times New Roman" w:cs="Times New Roman"/>
          <w:color w:val="000000" w:themeColor="text1"/>
          <w:sz w:val="20"/>
          <w:szCs w:val="20"/>
        </w:rPr>
        <w:t>accessed 19 July 2017.</w:t>
      </w:r>
      <w:r w:rsidRPr="006A7923">
        <w:rPr>
          <w:rFonts w:ascii="Times New Roman" w:eastAsia="Times New Roman" w:hAnsi="Times New Roman" w:cs="Times New Roman"/>
          <w:bCs/>
          <w:color w:val="000000" w:themeColor="text1"/>
          <w:sz w:val="20"/>
          <w:szCs w:val="20"/>
          <w:lang w:eastAsia="en-GB"/>
        </w:rPr>
        <w:t xml:space="preserve"> </w:t>
      </w:r>
    </w:p>
  </w:footnote>
  <w:footnote w:id="52">
    <w:p w14:paraId="2249EE5A" w14:textId="3E48EAF2"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for instance, Annex to letter from Fallon DS to Harman MP,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_Ref492816897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23</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Q. 4. See also the case law discussed </w:t>
      </w:r>
      <w:r w:rsidRPr="006A7923">
        <w:rPr>
          <w:rFonts w:ascii="Times New Roman" w:eastAsia="Times New Roman" w:hAnsi="Times New Roman" w:cs="Times New Roman"/>
          <w:bCs/>
          <w:color w:val="000000" w:themeColor="text1"/>
          <w:sz w:val="20"/>
          <w:szCs w:val="20"/>
          <w:lang w:eastAsia="en-GB"/>
        </w:rPr>
        <w:t xml:space="preserve">by the AIRE Centre, ‘The Government’s Proposed Derogation from the ECHR’ </w:t>
      </w:r>
      <w:r w:rsidRPr="006A7923">
        <w:rPr>
          <w:rFonts w:ascii="Times New Roman" w:eastAsia="Times New Roman" w:hAnsi="Times New Roman" w:cs="Times New Roman"/>
          <w:bCs/>
          <w:i/>
          <w:color w:val="000000" w:themeColor="text1"/>
          <w:sz w:val="20"/>
          <w:szCs w:val="20"/>
          <w:lang w:eastAsia="en-GB"/>
        </w:rPr>
        <w:t xml:space="preserve">Parliament written evidence, </w:t>
      </w:r>
      <w:r w:rsidRPr="006A7923">
        <w:rPr>
          <w:rFonts w:ascii="Times New Roman" w:eastAsia="Times New Roman" w:hAnsi="Times New Roman" w:cs="Times New Roman"/>
          <w:bCs/>
          <w:color w:val="000000" w:themeColor="text1"/>
          <w:sz w:val="20"/>
          <w:szCs w:val="20"/>
          <w:lang w:eastAsia="en-GB"/>
        </w:rPr>
        <w:t xml:space="preserve">March 2017 (DRO0026), at paras 9-26, available at &lt;http://data.parliament.uk/writtenevidence/committeeevidence.svc/evidencedocument/human-rights-committee/the-governments-proposed-derogation-from-the-echr/written/68879.html&gt; </w:t>
      </w:r>
      <w:r w:rsidRPr="006A7923">
        <w:rPr>
          <w:rFonts w:ascii="Times New Roman" w:hAnsi="Times New Roman" w:cs="Times New Roman"/>
          <w:color w:val="000000" w:themeColor="text1"/>
          <w:sz w:val="20"/>
          <w:szCs w:val="20"/>
        </w:rPr>
        <w:t xml:space="preserve">accessed 19 July 2017. </w:t>
      </w:r>
    </w:p>
  </w:footnote>
  <w:footnote w:id="53">
    <w:p w14:paraId="1D11852D" w14:textId="2321F16E" w:rsidR="00A51F58" w:rsidRPr="006A7923" w:rsidRDefault="00A51F58" w:rsidP="008E72AA">
      <w:pPr>
        <w:pStyle w:val="FootnoteText"/>
        <w:jc w:val="both"/>
        <w:rPr>
          <w:rFonts w:ascii="Times New Roman" w:eastAsia="Times New Roman" w:hAnsi="Times New Roman" w:cs="Times New Roman"/>
          <w:bCs/>
          <w:color w:val="000000" w:themeColor="text1"/>
          <w:sz w:val="20"/>
          <w:szCs w:val="20"/>
          <w:highlight w:val="yellow"/>
          <w:lang w:eastAsia="en-GB"/>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eastAsia="Times New Roman" w:hAnsi="Times New Roman" w:cs="Times New Roman"/>
          <w:bCs/>
          <w:color w:val="000000" w:themeColor="text1"/>
          <w:sz w:val="20"/>
          <w:szCs w:val="20"/>
          <w:lang w:eastAsia="en-GB"/>
        </w:rPr>
        <w:t xml:space="preserve">See Law Society, ‘The Government’s Proposed Derogation from the ECHR’ </w:t>
      </w:r>
      <w:r w:rsidRPr="006A7923">
        <w:rPr>
          <w:rFonts w:ascii="Times New Roman" w:eastAsia="Times New Roman" w:hAnsi="Times New Roman" w:cs="Times New Roman"/>
          <w:bCs/>
          <w:i/>
          <w:color w:val="000000" w:themeColor="text1"/>
          <w:sz w:val="20"/>
          <w:szCs w:val="20"/>
          <w:lang w:eastAsia="en-GB"/>
        </w:rPr>
        <w:t xml:space="preserve">Parliament written evidence, </w:t>
      </w:r>
      <w:r w:rsidRPr="006A7923">
        <w:rPr>
          <w:rFonts w:ascii="Times New Roman" w:eastAsia="Times New Roman" w:hAnsi="Times New Roman" w:cs="Times New Roman"/>
          <w:bCs/>
          <w:color w:val="000000" w:themeColor="text1"/>
          <w:sz w:val="20"/>
          <w:szCs w:val="20"/>
          <w:lang w:eastAsia="en-GB"/>
        </w:rPr>
        <w:t xml:space="preserve">March 2017 (DRO0016), at paras 1-16 and point 3 in the summary, available at &lt;http://data.parliament.uk/writtenevidence/committeeevidence.svc/evidencedocument/human-rights-committee/the-governments-proposed-derogation-from-the-echr/written/49617.html&gt; </w:t>
      </w:r>
      <w:r w:rsidRPr="006A7923">
        <w:rPr>
          <w:rFonts w:ascii="Times New Roman" w:hAnsi="Times New Roman" w:cs="Times New Roman"/>
          <w:color w:val="000000" w:themeColor="text1"/>
          <w:sz w:val="20"/>
          <w:szCs w:val="20"/>
        </w:rPr>
        <w:t>accessed 19 July 2017</w:t>
      </w:r>
      <w:r w:rsidRPr="006A7923">
        <w:rPr>
          <w:rFonts w:ascii="Times New Roman" w:eastAsia="Times New Roman" w:hAnsi="Times New Roman" w:cs="Times New Roman"/>
          <w:bCs/>
          <w:color w:val="000000" w:themeColor="text1"/>
          <w:sz w:val="20"/>
          <w:szCs w:val="20"/>
          <w:lang w:eastAsia="en-GB"/>
        </w:rPr>
        <w:t xml:space="preserve">; Bingham Centre for the Rule of Law, ‘The Government’s Proposed Derogation from the ECHR’ </w:t>
      </w:r>
      <w:r w:rsidRPr="006A7923">
        <w:rPr>
          <w:rFonts w:ascii="Times New Roman" w:eastAsia="Times New Roman" w:hAnsi="Times New Roman" w:cs="Times New Roman"/>
          <w:bCs/>
          <w:i/>
          <w:color w:val="000000" w:themeColor="text1"/>
          <w:sz w:val="20"/>
          <w:szCs w:val="20"/>
          <w:lang w:eastAsia="en-GB"/>
        </w:rPr>
        <w:t xml:space="preserve">Parliament written </w:t>
      </w:r>
      <w:r w:rsidRPr="006A7923">
        <w:rPr>
          <w:rFonts w:ascii="Times New Roman" w:eastAsia="Times New Roman" w:hAnsi="Times New Roman" w:cs="Times New Roman"/>
          <w:bCs/>
          <w:color w:val="000000" w:themeColor="text1"/>
          <w:sz w:val="20"/>
          <w:szCs w:val="20"/>
          <w:lang w:eastAsia="en-GB"/>
        </w:rPr>
        <w:t xml:space="preserve">evidence, March 2017 (DRO0011), at paras 4-9, available at &lt;http://data.parliament.uk/writtenevidence/committeeevidence.svc/evidencedocument/human-rights-committee/the-governments-proposed-derogation-from-the-echr/written/49515.html&gt; </w:t>
      </w:r>
      <w:r w:rsidRPr="006A7923">
        <w:rPr>
          <w:rFonts w:ascii="Times New Roman" w:hAnsi="Times New Roman" w:cs="Times New Roman"/>
          <w:color w:val="000000" w:themeColor="text1"/>
          <w:sz w:val="20"/>
          <w:szCs w:val="20"/>
        </w:rPr>
        <w:t xml:space="preserve">accessed 19 July 2017; </w:t>
      </w:r>
      <w:r w:rsidRPr="006A7923">
        <w:rPr>
          <w:rFonts w:ascii="Times New Roman" w:eastAsia="Times New Roman" w:hAnsi="Times New Roman" w:cs="Times New Roman"/>
          <w:bCs/>
          <w:color w:val="000000" w:themeColor="text1"/>
          <w:sz w:val="20"/>
          <w:szCs w:val="20"/>
          <w:lang w:eastAsia="en-GB"/>
        </w:rPr>
        <w:t xml:space="preserve">Lutz Oette, Elizabeth Stubbins Bates, ‘The Government’s Proposed Derogation from the ECHR’ </w:t>
      </w:r>
      <w:r w:rsidRPr="006A7923">
        <w:rPr>
          <w:rFonts w:ascii="Times New Roman" w:eastAsia="Times New Roman" w:hAnsi="Times New Roman" w:cs="Times New Roman"/>
          <w:bCs/>
          <w:i/>
          <w:color w:val="000000" w:themeColor="text1"/>
          <w:sz w:val="20"/>
          <w:szCs w:val="20"/>
          <w:lang w:eastAsia="en-GB"/>
        </w:rPr>
        <w:t xml:space="preserve">Parliament written evidence, </w:t>
      </w:r>
      <w:r w:rsidRPr="006A7923">
        <w:rPr>
          <w:rFonts w:ascii="Times New Roman" w:eastAsia="Times New Roman" w:hAnsi="Times New Roman" w:cs="Times New Roman"/>
          <w:bCs/>
          <w:color w:val="000000" w:themeColor="text1"/>
          <w:sz w:val="20"/>
          <w:szCs w:val="20"/>
          <w:lang w:eastAsia="en-GB"/>
        </w:rPr>
        <w:t xml:space="preserve">March 2017 (DRO0006), at paras 1-5, available at &lt;http://data.parliament.uk/writtenevidence/committeeevidence.svc/evidencedocument/human-rights-committee/the-governments-proposed-derogation-from-the-echr/written/49415.html&gt; </w:t>
      </w:r>
      <w:r w:rsidRPr="006A7923">
        <w:rPr>
          <w:rFonts w:ascii="Times New Roman" w:hAnsi="Times New Roman" w:cs="Times New Roman"/>
          <w:color w:val="000000" w:themeColor="text1"/>
          <w:sz w:val="20"/>
          <w:szCs w:val="20"/>
        </w:rPr>
        <w:t>accessed 19 July 2017.</w:t>
      </w:r>
      <w:r w:rsidRPr="006A7923">
        <w:rPr>
          <w:rFonts w:ascii="Times New Roman" w:eastAsia="Times New Roman" w:hAnsi="Times New Roman" w:cs="Times New Roman"/>
          <w:bCs/>
          <w:color w:val="000000" w:themeColor="text1"/>
          <w:sz w:val="20"/>
          <w:szCs w:val="20"/>
          <w:lang w:eastAsia="en-GB"/>
        </w:rPr>
        <w:t xml:space="preserve"> </w:t>
      </w:r>
    </w:p>
  </w:footnote>
  <w:footnote w:id="54">
    <w:p w14:paraId="0644D14E" w14:textId="273886C5"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On the role of the ECtHR in that respect and in the specific context of the UK derogation policy, see </w:t>
      </w:r>
      <w:r w:rsidRPr="006A7923">
        <w:rPr>
          <w:rFonts w:ascii="Times New Roman" w:eastAsia="Times New Roman" w:hAnsi="Times New Roman" w:cs="Times New Roman"/>
          <w:bCs/>
          <w:color w:val="000000" w:themeColor="text1"/>
          <w:sz w:val="20"/>
          <w:szCs w:val="20"/>
          <w:lang w:eastAsia="en-GB"/>
        </w:rPr>
        <w:t xml:space="preserve">de Londras, </w:t>
      </w:r>
      <w:r w:rsidRPr="006A7923">
        <w:rPr>
          <w:rFonts w:ascii="Times New Roman" w:eastAsia="Times New Roman" w:hAnsi="Times New Roman" w:cs="Times New Roman"/>
          <w:bCs/>
          <w:i/>
          <w:color w:val="000000" w:themeColor="text1"/>
          <w:sz w:val="20"/>
          <w:szCs w:val="20"/>
          <w:lang w:eastAsia="en-GB"/>
        </w:rPr>
        <w:t xml:space="preserve">supra </w:t>
      </w:r>
      <w:r w:rsidRPr="006A7923">
        <w:rPr>
          <w:rFonts w:ascii="Times New Roman" w:eastAsia="Times New Roman" w:hAnsi="Times New Roman" w:cs="Times New Roman"/>
          <w:bCs/>
          <w:color w:val="000000" w:themeColor="text1"/>
          <w:sz w:val="20"/>
          <w:szCs w:val="20"/>
          <w:lang w:eastAsia="en-GB"/>
        </w:rPr>
        <w:t xml:space="preserve">note </w:t>
      </w:r>
      <w:r w:rsidRPr="006A7923">
        <w:rPr>
          <w:rFonts w:ascii="Times New Roman" w:eastAsia="Times New Roman" w:hAnsi="Times New Roman" w:cs="Times New Roman"/>
          <w:bCs/>
          <w:color w:val="000000" w:themeColor="text1"/>
          <w:sz w:val="20"/>
          <w:szCs w:val="20"/>
          <w:highlight w:val="yellow"/>
          <w:lang w:eastAsia="en-GB"/>
        </w:rPr>
        <w:fldChar w:fldCharType="begin"/>
      </w:r>
      <w:r w:rsidRPr="006A7923">
        <w:rPr>
          <w:rFonts w:ascii="Times New Roman" w:eastAsia="Times New Roman" w:hAnsi="Times New Roman" w:cs="Times New Roman"/>
          <w:bCs/>
          <w:color w:val="000000" w:themeColor="text1"/>
          <w:sz w:val="20"/>
          <w:szCs w:val="20"/>
          <w:highlight w:val="yellow"/>
          <w:lang w:eastAsia="en-GB"/>
        </w:rPr>
        <w:instrText xml:space="preserve"> NOTEREF _Ref492991005 \h  \* MERGEFORMAT </w:instrText>
      </w:r>
      <w:r w:rsidRPr="006A7923">
        <w:rPr>
          <w:rFonts w:ascii="Times New Roman" w:eastAsia="Times New Roman" w:hAnsi="Times New Roman" w:cs="Times New Roman"/>
          <w:bCs/>
          <w:color w:val="000000" w:themeColor="text1"/>
          <w:sz w:val="20"/>
          <w:szCs w:val="20"/>
          <w:highlight w:val="yellow"/>
          <w:lang w:eastAsia="en-GB"/>
        </w:rPr>
      </w:r>
      <w:r w:rsidRPr="006A7923">
        <w:rPr>
          <w:rFonts w:ascii="Times New Roman" w:eastAsia="Times New Roman" w:hAnsi="Times New Roman" w:cs="Times New Roman"/>
          <w:bCs/>
          <w:color w:val="000000" w:themeColor="text1"/>
          <w:sz w:val="20"/>
          <w:szCs w:val="20"/>
          <w:highlight w:val="yellow"/>
          <w:lang w:eastAsia="en-GB"/>
        </w:rPr>
        <w:fldChar w:fldCharType="separate"/>
      </w:r>
      <w:r w:rsidRPr="006A7923">
        <w:rPr>
          <w:rFonts w:ascii="Times New Roman" w:eastAsia="Times New Roman" w:hAnsi="Times New Roman" w:cs="Times New Roman"/>
          <w:bCs/>
          <w:color w:val="000000" w:themeColor="text1"/>
          <w:sz w:val="20"/>
          <w:szCs w:val="20"/>
          <w:highlight w:val="yellow"/>
          <w:lang w:eastAsia="en-GB"/>
        </w:rPr>
        <w:t>8</w:t>
      </w:r>
      <w:r w:rsidRPr="006A7923">
        <w:rPr>
          <w:rFonts w:ascii="Times New Roman" w:eastAsia="Times New Roman" w:hAnsi="Times New Roman" w:cs="Times New Roman"/>
          <w:bCs/>
          <w:color w:val="000000" w:themeColor="text1"/>
          <w:sz w:val="20"/>
          <w:szCs w:val="20"/>
          <w:highlight w:val="yellow"/>
          <w:lang w:eastAsia="en-GB"/>
        </w:rPr>
        <w:fldChar w:fldCharType="end"/>
      </w:r>
      <w:r w:rsidRPr="006A7923">
        <w:rPr>
          <w:rFonts w:ascii="Times New Roman" w:eastAsia="Times New Roman" w:hAnsi="Times New Roman" w:cs="Times New Roman"/>
          <w:bCs/>
          <w:color w:val="000000" w:themeColor="text1"/>
          <w:sz w:val="20"/>
          <w:szCs w:val="20"/>
          <w:lang w:eastAsia="en-GB"/>
        </w:rPr>
        <w:t>, at para 17 and summary</w:t>
      </w:r>
      <w:r w:rsidRPr="006A7923">
        <w:rPr>
          <w:rFonts w:ascii="Times New Roman" w:hAnsi="Times New Roman" w:cs="Times New Roman"/>
          <w:color w:val="000000" w:themeColor="text1"/>
          <w:sz w:val="20"/>
          <w:szCs w:val="20"/>
        </w:rPr>
        <w:t>.</w:t>
      </w:r>
    </w:p>
  </w:footnote>
  <w:footnote w:id="55">
    <w:p w14:paraId="75776FC6" w14:textId="264876D1"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Annex to letter from Fallon DS to Harman MP, </w:t>
      </w:r>
      <w:r w:rsidRPr="006A7923">
        <w:rPr>
          <w:rFonts w:ascii="Times New Roman" w:eastAsia="Times New Roman" w:hAnsi="Times New Roman" w:cs="Times New Roman"/>
          <w:bCs/>
          <w:i/>
          <w:color w:val="000000" w:themeColor="text1"/>
          <w:sz w:val="20"/>
          <w:szCs w:val="20"/>
          <w:lang w:eastAsia="en-GB"/>
        </w:rPr>
        <w:t xml:space="preserve">supra </w:t>
      </w:r>
      <w:r w:rsidRPr="006A7923">
        <w:rPr>
          <w:rFonts w:ascii="Times New Roman" w:eastAsia="Times New Roman" w:hAnsi="Times New Roman" w:cs="Times New Roman"/>
          <w:bCs/>
          <w:color w:val="000000" w:themeColor="text1"/>
          <w:sz w:val="20"/>
          <w:szCs w:val="20"/>
          <w:lang w:eastAsia="en-GB"/>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_Ref492816897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23</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r w:rsidRPr="006A7923">
        <w:rPr>
          <w:rFonts w:ascii="Times New Roman" w:hAnsi="Times New Roman" w:cs="Times New Roman"/>
          <w:color w:val="000000" w:themeColor="text1"/>
          <w:sz w:val="20"/>
          <w:szCs w:val="20"/>
        </w:rPr>
        <w:t xml:space="preserve"> at Q. 14. See also</w:t>
      </w:r>
      <w:r w:rsidRPr="006A7923">
        <w:rPr>
          <w:rFonts w:ascii="Times New Roman" w:eastAsia="Times New Roman" w:hAnsi="Times New Roman" w:cs="Times New Roman"/>
          <w:bCs/>
          <w:color w:val="000000" w:themeColor="text1"/>
          <w:sz w:val="20"/>
          <w:szCs w:val="20"/>
          <w:lang w:eastAsia="en-GB"/>
        </w:rPr>
        <w:t xml:space="preserve"> Conall Mallory, ‘The Government’s Proposed Derogation from the ECHR’ </w:t>
      </w:r>
      <w:r w:rsidRPr="006A7923">
        <w:rPr>
          <w:rFonts w:ascii="Times New Roman" w:eastAsia="Times New Roman" w:hAnsi="Times New Roman" w:cs="Times New Roman"/>
          <w:bCs/>
          <w:i/>
          <w:color w:val="000000" w:themeColor="text1"/>
          <w:sz w:val="20"/>
          <w:szCs w:val="20"/>
          <w:lang w:eastAsia="en-GB"/>
        </w:rPr>
        <w:t xml:space="preserve">Parliament written </w:t>
      </w:r>
      <w:r w:rsidRPr="006A7923">
        <w:rPr>
          <w:rFonts w:ascii="Times New Roman" w:eastAsia="Times New Roman" w:hAnsi="Times New Roman" w:cs="Times New Roman"/>
          <w:bCs/>
          <w:color w:val="000000" w:themeColor="text1"/>
          <w:sz w:val="20"/>
          <w:szCs w:val="20"/>
          <w:lang w:eastAsia="en-GB"/>
        </w:rPr>
        <w:t xml:space="preserve">evidence, April 2017 (DRO0025), at para 7, available at &lt;http://data.parliament.uk/writtenevidence/committeeevidence.svc/evidencedocument/human-rights-committee/the-governments-proposed-derogation-from-the-echr/written/68855.html&gt; </w:t>
      </w:r>
      <w:r w:rsidRPr="006A7923">
        <w:rPr>
          <w:rFonts w:ascii="Times New Roman" w:hAnsi="Times New Roman" w:cs="Times New Roman"/>
          <w:color w:val="000000" w:themeColor="text1"/>
          <w:sz w:val="20"/>
          <w:szCs w:val="20"/>
        </w:rPr>
        <w:t>accessed 19 July 2017.</w:t>
      </w:r>
    </w:p>
  </w:footnote>
  <w:footnote w:id="56">
    <w:p w14:paraId="263ED807" w14:textId="37D1B580"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Annex to letter from Fallon DS to Harman MP, </w:t>
      </w:r>
      <w:r w:rsidRPr="006A7923">
        <w:rPr>
          <w:rFonts w:ascii="Times New Roman" w:eastAsia="Times New Roman" w:hAnsi="Times New Roman" w:cs="Times New Roman"/>
          <w:bCs/>
          <w:i/>
          <w:color w:val="000000" w:themeColor="text1"/>
          <w:sz w:val="20"/>
          <w:szCs w:val="20"/>
          <w:lang w:eastAsia="en-GB"/>
        </w:rPr>
        <w:t xml:space="preserve">supra </w:t>
      </w:r>
      <w:r w:rsidRPr="006A7923">
        <w:rPr>
          <w:rFonts w:ascii="Times New Roman" w:eastAsia="Times New Roman" w:hAnsi="Times New Roman" w:cs="Times New Roman"/>
          <w:bCs/>
          <w:color w:val="000000" w:themeColor="text1"/>
          <w:sz w:val="20"/>
          <w:szCs w:val="20"/>
          <w:lang w:eastAsia="en-GB"/>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_Ref492816897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23</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r w:rsidRPr="006A7923">
        <w:rPr>
          <w:rFonts w:ascii="Times New Roman" w:hAnsi="Times New Roman" w:cs="Times New Roman"/>
          <w:color w:val="000000" w:themeColor="text1"/>
          <w:sz w:val="20"/>
          <w:szCs w:val="20"/>
        </w:rPr>
        <w:t xml:space="preserve"> at Q. 14. See International Covenant on Civil and Political Rights (adopted 16 December 1966, entered into force 23 March 1976) 999 UNTS 171 (ICCPR), Article 4, which allows derogations and sets the conditions that should apply for a lawful exercise of that right.</w:t>
      </w:r>
    </w:p>
  </w:footnote>
  <w:footnote w:id="57">
    <w:p w14:paraId="2E6A40AD" w14:textId="0982DBEF"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In practice, though, the requirement that derogations must be compatible with other international obligations binding ECHR contracting states has been given relatively small weight. See </w:t>
      </w:r>
      <w:r w:rsidRPr="006A7923">
        <w:rPr>
          <w:rFonts w:ascii="Times New Roman" w:hAnsi="Times New Roman" w:cs="Times New Roman"/>
          <w:i/>
          <w:color w:val="000000" w:themeColor="text1"/>
          <w:sz w:val="20"/>
          <w:szCs w:val="20"/>
        </w:rPr>
        <w:t>Brannigan and McBride</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_Ref492811412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3</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at paras 67-73. The Court interpreted loosely the requirement of Article 4(1) ICCPR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_Ref534027290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55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that a public emergency must be ‘officially proclaimed’. This specific requirement in Article 15 is seen as reinforcing Article 53 ECHR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_Ref496007621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49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which reads: ‘Nothing in this Convention shall be construed as limiting or derogating from any of the human rights and fundamental freedoms which may be ensured under the laws of any High Contracting Party or under any other agreement to which it is a party.’</w:t>
      </w:r>
    </w:p>
  </w:footnote>
  <w:footnote w:id="58">
    <w:p w14:paraId="4B32FD5E" w14:textId="0F3B8FCE"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Annex to letter from Fallon DS to Harman MP, </w:t>
      </w:r>
      <w:r w:rsidRPr="006A7923">
        <w:rPr>
          <w:rFonts w:ascii="Times New Roman" w:eastAsia="Times New Roman" w:hAnsi="Times New Roman" w:cs="Times New Roman"/>
          <w:bCs/>
          <w:i/>
          <w:color w:val="000000" w:themeColor="text1"/>
          <w:sz w:val="20"/>
          <w:szCs w:val="20"/>
          <w:lang w:eastAsia="en-GB"/>
        </w:rPr>
        <w:t xml:space="preserve">supra </w:t>
      </w:r>
      <w:r w:rsidRPr="006A7923">
        <w:rPr>
          <w:rFonts w:ascii="Times New Roman" w:eastAsia="Times New Roman" w:hAnsi="Times New Roman" w:cs="Times New Roman"/>
          <w:bCs/>
          <w:color w:val="000000" w:themeColor="text1"/>
          <w:sz w:val="20"/>
          <w:szCs w:val="20"/>
          <w:lang w:eastAsia="en-GB"/>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_Ref492816897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23</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r w:rsidRPr="006A7923">
        <w:rPr>
          <w:rFonts w:ascii="Times New Roman" w:hAnsi="Times New Roman" w:cs="Times New Roman"/>
          <w:color w:val="000000" w:themeColor="text1"/>
          <w:sz w:val="20"/>
          <w:szCs w:val="20"/>
        </w:rPr>
        <w:t xml:space="preserve"> at Q. 16. In that respect, see also Amos who characterises the derogation policy as misleading because ‘[w]hilst the UK remains a Contracting State to the ECHR, it is not lawful to derogate from Articles 2 and 3 and thereby prevent this type of claim.’ </w:t>
      </w:r>
      <w:r w:rsidRPr="006A7923">
        <w:rPr>
          <w:rFonts w:ascii="Times New Roman" w:eastAsia="Times New Roman" w:hAnsi="Times New Roman" w:cs="Times New Roman"/>
          <w:bCs/>
          <w:color w:val="000000" w:themeColor="text1"/>
          <w:sz w:val="20"/>
          <w:szCs w:val="20"/>
          <w:lang w:eastAsia="en-GB"/>
        </w:rPr>
        <w:t xml:space="preserve">Merris Amos, ‘The Government’s Proposed Derogations from the ECHR’ </w:t>
      </w:r>
      <w:r w:rsidRPr="006A7923">
        <w:rPr>
          <w:rFonts w:ascii="Times New Roman" w:eastAsia="Times New Roman" w:hAnsi="Times New Roman" w:cs="Times New Roman"/>
          <w:bCs/>
          <w:i/>
          <w:color w:val="000000" w:themeColor="text1"/>
          <w:sz w:val="20"/>
          <w:szCs w:val="20"/>
          <w:lang w:eastAsia="en-GB"/>
        </w:rPr>
        <w:t xml:space="preserve">Parliament written evidence, </w:t>
      </w:r>
      <w:r w:rsidRPr="006A7923">
        <w:rPr>
          <w:rFonts w:ascii="Times New Roman" w:eastAsia="Times New Roman" w:hAnsi="Times New Roman" w:cs="Times New Roman"/>
          <w:bCs/>
          <w:color w:val="000000" w:themeColor="text1"/>
          <w:sz w:val="20"/>
          <w:szCs w:val="20"/>
          <w:lang w:eastAsia="en-GB"/>
        </w:rPr>
        <w:t xml:space="preserve">March 2017 (DRO0005), available at &lt;http://data.parliament.uk/writtenevidence/committeeevidence.svc/evidencedocument/human-rights-committee/the-governments-proposed-derogation-from-the-echr/written/49310.html&gt; </w:t>
      </w:r>
      <w:r w:rsidRPr="006A7923">
        <w:rPr>
          <w:rFonts w:ascii="Times New Roman" w:hAnsi="Times New Roman" w:cs="Times New Roman"/>
          <w:color w:val="000000" w:themeColor="text1"/>
          <w:sz w:val="20"/>
          <w:szCs w:val="20"/>
        </w:rPr>
        <w:t>accessed 19 July 2017.</w:t>
      </w:r>
      <w:r w:rsidRPr="006A7923">
        <w:rPr>
          <w:rFonts w:ascii="Times New Roman" w:hAnsi="Times New Roman" w:cs="Times New Roman"/>
          <w:color w:val="000000" w:themeColor="text1"/>
          <w:sz w:val="20"/>
          <w:szCs w:val="20"/>
          <w:highlight w:val="yellow"/>
        </w:rPr>
        <w:t xml:space="preserve"> </w:t>
      </w:r>
    </w:p>
  </w:footnote>
  <w:footnote w:id="59">
    <w:p w14:paraId="63A01430" w14:textId="3F40A9CE"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ECHR,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_Ref496007621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49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Article 15(2). According to Article 4(3) of Protocol 7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rPr>
        <w:fldChar w:fldCharType="begin"/>
      </w:r>
      <w:r w:rsidRPr="006A7923">
        <w:rPr>
          <w:rFonts w:ascii="Times New Roman" w:hAnsi="Times New Roman" w:cs="Times New Roman"/>
          <w:color w:val="000000" w:themeColor="text1"/>
          <w:sz w:val="20"/>
          <w:szCs w:val="20"/>
        </w:rPr>
        <w:instrText xml:space="preserve"> NOTEREF _Ref496007621 \h  \* MERGEFORMAT </w:instrText>
      </w:r>
      <w:r w:rsidRPr="006A7923">
        <w:rPr>
          <w:rFonts w:ascii="Times New Roman" w:hAnsi="Times New Roman" w:cs="Times New Roman"/>
          <w:color w:val="000000" w:themeColor="text1"/>
          <w:sz w:val="20"/>
          <w:szCs w:val="20"/>
        </w:rPr>
      </w:r>
      <w:r w:rsidRPr="006A7923">
        <w:rPr>
          <w:rFonts w:ascii="Times New Roman" w:hAnsi="Times New Roman" w:cs="Times New Roman"/>
          <w:color w:val="000000" w:themeColor="text1"/>
          <w:sz w:val="20"/>
          <w:szCs w:val="20"/>
        </w:rPr>
        <w:fldChar w:fldCharType="separate"/>
      </w:r>
      <w:r w:rsidRPr="006A7923">
        <w:rPr>
          <w:rFonts w:ascii="Times New Roman" w:hAnsi="Times New Roman" w:cs="Times New Roman"/>
          <w:color w:val="000000" w:themeColor="text1"/>
          <w:sz w:val="20"/>
          <w:szCs w:val="20"/>
        </w:rPr>
        <w:t>49</w:t>
      </w:r>
      <w:r w:rsidRPr="006A7923">
        <w:rPr>
          <w:rFonts w:ascii="Times New Roman" w:hAnsi="Times New Roman" w:cs="Times New Roman"/>
          <w:color w:val="000000" w:themeColor="text1"/>
          <w:sz w:val="20"/>
          <w:szCs w:val="20"/>
        </w:rPr>
        <w:fldChar w:fldCharType="end"/>
      </w:r>
      <w:r w:rsidRPr="006A7923">
        <w:rPr>
          <w:rFonts w:ascii="Times New Roman" w:hAnsi="Times New Roman" w:cs="Times New Roman"/>
          <w:color w:val="000000" w:themeColor="text1"/>
          <w:sz w:val="20"/>
          <w:szCs w:val="20"/>
        </w:rPr>
        <w:t>), no derogation is allowed from the right not to be tried or punished twice. Derogations are also prohibited by Article 2 of Protocol 13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rPr>
        <w:fldChar w:fldCharType="begin"/>
      </w:r>
      <w:r w:rsidRPr="006A7923">
        <w:rPr>
          <w:rFonts w:ascii="Times New Roman" w:hAnsi="Times New Roman" w:cs="Times New Roman"/>
          <w:color w:val="000000" w:themeColor="text1"/>
          <w:sz w:val="20"/>
          <w:szCs w:val="20"/>
        </w:rPr>
        <w:instrText xml:space="preserve"> NOTEREF _Ref496007621 \h  \* MERGEFORMAT </w:instrText>
      </w:r>
      <w:r w:rsidRPr="006A7923">
        <w:rPr>
          <w:rFonts w:ascii="Times New Roman" w:hAnsi="Times New Roman" w:cs="Times New Roman"/>
          <w:color w:val="000000" w:themeColor="text1"/>
          <w:sz w:val="20"/>
          <w:szCs w:val="20"/>
        </w:rPr>
      </w:r>
      <w:r w:rsidRPr="006A7923">
        <w:rPr>
          <w:rFonts w:ascii="Times New Roman" w:hAnsi="Times New Roman" w:cs="Times New Roman"/>
          <w:color w:val="000000" w:themeColor="text1"/>
          <w:sz w:val="20"/>
          <w:szCs w:val="20"/>
        </w:rPr>
        <w:fldChar w:fldCharType="separate"/>
      </w:r>
      <w:r w:rsidRPr="006A7923">
        <w:rPr>
          <w:rFonts w:ascii="Times New Roman" w:hAnsi="Times New Roman" w:cs="Times New Roman"/>
          <w:color w:val="000000" w:themeColor="text1"/>
          <w:sz w:val="20"/>
          <w:szCs w:val="20"/>
        </w:rPr>
        <w:t>49</w:t>
      </w:r>
      <w:r w:rsidRPr="006A7923">
        <w:rPr>
          <w:rFonts w:ascii="Times New Roman" w:hAnsi="Times New Roman" w:cs="Times New Roman"/>
          <w:color w:val="000000" w:themeColor="text1"/>
          <w:sz w:val="20"/>
          <w:szCs w:val="20"/>
        </w:rPr>
        <w:fldChar w:fldCharType="end"/>
      </w:r>
      <w:r w:rsidRPr="006A7923">
        <w:rPr>
          <w:rFonts w:ascii="Times New Roman" w:hAnsi="Times New Roman" w:cs="Times New Roman"/>
          <w:color w:val="000000" w:themeColor="text1"/>
          <w:sz w:val="20"/>
          <w:szCs w:val="20"/>
        </w:rPr>
        <w:t xml:space="preserve">) that abolishes the death penalty in all circumstances. For relevant case law on non-derogable rights under the ECHR see the </w:t>
      </w:r>
      <w:r w:rsidRPr="006A7923">
        <w:rPr>
          <w:rFonts w:ascii="Times New Roman" w:hAnsi="Times New Roman" w:cs="Times New Roman"/>
          <w:i/>
          <w:color w:val="000000" w:themeColor="text1"/>
          <w:sz w:val="20"/>
          <w:szCs w:val="20"/>
        </w:rPr>
        <w:t>Factsheet</w:t>
      </w:r>
      <w:r w:rsidRPr="006A7923">
        <w:rPr>
          <w:rFonts w:ascii="Times New Roman" w:hAnsi="Times New Roman" w:cs="Times New Roman"/>
          <w:color w:val="000000" w:themeColor="text1"/>
          <w:sz w:val="20"/>
          <w:szCs w:val="20"/>
        </w:rPr>
        <w:t xml:space="preserve"> on derogations,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_Ref492811412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3</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11-14. See also Milanovic,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_Ref491676723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21</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w:t>
      </w:r>
      <w:r w:rsidRPr="006A7923">
        <w:rPr>
          <w:rFonts w:ascii="Times New Roman" w:eastAsia="Times New Roman" w:hAnsi="Times New Roman" w:cs="Times New Roman"/>
          <w:bCs/>
          <w:color w:val="000000" w:themeColor="text1"/>
          <w:sz w:val="20"/>
          <w:szCs w:val="20"/>
          <w:lang w:eastAsia="en-GB"/>
        </w:rPr>
        <w:t>at paras 23 and mainly 24, who gives a wider list of non-derogable rights.</w:t>
      </w:r>
    </w:p>
  </w:footnote>
  <w:footnote w:id="60">
    <w:p w14:paraId="1180CC59" w14:textId="7B08805D"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Style w:val="FootnoteReference"/>
          <w:rFonts w:ascii="Times New Roman" w:hAnsi="Times New Roman" w:cs="Times New Roman"/>
          <w:color w:val="000000" w:themeColor="text1"/>
          <w:sz w:val="20"/>
          <w:szCs w:val="20"/>
        </w:rPr>
        <w:t xml:space="preserve"> </w:t>
      </w:r>
      <w:r w:rsidRPr="006A7923">
        <w:rPr>
          <w:rFonts w:ascii="Times New Roman" w:hAnsi="Times New Roman" w:cs="Times New Roman"/>
          <w:color w:val="000000" w:themeColor="text1"/>
          <w:sz w:val="20"/>
          <w:szCs w:val="20"/>
        </w:rPr>
        <w:t xml:space="preserve">In </w:t>
      </w:r>
      <w:r w:rsidRPr="006A7923">
        <w:rPr>
          <w:rFonts w:ascii="Times New Roman" w:hAnsi="Times New Roman" w:cs="Times New Roman"/>
          <w:i/>
          <w:color w:val="000000" w:themeColor="text1"/>
          <w:sz w:val="20"/>
          <w:szCs w:val="20"/>
        </w:rPr>
        <w:t>Hassan</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_Ref492821471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44</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the Court interpreted Article 5 ECHR in the light of international law, based (mainly) on Articles 31(3)(b) (subsequent state practice) and 31(3)(c) (relevant rules of international law) of the 1969 Vienna Convention on the Law of Treaties (adopted 23 May 1969, entered into force 27 January 1980, 1155 UNTS 331, VCLT). The ECtHR observed that the practice of states has not been to derogate from the ECHR or the ICCPR in times of war in order to detain people under IHL (para 101). In that respect, see the critical analysis by Ka Lok Yip, ‘The Weakest Link: From Non-Derogation to Non-Existence of Human Rights’ (2017) 17 HRLR 770. As to the interpretation of the ECHR in accordance with other rules of international law, the Court referred to the case law of the International Court of Justice (ICJ) as to hold that human rights and IHL co-exist in war time (para 102). Thus, in situations of armed conflict the ECHR continues to apply, ‘albeit interpreted against the background of the provisions of international humanitarian law.’ (para 104). This led the Court to read Article 5 ECHR in a way that accommodates IHL; therefore, ‘in cases of international armed conflict, where the taking of prisoners of war and the detention of civilians who pose a threat to security are accepted features of international humanitarian law, […] Article 5 [can] be interpreted as permitting the exercise of such broad powers.’ (para 104). The Court examined the allegations of the applicant in the light of IHL and concluded that the UK had not breached the Convention. However, see the reservations expressed in the Government Memorandum,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_Ref533801382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36</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 17 (especially regarding its wish that IHL ‘can modify the ECHR to other sources of international law and to non-international armed conflicts’). See also Alan Greene, ‘The Government’s Proposed Derogation from the ECHR’ </w:t>
      </w:r>
      <w:r w:rsidRPr="006A7923">
        <w:rPr>
          <w:rFonts w:ascii="Times New Roman" w:hAnsi="Times New Roman" w:cs="Times New Roman"/>
          <w:i/>
          <w:color w:val="000000" w:themeColor="text1"/>
          <w:sz w:val="20"/>
          <w:szCs w:val="20"/>
        </w:rPr>
        <w:t xml:space="preserve">Parliament written evidence </w:t>
      </w:r>
      <w:r w:rsidRPr="006A7923">
        <w:rPr>
          <w:rFonts w:ascii="Times New Roman" w:hAnsi="Times New Roman" w:cs="Times New Roman"/>
          <w:color w:val="000000" w:themeColor="text1"/>
          <w:sz w:val="20"/>
          <w:szCs w:val="20"/>
        </w:rPr>
        <w:t xml:space="preserve">March 2017 (DRO0008), especially Part 2.B, available at &lt;http://data.parliament.uk/writtenevidence/committeeevidence.svc/evidencedocument/human-rights-committee/the-governments-proposed-derogation-from-the-echr/written/49456.html]&gt; accessed 19 July 2017; and Raphael Comte, ‘The Government’s Proposed Derogation from the ECHR’ </w:t>
      </w:r>
      <w:r w:rsidRPr="006A7923">
        <w:rPr>
          <w:rFonts w:ascii="Times New Roman" w:hAnsi="Times New Roman" w:cs="Times New Roman"/>
          <w:i/>
          <w:color w:val="000000" w:themeColor="text1"/>
          <w:sz w:val="20"/>
          <w:szCs w:val="20"/>
        </w:rPr>
        <w:t xml:space="preserve">Parliament written evidence, </w:t>
      </w:r>
      <w:r w:rsidRPr="006A7923">
        <w:rPr>
          <w:rFonts w:ascii="Times New Roman" w:hAnsi="Times New Roman" w:cs="Times New Roman"/>
          <w:color w:val="000000" w:themeColor="text1"/>
          <w:sz w:val="20"/>
          <w:szCs w:val="20"/>
        </w:rPr>
        <w:t>March 2017 (DRO0003) at para 15, available at &lt;http://data.parliament.uk/writtenevidence/committeeevidence.svc/evidencedocument/human-rights-committee/the-governments-proposed-derogation-from-the-echr/written/48807.html&gt; accessed 19 July 2017.</w:t>
      </w:r>
      <w:r w:rsidRPr="006A7923">
        <w:rPr>
          <w:rFonts w:ascii="Times New Roman" w:eastAsia="Times New Roman" w:hAnsi="Times New Roman" w:cs="Times New Roman"/>
          <w:bCs/>
          <w:color w:val="000000" w:themeColor="text1"/>
          <w:sz w:val="20"/>
          <w:szCs w:val="20"/>
          <w:lang w:eastAsia="en-GB"/>
        </w:rPr>
        <w:t xml:space="preserve"> </w:t>
      </w:r>
    </w:p>
  </w:footnote>
  <w:footnote w:id="61">
    <w:p w14:paraId="782FDFB7" w14:textId="10316846"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color w:val="000000" w:themeColor="text1"/>
          <w:sz w:val="20"/>
          <w:szCs w:val="20"/>
        </w:rPr>
        <w:t xml:space="preserve">See discussion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_Ref492826270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59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on </w:t>
      </w:r>
      <w:r w:rsidRPr="006A7923">
        <w:rPr>
          <w:rFonts w:ascii="Times New Roman" w:hAnsi="Times New Roman" w:cs="Times New Roman"/>
          <w:i/>
          <w:color w:val="000000" w:themeColor="text1"/>
          <w:sz w:val="20"/>
          <w:szCs w:val="20"/>
        </w:rPr>
        <w:t>Hassan</w:t>
      </w:r>
      <w:r w:rsidRPr="006A7923">
        <w:rPr>
          <w:rFonts w:ascii="Times New Roman" w:hAnsi="Times New Roman" w:cs="Times New Roman"/>
          <w:color w:val="000000" w:themeColor="text1"/>
          <w:sz w:val="20"/>
          <w:szCs w:val="20"/>
        </w:rPr>
        <w:t xml:space="preserve">. The British government requested the Court to treat IHL as </w:t>
      </w:r>
      <w:r w:rsidRPr="006A7923">
        <w:rPr>
          <w:rFonts w:ascii="Times New Roman" w:hAnsi="Times New Roman" w:cs="Times New Roman"/>
          <w:i/>
          <w:color w:val="000000" w:themeColor="text1"/>
          <w:sz w:val="20"/>
          <w:szCs w:val="20"/>
        </w:rPr>
        <w:t xml:space="preserve">lex specialis </w:t>
      </w:r>
      <w:r w:rsidRPr="006A7923">
        <w:rPr>
          <w:rFonts w:ascii="Times New Roman" w:hAnsi="Times New Roman" w:cs="Times New Roman"/>
          <w:color w:val="000000" w:themeColor="text1"/>
          <w:sz w:val="20"/>
          <w:szCs w:val="20"/>
        </w:rPr>
        <w:t>and suggested different effects this could have on the applicability and interpretation of the ECHR (</w:t>
      </w:r>
      <w:r w:rsidRPr="006A7923">
        <w:rPr>
          <w:rFonts w:ascii="Times New Roman" w:hAnsi="Times New Roman" w:cs="Times New Roman"/>
          <w:i/>
          <w:color w:val="000000" w:themeColor="text1"/>
          <w:sz w:val="20"/>
          <w:szCs w:val="20"/>
        </w:rPr>
        <w:t>Hassan</w:t>
      </w:r>
      <w:r w:rsidRPr="006A7923">
        <w:rPr>
          <w:rFonts w:ascii="Times New Roman" w:hAnsi="Times New Roman" w:cs="Times New Roman"/>
          <w:color w:val="000000" w:themeColor="text1"/>
          <w:sz w:val="20"/>
          <w:szCs w:val="20"/>
        </w:rPr>
        <w:t>,</w:t>
      </w:r>
      <w:r w:rsidRPr="006A7923">
        <w:rPr>
          <w:rFonts w:ascii="Times New Roman" w:hAnsi="Times New Roman" w:cs="Times New Roman"/>
          <w:i/>
          <w:color w:val="000000" w:themeColor="text1"/>
          <w:sz w:val="20"/>
          <w:szCs w:val="20"/>
        </w:rPr>
        <w:t xml:space="preserve"> 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_Ref492821471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44</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at paras 87-90). The Court did not employ the ‘</w:t>
      </w:r>
      <w:r w:rsidRPr="006A7923">
        <w:rPr>
          <w:rFonts w:ascii="Times New Roman" w:hAnsi="Times New Roman" w:cs="Times New Roman"/>
          <w:i/>
          <w:color w:val="000000" w:themeColor="text1"/>
          <w:sz w:val="20"/>
          <w:szCs w:val="20"/>
        </w:rPr>
        <w:t>lex specialis</w:t>
      </w:r>
      <w:r w:rsidRPr="006A7923">
        <w:rPr>
          <w:rFonts w:ascii="Times New Roman" w:hAnsi="Times New Roman" w:cs="Times New Roman"/>
          <w:color w:val="000000" w:themeColor="text1"/>
          <w:sz w:val="20"/>
          <w:szCs w:val="20"/>
        </w:rPr>
        <w:t>’ language in its reasoning and refrained from treating the ECHR and IHL as conflicting. This way, it abstained from establishing normative priorities. As already explained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note</w:t>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_Ref492826270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59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r w:rsidRPr="006A7923">
        <w:rPr>
          <w:rFonts w:ascii="Times New Roman" w:hAnsi="Times New Roman" w:cs="Times New Roman"/>
          <w:color w:val="000000" w:themeColor="text1"/>
          <w:sz w:val="20"/>
          <w:szCs w:val="20"/>
        </w:rPr>
        <w:t xml:space="preserve">, the Court declared both the ECHR and IHL applicable and treated them as complementary, enriching the text of the Convention with the provisions of IHL. This gives the impression that the Court did not favour the interpretation suggested by the respondent state. Yet, in essence, it did favour it. Within the context of </w:t>
      </w:r>
      <w:r w:rsidRPr="006A7923">
        <w:rPr>
          <w:rFonts w:ascii="Times New Roman" w:hAnsi="Times New Roman" w:cs="Times New Roman"/>
          <w:i/>
          <w:color w:val="000000" w:themeColor="text1"/>
          <w:sz w:val="20"/>
          <w:szCs w:val="20"/>
        </w:rPr>
        <w:t>Hassan</w:t>
      </w:r>
      <w:r w:rsidRPr="006A7923">
        <w:rPr>
          <w:rFonts w:ascii="Times New Roman" w:hAnsi="Times New Roman" w:cs="Times New Roman"/>
          <w:color w:val="000000" w:themeColor="text1"/>
          <w:sz w:val="20"/>
          <w:szCs w:val="20"/>
        </w:rPr>
        <w:t xml:space="preserve">, both conflict of obligations (with IHL applying as </w:t>
      </w:r>
      <w:r w:rsidRPr="006A7923">
        <w:rPr>
          <w:rFonts w:ascii="Times New Roman" w:hAnsi="Times New Roman" w:cs="Times New Roman"/>
          <w:i/>
          <w:color w:val="000000" w:themeColor="text1"/>
          <w:sz w:val="20"/>
          <w:szCs w:val="20"/>
        </w:rPr>
        <w:t>lex specialis</w:t>
      </w:r>
      <w:r w:rsidRPr="006A7923">
        <w:rPr>
          <w:rFonts w:ascii="Times New Roman" w:hAnsi="Times New Roman" w:cs="Times New Roman"/>
          <w:color w:val="000000" w:themeColor="text1"/>
          <w:sz w:val="20"/>
          <w:szCs w:val="20"/>
        </w:rPr>
        <w:t xml:space="preserve"> instead of the Convention) and harmonious interpretation/systemic integration lead in essence to</w:t>
      </w:r>
      <w:r w:rsidRPr="006A7923">
        <w:rPr>
          <w:rFonts w:ascii="Times New Roman" w:hAnsi="Times New Roman" w:cs="Times New Roman"/>
          <w:i/>
          <w:color w:val="000000" w:themeColor="text1"/>
          <w:sz w:val="20"/>
          <w:szCs w:val="20"/>
        </w:rPr>
        <w:t xml:space="preserve"> </w:t>
      </w:r>
      <w:r w:rsidRPr="006A7923">
        <w:rPr>
          <w:rFonts w:ascii="Times New Roman" w:hAnsi="Times New Roman" w:cs="Times New Roman"/>
          <w:color w:val="000000" w:themeColor="text1"/>
          <w:sz w:val="20"/>
          <w:szCs w:val="20"/>
        </w:rPr>
        <w:t xml:space="preserve">the prioritisation of IHL by bypassing the ECHR. The comments made here do not intend to criticise the output of the case, but the way in which the Court ‘labelled’ its reasoning. Usually, if no conflict of obligations exists, the systemic integration method of interpretation enhances human rights protection. See in that respect Vassilis P. Tzevelekos, ‘The Use of Article 31(3)(c) of the VCLT in the Case-Law of the ECtHR: An Effective Anti-Fragmentation Tool or a Selective Loophole for the Reinforcement of the Teleology of Human Rights? Between Evolution and Systemic Integration’, (2010) 31 MJIL 621, at 647-670. In </w:t>
      </w:r>
      <w:r w:rsidRPr="006A7923">
        <w:rPr>
          <w:rFonts w:ascii="Times New Roman" w:hAnsi="Times New Roman" w:cs="Times New Roman"/>
          <w:i/>
          <w:color w:val="000000" w:themeColor="text1"/>
          <w:sz w:val="20"/>
          <w:szCs w:val="20"/>
        </w:rPr>
        <w:t>Hassan</w:t>
      </w:r>
      <w:r w:rsidRPr="006A7923">
        <w:rPr>
          <w:rFonts w:ascii="Times New Roman" w:hAnsi="Times New Roman" w:cs="Times New Roman"/>
          <w:color w:val="000000" w:themeColor="text1"/>
          <w:sz w:val="20"/>
          <w:szCs w:val="20"/>
        </w:rPr>
        <w:t xml:space="preserve">, systemic integration does not enhance human rights protection. Instead of employing neutral language, the Court could have used conflict resolution tools, such as </w:t>
      </w:r>
      <w:r w:rsidRPr="006A7923">
        <w:rPr>
          <w:rFonts w:ascii="Times New Roman" w:hAnsi="Times New Roman" w:cs="Times New Roman"/>
          <w:i/>
          <w:color w:val="000000" w:themeColor="text1"/>
          <w:sz w:val="20"/>
          <w:szCs w:val="20"/>
        </w:rPr>
        <w:t>lex specialis</w:t>
      </w:r>
      <w:r w:rsidRPr="006A7923">
        <w:rPr>
          <w:rFonts w:ascii="Times New Roman" w:hAnsi="Times New Roman" w:cs="Times New Roman"/>
          <w:color w:val="000000" w:themeColor="text1"/>
          <w:sz w:val="20"/>
          <w:szCs w:val="20"/>
        </w:rPr>
        <w:t xml:space="preserve">, to justify the outcome it opted for in </w:t>
      </w:r>
      <w:r w:rsidRPr="006A7923">
        <w:rPr>
          <w:rFonts w:ascii="Times New Roman" w:hAnsi="Times New Roman" w:cs="Times New Roman"/>
          <w:i/>
          <w:color w:val="000000" w:themeColor="text1"/>
          <w:sz w:val="20"/>
          <w:szCs w:val="20"/>
        </w:rPr>
        <w:t>Hassan</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Mutatis mutandis</w:t>
      </w:r>
      <w:r w:rsidRPr="006A7923">
        <w:rPr>
          <w:rFonts w:ascii="Times New Roman" w:hAnsi="Times New Roman" w:cs="Times New Roman"/>
          <w:color w:val="000000" w:themeColor="text1"/>
          <w:sz w:val="20"/>
          <w:szCs w:val="20"/>
        </w:rPr>
        <w:t>, the Court would need to explain why ‘Article 5 will be interpreted and applied in the light of the relevant provisions of international humanitarian law only where this is specifically pleaded by the respondent State.’ (</w:t>
      </w:r>
      <w:r w:rsidRPr="006A7923">
        <w:rPr>
          <w:rFonts w:ascii="Times New Roman" w:hAnsi="Times New Roman" w:cs="Times New Roman"/>
          <w:i/>
          <w:color w:val="000000" w:themeColor="text1"/>
          <w:sz w:val="20"/>
          <w:szCs w:val="20"/>
        </w:rPr>
        <w:t>Hassan</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_Ref492821471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44</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 107). The Court would be expected to interpret the Convention in the light of relevant rules of international law (especially when a conflict of obligations exists) on its own initiative. It is not difficult to guess that the Court attempts here to justify why it had abstained in the past to treat IHL in the way it does in </w:t>
      </w:r>
      <w:r w:rsidRPr="006A7923">
        <w:rPr>
          <w:rFonts w:ascii="Times New Roman" w:hAnsi="Times New Roman" w:cs="Times New Roman"/>
          <w:i/>
          <w:color w:val="000000" w:themeColor="text1"/>
          <w:sz w:val="20"/>
          <w:szCs w:val="20"/>
        </w:rPr>
        <w:t>Hassan</w:t>
      </w:r>
      <w:r w:rsidRPr="006A7923">
        <w:rPr>
          <w:rFonts w:ascii="Times New Roman" w:hAnsi="Times New Roman" w:cs="Times New Roman"/>
          <w:color w:val="000000" w:themeColor="text1"/>
          <w:sz w:val="20"/>
          <w:szCs w:val="20"/>
        </w:rPr>
        <w:t xml:space="preserve">. This is a rather artless attempt (see also </w:t>
      </w:r>
      <w:r w:rsidRPr="006A7923">
        <w:rPr>
          <w:rFonts w:ascii="Times New Roman" w:hAnsi="Times New Roman" w:cs="Times New Roman"/>
          <w:i/>
          <w:color w:val="000000" w:themeColor="text1"/>
          <w:sz w:val="20"/>
          <w:szCs w:val="20"/>
        </w:rPr>
        <w:t>Hassan</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_Ref492821471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44</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 99) to explain why it is in essence departing from previous case law – presumably under the (political) pressure exercised by the contracting states. Rather than trying to convince in regards to the continuity of case law, honesty is the best strategy in such cases. Arguably, this part of the reasoning in </w:t>
      </w:r>
      <w:r w:rsidRPr="006A7923">
        <w:rPr>
          <w:rFonts w:ascii="Times New Roman" w:hAnsi="Times New Roman" w:cs="Times New Roman"/>
          <w:i/>
          <w:color w:val="000000" w:themeColor="text1"/>
          <w:sz w:val="20"/>
          <w:szCs w:val="20"/>
        </w:rPr>
        <w:t>Hassan</w:t>
      </w:r>
      <w:r w:rsidRPr="006A7923">
        <w:rPr>
          <w:rFonts w:ascii="Times New Roman" w:hAnsi="Times New Roman" w:cs="Times New Roman"/>
          <w:color w:val="000000" w:themeColor="text1"/>
          <w:sz w:val="20"/>
          <w:szCs w:val="20"/>
        </w:rPr>
        <w:t xml:space="preserve"> is damaging both the Court’s legitimacy and the tools of interpretation (such as systemic integration) it employs. Finally, if the Court considers that, by applying IHL, the respondent ‘intends to modify the commitments which it has undertaken by ratifying the Convention’ (</w:t>
      </w:r>
      <w:r w:rsidRPr="006A7923">
        <w:rPr>
          <w:rFonts w:ascii="Times New Roman" w:hAnsi="Times New Roman" w:cs="Times New Roman"/>
          <w:i/>
          <w:color w:val="000000" w:themeColor="text1"/>
          <w:sz w:val="20"/>
          <w:szCs w:val="20"/>
        </w:rPr>
        <w:t>Hassan</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note</w:t>
      </w:r>
      <w:r w:rsidRPr="006A7923">
        <w:rPr>
          <w:rFonts w:ascii="Times New Roman" w:hAnsi="Times New Roman" w:cs="Times New Roman"/>
          <w:color w:val="000000" w:themeColor="text1"/>
          <w:sz w:val="20"/>
          <w:szCs w:val="20"/>
          <w:highlight w:val="yellow"/>
        </w:rPr>
        <w:t xml:space="preserve"> 44, </w:t>
      </w:r>
      <w:r w:rsidRPr="006A7923">
        <w:rPr>
          <w:rFonts w:ascii="Times New Roman" w:hAnsi="Times New Roman" w:cs="Times New Roman"/>
          <w:color w:val="000000" w:themeColor="text1"/>
          <w:sz w:val="20"/>
          <w:szCs w:val="20"/>
        </w:rPr>
        <w:t>at para 107), it (</w:t>
      </w:r>
      <w:r w:rsidRPr="006A7923">
        <w:rPr>
          <w:rFonts w:ascii="Times New Roman" w:hAnsi="Times New Roman" w:cs="Times New Roman"/>
          <w:i/>
          <w:color w:val="000000" w:themeColor="text1"/>
          <w:sz w:val="20"/>
          <w:szCs w:val="20"/>
        </w:rPr>
        <w:t>i.e.</w:t>
      </w:r>
      <w:r w:rsidRPr="006A7923">
        <w:rPr>
          <w:rFonts w:ascii="Times New Roman" w:hAnsi="Times New Roman" w:cs="Times New Roman"/>
          <w:color w:val="000000" w:themeColor="text1"/>
          <w:sz w:val="20"/>
          <w:szCs w:val="20"/>
        </w:rPr>
        <w:t xml:space="preserve"> the Court) will have to prohibit it. As this study argues in Part V, the UK intends through its derogation(s) policy to modify its obligations under the ECHR and escape accountability. Should this materialise, it may amount to abuse of rights. This is something the ECtHR can and should sanction. Finally, see also</w:t>
      </w:r>
      <w:r w:rsidRPr="006A7923">
        <w:rPr>
          <w:rFonts w:ascii="Times New Roman" w:hAnsi="Times New Roman" w:cs="Times New Roman"/>
          <w:i/>
          <w:color w:val="000000" w:themeColor="text1"/>
          <w:sz w:val="20"/>
          <w:szCs w:val="20"/>
        </w:rPr>
        <w:t xml:space="preserve"> Marguš v Croatia</w:t>
      </w:r>
      <w:r w:rsidRPr="006A7923">
        <w:rPr>
          <w:rFonts w:ascii="Times New Roman" w:hAnsi="Times New Roman" w:cs="Times New Roman"/>
          <w:color w:val="000000" w:themeColor="text1"/>
          <w:sz w:val="20"/>
          <w:szCs w:val="20"/>
        </w:rPr>
        <w:t xml:space="preserve"> App no 4455/10, (ECtHR, </w:t>
      </w:r>
      <w:r w:rsidRPr="006A7923">
        <w:rPr>
          <w:rFonts w:ascii="Times New Roman" w:hAnsi="Times New Roman" w:cs="Times New Roman"/>
          <w:color w:val="000000" w:themeColor="text1"/>
          <w:sz w:val="20"/>
          <w:szCs w:val="20"/>
          <w:highlight w:val="yellow"/>
        </w:rPr>
        <w:t>27 May 2014</w:t>
      </w:r>
      <w:r w:rsidRPr="006A7923">
        <w:rPr>
          <w:rFonts w:ascii="Times New Roman" w:hAnsi="Times New Roman" w:cs="Times New Roman"/>
          <w:color w:val="000000" w:themeColor="text1"/>
          <w:sz w:val="20"/>
          <w:szCs w:val="20"/>
        </w:rPr>
        <w:t xml:space="preserve">), where the GC of the Court applied the systemic integration method to resort to IHL and interpret the ECHR in its light. </w:t>
      </w:r>
    </w:p>
  </w:footnote>
  <w:footnote w:id="62">
    <w:p w14:paraId="4C8B9F50" w14:textId="5AF659DA"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Aurel Sari, ‘The UK’s New Derogation Policy for Armed Conflicts: Making a Success of the European Convention on Human Rights?’ (</w:t>
      </w:r>
      <w:r w:rsidRPr="006A7923">
        <w:rPr>
          <w:rFonts w:ascii="Times New Roman" w:hAnsi="Times New Roman" w:cs="Times New Roman"/>
          <w:i/>
          <w:color w:val="000000" w:themeColor="text1"/>
          <w:sz w:val="20"/>
          <w:szCs w:val="20"/>
        </w:rPr>
        <w:t>Just Security</w:t>
      </w:r>
      <w:r w:rsidRPr="006A7923">
        <w:rPr>
          <w:rFonts w:ascii="Times New Roman" w:hAnsi="Times New Roman" w:cs="Times New Roman"/>
          <w:color w:val="000000" w:themeColor="text1"/>
          <w:sz w:val="20"/>
          <w:szCs w:val="20"/>
        </w:rPr>
        <w:t xml:space="preserve">, 05 October 2016) available at </w:t>
      </w:r>
    </w:p>
    <w:p w14:paraId="236B93E9" w14:textId="1AF2B1A4"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Fonts w:ascii="Times New Roman" w:hAnsi="Times New Roman" w:cs="Times New Roman"/>
          <w:color w:val="000000" w:themeColor="text1"/>
          <w:sz w:val="20"/>
          <w:szCs w:val="20"/>
        </w:rPr>
        <w:t>&lt;www.justsecurity.org/33370/uks-derogation-policy-armed-conflicts-making-success-european-convention-human-rights/&gt; accessed 19 July 2017.</w:t>
      </w:r>
    </w:p>
  </w:footnote>
  <w:footnote w:id="63">
    <w:p w14:paraId="6A48ED93" w14:textId="3A0AE0DC"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xml:space="preserve"> Sari further elaborates his arguments regarding IHL and extraterritoriality in his w</w:t>
      </w:r>
      <w:r w:rsidRPr="006A7923">
        <w:rPr>
          <w:rFonts w:ascii="Times New Roman" w:eastAsia="Times New Roman" w:hAnsi="Times New Roman" w:cs="Times New Roman"/>
          <w:bCs/>
          <w:color w:val="000000" w:themeColor="text1"/>
          <w:sz w:val="20"/>
          <w:szCs w:val="20"/>
          <w:lang w:eastAsia="en-GB"/>
        </w:rPr>
        <w:t xml:space="preserve">ritten evidence to the </w:t>
      </w:r>
      <w:r w:rsidRPr="006A7923">
        <w:rPr>
          <w:rFonts w:ascii="Times New Roman" w:hAnsi="Times New Roman" w:cs="Times New Roman"/>
          <w:color w:val="000000" w:themeColor="text1"/>
          <w:sz w:val="20"/>
          <w:szCs w:val="20"/>
        </w:rPr>
        <w:t>Joint Committee on Human Rights of the UK Parliament</w:t>
      </w:r>
      <w:r w:rsidRPr="006A7923">
        <w:rPr>
          <w:rFonts w:ascii="Times New Roman" w:eastAsia="Times New Roman" w:hAnsi="Times New Roman" w:cs="Times New Roman"/>
          <w:bCs/>
          <w:color w:val="000000" w:themeColor="text1"/>
          <w:sz w:val="20"/>
          <w:szCs w:val="20"/>
          <w:lang w:eastAsia="en-GB"/>
        </w:rPr>
        <w:t xml:space="preserve">, see Aurel Sari, ‘The Government’s Proposed Derogation from the ECHR’ </w:t>
      </w:r>
      <w:r w:rsidRPr="006A7923">
        <w:rPr>
          <w:rFonts w:ascii="Times New Roman" w:eastAsia="Times New Roman" w:hAnsi="Times New Roman" w:cs="Times New Roman"/>
          <w:bCs/>
          <w:i/>
          <w:color w:val="000000" w:themeColor="text1"/>
          <w:sz w:val="20"/>
          <w:szCs w:val="20"/>
          <w:lang w:eastAsia="en-GB"/>
        </w:rPr>
        <w:t xml:space="preserve">Parliament written evidence, </w:t>
      </w:r>
      <w:r w:rsidRPr="006A7923">
        <w:rPr>
          <w:rFonts w:ascii="Times New Roman" w:eastAsia="Times New Roman" w:hAnsi="Times New Roman" w:cs="Times New Roman"/>
          <w:bCs/>
          <w:color w:val="000000" w:themeColor="text1"/>
          <w:sz w:val="20"/>
          <w:szCs w:val="20"/>
          <w:lang w:eastAsia="en-GB"/>
        </w:rPr>
        <w:t xml:space="preserve">April 2017 (DRO0019) at paras 4-10, available at &lt;http://data.parliament.uk/writtenevidence/committeeevidence.svc/evidencedocument/human-rights-committee/the-governments-proposed-derogation-from-the-echr/written/49672.html&gt; </w:t>
      </w:r>
      <w:r w:rsidRPr="006A7923">
        <w:rPr>
          <w:rFonts w:ascii="Times New Roman" w:hAnsi="Times New Roman" w:cs="Times New Roman"/>
          <w:color w:val="000000" w:themeColor="text1"/>
          <w:sz w:val="20"/>
          <w:szCs w:val="20"/>
        </w:rPr>
        <w:t>accessed 19 July 2017. See also the case law to which Sari refers.</w:t>
      </w:r>
    </w:p>
  </w:footnote>
  <w:footnote w:id="64">
    <w:p w14:paraId="0FAFB177" w14:textId="5E3097EF" w:rsidR="00A51F58" w:rsidRPr="006A7923" w:rsidRDefault="00A51F58" w:rsidP="008E72AA">
      <w:pPr>
        <w:jc w:val="both"/>
        <w:rPr>
          <w:color w:val="000000" w:themeColor="text1"/>
          <w:sz w:val="20"/>
          <w:szCs w:val="20"/>
          <w:highlight w:val="yellow"/>
        </w:rPr>
      </w:pPr>
      <w:r w:rsidRPr="006A7923">
        <w:rPr>
          <w:rStyle w:val="FootnoteReference"/>
          <w:color w:val="000000" w:themeColor="text1"/>
          <w:sz w:val="20"/>
          <w:szCs w:val="20"/>
        </w:rPr>
        <w:footnoteRef/>
      </w:r>
      <w:r w:rsidRPr="006A7923">
        <w:rPr>
          <w:color w:val="000000" w:themeColor="text1"/>
          <w:sz w:val="20"/>
          <w:szCs w:val="20"/>
        </w:rPr>
        <w:t xml:space="preserve"> In the sense that territoriality is the principle and extraterritoriality the exception. See, for instance, </w:t>
      </w:r>
      <w:r w:rsidRPr="006A7923">
        <w:rPr>
          <w:i/>
          <w:color w:val="000000" w:themeColor="text1"/>
          <w:sz w:val="20"/>
          <w:szCs w:val="20"/>
        </w:rPr>
        <w:t>Banković and others v Belgium and others States</w:t>
      </w:r>
      <w:r w:rsidRPr="006A7923">
        <w:rPr>
          <w:color w:val="000000" w:themeColor="text1"/>
          <w:sz w:val="20"/>
          <w:szCs w:val="20"/>
        </w:rPr>
        <w:t xml:space="preserve"> App no 52207/99 (ECtHR, </w:t>
      </w:r>
      <w:r w:rsidRPr="006A7923">
        <w:rPr>
          <w:color w:val="000000" w:themeColor="text1"/>
          <w:sz w:val="20"/>
          <w:szCs w:val="20"/>
          <w:highlight w:val="yellow"/>
        </w:rPr>
        <w:t>12 December 2001</w:t>
      </w:r>
      <w:r w:rsidRPr="006A7923">
        <w:rPr>
          <w:color w:val="000000" w:themeColor="text1"/>
          <w:sz w:val="20"/>
          <w:szCs w:val="20"/>
        </w:rPr>
        <w:t xml:space="preserve">, admissibility), at para 59. See the objections raised by the author of this study in Tzevelekos, </w:t>
      </w:r>
      <w:r w:rsidRPr="006A7923">
        <w:rPr>
          <w:i/>
          <w:color w:val="000000" w:themeColor="text1"/>
          <w:sz w:val="20"/>
          <w:szCs w:val="20"/>
        </w:rPr>
        <w:t xml:space="preserve">supra </w:t>
      </w:r>
      <w:r w:rsidRPr="006A7923">
        <w:rPr>
          <w:color w:val="000000" w:themeColor="text1"/>
          <w:sz w:val="20"/>
          <w:szCs w:val="20"/>
        </w:rPr>
        <w:t xml:space="preserve">note </w:t>
      </w:r>
      <w:r w:rsidRPr="006A7923">
        <w:rPr>
          <w:color w:val="000000" w:themeColor="text1"/>
          <w:sz w:val="20"/>
          <w:szCs w:val="20"/>
          <w:highlight w:val="yellow"/>
        </w:rPr>
        <w:fldChar w:fldCharType="begin"/>
      </w:r>
      <w:r w:rsidRPr="006A7923">
        <w:rPr>
          <w:color w:val="000000" w:themeColor="text1"/>
          <w:sz w:val="20"/>
          <w:szCs w:val="20"/>
          <w:highlight w:val="yellow"/>
        </w:rPr>
        <w:instrText xml:space="preserve"> NOTEREF _Ref492890644 \h  \* MERGEFORMAT </w:instrText>
      </w:r>
      <w:r w:rsidRPr="006A7923">
        <w:rPr>
          <w:color w:val="000000" w:themeColor="text1"/>
          <w:sz w:val="20"/>
          <w:szCs w:val="20"/>
          <w:highlight w:val="yellow"/>
        </w:rPr>
      </w:r>
      <w:r w:rsidRPr="006A7923">
        <w:rPr>
          <w:color w:val="000000" w:themeColor="text1"/>
          <w:sz w:val="20"/>
          <w:szCs w:val="20"/>
          <w:highlight w:val="yellow"/>
        </w:rPr>
        <w:fldChar w:fldCharType="separate"/>
      </w:r>
      <w:r w:rsidRPr="006A7923">
        <w:rPr>
          <w:color w:val="000000" w:themeColor="text1"/>
          <w:sz w:val="20"/>
          <w:szCs w:val="20"/>
          <w:highlight w:val="yellow"/>
        </w:rPr>
        <w:t>9</w:t>
      </w:r>
      <w:r w:rsidRPr="006A7923">
        <w:rPr>
          <w:color w:val="000000" w:themeColor="text1"/>
          <w:sz w:val="20"/>
          <w:szCs w:val="20"/>
          <w:highlight w:val="yellow"/>
        </w:rPr>
        <w:fldChar w:fldCharType="end"/>
      </w:r>
      <w:r w:rsidRPr="006A7923">
        <w:rPr>
          <w:color w:val="000000" w:themeColor="text1"/>
          <w:sz w:val="20"/>
          <w:szCs w:val="20"/>
        </w:rPr>
        <w:t>, at 135-151.</w:t>
      </w:r>
    </w:p>
  </w:footnote>
  <w:footnote w:id="65">
    <w:p w14:paraId="67D369F5" w14:textId="71C5E643"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Tzevelekos,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_Ref492890644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at 141.</w:t>
      </w:r>
    </w:p>
  </w:footnote>
  <w:footnote w:id="66">
    <w:p w14:paraId="17226D0F" w14:textId="65608794"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xml:space="preserve">, at 135-151. </w:t>
      </w:r>
    </w:p>
  </w:footnote>
  <w:footnote w:id="67">
    <w:p w14:paraId="51A67CEC" w14:textId="0EA189A1" w:rsidR="00A51F58" w:rsidRPr="006A7923" w:rsidRDefault="00A51F58" w:rsidP="008E72AA">
      <w:pPr>
        <w:jc w:val="both"/>
        <w:rPr>
          <w:rFonts w:eastAsia="Times New Roman"/>
          <w:color w:val="000000" w:themeColor="text1"/>
          <w:sz w:val="20"/>
          <w:szCs w:val="20"/>
        </w:rPr>
      </w:pPr>
      <w:r w:rsidRPr="006A7923">
        <w:rPr>
          <w:rStyle w:val="FootnoteReference"/>
          <w:color w:val="000000" w:themeColor="text1"/>
          <w:sz w:val="20"/>
          <w:szCs w:val="20"/>
        </w:rPr>
        <w:footnoteRef/>
      </w:r>
      <w:r w:rsidRPr="006A7923">
        <w:rPr>
          <w:color w:val="000000" w:themeColor="text1"/>
          <w:sz w:val="20"/>
          <w:szCs w:val="20"/>
        </w:rPr>
        <w:t xml:space="preserve"> </w:t>
      </w:r>
      <w:r w:rsidRPr="006A7923">
        <w:rPr>
          <w:rFonts w:eastAsia="Times New Roman"/>
          <w:bCs/>
          <w:color w:val="000000" w:themeColor="text1"/>
          <w:sz w:val="20"/>
          <w:szCs w:val="20"/>
          <w:shd w:val="clear" w:color="auto" w:fill="FFFFFF"/>
        </w:rPr>
        <w:t>Stuart Wallace</w:t>
      </w:r>
      <w:bookmarkStart w:id="33" w:name="_ftnref1"/>
      <w:bookmarkEnd w:id="33"/>
      <w:r w:rsidRPr="006A7923">
        <w:rPr>
          <w:rFonts w:eastAsia="Times New Roman"/>
          <w:bCs/>
          <w:color w:val="000000" w:themeColor="text1"/>
          <w:sz w:val="20"/>
          <w:szCs w:val="20"/>
          <w:shd w:val="clear" w:color="auto" w:fill="FFFFFF"/>
        </w:rPr>
        <w:t xml:space="preserve">, ‘The Government’s Proposed Derogation from the ECHR’ </w:t>
      </w:r>
      <w:r w:rsidRPr="006A7923">
        <w:rPr>
          <w:rFonts w:eastAsia="Times New Roman"/>
          <w:bCs/>
          <w:i/>
          <w:color w:val="000000" w:themeColor="text1"/>
          <w:sz w:val="20"/>
          <w:szCs w:val="20"/>
          <w:shd w:val="clear" w:color="auto" w:fill="FFFFFF"/>
        </w:rPr>
        <w:t xml:space="preserve">Parliament written </w:t>
      </w:r>
      <w:r w:rsidRPr="006A7923">
        <w:rPr>
          <w:rFonts w:eastAsia="Times New Roman"/>
          <w:bCs/>
          <w:color w:val="000000" w:themeColor="text1"/>
          <w:sz w:val="20"/>
          <w:szCs w:val="20"/>
          <w:shd w:val="clear" w:color="auto" w:fill="FFFFFF"/>
        </w:rPr>
        <w:t xml:space="preserve">evidence, March 2017 (DRO0012), executive summary, available at &lt;http://data.parliament.uk/writtenevidence/committeeevidence.svc/evidencedocument/human-rights-committee/the-governments-proposed-derogation-from-the-echr/written/49521.html&gt; </w:t>
      </w:r>
      <w:r w:rsidRPr="006A7923">
        <w:rPr>
          <w:color w:val="000000" w:themeColor="text1"/>
          <w:sz w:val="20"/>
          <w:szCs w:val="20"/>
        </w:rPr>
        <w:t>accessed 19 July 2017.</w:t>
      </w:r>
    </w:p>
  </w:footnote>
  <w:footnote w:id="68">
    <w:p w14:paraId="390BAFB1" w14:textId="66E3761F"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eastAsia="Times New Roman" w:hAnsi="Times New Roman" w:cs="Times New Roman"/>
          <w:bCs/>
          <w:sz w:val="20"/>
          <w:szCs w:val="20"/>
          <w:shd w:val="clear" w:color="auto" w:fill="FFFFFF"/>
        </w:rPr>
        <w:t xml:space="preserve">Oxford Pro Bono Publico, ‘The Government’s Proposed Derogation from the ECHR’ </w:t>
      </w:r>
      <w:r w:rsidRPr="006A7923">
        <w:rPr>
          <w:rFonts w:ascii="Times New Roman" w:eastAsia="Times New Roman" w:hAnsi="Times New Roman" w:cs="Times New Roman"/>
          <w:bCs/>
          <w:i/>
          <w:sz w:val="20"/>
          <w:szCs w:val="20"/>
          <w:shd w:val="clear" w:color="auto" w:fill="FFFFFF"/>
        </w:rPr>
        <w:t xml:space="preserve">Parliament written evidence, </w:t>
      </w:r>
      <w:r w:rsidRPr="006A7923">
        <w:rPr>
          <w:rFonts w:ascii="Times New Roman" w:eastAsia="Times New Roman" w:hAnsi="Times New Roman" w:cs="Times New Roman"/>
          <w:bCs/>
          <w:sz w:val="20"/>
          <w:szCs w:val="20"/>
          <w:shd w:val="clear" w:color="auto" w:fill="FFFFFF"/>
        </w:rPr>
        <w:t xml:space="preserve">March 2017 (DRO0012), summary and paras 10 and following, available at &lt;http://data.parliament.uk/writtenevidence/committeeevidence.svc/evidencedocument/human-rights-committee/the-governments-proposed-derogation-from-the-echr/written/49605.html&gt; </w:t>
      </w:r>
      <w:r w:rsidRPr="006A7923">
        <w:rPr>
          <w:rFonts w:ascii="Times New Roman" w:hAnsi="Times New Roman" w:cs="Times New Roman"/>
          <w:color w:val="000000" w:themeColor="text1"/>
          <w:sz w:val="20"/>
          <w:szCs w:val="20"/>
        </w:rPr>
        <w:t>accessed</w:t>
      </w:r>
      <w:r w:rsidRPr="006A7923">
        <w:rPr>
          <w:rFonts w:ascii="Times New Roman" w:hAnsi="Times New Roman" w:cs="Times New Roman"/>
          <w:sz w:val="20"/>
          <w:szCs w:val="20"/>
        </w:rPr>
        <w:t xml:space="preserve"> 19 July 2017.</w:t>
      </w:r>
    </w:p>
  </w:footnote>
  <w:footnote w:id="69">
    <w:p w14:paraId="5615CC63" w14:textId="149DBB64"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Katja Ziegler, ‘The Government’s Proposed Derogation from the ECHR’ </w:t>
      </w:r>
      <w:r w:rsidRPr="006A7923">
        <w:rPr>
          <w:rFonts w:ascii="Times New Roman" w:hAnsi="Times New Roman" w:cs="Times New Roman"/>
          <w:i/>
          <w:color w:val="000000" w:themeColor="text1"/>
          <w:sz w:val="20"/>
          <w:szCs w:val="20"/>
        </w:rPr>
        <w:t xml:space="preserve">Parliament written evidence, </w:t>
      </w:r>
      <w:r w:rsidRPr="006A7923">
        <w:rPr>
          <w:rFonts w:ascii="Times New Roman" w:hAnsi="Times New Roman" w:cs="Times New Roman"/>
          <w:color w:val="000000" w:themeColor="text1"/>
          <w:sz w:val="20"/>
          <w:szCs w:val="20"/>
        </w:rPr>
        <w:t xml:space="preserve">April 2017 (DRO0027), </w:t>
      </w:r>
      <w:r w:rsidRPr="006A7923">
        <w:rPr>
          <w:rFonts w:ascii="Times New Roman" w:eastAsia="Times New Roman" w:hAnsi="Times New Roman" w:cs="Times New Roman"/>
          <w:bCs/>
          <w:color w:val="000000" w:themeColor="text1"/>
          <w:sz w:val="20"/>
          <w:szCs w:val="20"/>
          <w:shd w:val="clear" w:color="auto" w:fill="FFFFFF"/>
        </w:rPr>
        <w:t xml:space="preserve">first point of the executive summary and paras 1-2, available at &lt;http://data.parliament.uk/writtenevidence/committeeevidence.svc/evidencedocument/human-rights-committee/the-governments-proposed-derogation-from-the-echr/written/68916.html&gt; </w:t>
      </w:r>
      <w:r w:rsidRPr="006A7923">
        <w:rPr>
          <w:rFonts w:ascii="Times New Roman" w:hAnsi="Times New Roman" w:cs="Times New Roman"/>
          <w:color w:val="000000" w:themeColor="text1"/>
          <w:sz w:val="20"/>
          <w:szCs w:val="20"/>
        </w:rPr>
        <w:t xml:space="preserve">accessed 19 July 2017; </w:t>
      </w:r>
      <w:r w:rsidRPr="006A7923">
        <w:rPr>
          <w:rFonts w:ascii="Times New Roman" w:eastAsia="Times New Roman" w:hAnsi="Times New Roman" w:cs="Times New Roman"/>
          <w:bCs/>
          <w:color w:val="000000" w:themeColor="text1"/>
          <w:sz w:val="20"/>
          <w:szCs w:val="20"/>
          <w:shd w:val="clear" w:color="auto" w:fill="FFFFFF"/>
        </w:rPr>
        <w:t xml:space="preserve">Ed Bates, ‘The Government’s Proposed Derogation from the ECHR’ </w:t>
      </w:r>
      <w:r w:rsidRPr="006A7923">
        <w:rPr>
          <w:rFonts w:ascii="Times New Roman" w:eastAsia="Times New Roman" w:hAnsi="Times New Roman" w:cs="Times New Roman"/>
          <w:bCs/>
          <w:i/>
          <w:color w:val="000000" w:themeColor="text1"/>
          <w:sz w:val="20"/>
          <w:szCs w:val="20"/>
          <w:shd w:val="clear" w:color="auto" w:fill="FFFFFF"/>
        </w:rPr>
        <w:t>Parliament written evidence</w:t>
      </w:r>
      <w:r w:rsidRPr="006A7923">
        <w:rPr>
          <w:rFonts w:ascii="Times New Roman" w:eastAsia="Times New Roman" w:hAnsi="Times New Roman" w:cs="Times New Roman"/>
          <w:bCs/>
          <w:color w:val="000000" w:themeColor="text1"/>
          <w:sz w:val="20"/>
          <w:szCs w:val="20"/>
          <w:shd w:val="clear" w:color="auto" w:fill="FFFFFF"/>
        </w:rPr>
        <w:t xml:space="preserve">, March 2017 (DRO0017), at para 1.2, available at &lt;http://data.parliament.uk/writtenevidence/committeeevidence.svc/evidencedocument/human-rights-committee/the-governments-proposed-derogation-from-the-echr/written/49620.html&gt; </w:t>
      </w:r>
      <w:r w:rsidRPr="006A7923">
        <w:rPr>
          <w:rFonts w:ascii="Times New Roman" w:hAnsi="Times New Roman" w:cs="Times New Roman"/>
          <w:color w:val="000000" w:themeColor="text1"/>
          <w:sz w:val="20"/>
          <w:szCs w:val="20"/>
        </w:rPr>
        <w:t xml:space="preserve">accessed 19 July 2017. Although abuse of rights is not amongst the arguments employed, see also </w:t>
      </w:r>
      <w:r w:rsidRPr="006A7923">
        <w:rPr>
          <w:rFonts w:ascii="Times New Roman" w:eastAsia="Times New Roman" w:hAnsi="Times New Roman" w:cs="Times New Roman"/>
          <w:bCs/>
          <w:color w:val="000000" w:themeColor="text1"/>
          <w:sz w:val="20"/>
          <w:szCs w:val="20"/>
          <w:shd w:val="clear" w:color="auto" w:fill="FFFFFF"/>
        </w:rPr>
        <w:t xml:space="preserve">Open Society Justice Initiative, ‘The Government’s Proposed Derogation from the ECHR’ </w:t>
      </w:r>
      <w:r w:rsidRPr="006A7923">
        <w:rPr>
          <w:rFonts w:ascii="Times New Roman" w:eastAsia="Times New Roman" w:hAnsi="Times New Roman" w:cs="Times New Roman"/>
          <w:bCs/>
          <w:i/>
          <w:color w:val="000000" w:themeColor="text1"/>
          <w:sz w:val="20"/>
          <w:szCs w:val="20"/>
          <w:shd w:val="clear" w:color="auto" w:fill="FFFFFF"/>
        </w:rPr>
        <w:t>Parliament written evidence</w:t>
      </w:r>
      <w:r w:rsidRPr="006A7923">
        <w:rPr>
          <w:rFonts w:ascii="Times New Roman" w:eastAsia="Times New Roman" w:hAnsi="Times New Roman" w:cs="Times New Roman"/>
          <w:bCs/>
          <w:color w:val="000000" w:themeColor="text1"/>
          <w:sz w:val="20"/>
          <w:szCs w:val="20"/>
          <w:shd w:val="clear" w:color="auto" w:fill="FFFFFF"/>
        </w:rPr>
        <w:t xml:space="preserve">, April 2017 (DRO0022), available at &lt;http://data.parliament.uk/writtenevidence/committeeevidence.svc/evidencedocument/human-rights-committee/the-governments-proposed-derogation-from-the-echr/written/49744.html&gt; </w:t>
      </w:r>
      <w:r w:rsidRPr="006A7923">
        <w:rPr>
          <w:rFonts w:ascii="Times New Roman" w:hAnsi="Times New Roman" w:cs="Times New Roman"/>
          <w:color w:val="000000" w:themeColor="text1"/>
          <w:sz w:val="20"/>
          <w:szCs w:val="20"/>
        </w:rPr>
        <w:t>accessed 19 July 2017. The evidence submitted suggests that ‘a presumptive intent to derogate for the purpose of limiting the effect of litigation is incompatible with the Article 15 requirement that such measures must be required by the situation and consistent with international law.’</w:t>
      </w:r>
    </w:p>
  </w:footnote>
  <w:footnote w:id="70">
    <w:p w14:paraId="05B298D2" w14:textId="3FF03746" w:rsidR="00A51F58" w:rsidRPr="006A7923" w:rsidRDefault="00A51F58" w:rsidP="008E72AA">
      <w:pPr>
        <w:jc w:val="both"/>
        <w:rPr>
          <w:color w:val="000000" w:themeColor="text1"/>
          <w:sz w:val="20"/>
          <w:szCs w:val="20"/>
          <w:lang w:eastAsia="en-US"/>
        </w:rPr>
      </w:pPr>
      <w:r w:rsidRPr="006A7923">
        <w:rPr>
          <w:rStyle w:val="FootnoteReference"/>
          <w:color w:val="000000" w:themeColor="text1"/>
          <w:sz w:val="20"/>
          <w:szCs w:val="20"/>
        </w:rPr>
        <w:footnoteRef/>
      </w:r>
      <w:r w:rsidRPr="006A7923">
        <w:rPr>
          <w:color w:val="000000" w:themeColor="text1"/>
          <w:sz w:val="20"/>
          <w:szCs w:val="20"/>
        </w:rPr>
        <w:t xml:space="preserve"> </w:t>
      </w:r>
      <w:r w:rsidRPr="006A7923">
        <w:rPr>
          <w:color w:val="000000" w:themeColor="text1"/>
          <w:sz w:val="20"/>
          <w:szCs w:val="20"/>
          <w:lang w:eastAsia="en-US"/>
        </w:rPr>
        <w:t>International Law Commission (ILC), ‘Report of the International Law Commission on the Work of its 53</w:t>
      </w:r>
      <w:r w:rsidRPr="006A7923">
        <w:rPr>
          <w:color w:val="000000" w:themeColor="text1"/>
          <w:sz w:val="20"/>
          <w:szCs w:val="20"/>
          <w:vertAlign w:val="superscript"/>
          <w:lang w:eastAsia="en-US"/>
        </w:rPr>
        <w:t>rd</w:t>
      </w:r>
      <w:r w:rsidRPr="006A7923">
        <w:rPr>
          <w:color w:val="000000" w:themeColor="text1"/>
          <w:sz w:val="20"/>
          <w:szCs w:val="20"/>
          <w:lang w:eastAsia="en-US"/>
        </w:rPr>
        <w:t xml:space="preserve"> Session’ (23 April-01 June 2001 and 02 July-10 August 2001) UN Doc A/56/10, Articles on Responsibility of States for Internationally Wrongful Acts (ARSIWA), Article 2. </w:t>
      </w:r>
    </w:p>
  </w:footnote>
  <w:footnote w:id="71">
    <w:p w14:paraId="6076DF06" w14:textId="17896DDB"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xml:space="preserve">, Article 4. </w:t>
      </w:r>
    </w:p>
  </w:footnote>
  <w:footnote w:id="72">
    <w:p w14:paraId="73320515" w14:textId="38F4D0BC"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As opposed to indirectly attributable conduct because of failure to demonstrate due diligence. </w:t>
      </w:r>
      <w:r w:rsidRPr="006A7923">
        <w:rPr>
          <w:rFonts w:ascii="Times New Roman" w:hAnsi="Times New Roman" w:cs="Times New Roman"/>
          <w:color w:val="000000" w:themeColor="text1"/>
          <w:sz w:val="20"/>
          <w:szCs w:val="20"/>
          <w:lang w:val="en-US"/>
        </w:rPr>
        <w:t xml:space="preserve">See Jean Salmon (ed.), </w:t>
      </w:r>
      <w:r w:rsidRPr="006A7923">
        <w:rPr>
          <w:rFonts w:ascii="Times New Roman" w:hAnsi="Times New Roman" w:cs="Times New Roman"/>
          <w:i/>
          <w:color w:val="000000" w:themeColor="text1"/>
          <w:sz w:val="20"/>
          <w:szCs w:val="20"/>
          <w:lang w:val="en-US"/>
        </w:rPr>
        <w:t xml:space="preserve">Dictionnaire de Droit International Public </w:t>
      </w:r>
      <w:r w:rsidRPr="006A7923">
        <w:rPr>
          <w:rFonts w:ascii="Times New Roman" w:hAnsi="Times New Roman" w:cs="Times New Roman"/>
          <w:color w:val="000000" w:themeColor="text1"/>
          <w:sz w:val="20"/>
          <w:szCs w:val="20"/>
          <w:lang w:val="en-US"/>
        </w:rPr>
        <w:t>(Bruylant 2001) 996, defining indirect responsibility as ‘incurred by a subject of law because of the conduct of another subject of law’ [translated from French]. This means that the state is held accountable for its own fault/failure to address a human rights violation under its jurisdiction that is not (directly) attributable to (i.e. has not been directly caused by) its organs. See also, Jan Arno Hessbruegge, ‘The Historical Development of the Doctrines of Attribution and Due Diligence in International Law’ (2003-2004) 36 New York University Journal of International Law and Politics 265, at 268-269.</w:t>
      </w:r>
    </w:p>
  </w:footnote>
  <w:footnote w:id="73">
    <w:p w14:paraId="3309879F" w14:textId="5279FBE7"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This refers to the positive effect of human rights obligations associated with the principle of due diligence. </w:t>
      </w:r>
    </w:p>
  </w:footnote>
  <w:footnote w:id="74">
    <w:p w14:paraId="0796CC50" w14:textId="37E1F010"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See </w:t>
      </w:r>
      <w:r w:rsidRPr="006A7923">
        <w:rPr>
          <w:rFonts w:ascii="Times New Roman" w:hAnsi="Times New Roman" w:cs="Times New Roman"/>
          <w:color w:val="000000" w:themeColor="text1"/>
          <w:sz w:val="20"/>
          <w:szCs w:val="20"/>
        </w:rPr>
        <w:t>Kanstantsin Dzehtsiarou, ‘Different Human Rights at Home and Abroad: Immunity for British Soldiers during Overseas Operations’ (</w:t>
      </w:r>
      <w:r w:rsidRPr="006A7923">
        <w:rPr>
          <w:rFonts w:ascii="Times New Roman" w:hAnsi="Times New Roman" w:cs="Times New Roman"/>
          <w:i/>
          <w:color w:val="000000" w:themeColor="text1"/>
          <w:sz w:val="20"/>
          <w:szCs w:val="20"/>
        </w:rPr>
        <w:t>Just Security</w:t>
      </w:r>
      <w:r w:rsidRPr="006A7923">
        <w:rPr>
          <w:rFonts w:ascii="Times New Roman" w:hAnsi="Times New Roman" w:cs="Times New Roman"/>
          <w:color w:val="000000" w:themeColor="text1"/>
          <w:sz w:val="20"/>
          <w:szCs w:val="20"/>
        </w:rPr>
        <w:t>, 05 October 2016) available at &lt;www.justsecurity.org/33377/human-rights-home-abroad-immunity-british-soldier-overseas-operations/&gt; accessed 19 July 2017. Dzehtsiarou argues that the derogation can protect the government, not its soldiers.</w:t>
      </w:r>
      <w:r w:rsidRPr="006A7923">
        <w:rPr>
          <w:rFonts w:ascii="Times New Roman" w:eastAsia="Times New Roman" w:hAnsi="Times New Roman" w:cs="Times New Roman"/>
          <w:bCs/>
          <w:color w:val="000000" w:themeColor="text1"/>
          <w:sz w:val="20"/>
          <w:szCs w:val="20"/>
          <w:lang w:eastAsia="en-GB"/>
        </w:rPr>
        <w:t xml:space="preserve"> </w:t>
      </w:r>
    </w:p>
  </w:footnote>
  <w:footnote w:id="75">
    <w:p w14:paraId="63ABAD77" w14:textId="243330E9"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Jane M. Rooney, ‘Extraterritorial Derogation from the European Convention on Human Rights in the United Kingdom’ (2016) 6 EHRLR 656, at 659. </w:t>
      </w:r>
    </w:p>
  </w:footnote>
  <w:footnote w:id="76">
    <w:p w14:paraId="1956CA77" w14:textId="7EF45305"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_Ref492892977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71</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w:t>
      </w:r>
    </w:p>
  </w:footnote>
  <w:footnote w:id="77">
    <w:p w14:paraId="2E5490F2" w14:textId="7C85DEFA"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the examples given by the Bingham Centre for the Rule of Law,</w:t>
      </w:r>
      <w:r w:rsidRPr="006A7923">
        <w:rPr>
          <w:rFonts w:ascii="Times New Roman" w:eastAsia="Times New Roman" w:hAnsi="Times New Roman" w:cs="Times New Roman"/>
          <w:bCs/>
          <w:color w:val="000000" w:themeColor="text1"/>
          <w:sz w:val="20"/>
          <w:szCs w:val="20"/>
          <w:lang w:eastAsia="en-GB"/>
        </w:rPr>
        <w:t xml:space="preserve"> ‘The Government’s Proposed Derogation from the ECHR’ </w:t>
      </w:r>
      <w:r w:rsidRPr="006A7923">
        <w:rPr>
          <w:rFonts w:ascii="Times New Roman" w:eastAsia="Times New Roman" w:hAnsi="Times New Roman" w:cs="Times New Roman"/>
          <w:bCs/>
          <w:i/>
          <w:color w:val="000000" w:themeColor="text1"/>
          <w:sz w:val="20"/>
          <w:szCs w:val="20"/>
          <w:lang w:eastAsia="en-GB"/>
        </w:rPr>
        <w:t xml:space="preserve">Parliament written </w:t>
      </w:r>
      <w:r w:rsidRPr="006A7923">
        <w:rPr>
          <w:rFonts w:ascii="Times New Roman" w:eastAsia="Times New Roman" w:hAnsi="Times New Roman" w:cs="Times New Roman"/>
          <w:bCs/>
          <w:color w:val="000000" w:themeColor="text1"/>
          <w:sz w:val="20"/>
          <w:szCs w:val="20"/>
          <w:lang w:eastAsia="en-GB"/>
        </w:rPr>
        <w:t>evidence, March 2017 (DRO0011), at paras 7-9, available at</w:t>
      </w:r>
    </w:p>
    <w:p w14:paraId="3DCBB664" w14:textId="289AA610"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Fonts w:ascii="Times New Roman" w:hAnsi="Times New Roman" w:cs="Times New Roman"/>
          <w:color w:val="000000" w:themeColor="text1"/>
          <w:sz w:val="20"/>
          <w:szCs w:val="20"/>
        </w:rPr>
        <w:t>&lt;http://data.parliament.uk/writtenevidence/committeeevidence.svc/evidencedocument/human-rights-committee/the-governments-proposed-derogation-from-the-echr/written/49515.html&gt; accessed 19 July 2017.</w:t>
      </w:r>
      <w:r w:rsidRPr="006A7923">
        <w:rPr>
          <w:rFonts w:ascii="Times New Roman" w:eastAsia="Times New Roman" w:hAnsi="Times New Roman" w:cs="Times New Roman"/>
          <w:bCs/>
          <w:color w:val="000000" w:themeColor="text1"/>
          <w:sz w:val="20"/>
          <w:szCs w:val="20"/>
          <w:lang w:eastAsia="en-GB"/>
        </w:rPr>
        <w:t xml:space="preserve"> </w:t>
      </w:r>
      <w:r w:rsidRPr="006A7923">
        <w:rPr>
          <w:rFonts w:ascii="Times New Roman" w:hAnsi="Times New Roman" w:cs="Times New Roman"/>
          <w:color w:val="000000" w:themeColor="text1"/>
          <w:sz w:val="20"/>
          <w:szCs w:val="20"/>
        </w:rPr>
        <w:t xml:space="preserve">See Liberty, ‘The Government’s Proposed Derogation from the ECHR’ </w:t>
      </w:r>
      <w:r w:rsidRPr="006A7923">
        <w:rPr>
          <w:rFonts w:ascii="Times New Roman" w:hAnsi="Times New Roman" w:cs="Times New Roman"/>
          <w:i/>
          <w:color w:val="000000" w:themeColor="text1"/>
          <w:sz w:val="20"/>
          <w:szCs w:val="20"/>
        </w:rPr>
        <w:t xml:space="preserve">Parliament written evidence, </w:t>
      </w:r>
      <w:r w:rsidRPr="006A7923">
        <w:rPr>
          <w:rFonts w:ascii="Times New Roman" w:hAnsi="Times New Roman" w:cs="Times New Roman"/>
          <w:color w:val="000000" w:themeColor="text1"/>
          <w:sz w:val="20"/>
          <w:szCs w:val="20"/>
        </w:rPr>
        <w:t>March 2017 (DRO0018), at paras 16-18, available at &lt;http://data.parliament.uk/writtenevidence/committeeevidence.svc/evidencedocument/human-rights-committee/the-governments-proposed-derogation-from-the-echr/written/49642.html&gt; accessed 19 July 2017.</w:t>
      </w:r>
      <w:r w:rsidRPr="006A7923">
        <w:rPr>
          <w:rFonts w:ascii="Times New Roman" w:eastAsia="Times New Roman" w:hAnsi="Times New Roman" w:cs="Times New Roman"/>
          <w:bCs/>
          <w:color w:val="000000" w:themeColor="text1"/>
          <w:sz w:val="20"/>
          <w:szCs w:val="20"/>
          <w:lang w:eastAsia="en-GB"/>
        </w:rPr>
        <w:t xml:space="preserve"> </w:t>
      </w:r>
      <w:r w:rsidRPr="006A7923">
        <w:rPr>
          <w:rFonts w:ascii="Times New Roman" w:hAnsi="Times New Roman" w:cs="Times New Roman"/>
          <w:i/>
          <w:color w:val="000000" w:themeColor="text1"/>
          <w:sz w:val="20"/>
          <w:szCs w:val="20"/>
        </w:rPr>
        <w:t>Cf</w:t>
      </w:r>
      <w:r w:rsidRPr="006A7923">
        <w:rPr>
          <w:rFonts w:ascii="Times New Roman" w:hAnsi="Times New Roman" w:cs="Times New Roman"/>
          <w:color w:val="000000" w:themeColor="text1"/>
          <w:sz w:val="20"/>
          <w:szCs w:val="20"/>
        </w:rPr>
        <w:t xml:space="preserve">., Annex to letter from Fallon DS to Harman MP,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_Ref491246737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at Q. 13. The Ministry of Defence argues that ‘[d]erogating from the ECHR will not affect the rights of our Armed Forces in matters such as ensuring Article 6 compliant trials within the Service Justice System. There may be some impact upon the type of investigation needed in relation to Article 2, should the UK derogate from that Article in the future (although some form of investigation would be needed to decide whether the death was indeed a “lawful act of war.”)’.</w:t>
      </w:r>
    </w:p>
  </w:footnote>
  <w:footnote w:id="78">
    <w:p w14:paraId="0B21607A" w14:textId="4673C15E" w:rsidR="00A51F58" w:rsidRPr="006A7923" w:rsidRDefault="00A51F58" w:rsidP="008E72AA">
      <w:pPr>
        <w:pStyle w:val="FootnoteText"/>
        <w:jc w:val="both"/>
        <w:rPr>
          <w:rFonts w:ascii="Times New Roman" w:hAnsi="Times New Roman" w:cs="Times New Roman"/>
          <w:color w:val="000000" w:themeColor="text1"/>
          <w:sz w:val="20"/>
          <w:szCs w:val="20"/>
          <w:highlight w:val="yellow"/>
          <w:lang w:val="fr-CA"/>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lang w:val="fr-CA"/>
        </w:rPr>
        <w:t xml:space="preserve"> </w:t>
      </w:r>
      <w:r w:rsidRPr="006A7923">
        <w:rPr>
          <w:rFonts w:ascii="Times New Roman" w:hAnsi="Times New Roman" w:cs="Times New Roman"/>
          <w:i/>
          <w:color w:val="000000" w:themeColor="text1"/>
          <w:sz w:val="20"/>
          <w:szCs w:val="20"/>
          <w:lang w:val="fr-CA"/>
        </w:rPr>
        <w:t>Dictionnaire de Droit International Public</w:t>
      </w:r>
      <w:r w:rsidRPr="006A7923">
        <w:rPr>
          <w:rFonts w:ascii="Times New Roman" w:hAnsi="Times New Roman" w:cs="Times New Roman"/>
          <w:color w:val="000000" w:themeColor="text1"/>
          <w:sz w:val="20"/>
          <w:szCs w:val="20"/>
          <w:lang w:val="fr-CA"/>
        </w:rPr>
        <w:t xml:space="preserve">, </w:t>
      </w:r>
      <w:r w:rsidRPr="006A7923">
        <w:rPr>
          <w:rFonts w:ascii="Times New Roman" w:hAnsi="Times New Roman" w:cs="Times New Roman"/>
          <w:i/>
          <w:color w:val="000000" w:themeColor="text1"/>
          <w:sz w:val="20"/>
          <w:szCs w:val="20"/>
          <w:lang w:val="fr-CA"/>
        </w:rPr>
        <w:t xml:space="preserve">supra </w:t>
      </w:r>
      <w:r w:rsidRPr="006A7923">
        <w:rPr>
          <w:rFonts w:ascii="Times New Roman" w:hAnsi="Times New Roman" w:cs="Times New Roman"/>
          <w:color w:val="000000" w:themeColor="text1"/>
          <w:sz w:val="20"/>
          <w:szCs w:val="20"/>
          <w:lang w:val="fr-CA"/>
        </w:rPr>
        <w:t xml:space="preserve">note </w:t>
      </w:r>
      <w:r w:rsidRPr="006A7923">
        <w:rPr>
          <w:rFonts w:ascii="Times New Roman" w:hAnsi="Times New Roman" w:cs="Times New Roman"/>
          <w:color w:val="000000" w:themeColor="text1"/>
          <w:sz w:val="20"/>
          <w:szCs w:val="20"/>
          <w:highlight w:val="yellow"/>
          <w:lang w:val="fr-CA"/>
        </w:rPr>
        <w:fldChar w:fldCharType="begin"/>
      </w:r>
      <w:r w:rsidRPr="006A7923">
        <w:rPr>
          <w:rFonts w:ascii="Times New Roman" w:hAnsi="Times New Roman" w:cs="Times New Roman"/>
          <w:color w:val="000000" w:themeColor="text1"/>
          <w:sz w:val="20"/>
          <w:szCs w:val="20"/>
          <w:highlight w:val="yellow"/>
          <w:lang w:val="fr-CA"/>
        </w:rPr>
        <w:instrText xml:space="preserve"> NOTEREF _Ref492892977 \h  \* MERGEFORMAT </w:instrText>
      </w:r>
      <w:r w:rsidRPr="006A7923">
        <w:rPr>
          <w:rFonts w:ascii="Times New Roman" w:hAnsi="Times New Roman" w:cs="Times New Roman"/>
          <w:color w:val="000000" w:themeColor="text1"/>
          <w:sz w:val="20"/>
          <w:szCs w:val="20"/>
          <w:highlight w:val="yellow"/>
          <w:lang w:val="fr-CA"/>
        </w:rPr>
      </w:r>
      <w:r w:rsidRPr="006A7923">
        <w:rPr>
          <w:rFonts w:ascii="Times New Roman" w:hAnsi="Times New Roman" w:cs="Times New Roman"/>
          <w:color w:val="000000" w:themeColor="text1"/>
          <w:sz w:val="20"/>
          <w:szCs w:val="20"/>
          <w:highlight w:val="yellow"/>
          <w:lang w:val="fr-CA"/>
        </w:rPr>
        <w:fldChar w:fldCharType="separate"/>
      </w:r>
      <w:r w:rsidRPr="006A7923">
        <w:rPr>
          <w:rFonts w:ascii="Times New Roman" w:hAnsi="Times New Roman" w:cs="Times New Roman"/>
          <w:color w:val="000000" w:themeColor="text1"/>
          <w:sz w:val="20"/>
          <w:szCs w:val="20"/>
          <w:highlight w:val="yellow"/>
          <w:lang w:val="fr-CA"/>
        </w:rPr>
        <w:t>71</w:t>
      </w:r>
      <w:r w:rsidRPr="006A7923">
        <w:rPr>
          <w:rFonts w:ascii="Times New Roman" w:hAnsi="Times New Roman" w:cs="Times New Roman"/>
          <w:color w:val="000000" w:themeColor="text1"/>
          <w:sz w:val="20"/>
          <w:szCs w:val="20"/>
          <w:highlight w:val="yellow"/>
          <w:lang w:val="fr-CA"/>
        </w:rPr>
        <w:fldChar w:fldCharType="end"/>
      </w:r>
      <w:r w:rsidRPr="006A7923">
        <w:rPr>
          <w:rFonts w:ascii="Times New Roman" w:hAnsi="Times New Roman" w:cs="Times New Roman"/>
          <w:color w:val="000000" w:themeColor="text1"/>
          <w:sz w:val="20"/>
          <w:szCs w:val="20"/>
          <w:highlight w:val="yellow"/>
          <w:lang w:val="fr-CA"/>
        </w:rPr>
        <w:t>,</w:t>
      </w:r>
      <w:r w:rsidRPr="006A7923">
        <w:rPr>
          <w:rFonts w:ascii="Times New Roman" w:hAnsi="Times New Roman" w:cs="Times New Roman"/>
          <w:color w:val="000000" w:themeColor="text1"/>
          <w:sz w:val="20"/>
          <w:szCs w:val="20"/>
          <w:lang w:val="fr-CA"/>
        </w:rPr>
        <w:t xml:space="preserve"> at 3-4.</w:t>
      </w:r>
    </w:p>
  </w:footnote>
  <w:footnote w:id="79">
    <w:p w14:paraId="1C37BF3C" w14:textId="2CC1A8C8" w:rsidR="00A51F58" w:rsidRPr="006A7923" w:rsidRDefault="00A51F58" w:rsidP="008E72AA">
      <w:pPr>
        <w:jc w:val="both"/>
        <w:rPr>
          <w:color w:val="000000" w:themeColor="text1"/>
          <w:sz w:val="20"/>
          <w:szCs w:val="20"/>
          <w:lang w:val="fr-CA"/>
        </w:rPr>
      </w:pPr>
      <w:r w:rsidRPr="006A7923">
        <w:rPr>
          <w:rStyle w:val="FootnoteReference"/>
          <w:color w:val="000000" w:themeColor="text1"/>
          <w:sz w:val="20"/>
          <w:szCs w:val="20"/>
        </w:rPr>
        <w:footnoteRef/>
      </w:r>
      <w:r w:rsidRPr="006A7923">
        <w:rPr>
          <w:color w:val="000000" w:themeColor="text1"/>
          <w:sz w:val="20"/>
          <w:szCs w:val="20"/>
        </w:rPr>
        <w:t xml:space="preserve"> </w:t>
      </w:r>
      <w:r w:rsidRPr="006A7923">
        <w:rPr>
          <w:i/>
          <w:color w:val="000000" w:themeColor="text1"/>
          <w:sz w:val="20"/>
          <w:szCs w:val="20"/>
        </w:rPr>
        <w:t>Ibid.</w:t>
      </w:r>
      <w:r w:rsidRPr="006A7923">
        <w:rPr>
          <w:color w:val="000000" w:themeColor="text1"/>
          <w:sz w:val="20"/>
          <w:szCs w:val="20"/>
        </w:rPr>
        <w:t xml:space="preserve">, translated from French. See also, Alexandre Kiss, ‘Abuse of Rights’ </w:t>
      </w:r>
      <w:r w:rsidRPr="006A7923">
        <w:rPr>
          <w:i/>
          <w:color w:val="000000" w:themeColor="text1"/>
          <w:sz w:val="20"/>
          <w:szCs w:val="20"/>
        </w:rPr>
        <w:t>Max Planck Encyclopedia of Public International Law</w:t>
      </w:r>
      <w:r w:rsidRPr="006A7923">
        <w:rPr>
          <w:color w:val="000000" w:themeColor="text1"/>
          <w:sz w:val="20"/>
          <w:szCs w:val="20"/>
        </w:rPr>
        <w:t xml:space="preserve"> (last updated December 2006), at paras 1 and 5, available at &lt;</w:t>
      </w:r>
      <w:r w:rsidRPr="006A7923">
        <w:rPr>
          <w:sz w:val="20"/>
          <w:szCs w:val="20"/>
        </w:rPr>
        <w:t>http://opil.ouplaw.com/view/10.1093/law:epil/9780199231690/law-9780199231690-e1371?rskey=TRlUg5&amp;result=1&amp;prd=EPIL</w:t>
      </w:r>
      <w:r w:rsidRPr="006A7923">
        <w:rPr>
          <w:color w:val="000000" w:themeColor="text1"/>
          <w:sz w:val="20"/>
          <w:szCs w:val="20"/>
        </w:rPr>
        <w:t xml:space="preserve">&gt; accessed 31 July 2017. The literature on abuse of rights is abundant; for the international law dimension of the concept see the monograph by Alexandre C. Kiss, </w:t>
      </w:r>
      <w:r w:rsidRPr="006A7923">
        <w:rPr>
          <w:i/>
          <w:color w:val="000000" w:themeColor="text1"/>
          <w:sz w:val="20"/>
          <w:szCs w:val="20"/>
        </w:rPr>
        <w:t>L’abus de droit en droit international</w:t>
      </w:r>
      <w:r w:rsidRPr="006A7923">
        <w:rPr>
          <w:color w:val="000000" w:themeColor="text1"/>
          <w:sz w:val="20"/>
          <w:szCs w:val="20"/>
        </w:rPr>
        <w:t xml:space="preserve"> (LGDJ 1952) and Robert Kolb, </w:t>
      </w:r>
      <w:r w:rsidRPr="006A7923">
        <w:rPr>
          <w:i/>
          <w:color w:val="000000" w:themeColor="text1"/>
          <w:sz w:val="20"/>
          <w:szCs w:val="20"/>
        </w:rPr>
        <w:t>La bonne foie en droit international public. Contribution à l’étude des principes généraux de droit</w:t>
      </w:r>
      <w:r w:rsidRPr="006A7923">
        <w:rPr>
          <w:color w:val="000000" w:themeColor="text1"/>
          <w:sz w:val="20"/>
          <w:szCs w:val="20"/>
        </w:rPr>
        <w:t xml:space="preserve"> (PUF 2000) 439-486, and especially 442-450 on the foundations of the prohibition of abuse of rights in positive international law and the very detailed discussion of the various positions adopted within scholarship in that respect. For an overview in English, see Michael Byers, ‘Abuse of Rights: An Old Principle, a New Age’ (2002) 47 Mc Gill Law Journal 389, particularly at 397-404 on how the principle has been applied in international law and 404-410 providing a literature review, starting with Politis, who devoted to </w:t>
      </w:r>
      <w:r w:rsidRPr="006A7923">
        <w:rPr>
          <w:i/>
          <w:color w:val="000000" w:themeColor="text1"/>
          <w:sz w:val="20"/>
          <w:szCs w:val="20"/>
        </w:rPr>
        <w:t>abus de droit</w:t>
      </w:r>
      <w:r w:rsidRPr="006A7923">
        <w:rPr>
          <w:color w:val="000000" w:themeColor="text1"/>
          <w:sz w:val="20"/>
          <w:szCs w:val="20"/>
        </w:rPr>
        <w:t xml:space="preserve"> his course at the Hague Academy of International Law in 1925. </w:t>
      </w:r>
      <w:r w:rsidRPr="006A7923">
        <w:rPr>
          <w:color w:val="000000" w:themeColor="text1"/>
          <w:sz w:val="20"/>
          <w:szCs w:val="20"/>
          <w:lang w:val="fr-CA"/>
        </w:rPr>
        <w:t>Nicolas Politis, ‘Le problème des limitations de la souveraineté et la théorie de l’abus des droits dans les rapports internationaux’ (1925) 6 Recueil des cours de l’Académie de la Haye</w:t>
      </w:r>
      <w:r w:rsidRPr="006A7923">
        <w:rPr>
          <w:i/>
          <w:color w:val="000000" w:themeColor="text1"/>
          <w:sz w:val="20"/>
          <w:szCs w:val="20"/>
          <w:lang w:val="fr-CA"/>
        </w:rPr>
        <w:t xml:space="preserve"> </w:t>
      </w:r>
      <w:r w:rsidRPr="006A7923">
        <w:rPr>
          <w:color w:val="000000" w:themeColor="text1"/>
          <w:sz w:val="20"/>
          <w:szCs w:val="20"/>
          <w:lang w:val="fr-CA"/>
        </w:rPr>
        <w:t xml:space="preserve">1. </w:t>
      </w:r>
    </w:p>
  </w:footnote>
  <w:footnote w:id="80">
    <w:p w14:paraId="0523FFCE" w14:textId="38C9981A"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Kolb,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_Ref492897664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at 464-469.</w:t>
      </w:r>
    </w:p>
  </w:footnote>
  <w:footnote w:id="81">
    <w:p w14:paraId="0D1F22E1" w14:textId="0F5DDA53"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The parenthesis in the main text implies that abuse of rights is a general principle of law that appears in various legal systems, including international law. On the origins of the concept in Greek antiquity and in Roman Law, see Kolb,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_Ref492897664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429-434. On the origins of the principle and its foundations in (mainly civil law) national legal systems, see Byers,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_Ref492897664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at 391-397. Because abuse of rights stems from and reflects the practice of states within their national legal order, it can be qualified as a ‘normative principle’. On this concept (</w:t>
      </w:r>
      <w:r w:rsidRPr="006A7923">
        <w:rPr>
          <w:rFonts w:ascii="Times New Roman" w:hAnsi="Times New Roman" w:cs="Times New Roman"/>
          <w:i/>
          <w:color w:val="000000" w:themeColor="text1"/>
          <w:sz w:val="20"/>
          <w:szCs w:val="20"/>
        </w:rPr>
        <w:t>i.e</w:t>
      </w:r>
      <w:r w:rsidRPr="006A7923">
        <w:rPr>
          <w:rFonts w:ascii="Times New Roman" w:hAnsi="Times New Roman" w:cs="Times New Roman"/>
          <w:color w:val="000000" w:themeColor="text1"/>
          <w:sz w:val="20"/>
          <w:szCs w:val="20"/>
        </w:rPr>
        <w:t xml:space="preserve">. normative principle), see Marti Koskenniemi, ‘General Principles: Reflexions on Constructivist Thinking in International Law’ in Marti Koskenniemi (ed) </w:t>
      </w:r>
      <w:r w:rsidRPr="006A7923">
        <w:rPr>
          <w:rFonts w:ascii="Times New Roman" w:hAnsi="Times New Roman" w:cs="Times New Roman"/>
          <w:i/>
          <w:color w:val="000000" w:themeColor="text1"/>
          <w:sz w:val="20"/>
          <w:szCs w:val="20"/>
        </w:rPr>
        <w:t xml:space="preserve">Sources of International Law </w:t>
      </w:r>
      <w:r w:rsidRPr="006A7923">
        <w:rPr>
          <w:rFonts w:ascii="Times New Roman" w:hAnsi="Times New Roman" w:cs="Times New Roman"/>
          <w:color w:val="000000" w:themeColor="text1"/>
          <w:sz w:val="20"/>
          <w:szCs w:val="20"/>
        </w:rPr>
        <w:t>(Routledge 2000) 364-365. Such principles are often, ‘extrapolated from domestic legal discourse by means of analogical and comparative reasoning.’ Matthias Goldmann, ‘Principles in International Law as Rational Reconstructions. A Taxonomy’ (2013) available at &lt;https://papers.ssrn.com/sol3/papers.cfm?abstract_id=2442027&gt; accessed 22 September 2017. On the foundations of the prohibition of abuse of rights in positive international law, see. Kolb,</w:t>
      </w:r>
      <w:r w:rsidRPr="006A7923">
        <w:rPr>
          <w:rFonts w:ascii="Times New Roman" w:hAnsi="Times New Roman" w:cs="Times New Roman"/>
          <w:i/>
          <w:color w:val="000000" w:themeColor="text1"/>
          <w:sz w:val="20"/>
          <w:szCs w:val="20"/>
        </w:rPr>
        <w:t xml:space="preserve"> 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_Ref492897664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at 442-450.</w:t>
      </w:r>
    </w:p>
  </w:footnote>
  <w:footnote w:id="82">
    <w:p w14:paraId="6622A4FA" w14:textId="535A3368"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On good faith, see Kolb,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_Ref492897664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and Kolb, </w:t>
      </w:r>
      <w:r w:rsidRPr="006A7923">
        <w:rPr>
          <w:rFonts w:ascii="Times New Roman" w:hAnsi="Times New Roman" w:cs="Times New Roman"/>
          <w:i/>
          <w:color w:val="000000" w:themeColor="text1"/>
          <w:sz w:val="20"/>
          <w:szCs w:val="20"/>
        </w:rPr>
        <w:t xml:space="preserve">Good Faith in International Law </w:t>
      </w:r>
      <w:r w:rsidRPr="006A7923">
        <w:rPr>
          <w:rFonts w:ascii="Times New Roman" w:hAnsi="Times New Roman" w:cs="Times New Roman"/>
          <w:color w:val="000000" w:themeColor="text1"/>
          <w:sz w:val="20"/>
          <w:szCs w:val="20"/>
        </w:rPr>
        <w:t xml:space="preserve">(Hart 2017). See also Steven Reinhold, ‘Good Faith in International Law’ (2013) 2 UCL Journal of Law and Jurisprudence 40. See also Helmut P. Aust, </w:t>
      </w:r>
      <w:r w:rsidRPr="006A7923">
        <w:rPr>
          <w:rFonts w:ascii="Times New Roman" w:hAnsi="Times New Roman" w:cs="Times New Roman"/>
          <w:i/>
          <w:color w:val="000000" w:themeColor="text1"/>
          <w:sz w:val="20"/>
          <w:szCs w:val="20"/>
        </w:rPr>
        <w:t>Complicity and the Law of State Responsibility</w:t>
      </w:r>
      <w:r w:rsidRPr="006A7923">
        <w:rPr>
          <w:rFonts w:ascii="Times New Roman" w:hAnsi="Times New Roman" w:cs="Times New Roman"/>
          <w:color w:val="000000" w:themeColor="text1"/>
          <w:sz w:val="20"/>
          <w:szCs w:val="20"/>
        </w:rPr>
        <w:t xml:space="preserve"> (CUP 2011) 77, who associates abuse of rights with arbitrariness and rule of law.</w:t>
      </w:r>
    </w:p>
  </w:footnote>
  <w:footnote w:id="83">
    <w:p w14:paraId="3D3B4205" w14:textId="55B6BF28" w:rsidR="00A51F58" w:rsidRPr="006A7923" w:rsidRDefault="00A51F58" w:rsidP="008E72AA">
      <w:pPr>
        <w:pStyle w:val="p1"/>
        <w:rPr>
          <w:rFonts w:ascii="Times New Roman" w:hAnsi="Times New Roman"/>
          <w:color w:val="000000" w:themeColor="text1"/>
          <w:sz w:val="20"/>
          <w:szCs w:val="20"/>
          <w:highlight w:val="green"/>
        </w:rPr>
      </w:pPr>
      <w:r w:rsidRPr="006A7923">
        <w:rPr>
          <w:rStyle w:val="FootnoteReference"/>
          <w:rFonts w:ascii="Times New Roman" w:hAnsi="Times New Roman"/>
          <w:color w:val="000000" w:themeColor="text1"/>
          <w:sz w:val="20"/>
          <w:szCs w:val="20"/>
        </w:rPr>
        <w:footnoteRef/>
      </w:r>
      <w:r w:rsidRPr="006A7923">
        <w:rPr>
          <w:rFonts w:ascii="Times New Roman" w:hAnsi="Times New Roman"/>
          <w:color w:val="000000" w:themeColor="text1"/>
          <w:sz w:val="20"/>
          <w:szCs w:val="20"/>
          <w:lang w:val="fr-CA"/>
        </w:rPr>
        <w:t xml:space="preserve"> </w:t>
      </w:r>
      <w:r w:rsidRPr="006A7923">
        <w:rPr>
          <w:rFonts w:ascii="Times New Roman" w:hAnsi="Times New Roman"/>
          <w:i/>
          <w:color w:val="000000" w:themeColor="text1"/>
          <w:sz w:val="20"/>
          <w:szCs w:val="20"/>
          <w:lang w:val="fr-CA"/>
        </w:rPr>
        <w:t>Dictionnaire de Droit International Public</w:t>
      </w:r>
      <w:r w:rsidRPr="006A7923">
        <w:rPr>
          <w:rFonts w:ascii="Times New Roman" w:hAnsi="Times New Roman"/>
          <w:color w:val="000000" w:themeColor="text1"/>
          <w:sz w:val="20"/>
          <w:szCs w:val="20"/>
          <w:lang w:val="fr-CA"/>
        </w:rPr>
        <w:t xml:space="preserve">, </w:t>
      </w:r>
      <w:r w:rsidRPr="006A7923">
        <w:rPr>
          <w:rFonts w:ascii="Times New Roman" w:hAnsi="Times New Roman"/>
          <w:i/>
          <w:color w:val="000000" w:themeColor="text1"/>
          <w:sz w:val="20"/>
          <w:szCs w:val="20"/>
          <w:lang w:val="fr-CA"/>
        </w:rPr>
        <w:t xml:space="preserve">supra </w:t>
      </w:r>
      <w:r w:rsidRPr="006A7923">
        <w:rPr>
          <w:rFonts w:ascii="Times New Roman" w:hAnsi="Times New Roman"/>
          <w:color w:val="000000" w:themeColor="text1"/>
          <w:sz w:val="20"/>
          <w:szCs w:val="20"/>
          <w:lang w:val="fr-CA"/>
        </w:rPr>
        <w:t xml:space="preserve">note </w:t>
      </w:r>
      <w:r w:rsidRPr="006A7923">
        <w:rPr>
          <w:rFonts w:ascii="Times New Roman" w:hAnsi="Times New Roman"/>
          <w:color w:val="000000" w:themeColor="text1"/>
          <w:sz w:val="20"/>
          <w:szCs w:val="20"/>
          <w:highlight w:val="yellow"/>
          <w:lang w:val="fr-CA"/>
        </w:rPr>
        <w:fldChar w:fldCharType="begin"/>
      </w:r>
      <w:r w:rsidRPr="006A7923">
        <w:rPr>
          <w:rFonts w:ascii="Times New Roman" w:hAnsi="Times New Roman"/>
          <w:color w:val="000000" w:themeColor="text1"/>
          <w:sz w:val="20"/>
          <w:szCs w:val="20"/>
          <w:highlight w:val="yellow"/>
          <w:lang w:val="fr-CA"/>
        </w:rPr>
        <w:instrText xml:space="preserve"> NOTEREF _Ref492892977 \h  \* MERGEFORMAT </w:instrText>
      </w:r>
      <w:r w:rsidRPr="006A7923">
        <w:rPr>
          <w:rFonts w:ascii="Times New Roman" w:hAnsi="Times New Roman"/>
          <w:color w:val="000000" w:themeColor="text1"/>
          <w:sz w:val="20"/>
          <w:szCs w:val="20"/>
          <w:highlight w:val="yellow"/>
          <w:lang w:val="fr-CA"/>
        </w:rPr>
      </w:r>
      <w:r w:rsidRPr="006A7923">
        <w:rPr>
          <w:rFonts w:ascii="Times New Roman" w:hAnsi="Times New Roman"/>
          <w:color w:val="000000" w:themeColor="text1"/>
          <w:sz w:val="20"/>
          <w:szCs w:val="20"/>
          <w:highlight w:val="yellow"/>
          <w:lang w:val="fr-CA"/>
        </w:rPr>
        <w:fldChar w:fldCharType="separate"/>
      </w:r>
      <w:r w:rsidRPr="006A7923">
        <w:rPr>
          <w:rFonts w:ascii="Times New Roman" w:hAnsi="Times New Roman"/>
          <w:color w:val="000000" w:themeColor="text1"/>
          <w:sz w:val="20"/>
          <w:szCs w:val="20"/>
          <w:highlight w:val="yellow"/>
          <w:lang w:val="fr-CA"/>
        </w:rPr>
        <w:t>71</w:t>
      </w:r>
      <w:r w:rsidRPr="006A7923">
        <w:rPr>
          <w:rFonts w:ascii="Times New Roman" w:hAnsi="Times New Roman"/>
          <w:color w:val="000000" w:themeColor="text1"/>
          <w:sz w:val="20"/>
          <w:szCs w:val="20"/>
          <w:highlight w:val="yellow"/>
          <w:lang w:val="fr-CA"/>
        </w:rPr>
        <w:fldChar w:fldCharType="end"/>
      </w:r>
      <w:r w:rsidRPr="006A7923">
        <w:rPr>
          <w:rFonts w:ascii="Times New Roman" w:hAnsi="Times New Roman"/>
          <w:color w:val="000000" w:themeColor="text1"/>
          <w:sz w:val="20"/>
          <w:szCs w:val="20"/>
          <w:lang w:val="fr-CA"/>
        </w:rPr>
        <w:t xml:space="preserve">, at 4. </w:t>
      </w:r>
      <w:r w:rsidRPr="006A7923">
        <w:rPr>
          <w:rFonts w:ascii="Times New Roman" w:hAnsi="Times New Roman"/>
          <w:color w:val="000000" w:themeColor="text1"/>
          <w:sz w:val="20"/>
          <w:szCs w:val="20"/>
        </w:rPr>
        <w:t>To give an example coming from another regime of international law on the association between good faith and abuse of rights, see Eric De Brabandere, ‘“Good Faith”, “Abuse of Process” and the Initiation of Investment Treaty Claims’ (2012) 3 Journal of International Dispute Settlement 609, at 612-613.</w:t>
      </w:r>
    </w:p>
  </w:footnote>
  <w:footnote w:id="84">
    <w:p w14:paraId="22B39C4F" w14:textId="041FCA83"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Kolb,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_Ref492897664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439-442. See also Reinhold,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_Ref492898912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81</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49-50. See also </w:t>
      </w:r>
      <w:r w:rsidRPr="006A7923">
        <w:rPr>
          <w:rFonts w:ascii="Times New Roman" w:hAnsi="Times New Roman" w:cs="Times New Roman"/>
          <w:i/>
          <w:color w:val="000000" w:themeColor="text1"/>
          <w:sz w:val="20"/>
          <w:szCs w:val="20"/>
        </w:rPr>
        <w:t>infra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_Ref493764722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107</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giving examples of association of good faith with Article 18 ECHR.</w:t>
      </w:r>
    </w:p>
  </w:footnote>
  <w:footnote w:id="85">
    <w:p w14:paraId="5872A51F" w14:textId="0C836C5F"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Article 26 VCLT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_Ref492826270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59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refers to the principle of </w:t>
      </w:r>
      <w:r w:rsidRPr="006A7923">
        <w:rPr>
          <w:rFonts w:ascii="Times New Roman" w:hAnsi="Times New Roman" w:cs="Times New Roman"/>
          <w:i/>
          <w:color w:val="000000" w:themeColor="text1"/>
          <w:sz w:val="20"/>
          <w:szCs w:val="20"/>
        </w:rPr>
        <w:t xml:space="preserve">pacta sunt servanda </w:t>
      </w:r>
      <w:r w:rsidRPr="006A7923">
        <w:rPr>
          <w:rFonts w:ascii="Times New Roman" w:hAnsi="Times New Roman" w:cs="Times New Roman"/>
          <w:color w:val="000000" w:themeColor="text1"/>
          <w:sz w:val="20"/>
          <w:szCs w:val="20"/>
        </w:rPr>
        <w:t xml:space="preserve">(which is also the title of the provision) and reads: ‘Every treaty in force is binding upon the parties to it and must be performed by them in good faith.’ Article 31(1) requires that ‘[a] treaty shall be interpreted in good faith […]’. </w:t>
      </w:r>
    </w:p>
  </w:footnote>
  <w:footnote w:id="86">
    <w:p w14:paraId="228C1A30" w14:textId="1791FF4C"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Kolb,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_Ref492897664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 xml:space="preserve">at 469-470. See also Kiss, </w:t>
      </w:r>
      <w:r w:rsidRPr="006A7923">
        <w:rPr>
          <w:rFonts w:ascii="Times New Roman" w:hAnsi="Times New Roman" w:cs="Times New Roman"/>
          <w:i/>
          <w:color w:val="000000" w:themeColor="text1"/>
          <w:sz w:val="20"/>
          <w:szCs w:val="20"/>
        </w:rPr>
        <w:t>L’abus de droit</w:t>
      </w:r>
      <w:r w:rsidRPr="006A7923">
        <w:rPr>
          <w:rFonts w:ascii="Times New Roman" w:hAnsi="Times New Roman" w:cs="Times New Roman"/>
          <w:color w:val="000000" w:themeColor="text1"/>
          <w:sz w:val="20"/>
          <w:szCs w:val="20"/>
        </w:rPr>
        <w:t>,</w:t>
      </w:r>
      <w:r w:rsidRPr="006A7923">
        <w:rPr>
          <w:rFonts w:ascii="Times New Roman" w:hAnsi="Times New Roman" w:cs="Times New Roman"/>
          <w:i/>
          <w:color w:val="000000" w:themeColor="text1"/>
          <w:sz w:val="20"/>
          <w:szCs w:val="20"/>
        </w:rPr>
        <w:t xml:space="preserve"> 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_Ref492897664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r w:rsidRPr="006A7923">
        <w:rPr>
          <w:rFonts w:ascii="Times New Roman" w:hAnsi="Times New Roman" w:cs="Times New Roman"/>
          <w:color w:val="000000" w:themeColor="text1"/>
          <w:sz w:val="20"/>
          <w:szCs w:val="20"/>
        </w:rPr>
        <w:t xml:space="preserve"> at 183.</w:t>
      </w:r>
    </w:p>
  </w:footnote>
  <w:footnote w:id="87">
    <w:p w14:paraId="13C1E788" w14:textId="33C6E4D5"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Kolb,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_Ref492897664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 xml:space="preserve">at 469-470. See also Kiss, ‘Abuse of Rights’,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_Ref492897664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 xml:space="preserve">at para 31 and Kiss, </w:t>
      </w:r>
      <w:r w:rsidRPr="006A7923">
        <w:rPr>
          <w:rFonts w:ascii="Times New Roman" w:hAnsi="Times New Roman" w:cs="Times New Roman"/>
          <w:i/>
          <w:color w:val="000000" w:themeColor="text1"/>
          <w:sz w:val="20"/>
          <w:szCs w:val="20"/>
        </w:rPr>
        <w:t>L’abus de droit</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_Ref492897664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 xml:space="preserve">at 180. </w:t>
      </w:r>
    </w:p>
  </w:footnote>
  <w:footnote w:id="88">
    <w:p w14:paraId="44E96ED5" w14:textId="47C358C6"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Kiss, ‘Abuse of Rights’,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_Ref492897664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 xml:space="preserve">at para 32. </w:t>
      </w:r>
    </w:p>
  </w:footnote>
  <w:footnote w:id="89">
    <w:p w14:paraId="4734B20C" w14:textId="1F444297"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ARSIWA,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_Ref492900505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69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Article 12. </w:t>
      </w:r>
    </w:p>
  </w:footnote>
  <w:footnote w:id="90">
    <w:p w14:paraId="4C1D43E1" w14:textId="5BBCDCDA"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Ibid.</w:t>
      </w:r>
      <w:r w:rsidRPr="006A7923">
        <w:rPr>
          <w:rFonts w:ascii="Times New Roman" w:hAnsi="Times New Roman" w:cs="Times New Roman"/>
          <w:sz w:val="20"/>
          <w:szCs w:val="20"/>
        </w:rPr>
        <w:t xml:space="preserve">, </w:t>
      </w:r>
      <w:r w:rsidRPr="006A7923">
        <w:rPr>
          <w:rFonts w:ascii="Times New Roman" w:hAnsi="Times New Roman" w:cs="Times New Roman"/>
          <w:color w:val="000000" w:themeColor="text1"/>
          <w:sz w:val="20"/>
          <w:szCs w:val="20"/>
        </w:rPr>
        <w:t xml:space="preserve">Article 2. </w:t>
      </w:r>
    </w:p>
  </w:footnote>
  <w:footnote w:id="91">
    <w:p w14:paraId="6EFAC36F" w14:textId="02B23AEB" w:rsidR="00A51F58" w:rsidRPr="006A7923" w:rsidRDefault="00A51F58" w:rsidP="008E72AA">
      <w:pPr>
        <w:pStyle w:val="FootnoteText"/>
        <w:jc w:val="both"/>
        <w:rPr>
          <w:rFonts w:ascii="Times New Roman" w:hAnsi="Times New Roman" w:cs="Times New Roman"/>
          <w:i/>
          <w:sz w:val="20"/>
          <w:szCs w:val="20"/>
        </w:rPr>
      </w:pPr>
      <w:r w:rsidRPr="006A7923">
        <w:rPr>
          <w:rStyle w:val="FootnoteReference"/>
          <w:rFonts w:ascii="Times New Roman" w:hAnsi="Times New Roman" w:cs="Times New Roman"/>
          <w:sz w:val="20"/>
          <w:szCs w:val="20"/>
        </w:rPr>
        <w:footnoteRef/>
      </w:r>
      <w:r w:rsidRPr="006A7923">
        <w:rPr>
          <w:rStyle w:val="FootnoteReference"/>
          <w:rFonts w:ascii="Times New Roman" w:hAnsi="Times New Roman" w:cs="Times New Roman"/>
          <w:sz w:val="20"/>
          <w:szCs w:val="20"/>
        </w:rPr>
        <w:t xml:space="preserve"> </w:t>
      </w:r>
      <w:r w:rsidRPr="006A7923">
        <w:rPr>
          <w:rFonts w:ascii="Times New Roman" w:hAnsi="Times New Roman" w:cs="Times New Roman"/>
          <w:color w:val="000000" w:themeColor="text1"/>
          <w:sz w:val="20"/>
          <w:szCs w:val="20"/>
        </w:rPr>
        <w:t>See the ILC commentaries</w:t>
      </w:r>
      <w:r w:rsidRPr="006A7923">
        <w:rPr>
          <w:rFonts w:ascii="Times New Roman" w:hAnsi="Times New Roman" w:cs="Times New Roman"/>
          <w:sz w:val="20"/>
          <w:szCs w:val="20"/>
        </w:rPr>
        <w:t xml:space="preserve"> for Article 2 (</w:t>
      </w:r>
      <w:r w:rsidRPr="006A7923">
        <w:rPr>
          <w:rFonts w:ascii="Times New Roman" w:hAnsi="Times New Roman" w:cs="Times New Roman"/>
          <w:color w:val="000000" w:themeColor="text1"/>
          <w:sz w:val="20"/>
          <w:szCs w:val="20"/>
        </w:rPr>
        <w:t xml:space="preserve">ARSIWA,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_Ref492900505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69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also </w:t>
      </w:r>
      <w:r w:rsidRPr="006A7923">
        <w:rPr>
          <w:rFonts w:ascii="Times New Roman" w:hAnsi="Times New Roman" w:cs="Times New Roman"/>
          <w:sz w:val="20"/>
          <w:szCs w:val="20"/>
        </w:rPr>
        <w:t xml:space="preserve">available at &lt;http://legal.un.org/ilc/texts/instruments/english/commentaries/9_6_2001.pdf&gt; </w:t>
      </w:r>
      <w:r w:rsidRPr="006A7923">
        <w:rPr>
          <w:rFonts w:ascii="Times New Roman" w:hAnsi="Times New Roman" w:cs="Times New Roman"/>
          <w:color w:val="000000" w:themeColor="text1"/>
          <w:sz w:val="20"/>
          <w:szCs w:val="20"/>
        </w:rPr>
        <w:t>accessed</w:t>
      </w:r>
      <w:r w:rsidRPr="006A7923">
        <w:rPr>
          <w:rFonts w:ascii="Times New Roman" w:hAnsi="Times New Roman" w:cs="Times New Roman"/>
          <w:sz w:val="20"/>
          <w:szCs w:val="20"/>
        </w:rPr>
        <w:t xml:space="preserve"> 25 August 2017), at 34-36. ‘Whether there has been a breach of a rule may depend on the intention or knowledge of relevant State organs or agents and in that sense may be “subjective”’ (at 34). Subjective mental elements, such as intention or knowledge, only come into play when the primary rule requires them. In that case, intention or knowledge are assessed as a precondition for establishing the breach of a rule, which is a precondition of wrongfulness. </w:t>
      </w:r>
    </w:p>
  </w:footnote>
  <w:footnote w:id="92">
    <w:p w14:paraId="534FD01B" w14:textId="0D2C5D17" w:rsidR="00A51F58" w:rsidRPr="006A7923" w:rsidRDefault="00A51F58" w:rsidP="008E72AA">
      <w:pPr>
        <w:pStyle w:val="FootnoteText"/>
        <w:contextualSpacing/>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ARSIWA,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_Ref492900505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69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r w:rsidRPr="006A7923">
        <w:rPr>
          <w:rFonts w:ascii="Times New Roman" w:hAnsi="Times New Roman" w:cs="Times New Roman"/>
          <w:color w:val="000000" w:themeColor="text1"/>
          <w:sz w:val="20"/>
          <w:szCs w:val="20"/>
        </w:rPr>
        <w:t xml:space="preserve"> Article 12. </w:t>
      </w:r>
    </w:p>
  </w:footnote>
  <w:footnote w:id="93">
    <w:p w14:paraId="14857F86" w14:textId="1C74CEA9" w:rsidR="00A51F58" w:rsidRPr="006A7923" w:rsidRDefault="00A51F58" w:rsidP="008E72AA">
      <w:pPr>
        <w:jc w:val="both"/>
        <w:rPr>
          <w:color w:val="000000" w:themeColor="text1"/>
          <w:sz w:val="20"/>
          <w:szCs w:val="20"/>
        </w:rPr>
      </w:pPr>
      <w:r w:rsidRPr="006A7923">
        <w:rPr>
          <w:rStyle w:val="FootnoteReference"/>
          <w:color w:val="000000" w:themeColor="text1"/>
          <w:sz w:val="20"/>
          <w:szCs w:val="20"/>
        </w:rPr>
        <w:footnoteRef/>
      </w:r>
      <w:r w:rsidRPr="006A7923">
        <w:rPr>
          <w:color w:val="000000" w:themeColor="text1"/>
          <w:sz w:val="20"/>
          <w:szCs w:val="20"/>
        </w:rPr>
        <w:t xml:space="preserve"> For instance, see </w:t>
      </w:r>
      <w:r w:rsidRPr="006A7923">
        <w:rPr>
          <w:i/>
          <w:color w:val="000000" w:themeColor="text1"/>
          <w:sz w:val="20"/>
          <w:szCs w:val="20"/>
          <w:lang w:eastAsia="en-US"/>
        </w:rPr>
        <w:t xml:space="preserve">Application of the Interim Accord of 13 September 1995 </w:t>
      </w:r>
      <w:r w:rsidRPr="006A7923">
        <w:rPr>
          <w:color w:val="000000" w:themeColor="text1"/>
          <w:sz w:val="20"/>
          <w:szCs w:val="20"/>
          <w:lang w:eastAsia="en-US"/>
        </w:rPr>
        <w:t>(</w:t>
      </w:r>
      <w:r w:rsidRPr="006A7923">
        <w:rPr>
          <w:i/>
          <w:color w:val="000000" w:themeColor="text1"/>
          <w:sz w:val="20"/>
          <w:szCs w:val="20"/>
          <w:lang w:eastAsia="en-US"/>
        </w:rPr>
        <w:t>the former Yugoslav Republic of Macedonia v Greece</w:t>
      </w:r>
      <w:r w:rsidRPr="006A7923">
        <w:rPr>
          <w:color w:val="000000" w:themeColor="text1"/>
          <w:sz w:val="20"/>
          <w:szCs w:val="20"/>
          <w:lang w:eastAsia="en-US"/>
        </w:rPr>
        <w:t xml:space="preserve">) [2011] </w:t>
      </w:r>
      <w:r w:rsidRPr="006A7923">
        <w:rPr>
          <w:color w:val="000000" w:themeColor="text1"/>
          <w:sz w:val="20"/>
          <w:szCs w:val="20"/>
        </w:rPr>
        <w:t xml:space="preserve">ICJ Rep 2011, at paras 73-83, and particularly at paras 75-76 and 81. In the ECHR regime, see for instance </w:t>
      </w:r>
      <w:r w:rsidRPr="006A7923">
        <w:rPr>
          <w:i/>
          <w:color w:val="000000" w:themeColor="text1"/>
          <w:sz w:val="20"/>
          <w:szCs w:val="20"/>
        </w:rPr>
        <w:t>Rasul Jafarov v Azerbaijan</w:t>
      </w:r>
      <w:r w:rsidRPr="006A7923">
        <w:rPr>
          <w:color w:val="000000" w:themeColor="text1"/>
          <w:sz w:val="20"/>
          <w:szCs w:val="20"/>
        </w:rPr>
        <w:t xml:space="preserve"> App no 69981/14 (ECtHR, </w:t>
      </w:r>
      <w:r w:rsidRPr="006A7923">
        <w:rPr>
          <w:color w:val="000000" w:themeColor="text1"/>
          <w:sz w:val="20"/>
          <w:szCs w:val="20"/>
          <w:highlight w:val="yellow"/>
        </w:rPr>
        <w:t>17 March 2016</w:t>
      </w:r>
      <w:r w:rsidRPr="006A7923">
        <w:rPr>
          <w:color w:val="000000" w:themeColor="text1"/>
          <w:sz w:val="20"/>
          <w:szCs w:val="20"/>
        </w:rPr>
        <w:t xml:space="preserve">), at para 160. </w:t>
      </w:r>
    </w:p>
  </w:footnote>
  <w:footnote w:id="94">
    <w:p w14:paraId="7A72AB51" w14:textId="476B590C" w:rsidR="00A51F58" w:rsidRPr="006A7923" w:rsidRDefault="00A51F58" w:rsidP="008E72AA">
      <w:pPr>
        <w:pStyle w:val="FootnoteText"/>
        <w:jc w:val="both"/>
        <w:rPr>
          <w:rFonts w:ascii="Times New Roman" w:hAnsi="Times New Roman" w:cs="Times New Roman"/>
          <w:sz w:val="20"/>
          <w:szCs w:val="20"/>
          <w:highlight w:val="yellow"/>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Outside of its theoretical value, this question is also important for the purposes of the discussion that follows as to whether the UK could be found to have abused the rights under the ECHR in case of a lawful derogation from it. See parts IV and V of the study.</w:t>
      </w:r>
    </w:p>
  </w:footnote>
  <w:footnote w:id="95">
    <w:p w14:paraId="372384B2" w14:textId="55A592F9"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In our case, the abused right would be the right to derogate from the Convention that may lead to breaches (and the associated damage) of various human rights protected in the ECHR. </w:t>
      </w:r>
    </w:p>
  </w:footnote>
  <w:footnote w:id="96">
    <w:p w14:paraId="2E0C72C5" w14:textId="57A374E5"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for instance,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note</w:t>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_Ref492826270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59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r w:rsidRPr="006A7923">
        <w:rPr>
          <w:rFonts w:ascii="Times New Roman" w:hAnsi="Times New Roman" w:cs="Times New Roman"/>
          <w:color w:val="000000" w:themeColor="text1"/>
          <w:sz w:val="20"/>
          <w:szCs w:val="20"/>
        </w:rPr>
        <w:t xml:space="preserve"> See also, Tzevelekos, </w:t>
      </w:r>
      <w:r w:rsidRPr="006A7923">
        <w:rPr>
          <w:rFonts w:ascii="Times New Roman" w:hAnsi="Times New Roman" w:cs="Times New Roman"/>
          <w:i/>
          <w:sz w:val="20"/>
          <w:szCs w:val="20"/>
        </w:rPr>
        <w:t xml:space="preserve">supra </w:t>
      </w:r>
      <w:r w:rsidRPr="006A7923">
        <w:rPr>
          <w:rFonts w:ascii="Times New Roman" w:hAnsi="Times New Roman" w:cs="Times New Roman"/>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_Ref496007580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60</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p>
  </w:footnote>
  <w:footnote w:id="97">
    <w:p w14:paraId="30D28A54" w14:textId="0E5E0C7E"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Khodorkovskiy and Lebedev v Russia</w:t>
      </w:r>
      <w:r w:rsidRPr="006A7923">
        <w:rPr>
          <w:rFonts w:ascii="Times New Roman" w:hAnsi="Times New Roman" w:cs="Times New Roman"/>
          <w:color w:val="000000" w:themeColor="text1"/>
          <w:sz w:val="20"/>
          <w:szCs w:val="20"/>
        </w:rPr>
        <w:t xml:space="preserve"> App nos</w:t>
      </w:r>
      <w:r w:rsidRPr="006A7923">
        <w:rPr>
          <w:rFonts w:ascii="Times New Roman" w:hAnsi="Times New Roman" w:cs="Times New Roman"/>
          <w:sz w:val="20"/>
          <w:szCs w:val="20"/>
        </w:rPr>
        <w:t xml:space="preserve"> 11082/06 and 13772/05 (ECtHR, 25 July 2013), at para 898.</w:t>
      </w:r>
    </w:p>
  </w:footnote>
  <w:footnote w:id="98">
    <w:p w14:paraId="70777E6C" w14:textId="0261CB55"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ECHR,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_Ref496007621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49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Article 17. For an overview of the ECtHR case law on Article 17, see Paulien de Morree, </w:t>
      </w:r>
      <w:r w:rsidRPr="006A7923">
        <w:rPr>
          <w:rFonts w:ascii="Times New Roman" w:hAnsi="Times New Roman" w:cs="Times New Roman"/>
          <w:i/>
          <w:color w:val="000000" w:themeColor="text1"/>
          <w:sz w:val="20"/>
          <w:szCs w:val="20"/>
        </w:rPr>
        <w:t>Rights and Wrongs under the ECHR. The Prohibition of Abuse of Rights in Article 17 of the European Convention on Human Rights</w:t>
      </w:r>
      <w:r w:rsidRPr="006A7923">
        <w:rPr>
          <w:rFonts w:ascii="Times New Roman" w:hAnsi="Times New Roman" w:cs="Times New Roman"/>
          <w:color w:val="000000" w:themeColor="text1"/>
          <w:sz w:val="20"/>
          <w:szCs w:val="20"/>
        </w:rPr>
        <w:t xml:space="preserve"> (Intersentia 2016) 23-66.</w:t>
      </w:r>
    </w:p>
  </w:footnote>
  <w:footnote w:id="99">
    <w:p w14:paraId="6DBD104E" w14:textId="4CE3173B"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Yutaka Arai, ‘Prohibition of Abuse of the Rights and Freedoms Set Forth in the Convention and of Their Limitation to a Greater Extent Than is Provided for in the Convention (Article 17)’ in Peter van Dijk </w:t>
      </w:r>
      <w:r w:rsidRPr="006A7923">
        <w:rPr>
          <w:rFonts w:ascii="Times New Roman" w:hAnsi="Times New Roman" w:cs="Times New Roman"/>
          <w:i/>
          <w:color w:val="000000" w:themeColor="text1"/>
          <w:sz w:val="20"/>
          <w:szCs w:val="20"/>
        </w:rPr>
        <w:t xml:space="preserve">et al. </w:t>
      </w:r>
      <w:r w:rsidRPr="006A7923">
        <w:rPr>
          <w:rFonts w:ascii="Times New Roman" w:hAnsi="Times New Roman" w:cs="Times New Roman"/>
          <w:color w:val="000000" w:themeColor="text1"/>
          <w:sz w:val="20"/>
          <w:szCs w:val="20"/>
        </w:rPr>
        <w:t xml:space="preserve">(eds) </w:t>
      </w:r>
      <w:r w:rsidRPr="006A7923">
        <w:rPr>
          <w:rFonts w:ascii="Times New Roman" w:hAnsi="Times New Roman" w:cs="Times New Roman"/>
          <w:i/>
          <w:color w:val="000000" w:themeColor="text1"/>
          <w:sz w:val="20"/>
          <w:szCs w:val="20"/>
        </w:rPr>
        <w:t>Theory and Practice of the European Convention on Human Rights</w:t>
      </w:r>
      <w:r w:rsidRPr="006A7923">
        <w:rPr>
          <w:rFonts w:ascii="Times New Roman" w:hAnsi="Times New Roman" w:cs="Times New Roman"/>
          <w:color w:val="000000" w:themeColor="text1"/>
          <w:sz w:val="20"/>
          <w:szCs w:val="20"/>
        </w:rPr>
        <w:t xml:space="preserve"> (4</w:t>
      </w:r>
      <w:r w:rsidRPr="006A7923">
        <w:rPr>
          <w:rFonts w:ascii="Times New Roman" w:hAnsi="Times New Roman" w:cs="Times New Roman"/>
          <w:color w:val="000000" w:themeColor="text1"/>
          <w:sz w:val="20"/>
          <w:szCs w:val="20"/>
          <w:vertAlign w:val="superscript"/>
        </w:rPr>
        <w:t>th</w:t>
      </w:r>
      <w:r w:rsidRPr="006A7923">
        <w:rPr>
          <w:rFonts w:ascii="Times New Roman" w:hAnsi="Times New Roman" w:cs="Times New Roman"/>
          <w:color w:val="000000" w:themeColor="text1"/>
          <w:sz w:val="20"/>
          <w:szCs w:val="20"/>
        </w:rPr>
        <w:t xml:space="preserve"> ed. Intersentia 2006) 1084.</w:t>
      </w:r>
      <w:r w:rsidRPr="006A7923">
        <w:rPr>
          <w:rFonts w:ascii="Times New Roman" w:hAnsi="Times New Roman" w:cs="Times New Roman"/>
          <w:i/>
          <w:color w:val="000000" w:themeColor="text1"/>
          <w:sz w:val="20"/>
          <w:szCs w:val="20"/>
        </w:rPr>
        <w:t xml:space="preserve"> </w:t>
      </w:r>
    </w:p>
  </w:footnote>
  <w:footnote w:id="100">
    <w:p w14:paraId="6D327A11" w14:textId="171D9DBA" w:rsidR="00A51F58" w:rsidRPr="006A7923" w:rsidRDefault="00A51F58" w:rsidP="008E72AA">
      <w:pPr>
        <w:jc w:val="both"/>
        <w:rPr>
          <w:color w:val="000000" w:themeColor="text1"/>
          <w:sz w:val="20"/>
          <w:szCs w:val="20"/>
          <w:highlight w:val="yellow"/>
        </w:rPr>
      </w:pPr>
      <w:r w:rsidRPr="006A7923">
        <w:rPr>
          <w:rStyle w:val="FootnoteReference"/>
          <w:color w:val="000000" w:themeColor="text1"/>
          <w:sz w:val="20"/>
          <w:szCs w:val="20"/>
        </w:rPr>
        <w:footnoteRef/>
      </w:r>
      <w:r w:rsidRPr="006A7923">
        <w:rPr>
          <w:color w:val="000000" w:themeColor="text1"/>
          <w:sz w:val="20"/>
          <w:szCs w:val="20"/>
        </w:rPr>
        <w:t xml:space="preserve"> ECHR, </w:t>
      </w:r>
      <w:r w:rsidRPr="006A7923">
        <w:rPr>
          <w:i/>
          <w:color w:val="000000" w:themeColor="text1"/>
          <w:sz w:val="20"/>
          <w:szCs w:val="20"/>
        </w:rPr>
        <w:t>supra</w:t>
      </w:r>
      <w:r w:rsidRPr="006A7923">
        <w:rPr>
          <w:color w:val="000000" w:themeColor="text1"/>
          <w:sz w:val="20"/>
          <w:szCs w:val="20"/>
        </w:rPr>
        <w:t xml:space="preserve"> note </w:t>
      </w:r>
      <w:r w:rsidRPr="006A7923">
        <w:rPr>
          <w:color w:val="000000" w:themeColor="text1"/>
          <w:sz w:val="20"/>
          <w:szCs w:val="20"/>
          <w:highlight w:val="yellow"/>
        </w:rPr>
        <w:fldChar w:fldCharType="begin"/>
      </w:r>
      <w:r w:rsidRPr="006A7923">
        <w:rPr>
          <w:color w:val="000000" w:themeColor="text1"/>
          <w:sz w:val="20"/>
          <w:szCs w:val="20"/>
          <w:highlight w:val="yellow"/>
        </w:rPr>
        <w:instrText xml:space="preserve"> NOTEREF _Ref496007621 \h  \* MERGEFORMAT </w:instrText>
      </w:r>
      <w:r w:rsidRPr="006A7923">
        <w:rPr>
          <w:color w:val="000000" w:themeColor="text1"/>
          <w:sz w:val="20"/>
          <w:szCs w:val="20"/>
          <w:highlight w:val="yellow"/>
        </w:rPr>
      </w:r>
      <w:r w:rsidRPr="006A7923">
        <w:rPr>
          <w:color w:val="000000" w:themeColor="text1"/>
          <w:sz w:val="20"/>
          <w:szCs w:val="20"/>
          <w:highlight w:val="yellow"/>
        </w:rPr>
        <w:fldChar w:fldCharType="separate"/>
      </w:r>
      <w:r w:rsidRPr="006A7923">
        <w:rPr>
          <w:color w:val="000000" w:themeColor="text1"/>
          <w:sz w:val="20"/>
          <w:szCs w:val="20"/>
          <w:highlight w:val="yellow"/>
        </w:rPr>
        <w:t>49</w:t>
      </w:r>
      <w:r w:rsidRPr="006A7923">
        <w:rPr>
          <w:color w:val="000000" w:themeColor="text1"/>
          <w:sz w:val="20"/>
          <w:szCs w:val="20"/>
          <w:highlight w:val="yellow"/>
        </w:rPr>
        <w:fldChar w:fldCharType="end"/>
      </w:r>
      <w:r w:rsidRPr="006A7923">
        <w:rPr>
          <w:color w:val="000000" w:themeColor="text1"/>
          <w:sz w:val="20"/>
          <w:szCs w:val="20"/>
        </w:rPr>
        <w:t xml:space="preserve">, Article 35(3)(a). See, for instance, </w:t>
      </w:r>
      <w:r w:rsidRPr="006A7923">
        <w:rPr>
          <w:i/>
          <w:color w:val="000000" w:themeColor="text1"/>
          <w:sz w:val="20"/>
          <w:szCs w:val="20"/>
        </w:rPr>
        <w:t>Pavel Ivanov v Russia</w:t>
      </w:r>
      <w:r w:rsidRPr="006A7923">
        <w:rPr>
          <w:color w:val="000000" w:themeColor="text1"/>
          <w:sz w:val="20"/>
          <w:szCs w:val="20"/>
        </w:rPr>
        <w:t xml:space="preserve"> App no 35222/04</w:t>
      </w:r>
      <w:r w:rsidRPr="006A7923">
        <w:rPr>
          <w:color w:val="000000" w:themeColor="text1"/>
          <w:sz w:val="20"/>
          <w:szCs w:val="20"/>
          <w:highlight w:val="yellow"/>
        </w:rPr>
        <w:t xml:space="preserve"> (ECtHR, 20 February 2007</w:t>
      </w:r>
      <w:r w:rsidRPr="006A7923">
        <w:rPr>
          <w:color w:val="000000" w:themeColor="text1"/>
          <w:sz w:val="20"/>
          <w:szCs w:val="20"/>
        </w:rPr>
        <w:t>, admissibility).</w:t>
      </w:r>
      <w:r w:rsidRPr="006A7923">
        <w:rPr>
          <w:color w:val="000000" w:themeColor="text1"/>
          <w:sz w:val="20"/>
          <w:szCs w:val="20"/>
          <w:highlight w:val="yellow"/>
        </w:rPr>
        <w:t xml:space="preserve"> </w:t>
      </w:r>
    </w:p>
  </w:footnote>
  <w:footnote w:id="101">
    <w:p w14:paraId="3C560C4D" w14:textId="31490577"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Lawless v Ireland (No 3)</w:t>
      </w:r>
      <w:r w:rsidRPr="006A7923">
        <w:rPr>
          <w:rFonts w:ascii="Times New Roman" w:hAnsi="Times New Roman" w:cs="Times New Roman"/>
          <w:color w:val="000000" w:themeColor="text1"/>
          <w:sz w:val="20"/>
          <w:szCs w:val="20"/>
        </w:rPr>
        <w:t xml:space="preserve"> App no 332/57 (ECtHR</w:t>
      </w:r>
      <w:r w:rsidRPr="006A7923">
        <w:rPr>
          <w:rFonts w:ascii="Times New Roman" w:hAnsi="Times New Roman" w:cs="Times New Roman"/>
          <w:color w:val="000000" w:themeColor="text1"/>
          <w:sz w:val="20"/>
          <w:szCs w:val="20"/>
          <w:highlight w:val="yellow"/>
        </w:rPr>
        <w:t>, 1 July 1961</w:t>
      </w:r>
      <w:r w:rsidRPr="006A7923">
        <w:rPr>
          <w:rFonts w:ascii="Times New Roman" w:hAnsi="Times New Roman" w:cs="Times New Roman"/>
          <w:color w:val="000000" w:themeColor="text1"/>
          <w:sz w:val="20"/>
          <w:szCs w:val="20"/>
        </w:rPr>
        <w:t>),</w:t>
      </w:r>
      <w:r w:rsidRPr="006A7923">
        <w:rPr>
          <w:rFonts w:ascii="Times New Roman" w:hAnsi="Times New Roman" w:cs="Times New Roman"/>
          <w:i/>
          <w:color w:val="000000" w:themeColor="text1"/>
          <w:sz w:val="20"/>
          <w:szCs w:val="20"/>
        </w:rPr>
        <w:t xml:space="preserve"> </w:t>
      </w:r>
      <w:r w:rsidRPr="006A7923">
        <w:rPr>
          <w:rFonts w:ascii="Times New Roman" w:hAnsi="Times New Roman" w:cs="Times New Roman"/>
          <w:color w:val="000000" w:themeColor="text1"/>
          <w:sz w:val="20"/>
          <w:szCs w:val="20"/>
        </w:rPr>
        <w:t xml:space="preserve">at para 7 (‘[t]he law’ part of the judgment). </w:t>
      </w:r>
    </w:p>
  </w:footnote>
  <w:footnote w:id="102">
    <w:p w14:paraId="0604BD6E" w14:textId="06A10B8C"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Ibid.</w:t>
      </w:r>
    </w:p>
  </w:footnote>
  <w:footnote w:id="103">
    <w:p w14:paraId="042C1016" w14:textId="45670628"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Ibid.</w:t>
      </w:r>
    </w:p>
  </w:footnote>
  <w:footnote w:id="104">
    <w:p w14:paraId="75A2A52B" w14:textId="41BA5A30"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Ibid.</w:t>
      </w:r>
      <w:r w:rsidRPr="006A7923">
        <w:rPr>
          <w:rFonts w:ascii="Times New Roman" w:hAnsi="Times New Roman" w:cs="Times New Roman"/>
          <w:sz w:val="20"/>
          <w:szCs w:val="20"/>
        </w:rPr>
        <w:t xml:space="preserve"> (emphasis</w:t>
      </w:r>
      <w:r w:rsidRPr="006A7923">
        <w:rPr>
          <w:rFonts w:ascii="Times New Roman" w:hAnsi="Times New Roman" w:cs="Times New Roman"/>
          <w:color w:val="000000" w:themeColor="text1"/>
          <w:sz w:val="20"/>
          <w:szCs w:val="20"/>
        </w:rPr>
        <w:t xml:space="preserve"> added to highlight implied intention).</w:t>
      </w:r>
    </w:p>
  </w:footnote>
  <w:footnote w:id="105">
    <w:p w14:paraId="6D76FE2F" w14:textId="16A97218" w:rsidR="00A51F58" w:rsidRPr="006A7923" w:rsidRDefault="00A51F58" w:rsidP="008E72AA">
      <w:pPr>
        <w:jc w:val="both"/>
        <w:rPr>
          <w:rFonts w:eastAsia="Times New Roman"/>
          <w:color w:val="000000" w:themeColor="text1"/>
          <w:sz w:val="20"/>
          <w:szCs w:val="20"/>
          <w:highlight w:val="yellow"/>
        </w:rPr>
      </w:pPr>
      <w:r w:rsidRPr="006A7923">
        <w:rPr>
          <w:rStyle w:val="FootnoteReference"/>
          <w:color w:val="000000" w:themeColor="text1"/>
          <w:sz w:val="20"/>
          <w:szCs w:val="20"/>
        </w:rPr>
        <w:footnoteRef/>
      </w:r>
      <w:r w:rsidRPr="006A7923">
        <w:rPr>
          <w:color w:val="000000" w:themeColor="text1"/>
          <w:sz w:val="20"/>
          <w:szCs w:val="20"/>
        </w:rPr>
        <w:t xml:space="preserve"> </w:t>
      </w:r>
      <w:r w:rsidRPr="006A7923">
        <w:rPr>
          <w:i/>
          <w:color w:val="000000" w:themeColor="text1"/>
          <w:sz w:val="20"/>
          <w:szCs w:val="20"/>
        </w:rPr>
        <w:t xml:space="preserve">The Greek Case </w:t>
      </w:r>
      <w:r w:rsidRPr="006A7923">
        <w:rPr>
          <w:color w:val="000000" w:themeColor="text1"/>
          <w:sz w:val="20"/>
          <w:szCs w:val="20"/>
        </w:rPr>
        <w:t>(</w:t>
      </w:r>
      <w:r w:rsidRPr="006A7923">
        <w:rPr>
          <w:i/>
          <w:color w:val="000000" w:themeColor="text1"/>
          <w:sz w:val="20"/>
          <w:szCs w:val="20"/>
        </w:rPr>
        <w:t>Denmark, Norway, Sweden and The Netherlands v Greece</w:t>
      </w:r>
      <w:r w:rsidRPr="006A7923">
        <w:rPr>
          <w:color w:val="000000" w:themeColor="text1"/>
          <w:sz w:val="20"/>
          <w:szCs w:val="20"/>
        </w:rPr>
        <w:t>) App nos 3321/67, 3322/67, 3323/67, 3344/67 (ECmHR (Sub-Commission),</w:t>
      </w:r>
      <w:r w:rsidRPr="006A7923">
        <w:rPr>
          <w:color w:val="000000" w:themeColor="text1"/>
          <w:sz w:val="20"/>
          <w:szCs w:val="20"/>
          <w:highlight w:val="yellow"/>
        </w:rPr>
        <w:t xml:space="preserve"> 04 October 1969</w:t>
      </w:r>
      <w:r w:rsidRPr="006A7923">
        <w:rPr>
          <w:color w:val="000000" w:themeColor="text1"/>
          <w:sz w:val="20"/>
          <w:szCs w:val="20"/>
        </w:rPr>
        <w:t xml:space="preserve">, report), at para 150; </w:t>
      </w:r>
      <w:r w:rsidRPr="006A7923">
        <w:rPr>
          <w:i/>
          <w:color w:val="000000" w:themeColor="text1"/>
          <w:sz w:val="20"/>
          <w:szCs w:val="20"/>
        </w:rPr>
        <w:t xml:space="preserve">The Greek Case </w:t>
      </w:r>
      <w:r w:rsidRPr="006A7923">
        <w:rPr>
          <w:color w:val="000000" w:themeColor="text1"/>
          <w:sz w:val="20"/>
          <w:szCs w:val="20"/>
        </w:rPr>
        <w:t>(</w:t>
      </w:r>
      <w:r w:rsidRPr="006A7923">
        <w:rPr>
          <w:i/>
          <w:color w:val="000000" w:themeColor="text1"/>
          <w:sz w:val="20"/>
          <w:szCs w:val="20"/>
        </w:rPr>
        <w:t>Denmark, Norway, Sweden and The Netherlands v Greece</w:t>
      </w:r>
      <w:r w:rsidRPr="006A7923">
        <w:rPr>
          <w:color w:val="000000" w:themeColor="text1"/>
          <w:sz w:val="20"/>
          <w:szCs w:val="20"/>
        </w:rPr>
        <w:t>) App nos 3321/67, 3322/67, 3323/67, 3344/67 (ECmHR, 05 November 1969, report), at para 225.</w:t>
      </w:r>
    </w:p>
  </w:footnote>
  <w:footnote w:id="106">
    <w:p w14:paraId="3248ACDD" w14:textId="3FFFDC4D" w:rsidR="00A51F58" w:rsidRPr="006A7923" w:rsidRDefault="00A51F58" w:rsidP="008E72AA">
      <w:pPr>
        <w:jc w:val="both"/>
        <w:rPr>
          <w:color w:val="000000" w:themeColor="text1"/>
          <w:sz w:val="20"/>
          <w:szCs w:val="20"/>
          <w:highlight w:val="yellow"/>
        </w:rPr>
      </w:pPr>
      <w:r w:rsidRPr="006A7923">
        <w:rPr>
          <w:rStyle w:val="FootnoteReference"/>
          <w:color w:val="000000" w:themeColor="text1"/>
          <w:sz w:val="20"/>
          <w:szCs w:val="20"/>
        </w:rPr>
        <w:footnoteRef/>
      </w:r>
      <w:r w:rsidRPr="006A7923">
        <w:rPr>
          <w:color w:val="000000" w:themeColor="text1"/>
          <w:sz w:val="20"/>
          <w:szCs w:val="20"/>
        </w:rPr>
        <w:t xml:space="preserve"> </w:t>
      </w:r>
      <w:r w:rsidRPr="006A7923">
        <w:rPr>
          <w:i/>
          <w:color w:val="000000" w:themeColor="text1"/>
          <w:sz w:val="20"/>
          <w:szCs w:val="20"/>
        </w:rPr>
        <w:t>E.g.</w:t>
      </w:r>
      <w:r w:rsidRPr="006A7923">
        <w:rPr>
          <w:color w:val="000000" w:themeColor="text1"/>
          <w:sz w:val="20"/>
          <w:szCs w:val="20"/>
        </w:rPr>
        <w:t xml:space="preserve"> </w:t>
      </w:r>
      <w:r w:rsidRPr="006A7923">
        <w:rPr>
          <w:i/>
          <w:color w:val="000000" w:themeColor="text1"/>
          <w:sz w:val="20"/>
          <w:szCs w:val="20"/>
        </w:rPr>
        <w:t>Engel and others v The Netherlands</w:t>
      </w:r>
      <w:r w:rsidRPr="006A7923">
        <w:rPr>
          <w:color w:val="000000" w:themeColor="text1"/>
          <w:sz w:val="20"/>
          <w:szCs w:val="20"/>
        </w:rPr>
        <w:t xml:space="preserve"> App nos 5100/71, 5101/71, 5102/71, 5354/72, 5370/72 (ECtHR, </w:t>
      </w:r>
      <w:r w:rsidRPr="006A7923">
        <w:rPr>
          <w:color w:val="000000" w:themeColor="text1"/>
          <w:sz w:val="20"/>
          <w:szCs w:val="20"/>
          <w:highlight w:val="yellow"/>
        </w:rPr>
        <w:t xml:space="preserve">8 June 1976), </w:t>
      </w:r>
      <w:r w:rsidRPr="006A7923">
        <w:rPr>
          <w:color w:val="000000" w:themeColor="text1"/>
          <w:sz w:val="20"/>
          <w:szCs w:val="20"/>
        </w:rPr>
        <w:t xml:space="preserve">at para 104, </w:t>
      </w:r>
      <w:r w:rsidRPr="006A7923">
        <w:rPr>
          <w:i/>
          <w:color w:val="000000" w:themeColor="text1"/>
          <w:sz w:val="20"/>
          <w:szCs w:val="20"/>
        </w:rPr>
        <w:t>Özkan v Turkey</w:t>
      </w:r>
      <w:r w:rsidRPr="006A7923">
        <w:rPr>
          <w:color w:val="000000" w:themeColor="text1"/>
          <w:sz w:val="20"/>
          <w:szCs w:val="20"/>
        </w:rPr>
        <w:t xml:space="preserve"> App no 54190/08 (ECtHR, </w:t>
      </w:r>
      <w:r w:rsidRPr="006A7923">
        <w:rPr>
          <w:color w:val="000000" w:themeColor="text1"/>
          <w:sz w:val="20"/>
          <w:szCs w:val="20"/>
          <w:highlight w:val="yellow"/>
        </w:rPr>
        <w:t>06 November 2018),</w:t>
      </w:r>
      <w:r w:rsidRPr="006A7923">
        <w:rPr>
          <w:color w:val="000000" w:themeColor="text1"/>
          <w:sz w:val="20"/>
          <w:szCs w:val="20"/>
        </w:rPr>
        <w:t xml:space="preserve"> at para 6. The two provisions overlap. See the concurring opinion of Judge Serghides in </w:t>
      </w:r>
      <w:r w:rsidRPr="006A7923">
        <w:rPr>
          <w:i/>
          <w:color w:val="000000" w:themeColor="text1"/>
          <w:sz w:val="20"/>
          <w:szCs w:val="20"/>
        </w:rPr>
        <w:t>Merabishvili v Georgia</w:t>
      </w:r>
      <w:r w:rsidRPr="006A7923">
        <w:rPr>
          <w:color w:val="000000" w:themeColor="text1"/>
          <w:sz w:val="20"/>
          <w:szCs w:val="20"/>
        </w:rPr>
        <w:t xml:space="preserve"> App no 72508/13, (ECtHR (GC), </w:t>
      </w:r>
      <w:r w:rsidRPr="006A7923">
        <w:rPr>
          <w:color w:val="000000" w:themeColor="text1"/>
          <w:sz w:val="20"/>
          <w:szCs w:val="20"/>
          <w:highlight w:val="yellow"/>
        </w:rPr>
        <w:t xml:space="preserve">28 November 2017), at </w:t>
      </w:r>
      <w:r w:rsidRPr="006A7923">
        <w:rPr>
          <w:color w:val="000000" w:themeColor="text1"/>
          <w:sz w:val="20"/>
          <w:szCs w:val="20"/>
        </w:rPr>
        <w:t xml:space="preserve">para 22 of the opinion and Paulien de Morree, </w:t>
      </w:r>
      <w:r w:rsidRPr="006A7923">
        <w:rPr>
          <w:i/>
          <w:color w:val="000000" w:themeColor="text1"/>
          <w:sz w:val="20"/>
          <w:szCs w:val="20"/>
        </w:rPr>
        <w:t>supra</w:t>
      </w:r>
      <w:r w:rsidRPr="006A7923">
        <w:rPr>
          <w:color w:val="000000" w:themeColor="text1"/>
          <w:sz w:val="20"/>
          <w:szCs w:val="20"/>
        </w:rPr>
        <w:t xml:space="preserve"> note </w:t>
      </w:r>
      <w:r w:rsidRPr="006A7923">
        <w:rPr>
          <w:color w:val="000000" w:themeColor="text1"/>
          <w:sz w:val="20"/>
          <w:szCs w:val="20"/>
          <w:highlight w:val="yellow"/>
        </w:rPr>
        <w:fldChar w:fldCharType="begin"/>
      </w:r>
      <w:r w:rsidRPr="006A7923">
        <w:rPr>
          <w:color w:val="000000" w:themeColor="text1"/>
          <w:sz w:val="20"/>
          <w:szCs w:val="20"/>
          <w:highlight w:val="yellow"/>
        </w:rPr>
        <w:instrText xml:space="preserve"> NOTEREF _Ref532310943 \h  \* MERGEFORMAT </w:instrText>
      </w:r>
      <w:r w:rsidRPr="006A7923">
        <w:rPr>
          <w:color w:val="000000" w:themeColor="text1"/>
          <w:sz w:val="20"/>
          <w:szCs w:val="20"/>
          <w:highlight w:val="yellow"/>
        </w:rPr>
      </w:r>
      <w:r w:rsidRPr="006A7923">
        <w:rPr>
          <w:color w:val="000000" w:themeColor="text1"/>
          <w:sz w:val="20"/>
          <w:szCs w:val="20"/>
          <w:highlight w:val="yellow"/>
        </w:rPr>
        <w:fldChar w:fldCharType="separate"/>
      </w:r>
      <w:r w:rsidRPr="006A7923">
        <w:rPr>
          <w:color w:val="000000" w:themeColor="text1"/>
          <w:sz w:val="20"/>
          <w:szCs w:val="20"/>
          <w:highlight w:val="yellow"/>
        </w:rPr>
        <w:t>97</w:t>
      </w:r>
      <w:r w:rsidRPr="006A7923">
        <w:rPr>
          <w:color w:val="000000" w:themeColor="text1"/>
          <w:sz w:val="20"/>
          <w:szCs w:val="20"/>
          <w:highlight w:val="yellow"/>
        </w:rPr>
        <w:fldChar w:fldCharType="end"/>
      </w:r>
      <w:r w:rsidRPr="006A7923">
        <w:rPr>
          <w:color w:val="000000" w:themeColor="text1"/>
          <w:sz w:val="20"/>
          <w:szCs w:val="20"/>
        </w:rPr>
        <w:t>, at 69.</w:t>
      </w:r>
    </w:p>
  </w:footnote>
  <w:footnote w:id="107">
    <w:p w14:paraId="7481B999" w14:textId="0B204267"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ECHR,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_Ref496007621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49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Article 18.</w:t>
      </w:r>
    </w:p>
  </w:footnote>
  <w:footnote w:id="108">
    <w:p w14:paraId="32B79538" w14:textId="3D3A6A6E" w:rsidR="00A51F58" w:rsidRPr="006A7923" w:rsidRDefault="00A51F58" w:rsidP="008E72AA">
      <w:pPr>
        <w:jc w:val="both"/>
        <w:rPr>
          <w:color w:val="000000" w:themeColor="text1"/>
          <w:sz w:val="20"/>
          <w:szCs w:val="20"/>
        </w:rPr>
      </w:pPr>
      <w:r w:rsidRPr="006A7923">
        <w:rPr>
          <w:rStyle w:val="FootnoteReference"/>
          <w:sz w:val="20"/>
          <w:szCs w:val="20"/>
        </w:rPr>
        <w:footnoteRef/>
      </w:r>
      <w:r w:rsidRPr="006A7923">
        <w:rPr>
          <w:sz w:val="20"/>
          <w:szCs w:val="20"/>
        </w:rPr>
        <w:t xml:space="preserve"> See also, the case law of the Court that associates Article 18 with good faith. For instance, </w:t>
      </w:r>
      <w:r w:rsidRPr="006A7923">
        <w:rPr>
          <w:i/>
          <w:color w:val="000000" w:themeColor="text1"/>
          <w:sz w:val="20"/>
          <w:szCs w:val="20"/>
        </w:rPr>
        <w:t>Tchankotadze v Georgia</w:t>
      </w:r>
      <w:r w:rsidRPr="006A7923">
        <w:rPr>
          <w:color w:val="000000" w:themeColor="text1"/>
          <w:sz w:val="20"/>
          <w:szCs w:val="20"/>
        </w:rPr>
        <w:t xml:space="preserve"> App no </w:t>
      </w:r>
      <w:r w:rsidRPr="006A7923">
        <w:rPr>
          <w:color w:val="000000" w:themeColor="text1"/>
          <w:sz w:val="20"/>
          <w:szCs w:val="20"/>
          <w:highlight w:val="yellow"/>
        </w:rPr>
        <w:t>15256/05 (ECtHR, 21 June 2016</w:t>
      </w:r>
      <w:r w:rsidRPr="006A7923">
        <w:rPr>
          <w:color w:val="000000" w:themeColor="text1"/>
          <w:sz w:val="20"/>
          <w:szCs w:val="20"/>
        </w:rPr>
        <w:t>), at para 113</w:t>
      </w:r>
      <w:r w:rsidRPr="006A7923">
        <w:rPr>
          <w:sz w:val="20"/>
          <w:szCs w:val="20"/>
        </w:rPr>
        <w:t xml:space="preserve"> and </w:t>
      </w:r>
      <w:r w:rsidRPr="006A7923">
        <w:rPr>
          <w:i/>
          <w:color w:val="000000" w:themeColor="text1"/>
          <w:sz w:val="20"/>
          <w:szCs w:val="20"/>
        </w:rPr>
        <w:t>Rasul Jafarov</w:t>
      </w:r>
      <w:r w:rsidRPr="006A7923">
        <w:rPr>
          <w:color w:val="000000" w:themeColor="text1"/>
          <w:sz w:val="20"/>
          <w:szCs w:val="20"/>
        </w:rPr>
        <w:t xml:space="preserve">, </w:t>
      </w:r>
      <w:r w:rsidRPr="006A7923">
        <w:rPr>
          <w:i/>
          <w:color w:val="000000" w:themeColor="text1"/>
          <w:sz w:val="20"/>
          <w:szCs w:val="20"/>
        </w:rPr>
        <w:t xml:space="preserve">supra </w:t>
      </w:r>
      <w:r w:rsidRPr="006A7923">
        <w:rPr>
          <w:color w:val="000000" w:themeColor="text1"/>
          <w:sz w:val="20"/>
          <w:szCs w:val="20"/>
        </w:rPr>
        <w:t xml:space="preserve">note </w:t>
      </w:r>
      <w:r w:rsidRPr="006A7923">
        <w:rPr>
          <w:color w:val="000000" w:themeColor="text1"/>
          <w:sz w:val="20"/>
          <w:szCs w:val="20"/>
          <w:highlight w:val="yellow"/>
        </w:rPr>
        <w:fldChar w:fldCharType="begin"/>
      </w:r>
      <w:r w:rsidRPr="006A7923">
        <w:rPr>
          <w:color w:val="000000" w:themeColor="text1"/>
          <w:sz w:val="20"/>
          <w:szCs w:val="20"/>
          <w:highlight w:val="yellow"/>
        </w:rPr>
        <w:instrText xml:space="preserve"> NOTEREF _Ref492904500 \h  \* MERGEFORMAT </w:instrText>
      </w:r>
      <w:r w:rsidRPr="006A7923">
        <w:rPr>
          <w:color w:val="000000" w:themeColor="text1"/>
          <w:sz w:val="20"/>
          <w:szCs w:val="20"/>
          <w:highlight w:val="yellow"/>
        </w:rPr>
      </w:r>
      <w:r w:rsidRPr="006A7923">
        <w:rPr>
          <w:color w:val="000000" w:themeColor="text1"/>
          <w:sz w:val="20"/>
          <w:szCs w:val="20"/>
          <w:highlight w:val="yellow"/>
        </w:rPr>
        <w:fldChar w:fldCharType="separate"/>
      </w:r>
      <w:r w:rsidRPr="006A7923">
        <w:rPr>
          <w:color w:val="000000" w:themeColor="text1"/>
          <w:sz w:val="20"/>
          <w:szCs w:val="20"/>
          <w:highlight w:val="yellow"/>
        </w:rPr>
        <w:t>92</w:t>
      </w:r>
      <w:r w:rsidRPr="006A7923">
        <w:rPr>
          <w:color w:val="000000" w:themeColor="text1"/>
          <w:sz w:val="20"/>
          <w:szCs w:val="20"/>
          <w:highlight w:val="yellow"/>
        </w:rPr>
        <w:fldChar w:fldCharType="end"/>
      </w:r>
      <w:r w:rsidRPr="006A7923">
        <w:rPr>
          <w:color w:val="000000" w:themeColor="text1"/>
          <w:sz w:val="20"/>
          <w:szCs w:val="20"/>
          <w:highlight w:val="yellow"/>
        </w:rPr>
        <w:t xml:space="preserve">, </w:t>
      </w:r>
      <w:r w:rsidRPr="006A7923">
        <w:rPr>
          <w:color w:val="000000" w:themeColor="text1"/>
          <w:sz w:val="20"/>
          <w:szCs w:val="20"/>
        </w:rPr>
        <w:t xml:space="preserve">at paras 153 and 157. States are presumed to act in good faith, but this presumption can be rebutted, thereby leading to a breach of Article 18 (but see </w:t>
      </w:r>
      <w:r w:rsidRPr="006A7923">
        <w:rPr>
          <w:i/>
          <w:color w:val="000000" w:themeColor="text1"/>
          <w:sz w:val="20"/>
          <w:szCs w:val="20"/>
        </w:rPr>
        <w:t>infra</w:t>
      </w:r>
      <w:r w:rsidRPr="006A7923">
        <w:rPr>
          <w:color w:val="000000" w:themeColor="text1"/>
          <w:sz w:val="20"/>
          <w:szCs w:val="20"/>
        </w:rPr>
        <w:t xml:space="preserve"> notes </w:t>
      </w:r>
      <w:r w:rsidRPr="006A7923">
        <w:rPr>
          <w:color w:val="000000" w:themeColor="text1"/>
          <w:sz w:val="20"/>
          <w:szCs w:val="20"/>
          <w:highlight w:val="yellow"/>
        </w:rPr>
        <w:fldChar w:fldCharType="begin"/>
      </w:r>
      <w:r w:rsidRPr="006A7923">
        <w:rPr>
          <w:color w:val="000000" w:themeColor="text1"/>
          <w:sz w:val="20"/>
          <w:szCs w:val="20"/>
          <w:highlight w:val="yellow"/>
        </w:rPr>
        <w:instrText xml:space="preserve"> NOTEREF _Ref493753816 \h  \* MERGEFORMAT </w:instrText>
      </w:r>
      <w:r w:rsidRPr="006A7923">
        <w:rPr>
          <w:color w:val="000000" w:themeColor="text1"/>
          <w:sz w:val="20"/>
          <w:szCs w:val="20"/>
          <w:highlight w:val="yellow"/>
        </w:rPr>
      </w:r>
      <w:r w:rsidRPr="006A7923">
        <w:rPr>
          <w:color w:val="000000" w:themeColor="text1"/>
          <w:sz w:val="20"/>
          <w:szCs w:val="20"/>
          <w:highlight w:val="yellow"/>
        </w:rPr>
        <w:fldChar w:fldCharType="separate"/>
      </w:r>
      <w:r w:rsidRPr="006A7923">
        <w:rPr>
          <w:color w:val="000000" w:themeColor="text1"/>
          <w:sz w:val="20"/>
          <w:szCs w:val="20"/>
          <w:highlight w:val="yellow"/>
        </w:rPr>
        <w:t>117</w:t>
      </w:r>
      <w:r w:rsidRPr="006A7923">
        <w:rPr>
          <w:color w:val="000000" w:themeColor="text1"/>
          <w:sz w:val="20"/>
          <w:szCs w:val="20"/>
          <w:highlight w:val="yellow"/>
        </w:rPr>
        <w:fldChar w:fldCharType="end"/>
      </w:r>
      <w:r w:rsidRPr="006A7923">
        <w:rPr>
          <w:color w:val="000000" w:themeColor="text1"/>
          <w:sz w:val="20"/>
          <w:szCs w:val="20"/>
          <w:highlight w:val="yellow"/>
        </w:rPr>
        <w:t>-</w:t>
      </w:r>
      <w:r w:rsidRPr="006A7923">
        <w:rPr>
          <w:color w:val="000000" w:themeColor="text1"/>
          <w:sz w:val="20"/>
          <w:szCs w:val="20"/>
          <w:highlight w:val="yellow"/>
        </w:rPr>
        <w:fldChar w:fldCharType="begin"/>
      </w:r>
      <w:r w:rsidRPr="006A7923">
        <w:rPr>
          <w:color w:val="000000" w:themeColor="text1"/>
          <w:sz w:val="20"/>
          <w:szCs w:val="20"/>
          <w:highlight w:val="yellow"/>
        </w:rPr>
        <w:instrText xml:space="preserve"> NOTEREF _Ref531871996 \h  \* MERGEFORMAT </w:instrText>
      </w:r>
      <w:r w:rsidRPr="006A7923">
        <w:rPr>
          <w:color w:val="000000" w:themeColor="text1"/>
          <w:sz w:val="20"/>
          <w:szCs w:val="20"/>
          <w:highlight w:val="yellow"/>
        </w:rPr>
      </w:r>
      <w:r w:rsidRPr="006A7923">
        <w:rPr>
          <w:color w:val="000000" w:themeColor="text1"/>
          <w:sz w:val="20"/>
          <w:szCs w:val="20"/>
          <w:highlight w:val="yellow"/>
        </w:rPr>
        <w:fldChar w:fldCharType="separate"/>
      </w:r>
      <w:r w:rsidRPr="006A7923">
        <w:rPr>
          <w:color w:val="000000" w:themeColor="text1"/>
          <w:sz w:val="20"/>
          <w:szCs w:val="20"/>
          <w:highlight w:val="yellow"/>
        </w:rPr>
        <w:t>119</w:t>
      </w:r>
      <w:r w:rsidRPr="006A7923">
        <w:rPr>
          <w:color w:val="000000" w:themeColor="text1"/>
          <w:sz w:val="20"/>
          <w:szCs w:val="20"/>
          <w:highlight w:val="yellow"/>
        </w:rPr>
        <w:fldChar w:fldCharType="end"/>
      </w:r>
      <w:r w:rsidRPr="006A7923">
        <w:rPr>
          <w:color w:val="000000" w:themeColor="text1"/>
          <w:sz w:val="20"/>
          <w:szCs w:val="20"/>
        </w:rPr>
        <w:t xml:space="preserve">, </w:t>
      </w:r>
      <w:r w:rsidRPr="006A7923">
        <w:rPr>
          <w:color w:val="000000" w:themeColor="text1"/>
          <w:sz w:val="20"/>
          <w:szCs w:val="20"/>
          <w:highlight w:val="yellow"/>
        </w:rPr>
        <w:fldChar w:fldCharType="begin"/>
      </w:r>
      <w:r w:rsidRPr="006A7923">
        <w:rPr>
          <w:color w:val="000000" w:themeColor="text1"/>
          <w:sz w:val="20"/>
          <w:szCs w:val="20"/>
          <w:highlight w:val="yellow"/>
        </w:rPr>
        <w:instrText xml:space="preserve"> NOTEREF _Ref534041162 \h  \* MERGEFORMAT </w:instrText>
      </w:r>
      <w:r w:rsidRPr="006A7923">
        <w:rPr>
          <w:color w:val="000000" w:themeColor="text1"/>
          <w:sz w:val="20"/>
          <w:szCs w:val="20"/>
          <w:highlight w:val="yellow"/>
        </w:rPr>
      </w:r>
      <w:r w:rsidRPr="006A7923">
        <w:rPr>
          <w:color w:val="000000" w:themeColor="text1"/>
          <w:sz w:val="20"/>
          <w:szCs w:val="20"/>
          <w:highlight w:val="yellow"/>
        </w:rPr>
        <w:fldChar w:fldCharType="separate"/>
      </w:r>
      <w:r w:rsidRPr="006A7923">
        <w:rPr>
          <w:color w:val="000000" w:themeColor="text1"/>
          <w:sz w:val="20"/>
          <w:szCs w:val="20"/>
          <w:highlight w:val="yellow"/>
        </w:rPr>
        <w:t>147</w:t>
      </w:r>
      <w:r w:rsidRPr="006A7923">
        <w:rPr>
          <w:color w:val="000000" w:themeColor="text1"/>
          <w:sz w:val="20"/>
          <w:szCs w:val="20"/>
          <w:highlight w:val="yellow"/>
        </w:rPr>
        <w:fldChar w:fldCharType="end"/>
      </w:r>
      <w:r w:rsidRPr="006A7923">
        <w:rPr>
          <w:color w:val="000000" w:themeColor="text1"/>
          <w:sz w:val="20"/>
          <w:szCs w:val="20"/>
        </w:rPr>
        <w:t xml:space="preserve"> and </w:t>
      </w:r>
      <w:r w:rsidRPr="006A7923">
        <w:rPr>
          <w:color w:val="000000" w:themeColor="text1"/>
          <w:sz w:val="20"/>
          <w:szCs w:val="20"/>
          <w:highlight w:val="yellow"/>
        </w:rPr>
        <w:fldChar w:fldCharType="begin"/>
      </w:r>
      <w:r w:rsidRPr="006A7923">
        <w:rPr>
          <w:color w:val="000000" w:themeColor="text1"/>
          <w:sz w:val="20"/>
          <w:szCs w:val="20"/>
          <w:highlight w:val="yellow"/>
        </w:rPr>
        <w:instrText xml:space="preserve"> NOTEREF _Ref531871788 \h  \* MERGEFORMAT </w:instrText>
      </w:r>
      <w:r w:rsidRPr="006A7923">
        <w:rPr>
          <w:color w:val="000000" w:themeColor="text1"/>
          <w:sz w:val="20"/>
          <w:szCs w:val="20"/>
          <w:highlight w:val="yellow"/>
        </w:rPr>
      </w:r>
      <w:r w:rsidRPr="006A7923">
        <w:rPr>
          <w:color w:val="000000" w:themeColor="text1"/>
          <w:sz w:val="20"/>
          <w:szCs w:val="20"/>
          <w:highlight w:val="yellow"/>
        </w:rPr>
        <w:fldChar w:fldCharType="separate"/>
      </w:r>
      <w:r w:rsidRPr="006A7923">
        <w:rPr>
          <w:color w:val="000000" w:themeColor="text1"/>
          <w:sz w:val="20"/>
          <w:szCs w:val="20"/>
          <w:highlight w:val="yellow"/>
        </w:rPr>
        <w:t>148</w:t>
      </w:r>
      <w:r w:rsidRPr="006A7923">
        <w:rPr>
          <w:color w:val="000000" w:themeColor="text1"/>
          <w:sz w:val="20"/>
          <w:szCs w:val="20"/>
          <w:highlight w:val="yellow"/>
        </w:rPr>
        <w:fldChar w:fldCharType="end"/>
      </w:r>
      <w:r w:rsidRPr="006A7923">
        <w:rPr>
          <w:color w:val="000000" w:themeColor="text1"/>
          <w:sz w:val="20"/>
          <w:szCs w:val="20"/>
        </w:rPr>
        <w:t xml:space="preserve">). See also, </w:t>
      </w:r>
      <w:r w:rsidRPr="006A7923">
        <w:rPr>
          <w:i/>
          <w:color w:val="000000" w:themeColor="text1"/>
          <w:sz w:val="20"/>
          <w:szCs w:val="20"/>
        </w:rPr>
        <w:t>Ilgar Mammadov v Azerbaijan</w:t>
      </w:r>
      <w:r w:rsidRPr="006A7923">
        <w:rPr>
          <w:color w:val="000000" w:themeColor="text1"/>
          <w:sz w:val="20"/>
          <w:szCs w:val="20"/>
        </w:rPr>
        <w:t xml:space="preserve"> App no 15172/13 (ECtHR, </w:t>
      </w:r>
      <w:r w:rsidRPr="006A7923">
        <w:rPr>
          <w:color w:val="000000" w:themeColor="text1"/>
          <w:sz w:val="20"/>
          <w:szCs w:val="20"/>
          <w:highlight w:val="yellow"/>
        </w:rPr>
        <w:t xml:space="preserve">22 May 2014), </w:t>
      </w:r>
      <w:r w:rsidRPr="006A7923">
        <w:rPr>
          <w:color w:val="000000" w:themeColor="text1"/>
          <w:sz w:val="20"/>
          <w:szCs w:val="20"/>
        </w:rPr>
        <w:t xml:space="preserve">where the Court explains that the fact that the respondent state has been unable to demonstrate that its authorities acted in good faith does not necessarily lead to a breach of Article 18, unless it can be proven that state actions, ‘were actually driven by improper reasons’ (para 141). </w:t>
      </w:r>
    </w:p>
  </w:footnote>
  <w:footnote w:id="109">
    <w:p w14:paraId="57E63C31" w14:textId="5BB72DF3" w:rsidR="00A51F58" w:rsidRPr="006A7923" w:rsidRDefault="00A51F58" w:rsidP="008E72AA">
      <w:pPr>
        <w:jc w:val="both"/>
        <w:rPr>
          <w:sz w:val="20"/>
          <w:szCs w:val="20"/>
        </w:rPr>
      </w:pPr>
      <w:r w:rsidRPr="006A7923">
        <w:rPr>
          <w:rStyle w:val="FootnoteReference"/>
          <w:sz w:val="20"/>
          <w:szCs w:val="20"/>
        </w:rPr>
        <w:footnoteRef/>
      </w:r>
      <w:r w:rsidRPr="006A7923">
        <w:rPr>
          <w:sz w:val="20"/>
          <w:szCs w:val="20"/>
        </w:rPr>
        <w:t xml:space="preserve"> See, for instance, </w:t>
      </w:r>
      <w:r w:rsidRPr="006A7923">
        <w:rPr>
          <w:i/>
          <w:sz w:val="20"/>
          <w:szCs w:val="20"/>
        </w:rPr>
        <w:t>Cebotari v Moldova</w:t>
      </w:r>
      <w:r w:rsidRPr="006A7923">
        <w:rPr>
          <w:color w:val="000000" w:themeColor="text1"/>
          <w:sz w:val="20"/>
          <w:szCs w:val="20"/>
        </w:rPr>
        <w:t xml:space="preserve"> App no</w:t>
      </w:r>
      <w:r w:rsidRPr="006A7923">
        <w:rPr>
          <w:sz w:val="20"/>
          <w:szCs w:val="20"/>
        </w:rPr>
        <w:t xml:space="preserve"> 35615/06 (ECtHR, </w:t>
      </w:r>
      <w:r w:rsidRPr="006A7923">
        <w:rPr>
          <w:sz w:val="20"/>
          <w:szCs w:val="20"/>
          <w:highlight w:val="yellow"/>
        </w:rPr>
        <w:t>13 November 2007</w:t>
      </w:r>
      <w:r w:rsidRPr="006A7923">
        <w:rPr>
          <w:sz w:val="20"/>
          <w:szCs w:val="20"/>
        </w:rPr>
        <w:t xml:space="preserve">), at para 53, where the Court found a breach of Article 18 because, ‘the restriction on the applicant's right to liberty was applied for a purpose other than the one prescribed in Article 5 § 1(c).’ See also, </w:t>
      </w:r>
      <w:r w:rsidRPr="006A7923">
        <w:rPr>
          <w:i/>
          <w:sz w:val="20"/>
          <w:szCs w:val="20"/>
        </w:rPr>
        <w:t>Merabishvili v Georgia</w:t>
      </w:r>
      <w:r w:rsidRPr="006A7923">
        <w:rPr>
          <w:color w:val="000000" w:themeColor="text1"/>
          <w:sz w:val="20"/>
          <w:szCs w:val="20"/>
        </w:rPr>
        <w:t xml:space="preserve"> App no</w:t>
      </w:r>
      <w:r w:rsidRPr="006A7923">
        <w:rPr>
          <w:sz w:val="20"/>
          <w:szCs w:val="20"/>
        </w:rPr>
        <w:t xml:space="preserve"> 72508/13 (ECtHR, </w:t>
      </w:r>
      <w:r w:rsidRPr="006A7923">
        <w:rPr>
          <w:sz w:val="20"/>
          <w:szCs w:val="20"/>
          <w:highlight w:val="yellow"/>
        </w:rPr>
        <w:t>14 June 2016</w:t>
      </w:r>
      <w:r w:rsidRPr="006A7923">
        <w:rPr>
          <w:sz w:val="20"/>
          <w:szCs w:val="20"/>
        </w:rPr>
        <w:t>), at para 106.</w:t>
      </w:r>
    </w:p>
  </w:footnote>
  <w:footnote w:id="110">
    <w:p w14:paraId="66F75E54" w14:textId="1D6A9ED8"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also, Dimitrios Kagiaros, ‘Drawing the Battle Lines: The Ongoing Standoff Between the UK Government and the ECHR’ (</w:t>
      </w:r>
      <w:r w:rsidRPr="006A7923">
        <w:rPr>
          <w:rFonts w:ascii="Times New Roman" w:hAnsi="Times New Roman" w:cs="Times New Roman"/>
          <w:i/>
          <w:color w:val="000000" w:themeColor="text1"/>
          <w:sz w:val="20"/>
          <w:szCs w:val="20"/>
        </w:rPr>
        <w:t>European Futures</w:t>
      </w:r>
      <w:r w:rsidRPr="006A7923">
        <w:rPr>
          <w:rFonts w:ascii="Times New Roman" w:hAnsi="Times New Roman" w:cs="Times New Roman"/>
          <w:color w:val="000000" w:themeColor="text1"/>
          <w:sz w:val="20"/>
          <w:szCs w:val="20"/>
        </w:rPr>
        <w:t>, 12 October 2016) available at &lt;www.europeanfutures.ed.ac.uk/article-4151&gt; accessed 18 August 2017. As Kagiaros explains, ‘if the sole justification behind the derogation is to evade legal accountability for unlawful action, then Article 18 ECHR, which forbids limitations on rights for reasons other than ones prescribed in the Convention, would be a further hurdle for the UK to overcome, for the derogation to be lawful.’</w:t>
      </w:r>
    </w:p>
  </w:footnote>
  <w:footnote w:id="111">
    <w:p w14:paraId="5FB478B1" w14:textId="15FB4CA9"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De Becker v Belgium</w:t>
      </w:r>
      <w:r w:rsidRPr="006A7923">
        <w:rPr>
          <w:rFonts w:ascii="Times New Roman" w:hAnsi="Times New Roman" w:cs="Times New Roman"/>
          <w:color w:val="000000" w:themeColor="text1"/>
          <w:sz w:val="20"/>
          <w:szCs w:val="20"/>
        </w:rPr>
        <w:t xml:space="preserve"> App no 214/56 (ECmHR, </w:t>
      </w:r>
      <w:r w:rsidRPr="006A7923">
        <w:rPr>
          <w:rFonts w:ascii="Times New Roman" w:hAnsi="Times New Roman" w:cs="Times New Roman"/>
          <w:color w:val="000000" w:themeColor="text1"/>
          <w:sz w:val="20"/>
          <w:szCs w:val="20"/>
          <w:highlight w:val="yellow"/>
        </w:rPr>
        <w:t>22 January 1960</w:t>
      </w:r>
      <w:r w:rsidRPr="006A7923">
        <w:rPr>
          <w:rFonts w:ascii="Times New Roman" w:hAnsi="Times New Roman" w:cs="Times New Roman"/>
          <w:color w:val="000000" w:themeColor="text1"/>
          <w:sz w:val="20"/>
          <w:szCs w:val="20"/>
        </w:rPr>
        <w:t>, report), at para 271.</w:t>
      </w:r>
    </w:p>
  </w:footnote>
  <w:footnote w:id="112">
    <w:p w14:paraId="02B68B4E" w14:textId="6482B8CF"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color w:val="000000" w:themeColor="text1"/>
          <w:sz w:val="20"/>
          <w:szCs w:val="20"/>
        </w:rPr>
        <w:t xml:space="preserve">On the term “independent” see </w:t>
      </w:r>
      <w:r w:rsidRPr="006A7923">
        <w:rPr>
          <w:rFonts w:ascii="Times New Roman" w:hAnsi="Times New Roman" w:cs="Times New Roman"/>
          <w:i/>
          <w:color w:val="000000" w:themeColor="text1"/>
          <w:sz w:val="20"/>
          <w:szCs w:val="20"/>
        </w:rPr>
        <w:t xml:space="preserve">Merabishvili </w:t>
      </w:r>
      <w:r w:rsidRPr="006A7923">
        <w:rPr>
          <w:rFonts w:ascii="Times New Roman" w:hAnsi="Times New Roman" w:cs="Times New Roman"/>
          <w:color w:val="000000" w:themeColor="text1"/>
          <w:sz w:val="20"/>
          <w:szCs w:val="20"/>
        </w:rPr>
        <w:t xml:space="preserve">(GC),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at paras 287-289.</w:t>
      </w:r>
    </w:p>
  </w:footnote>
  <w:footnote w:id="113">
    <w:p w14:paraId="244AEAFE" w14:textId="39EDB6BD" w:rsidR="00A51F58" w:rsidRPr="006A7923" w:rsidRDefault="00A51F58" w:rsidP="008E72AA">
      <w:pPr>
        <w:jc w:val="both"/>
        <w:rPr>
          <w:color w:val="000000" w:themeColor="text1"/>
          <w:sz w:val="20"/>
          <w:szCs w:val="20"/>
          <w:highlight w:val="yellow"/>
        </w:rPr>
      </w:pPr>
      <w:r w:rsidRPr="006A7923">
        <w:rPr>
          <w:rStyle w:val="FootnoteReference"/>
          <w:color w:val="000000" w:themeColor="text1"/>
          <w:sz w:val="20"/>
          <w:szCs w:val="20"/>
        </w:rPr>
        <w:footnoteRef/>
      </w:r>
      <w:r w:rsidRPr="006A7923">
        <w:rPr>
          <w:color w:val="000000" w:themeColor="text1"/>
          <w:sz w:val="20"/>
          <w:szCs w:val="20"/>
        </w:rPr>
        <w:t xml:space="preserve"> Arai, </w:t>
      </w:r>
      <w:r w:rsidRPr="006A7923">
        <w:rPr>
          <w:i/>
          <w:color w:val="000000" w:themeColor="text1"/>
          <w:sz w:val="20"/>
          <w:szCs w:val="20"/>
        </w:rPr>
        <w:t xml:space="preserve">supra </w:t>
      </w:r>
      <w:r w:rsidRPr="006A7923">
        <w:rPr>
          <w:color w:val="000000" w:themeColor="text1"/>
          <w:sz w:val="20"/>
          <w:szCs w:val="20"/>
        </w:rPr>
        <w:t xml:space="preserve">note </w:t>
      </w:r>
      <w:r w:rsidRPr="006A7923">
        <w:rPr>
          <w:color w:val="000000" w:themeColor="text1"/>
          <w:sz w:val="20"/>
          <w:szCs w:val="20"/>
          <w:highlight w:val="yellow"/>
        </w:rPr>
        <w:fldChar w:fldCharType="begin"/>
      </w:r>
      <w:r w:rsidRPr="006A7923">
        <w:rPr>
          <w:color w:val="000000" w:themeColor="text1"/>
          <w:sz w:val="20"/>
          <w:szCs w:val="20"/>
          <w:highlight w:val="yellow"/>
        </w:rPr>
        <w:instrText xml:space="preserve"> NOTEREF _Ref492905517 \h  \* MERGEFORMAT </w:instrText>
      </w:r>
      <w:r w:rsidRPr="006A7923">
        <w:rPr>
          <w:color w:val="000000" w:themeColor="text1"/>
          <w:sz w:val="20"/>
          <w:szCs w:val="20"/>
          <w:highlight w:val="yellow"/>
        </w:rPr>
      </w:r>
      <w:r w:rsidRPr="006A7923">
        <w:rPr>
          <w:color w:val="000000" w:themeColor="text1"/>
          <w:sz w:val="20"/>
          <w:szCs w:val="20"/>
          <w:highlight w:val="yellow"/>
        </w:rPr>
        <w:fldChar w:fldCharType="separate"/>
      </w:r>
      <w:r w:rsidRPr="006A7923">
        <w:rPr>
          <w:color w:val="000000" w:themeColor="text1"/>
          <w:sz w:val="20"/>
          <w:szCs w:val="20"/>
          <w:highlight w:val="yellow"/>
        </w:rPr>
        <w:t>98</w:t>
      </w:r>
      <w:r w:rsidRPr="006A7923">
        <w:rPr>
          <w:color w:val="000000" w:themeColor="text1"/>
          <w:sz w:val="20"/>
          <w:szCs w:val="20"/>
          <w:highlight w:val="yellow"/>
        </w:rPr>
        <w:fldChar w:fldCharType="end"/>
      </w:r>
      <w:r w:rsidRPr="006A7923">
        <w:rPr>
          <w:color w:val="000000" w:themeColor="text1"/>
          <w:sz w:val="20"/>
          <w:szCs w:val="20"/>
          <w:highlight w:val="yellow"/>
        </w:rPr>
        <w:t xml:space="preserve">, </w:t>
      </w:r>
      <w:r w:rsidRPr="006A7923">
        <w:rPr>
          <w:color w:val="000000" w:themeColor="text1"/>
          <w:sz w:val="20"/>
          <w:szCs w:val="20"/>
        </w:rPr>
        <w:t xml:space="preserve">at 1084, 1088-89 and Yutaka Arai, ‘Prohibition of Misuse of Power in Restricting the Rights and Freedoms (Article 18)’ in Peter van Dijk </w:t>
      </w:r>
      <w:r w:rsidRPr="006A7923">
        <w:rPr>
          <w:i/>
          <w:color w:val="000000" w:themeColor="text1"/>
          <w:sz w:val="20"/>
          <w:szCs w:val="20"/>
        </w:rPr>
        <w:t>et al.</w:t>
      </w:r>
      <w:r w:rsidRPr="006A7923">
        <w:rPr>
          <w:color w:val="000000" w:themeColor="text1"/>
          <w:sz w:val="20"/>
          <w:szCs w:val="20"/>
        </w:rPr>
        <w:t xml:space="preserve"> (eds) </w:t>
      </w:r>
      <w:r w:rsidRPr="006A7923">
        <w:rPr>
          <w:i/>
          <w:color w:val="000000" w:themeColor="text1"/>
          <w:sz w:val="20"/>
          <w:szCs w:val="20"/>
        </w:rPr>
        <w:t>Theory and Practice of the European Convention on Human Rights</w:t>
      </w:r>
      <w:r w:rsidRPr="006A7923">
        <w:rPr>
          <w:color w:val="000000" w:themeColor="text1"/>
          <w:sz w:val="20"/>
          <w:szCs w:val="20"/>
        </w:rPr>
        <w:t xml:space="preserve"> (4</w:t>
      </w:r>
      <w:r w:rsidRPr="006A7923">
        <w:rPr>
          <w:color w:val="000000" w:themeColor="text1"/>
          <w:sz w:val="20"/>
          <w:szCs w:val="20"/>
          <w:vertAlign w:val="superscript"/>
        </w:rPr>
        <w:t>th</w:t>
      </w:r>
      <w:r w:rsidRPr="006A7923">
        <w:rPr>
          <w:color w:val="000000" w:themeColor="text1"/>
          <w:sz w:val="20"/>
          <w:szCs w:val="20"/>
        </w:rPr>
        <w:t xml:space="preserve"> ed. Intersentia 2006), 1093-1095. Yet, case law is clearer in that respect in cases invoking Article 18.</w:t>
      </w:r>
      <w:r w:rsidRPr="006A7923">
        <w:rPr>
          <w:i/>
          <w:color w:val="000000" w:themeColor="text1"/>
          <w:sz w:val="20"/>
          <w:szCs w:val="20"/>
        </w:rPr>
        <w:t xml:space="preserve"> </w:t>
      </w:r>
      <w:r w:rsidRPr="006A7923">
        <w:rPr>
          <w:color w:val="000000" w:themeColor="text1"/>
          <w:sz w:val="20"/>
          <w:szCs w:val="20"/>
        </w:rPr>
        <w:t xml:space="preserve">See, for instance, </w:t>
      </w:r>
      <w:r w:rsidRPr="006A7923">
        <w:rPr>
          <w:i/>
          <w:color w:val="000000" w:themeColor="text1"/>
          <w:sz w:val="20"/>
          <w:szCs w:val="20"/>
        </w:rPr>
        <w:t xml:space="preserve">Merabishvili </w:t>
      </w:r>
      <w:r w:rsidRPr="006A7923">
        <w:rPr>
          <w:color w:val="000000" w:themeColor="text1"/>
          <w:sz w:val="20"/>
          <w:szCs w:val="20"/>
        </w:rPr>
        <w:t xml:space="preserve">(GC), </w:t>
      </w:r>
      <w:r w:rsidRPr="006A7923">
        <w:rPr>
          <w:i/>
          <w:color w:val="000000" w:themeColor="text1"/>
          <w:sz w:val="20"/>
          <w:szCs w:val="20"/>
        </w:rPr>
        <w:t>supra</w:t>
      </w:r>
      <w:r w:rsidRPr="006A7923">
        <w:rPr>
          <w:color w:val="000000" w:themeColor="text1"/>
          <w:sz w:val="20"/>
          <w:szCs w:val="20"/>
        </w:rPr>
        <w:t xml:space="preserve"> note </w:t>
      </w:r>
      <w:r w:rsidRPr="006A7923">
        <w:rPr>
          <w:color w:val="000000" w:themeColor="text1"/>
          <w:sz w:val="20"/>
          <w:szCs w:val="20"/>
          <w:highlight w:val="yellow"/>
        </w:rPr>
        <w:fldChar w:fldCharType="begin"/>
      </w:r>
      <w:r w:rsidRPr="006A7923">
        <w:rPr>
          <w:color w:val="000000" w:themeColor="text1"/>
          <w:sz w:val="20"/>
          <w:szCs w:val="20"/>
          <w:highlight w:val="yellow"/>
        </w:rPr>
        <w:instrText xml:space="preserve"> NOTEREF _Ref492972226 \h  \* MERGEFORMAT </w:instrText>
      </w:r>
      <w:r w:rsidRPr="006A7923">
        <w:rPr>
          <w:color w:val="000000" w:themeColor="text1"/>
          <w:sz w:val="20"/>
          <w:szCs w:val="20"/>
          <w:highlight w:val="yellow"/>
        </w:rPr>
      </w:r>
      <w:r w:rsidRPr="006A7923">
        <w:rPr>
          <w:color w:val="000000" w:themeColor="text1"/>
          <w:sz w:val="20"/>
          <w:szCs w:val="20"/>
          <w:highlight w:val="yellow"/>
        </w:rPr>
        <w:fldChar w:fldCharType="separate"/>
      </w:r>
      <w:r w:rsidRPr="006A7923">
        <w:rPr>
          <w:color w:val="000000" w:themeColor="text1"/>
          <w:sz w:val="20"/>
          <w:szCs w:val="20"/>
          <w:highlight w:val="yellow"/>
        </w:rPr>
        <w:t>105</w:t>
      </w:r>
      <w:r w:rsidRPr="006A7923">
        <w:rPr>
          <w:color w:val="000000" w:themeColor="text1"/>
          <w:sz w:val="20"/>
          <w:szCs w:val="20"/>
          <w:highlight w:val="yellow"/>
        </w:rPr>
        <w:fldChar w:fldCharType="end"/>
      </w:r>
      <w:r w:rsidRPr="006A7923">
        <w:rPr>
          <w:color w:val="000000" w:themeColor="text1"/>
          <w:sz w:val="20"/>
          <w:szCs w:val="20"/>
          <w:highlight w:val="yellow"/>
        </w:rPr>
        <w:t xml:space="preserve">, </w:t>
      </w:r>
      <w:r w:rsidRPr="006A7923">
        <w:rPr>
          <w:color w:val="000000" w:themeColor="text1"/>
          <w:sz w:val="20"/>
          <w:szCs w:val="20"/>
        </w:rPr>
        <w:t xml:space="preserve">at paras 287-289 and 304; </w:t>
      </w:r>
      <w:r w:rsidRPr="006A7923">
        <w:rPr>
          <w:i/>
          <w:color w:val="000000" w:themeColor="text1"/>
          <w:sz w:val="20"/>
          <w:szCs w:val="20"/>
        </w:rPr>
        <w:t>Gusinskiy v Russia</w:t>
      </w:r>
      <w:r w:rsidRPr="006A7923">
        <w:rPr>
          <w:color w:val="000000" w:themeColor="text1"/>
          <w:sz w:val="20"/>
          <w:szCs w:val="20"/>
        </w:rPr>
        <w:t xml:space="preserve">, ECtHR, App no 70276/01, </w:t>
      </w:r>
      <w:r w:rsidRPr="006A7923">
        <w:rPr>
          <w:color w:val="000000" w:themeColor="text1"/>
          <w:sz w:val="20"/>
          <w:szCs w:val="20"/>
          <w:highlight w:val="yellow"/>
        </w:rPr>
        <w:t xml:space="preserve">19 May 2004, </w:t>
      </w:r>
      <w:r w:rsidRPr="006A7923">
        <w:rPr>
          <w:color w:val="000000" w:themeColor="text1"/>
          <w:sz w:val="20"/>
          <w:szCs w:val="20"/>
        </w:rPr>
        <w:t xml:space="preserve">at para 73. For Article 17, see </w:t>
      </w:r>
      <w:r w:rsidRPr="006A7923">
        <w:rPr>
          <w:i/>
          <w:color w:val="000000" w:themeColor="text1"/>
          <w:sz w:val="20"/>
          <w:szCs w:val="20"/>
        </w:rPr>
        <w:t>Şimşek and others v Turkey</w:t>
      </w:r>
      <w:r w:rsidRPr="006A7923">
        <w:rPr>
          <w:color w:val="000000" w:themeColor="text1"/>
          <w:sz w:val="20"/>
          <w:szCs w:val="20"/>
        </w:rPr>
        <w:t xml:space="preserve"> App nos 35072/97, 37194/97 (ECtHR, </w:t>
      </w:r>
      <w:r w:rsidRPr="006A7923">
        <w:rPr>
          <w:color w:val="000000" w:themeColor="text1"/>
          <w:sz w:val="20"/>
          <w:szCs w:val="20"/>
          <w:highlight w:val="yellow"/>
        </w:rPr>
        <w:t>26 July 2005</w:t>
      </w:r>
      <w:r w:rsidRPr="006A7923">
        <w:rPr>
          <w:color w:val="000000" w:themeColor="text1"/>
          <w:sz w:val="20"/>
          <w:szCs w:val="20"/>
        </w:rPr>
        <w:t xml:space="preserve">), at para 132. For an invocation of both Articles 17 and 18 in conjunction with another right guaranteed by the Convention, see </w:t>
      </w:r>
      <w:r w:rsidRPr="006A7923">
        <w:rPr>
          <w:i/>
          <w:color w:val="000000" w:themeColor="text1"/>
          <w:sz w:val="20"/>
          <w:szCs w:val="20"/>
        </w:rPr>
        <w:t>Terra Woningen B.V. v the Netherlands</w:t>
      </w:r>
      <w:r w:rsidRPr="006A7923">
        <w:rPr>
          <w:color w:val="000000" w:themeColor="text1"/>
          <w:sz w:val="20"/>
          <w:szCs w:val="20"/>
        </w:rPr>
        <w:t xml:space="preserve"> App no 20641/92 (ECtHR</w:t>
      </w:r>
      <w:r w:rsidRPr="006A7923">
        <w:rPr>
          <w:color w:val="000000" w:themeColor="text1"/>
          <w:sz w:val="20"/>
          <w:szCs w:val="20"/>
          <w:highlight w:val="yellow"/>
        </w:rPr>
        <w:t>, 17 December 1996</w:t>
      </w:r>
      <w:r w:rsidRPr="006A7923">
        <w:rPr>
          <w:color w:val="000000" w:themeColor="text1"/>
          <w:sz w:val="20"/>
          <w:szCs w:val="20"/>
        </w:rPr>
        <w:t>),</w:t>
      </w:r>
      <w:r w:rsidRPr="006A7923">
        <w:rPr>
          <w:color w:val="000000" w:themeColor="text1"/>
          <w:sz w:val="20"/>
          <w:szCs w:val="20"/>
          <w:highlight w:val="yellow"/>
        </w:rPr>
        <w:t xml:space="preserve"> </w:t>
      </w:r>
      <w:r w:rsidRPr="006A7923">
        <w:rPr>
          <w:color w:val="000000" w:themeColor="text1"/>
          <w:sz w:val="20"/>
          <w:szCs w:val="20"/>
        </w:rPr>
        <w:t xml:space="preserve">at para 40. </w:t>
      </w:r>
    </w:p>
  </w:footnote>
  <w:footnote w:id="114">
    <w:p w14:paraId="01A38646" w14:textId="45727468"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 xml:space="preserve">Merabishvili </w:t>
      </w:r>
      <w:r w:rsidRPr="006A7923">
        <w:rPr>
          <w:rFonts w:ascii="Times New Roman" w:hAnsi="Times New Roman" w:cs="Times New Roman"/>
          <w:color w:val="000000" w:themeColor="text1"/>
          <w:sz w:val="20"/>
          <w:szCs w:val="20"/>
        </w:rPr>
        <w:t xml:space="preserve">(GC),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at paras 264-317.</w:t>
      </w:r>
    </w:p>
  </w:footnote>
  <w:footnote w:id="115">
    <w:p w14:paraId="09366E23" w14:textId="3098699F"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xml:space="preserve">, at paras 265, 288 and 304-305. See also </w:t>
      </w:r>
      <w:r w:rsidRPr="006A7923">
        <w:rPr>
          <w:rFonts w:ascii="Times New Roman" w:hAnsi="Times New Roman" w:cs="Times New Roman"/>
          <w:i/>
          <w:color w:val="000000" w:themeColor="text1"/>
          <w:sz w:val="20"/>
          <w:szCs w:val="20"/>
        </w:rPr>
        <w:t>Gusinskiy</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_Ref492914856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112</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 xml:space="preserve">at para 73 and </w:t>
      </w:r>
      <w:r w:rsidRPr="006A7923">
        <w:rPr>
          <w:rFonts w:ascii="Times New Roman" w:hAnsi="Times New Roman" w:cs="Times New Roman"/>
          <w:i/>
          <w:sz w:val="20"/>
          <w:szCs w:val="20"/>
        </w:rPr>
        <w:t>Cebotari</w:t>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 xml:space="preserve">supra </w:t>
      </w:r>
      <w:r w:rsidRPr="006A7923">
        <w:rPr>
          <w:rFonts w:ascii="Times New Roman" w:hAnsi="Times New Roman" w:cs="Times New Roman"/>
          <w:sz w:val="20"/>
          <w:szCs w:val="20"/>
        </w:rPr>
        <w:t xml:space="preserve">note </w:t>
      </w:r>
      <w:r w:rsidRPr="006A7923">
        <w:rPr>
          <w:rFonts w:ascii="Times New Roman" w:hAnsi="Times New Roman" w:cs="Times New Roman"/>
          <w:sz w:val="20"/>
          <w:szCs w:val="20"/>
          <w:highlight w:val="yellow"/>
        </w:rPr>
        <w:fldChar w:fldCharType="begin"/>
      </w:r>
      <w:r w:rsidRPr="006A7923">
        <w:rPr>
          <w:rFonts w:ascii="Times New Roman" w:hAnsi="Times New Roman" w:cs="Times New Roman"/>
          <w:sz w:val="20"/>
          <w:szCs w:val="20"/>
          <w:highlight w:val="yellow"/>
        </w:rPr>
        <w:instrText xml:space="preserve"> NOTEREF _Ref493754440 \h  \* MERGEFORMAT </w:instrText>
      </w:r>
      <w:r w:rsidRPr="006A7923">
        <w:rPr>
          <w:rFonts w:ascii="Times New Roman" w:hAnsi="Times New Roman" w:cs="Times New Roman"/>
          <w:sz w:val="20"/>
          <w:szCs w:val="20"/>
          <w:highlight w:val="yellow"/>
        </w:rPr>
      </w:r>
      <w:r w:rsidRPr="006A7923">
        <w:rPr>
          <w:rFonts w:ascii="Times New Roman" w:hAnsi="Times New Roman" w:cs="Times New Roman"/>
          <w:sz w:val="20"/>
          <w:szCs w:val="20"/>
          <w:highlight w:val="yellow"/>
        </w:rPr>
        <w:fldChar w:fldCharType="separate"/>
      </w:r>
      <w:r w:rsidRPr="006A7923">
        <w:rPr>
          <w:rFonts w:ascii="Times New Roman" w:hAnsi="Times New Roman" w:cs="Times New Roman"/>
          <w:sz w:val="20"/>
          <w:szCs w:val="20"/>
          <w:highlight w:val="yellow"/>
        </w:rPr>
        <w:t>108</w:t>
      </w:r>
      <w:r w:rsidRPr="006A7923">
        <w:rPr>
          <w:rFonts w:ascii="Times New Roman" w:hAnsi="Times New Roman" w:cs="Times New Roman"/>
          <w:sz w:val="20"/>
          <w:szCs w:val="20"/>
          <w:highlight w:val="yellow"/>
        </w:rPr>
        <w:fldChar w:fldCharType="end"/>
      </w:r>
      <w:r w:rsidRPr="006A7923">
        <w:rPr>
          <w:rFonts w:ascii="Times New Roman" w:hAnsi="Times New Roman" w:cs="Times New Roman"/>
          <w:sz w:val="20"/>
          <w:szCs w:val="20"/>
        </w:rPr>
        <w:t>, at para 49.</w:t>
      </w:r>
    </w:p>
  </w:footnote>
  <w:footnote w:id="116">
    <w:p w14:paraId="71D34238" w14:textId="5C3E92EA"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for instance, </w:t>
      </w:r>
      <w:r w:rsidRPr="006A7923">
        <w:rPr>
          <w:rFonts w:ascii="Times New Roman" w:hAnsi="Times New Roman" w:cs="Times New Roman"/>
          <w:i/>
          <w:color w:val="000000" w:themeColor="text1"/>
          <w:sz w:val="20"/>
          <w:szCs w:val="20"/>
        </w:rPr>
        <w:t>Handyside v UK</w:t>
      </w:r>
      <w:r w:rsidRPr="006A7923">
        <w:rPr>
          <w:rFonts w:ascii="Times New Roman" w:hAnsi="Times New Roman" w:cs="Times New Roman"/>
          <w:color w:val="000000" w:themeColor="text1"/>
          <w:sz w:val="20"/>
          <w:szCs w:val="20"/>
        </w:rPr>
        <w:t xml:space="preserve"> App no 5493/72 (ECtHR, </w:t>
      </w:r>
      <w:r w:rsidRPr="006A7923">
        <w:rPr>
          <w:rFonts w:ascii="Times New Roman" w:hAnsi="Times New Roman" w:cs="Times New Roman"/>
          <w:color w:val="000000" w:themeColor="text1"/>
          <w:sz w:val="20"/>
          <w:szCs w:val="20"/>
          <w:highlight w:val="yellow"/>
        </w:rPr>
        <w:t>7 December 1976</w:t>
      </w:r>
      <w:r w:rsidRPr="006A7923">
        <w:rPr>
          <w:rFonts w:ascii="Times New Roman" w:hAnsi="Times New Roman" w:cs="Times New Roman"/>
          <w:color w:val="000000" w:themeColor="text1"/>
          <w:sz w:val="20"/>
          <w:szCs w:val="20"/>
        </w:rPr>
        <w:t xml:space="preserve">), at para 64; </w:t>
      </w:r>
      <w:r w:rsidRPr="006A7923">
        <w:rPr>
          <w:rFonts w:ascii="Times New Roman" w:hAnsi="Times New Roman" w:cs="Times New Roman"/>
          <w:i/>
          <w:color w:val="000000" w:themeColor="text1"/>
          <w:sz w:val="20"/>
          <w:szCs w:val="20"/>
        </w:rPr>
        <w:t>Engel</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 104; and </w:t>
      </w:r>
      <w:r w:rsidRPr="006A7923">
        <w:rPr>
          <w:rFonts w:ascii="Times New Roman" w:hAnsi="Times New Roman" w:cs="Times New Roman"/>
          <w:i/>
          <w:color w:val="000000" w:themeColor="text1"/>
          <w:sz w:val="20"/>
          <w:szCs w:val="20"/>
        </w:rPr>
        <w:t xml:space="preserve">Refah Partisi (the Welfare Party) and others v Turkey </w:t>
      </w:r>
      <w:r w:rsidRPr="006A7923">
        <w:rPr>
          <w:rFonts w:ascii="Times New Roman" w:hAnsi="Times New Roman" w:cs="Times New Roman"/>
          <w:color w:val="000000" w:themeColor="text1"/>
          <w:sz w:val="20"/>
          <w:szCs w:val="20"/>
        </w:rPr>
        <w:t xml:space="preserve">App nos </w:t>
      </w:r>
      <w:r w:rsidRPr="006A7923">
        <w:rPr>
          <w:rFonts w:ascii="Times New Roman" w:eastAsia="Times New Roman" w:hAnsi="Times New Roman" w:cs="Times New Roman"/>
          <w:color w:val="000000" w:themeColor="text1"/>
          <w:sz w:val="20"/>
          <w:szCs w:val="20"/>
          <w:shd w:val="clear" w:color="auto" w:fill="FFFFFF"/>
        </w:rPr>
        <w:t>41340/98, 41342/98, 41343/98, 41344/98 (ECtHR</w:t>
      </w:r>
      <w:r w:rsidRPr="006A7923">
        <w:rPr>
          <w:rFonts w:ascii="Times New Roman" w:eastAsia="Times New Roman" w:hAnsi="Times New Roman" w:cs="Times New Roman"/>
          <w:color w:val="000000" w:themeColor="text1"/>
          <w:sz w:val="20"/>
          <w:szCs w:val="20"/>
          <w:highlight w:val="yellow"/>
          <w:shd w:val="clear" w:color="auto" w:fill="FFFFFF"/>
        </w:rPr>
        <w:t>, 13 February 2003</w:t>
      </w:r>
      <w:r w:rsidRPr="006A7923">
        <w:rPr>
          <w:rFonts w:ascii="Times New Roman" w:eastAsia="Times New Roman" w:hAnsi="Times New Roman" w:cs="Times New Roman"/>
          <w:color w:val="000000" w:themeColor="text1"/>
          <w:sz w:val="20"/>
          <w:szCs w:val="20"/>
          <w:shd w:val="clear" w:color="auto" w:fill="FFFFFF"/>
        </w:rPr>
        <w:t>), at para 137.</w:t>
      </w:r>
      <w:r w:rsidRPr="006A7923">
        <w:rPr>
          <w:rFonts w:ascii="Times New Roman" w:hAnsi="Times New Roman" w:cs="Times New Roman"/>
          <w:color w:val="000000" w:themeColor="text1"/>
          <w:sz w:val="20"/>
          <w:szCs w:val="20"/>
        </w:rPr>
        <w:t xml:space="preserve"> Yet, if no violation of the right invoked in conjunction with Articles 17 and 18 has been found, this does not necessarily imply no breach of said two Articles. See</w:t>
      </w:r>
      <w:r w:rsidRPr="006A7923">
        <w:rPr>
          <w:rFonts w:ascii="Times New Roman" w:hAnsi="Times New Roman" w:cs="Times New Roman"/>
          <w:i/>
          <w:color w:val="000000" w:themeColor="text1"/>
          <w:sz w:val="20"/>
          <w:szCs w:val="20"/>
        </w:rPr>
        <w:t xml:space="preserve"> Gusinskiy</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_Ref492914856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112</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 xml:space="preserve">at para 73, where the Court explains that, ‘[t]here may, however, be a violation of Article 18 in connection with another Article, although there is no violation of that Article taken alone.’ See also </w:t>
      </w:r>
      <w:r w:rsidRPr="006A7923">
        <w:rPr>
          <w:rFonts w:ascii="Times New Roman" w:hAnsi="Times New Roman" w:cs="Times New Roman"/>
          <w:i/>
          <w:sz w:val="20"/>
          <w:szCs w:val="20"/>
        </w:rPr>
        <w:t>Cebotari</w:t>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 xml:space="preserve">supra </w:t>
      </w:r>
      <w:r w:rsidRPr="006A7923">
        <w:rPr>
          <w:rFonts w:ascii="Times New Roman" w:hAnsi="Times New Roman" w:cs="Times New Roman"/>
          <w:sz w:val="20"/>
          <w:szCs w:val="20"/>
        </w:rPr>
        <w:t xml:space="preserve">note </w:t>
      </w:r>
      <w:r w:rsidRPr="006A7923">
        <w:rPr>
          <w:rFonts w:ascii="Times New Roman" w:hAnsi="Times New Roman" w:cs="Times New Roman"/>
          <w:sz w:val="20"/>
          <w:szCs w:val="20"/>
          <w:highlight w:val="yellow"/>
        </w:rPr>
        <w:fldChar w:fldCharType="begin"/>
      </w:r>
      <w:r w:rsidRPr="006A7923">
        <w:rPr>
          <w:rFonts w:ascii="Times New Roman" w:hAnsi="Times New Roman" w:cs="Times New Roman"/>
          <w:sz w:val="20"/>
          <w:szCs w:val="20"/>
          <w:highlight w:val="yellow"/>
        </w:rPr>
        <w:instrText xml:space="preserve"> NOTEREF _Ref493754440 \h  \* MERGEFORMAT </w:instrText>
      </w:r>
      <w:r w:rsidRPr="006A7923">
        <w:rPr>
          <w:rFonts w:ascii="Times New Roman" w:hAnsi="Times New Roman" w:cs="Times New Roman"/>
          <w:sz w:val="20"/>
          <w:szCs w:val="20"/>
          <w:highlight w:val="yellow"/>
        </w:rPr>
      </w:r>
      <w:r w:rsidRPr="006A7923">
        <w:rPr>
          <w:rFonts w:ascii="Times New Roman" w:hAnsi="Times New Roman" w:cs="Times New Roman"/>
          <w:sz w:val="20"/>
          <w:szCs w:val="20"/>
          <w:highlight w:val="yellow"/>
        </w:rPr>
        <w:fldChar w:fldCharType="separate"/>
      </w:r>
      <w:r w:rsidRPr="006A7923">
        <w:rPr>
          <w:rFonts w:ascii="Times New Roman" w:hAnsi="Times New Roman" w:cs="Times New Roman"/>
          <w:sz w:val="20"/>
          <w:szCs w:val="20"/>
          <w:highlight w:val="yellow"/>
        </w:rPr>
        <w:t>108</w:t>
      </w:r>
      <w:r w:rsidRPr="006A7923">
        <w:rPr>
          <w:rFonts w:ascii="Times New Roman" w:hAnsi="Times New Roman" w:cs="Times New Roman"/>
          <w:sz w:val="20"/>
          <w:szCs w:val="20"/>
          <w:highlight w:val="yellow"/>
        </w:rPr>
        <w:fldChar w:fldCharType="end"/>
      </w:r>
      <w:r w:rsidRPr="006A7923">
        <w:rPr>
          <w:rFonts w:ascii="Times New Roman" w:hAnsi="Times New Roman" w:cs="Times New Roman"/>
          <w:sz w:val="20"/>
          <w:szCs w:val="20"/>
        </w:rPr>
        <w:t xml:space="preserve">, at para 49 and </w:t>
      </w:r>
      <w:r w:rsidRPr="006A7923">
        <w:rPr>
          <w:rFonts w:ascii="Times New Roman" w:hAnsi="Times New Roman" w:cs="Times New Roman"/>
          <w:i/>
          <w:sz w:val="20"/>
          <w:szCs w:val="20"/>
        </w:rPr>
        <w:t>Merabishvili</w:t>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 xml:space="preserve">supra </w:t>
      </w:r>
      <w:r w:rsidRPr="006A7923">
        <w:rPr>
          <w:rFonts w:ascii="Times New Roman" w:hAnsi="Times New Roman" w:cs="Times New Roman"/>
          <w:sz w:val="20"/>
          <w:szCs w:val="20"/>
        </w:rPr>
        <w:t>note</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_Ref493754440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 100. See also the discussion that follows in this Part of the study - especially the section on the GC’s </w:t>
      </w:r>
      <w:r w:rsidRPr="006A7923">
        <w:rPr>
          <w:rFonts w:ascii="Times New Roman" w:hAnsi="Times New Roman" w:cs="Times New Roman"/>
          <w:i/>
          <w:color w:val="000000" w:themeColor="text1"/>
          <w:sz w:val="20"/>
          <w:szCs w:val="20"/>
        </w:rPr>
        <w:t>Merabishvili</w:t>
      </w:r>
      <w:r w:rsidRPr="006A7923">
        <w:rPr>
          <w:rFonts w:ascii="Times New Roman" w:hAnsi="Times New Roman" w:cs="Times New Roman"/>
          <w:color w:val="000000" w:themeColor="text1"/>
          <w:sz w:val="20"/>
          <w:szCs w:val="20"/>
        </w:rPr>
        <w:t xml:space="preserve"> test.</w:t>
      </w:r>
    </w:p>
  </w:footnote>
  <w:footnote w:id="117">
    <w:p w14:paraId="7339F30C" w14:textId="3DE75E48"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 xml:space="preserve">Merabishvili </w:t>
      </w:r>
      <w:r w:rsidRPr="006A7923">
        <w:rPr>
          <w:rFonts w:ascii="Times New Roman" w:hAnsi="Times New Roman" w:cs="Times New Roman"/>
          <w:color w:val="000000" w:themeColor="text1"/>
          <w:sz w:val="20"/>
          <w:szCs w:val="20"/>
        </w:rPr>
        <w:t xml:space="preserve">(GC),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at para 303.</w:t>
      </w:r>
    </w:p>
  </w:footnote>
  <w:footnote w:id="118">
    <w:p w14:paraId="32FF141C" w14:textId="28CAFAF3"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See, for instance, </w:t>
      </w:r>
      <w:r w:rsidRPr="006A7923">
        <w:rPr>
          <w:rFonts w:ascii="Times New Roman" w:hAnsi="Times New Roman" w:cs="Times New Roman"/>
          <w:i/>
          <w:sz w:val="20"/>
          <w:szCs w:val="20"/>
        </w:rPr>
        <w:t>Handyside v UK</w:t>
      </w:r>
      <w:r w:rsidRPr="006A7923">
        <w:rPr>
          <w:rFonts w:ascii="Times New Roman" w:hAnsi="Times New Roman" w:cs="Times New Roman"/>
          <w:sz w:val="20"/>
          <w:szCs w:val="20"/>
        </w:rPr>
        <w:t xml:space="preserve"> App no 5493/72 (ECmHR, </w:t>
      </w:r>
      <w:r w:rsidRPr="006A7923">
        <w:rPr>
          <w:rFonts w:ascii="Times New Roman" w:hAnsi="Times New Roman" w:cs="Times New Roman"/>
          <w:sz w:val="20"/>
          <w:szCs w:val="20"/>
          <w:highlight w:val="yellow"/>
        </w:rPr>
        <w:t>30 September 1975</w:t>
      </w:r>
      <w:r w:rsidRPr="006A7923">
        <w:rPr>
          <w:rFonts w:ascii="Times New Roman" w:hAnsi="Times New Roman" w:cs="Times New Roman"/>
          <w:sz w:val="20"/>
          <w:szCs w:val="20"/>
        </w:rPr>
        <w:t xml:space="preserve">, report), at para 175, where the Commission refers to the lack of evidence supporting a breach of Article 18. See also </w:t>
      </w:r>
      <w:r w:rsidRPr="006A7923">
        <w:rPr>
          <w:rFonts w:ascii="Times New Roman" w:hAnsi="Times New Roman" w:cs="Times New Roman"/>
          <w:color w:val="000000" w:themeColor="text1"/>
          <w:sz w:val="20"/>
          <w:szCs w:val="20"/>
        </w:rPr>
        <w:t xml:space="preserve">more recent case law, such as </w:t>
      </w:r>
      <w:r w:rsidRPr="006A7923">
        <w:rPr>
          <w:rFonts w:ascii="Times New Roman" w:hAnsi="Times New Roman" w:cs="Times New Roman"/>
          <w:i/>
          <w:color w:val="000000" w:themeColor="text1"/>
          <w:sz w:val="20"/>
          <w:szCs w:val="20"/>
        </w:rPr>
        <w:t>Tchankotadze</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_Ref493764722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107</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r w:rsidRPr="006A7923">
        <w:rPr>
          <w:rFonts w:ascii="Times New Roman" w:hAnsi="Times New Roman" w:cs="Times New Roman"/>
          <w:color w:val="000000" w:themeColor="text1"/>
          <w:sz w:val="20"/>
          <w:szCs w:val="20"/>
        </w:rPr>
        <w:t xml:space="preserve"> at paras 113-116. As the Court explains, ‘the whole structure of the Convention rests on the general assumption that public authorities in the member States act in good faith. Indeed, any public policy or individual measure may have a “hidden agenda”, and the presumption of good faith is rebuttable in theory. However, it is difficult to overcome this assumption in practice. Indeed, an applicant alleging that his rights and freedoms were limited for an improper reason must convincingly show that the real aim of the authorities was not the same as that proclaimed or which could be reasonably inferred from the context. A mere suspicion that the authorities used their powers for some other purpose than those defined in the Convention is not sufficient to prove that Article 18 was breached […]. When an allegation under Article 18 of the Convention is made, the Court applies a very exacting standard of proof.’ (para 113). In the past, the Court has required ‘incontrovertible and direct proof’, </w:t>
      </w:r>
      <w:r w:rsidRPr="006A7923">
        <w:rPr>
          <w:rFonts w:ascii="Times New Roman" w:hAnsi="Times New Roman" w:cs="Times New Roman"/>
          <w:i/>
          <w:color w:val="000000" w:themeColor="text1"/>
          <w:sz w:val="20"/>
          <w:szCs w:val="20"/>
        </w:rPr>
        <w:t>Khodorkovskiy v Russia</w:t>
      </w:r>
      <w:r w:rsidRPr="006A7923">
        <w:rPr>
          <w:rFonts w:ascii="Times New Roman" w:hAnsi="Times New Roman" w:cs="Times New Roman"/>
          <w:color w:val="000000" w:themeColor="text1"/>
          <w:sz w:val="20"/>
          <w:szCs w:val="20"/>
        </w:rPr>
        <w:t xml:space="preserve"> App no 5829/04 (ECtHR, 31 May 2011), at para 260. The burden of proof for allegations of abuse of rights remained with the applicant, </w:t>
      </w:r>
      <w:r w:rsidRPr="006A7923">
        <w:rPr>
          <w:rFonts w:ascii="Times New Roman" w:hAnsi="Times New Roman" w:cs="Times New Roman"/>
          <w:i/>
          <w:color w:val="000000" w:themeColor="text1"/>
          <w:sz w:val="20"/>
          <w:szCs w:val="20"/>
        </w:rPr>
        <w:t>Khodorkovskiy</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_Ref493753816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117</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 256. See also, </w:t>
      </w:r>
      <w:r w:rsidRPr="006A7923">
        <w:rPr>
          <w:rFonts w:ascii="Times New Roman" w:hAnsi="Times New Roman" w:cs="Times New Roman"/>
          <w:i/>
          <w:sz w:val="20"/>
          <w:szCs w:val="20"/>
        </w:rPr>
        <w:t>Merabishvili</w:t>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 xml:space="preserve">supra </w:t>
      </w:r>
      <w:r w:rsidRPr="006A7923">
        <w:rPr>
          <w:rFonts w:ascii="Times New Roman" w:hAnsi="Times New Roman" w:cs="Times New Roman"/>
          <w:sz w:val="20"/>
          <w:szCs w:val="20"/>
        </w:rPr>
        <w:t>note</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_Ref493754440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r w:rsidRPr="006A7923">
        <w:rPr>
          <w:rFonts w:ascii="Times New Roman" w:hAnsi="Times New Roman" w:cs="Times New Roman"/>
          <w:color w:val="000000" w:themeColor="text1"/>
          <w:sz w:val="20"/>
          <w:szCs w:val="20"/>
        </w:rPr>
        <w:t xml:space="preserve"> at para 100, </w:t>
      </w:r>
      <w:r w:rsidRPr="006A7923">
        <w:rPr>
          <w:rFonts w:ascii="Times New Roman" w:hAnsi="Times New Roman" w:cs="Times New Roman"/>
          <w:i/>
          <w:color w:val="000000" w:themeColor="text1"/>
          <w:sz w:val="20"/>
          <w:szCs w:val="20"/>
        </w:rPr>
        <w:t>Rasul Jafarov</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_Ref492904500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92</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 154, and especially </w:t>
      </w:r>
      <w:r w:rsidRPr="006A7923">
        <w:rPr>
          <w:rFonts w:ascii="Times New Roman" w:hAnsi="Times New Roman" w:cs="Times New Roman"/>
          <w:i/>
          <w:color w:val="000000" w:themeColor="text1"/>
          <w:sz w:val="20"/>
          <w:szCs w:val="20"/>
        </w:rPr>
        <w:t xml:space="preserve">Merabishvili </w:t>
      </w:r>
      <w:r w:rsidRPr="006A7923">
        <w:rPr>
          <w:rFonts w:ascii="Times New Roman" w:hAnsi="Times New Roman" w:cs="Times New Roman"/>
          <w:color w:val="000000" w:themeColor="text1"/>
          <w:sz w:val="20"/>
          <w:szCs w:val="20"/>
        </w:rPr>
        <w:t xml:space="preserve">(GC),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paras 270-281 (discussing earlier case law) and 309-317 (giving an overview of the standards of proof required in the practice of the ECtHR for a breach of Article 18 to be established). See below the discussion on the changes brought to proof by the GC judgment in </w:t>
      </w:r>
      <w:r w:rsidRPr="006A7923">
        <w:rPr>
          <w:rFonts w:ascii="Times New Roman" w:hAnsi="Times New Roman" w:cs="Times New Roman"/>
          <w:i/>
          <w:color w:val="000000" w:themeColor="text1"/>
          <w:sz w:val="20"/>
          <w:szCs w:val="20"/>
        </w:rPr>
        <w:t>Merabishvili</w:t>
      </w:r>
      <w:r w:rsidRPr="006A7923">
        <w:rPr>
          <w:rFonts w:ascii="Times New Roman" w:hAnsi="Times New Roman" w:cs="Times New Roman"/>
          <w:color w:val="000000" w:themeColor="text1"/>
          <w:sz w:val="20"/>
          <w:szCs w:val="20"/>
        </w:rPr>
        <w:t xml:space="preserve"> (especially </w:t>
      </w:r>
      <w:r w:rsidRPr="006A7923">
        <w:rPr>
          <w:rFonts w:ascii="Times New Roman" w:hAnsi="Times New Roman" w:cs="Times New Roman"/>
          <w:i/>
          <w:color w:val="000000" w:themeColor="text1"/>
          <w:sz w:val="20"/>
          <w:szCs w:val="20"/>
        </w:rPr>
        <w:t>infra</w:t>
      </w:r>
      <w:r w:rsidRPr="006A7923">
        <w:rPr>
          <w:rFonts w:ascii="Times New Roman" w:hAnsi="Times New Roman" w:cs="Times New Roman"/>
          <w:color w:val="000000" w:themeColor="text1"/>
          <w:sz w:val="20"/>
          <w:szCs w:val="20"/>
        </w:rPr>
        <w:t xml:space="preserve"> notes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_Ref531871648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146</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_Ref532326341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155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w:t>
      </w:r>
    </w:p>
  </w:footnote>
  <w:footnote w:id="119">
    <w:p w14:paraId="6780EDD9" w14:textId="5ADFE2F4"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E.g.</w:t>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Khodorkovskiy and Lebedev</w:t>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 xml:space="preserve">supra </w:t>
      </w:r>
      <w:r w:rsidRPr="006A7923">
        <w:rPr>
          <w:rFonts w:ascii="Times New Roman" w:hAnsi="Times New Roman" w:cs="Times New Roman"/>
          <w:sz w:val="20"/>
          <w:szCs w:val="20"/>
        </w:rPr>
        <w:t xml:space="preserve">note </w:t>
      </w:r>
      <w:r w:rsidRPr="006A7923">
        <w:rPr>
          <w:rFonts w:ascii="Times New Roman" w:hAnsi="Times New Roman" w:cs="Times New Roman"/>
          <w:sz w:val="20"/>
          <w:szCs w:val="20"/>
          <w:highlight w:val="yellow"/>
        </w:rPr>
        <w:fldChar w:fldCharType="begin"/>
      </w:r>
      <w:r w:rsidRPr="006A7923">
        <w:rPr>
          <w:rFonts w:ascii="Times New Roman" w:hAnsi="Times New Roman" w:cs="Times New Roman"/>
          <w:sz w:val="20"/>
          <w:szCs w:val="20"/>
          <w:highlight w:val="yellow"/>
        </w:rPr>
        <w:instrText xml:space="preserve"> NOTEREF _Ref532311634 \h  \* MERGEFORMAT </w:instrText>
      </w:r>
      <w:r w:rsidRPr="006A7923">
        <w:rPr>
          <w:rFonts w:ascii="Times New Roman" w:hAnsi="Times New Roman" w:cs="Times New Roman"/>
          <w:sz w:val="20"/>
          <w:szCs w:val="20"/>
          <w:highlight w:val="yellow"/>
        </w:rPr>
      </w:r>
      <w:r w:rsidRPr="006A7923">
        <w:rPr>
          <w:rFonts w:ascii="Times New Roman" w:hAnsi="Times New Roman" w:cs="Times New Roman"/>
          <w:sz w:val="20"/>
          <w:szCs w:val="20"/>
          <w:highlight w:val="yellow"/>
        </w:rPr>
        <w:fldChar w:fldCharType="separate"/>
      </w:r>
      <w:r w:rsidRPr="006A7923">
        <w:rPr>
          <w:rFonts w:ascii="Times New Roman" w:hAnsi="Times New Roman" w:cs="Times New Roman"/>
          <w:sz w:val="20"/>
          <w:szCs w:val="20"/>
          <w:highlight w:val="yellow"/>
        </w:rPr>
        <w:t>96</w:t>
      </w:r>
      <w:r w:rsidRPr="006A7923">
        <w:rPr>
          <w:rFonts w:ascii="Times New Roman" w:hAnsi="Times New Roman" w:cs="Times New Roman"/>
          <w:sz w:val="20"/>
          <w:szCs w:val="20"/>
          <w:highlight w:val="yellow"/>
        </w:rPr>
        <w:fldChar w:fldCharType="end"/>
      </w:r>
      <w:r w:rsidRPr="006A7923">
        <w:rPr>
          <w:rFonts w:ascii="Times New Roman" w:hAnsi="Times New Roman" w:cs="Times New Roman"/>
          <w:sz w:val="20"/>
          <w:szCs w:val="20"/>
        </w:rPr>
        <w:t xml:space="preserve">, at para 899. </w:t>
      </w:r>
    </w:p>
  </w:footnote>
  <w:footnote w:id="120">
    <w:p w14:paraId="51FDD4FD" w14:textId="1EEA1418"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color w:val="000000" w:themeColor="text1"/>
          <w:sz w:val="20"/>
          <w:szCs w:val="20"/>
        </w:rPr>
        <w:t xml:space="preserve">See, for instance, </w:t>
      </w:r>
      <w:r w:rsidRPr="006A7923">
        <w:rPr>
          <w:rFonts w:ascii="Times New Roman" w:hAnsi="Times New Roman" w:cs="Times New Roman"/>
          <w:i/>
          <w:color w:val="000000" w:themeColor="text1"/>
          <w:sz w:val="20"/>
          <w:szCs w:val="20"/>
        </w:rPr>
        <w:t xml:space="preserve">Merabishvili </w:t>
      </w:r>
      <w:r w:rsidRPr="006A7923">
        <w:rPr>
          <w:rFonts w:ascii="Times New Roman" w:hAnsi="Times New Roman" w:cs="Times New Roman"/>
          <w:color w:val="000000" w:themeColor="text1"/>
          <w:sz w:val="20"/>
          <w:szCs w:val="20"/>
        </w:rPr>
        <w:t xml:space="preserve">(GC),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rPr>
        <w:fldChar w:fldCharType="begin"/>
      </w:r>
      <w:r w:rsidRPr="006A7923">
        <w:rPr>
          <w:rFonts w:ascii="Times New Roman" w:hAnsi="Times New Roman" w:cs="Times New Roman"/>
          <w:color w:val="000000" w:themeColor="text1"/>
          <w:sz w:val="20"/>
          <w:szCs w:val="20"/>
        </w:rPr>
        <w:instrText xml:space="preserve"> NOTEREF _Ref531270506 \h  \* MERGEFORMAT </w:instrText>
      </w:r>
      <w:r w:rsidRPr="006A7923">
        <w:rPr>
          <w:rFonts w:ascii="Times New Roman" w:hAnsi="Times New Roman" w:cs="Times New Roman"/>
          <w:color w:val="000000" w:themeColor="text1"/>
          <w:sz w:val="20"/>
          <w:szCs w:val="20"/>
        </w:rPr>
      </w:r>
      <w:r w:rsidRPr="006A7923">
        <w:rPr>
          <w:rFonts w:ascii="Times New Roman" w:hAnsi="Times New Roman" w:cs="Times New Roman"/>
          <w:color w:val="000000" w:themeColor="text1"/>
          <w:sz w:val="20"/>
          <w:szCs w:val="20"/>
        </w:rPr>
        <w:fldChar w:fldCharType="separate"/>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fldChar w:fldCharType="end"/>
      </w:r>
      <w:r w:rsidRPr="006A7923">
        <w:rPr>
          <w:rFonts w:ascii="Times New Roman" w:hAnsi="Times New Roman" w:cs="Times New Roman"/>
          <w:color w:val="000000" w:themeColor="text1"/>
          <w:sz w:val="20"/>
          <w:szCs w:val="20"/>
        </w:rPr>
        <w:t xml:space="preserve">, at para 260; </w:t>
      </w:r>
      <w:r w:rsidRPr="006A7923">
        <w:rPr>
          <w:rFonts w:ascii="Times New Roman" w:hAnsi="Times New Roman" w:cs="Times New Roman"/>
          <w:i/>
          <w:color w:val="000000" w:themeColor="text1"/>
          <w:sz w:val="20"/>
          <w:szCs w:val="20"/>
        </w:rPr>
        <w:t>Khodorkovskiy</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_Ref493753816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117</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 255. See also n.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_Ref493753816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117</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_Ref531871788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148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and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_Ref531871790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149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r w:rsidRPr="006A7923">
        <w:rPr>
          <w:rFonts w:ascii="Times New Roman" w:hAnsi="Times New Roman" w:cs="Times New Roman"/>
          <w:color w:val="000000" w:themeColor="text1"/>
          <w:sz w:val="20"/>
          <w:szCs w:val="20"/>
        </w:rPr>
        <w:t xml:space="preserve"> </w:t>
      </w:r>
    </w:p>
  </w:footnote>
  <w:footnote w:id="121">
    <w:p w14:paraId="1732DF37" w14:textId="11E70300" w:rsidR="00A51F58" w:rsidRPr="006A7923" w:rsidRDefault="00A51F58" w:rsidP="008E72AA">
      <w:pPr>
        <w:jc w:val="both"/>
        <w:rPr>
          <w:color w:val="000000" w:themeColor="text1"/>
          <w:sz w:val="20"/>
          <w:szCs w:val="20"/>
        </w:rPr>
      </w:pPr>
      <w:r w:rsidRPr="006A7923">
        <w:rPr>
          <w:rStyle w:val="FootnoteReference"/>
          <w:color w:val="000000" w:themeColor="text1"/>
          <w:sz w:val="20"/>
          <w:szCs w:val="20"/>
        </w:rPr>
        <w:footnoteRef/>
      </w:r>
      <w:r w:rsidRPr="006A7923">
        <w:rPr>
          <w:color w:val="000000" w:themeColor="text1"/>
          <w:sz w:val="20"/>
          <w:szCs w:val="20"/>
        </w:rPr>
        <w:t xml:space="preserve"> See, for instance, </w:t>
      </w:r>
      <w:r w:rsidRPr="006A7923">
        <w:rPr>
          <w:i/>
          <w:color w:val="000000" w:themeColor="text1"/>
          <w:sz w:val="20"/>
          <w:szCs w:val="20"/>
        </w:rPr>
        <w:t>Sporrong and Lönnroth v Sweden</w:t>
      </w:r>
      <w:r w:rsidRPr="006A7923">
        <w:rPr>
          <w:color w:val="000000" w:themeColor="text1"/>
          <w:sz w:val="20"/>
          <w:szCs w:val="20"/>
        </w:rPr>
        <w:t xml:space="preserve"> App nos </w:t>
      </w:r>
      <w:r w:rsidRPr="006A7923">
        <w:rPr>
          <w:rStyle w:val="textcolumn"/>
          <w:rFonts w:eastAsia="Times New Roman"/>
          <w:color w:val="000000" w:themeColor="text1"/>
          <w:sz w:val="20"/>
          <w:szCs w:val="20"/>
        </w:rPr>
        <w:t>7151/75, 7152/75 (ECtHR,</w:t>
      </w:r>
      <w:r w:rsidRPr="006A7923">
        <w:rPr>
          <w:rStyle w:val="textcolumn"/>
          <w:rFonts w:eastAsia="Times New Roman"/>
          <w:color w:val="000000" w:themeColor="text1"/>
          <w:sz w:val="20"/>
          <w:szCs w:val="20"/>
          <w:highlight w:val="yellow"/>
        </w:rPr>
        <w:t xml:space="preserve"> </w:t>
      </w:r>
      <w:r w:rsidRPr="006A7923">
        <w:rPr>
          <w:rFonts w:eastAsia="Times New Roman"/>
          <w:color w:val="000000" w:themeColor="text1"/>
          <w:sz w:val="20"/>
          <w:szCs w:val="20"/>
          <w:highlight w:val="yellow"/>
          <w:shd w:val="clear" w:color="auto" w:fill="FFFFFF"/>
        </w:rPr>
        <w:t>23 September 1982),</w:t>
      </w:r>
      <w:r w:rsidRPr="006A7923">
        <w:rPr>
          <w:rFonts w:eastAsia="Times New Roman"/>
          <w:color w:val="000000" w:themeColor="text1"/>
          <w:sz w:val="20"/>
          <w:szCs w:val="20"/>
          <w:shd w:val="clear" w:color="auto" w:fill="FFFFFF"/>
        </w:rPr>
        <w:t xml:space="preserve"> at para 76 and </w:t>
      </w:r>
      <w:r w:rsidRPr="006A7923">
        <w:rPr>
          <w:rFonts w:eastAsia="Times New Roman"/>
          <w:i/>
          <w:color w:val="000000" w:themeColor="text1"/>
          <w:sz w:val="20"/>
          <w:szCs w:val="20"/>
          <w:shd w:val="clear" w:color="auto" w:fill="FFFFFF"/>
        </w:rPr>
        <w:t>B</w:t>
      </w:r>
      <w:r w:rsidRPr="006A7923">
        <w:rPr>
          <w:i/>
          <w:color w:val="000000" w:themeColor="text1"/>
          <w:sz w:val="20"/>
          <w:szCs w:val="20"/>
        </w:rPr>
        <w:t>ozano v France</w:t>
      </w:r>
      <w:r w:rsidRPr="006A7923">
        <w:rPr>
          <w:color w:val="000000" w:themeColor="text1"/>
          <w:sz w:val="20"/>
          <w:szCs w:val="20"/>
        </w:rPr>
        <w:t xml:space="preserve"> App no 9990/82 (ECtHR</w:t>
      </w:r>
      <w:r w:rsidRPr="006A7923">
        <w:rPr>
          <w:color w:val="000000" w:themeColor="text1"/>
          <w:sz w:val="20"/>
          <w:szCs w:val="20"/>
          <w:highlight w:val="yellow"/>
        </w:rPr>
        <w:t xml:space="preserve">, 18 December 1986), at </w:t>
      </w:r>
      <w:r w:rsidRPr="006A7923">
        <w:rPr>
          <w:color w:val="000000" w:themeColor="text1"/>
          <w:sz w:val="20"/>
          <w:szCs w:val="20"/>
        </w:rPr>
        <w:t xml:space="preserve">para 61, where the Court explained that because it ‘has already noted, in connection with Article 5 § 1 […] taken alone, that the deportation procedure </w:t>
      </w:r>
      <w:r w:rsidRPr="006A7923">
        <w:rPr>
          <w:i/>
          <w:color w:val="000000" w:themeColor="text1"/>
          <w:sz w:val="20"/>
          <w:szCs w:val="20"/>
        </w:rPr>
        <w:t xml:space="preserve">was abused in the instant case for objects and purposes other than its normal ones </w:t>
      </w:r>
      <w:r w:rsidRPr="006A7923">
        <w:rPr>
          <w:color w:val="000000" w:themeColor="text1"/>
          <w:sz w:val="20"/>
          <w:szCs w:val="20"/>
        </w:rPr>
        <w:t xml:space="preserve">[…]it [is not] necessary to examine the same issue under Article 18’ (emphasis added). </w:t>
      </w:r>
    </w:p>
  </w:footnote>
  <w:footnote w:id="122">
    <w:p w14:paraId="794C0078" w14:textId="15118CC0"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 xml:space="preserve">Merabishvili </w:t>
      </w:r>
      <w:r w:rsidRPr="006A7923">
        <w:rPr>
          <w:rFonts w:ascii="Times New Roman" w:hAnsi="Times New Roman" w:cs="Times New Roman"/>
          <w:color w:val="000000" w:themeColor="text1"/>
          <w:sz w:val="20"/>
          <w:szCs w:val="20"/>
        </w:rPr>
        <w:t xml:space="preserve">(GC),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at paras 264-281.</w:t>
      </w:r>
    </w:p>
  </w:footnote>
  <w:footnote w:id="123">
    <w:p w14:paraId="07634345" w14:textId="6CBAA7F4"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paras 282-286.</w:t>
      </w:r>
    </w:p>
  </w:footnote>
  <w:footnote w:id="124">
    <w:p w14:paraId="597C6DA2" w14:textId="17E8D2F3"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paras 292-308.</w:t>
      </w:r>
    </w:p>
  </w:footnote>
  <w:footnote w:id="125">
    <w:p w14:paraId="4A6E2A17" w14:textId="1DF23F9B"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paras 309-317.</w:t>
      </w:r>
    </w:p>
  </w:footnote>
  <w:footnote w:id="126">
    <w:p w14:paraId="1D1352E1" w14:textId="2B3048C5"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paras 265, 271, 287 and 290.</w:t>
      </w:r>
    </w:p>
  </w:footnote>
  <w:footnote w:id="127">
    <w:p w14:paraId="505BB7DD" w14:textId="04982CEA"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283.</w:t>
      </w:r>
    </w:p>
  </w:footnote>
  <w:footnote w:id="128">
    <w:p w14:paraId="047C4CB2" w14:textId="57ED44B9"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288.</w:t>
      </w:r>
    </w:p>
  </w:footnote>
  <w:footnote w:id="129">
    <w:p w14:paraId="4DBFEAA7" w14:textId="6E982EFA" w:rsidR="00A51F58" w:rsidRPr="006A7923" w:rsidRDefault="00A51F58" w:rsidP="008E72AA">
      <w:pPr>
        <w:jc w:val="both"/>
        <w:rPr>
          <w:rFonts w:eastAsia="Times New Roman"/>
          <w:sz w:val="20"/>
          <w:szCs w:val="20"/>
        </w:rPr>
      </w:pPr>
      <w:r w:rsidRPr="006A7923">
        <w:rPr>
          <w:rStyle w:val="FootnoteReference"/>
          <w:sz w:val="20"/>
          <w:szCs w:val="20"/>
        </w:rPr>
        <w:footnoteRef/>
      </w:r>
      <w:r w:rsidRPr="006A7923">
        <w:rPr>
          <w:sz w:val="20"/>
          <w:szCs w:val="20"/>
        </w:rPr>
        <w:t xml:space="preserve"> </w:t>
      </w:r>
      <w:r w:rsidRPr="006A7923">
        <w:rPr>
          <w:i/>
          <w:color w:val="000000" w:themeColor="text1"/>
          <w:sz w:val="20"/>
          <w:szCs w:val="20"/>
        </w:rPr>
        <w:t>Ibid.</w:t>
      </w:r>
      <w:r w:rsidRPr="006A7923">
        <w:rPr>
          <w:color w:val="000000" w:themeColor="text1"/>
          <w:sz w:val="20"/>
          <w:szCs w:val="20"/>
        </w:rPr>
        <w:t xml:space="preserve">, at para 291. See also ECtHR, </w:t>
      </w:r>
      <w:r w:rsidRPr="006A7923">
        <w:rPr>
          <w:i/>
          <w:color w:val="000000" w:themeColor="text1"/>
          <w:sz w:val="20"/>
          <w:szCs w:val="20"/>
        </w:rPr>
        <w:t>Mammadli v Azerbaijan</w:t>
      </w:r>
      <w:r w:rsidRPr="006A7923">
        <w:rPr>
          <w:color w:val="000000" w:themeColor="text1"/>
          <w:sz w:val="20"/>
          <w:szCs w:val="20"/>
        </w:rPr>
        <w:t xml:space="preserve"> App no 47145/14 (ECtHR, </w:t>
      </w:r>
      <w:r w:rsidRPr="006A7923">
        <w:rPr>
          <w:color w:val="000000" w:themeColor="text1"/>
          <w:sz w:val="20"/>
          <w:szCs w:val="20"/>
          <w:highlight w:val="yellow"/>
        </w:rPr>
        <w:t>19 April 2018</w:t>
      </w:r>
      <w:r w:rsidRPr="006A7923">
        <w:rPr>
          <w:color w:val="000000" w:themeColor="text1"/>
          <w:sz w:val="20"/>
          <w:szCs w:val="20"/>
        </w:rPr>
        <w:t>), at para 97.</w:t>
      </w:r>
    </w:p>
  </w:footnote>
  <w:footnote w:id="130">
    <w:p w14:paraId="3CF0B0C5" w14:textId="4828E03E"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E.g.</w:t>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Selahattin Demirtaş v Turkey</w:t>
      </w:r>
      <w:r w:rsidRPr="006A7923">
        <w:rPr>
          <w:rFonts w:ascii="Times New Roman" w:hAnsi="Times New Roman" w:cs="Times New Roman"/>
          <w:color w:val="000000" w:themeColor="text1"/>
          <w:sz w:val="20"/>
          <w:szCs w:val="20"/>
        </w:rPr>
        <w:t xml:space="preserve"> App no 14305/17 (ECtHR, </w:t>
      </w:r>
      <w:r w:rsidRPr="006A7923">
        <w:rPr>
          <w:rFonts w:ascii="Times New Roman" w:hAnsi="Times New Roman" w:cs="Times New Roman"/>
          <w:color w:val="000000" w:themeColor="text1"/>
          <w:sz w:val="20"/>
          <w:szCs w:val="20"/>
          <w:highlight w:val="yellow"/>
        </w:rPr>
        <w:t>20 November 2018</w:t>
      </w:r>
      <w:r w:rsidRPr="006A7923">
        <w:rPr>
          <w:rFonts w:ascii="Times New Roman" w:hAnsi="Times New Roman" w:cs="Times New Roman"/>
          <w:color w:val="000000" w:themeColor="text1"/>
          <w:sz w:val="20"/>
          <w:szCs w:val="20"/>
        </w:rPr>
        <w:t xml:space="preserve">), at </w:t>
      </w:r>
      <w:r w:rsidRPr="006A7923">
        <w:rPr>
          <w:rFonts w:ascii="Times New Roman" w:hAnsi="Times New Roman" w:cs="Times New Roman"/>
          <w:sz w:val="20"/>
          <w:szCs w:val="20"/>
        </w:rPr>
        <w:t xml:space="preserve">para 244. But see </w:t>
      </w:r>
      <w:r w:rsidRPr="006A7923">
        <w:rPr>
          <w:rFonts w:ascii="Times New Roman" w:hAnsi="Times New Roman" w:cs="Times New Roman"/>
          <w:i/>
          <w:sz w:val="20"/>
          <w:szCs w:val="20"/>
        </w:rPr>
        <w:t>Navalnyy v Russia</w:t>
      </w:r>
      <w:r w:rsidRPr="006A7923">
        <w:rPr>
          <w:rFonts w:ascii="Times New Roman" w:hAnsi="Times New Roman" w:cs="Times New Roman"/>
          <w:sz w:val="20"/>
          <w:szCs w:val="20"/>
        </w:rPr>
        <w:t xml:space="preserve"> </w:t>
      </w:r>
      <w:r w:rsidRPr="006A7923">
        <w:rPr>
          <w:rFonts w:ascii="Times New Roman" w:hAnsi="Times New Roman" w:cs="Times New Roman"/>
          <w:color w:val="000000" w:themeColor="text1"/>
          <w:sz w:val="20"/>
          <w:szCs w:val="20"/>
        </w:rPr>
        <w:t>App nos</w:t>
      </w:r>
      <w:r w:rsidRPr="006A7923">
        <w:rPr>
          <w:rFonts w:ascii="Times New Roman" w:hAnsi="Times New Roman" w:cs="Times New Roman"/>
          <w:sz w:val="20"/>
          <w:szCs w:val="20"/>
        </w:rPr>
        <w:t xml:space="preserve"> 29580/12, 36847/12, 11252/13, 12317/13 and 43746/14 (ECtHR, </w:t>
      </w:r>
      <w:r w:rsidRPr="006A7923">
        <w:rPr>
          <w:rFonts w:ascii="Times New Roman" w:hAnsi="Times New Roman" w:cs="Times New Roman"/>
          <w:sz w:val="20"/>
          <w:szCs w:val="20"/>
          <w:highlight w:val="yellow"/>
        </w:rPr>
        <w:t>15 November 2018</w:t>
      </w:r>
      <w:r w:rsidRPr="006A7923">
        <w:rPr>
          <w:rFonts w:ascii="Times New Roman" w:hAnsi="Times New Roman" w:cs="Times New Roman"/>
          <w:sz w:val="20"/>
          <w:szCs w:val="20"/>
        </w:rPr>
        <w:t xml:space="preserve">), at para 164, where the separate examination of an allegation under Article 18 (thus, in a sense, also said Article’s autonomy) appears to also depend upon the criterion of whether the complaint has already been examined when assessing the allegations concerning the ECHR Article in conjunction with which Article 18 was invoked.  </w:t>
      </w:r>
    </w:p>
  </w:footnote>
  <w:footnote w:id="131">
    <w:p w14:paraId="3E761C9A" w14:textId="11ABB341"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Navalnyy</w:t>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supra</w:t>
      </w:r>
      <w:r w:rsidRPr="006A7923">
        <w:rPr>
          <w:rFonts w:ascii="Times New Roman" w:hAnsi="Times New Roman" w:cs="Times New Roman"/>
          <w:sz w:val="20"/>
          <w:szCs w:val="20"/>
        </w:rPr>
        <w:t xml:space="preserve"> note </w:t>
      </w:r>
      <w:r w:rsidRPr="006A7923">
        <w:rPr>
          <w:rFonts w:ascii="Times New Roman" w:hAnsi="Times New Roman" w:cs="Times New Roman"/>
          <w:sz w:val="20"/>
          <w:szCs w:val="20"/>
          <w:highlight w:val="yellow"/>
        </w:rPr>
        <w:fldChar w:fldCharType="begin"/>
      </w:r>
      <w:r w:rsidRPr="006A7923">
        <w:rPr>
          <w:rFonts w:ascii="Times New Roman" w:hAnsi="Times New Roman" w:cs="Times New Roman"/>
          <w:sz w:val="20"/>
          <w:szCs w:val="20"/>
          <w:highlight w:val="yellow"/>
        </w:rPr>
        <w:instrText xml:space="preserve"> NOTEREF _Ref532220551 \h  \* MERGEFORMAT </w:instrText>
      </w:r>
      <w:r w:rsidRPr="006A7923">
        <w:rPr>
          <w:rFonts w:ascii="Times New Roman" w:hAnsi="Times New Roman" w:cs="Times New Roman"/>
          <w:sz w:val="20"/>
          <w:szCs w:val="20"/>
          <w:highlight w:val="yellow"/>
        </w:rPr>
      </w:r>
      <w:r w:rsidRPr="006A7923">
        <w:rPr>
          <w:rFonts w:ascii="Times New Roman" w:hAnsi="Times New Roman" w:cs="Times New Roman"/>
          <w:sz w:val="20"/>
          <w:szCs w:val="20"/>
          <w:highlight w:val="yellow"/>
        </w:rPr>
        <w:fldChar w:fldCharType="separate"/>
      </w:r>
      <w:r w:rsidRPr="006A7923">
        <w:rPr>
          <w:rFonts w:ascii="Times New Roman" w:hAnsi="Times New Roman" w:cs="Times New Roman"/>
          <w:sz w:val="20"/>
          <w:szCs w:val="20"/>
          <w:highlight w:val="yellow"/>
        </w:rPr>
        <w:t>129</w:t>
      </w:r>
      <w:r w:rsidRPr="006A7923">
        <w:rPr>
          <w:rFonts w:ascii="Times New Roman" w:hAnsi="Times New Roman" w:cs="Times New Roman"/>
          <w:sz w:val="20"/>
          <w:szCs w:val="20"/>
          <w:highlight w:val="yellow"/>
        </w:rPr>
        <w:fldChar w:fldCharType="end"/>
      </w:r>
      <w:r w:rsidRPr="006A7923">
        <w:rPr>
          <w:rFonts w:ascii="Times New Roman" w:hAnsi="Times New Roman" w:cs="Times New Roman"/>
          <w:sz w:val="20"/>
          <w:szCs w:val="20"/>
        </w:rPr>
        <w:t>, at para 166.</w:t>
      </w:r>
    </w:p>
  </w:footnote>
  <w:footnote w:id="132">
    <w:p w14:paraId="71A6A4DF" w14:textId="37C233A7"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 xml:space="preserve">Merabishvili </w:t>
      </w:r>
      <w:r w:rsidRPr="006A7923">
        <w:rPr>
          <w:rFonts w:ascii="Times New Roman" w:hAnsi="Times New Roman" w:cs="Times New Roman"/>
          <w:color w:val="000000" w:themeColor="text1"/>
          <w:sz w:val="20"/>
          <w:szCs w:val="20"/>
        </w:rPr>
        <w:t xml:space="preserve">(GC),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at paras 283 and 293.</w:t>
      </w:r>
    </w:p>
  </w:footnote>
  <w:footnote w:id="133">
    <w:p w14:paraId="62B641A0" w14:textId="3C1DCD55"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E.g.</w:t>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Khodorkovskiy</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_Ref493753816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117</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 xml:space="preserve">at para 255 and </w:t>
      </w:r>
      <w:r w:rsidRPr="006A7923">
        <w:rPr>
          <w:rFonts w:ascii="Times New Roman" w:hAnsi="Times New Roman" w:cs="Times New Roman"/>
          <w:i/>
          <w:color w:val="000000" w:themeColor="text1"/>
          <w:sz w:val="20"/>
          <w:szCs w:val="20"/>
        </w:rPr>
        <w:t>Lutsenko v Ukraine</w:t>
      </w:r>
      <w:r w:rsidRPr="006A7923">
        <w:rPr>
          <w:rFonts w:ascii="Times New Roman" w:hAnsi="Times New Roman" w:cs="Times New Roman"/>
          <w:color w:val="000000" w:themeColor="text1"/>
          <w:sz w:val="20"/>
          <w:szCs w:val="20"/>
        </w:rPr>
        <w:t xml:space="preserve"> App no </w:t>
      </w:r>
      <w:r w:rsidRPr="006A7923">
        <w:rPr>
          <w:rStyle w:val="textcolumn"/>
          <w:rFonts w:ascii="Times New Roman" w:eastAsia="Times New Roman" w:hAnsi="Times New Roman" w:cs="Times New Roman"/>
          <w:color w:val="000000" w:themeColor="text1"/>
          <w:sz w:val="20"/>
          <w:szCs w:val="20"/>
        </w:rPr>
        <w:t>6492/11 (ECtHR</w:t>
      </w:r>
      <w:r w:rsidRPr="006A7923">
        <w:rPr>
          <w:rStyle w:val="apple-converted-space"/>
          <w:rFonts w:ascii="Times New Roman" w:eastAsia="Times New Roman" w:hAnsi="Times New Roman" w:cs="Times New Roman"/>
          <w:color w:val="000000" w:themeColor="text1"/>
          <w:sz w:val="20"/>
          <w:szCs w:val="20"/>
          <w:shd w:val="clear" w:color="auto" w:fill="FFFFFF"/>
        </w:rPr>
        <w:t xml:space="preserve">, </w:t>
      </w:r>
      <w:r w:rsidRPr="006A7923">
        <w:rPr>
          <w:rStyle w:val="apple-converted-space"/>
          <w:rFonts w:ascii="Times New Roman" w:eastAsia="Times New Roman" w:hAnsi="Times New Roman" w:cs="Times New Roman"/>
          <w:color w:val="000000" w:themeColor="text1"/>
          <w:sz w:val="20"/>
          <w:szCs w:val="20"/>
          <w:highlight w:val="yellow"/>
          <w:shd w:val="clear" w:color="auto" w:fill="FFFFFF"/>
        </w:rPr>
        <w:t>0</w:t>
      </w:r>
      <w:r w:rsidRPr="006A7923">
        <w:rPr>
          <w:rFonts w:ascii="Times New Roman" w:eastAsia="Times New Roman" w:hAnsi="Times New Roman" w:cs="Times New Roman"/>
          <w:color w:val="000000" w:themeColor="text1"/>
          <w:sz w:val="20"/>
          <w:szCs w:val="20"/>
          <w:highlight w:val="yellow"/>
          <w:shd w:val="clear" w:color="auto" w:fill="FFFFFF"/>
        </w:rPr>
        <w:t>3 July 2012)</w:t>
      </w:r>
      <w:r w:rsidRPr="006A7923">
        <w:rPr>
          <w:rFonts w:ascii="Times New Roman" w:eastAsia="Times New Roman" w:hAnsi="Times New Roman" w:cs="Times New Roman"/>
          <w:color w:val="000000" w:themeColor="text1"/>
          <w:sz w:val="20"/>
          <w:szCs w:val="20"/>
          <w:highlight w:val="yellow"/>
        </w:rPr>
        <w:t xml:space="preserve">, at </w:t>
      </w:r>
      <w:r w:rsidRPr="006A7923">
        <w:rPr>
          <w:rFonts w:ascii="Times New Roman" w:eastAsia="Times New Roman" w:hAnsi="Times New Roman" w:cs="Times New Roman"/>
          <w:color w:val="000000" w:themeColor="text1"/>
          <w:sz w:val="20"/>
          <w:szCs w:val="20"/>
        </w:rPr>
        <w:t>para 106.</w:t>
      </w:r>
    </w:p>
  </w:footnote>
  <w:footnote w:id="134">
    <w:p w14:paraId="620B7041" w14:textId="1FD82E07"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Merabishvili</w:t>
      </w:r>
      <w:r w:rsidRPr="006A7923">
        <w:rPr>
          <w:rFonts w:ascii="Times New Roman" w:hAnsi="Times New Roman" w:cs="Times New Roman"/>
          <w:color w:val="000000" w:themeColor="text1"/>
          <w:sz w:val="20"/>
          <w:szCs w:val="20"/>
        </w:rPr>
        <w:t xml:space="preserve"> (GC),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para 283.</w:t>
      </w:r>
    </w:p>
  </w:footnote>
  <w:footnote w:id="135">
    <w:p w14:paraId="1491C310" w14:textId="6F6B4CBA"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292.</w:t>
      </w:r>
    </w:p>
  </w:footnote>
  <w:footnote w:id="136">
    <w:p w14:paraId="3BBC2441" w14:textId="6E0E2867"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303.</w:t>
      </w:r>
    </w:p>
  </w:footnote>
  <w:footnote w:id="137">
    <w:p w14:paraId="0EC4CC30" w14:textId="621411F3"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303.</w:t>
      </w:r>
    </w:p>
  </w:footnote>
  <w:footnote w:id="138">
    <w:p w14:paraId="65E8F94B" w14:textId="4F2C28C0"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303.</w:t>
      </w:r>
    </w:p>
  </w:footnote>
  <w:footnote w:id="139">
    <w:p w14:paraId="11D8BBC7" w14:textId="404C51D5"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304.</w:t>
      </w:r>
    </w:p>
  </w:footnote>
  <w:footnote w:id="140">
    <w:p w14:paraId="1179ED08" w14:textId="617AA996"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305.</w:t>
      </w:r>
    </w:p>
  </w:footnote>
  <w:footnote w:id="141">
    <w:p w14:paraId="7FB38B98" w14:textId="641EC7B0"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307.</w:t>
      </w:r>
    </w:p>
  </w:footnote>
  <w:footnote w:id="142">
    <w:p w14:paraId="1DCAC171" w14:textId="1B683BC6"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318.</w:t>
      </w:r>
    </w:p>
  </w:footnote>
  <w:footnote w:id="143">
    <w:p w14:paraId="127F9B27" w14:textId="444797B1"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305.</w:t>
      </w:r>
    </w:p>
  </w:footnote>
  <w:footnote w:id="144">
    <w:p w14:paraId="57A89126" w14:textId="632F82DD"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See the very interesting comments made in that respect by Judges Yudkivska, Tsotsoria and Vehabović in their joint concurring opinion in </w:t>
      </w:r>
      <w:r w:rsidRPr="006A7923">
        <w:rPr>
          <w:rFonts w:ascii="Times New Roman" w:hAnsi="Times New Roman" w:cs="Times New Roman"/>
          <w:i/>
          <w:color w:val="000000" w:themeColor="text1"/>
          <w:sz w:val="20"/>
          <w:szCs w:val="20"/>
        </w:rPr>
        <w:t>Merabishvili</w:t>
      </w:r>
      <w:r w:rsidRPr="006A7923">
        <w:rPr>
          <w:rFonts w:ascii="Times New Roman" w:hAnsi="Times New Roman" w:cs="Times New Roman"/>
          <w:color w:val="000000" w:themeColor="text1"/>
          <w:sz w:val="20"/>
          <w:szCs w:val="20"/>
        </w:rPr>
        <w:t xml:space="preserve"> (GC),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 xml:space="preserve">at paras 14-21 and particularly para 16 of the opinion. See also, the concurring opinion of Judge Serghides in the same judgment who argues that no method of interpretation can support the “predominant purpose” criterion and that ‘rule of law is to be maintained at all times and by all authorities’ (para 15 of the opinion). </w:t>
      </w:r>
    </w:p>
  </w:footnote>
  <w:footnote w:id="145">
    <w:p w14:paraId="46528AFF" w14:textId="09805505"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E.g.</w:t>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Selahattin Demirtaş</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_Ref532220551 \h </w:instrText>
      </w:r>
      <w:r w:rsidRPr="006A7923">
        <w:rPr>
          <w:rFonts w:ascii="Times New Roman" w:hAnsi="Times New Roman" w:cs="Times New Roman"/>
          <w:sz w:val="20"/>
          <w:szCs w:val="20"/>
          <w:highlight w:val="yellow"/>
        </w:rPr>
        <w:instrText xml:space="preserve"> \* MERGEFORMAT </w:instrText>
      </w:r>
      <w:r w:rsidRPr="006A7923">
        <w:rPr>
          <w:rFonts w:ascii="Times New Roman" w:hAnsi="Times New Roman" w:cs="Times New Roman"/>
          <w:sz w:val="20"/>
          <w:szCs w:val="20"/>
          <w:highlight w:val="yellow"/>
        </w:rPr>
      </w:r>
      <w:r w:rsidRPr="006A7923">
        <w:rPr>
          <w:rFonts w:ascii="Times New Roman" w:hAnsi="Times New Roman" w:cs="Times New Roman"/>
          <w:sz w:val="20"/>
          <w:szCs w:val="20"/>
          <w:highlight w:val="yellow"/>
        </w:rPr>
        <w:fldChar w:fldCharType="separate"/>
      </w:r>
      <w:r w:rsidRPr="006A7923">
        <w:rPr>
          <w:rFonts w:ascii="Times New Roman" w:hAnsi="Times New Roman" w:cs="Times New Roman"/>
          <w:color w:val="000000" w:themeColor="text1"/>
          <w:sz w:val="20"/>
          <w:szCs w:val="20"/>
          <w:highlight w:val="yellow"/>
        </w:rPr>
        <w:t>129</w:t>
      </w:r>
      <w:r w:rsidRPr="006A7923">
        <w:rPr>
          <w:rFonts w:ascii="Times New Roman" w:hAnsi="Times New Roman" w:cs="Times New Roman"/>
          <w:sz w:val="20"/>
          <w:szCs w:val="20"/>
          <w:highlight w:val="yellow"/>
        </w:rPr>
        <w:fldChar w:fldCharType="end"/>
      </w:r>
      <w:r w:rsidRPr="006A7923">
        <w:rPr>
          <w:rFonts w:ascii="Times New Roman" w:hAnsi="Times New Roman" w:cs="Times New Roman"/>
          <w:sz w:val="20"/>
          <w:szCs w:val="20"/>
        </w:rPr>
        <w:t>, at paras 268-274.</w:t>
      </w:r>
    </w:p>
  </w:footnote>
  <w:footnote w:id="146">
    <w:p w14:paraId="6B7DE75B" w14:textId="0F793CF0"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sz w:val="20"/>
          <w:szCs w:val="20"/>
        </w:rPr>
        <w:t>, at para 260.</w:t>
      </w:r>
    </w:p>
  </w:footnote>
  <w:footnote w:id="147">
    <w:p w14:paraId="49855D1E" w14:textId="5B10C262"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 xml:space="preserve">Merabishvili </w:t>
      </w:r>
      <w:r w:rsidRPr="006A7923">
        <w:rPr>
          <w:rFonts w:ascii="Times New Roman" w:hAnsi="Times New Roman" w:cs="Times New Roman"/>
          <w:color w:val="000000" w:themeColor="text1"/>
          <w:sz w:val="20"/>
          <w:szCs w:val="20"/>
        </w:rPr>
        <w:t xml:space="preserve">(GC),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at para 309.</w:t>
      </w:r>
    </w:p>
  </w:footnote>
  <w:footnote w:id="148">
    <w:p w14:paraId="2B697A9F" w14:textId="0550CDD5"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xml:space="preserve">, at para 310. See also n.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_Ref493753816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117</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and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_Ref531871996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w:t>
      </w:r>
    </w:p>
  </w:footnote>
  <w:footnote w:id="149">
    <w:p w14:paraId="14767082" w14:textId="621EAB20"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 xml:space="preserve">Merabishvili </w:t>
      </w:r>
      <w:r w:rsidRPr="006A7923">
        <w:rPr>
          <w:rFonts w:ascii="Times New Roman" w:hAnsi="Times New Roman" w:cs="Times New Roman"/>
          <w:color w:val="000000" w:themeColor="text1"/>
          <w:sz w:val="20"/>
          <w:szCs w:val="20"/>
        </w:rPr>
        <w:t xml:space="preserve">(GC),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 310, referring to paras 275 and 278, where the GC discusses, </w:t>
      </w:r>
      <w:r w:rsidRPr="006A7923">
        <w:rPr>
          <w:rFonts w:ascii="Times New Roman" w:hAnsi="Times New Roman" w:cs="Times New Roman"/>
          <w:i/>
          <w:color w:val="000000" w:themeColor="text1"/>
          <w:sz w:val="20"/>
          <w:szCs w:val="20"/>
        </w:rPr>
        <w:t>inter alia</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Khodorkovskiy</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_Ref493753816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117</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paras 255-256). See also n.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_Ref493753816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117</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and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_Ref531871996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w:t>
      </w:r>
    </w:p>
  </w:footnote>
  <w:footnote w:id="150">
    <w:p w14:paraId="288A4E3D" w14:textId="15FA6800"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 xml:space="preserve">Merabishvili </w:t>
      </w:r>
      <w:r w:rsidRPr="006A7923">
        <w:rPr>
          <w:rFonts w:ascii="Times New Roman" w:hAnsi="Times New Roman" w:cs="Times New Roman"/>
          <w:color w:val="000000" w:themeColor="text1"/>
          <w:sz w:val="20"/>
          <w:szCs w:val="20"/>
        </w:rPr>
        <w:t xml:space="preserve">(GC),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at para 311.</w:t>
      </w:r>
    </w:p>
  </w:footnote>
  <w:footnote w:id="151">
    <w:p w14:paraId="462CE6AA" w14:textId="0EB5A78B"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312.</w:t>
      </w:r>
    </w:p>
  </w:footnote>
  <w:footnote w:id="152">
    <w:p w14:paraId="4B8F229A" w14:textId="31135A9D"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312.</w:t>
      </w:r>
    </w:p>
  </w:footnote>
  <w:footnote w:id="153">
    <w:p w14:paraId="0C230655" w14:textId="5565ABC1"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313.</w:t>
      </w:r>
    </w:p>
  </w:footnote>
  <w:footnote w:id="154">
    <w:p w14:paraId="21509745" w14:textId="5D2FBC00"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314.</w:t>
      </w:r>
    </w:p>
  </w:footnote>
  <w:footnote w:id="155">
    <w:p w14:paraId="23B3B60E" w14:textId="07708B73"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315.</w:t>
      </w:r>
    </w:p>
  </w:footnote>
  <w:footnote w:id="156">
    <w:p w14:paraId="3B3F389B" w14:textId="07899B04"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 316.</w:t>
      </w:r>
    </w:p>
  </w:footnote>
  <w:footnote w:id="157">
    <w:p w14:paraId="5EDB17DC" w14:textId="4E6B82A5"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E.g.</w:t>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Lutsenko</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_Ref531700274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132</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r w:rsidRPr="006A7923">
        <w:rPr>
          <w:rFonts w:ascii="Times New Roman" w:hAnsi="Times New Roman" w:cs="Times New Roman"/>
          <w:color w:val="000000" w:themeColor="text1"/>
          <w:sz w:val="20"/>
          <w:szCs w:val="20"/>
        </w:rPr>
        <w:t xml:space="preserve"> at </w:t>
      </w:r>
      <w:r w:rsidRPr="006A7923">
        <w:rPr>
          <w:rFonts w:ascii="Times New Roman" w:eastAsia="Times New Roman" w:hAnsi="Times New Roman" w:cs="Times New Roman"/>
          <w:color w:val="000000" w:themeColor="text1"/>
          <w:sz w:val="20"/>
          <w:szCs w:val="20"/>
        </w:rPr>
        <w:t xml:space="preserve">paras 63-65, 67-72; </w:t>
      </w:r>
      <w:r w:rsidRPr="006A7923">
        <w:rPr>
          <w:rFonts w:ascii="Times New Roman" w:hAnsi="Times New Roman" w:cs="Times New Roman"/>
          <w:i/>
          <w:sz w:val="20"/>
          <w:szCs w:val="20"/>
        </w:rPr>
        <w:t>Tymoshenko v Ukraine</w:t>
      </w:r>
      <w:r w:rsidRPr="006A7923">
        <w:rPr>
          <w:rFonts w:ascii="Times New Roman" w:hAnsi="Times New Roman" w:cs="Times New Roman"/>
          <w:color w:val="000000" w:themeColor="text1"/>
          <w:sz w:val="20"/>
          <w:szCs w:val="20"/>
        </w:rPr>
        <w:t xml:space="preserve"> App no </w:t>
      </w:r>
      <w:r w:rsidRPr="006A7923">
        <w:rPr>
          <w:rFonts w:ascii="Times New Roman" w:hAnsi="Times New Roman" w:cs="Times New Roman"/>
          <w:sz w:val="20"/>
          <w:szCs w:val="20"/>
        </w:rPr>
        <w:t>49872/11 (ECtHR</w:t>
      </w:r>
      <w:r w:rsidRPr="006A7923">
        <w:rPr>
          <w:rFonts w:ascii="Times New Roman" w:hAnsi="Times New Roman" w:cs="Times New Roman"/>
          <w:sz w:val="20"/>
          <w:szCs w:val="20"/>
          <w:highlight w:val="yellow"/>
        </w:rPr>
        <w:t xml:space="preserve">, 30 April 2013), </w:t>
      </w:r>
      <w:r w:rsidRPr="006A7923">
        <w:rPr>
          <w:rFonts w:ascii="Times New Roman" w:hAnsi="Times New Roman" w:cs="Times New Roman"/>
          <w:sz w:val="20"/>
          <w:szCs w:val="20"/>
        </w:rPr>
        <w:t>at para 269-271.</w:t>
      </w:r>
    </w:p>
  </w:footnote>
  <w:footnote w:id="158">
    <w:p w14:paraId="12418209" w14:textId="6D422380" w:rsidR="00A51F58" w:rsidRPr="006A7923" w:rsidRDefault="00A51F58" w:rsidP="008E72AA">
      <w:pPr>
        <w:jc w:val="both"/>
        <w:rPr>
          <w:color w:val="000000" w:themeColor="text1"/>
          <w:sz w:val="20"/>
          <w:szCs w:val="20"/>
        </w:rPr>
      </w:pPr>
      <w:r w:rsidRPr="006A7923">
        <w:rPr>
          <w:rStyle w:val="FootnoteReference"/>
          <w:sz w:val="20"/>
          <w:szCs w:val="20"/>
        </w:rPr>
        <w:footnoteRef/>
      </w:r>
      <w:r w:rsidRPr="006A7923">
        <w:rPr>
          <w:sz w:val="20"/>
          <w:szCs w:val="20"/>
        </w:rPr>
        <w:t xml:space="preserve"> See </w:t>
      </w:r>
      <w:r w:rsidRPr="006A7923">
        <w:rPr>
          <w:i/>
          <w:color w:val="000000" w:themeColor="text1"/>
          <w:sz w:val="20"/>
          <w:szCs w:val="20"/>
          <w:lang w:eastAsia="en-US"/>
        </w:rPr>
        <w:t>Mammadli</w:t>
      </w:r>
      <w:r w:rsidRPr="006A7923">
        <w:rPr>
          <w:color w:val="000000" w:themeColor="text1"/>
          <w:sz w:val="20"/>
          <w:szCs w:val="20"/>
          <w:lang w:eastAsia="en-US"/>
        </w:rPr>
        <w:t xml:space="preserve">, </w:t>
      </w:r>
      <w:r w:rsidRPr="006A7923">
        <w:rPr>
          <w:i/>
          <w:color w:val="000000" w:themeColor="text1"/>
          <w:sz w:val="20"/>
          <w:szCs w:val="20"/>
          <w:lang w:eastAsia="en-US"/>
        </w:rPr>
        <w:t>supra</w:t>
      </w:r>
      <w:r w:rsidRPr="006A7923">
        <w:rPr>
          <w:color w:val="000000" w:themeColor="text1"/>
          <w:sz w:val="20"/>
          <w:szCs w:val="20"/>
          <w:lang w:eastAsia="en-US"/>
        </w:rPr>
        <w:t xml:space="preserve"> note </w:t>
      </w:r>
      <w:r w:rsidRPr="006A7923">
        <w:rPr>
          <w:color w:val="000000" w:themeColor="text1"/>
          <w:sz w:val="20"/>
          <w:szCs w:val="20"/>
          <w:highlight w:val="yellow"/>
          <w:lang w:eastAsia="en-US"/>
        </w:rPr>
        <w:fldChar w:fldCharType="begin"/>
      </w:r>
      <w:r w:rsidRPr="006A7923">
        <w:rPr>
          <w:color w:val="000000" w:themeColor="text1"/>
          <w:sz w:val="20"/>
          <w:szCs w:val="20"/>
          <w:highlight w:val="yellow"/>
          <w:lang w:eastAsia="en-US"/>
        </w:rPr>
        <w:instrText xml:space="preserve"> NOTEREF _Ref532218359 \h  \* MERGEFORMAT </w:instrText>
      </w:r>
      <w:r w:rsidRPr="006A7923">
        <w:rPr>
          <w:color w:val="000000" w:themeColor="text1"/>
          <w:sz w:val="20"/>
          <w:szCs w:val="20"/>
          <w:highlight w:val="yellow"/>
          <w:lang w:eastAsia="en-US"/>
        </w:rPr>
      </w:r>
      <w:r w:rsidRPr="006A7923">
        <w:rPr>
          <w:color w:val="000000" w:themeColor="text1"/>
          <w:sz w:val="20"/>
          <w:szCs w:val="20"/>
          <w:highlight w:val="yellow"/>
          <w:lang w:eastAsia="en-US"/>
        </w:rPr>
        <w:fldChar w:fldCharType="separate"/>
      </w:r>
      <w:r w:rsidRPr="006A7923">
        <w:rPr>
          <w:color w:val="000000" w:themeColor="text1"/>
          <w:sz w:val="20"/>
          <w:szCs w:val="20"/>
          <w:highlight w:val="yellow"/>
          <w:lang w:eastAsia="en-US"/>
        </w:rPr>
        <w:t>128</w:t>
      </w:r>
      <w:r w:rsidRPr="006A7923">
        <w:rPr>
          <w:color w:val="000000" w:themeColor="text1"/>
          <w:sz w:val="20"/>
          <w:szCs w:val="20"/>
          <w:highlight w:val="yellow"/>
          <w:lang w:eastAsia="en-US"/>
        </w:rPr>
        <w:fldChar w:fldCharType="end"/>
      </w:r>
      <w:r w:rsidRPr="006A7923">
        <w:rPr>
          <w:color w:val="000000" w:themeColor="text1"/>
          <w:sz w:val="20"/>
          <w:szCs w:val="20"/>
          <w:highlight w:val="yellow"/>
          <w:lang w:eastAsia="en-US"/>
        </w:rPr>
        <w:t>,</w:t>
      </w:r>
      <w:r w:rsidRPr="006A7923">
        <w:rPr>
          <w:color w:val="000000" w:themeColor="text1"/>
          <w:sz w:val="20"/>
          <w:szCs w:val="20"/>
          <w:lang w:eastAsia="en-US"/>
        </w:rPr>
        <w:t xml:space="preserve"> at paras </w:t>
      </w:r>
      <w:r w:rsidRPr="006A7923">
        <w:rPr>
          <w:sz w:val="20"/>
          <w:szCs w:val="20"/>
        </w:rPr>
        <w:t xml:space="preserve">96-105 and </w:t>
      </w:r>
      <w:r w:rsidRPr="006A7923">
        <w:rPr>
          <w:i/>
          <w:color w:val="000000" w:themeColor="text1"/>
          <w:sz w:val="20"/>
          <w:szCs w:val="20"/>
          <w:lang w:eastAsia="en-US"/>
        </w:rPr>
        <w:t>Rashad Hasanov and others v Azerbaijan</w:t>
      </w:r>
      <w:r w:rsidRPr="006A7923">
        <w:rPr>
          <w:color w:val="000000" w:themeColor="text1"/>
          <w:sz w:val="20"/>
          <w:szCs w:val="20"/>
        </w:rPr>
        <w:t xml:space="preserve"> App nos</w:t>
      </w:r>
      <w:r w:rsidRPr="006A7923">
        <w:rPr>
          <w:color w:val="000000" w:themeColor="text1"/>
          <w:sz w:val="20"/>
          <w:szCs w:val="20"/>
          <w:lang w:eastAsia="en-US"/>
        </w:rPr>
        <w:t xml:space="preserve"> 48653/13, 52464/13, 65597/13 and 70019/13 (ECtHR, </w:t>
      </w:r>
      <w:r w:rsidRPr="006A7923">
        <w:rPr>
          <w:color w:val="000000" w:themeColor="text1"/>
          <w:sz w:val="20"/>
          <w:szCs w:val="20"/>
          <w:highlight w:val="yellow"/>
          <w:lang w:eastAsia="en-US"/>
        </w:rPr>
        <w:t>07 June 2018</w:t>
      </w:r>
      <w:r w:rsidRPr="006A7923">
        <w:rPr>
          <w:color w:val="000000" w:themeColor="text1"/>
          <w:sz w:val="20"/>
          <w:szCs w:val="20"/>
          <w:lang w:eastAsia="en-US"/>
        </w:rPr>
        <w:t xml:space="preserve">), at </w:t>
      </w:r>
      <w:r w:rsidRPr="006A7923">
        <w:rPr>
          <w:sz w:val="20"/>
          <w:szCs w:val="20"/>
        </w:rPr>
        <w:t xml:space="preserve">paras 119-127. See also, </w:t>
      </w:r>
      <w:r w:rsidRPr="006A7923">
        <w:rPr>
          <w:i/>
          <w:color w:val="000000" w:themeColor="text1"/>
          <w:sz w:val="20"/>
          <w:szCs w:val="20"/>
          <w:lang w:eastAsia="en-US"/>
        </w:rPr>
        <w:t>Aliyev v Azerbaijan</w:t>
      </w:r>
      <w:r w:rsidRPr="006A7923">
        <w:rPr>
          <w:color w:val="000000" w:themeColor="text1"/>
          <w:sz w:val="20"/>
          <w:szCs w:val="20"/>
          <w:lang w:eastAsia="en-US"/>
        </w:rPr>
        <w:t xml:space="preserve"> </w:t>
      </w:r>
      <w:r w:rsidRPr="006A7923">
        <w:rPr>
          <w:color w:val="000000" w:themeColor="text1"/>
          <w:sz w:val="20"/>
          <w:szCs w:val="20"/>
        </w:rPr>
        <w:t xml:space="preserve">App nos </w:t>
      </w:r>
      <w:r w:rsidRPr="006A7923">
        <w:rPr>
          <w:color w:val="000000" w:themeColor="text1"/>
          <w:sz w:val="20"/>
          <w:szCs w:val="20"/>
          <w:lang w:eastAsia="en-US"/>
        </w:rPr>
        <w:t xml:space="preserve">68762/14 and 71200/14 (ECtHR, </w:t>
      </w:r>
      <w:r w:rsidRPr="006A7923">
        <w:rPr>
          <w:color w:val="000000" w:themeColor="text1"/>
          <w:sz w:val="20"/>
          <w:szCs w:val="20"/>
          <w:highlight w:val="yellow"/>
          <w:lang w:eastAsia="en-US"/>
        </w:rPr>
        <w:t>20 September 2018</w:t>
      </w:r>
      <w:r w:rsidRPr="006A7923">
        <w:rPr>
          <w:color w:val="000000" w:themeColor="text1"/>
          <w:sz w:val="20"/>
          <w:szCs w:val="20"/>
          <w:lang w:eastAsia="en-US"/>
        </w:rPr>
        <w:t xml:space="preserve">), at paras </w:t>
      </w:r>
      <w:r w:rsidRPr="006A7923">
        <w:rPr>
          <w:sz w:val="20"/>
          <w:szCs w:val="20"/>
        </w:rPr>
        <w:t xml:space="preserve">206-216, where the Court reaches the same conclusion without explicitly assessing the “fundamental aspect” criterion. </w:t>
      </w:r>
    </w:p>
  </w:footnote>
  <w:footnote w:id="159">
    <w:p w14:paraId="4E9852B9" w14:textId="63AC5141"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Merabishvili</w:t>
      </w:r>
      <w:r w:rsidRPr="006A7923">
        <w:rPr>
          <w:rFonts w:ascii="Times New Roman" w:hAnsi="Times New Roman" w:cs="Times New Roman"/>
          <w:color w:val="000000" w:themeColor="text1"/>
          <w:sz w:val="20"/>
          <w:szCs w:val="20"/>
        </w:rPr>
        <w:t xml:space="preserve"> (GC),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at para 295.</w:t>
      </w:r>
    </w:p>
  </w:footnote>
  <w:footnote w:id="160">
    <w:p w14:paraId="44AA6956" w14:textId="5B01DA91"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at paras 294-302.</w:t>
      </w:r>
    </w:p>
  </w:footnote>
  <w:footnote w:id="161">
    <w:p w14:paraId="6078EB35" w14:textId="00B8D22B"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E.g.</w:t>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Khodorkovskiy and Lebedev</w:t>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 xml:space="preserve">supra </w:t>
      </w:r>
      <w:r w:rsidRPr="006A7923">
        <w:rPr>
          <w:rFonts w:ascii="Times New Roman" w:hAnsi="Times New Roman" w:cs="Times New Roman"/>
          <w:sz w:val="20"/>
          <w:szCs w:val="20"/>
        </w:rPr>
        <w:t xml:space="preserve">note </w:t>
      </w:r>
      <w:r w:rsidRPr="006A7923">
        <w:rPr>
          <w:rFonts w:ascii="Times New Roman" w:hAnsi="Times New Roman" w:cs="Times New Roman"/>
          <w:sz w:val="20"/>
          <w:szCs w:val="20"/>
          <w:highlight w:val="yellow"/>
        </w:rPr>
        <w:fldChar w:fldCharType="begin"/>
      </w:r>
      <w:r w:rsidRPr="006A7923">
        <w:rPr>
          <w:rFonts w:ascii="Times New Roman" w:hAnsi="Times New Roman" w:cs="Times New Roman"/>
          <w:sz w:val="20"/>
          <w:szCs w:val="20"/>
          <w:highlight w:val="yellow"/>
        </w:rPr>
        <w:instrText xml:space="preserve"> NOTEREF _Ref532311634 \h  \* MERGEFORMAT </w:instrText>
      </w:r>
      <w:r w:rsidRPr="006A7923">
        <w:rPr>
          <w:rFonts w:ascii="Times New Roman" w:hAnsi="Times New Roman" w:cs="Times New Roman"/>
          <w:sz w:val="20"/>
          <w:szCs w:val="20"/>
          <w:highlight w:val="yellow"/>
        </w:rPr>
      </w:r>
      <w:r w:rsidRPr="006A7923">
        <w:rPr>
          <w:rFonts w:ascii="Times New Roman" w:hAnsi="Times New Roman" w:cs="Times New Roman"/>
          <w:sz w:val="20"/>
          <w:szCs w:val="20"/>
          <w:highlight w:val="yellow"/>
        </w:rPr>
        <w:fldChar w:fldCharType="separate"/>
      </w:r>
      <w:r w:rsidRPr="006A7923">
        <w:rPr>
          <w:rFonts w:ascii="Times New Roman" w:hAnsi="Times New Roman" w:cs="Times New Roman"/>
          <w:sz w:val="20"/>
          <w:szCs w:val="20"/>
          <w:highlight w:val="yellow"/>
        </w:rPr>
        <w:t>96</w:t>
      </w:r>
      <w:r w:rsidRPr="006A7923">
        <w:rPr>
          <w:rFonts w:ascii="Times New Roman" w:hAnsi="Times New Roman" w:cs="Times New Roman"/>
          <w:sz w:val="20"/>
          <w:szCs w:val="20"/>
          <w:highlight w:val="yellow"/>
        </w:rPr>
        <w:fldChar w:fldCharType="end"/>
      </w:r>
      <w:r w:rsidRPr="006A7923">
        <w:rPr>
          <w:rFonts w:ascii="Times New Roman" w:hAnsi="Times New Roman" w:cs="Times New Roman"/>
          <w:sz w:val="20"/>
          <w:szCs w:val="20"/>
        </w:rPr>
        <w:t>, at paras 899-909.</w:t>
      </w:r>
    </w:p>
  </w:footnote>
  <w:footnote w:id="162">
    <w:p w14:paraId="08A55EFC" w14:textId="0160C182"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The legitimate aims and grounds set out in the ECHR restriction clauses are exhaustive, but also broadly defined and interpreted with flexibility. </w:t>
      </w:r>
      <w:r w:rsidRPr="006A7923">
        <w:rPr>
          <w:rFonts w:ascii="Times New Roman" w:hAnsi="Times New Roman" w:cs="Times New Roman"/>
          <w:i/>
          <w:color w:val="000000" w:themeColor="text1"/>
          <w:sz w:val="20"/>
          <w:szCs w:val="20"/>
        </w:rPr>
        <w:t>Merabishvili</w:t>
      </w:r>
      <w:r w:rsidRPr="006A7923">
        <w:rPr>
          <w:rFonts w:ascii="Times New Roman" w:hAnsi="Times New Roman" w:cs="Times New Roman"/>
          <w:color w:val="000000" w:themeColor="text1"/>
          <w:sz w:val="20"/>
          <w:szCs w:val="20"/>
        </w:rPr>
        <w:t xml:space="preserve"> (GC),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at paras 294 and 302.</w:t>
      </w:r>
    </w:p>
  </w:footnote>
  <w:footnote w:id="163">
    <w:p w14:paraId="1570DC44" w14:textId="22BAEF0C"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Selahattin Demirtaş</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_Ref532220551 \h </w:instrText>
      </w:r>
      <w:r w:rsidRPr="006A7923">
        <w:rPr>
          <w:rFonts w:ascii="Times New Roman" w:hAnsi="Times New Roman" w:cs="Times New Roman"/>
          <w:sz w:val="20"/>
          <w:szCs w:val="20"/>
          <w:highlight w:val="yellow"/>
        </w:rPr>
        <w:instrText xml:space="preserve"> \* MERGEFORMAT </w:instrText>
      </w:r>
      <w:r w:rsidRPr="006A7923">
        <w:rPr>
          <w:rFonts w:ascii="Times New Roman" w:hAnsi="Times New Roman" w:cs="Times New Roman"/>
          <w:sz w:val="20"/>
          <w:szCs w:val="20"/>
          <w:highlight w:val="yellow"/>
        </w:rPr>
      </w:r>
      <w:r w:rsidRPr="006A7923">
        <w:rPr>
          <w:rFonts w:ascii="Times New Roman" w:hAnsi="Times New Roman" w:cs="Times New Roman"/>
          <w:sz w:val="20"/>
          <w:szCs w:val="20"/>
          <w:highlight w:val="yellow"/>
        </w:rPr>
        <w:fldChar w:fldCharType="separate"/>
      </w:r>
      <w:r w:rsidRPr="006A7923">
        <w:rPr>
          <w:rFonts w:ascii="Times New Roman" w:hAnsi="Times New Roman" w:cs="Times New Roman"/>
          <w:color w:val="000000" w:themeColor="text1"/>
          <w:sz w:val="20"/>
          <w:szCs w:val="20"/>
          <w:highlight w:val="yellow"/>
        </w:rPr>
        <w:t>129</w:t>
      </w:r>
      <w:r w:rsidRPr="006A7923">
        <w:rPr>
          <w:rFonts w:ascii="Times New Roman" w:hAnsi="Times New Roman" w:cs="Times New Roman"/>
          <w:sz w:val="20"/>
          <w:szCs w:val="20"/>
          <w:highlight w:val="yellow"/>
        </w:rPr>
        <w:fldChar w:fldCharType="end"/>
      </w:r>
      <w:r w:rsidRPr="006A7923">
        <w:rPr>
          <w:rFonts w:ascii="Times New Roman" w:hAnsi="Times New Roman" w:cs="Times New Roman"/>
          <w:sz w:val="20"/>
          <w:szCs w:val="20"/>
        </w:rPr>
        <w:t>, at paras 259 and 269-274.</w:t>
      </w:r>
    </w:p>
  </w:footnote>
  <w:footnote w:id="164">
    <w:p w14:paraId="4380E7B1" w14:textId="18A9CDDE"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Merabishvili</w:t>
      </w:r>
      <w:r w:rsidRPr="006A7923">
        <w:rPr>
          <w:rFonts w:ascii="Times New Roman" w:hAnsi="Times New Roman" w:cs="Times New Roman"/>
          <w:color w:val="000000" w:themeColor="text1"/>
          <w:sz w:val="20"/>
          <w:szCs w:val="20"/>
        </w:rPr>
        <w:t xml:space="preserve"> (GC),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at para 305.</w:t>
      </w:r>
    </w:p>
  </w:footnote>
  <w:footnote w:id="165">
    <w:p w14:paraId="1CA7F0B4" w14:textId="1B96F3CC"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Government Memorandum,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_Ref533801382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36</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at para 5.</w:t>
      </w:r>
    </w:p>
  </w:footnote>
  <w:footnote w:id="166">
    <w:p w14:paraId="71C9E136" w14:textId="6B750CA1"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Letter from Harman MP to Fallon DS,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_Ref491245799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w:t>
      </w:r>
    </w:p>
  </w:footnote>
  <w:footnote w:id="167">
    <w:p w14:paraId="68D1BAD1" w14:textId="1AEF6471" w:rsidR="00A51F58" w:rsidRPr="006A7923" w:rsidRDefault="00A51F58" w:rsidP="008E72AA">
      <w:pPr>
        <w:jc w:val="both"/>
        <w:rPr>
          <w:sz w:val="20"/>
          <w:szCs w:val="20"/>
        </w:rPr>
      </w:pPr>
      <w:r w:rsidRPr="006A7923">
        <w:rPr>
          <w:rStyle w:val="FootnoteReference"/>
          <w:color w:val="000000" w:themeColor="text1"/>
          <w:sz w:val="20"/>
          <w:szCs w:val="20"/>
        </w:rPr>
        <w:footnoteRef/>
      </w:r>
      <w:r w:rsidRPr="006A7923">
        <w:rPr>
          <w:color w:val="000000" w:themeColor="text1"/>
          <w:sz w:val="20"/>
          <w:szCs w:val="20"/>
        </w:rPr>
        <w:t xml:space="preserve"> As a matter of fact, the UK policy bears a resemblance to the Turkish reservation that the ECtHR declared invalid in </w:t>
      </w:r>
      <w:r w:rsidRPr="006A7923">
        <w:rPr>
          <w:i/>
          <w:color w:val="000000" w:themeColor="text1"/>
          <w:sz w:val="20"/>
          <w:szCs w:val="20"/>
        </w:rPr>
        <w:t>Loizidou v Turkey</w:t>
      </w:r>
      <w:r w:rsidRPr="006A7923">
        <w:rPr>
          <w:color w:val="000000" w:themeColor="text1"/>
          <w:sz w:val="20"/>
          <w:szCs w:val="20"/>
        </w:rPr>
        <w:t xml:space="preserve"> App no 15318/89 (ECtHR, </w:t>
      </w:r>
      <w:r w:rsidRPr="006A7923">
        <w:rPr>
          <w:color w:val="000000" w:themeColor="text1"/>
          <w:sz w:val="20"/>
          <w:szCs w:val="20"/>
          <w:highlight w:val="yellow"/>
        </w:rPr>
        <w:t>23 March 1995</w:t>
      </w:r>
      <w:r w:rsidRPr="006A7923">
        <w:rPr>
          <w:color w:val="000000" w:themeColor="text1"/>
          <w:sz w:val="20"/>
          <w:szCs w:val="20"/>
        </w:rPr>
        <w:t>, preliminary objections). According to Article 19(c) VCLT (</w:t>
      </w:r>
      <w:r w:rsidRPr="006A7923">
        <w:rPr>
          <w:i/>
          <w:color w:val="000000" w:themeColor="text1"/>
          <w:sz w:val="20"/>
          <w:szCs w:val="20"/>
        </w:rPr>
        <w:t>supra</w:t>
      </w:r>
      <w:r w:rsidRPr="006A7923">
        <w:rPr>
          <w:color w:val="000000" w:themeColor="text1"/>
          <w:sz w:val="20"/>
          <w:szCs w:val="20"/>
        </w:rPr>
        <w:t xml:space="preserve"> note </w:t>
      </w:r>
      <w:r w:rsidRPr="006A7923">
        <w:rPr>
          <w:color w:val="000000" w:themeColor="text1"/>
          <w:sz w:val="20"/>
          <w:szCs w:val="20"/>
          <w:highlight w:val="yellow"/>
        </w:rPr>
        <w:fldChar w:fldCharType="begin"/>
      </w:r>
      <w:r w:rsidRPr="006A7923">
        <w:rPr>
          <w:color w:val="000000" w:themeColor="text1"/>
          <w:sz w:val="20"/>
          <w:szCs w:val="20"/>
          <w:highlight w:val="yellow"/>
        </w:rPr>
        <w:instrText xml:space="preserve"> NOTEREF _Ref492826270 \h  \* MERGEFORMAT </w:instrText>
      </w:r>
      <w:r w:rsidRPr="006A7923">
        <w:rPr>
          <w:color w:val="000000" w:themeColor="text1"/>
          <w:sz w:val="20"/>
          <w:szCs w:val="20"/>
          <w:highlight w:val="yellow"/>
        </w:rPr>
      </w:r>
      <w:r w:rsidRPr="006A7923">
        <w:rPr>
          <w:color w:val="000000" w:themeColor="text1"/>
          <w:sz w:val="20"/>
          <w:szCs w:val="20"/>
          <w:highlight w:val="yellow"/>
        </w:rPr>
        <w:fldChar w:fldCharType="separate"/>
      </w:r>
      <w:r w:rsidRPr="006A7923">
        <w:rPr>
          <w:color w:val="000000" w:themeColor="text1"/>
          <w:sz w:val="20"/>
          <w:szCs w:val="20"/>
          <w:highlight w:val="yellow"/>
        </w:rPr>
        <w:t>59</w:t>
      </w:r>
      <w:r w:rsidRPr="006A7923">
        <w:rPr>
          <w:color w:val="000000" w:themeColor="text1"/>
          <w:sz w:val="20"/>
          <w:szCs w:val="20"/>
          <w:highlight w:val="yellow"/>
        </w:rPr>
        <w:fldChar w:fldCharType="end"/>
      </w:r>
      <w:r w:rsidRPr="006A7923">
        <w:rPr>
          <w:color w:val="000000" w:themeColor="text1"/>
          <w:sz w:val="20"/>
          <w:szCs w:val="20"/>
        </w:rPr>
        <w:t>)</w:t>
      </w:r>
      <w:r w:rsidRPr="006A7923">
        <w:rPr>
          <w:sz w:val="20"/>
          <w:szCs w:val="20"/>
        </w:rPr>
        <w:t>, reservations that are incompatible with the object and a purpose of a treaty are not allowed. But see also, ILC, ‘Guide to Practice on Reservations to Treaties’ (26 April-03 June and 04 July -12 August 2011) UN GAOR 66</w:t>
      </w:r>
      <w:r w:rsidRPr="006A7923">
        <w:rPr>
          <w:sz w:val="20"/>
          <w:szCs w:val="20"/>
          <w:vertAlign w:val="superscript"/>
        </w:rPr>
        <w:t>th</w:t>
      </w:r>
      <w:r w:rsidRPr="006A7923">
        <w:rPr>
          <w:sz w:val="20"/>
          <w:szCs w:val="20"/>
        </w:rPr>
        <w:t xml:space="preserve"> Session, Supplement No 10 UN Doc A/66/10 (2011), at para 4.5.3. Both the UK (with its derogation(s) policy discussed in the study) and Turkey (with its reservation that the ECtHR declared invalid in </w:t>
      </w:r>
      <w:r w:rsidRPr="006A7923">
        <w:rPr>
          <w:i/>
          <w:sz w:val="20"/>
          <w:szCs w:val="20"/>
        </w:rPr>
        <w:t>Loizidou</w:t>
      </w:r>
      <w:r w:rsidRPr="006A7923">
        <w:rPr>
          <w:sz w:val="20"/>
          <w:szCs w:val="20"/>
        </w:rPr>
        <w:t xml:space="preserve">) wish to escape scrutiny for conduct outside their territory. The UK cannot issue a reservation at this late stage. Article 57 ECHR </w:t>
      </w:r>
      <w:r w:rsidRPr="006A7923">
        <w:rPr>
          <w:color w:val="000000" w:themeColor="text1"/>
          <w:sz w:val="20"/>
          <w:szCs w:val="20"/>
        </w:rPr>
        <w:t>(</w:t>
      </w:r>
      <w:r w:rsidRPr="006A7923">
        <w:rPr>
          <w:i/>
          <w:color w:val="000000" w:themeColor="text1"/>
          <w:sz w:val="20"/>
          <w:szCs w:val="20"/>
        </w:rPr>
        <w:t>supra</w:t>
      </w:r>
      <w:r w:rsidRPr="006A7923">
        <w:rPr>
          <w:color w:val="000000" w:themeColor="text1"/>
          <w:sz w:val="20"/>
          <w:szCs w:val="20"/>
        </w:rPr>
        <w:t xml:space="preserve"> note </w:t>
      </w:r>
      <w:r w:rsidRPr="006A7923">
        <w:rPr>
          <w:color w:val="000000" w:themeColor="text1"/>
          <w:sz w:val="20"/>
          <w:szCs w:val="20"/>
          <w:highlight w:val="yellow"/>
        </w:rPr>
        <w:fldChar w:fldCharType="begin"/>
      </w:r>
      <w:r w:rsidRPr="006A7923">
        <w:rPr>
          <w:color w:val="000000" w:themeColor="text1"/>
          <w:sz w:val="20"/>
          <w:szCs w:val="20"/>
          <w:highlight w:val="yellow"/>
        </w:rPr>
        <w:instrText xml:space="preserve"> NOTEREF _Ref496007621 \h  \* MERGEFORMAT </w:instrText>
      </w:r>
      <w:r w:rsidRPr="006A7923">
        <w:rPr>
          <w:color w:val="000000" w:themeColor="text1"/>
          <w:sz w:val="20"/>
          <w:szCs w:val="20"/>
          <w:highlight w:val="yellow"/>
        </w:rPr>
      </w:r>
      <w:r w:rsidRPr="006A7923">
        <w:rPr>
          <w:color w:val="000000" w:themeColor="text1"/>
          <w:sz w:val="20"/>
          <w:szCs w:val="20"/>
          <w:highlight w:val="yellow"/>
        </w:rPr>
        <w:fldChar w:fldCharType="separate"/>
      </w:r>
      <w:r w:rsidRPr="006A7923">
        <w:rPr>
          <w:color w:val="000000" w:themeColor="text1"/>
          <w:sz w:val="20"/>
          <w:szCs w:val="20"/>
          <w:highlight w:val="yellow"/>
        </w:rPr>
        <w:t>49</w:t>
      </w:r>
      <w:r w:rsidRPr="006A7923">
        <w:rPr>
          <w:color w:val="000000" w:themeColor="text1"/>
          <w:sz w:val="20"/>
          <w:szCs w:val="20"/>
          <w:highlight w:val="yellow"/>
        </w:rPr>
        <w:fldChar w:fldCharType="end"/>
      </w:r>
      <w:r w:rsidRPr="006A7923">
        <w:rPr>
          <w:color w:val="000000" w:themeColor="text1"/>
          <w:sz w:val="20"/>
          <w:szCs w:val="20"/>
          <w:highlight w:val="yellow"/>
        </w:rPr>
        <w:t>)</w:t>
      </w:r>
      <w:r w:rsidRPr="006A7923">
        <w:rPr>
          <w:sz w:val="20"/>
          <w:szCs w:val="20"/>
        </w:rPr>
        <w:t xml:space="preserve"> makes it clear that reservations are only allowed when signing the ECHR or depositing an instrument of ratification. This might offer an explanation</w:t>
      </w:r>
      <w:r w:rsidRPr="006A7923">
        <w:rPr>
          <w:color w:val="000000" w:themeColor="text1"/>
          <w:sz w:val="20"/>
          <w:szCs w:val="20"/>
        </w:rPr>
        <w:t xml:space="preserve"> as to why the UK government wishes now to establish a presumption of derogation.</w:t>
      </w:r>
    </w:p>
  </w:footnote>
  <w:footnote w:id="168">
    <w:p w14:paraId="615400DB" w14:textId="5B76857D"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The confines of this study are an impediment to a thorough discussion of Article 15. Suffice it here to refer to the very comprehensive </w:t>
      </w:r>
      <w:r w:rsidRPr="006A7923">
        <w:rPr>
          <w:rFonts w:ascii="Times New Roman" w:hAnsi="Times New Roman" w:cs="Times New Roman"/>
          <w:i/>
          <w:sz w:val="20"/>
          <w:szCs w:val="20"/>
        </w:rPr>
        <w:t>Factsheet</w:t>
      </w:r>
      <w:r w:rsidRPr="006A7923">
        <w:rPr>
          <w:rFonts w:ascii="Times New Roman" w:hAnsi="Times New Roman" w:cs="Times New Roman"/>
          <w:sz w:val="20"/>
          <w:szCs w:val="20"/>
        </w:rPr>
        <w:t xml:space="preserve"> of the Court on Article 15, </w:t>
      </w:r>
      <w:r w:rsidRPr="006A7923">
        <w:rPr>
          <w:rFonts w:ascii="Times New Roman" w:hAnsi="Times New Roman" w:cs="Times New Roman"/>
          <w:i/>
          <w:sz w:val="20"/>
          <w:szCs w:val="20"/>
        </w:rPr>
        <w:t xml:space="preserve">supra </w:t>
      </w:r>
      <w:r w:rsidRPr="006A7923">
        <w:rPr>
          <w:rFonts w:ascii="Times New Roman" w:hAnsi="Times New Roman" w:cs="Times New Roman"/>
          <w:sz w:val="20"/>
          <w:szCs w:val="20"/>
        </w:rPr>
        <w:t>note</w:t>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_Ref492811412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3</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w:t>
      </w:r>
      <w:r w:rsidRPr="006A7923">
        <w:rPr>
          <w:rFonts w:ascii="Times New Roman" w:hAnsi="Times New Roman" w:cs="Times New Roman"/>
          <w:sz w:val="20"/>
          <w:szCs w:val="20"/>
        </w:rPr>
        <w:t xml:space="preserve"> and briefly remind that the scope of derogation is limited.</w:t>
      </w:r>
      <w:r w:rsidRPr="006A7923">
        <w:rPr>
          <w:rFonts w:ascii="Times New Roman" w:hAnsi="Times New Roman" w:cs="Times New Roman"/>
          <w:i/>
          <w:color w:val="000000" w:themeColor="text1"/>
          <w:sz w:val="20"/>
          <w:szCs w:val="20"/>
        </w:rPr>
        <w:t xml:space="preserve"> </w:t>
      </w:r>
      <w:r w:rsidRPr="006A7923">
        <w:rPr>
          <w:rFonts w:ascii="Times New Roman" w:hAnsi="Times New Roman" w:cs="Times New Roman"/>
          <w:color w:val="000000" w:themeColor="text1"/>
          <w:sz w:val="20"/>
          <w:szCs w:val="20"/>
        </w:rPr>
        <w:t xml:space="preserve">See also, European Court of Human Rights, ‘Guide on Article 15 of the European Convention on Human Rights. Derogation in Time of Emergency’ (updated on 30 April 2017) available at &lt;www.echr.coe.int/Documents/Guide_Art_15_ENG.pdf&gt; accessed 18 August 2017. </w:t>
      </w:r>
      <w:r w:rsidRPr="006A7923">
        <w:rPr>
          <w:rFonts w:ascii="Times New Roman" w:hAnsi="Times New Roman" w:cs="Times New Roman"/>
          <w:sz w:val="20"/>
          <w:szCs w:val="20"/>
        </w:rPr>
        <w:t xml:space="preserve">The conditions that should cumulatively be met for a derogation to be lawful are strict and aim at guaranteeing the exceptional nature of Article 15. Among these conditions, one finds an element that is common to both limitations to human rights and derogations from them, namely that they are both allowed to the extent justified by the exigencies of the specific situation calling for the limitation/derogation. Whilst the reasons justifying a limitation or a derogation may differ (with the former offering a wider spectrum of justifications), both limitations and derogations are subjected to a test of necessity in the light of the particular circumstances that prevail in each different case. </w:t>
      </w:r>
      <w:r w:rsidRPr="006A7923">
        <w:rPr>
          <w:rFonts w:ascii="Times New Roman" w:hAnsi="Times New Roman" w:cs="Times New Roman"/>
          <w:color w:val="000000" w:themeColor="text1"/>
          <w:sz w:val="20"/>
          <w:szCs w:val="20"/>
        </w:rPr>
        <w:t xml:space="preserve">See, for instance, </w:t>
      </w:r>
      <w:r w:rsidRPr="006A7923">
        <w:rPr>
          <w:rFonts w:ascii="Times New Roman" w:hAnsi="Times New Roman" w:cs="Times New Roman"/>
          <w:i/>
          <w:color w:val="000000" w:themeColor="text1"/>
          <w:sz w:val="20"/>
          <w:szCs w:val="20"/>
        </w:rPr>
        <w:t>Brannigan and McBride</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rPr>
        <w:fldChar w:fldCharType="begin"/>
      </w:r>
      <w:r w:rsidRPr="006A7923">
        <w:rPr>
          <w:rFonts w:ascii="Times New Roman" w:hAnsi="Times New Roman" w:cs="Times New Roman"/>
          <w:color w:val="000000" w:themeColor="text1"/>
          <w:sz w:val="20"/>
          <w:szCs w:val="20"/>
        </w:rPr>
        <w:instrText xml:space="preserve"> NOTEREF _Ref492811412 \h  \* MERGEFORMAT </w:instrText>
      </w:r>
      <w:r w:rsidRPr="006A7923">
        <w:rPr>
          <w:rFonts w:ascii="Times New Roman" w:hAnsi="Times New Roman" w:cs="Times New Roman"/>
          <w:color w:val="000000" w:themeColor="text1"/>
          <w:sz w:val="20"/>
          <w:szCs w:val="20"/>
        </w:rPr>
      </w:r>
      <w:r w:rsidRPr="006A7923">
        <w:rPr>
          <w:rFonts w:ascii="Times New Roman" w:hAnsi="Times New Roman" w:cs="Times New Roman"/>
          <w:color w:val="000000" w:themeColor="text1"/>
          <w:sz w:val="20"/>
          <w:szCs w:val="20"/>
        </w:rPr>
        <w:fldChar w:fldCharType="separate"/>
      </w:r>
      <w:r w:rsidRPr="006A7923">
        <w:rPr>
          <w:rFonts w:ascii="Times New Roman" w:hAnsi="Times New Roman" w:cs="Times New Roman"/>
          <w:color w:val="000000" w:themeColor="text1"/>
          <w:sz w:val="20"/>
          <w:szCs w:val="20"/>
        </w:rPr>
        <w:t>3</w:t>
      </w:r>
      <w:r w:rsidRPr="006A7923">
        <w:rPr>
          <w:rFonts w:ascii="Times New Roman" w:hAnsi="Times New Roman" w:cs="Times New Roman"/>
          <w:color w:val="000000" w:themeColor="text1"/>
          <w:sz w:val="20"/>
          <w:szCs w:val="20"/>
        </w:rPr>
        <w:fldChar w:fldCharType="end"/>
      </w:r>
      <w:r w:rsidRPr="006A7923">
        <w:rPr>
          <w:rFonts w:ascii="Times New Roman" w:hAnsi="Times New Roman" w:cs="Times New Roman"/>
          <w:color w:val="000000" w:themeColor="text1"/>
          <w:sz w:val="20"/>
          <w:szCs w:val="20"/>
        </w:rPr>
        <w:t xml:space="preserve">, at paras 41-60. </w:t>
      </w:r>
    </w:p>
  </w:footnote>
  <w:footnote w:id="169">
    <w:p w14:paraId="2BB53A2A" w14:textId="2B9D892B"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For the purposes of that review it might even consider whether a lawful derogation can lead to future abuses. See </w:t>
      </w:r>
      <w:r w:rsidRPr="006A7923">
        <w:rPr>
          <w:rFonts w:ascii="Times New Roman" w:hAnsi="Times New Roman" w:cs="Times New Roman"/>
          <w:i/>
          <w:color w:val="000000" w:themeColor="text1"/>
          <w:sz w:val="20"/>
          <w:szCs w:val="20"/>
        </w:rPr>
        <w:t>Brannigan and McBride</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note</w:t>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_Ref492811412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3</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 xml:space="preserve">at paras 61-65. </w:t>
      </w:r>
    </w:p>
  </w:footnote>
  <w:footnote w:id="170">
    <w:p w14:paraId="6CEB29C8" w14:textId="60C75407"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See </w:t>
      </w:r>
      <w:r w:rsidRPr="006A7923">
        <w:rPr>
          <w:rFonts w:ascii="Times New Roman" w:hAnsi="Times New Roman" w:cs="Times New Roman"/>
          <w:i/>
          <w:sz w:val="20"/>
          <w:szCs w:val="20"/>
        </w:rPr>
        <w:t>supra</w:t>
      </w:r>
      <w:r w:rsidRPr="006A7923">
        <w:rPr>
          <w:rFonts w:ascii="Times New Roman" w:hAnsi="Times New Roman" w:cs="Times New Roman"/>
          <w:sz w:val="20"/>
          <w:szCs w:val="20"/>
        </w:rPr>
        <w:t xml:space="preserve"> note </w:t>
      </w:r>
      <w:r w:rsidRPr="006A7923">
        <w:rPr>
          <w:rFonts w:ascii="Times New Roman" w:hAnsi="Times New Roman" w:cs="Times New Roman"/>
          <w:sz w:val="20"/>
          <w:szCs w:val="20"/>
          <w:highlight w:val="yellow"/>
        </w:rPr>
        <w:fldChar w:fldCharType="begin"/>
      </w:r>
      <w:r w:rsidRPr="006A7923">
        <w:rPr>
          <w:rFonts w:ascii="Times New Roman" w:hAnsi="Times New Roman" w:cs="Times New Roman"/>
          <w:sz w:val="20"/>
          <w:szCs w:val="20"/>
          <w:highlight w:val="yellow"/>
        </w:rPr>
        <w:instrText xml:space="preserve"> NOTEREF _Ref532219250 \h  \* MERGEFORMAT </w:instrText>
      </w:r>
      <w:r w:rsidRPr="006A7923">
        <w:rPr>
          <w:rFonts w:ascii="Times New Roman" w:hAnsi="Times New Roman" w:cs="Times New Roman"/>
          <w:sz w:val="20"/>
          <w:szCs w:val="20"/>
          <w:highlight w:val="yellow"/>
        </w:rPr>
      </w:r>
      <w:r w:rsidRPr="006A7923">
        <w:rPr>
          <w:rFonts w:ascii="Times New Roman" w:hAnsi="Times New Roman" w:cs="Times New Roman"/>
          <w:sz w:val="20"/>
          <w:szCs w:val="20"/>
          <w:highlight w:val="yellow"/>
        </w:rPr>
        <w:fldChar w:fldCharType="separate"/>
      </w:r>
      <w:r w:rsidRPr="006A7923">
        <w:rPr>
          <w:rFonts w:ascii="Times New Roman" w:hAnsi="Times New Roman" w:cs="Times New Roman"/>
          <w:sz w:val="20"/>
          <w:szCs w:val="20"/>
          <w:highlight w:val="yellow"/>
        </w:rPr>
        <w:t>157</w:t>
      </w:r>
      <w:r w:rsidRPr="006A7923">
        <w:rPr>
          <w:rFonts w:ascii="Times New Roman" w:hAnsi="Times New Roman" w:cs="Times New Roman"/>
          <w:sz w:val="20"/>
          <w:szCs w:val="20"/>
          <w:highlight w:val="yellow"/>
        </w:rPr>
        <w:fldChar w:fldCharType="end"/>
      </w:r>
      <w:r w:rsidRPr="006A7923">
        <w:rPr>
          <w:rFonts w:ascii="Times New Roman" w:hAnsi="Times New Roman" w:cs="Times New Roman"/>
          <w:sz w:val="20"/>
          <w:szCs w:val="20"/>
        </w:rPr>
        <w:t>.</w:t>
      </w:r>
    </w:p>
  </w:footnote>
  <w:footnote w:id="171">
    <w:p w14:paraId="166EECB6" w14:textId="55548F49"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_Ref492904500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92</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p>
  </w:footnote>
  <w:footnote w:id="172">
    <w:p w14:paraId="677A4F9A" w14:textId="79AEAA5D" w:rsidR="00A51F58" w:rsidRPr="006A7923" w:rsidRDefault="00A51F58" w:rsidP="008E72AA">
      <w:pPr>
        <w:jc w:val="both"/>
        <w:rPr>
          <w:sz w:val="20"/>
          <w:szCs w:val="20"/>
        </w:rPr>
      </w:pPr>
      <w:r w:rsidRPr="006A7923">
        <w:rPr>
          <w:rStyle w:val="FootnoteReference"/>
          <w:sz w:val="20"/>
          <w:szCs w:val="20"/>
        </w:rPr>
        <w:footnoteRef/>
      </w:r>
      <w:r w:rsidRPr="006A7923">
        <w:rPr>
          <w:sz w:val="20"/>
          <w:szCs w:val="20"/>
        </w:rPr>
        <w:t xml:space="preserve"> The opposite is possible too. For instance, see </w:t>
      </w:r>
      <w:r w:rsidRPr="006A7923">
        <w:rPr>
          <w:i/>
          <w:sz w:val="20"/>
          <w:szCs w:val="20"/>
        </w:rPr>
        <w:t>Tymoshenko</w:t>
      </w:r>
      <w:r w:rsidRPr="006A7923">
        <w:rPr>
          <w:sz w:val="20"/>
          <w:szCs w:val="20"/>
        </w:rPr>
        <w:t xml:space="preserve">, </w:t>
      </w:r>
      <w:r w:rsidRPr="006A7923">
        <w:rPr>
          <w:i/>
          <w:sz w:val="20"/>
          <w:szCs w:val="20"/>
        </w:rPr>
        <w:t>supra</w:t>
      </w:r>
      <w:r w:rsidRPr="006A7923">
        <w:rPr>
          <w:sz w:val="20"/>
          <w:szCs w:val="20"/>
        </w:rPr>
        <w:t xml:space="preserve"> note </w:t>
      </w:r>
      <w:r w:rsidRPr="006A7923">
        <w:rPr>
          <w:sz w:val="20"/>
          <w:szCs w:val="20"/>
          <w:highlight w:val="yellow"/>
        </w:rPr>
        <w:fldChar w:fldCharType="begin"/>
      </w:r>
      <w:r w:rsidRPr="006A7923">
        <w:rPr>
          <w:sz w:val="20"/>
          <w:szCs w:val="20"/>
          <w:highlight w:val="yellow"/>
        </w:rPr>
        <w:instrText xml:space="preserve"> NOTEREF _Ref531700793 \h  \* MERGEFORMAT </w:instrText>
      </w:r>
      <w:r w:rsidRPr="006A7923">
        <w:rPr>
          <w:sz w:val="20"/>
          <w:szCs w:val="20"/>
          <w:highlight w:val="yellow"/>
        </w:rPr>
      </w:r>
      <w:r w:rsidRPr="006A7923">
        <w:rPr>
          <w:sz w:val="20"/>
          <w:szCs w:val="20"/>
          <w:highlight w:val="yellow"/>
        </w:rPr>
        <w:fldChar w:fldCharType="separate"/>
      </w:r>
      <w:r w:rsidRPr="006A7923">
        <w:rPr>
          <w:sz w:val="20"/>
          <w:szCs w:val="20"/>
          <w:highlight w:val="yellow"/>
        </w:rPr>
        <w:t>156</w:t>
      </w:r>
      <w:r w:rsidRPr="006A7923">
        <w:rPr>
          <w:sz w:val="20"/>
          <w:szCs w:val="20"/>
          <w:highlight w:val="yellow"/>
        </w:rPr>
        <w:fldChar w:fldCharType="end"/>
      </w:r>
      <w:r w:rsidRPr="006A7923">
        <w:rPr>
          <w:sz w:val="20"/>
          <w:szCs w:val="20"/>
        </w:rPr>
        <w:t xml:space="preserve">, at para 299. Analysis in the context of Article 5 informs the reasoning of the Court regarding Article 18. See also </w:t>
      </w:r>
      <w:r w:rsidRPr="006A7923">
        <w:rPr>
          <w:color w:val="000000" w:themeColor="text1"/>
          <w:sz w:val="20"/>
          <w:szCs w:val="20"/>
        </w:rPr>
        <w:t xml:space="preserve">See also </w:t>
      </w:r>
      <w:r w:rsidRPr="006A7923">
        <w:rPr>
          <w:i/>
          <w:color w:val="000000" w:themeColor="text1"/>
          <w:sz w:val="20"/>
          <w:szCs w:val="20"/>
        </w:rPr>
        <w:t>Lehideux and Isorni v France</w:t>
      </w:r>
      <w:r w:rsidRPr="006A7923">
        <w:rPr>
          <w:color w:val="000000" w:themeColor="text1"/>
          <w:sz w:val="20"/>
          <w:szCs w:val="20"/>
        </w:rPr>
        <w:t xml:space="preserve"> App no </w:t>
      </w:r>
      <w:r w:rsidRPr="006A7923">
        <w:rPr>
          <w:rStyle w:val="textcolumn"/>
          <w:rFonts w:eastAsia="Times New Roman"/>
          <w:color w:val="000000" w:themeColor="text1"/>
          <w:sz w:val="20"/>
          <w:szCs w:val="20"/>
        </w:rPr>
        <w:t>24662/94</w:t>
      </w:r>
      <w:r w:rsidRPr="006A7923">
        <w:rPr>
          <w:rStyle w:val="apple-converted-space"/>
          <w:rFonts w:eastAsia="Times New Roman"/>
          <w:color w:val="000000" w:themeColor="text1"/>
          <w:sz w:val="20"/>
          <w:szCs w:val="20"/>
          <w:shd w:val="clear" w:color="auto" w:fill="FFFFFF"/>
        </w:rPr>
        <w:t xml:space="preserve">, (ECtHR, </w:t>
      </w:r>
      <w:r w:rsidRPr="006A7923">
        <w:rPr>
          <w:rFonts w:eastAsia="Times New Roman"/>
          <w:color w:val="000000" w:themeColor="text1"/>
          <w:sz w:val="20"/>
          <w:szCs w:val="20"/>
          <w:highlight w:val="yellow"/>
          <w:shd w:val="clear" w:color="auto" w:fill="FFFFFF"/>
        </w:rPr>
        <w:t>23 September 1998</w:t>
      </w:r>
      <w:r w:rsidRPr="006A7923">
        <w:rPr>
          <w:rFonts w:eastAsia="Times New Roman"/>
          <w:color w:val="000000" w:themeColor="text1"/>
          <w:sz w:val="20"/>
          <w:szCs w:val="20"/>
          <w:shd w:val="clear" w:color="auto" w:fill="FFFFFF"/>
        </w:rPr>
        <w:t>)</w:t>
      </w:r>
      <w:r w:rsidRPr="006A7923">
        <w:rPr>
          <w:rFonts w:eastAsia="Times New Roman"/>
          <w:color w:val="000000" w:themeColor="text1"/>
          <w:sz w:val="20"/>
          <w:szCs w:val="20"/>
        </w:rPr>
        <w:t xml:space="preserve">, at paras 38 and 58, where abuse of rights under Article 17 ECHR was invoked as a defence by the respondent state. </w:t>
      </w:r>
      <w:r w:rsidRPr="006A7923">
        <w:rPr>
          <w:sz w:val="20"/>
          <w:szCs w:val="20"/>
        </w:rPr>
        <w:t xml:space="preserve"> </w:t>
      </w:r>
    </w:p>
  </w:footnote>
  <w:footnote w:id="173">
    <w:p w14:paraId="25AB3744" w14:textId="17E4CEA8"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The Court could examine this question </w:t>
      </w:r>
      <w:r w:rsidRPr="006A7923">
        <w:rPr>
          <w:rFonts w:ascii="Times New Roman" w:hAnsi="Times New Roman" w:cs="Times New Roman"/>
          <w:i/>
          <w:color w:val="000000" w:themeColor="text1"/>
          <w:sz w:val="20"/>
          <w:szCs w:val="20"/>
        </w:rPr>
        <w:t>ex officio</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i.e</w:t>
      </w:r>
      <w:r w:rsidRPr="006A7923">
        <w:rPr>
          <w:rFonts w:ascii="Times New Roman" w:hAnsi="Times New Roman" w:cs="Times New Roman"/>
          <w:color w:val="000000" w:themeColor="text1"/>
          <w:sz w:val="20"/>
          <w:szCs w:val="20"/>
        </w:rPr>
        <w:t xml:space="preserve">. on its own initiative. See </w:t>
      </w:r>
      <w:r w:rsidRPr="006A7923">
        <w:rPr>
          <w:rFonts w:ascii="Times New Roman" w:hAnsi="Times New Roman" w:cs="Times New Roman"/>
          <w:i/>
          <w:color w:val="000000" w:themeColor="text1"/>
          <w:sz w:val="20"/>
          <w:szCs w:val="20"/>
        </w:rPr>
        <w:t>Handyside</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_Ref492977542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 37. See also </w:t>
      </w:r>
      <w:r w:rsidRPr="006A7923">
        <w:rPr>
          <w:rFonts w:ascii="Times New Roman" w:hAnsi="Times New Roman" w:cs="Times New Roman"/>
          <w:i/>
          <w:color w:val="000000" w:themeColor="text1"/>
          <w:sz w:val="20"/>
          <w:szCs w:val="20"/>
        </w:rPr>
        <w:t>Sisojeva and others v Latvia</w:t>
      </w:r>
      <w:r w:rsidRPr="006A7923">
        <w:rPr>
          <w:rFonts w:ascii="Times New Roman" w:hAnsi="Times New Roman" w:cs="Times New Roman"/>
          <w:color w:val="000000" w:themeColor="text1"/>
          <w:sz w:val="20"/>
          <w:szCs w:val="20"/>
        </w:rPr>
        <w:t xml:space="preserve"> App no </w:t>
      </w:r>
      <w:r w:rsidRPr="006A7923">
        <w:rPr>
          <w:rStyle w:val="textcolumn"/>
          <w:rFonts w:ascii="Times New Roman" w:eastAsia="Times New Roman" w:hAnsi="Times New Roman" w:cs="Times New Roman"/>
          <w:color w:val="000000" w:themeColor="text1"/>
          <w:sz w:val="20"/>
          <w:szCs w:val="20"/>
        </w:rPr>
        <w:t>60654/00 (ECtHR,</w:t>
      </w:r>
      <w:r w:rsidRPr="006A7923">
        <w:rPr>
          <w:rStyle w:val="apple-converted-space"/>
          <w:rFonts w:ascii="Times New Roman" w:eastAsia="Times New Roman" w:hAnsi="Times New Roman" w:cs="Times New Roman"/>
          <w:color w:val="000000" w:themeColor="text1"/>
          <w:sz w:val="20"/>
          <w:szCs w:val="20"/>
          <w:shd w:val="clear" w:color="auto" w:fill="FFFFFF"/>
        </w:rPr>
        <w:t xml:space="preserve"> </w:t>
      </w:r>
      <w:r w:rsidRPr="006A7923">
        <w:rPr>
          <w:rFonts w:ascii="Times New Roman" w:eastAsia="Times New Roman" w:hAnsi="Times New Roman" w:cs="Times New Roman"/>
          <w:color w:val="000000" w:themeColor="text1"/>
          <w:sz w:val="20"/>
          <w:szCs w:val="20"/>
          <w:highlight w:val="yellow"/>
          <w:shd w:val="clear" w:color="auto" w:fill="FFFFFF"/>
        </w:rPr>
        <w:t>15 January 2007)</w:t>
      </w:r>
      <w:r w:rsidRPr="006A7923">
        <w:rPr>
          <w:rFonts w:ascii="Times New Roman" w:eastAsia="Times New Roman" w:hAnsi="Times New Roman" w:cs="Times New Roman"/>
          <w:color w:val="000000" w:themeColor="text1"/>
          <w:sz w:val="20"/>
          <w:szCs w:val="20"/>
          <w:highlight w:val="yellow"/>
        </w:rPr>
        <w:t xml:space="preserve">, at </w:t>
      </w:r>
      <w:r w:rsidRPr="006A7923">
        <w:rPr>
          <w:rFonts w:ascii="Times New Roman" w:eastAsia="Times New Roman" w:hAnsi="Times New Roman" w:cs="Times New Roman"/>
          <w:color w:val="000000" w:themeColor="text1"/>
          <w:sz w:val="20"/>
          <w:szCs w:val="20"/>
        </w:rPr>
        <w:t xml:space="preserve">paras 127-129, where the Court explains that the lack of supporting evidence prevents it from examining Article 18 of its own motion. </w:t>
      </w:r>
    </w:p>
  </w:footnote>
  <w:footnote w:id="174">
    <w:p w14:paraId="21462E46" w14:textId="5E05B088"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Dzehtsiarou,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_Ref493687984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73</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p>
  </w:footnote>
  <w:footnote w:id="175">
    <w:p w14:paraId="582204EA" w14:textId="7EC0AF48"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Greek case</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_Ref492912809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104</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at para 149 in the Sub-Commission’s report and para 224 in the Commission’s report. </w:t>
      </w:r>
    </w:p>
  </w:footnote>
  <w:footnote w:id="176">
    <w:p w14:paraId="5C88CAE9" w14:textId="6EAD9179"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Ibid.</w:t>
      </w:r>
      <w:r w:rsidRPr="006A7923">
        <w:rPr>
          <w:rFonts w:ascii="Times New Roman" w:hAnsi="Times New Roman" w:cs="Times New Roman"/>
          <w:color w:val="000000" w:themeColor="text1"/>
          <w:sz w:val="20"/>
          <w:szCs w:val="20"/>
        </w:rPr>
        <w:t xml:space="preserve">, at paras 150 and 225 respectively. </w:t>
      </w:r>
    </w:p>
  </w:footnote>
  <w:footnote w:id="177">
    <w:p w14:paraId="0FFEC429" w14:textId="591B8211" w:rsidR="00A51F58" w:rsidRPr="006A7923" w:rsidRDefault="00A51F58" w:rsidP="008E72AA">
      <w:pPr>
        <w:pStyle w:val="FootnoteText"/>
        <w:jc w:val="both"/>
        <w:rPr>
          <w:rFonts w:ascii="Times New Roman" w:hAnsi="Times New Roman" w:cs="Times New Roman"/>
          <w:color w:val="000000" w:themeColor="text1"/>
          <w:sz w:val="20"/>
          <w:szCs w:val="20"/>
          <w:highlight w:val="yellow"/>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In similar terms and for the same reasons, although there is nothing to preclude that a lawful derogation from the ECHR may generate other value-add benefits beyond the object and purpose of the rule permitting the derogation, such benefits are irrelevant to the lawfulness of a derogation; they cannot justify it and should not be among the reasons behind a decision to derogate or a decision to authorise it or declare it lawful. The example that can be given in that respect is that of the benefit that some authors think a derogation from the ECHR during armed conflict could have for the broader system of international law and the normative clarity that will be achieved by the separation of IHL from human rights law. See </w:t>
      </w:r>
      <w:r w:rsidRPr="006A7923">
        <w:rPr>
          <w:rFonts w:ascii="Times New Roman" w:eastAsia="Times New Roman" w:hAnsi="Times New Roman" w:cs="Times New Roman"/>
          <w:bCs/>
          <w:color w:val="000000" w:themeColor="text1"/>
          <w:sz w:val="20"/>
          <w:szCs w:val="20"/>
          <w:lang w:eastAsia="en-GB"/>
        </w:rPr>
        <w:t xml:space="preserve">Françoise Hampson, Noam Lubell and Darragh Murray, </w:t>
      </w:r>
      <w:r w:rsidRPr="006A7923">
        <w:rPr>
          <w:rFonts w:ascii="Times New Roman" w:eastAsia="Times New Roman" w:hAnsi="Times New Roman" w:cs="Times New Roman"/>
          <w:bCs/>
          <w:i/>
          <w:color w:val="000000" w:themeColor="text1"/>
          <w:sz w:val="20"/>
          <w:szCs w:val="20"/>
          <w:lang w:eastAsia="en-GB"/>
        </w:rPr>
        <w:t xml:space="preserve">Parliament written evidence, </w:t>
      </w:r>
      <w:r w:rsidRPr="006A7923">
        <w:rPr>
          <w:rFonts w:ascii="Times New Roman" w:eastAsia="Times New Roman" w:hAnsi="Times New Roman" w:cs="Times New Roman"/>
          <w:bCs/>
          <w:color w:val="000000" w:themeColor="text1"/>
          <w:sz w:val="20"/>
          <w:szCs w:val="20"/>
          <w:lang w:eastAsia="en-GB"/>
        </w:rPr>
        <w:t>March 2017</w:t>
      </w:r>
      <w:r w:rsidRPr="006A7923">
        <w:rPr>
          <w:rFonts w:ascii="Times New Roman" w:eastAsia="Times New Roman" w:hAnsi="Times New Roman" w:cs="Times New Roman"/>
          <w:bCs/>
          <w:i/>
          <w:color w:val="000000" w:themeColor="text1"/>
          <w:sz w:val="20"/>
          <w:szCs w:val="20"/>
          <w:lang w:eastAsia="en-GB"/>
        </w:rPr>
        <w:t xml:space="preserve"> </w:t>
      </w:r>
      <w:r w:rsidRPr="006A7923">
        <w:rPr>
          <w:rFonts w:ascii="Times New Roman" w:eastAsia="Times New Roman" w:hAnsi="Times New Roman" w:cs="Times New Roman"/>
          <w:bCs/>
          <w:color w:val="000000" w:themeColor="text1"/>
          <w:sz w:val="20"/>
          <w:szCs w:val="20"/>
          <w:lang w:eastAsia="en-GB"/>
        </w:rPr>
        <w:t xml:space="preserve">(DRO0010), at paras 3 and 14-26 available at &lt;http://data.parliament.uk/writtenevidence/committeeevidence.svc/evidencedocument/human-rights-committee/the-governments-proposed-derogation-from-the-echr/written/49507.html&gt; </w:t>
      </w:r>
      <w:r w:rsidRPr="006A7923">
        <w:rPr>
          <w:rFonts w:ascii="Times New Roman" w:hAnsi="Times New Roman" w:cs="Times New Roman"/>
          <w:color w:val="000000" w:themeColor="text1"/>
          <w:sz w:val="20"/>
          <w:szCs w:val="20"/>
        </w:rPr>
        <w:t>accessed 19 July 2017 and</w:t>
      </w:r>
      <w:r w:rsidRPr="006A7923">
        <w:rPr>
          <w:rFonts w:ascii="Times New Roman" w:eastAsia="Times New Roman" w:hAnsi="Times New Roman" w:cs="Times New Roman"/>
          <w:bCs/>
          <w:color w:val="000000" w:themeColor="text1"/>
          <w:sz w:val="20"/>
          <w:szCs w:val="20"/>
          <w:lang w:eastAsia="en-GB"/>
        </w:rPr>
        <w:t xml:space="preserve"> </w:t>
      </w:r>
      <w:r w:rsidRPr="006A7923">
        <w:rPr>
          <w:rFonts w:ascii="Times New Roman" w:hAnsi="Times New Roman" w:cs="Times New Roman"/>
          <w:color w:val="000000" w:themeColor="text1"/>
          <w:sz w:val="20"/>
          <w:szCs w:val="20"/>
        </w:rPr>
        <w:t xml:space="preserve">Milanovic,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eastAsia="Times New Roman" w:hAnsi="Times New Roman" w:cs="Times New Roman"/>
          <w:bCs/>
          <w:color w:val="000000" w:themeColor="text1"/>
          <w:sz w:val="20"/>
          <w:szCs w:val="20"/>
          <w:highlight w:val="yellow"/>
          <w:lang w:eastAsia="en-GB"/>
        </w:rPr>
        <w:fldChar w:fldCharType="begin"/>
      </w:r>
      <w:r w:rsidRPr="006A7923">
        <w:rPr>
          <w:rFonts w:ascii="Times New Roman" w:eastAsia="Times New Roman" w:hAnsi="Times New Roman" w:cs="Times New Roman"/>
          <w:bCs/>
          <w:color w:val="000000" w:themeColor="text1"/>
          <w:sz w:val="20"/>
          <w:szCs w:val="20"/>
          <w:highlight w:val="yellow"/>
          <w:lang w:eastAsia="en-GB"/>
        </w:rPr>
        <w:instrText xml:space="preserve"> NOTEREF _Ref491676723 \h  \* MERGEFORMAT </w:instrText>
      </w:r>
      <w:r w:rsidRPr="006A7923">
        <w:rPr>
          <w:rFonts w:ascii="Times New Roman" w:eastAsia="Times New Roman" w:hAnsi="Times New Roman" w:cs="Times New Roman"/>
          <w:bCs/>
          <w:color w:val="000000" w:themeColor="text1"/>
          <w:sz w:val="20"/>
          <w:szCs w:val="20"/>
          <w:highlight w:val="yellow"/>
          <w:lang w:eastAsia="en-GB"/>
        </w:rPr>
      </w:r>
      <w:r w:rsidRPr="006A7923">
        <w:rPr>
          <w:rFonts w:ascii="Times New Roman" w:eastAsia="Times New Roman" w:hAnsi="Times New Roman" w:cs="Times New Roman"/>
          <w:bCs/>
          <w:color w:val="000000" w:themeColor="text1"/>
          <w:sz w:val="20"/>
          <w:szCs w:val="20"/>
          <w:highlight w:val="yellow"/>
          <w:lang w:eastAsia="en-GB"/>
        </w:rPr>
        <w:fldChar w:fldCharType="separate"/>
      </w:r>
      <w:r w:rsidRPr="006A7923">
        <w:rPr>
          <w:rFonts w:ascii="Times New Roman" w:eastAsia="Times New Roman" w:hAnsi="Times New Roman" w:cs="Times New Roman"/>
          <w:bCs/>
          <w:color w:val="000000" w:themeColor="text1"/>
          <w:sz w:val="20"/>
          <w:szCs w:val="20"/>
          <w:highlight w:val="yellow"/>
          <w:lang w:eastAsia="en-GB"/>
        </w:rPr>
        <w:t>21</w:t>
      </w:r>
      <w:r w:rsidRPr="006A7923">
        <w:rPr>
          <w:rFonts w:ascii="Times New Roman" w:eastAsia="Times New Roman" w:hAnsi="Times New Roman" w:cs="Times New Roman"/>
          <w:bCs/>
          <w:color w:val="000000" w:themeColor="text1"/>
          <w:sz w:val="20"/>
          <w:szCs w:val="20"/>
          <w:highlight w:val="yellow"/>
          <w:lang w:eastAsia="en-GB"/>
        </w:rPr>
        <w:fldChar w:fldCharType="end"/>
      </w:r>
      <w:r w:rsidRPr="006A7923">
        <w:rPr>
          <w:rFonts w:ascii="Times New Roman" w:eastAsia="Times New Roman" w:hAnsi="Times New Roman" w:cs="Times New Roman"/>
          <w:bCs/>
          <w:color w:val="000000" w:themeColor="text1"/>
          <w:sz w:val="20"/>
          <w:szCs w:val="20"/>
          <w:lang w:eastAsia="en-GB"/>
        </w:rPr>
        <w:t xml:space="preserve">, at para 2 and references to the scholarship of that author made therein. </w:t>
      </w:r>
    </w:p>
  </w:footnote>
  <w:footnote w:id="178">
    <w:p w14:paraId="7AB428B3" w14:textId="77777777" w:rsidR="00A51F58" w:rsidRPr="006A7923" w:rsidRDefault="00A51F58" w:rsidP="006700DD">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Ilgar Mammadov</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_Ref493764722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107</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Rasul Jafarov</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_Ref492904500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92</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Mammadli</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_Ref532218359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128</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Rashad Hasanov and others 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_Ref532219250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157</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Aliyev 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_Ref532219250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157</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w:t>
      </w:r>
      <w:r w:rsidRPr="006A7923">
        <w:rPr>
          <w:rFonts w:ascii="Times New Roman" w:hAnsi="Times New Roman" w:cs="Times New Roman"/>
          <w:i/>
          <w:color w:val="000000" w:themeColor="text1"/>
          <w:sz w:val="20"/>
          <w:szCs w:val="20"/>
        </w:rPr>
        <w:t xml:space="preserve"> </w:t>
      </w:r>
    </w:p>
  </w:footnote>
  <w:footnote w:id="179">
    <w:p w14:paraId="767D924B" w14:textId="77777777" w:rsidR="00A51F58" w:rsidRPr="006A7923" w:rsidRDefault="00A51F58" w:rsidP="006700DD">
      <w:pPr>
        <w:pStyle w:val="FootnoteText"/>
        <w:jc w:val="both"/>
        <w:rPr>
          <w:rFonts w:ascii="Times New Roman" w:hAnsi="Times New Roman" w:cs="Times New Roman"/>
          <w:sz w:val="20"/>
          <w:szCs w:val="20"/>
          <w:lang w:val="fr-CA"/>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lang w:val="fr-CA"/>
        </w:rPr>
        <w:t xml:space="preserve"> </w:t>
      </w:r>
      <w:r w:rsidRPr="006A7923">
        <w:rPr>
          <w:rFonts w:ascii="Times New Roman" w:hAnsi="Times New Roman" w:cs="Times New Roman"/>
          <w:i/>
          <w:color w:val="000000" w:themeColor="text1"/>
          <w:sz w:val="20"/>
          <w:szCs w:val="20"/>
          <w:lang w:val="fr-CA"/>
        </w:rPr>
        <w:t xml:space="preserve">Merabishvili </w:t>
      </w:r>
      <w:r w:rsidRPr="006A7923">
        <w:rPr>
          <w:rFonts w:ascii="Times New Roman" w:hAnsi="Times New Roman" w:cs="Times New Roman"/>
          <w:color w:val="000000" w:themeColor="text1"/>
          <w:sz w:val="20"/>
          <w:szCs w:val="20"/>
          <w:lang w:val="fr-CA"/>
        </w:rPr>
        <w:t xml:space="preserve">(GC), </w:t>
      </w:r>
      <w:r w:rsidRPr="006A7923">
        <w:rPr>
          <w:rFonts w:ascii="Times New Roman" w:hAnsi="Times New Roman" w:cs="Times New Roman"/>
          <w:i/>
          <w:color w:val="000000" w:themeColor="text1"/>
          <w:sz w:val="20"/>
          <w:szCs w:val="20"/>
          <w:lang w:val="fr-CA"/>
        </w:rPr>
        <w:t>supra</w:t>
      </w:r>
      <w:r w:rsidRPr="006A7923">
        <w:rPr>
          <w:rFonts w:ascii="Times New Roman" w:hAnsi="Times New Roman" w:cs="Times New Roman"/>
          <w:color w:val="000000" w:themeColor="text1"/>
          <w:sz w:val="20"/>
          <w:szCs w:val="20"/>
          <w:lang w:val="fr-CA"/>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lang w:val="fr-CA"/>
        </w:rPr>
        <w:instrText xml:space="preserve"> NOTEREF _Ref492972226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lang w:val="fr-CA"/>
        </w:rPr>
        <w:t>105</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lang w:val="fr-CA"/>
        </w:rPr>
        <w:t>.</w:t>
      </w:r>
    </w:p>
  </w:footnote>
  <w:footnote w:id="180">
    <w:p w14:paraId="7F591FDA" w14:textId="77777777" w:rsidR="00A51F58" w:rsidRPr="006A7923" w:rsidRDefault="00A51F58" w:rsidP="006700DD">
      <w:pPr>
        <w:pStyle w:val="FootnoteText"/>
        <w:jc w:val="both"/>
        <w:rPr>
          <w:rFonts w:ascii="Times New Roman" w:hAnsi="Times New Roman" w:cs="Times New Roman"/>
          <w:sz w:val="20"/>
          <w:szCs w:val="20"/>
          <w:lang w:val="fr-CA"/>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lang w:val="fr-CA"/>
        </w:rPr>
        <w:t xml:space="preserve"> </w:t>
      </w:r>
      <w:r w:rsidRPr="006A7923">
        <w:rPr>
          <w:rFonts w:ascii="Times New Roman" w:hAnsi="Times New Roman" w:cs="Times New Roman"/>
          <w:i/>
          <w:sz w:val="20"/>
          <w:szCs w:val="20"/>
          <w:lang w:val="fr-CA"/>
        </w:rPr>
        <w:t>Cebotari</w:t>
      </w:r>
      <w:r w:rsidRPr="006A7923">
        <w:rPr>
          <w:rFonts w:ascii="Times New Roman" w:hAnsi="Times New Roman" w:cs="Times New Roman"/>
          <w:color w:val="000000" w:themeColor="text1"/>
          <w:sz w:val="20"/>
          <w:szCs w:val="20"/>
          <w:lang w:val="fr-CA"/>
        </w:rPr>
        <w:t xml:space="preserve">, </w:t>
      </w:r>
      <w:r w:rsidRPr="006A7923">
        <w:rPr>
          <w:rFonts w:ascii="Times New Roman" w:hAnsi="Times New Roman" w:cs="Times New Roman"/>
          <w:i/>
          <w:color w:val="000000" w:themeColor="text1"/>
          <w:sz w:val="20"/>
          <w:szCs w:val="20"/>
          <w:lang w:val="fr-CA"/>
        </w:rPr>
        <w:t xml:space="preserve">supra </w:t>
      </w:r>
      <w:r w:rsidRPr="006A7923">
        <w:rPr>
          <w:rFonts w:ascii="Times New Roman" w:hAnsi="Times New Roman" w:cs="Times New Roman"/>
          <w:color w:val="000000" w:themeColor="text1"/>
          <w:sz w:val="20"/>
          <w:szCs w:val="20"/>
          <w:lang w:val="fr-CA"/>
        </w:rPr>
        <w:t>note</w:t>
      </w:r>
      <w:r w:rsidRPr="006A7923">
        <w:rPr>
          <w:rFonts w:ascii="Times New Roman" w:hAnsi="Times New Roman" w:cs="Times New Roman"/>
          <w:sz w:val="20"/>
          <w:szCs w:val="20"/>
          <w:lang w:val="fr-CA"/>
        </w:rPr>
        <w:t xml:space="preserve"> </w:t>
      </w:r>
      <w:r w:rsidRPr="006A7923">
        <w:rPr>
          <w:rFonts w:ascii="Times New Roman" w:hAnsi="Times New Roman" w:cs="Times New Roman"/>
          <w:sz w:val="20"/>
          <w:szCs w:val="20"/>
          <w:highlight w:val="yellow"/>
        </w:rPr>
        <w:fldChar w:fldCharType="begin"/>
      </w:r>
      <w:r w:rsidRPr="006A7923">
        <w:rPr>
          <w:rFonts w:ascii="Times New Roman" w:hAnsi="Times New Roman" w:cs="Times New Roman"/>
          <w:sz w:val="20"/>
          <w:szCs w:val="20"/>
          <w:highlight w:val="yellow"/>
          <w:lang w:val="fr-CA"/>
        </w:rPr>
        <w:instrText xml:space="preserve"> NOTEREF _Ref493754440 \h  \* MERGEFORMAT </w:instrText>
      </w:r>
      <w:r w:rsidRPr="006A7923">
        <w:rPr>
          <w:rFonts w:ascii="Times New Roman" w:hAnsi="Times New Roman" w:cs="Times New Roman"/>
          <w:sz w:val="20"/>
          <w:szCs w:val="20"/>
          <w:highlight w:val="yellow"/>
        </w:rPr>
      </w:r>
      <w:r w:rsidRPr="006A7923">
        <w:rPr>
          <w:rFonts w:ascii="Times New Roman" w:hAnsi="Times New Roman" w:cs="Times New Roman"/>
          <w:sz w:val="20"/>
          <w:szCs w:val="20"/>
          <w:highlight w:val="yellow"/>
        </w:rPr>
        <w:fldChar w:fldCharType="separate"/>
      </w:r>
      <w:r w:rsidRPr="006A7923">
        <w:rPr>
          <w:rFonts w:ascii="Times New Roman" w:hAnsi="Times New Roman" w:cs="Times New Roman"/>
          <w:sz w:val="20"/>
          <w:szCs w:val="20"/>
          <w:highlight w:val="yellow"/>
          <w:lang w:val="fr-CA"/>
        </w:rPr>
        <w:t>108</w:t>
      </w:r>
      <w:r w:rsidRPr="006A7923">
        <w:rPr>
          <w:rFonts w:ascii="Times New Roman" w:hAnsi="Times New Roman" w:cs="Times New Roman"/>
          <w:sz w:val="20"/>
          <w:szCs w:val="20"/>
          <w:highlight w:val="yellow"/>
        </w:rPr>
        <w:fldChar w:fldCharType="end"/>
      </w:r>
      <w:r w:rsidRPr="006A7923">
        <w:rPr>
          <w:rFonts w:ascii="Times New Roman" w:hAnsi="Times New Roman" w:cs="Times New Roman"/>
          <w:sz w:val="20"/>
          <w:szCs w:val="20"/>
          <w:lang w:val="fr-CA"/>
        </w:rPr>
        <w:t>.</w:t>
      </w:r>
    </w:p>
  </w:footnote>
  <w:footnote w:id="181">
    <w:p w14:paraId="11884E2D" w14:textId="439031E9"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Gusinskiy</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_Ref492914856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112</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sz w:val="20"/>
          <w:szCs w:val="20"/>
        </w:rPr>
        <w:t>Navalnyy</w:t>
      </w:r>
      <w:r w:rsidRPr="006A7923">
        <w:rPr>
          <w:rFonts w:ascii="Times New Roman" w:hAnsi="Times New Roman" w:cs="Times New Roman"/>
          <w:sz w:val="20"/>
          <w:szCs w:val="20"/>
        </w:rPr>
        <w:t xml:space="preserve">, </w:t>
      </w:r>
      <w:r w:rsidRPr="006A7923">
        <w:rPr>
          <w:rFonts w:ascii="Times New Roman" w:hAnsi="Times New Roman" w:cs="Times New Roman"/>
          <w:i/>
          <w:sz w:val="20"/>
          <w:szCs w:val="20"/>
        </w:rPr>
        <w:t xml:space="preserve">supra </w:t>
      </w:r>
      <w:r w:rsidRPr="006A7923">
        <w:rPr>
          <w:rFonts w:ascii="Times New Roman" w:hAnsi="Times New Roman" w:cs="Times New Roman"/>
          <w:sz w:val="20"/>
          <w:szCs w:val="20"/>
        </w:rPr>
        <w:t xml:space="preserve">note </w:t>
      </w:r>
      <w:r w:rsidRPr="006A7923">
        <w:rPr>
          <w:rFonts w:ascii="Times New Roman" w:hAnsi="Times New Roman" w:cs="Times New Roman"/>
          <w:sz w:val="20"/>
          <w:szCs w:val="20"/>
          <w:highlight w:val="yellow"/>
        </w:rPr>
        <w:fldChar w:fldCharType="begin"/>
      </w:r>
      <w:r w:rsidRPr="006A7923">
        <w:rPr>
          <w:rFonts w:ascii="Times New Roman" w:hAnsi="Times New Roman" w:cs="Times New Roman"/>
          <w:sz w:val="20"/>
          <w:szCs w:val="20"/>
          <w:highlight w:val="yellow"/>
        </w:rPr>
        <w:instrText xml:space="preserve"> NOTEREF _Ref532220551 \h  \* MERGEFORMAT </w:instrText>
      </w:r>
      <w:r w:rsidRPr="006A7923">
        <w:rPr>
          <w:rFonts w:ascii="Times New Roman" w:hAnsi="Times New Roman" w:cs="Times New Roman"/>
          <w:sz w:val="20"/>
          <w:szCs w:val="20"/>
          <w:highlight w:val="yellow"/>
        </w:rPr>
      </w:r>
      <w:r w:rsidRPr="006A7923">
        <w:rPr>
          <w:rFonts w:ascii="Times New Roman" w:hAnsi="Times New Roman" w:cs="Times New Roman"/>
          <w:sz w:val="20"/>
          <w:szCs w:val="20"/>
          <w:highlight w:val="yellow"/>
        </w:rPr>
        <w:fldChar w:fldCharType="separate"/>
      </w:r>
      <w:r w:rsidRPr="006A7923">
        <w:rPr>
          <w:rFonts w:ascii="Times New Roman" w:hAnsi="Times New Roman" w:cs="Times New Roman"/>
          <w:sz w:val="20"/>
          <w:szCs w:val="20"/>
          <w:highlight w:val="yellow"/>
        </w:rPr>
        <w:t>129</w:t>
      </w:r>
      <w:r w:rsidRPr="006A7923">
        <w:rPr>
          <w:rFonts w:ascii="Times New Roman" w:hAnsi="Times New Roman" w:cs="Times New Roman"/>
          <w:sz w:val="20"/>
          <w:szCs w:val="20"/>
          <w:highlight w:val="yellow"/>
        </w:rPr>
        <w:fldChar w:fldCharType="end"/>
      </w:r>
      <w:r w:rsidRPr="006A7923">
        <w:rPr>
          <w:rFonts w:ascii="Times New Roman" w:hAnsi="Times New Roman" w:cs="Times New Roman"/>
          <w:sz w:val="20"/>
          <w:szCs w:val="20"/>
        </w:rPr>
        <w:t>.</w:t>
      </w:r>
    </w:p>
  </w:footnote>
  <w:footnote w:id="182">
    <w:p w14:paraId="6550CF20" w14:textId="77777777" w:rsidR="00A51F58" w:rsidRPr="006A7923" w:rsidRDefault="00A51F58" w:rsidP="006700DD">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Selahattin Demirtaş</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_Ref532220551 \h </w:instrText>
      </w:r>
      <w:r w:rsidRPr="006A7923">
        <w:rPr>
          <w:rFonts w:ascii="Times New Roman" w:hAnsi="Times New Roman" w:cs="Times New Roman"/>
          <w:sz w:val="20"/>
          <w:szCs w:val="20"/>
          <w:highlight w:val="yellow"/>
        </w:rPr>
        <w:instrText xml:space="preserve"> \* MERGEFORMAT </w:instrText>
      </w:r>
      <w:r w:rsidRPr="006A7923">
        <w:rPr>
          <w:rFonts w:ascii="Times New Roman" w:hAnsi="Times New Roman" w:cs="Times New Roman"/>
          <w:sz w:val="20"/>
          <w:szCs w:val="20"/>
          <w:highlight w:val="yellow"/>
        </w:rPr>
      </w:r>
      <w:r w:rsidRPr="006A7923">
        <w:rPr>
          <w:rFonts w:ascii="Times New Roman" w:hAnsi="Times New Roman" w:cs="Times New Roman"/>
          <w:sz w:val="20"/>
          <w:szCs w:val="20"/>
          <w:highlight w:val="yellow"/>
        </w:rPr>
        <w:fldChar w:fldCharType="separate"/>
      </w:r>
      <w:r w:rsidRPr="006A7923">
        <w:rPr>
          <w:rFonts w:ascii="Times New Roman" w:hAnsi="Times New Roman" w:cs="Times New Roman"/>
          <w:color w:val="000000" w:themeColor="text1"/>
          <w:sz w:val="20"/>
          <w:szCs w:val="20"/>
          <w:highlight w:val="yellow"/>
        </w:rPr>
        <w:t>129</w:t>
      </w:r>
      <w:r w:rsidRPr="006A7923">
        <w:rPr>
          <w:rFonts w:ascii="Times New Roman" w:hAnsi="Times New Roman" w:cs="Times New Roman"/>
          <w:sz w:val="20"/>
          <w:szCs w:val="20"/>
          <w:highlight w:val="yellow"/>
        </w:rPr>
        <w:fldChar w:fldCharType="end"/>
      </w:r>
      <w:r w:rsidRPr="006A7923">
        <w:rPr>
          <w:rFonts w:ascii="Times New Roman" w:hAnsi="Times New Roman" w:cs="Times New Roman"/>
          <w:sz w:val="20"/>
          <w:szCs w:val="20"/>
        </w:rPr>
        <w:t>.</w:t>
      </w:r>
    </w:p>
  </w:footnote>
  <w:footnote w:id="183">
    <w:p w14:paraId="09EF22BC" w14:textId="241330DF" w:rsidR="00A51F58" w:rsidRPr="006A7923" w:rsidRDefault="00A51F58" w:rsidP="008E72AA">
      <w:pPr>
        <w:pStyle w:val="FootnoteText"/>
        <w:jc w:val="both"/>
        <w:rPr>
          <w:rFonts w:ascii="Times New Roman" w:hAnsi="Times New Roman" w:cs="Times New Roman"/>
          <w:sz w:val="20"/>
          <w:szCs w:val="20"/>
          <w:highlight w:val="cyan"/>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w:t>
      </w:r>
      <w:r w:rsidRPr="006A7923">
        <w:rPr>
          <w:rFonts w:ascii="Times New Roman" w:hAnsi="Times New Roman" w:cs="Times New Roman"/>
          <w:i/>
          <w:color w:val="000000" w:themeColor="text1"/>
          <w:sz w:val="20"/>
          <w:szCs w:val="20"/>
        </w:rPr>
        <w:t>Lutsenko</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 xml:space="preserve">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_Ref531700274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132</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sz w:val="20"/>
          <w:szCs w:val="20"/>
        </w:rPr>
        <w:t>Tymoshenko</w:t>
      </w:r>
      <w:r w:rsidRPr="006A7923">
        <w:rPr>
          <w:rFonts w:ascii="Times New Roman" w:hAnsi="Times New Roman" w:cs="Times New Roman"/>
          <w:color w:val="000000" w:themeColor="text1"/>
          <w:sz w:val="20"/>
          <w:szCs w:val="20"/>
        </w:rPr>
        <w:t xml:space="preserv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note</w:t>
      </w:r>
      <w:r w:rsidRPr="006A7923">
        <w:rPr>
          <w:rFonts w:ascii="Times New Roman" w:hAnsi="Times New Roman" w:cs="Times New Roman"/>
          <w:sz w:val="20"/>
          <w:szCs w:val="20"/>
        </w:rPr>
        <w:t xml:space="preserve"> </w:t>
      </w:r>
      <w:r w:rsidRPr="006A7923">
        <w:rPr>
          <w:rFonts w:ascii="Times New Roman" w:hAnsi="Times New Roman" w:cs="Times New Roman"/>
          <w:sz w:val="20"/>
          <w:szCs w:val="20"/>
          <w:highlight w:val="yellow"/>
        </w:rPr>
        <w:fldChar w:fldCharType="begin"/>
      </w:r>
      <w:r w:rsidRPr="006A7923">
        <w:rPr>
          <w:rFonts w:ascii="Times New Roman" w:hAnsi="Times New Roman" w:cs="Times New Roman"/>
          <w:sz w:val="20"/>
          <w:szCs w:val="20"/>
          <w:highlight w:val="yellow"/>
        </w:rPr>
        <w:instrText xml:space="preserve"> NOTEREF _Ref531700793 \h  \* MERGEFORMAT </w:instrText>
      </w:r>
      <w:r w:rsidRPr="006A7923">
        <w:rPr>
          <w:rFonts w:ascii="Times New Roman" w:hAnsi="Times New Roman" w:cs="Times New Roman"/>
          <w:sz w:val="20"/>
          <w:szCs w:val="20"/>
          <w:highlight w:val="yellow"/>
        </w:rPr>
      </w:r>
      <w:r w:rsidRPr="006A7923">
        <w:rPr>
          <w:rFonts w:ascii="Times New Roman" w:hAnsi="Times New Roman" w:cs="Times New Roman"/>
          <w:sz w:val="20"/>
          <w:szCs w:val="20"/>
          <w:highlight w:val="yellow"/>
        </w:rPr>
        <w:fldChar w:fldCharType="separate"/>
      </w:r>
      <w:r w:rsidRPr="006A7923">
        <w:rPr>
          <w:rFonts w:ascii="Times New Roman" w:hAnsi="Times New Roman" w:cs="Times New Roman"/>
          <w:sz w:val="20"/>
          <w:szCs w:val="20"/>
          <w:highlight w:val="yellow"/>
        </w:rPr>
        <w:t>156</w:t>
      </w:r>
      <w:r w:rsidRPr="006A7923">
        <w:rPr>
          <w:rFonts w:ascii="Times New Roman" w:hAnsi="Times New Roman" w:cs="Times New Roman"/>
          <w:sz w:val="20"/>
          <w:szCs w:val="20"/>
          <w:highlight w:val="yellow"/>
        </w:rPr>
        <w:fldChar w:fldCharType="end"/>
      </w:r>
      <w:r w:rsidRPr="006A7923">
        <w:rPr>
          <w:rFonts w:ascii="Times New Roman" w:hAnsi="Times New Roman" w:cs="Times New Roman"/>
          <w:color w:val="000000" w:themeColor="text1"/>
          <w:sz w:val="20"/>
          <w:szCs w:val="20"/>
        </w:rPr>
        <w:t>.</w:t>
      </w:r>
    </w:p>
  </w:footnote>
  <w:footnote w:id="184">
    <w:p w14:paraId="4CA03F5B" w14:textId="6F813505"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the preamble of the ECHR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_Ref496007621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49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reading: ‘Considering that the aim of the Council of Europe is the achievement of greater unity between its members and that one of the methods by which that aim is to be pursued is the maintenance and further realisation of Human Rights and Fundamental Freedoms’. See also the Statute of the Council of Europe (adopted 05 May 1949, entered into force 03 August 1949, ETS 001). Its preamble refers to the need for closer unity between European states. Article 1(a) reads: ‘The aim of the Council of Europe is to achieve a greater unity between its members for the purpose of safeguarding and realising the ideals and principles which are their common heritage and facilitating their economic and social progress.’ But see also the narratives of Bates (exploring the evolution of the ECHR system from a pact against totalitarianism into a European Bill of rights) and Duranti (who explains the origins of the ECHR as laying in the varied objectives pursued by its conservative founding fathers in the ways these perceived totalitarianism beyond fascism and communism). Ed Bates, </w:t>
      </w:r>
      <w:r w:rsidRPr="006A7923">
        <w:rPr>
          <w:rFonts w:ascii="Times New Roman" w:hAnsi="Times New Roman" w:cs="Times New Roman"/>
          <w:i/>
          <w:color w:val="000000" w:themeColor="text1"/>
          <w:sz w:val="20"/>
          <w:szCs w:val="20"/>
        </w:rPr>
        <w:t>The Evolution of the European Convention on Human Rights: From its Inception to the Creation of a Permanent Court of Human Rights</w:t>
      </w:r>
      <w:r w:rsidRPr="006A7923">
        <w:rPr>
          <w:rFonts w:ascii="Times New Roman" w:hAnsi="Times New Roman" w:cs="Times New Roman"/>
          <w:color w:val="000000" w:themeColor="text1"/>
          <w:sz w:val="20"/>
          <w:szCs w:val="20"/>
        </w:rPr>
        <w:t xml:space="preserve"> (OUP 2010) and Marco Duranti, </w:t>
      </w:r>
      <w:r w:rsidRPr="006A7923">
        <w:rPr>
          <w:rFonts w:ascii="Times New Roman" w:hAnsi="Times New Roman" w:cs="Times New Roman"/>
          <w:i/>
          <w:color w:val="000000" w:themeColor="text1"/>
          <w:sz w:val="20"/>
          <w:szCs w:val="20"/>
        </w:rPr>
        <w:t>The Conservative Human Rights Revolution: European Identity, Transnational Politics, and the Origins of the European Convention</w:t>
      </w:r>
      <w:r w:rsidRPr="006A7923">
        <w:rPr>
          <w:rFonts w:ascii="Times New Roman" w:hAnsi="Times New Roman" w:cs="Times New Roman"/>
          <w:color w:val="000000" w:themeColor="text1"/>
          <w:sz w:val="20"/>
          <w:szCs w:val="20"/>
        </w:rPr>
        <w:t xml:space="preserve"> (OUP 2017). </w:t>
      </w:r>
    </w:p>
  </w:footnote>
  <w:footnote w:id="185">
    <w:p w14:paraId="53507D6C" w14:textId="20D851D4"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for instance, Ed Bates, ‘The Continued Failure to Implement Hirst v UK’ (</w:t>
      </w:r>
      <w:r w:rsidRPr="006A7923">
        <w:rPr>
          <w:rFonts w:ascii="Times New Roman" w:hAnsi="Times New Roman" w:cs="Times New Roman"/>
          <w:i/>
          <w:color w:val="000000" w:themeColor="text1"/>
          <w:sz w:val="20"/>
          <w:szCs w:val="20"/>
        </w:rPr>
        <w:t>EJIL: Talk!</w:t>
      </w:r>
      <w:r w:rsidRPr="006A7923">
        <w:rPr>
          <w:rFonts w:ascii="Times New Roman" w:hAnsi="Times New Roman" w:cs="Times New Roman"/>
          <w:color w:val="000000" w:themeColor="text1"/>
          <w:sz w:val="20"/>
          <w:szCs w:val="20"/>
        </w:rPr>
        <w:t>, 15 December 2015) available at &lt;www.ejiltalk.org/the-continued-failure-to-implement-hirst-v-uk/&gt; accessed 19 July 2017 and Maxim Timofeyev, ‘Money Makes the Court Go Round: The Russian Constitutional Court’s Yukos Judgment’ (</w:t>
      </w:r>
      <w:r w:rsidRPr="006A7923">
        <w:rPr>
          <w:rFonts w:ascii="Times New Roman" w:hAnsi="Times New Roman" w:cs="Times New Roman"/>
          <w:i/>
          <w:color w:val="000000" w:themeColor="text1"/>
          <w:sz w:val="20"/>
          <w:szCs w:val="20"/>
        </w:rPr>
        <w:t>Verfassungsblog on Matters of Constitutional Law</w:t>
      </w:r>
      <w:r w:rsidRPr="006A7923">
        <w:rPr>
          <w:rFonts w:ascii="Times New Roman" w:hAnsi="Times New Roman" w:cs="Times New Roman"/>
          <w:color w:val="000000" w:themeColor="text1"/>
          <w:sz w:val="20"/>
          <w:szCs w:val="20"/>
        </w:rPr>
        <w:t>, 26 January 2017) available at &lt;http://verfassungsblog.de/money-makes-the-court-go-round-the-russian-constitutional-courts-yukos-judgment/&gt; accessed 19 July 2017. Regarding the UK, see also the note by Andreas von Staden arguing that the measures taken in compliance with the ECHR prisoner voting case law is rather insufficient, ‘Minimalist Compliance in the UK Prisoner Voting Rights Cases’ (</w:t>
      </w:r>
      <w:r w:rsidRPr="006A7923">
        <w:rPr>
          <w:rFonts w:ascii="Times New Roman" w:hAnsi="Times New Roman" w:cs="Times New Roman"/>
          <w:i/>
          <w:color w:val="000000" w:themeColor="text1"/>
          <w:sz w:val="20"/>
          <w:szCs w:val="20"/>
        </w:rPr>
        <w:t>ECHR Blog</w:t>
      </w:r>
      <w:r w:rsidRPr="006A7923">
        <w:rPr>
          <w:rFonts w:ascii="Times New Roman" w:hAnsi="Times New Roman" w:cs="Times New Roman"/>
          <w:color w:val="000000" w:themeColor="text1"/>
          <w:sz w:val="20"/>
          <w:szCs w:val="20"/>
        </w:rPr>
        <w:t xml:space="preserve">, 16 November 2018) available at &lt;http://echrblog.blogspot.com/2018/11/guest-blog-minimalist-compliance-in-uk.html?utm_source=feedburner&amp;utm_medium=email&amp;utm_campaign=Feed%3A+blogspot%2FKCGaBs+%28ECHR+BLOG%29&gt; accessed 10 December 2018. </w:t>
      </w:r>
    </w:p>
  </w:footnote>
  <w:footnote w:id="186">
    <w:p w14:paraId="6DAAEB8F" w14:textId="63635ECE"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Amos, who finds a correlation between the European consensus method of interpretation in cases against the UK and British scepticism </w:t>
      </w:r>
      <w:r w:rsidRPr="006A7923">
        <w:rPr>
          <w:rFonts w:ascii="Times New Roman" w:hAnsi="Times New Roman" w:cs="Times New Roman"/>
          <w:i/>
          <w:color w:val="000000" w:themeColor="text1"/>
          <w:sz w:val="20"/>
          <w:szCs w:val="20"/>
        </w:rPr>
        <w:t>vis-à-vis</w:t>
      </w:r>
      <w:r w:rsidRPr="006A7923">
        <w:rPr>
          <w:rFonts w:ascii="Times New Roman" w:hAnsi="Times New Roman" w:cs="Times New Roman"/>
          <w:color w:val="000000" w:themeColor="text1"/>
          <w:sz w:val="20"/>
          <w:szCs w:val="20"/>
        </w:rPr>
        <w:t xml:space="preserve"> the ECtHR. Merris Amos, ‘Can European Consensus Encourage Acceptance of the European Convention on Human Rights in the United Kingdom?’ in Panos Kapotas and Vassilis P. Tzevelekos (eds) </w:t>
      </w:r>
      <w:r w:rsidRPr="006A7923">
        <w:rPr>
          <w:rFonts w:ascii="Times New Roman" w:hAnsi="Times New Roman" w:cs="Times New Roman"/>
          <w:i/>
          <w:color w:val="000000" w:themeColor="text1"/>
          <w:sz w:val="20"/>
          <w:szCs w:val="20"/>
        </w:rPr>
        <w:t>Building Consensus on European Consensus: Judicial Interpretation of Human Rights in Europe and Beyond</w:t>
      </w:r>
      <w:r w:rsidRPr="006A7923">
        <w:rPr>
          <w:rFonts w:ascii="Times New Roman" w:hAnsi="Times New Roman" w:cs="Times New Roman"/>
          <w:color w:val="000000" w:themeColor="text1"/>
          <w:sz w:val="20"/>
          <w:szCs w:val="20"/>
        </w:rPr>
        <w:t xml:space="preserve"> (CUP 2019).</w:t>
      </w:r>
    </w:p>
  </w:footnote>
  <w:footnote w:id="187">
    <w:p w14:paraId="68970E73" w14:textId="66AB99D8"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See, for instance, the importance given to margin of appreciation (a method of interpretation whereby the ECtHR grants discretion to national authorities) in the Brighton declaration, at paras 11 and 12, and especially 12(b). European Court of Human Rights, ‘High Level Conference on the Future of the European Court of Human Rights’ (19-20 April 2012) available at &lt;www.echr.coe.int/Documents/2012_Brighton_FinalDeclaration_ENG.pdf&gt; </w:t>
      </w:r>
      <w:r w:rsidRPr="006A7923">
        <w:rPr>
          <w:rFonts w:ascii="Times New Roman" w:hAnsi="Times New Roman" w:cs="Times New Roman"/>
          <w:color w:val="000000" w:themeColor="text1"/>
          <w:sz w:val="20"/>
          <w:szCs w:val="20"/>
        </w:rPr>
        <w:t>accessed 19 July 2017.</w:t>
      </w:r>
      <w:r w:rsidRPr="006A7923">
        <w:rPr>
          <w:rFonts w:ascii="Times New Roman" w:hAnsi="Times New Roman" w:cs="Times New Roman"/>
          <w:sz w:val="20"/>
          <w:szCs w:val="20"/>
        </w:rPr>
        <w:t xml:space="preserve"> See also Article 1 of Protocol 15 to the ECHR, which has not yet entered into force. </w:t>
      </w:r>
    </w:p>
  </w:footnote>
  <w:footnote w:id="188">
    <w:p w14:paraId="21CC8157" w14:textId="63251B66"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Article 3 of the </w:t>
      </w:r>
      <w:r w:rsidRPr="006A7923">
        <w:rPr>
          <w:rFonts w:ascii="Times New Roman" w:hAnsi="Times New Roman" w:cs="Times New Roman"/>
          <w:color w:val="000000" w:themeColor="text1"/>
          <w:sz w:val="20"/>
          <w:szCs w:val="20"/>
        </w:rPr>
        <w:t>Statute of the Council of Europe (</w:t>
      </w:r>
      <w:r w:rsidRPr="006A7923">
        <w:rPr>
          <w:rFonts w:ascii="Times New Roman" w:hAnsi="Times New Roman" w:cs="Times New Roman"/>
          <w:i/>
          <w:color w:val="000000" w:themeColor="text1"/>
          <w:sz w:val="20"/>
          <w:szCs w:val="20"/>
        </w:rPr>
        <w:t>supra</w:t>
      </w:r>
      <w:r w:rsidRPr="006A7923">
        <w:rPr>
          <w:rFonts w:ascii="Times New Roman" w:hAnsi="Times New Roman" w:cs="Times New Roman"/>
          <w:color w:val="000000" w:themeColor="text1"/>
          <w:sz w:val="20"/>
          <w:szCs w:val="20"/>
        </w:rPr>
        <w:t xml:space="preserve"> note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_Ref534223461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183</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rPr>
        <w:t xml:space="preserve">) reads: “Every member of the Council of Europe must accept the principles of the rule of law and of the enjoyment by all persons within its jurisdiction of human rights and fundamental freedoms, and </w:t>
      </w:r>
      <w:r w:rsidRPr="006A7923">
        <w:rPr>
          <w:rFonts w:ascii="Times New Roman" w:hAnsi="Times New Roman" w:cs="Times New Roman"/>
          <w:i/>
          <w:color w:val="000000" w:themeColor="text1"/>
          <w:sz w:val="20"/>
          <w:szCs w:val="20"/>
        </w:rPr>
        <w:t xml:space="preserve">collaborate sincerely and effectively in the realisation of the aim of the Council </w:t>
      </w:r>
      <w:r w:rsidRPr="006A7923">
        <w:rPr>
          <w:rFonts w:ascii="Times New Roman" w:hAnsi="Times New Roman" w:cs="Times New Roman"/>
          <w:color w:val="000000" w:themeColor="text1"/>
          <w:sz w:val="20"/>
          <w:szCs w:val="20"/>
        </w:rPr>
        <w:t xml:space="preserve">as specified in Chapter I [of the Statute]” (emphasis added). </w:t>
      </w:r>
    </w:p>
  </w:footnote>
  <w:footnote w:id="189">
    <w:p w14:paraId="0EA69AD3" w14:textId="667D3E58"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also Greene, </w:t>
      </w:r>
      <w:r w:rsidRPr="006A7923">
        <w:rPr>
          <w:rFonts w:ascii="Times New Roman" w:hAnsi="Times New Roman" w:cs="Times New Roman"/>
          <w:i/>
          <w:color w:val="000000" w:themeColor="text1"/>
          <w:sz w:val="20"/>
          <w:szCs w:val="20"/>
        </w:rPr>
        <w:t xml:space="preserve">supra </w:t>
      </w:r>
      <w:r w:rsidRPr="006A7923">
        <w:rPr>
          <w:rFonts w:ascii="Times New Roman" w:hAnsi="Times New Roman" w:cs="Times New Roman"/>
          <w:color w:val="000000" w:themeColor="text1"/>
          <w:sz w:val="20"/>
          <w:szCs w:val="20"/>
        </w:rPr>
        <w:t>note</w:t>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_Ref492826270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59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rPr>
        <w:t>last part of the written evidence, titled ‘The Legitimacy of the ECtHR and Derogations’.</w:t>
      </w:r>
    </w:p>
  </w:footnote>
  <w:footnote w:id="190">
    <w:p w14:paraId="0CBE2071" w14:textId="18F524F2" w:rsidR="00A51F58" w:rsidRPr="006A7923" w:rsidRDefault="00A51F58" w:rsidP="008E72AA">
      <w:pPr>
        <w:pStyle w:val="FootnoteText"/>
        <w:jc w:val="both"/>
        <w:rPr>
          <w:rFonts w:ascii="Times New Roman" w:hAnsi="Times New Roman" w:cs="Times New Roman"/>
          <w:sz w:val="20"/>
          <w:szCs w:val="20"/>
        </w:rPr>
      </w:pPr>
      <w:r w:rsidRPr="006A7923">
        <w:rPr>
          <w:rStyle w:val="FootnoteReference"/>
          <w:rFonts w:ascii="Times New Roman" w:hAnsi="Times New Roman" w:cs="Times New Roman"/>
          <w:sz w:val="20"/>
          <w:szCs w:val="20"/>
        </w:rPr>
        <w:footnoteRef/>
      </w:r>
      <w:r w:rsidRPr="006A7923">
        <w:rPr>
          <w:rFonts w:ascii="Times New Roman" w:hAnsi="Times New Roman" w:cs="Times New Roman"/>
          <w:sz w:val="20"/>
          <w:szCs w:val="20"/>
        </w:rPr>
        <w:t xml:space="preserve"> For a similar argument regarding extraterritoriality, among others, see Tzevelekos, </w:t>
      </w:r>
      <w:r w:rsidRPr="006A7923">
        <w:rPr>
          <w:rFonts w:ascii="Times New Roman" w:hAnsi="Times New Roman" w:cs="Times New Roman"/>
          <w:i/>
          <w:sz w:val="20"/>
          <w:szCs w:val="20"/>
        </w:rPr>
        <w:t xml:space="preserve">supra </w:t>
      </w:r>
      <w:r w:rsidRPr="006A7923">
        <w:rPr>
          <w:rFonts w:ascii="Times New Roman" w:hAnsi="Times New Roman" w:cs="Times New Roman"/>
          <w:sz w:val="20"/>
          <w:szCs w:val="20"/>
        </w:rPr>
        <w:t>note</w:t>
      </w:r>
      <w:r w:rsidRPr="006A7923">
        <w:rPr>
          <w:rFonts w:ascii="Times New Roman" w:hAnsi="Times New Roman" w:cs="Times New Roman"/>
          <w:color w:val="000000" w:themeColor="text1"/>
          <w:sz w:val="20"/>
          <w:szCs w:val="20"/>
          <w:highlight w:val="yellow"/>
        </w:rPr>
        <w:t xml:space="preserve"> </w:t>
      </w:r>
      <w:r w:rsidRPr="006A7923">
        <w:rPr>
          <w:rFonts w:ascii="Times New Roman" w:hAnsi="Times New Roman" w:cs="Times New Roman"/>
          <w:color w:val="000000" w:themeColor="text1"/>
          <w:sz w:val="20"/>
          <w:szCs w:val="20"/>
          <w:highlight w:val="yellow"/>
        </w:rPr>
        <w:fldChar w:fldCharType="begin"/>
      </w:r>
      <w:r w:rsidRPr="006A7923">
        <w:rPr>
          <w:rFonts w:ascii="Times New Roman" w:hAnsi="Times New Roman" w:cs="Times New Roman"/>
          <w:color w:val="000000" w:themeColor="text1"/>
          <w:sz w:val="20"/>
          <w:szCs w:val="20"/>
          <w:highlight w:val="yellow"/>
        </w:rPr>
        <w:instrText xml:space="preserve"> NOTEREF _Ref492890644 \h  \* MERGEFORMAT </w:instrText>
      </w:r>
      <w:r w:rsidRPr="006A7923">
        <w:rPr>
          <w:rFonts w:ascii="Times New Roman" w:hAnsi="Times New Roman" w:cs="Times New Roman"/>
          <w:color w:val="000000" w:themeColor="text1"/>
          <w:sz w:val="20"/>
          <w:szCs w:val="20"/>
          <w:highlight w:val="yellow"/>
        </w:rPr>
      </w:r>
      <w:r w:rsidRPr="006A7923">
        <w:rPr>
          <w:rFonts w:ascii="Times New Roman" w:hAnsi="Times New Roman" w:cs="Times New Roman"/>
          <w:color w:val="000000" w:themeColor="text1"/>
          <w:sz w:val="20"/>
          <w:szCs w:val="20"/>
          <w:highlight w:val="yellow"/>
        </w:rPr>
        <w:fldChar w:fldCharType="separate"/>
      </w:r>
      <w:r w:rsidRPr="006A7923">
        <w:rPr>
          <w:rFonts w:ascii="Times New Roman" w:hAnsi="Times New Roman" w:cs="Times New Roman"/>
          <w:color w:val="000000" w:themeColor="text1"/>
          <w:sz w:val="20"/>
          <w:szCs w:val="20"/>
          <w:highlight w:val="yellow"/>
        </w:rPr>
        <w:t>9</w:t>
      </w:r>
      <w:r w:rsidRPr="006A7923">
        <w:rPr>
          <w:rFonts w:ascii="Times New Roman" w:hAnsi="Times New Roman" w:cs="Times New Roman"/>
          <w:color w:val="000000" w:themeColor="text1"/>
          <w:sz w:val="20"/>
          <w:szCs w:val="20"/>
          <w:highlight w:val="yellow"/>
        </w:rPr>
        <w:fldChar w:fldCharType="end"/>
      </w:r>
      <w:r w:rsidRPr="006A7923">
        <w:rPr>
          <w:rFonts w:ascii="Times New Roman" w:hAnsi="Times New Roman" w:cs="Times New Roman"/>
          <w:color w:val="000000" w:themeColor="text1"/>
          <w:sz w:val="20"/>
          <w:szCs w:val="20"/>
          <w:highlight w:val="yellow"/>
        </w:rPr>
        <w:t>,</w:t>
      </w:r>
      <w:r w:rsidRPr="006A7923">
        <w:rPr>
          <w:rFonts w:ascii="Times New Roman" w:hAnsi="Times New Roman" w:cs="Times New Roman"/>
          <w:color w:val="000000" w:themeColor="text1"/>
          <w:sz w:val="20"/>
          <w:szCs w:val="20"/>
        </w:rPr>
        <w:t xml:space="preserve"> at 142.</w:t>
      </w:r>
    </w:p>
  </w:footnote>
  <w:footnote w:id="191">
    <w:p w14:paraId="550A02C0" w14:textId="6595B30E" w:rsidR="00A51F58" w:rsidRPr="006A7923" w:rsidRDefault="00A51F58" w:rsidP="008E72AA">
      <w:pPr>
        <w:pStyle w:val="FootnoteText"/>
        <w:jc w:val="both"/>
        <w:rPr>
          <w:rFonts w:ascii="Times New Roman" w:hAnsi="Times New Roman" w:cs="Times New Roman"/>
          <w:color w:val="000000" w:themeColor="text1"/>
          <w:sz w:val="20"/>
          <w:szCs w:val="20"/>
        </w:rPr>
      </w:pPr>
      <w:r w:rsidRPr="006A7923">
        <w:rPr>
          <w:rStyle w:val="FootnoteReference"/>
          <w:rFonts w:ascii="Times New Roman" w:hAnsi="Times New Roman" w:cs="Times New Roman"/>
          <w:color w:val="000000" w:themeColor="text1"/>
          <w:sz w:val="20"/>
          <w:szCs w:val="20"/>
        </w:rPr>
        <w:footnoteRef/>
      </w:r>
      <w:r w:rsidRPr="006A7923">
        <w:rPr>
          <w:rFonts w:ascii="Times New Roman" w:hAnsi="Times New Roman" w:cs="Times New Roman"/>
          <w:color w:val="000000" w:themeColor="text1"/>
          <w:sz w:val="20"/>
          <w:szCs w:val="20"/>
        </w:rPr>
        <w:t xml:space="preserve"> See, for instance the talk on Brexit by Theresa May where she suggests that the UK should withdraw from the ECHR: ‘Theresa May’s speech on Brexit’ (25 April 2016), available at &lt;www.conservativehome.com/parliament/2016/04/theresa-mays-speech-on-brexit-full-text.html&gt; accessed 19 July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7872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A329F"/>
    <w:multiLevelType w:val="hybridMultilevel"/>
    <w:tmpl w:val="FBAE0C0C"/>
    <w:lvl w:ilvl="0" w:tplc="D1B6B700">
      <w:start w:val="5"/>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EE501F"/>
    <w:multiLevelType w:val="hybridMultilevel"/>
    <w:tmpl w:val="F68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C0CD2"/>
    <w:multiLevelType w:val="hybridMultilevel"/>
    <w:tmpl w:val="7176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F2DFF"/>
    <w:multiLevelType w:val="hybridMultilevel"/>
    <w:tmpl w:val="35961C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94592"/>
    <w:multiLevelType w:val="hybridMultilevel"/>
    <w:tmpl w:val="526C5164"/>
    <w:lvl w:ilvl="0" w:tplc="85AA2F4E">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041441"/>
    <w:multiLevelType w:val="hybridMultilevel"/>
    <w:tmpl w:val="77B600F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10180C25"/>
    <w:multiLevelType w:val="hybridMultilevel"/>
    <w:tmpl w:val="38A45E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721807"/>
    <w:multiLevelType w:val="multilevel"/>
    <w:tmpl w:val="E2C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7B69C3"/>
    <w:multiLevelType w:val="hybridMultilevel"/>
    <w:tmpl w:val="0510B08A"/>
    <w:lvl w:ilvl="0" w:tplc="F5541926">
      <w:start w:val="4"/>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F80B06"/>
    <w:multiLevelType w:val="hybridMultilevel"/>
    <w:tmpl w:val="2AE2AA4E"/>
    <w:lvl w:ilvl="0" w:tplc="EA0084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FF4174"/>
    <w:multiLevelType w:val="hybridMultilevel"/>
    <w:tmpl w:val="31642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81691"/>
    <w:multiLevelType w:val="multilevel"/>
    <w:tmpl w:val="B5B0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B87265"/>
    <w:multiLevelType w:val="multilevel"/>
    <w:tmpl w:val="BA76B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E34B5"/>
    <w:multiLevelType w:val="multilevel"/>
    <w:tmpl w:val="720ED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B79E0"/>
    <w:multiLevelType w:val="multilevel"/>
    <w:tmpl w:val="AE1CF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EE1DBA"/>
    <w:multiLevelType w:val="hybridMultilevel"/>
    <w:tmpl w:val="3DC4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74F05"/>
    <w:multiLevelType w:val="multilevel"/>
    <w:tmpl w:val="5104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F1158"/>
    <w:multiLevelType w:val="hybridMultilevel"/>
    <w:tmpl w:val="E9E6A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B39B0"/>
    <w:multiLevelType w:val="hybridMultilevel"/>
    <w:tmpl w:val="0220C3C8"/>
    <w:lvl w:ilvl="0" w:tplc="A556404C">
      <w:start w:val="3"/>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9D6231"/>
    <w:multiLevelType w:val="hybridMultilevel"/>
    <w:tmpl w:val="77C6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D4729"/>
    <w:multiLevelType w:val="hybridMultilevel"/>
    <w:tmpl w:val="AAD2C8A6"/>
    <w:lvl w:ilvl="0" w:tplc="10E6A8D8">
      <w:start w:val="1"/>
      <w:numFmt w:val="bullet"/>
      <w:lvlText w:val=""/>
      <w:lvlJc w:val="left"/>
      <w:pPr>
        <w:ind w:left="720" w:hanging="360"/>
      </w:pPr>
      <w:rPr>
        <w:rFonts w:ascii="Symbol" w:hAnsi="Symbol" w:hint="default"/>
        <w:sz w:val="24"/>
        <w:szCs w:val="24"/>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FCB4A1E"/>
    <w:multiLevelType w:val="hybridMultilevel"/>
    <w:tmpl w:val="3A2C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943EC"/>
    <w:multiLevelType w:val="multilevel"/>
    <w:tmpl w:val="0FF0E07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5846BF"/>
    <w:multiLevelType w:val="multilevel"/>
    <w:tmpl w:val="9C781F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A37B11"/>
    <w:multiLevelType w:val="hybridMultilevel"/>
    <w:tmpl w:val="14AC61D0"/>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6" w15:restartNumberingAfterBreak="0">
    <w:nsid w:val="74C57730"/>
    <w:multiLevelType w:val="multilevel"/>
    <w:tmpl w:val="5C7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52F7C"/>
    <w:multiLevelType w:val="hybridMultilevel"/>
    <w:tmpl w:val="E124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B5B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05FCB"/>
    <w:multiLevelType w:val="multilevel"/>
    <w:tmpl w:val="68423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2"/>
  </w:num>
  <w:num w:numId="3">
    <w:abstractNumId w:val="25"/>
  </w:num>
  <w:num w:numId="4">
    <w:abstractNumId w:val="16"/>
  </w:num>
  <w:num w:numId="5">
    <w:abstractNumId w:val="7"/>
  </w:num>
  <w:num w:numId="6">
    <w:abstractNumId w:val="23"/>
  </w:num>
  <w:num w:numId="7">
    <w:abstractNumId w:val="29"/>
  </w:num>
  <w:num w:numId="8">
    <w:abstractNumId w:val="12"/>
  </w:num>
  <w:num w:numId="9">
    <w:abstractNumId w:val="24"/>
  </w:num>
  <w:num w:numId="10">
    <w:abstractNumId w:val="18"/>
  </w:num>
  <w:num w:numId="11">
    <w:abstractNumId w:val="11"/>
  </w:num>
  <w:num w:numId="12">
    <w:abstractNumId w:val="15"/>
  </w:num>
  <w:num w:numId="13">
    <w:abstractNumId w:val="8"/>
  </w:num>
  <w:num w:numId="14">
    <w:abstractNumId w:val="26"/>
  </w:num>
  <w:num w:numId="15">
    <w:abstractNumId w:val="17"/>
  </w:num>
  <w:num w:numId="16">
    <w:abstractNumId w:val="13"/>
  </w:num>
  <w:num w:numId="17">
    <w:abstractNumId w:val="4"/>
  </w:num>
  <w:num w:numId="18">
    <w:abstractNumId w:val="28"/>
  </w:num>
  <w:num w:numId="19">
    <w:abstractNumId w:val="21"/>
  </w:num>
  <w:num w:numId="20">
    <w:abstractNumId w:val="6"/>
  </w:num>
  <w:num w:numId="21">
    <w:abstractNumId w:val="14"/>
  </w:num>
  <w:num w:numId="22">
    <w:abstractNumId w:val="1"/>
  </w:num>
  <w:num w:numId="23">
    <w:abstractNumId w:val="9"/>
  </w:num>
  <w:num w:numId="24">
    <w:abstractNumId w:val="19"/>
  </w:num>
  <w:num w:numId="25">
    <w:abstractNumId w:val="5"/>
  </w:num>
  <w:num w:numId="26">
    <w:abstractNumId w:val="10"/>
  </w:num>
  <w:num w:numId="27">
    <w:abstractNumId w:val="0"/>
  </w:num>
  <w:num w:numId="28">
    <w:abstractNumId w:val="3"/>
  </w:num>
  <w:num w:numId="29">
    <w:abstractNumId w:val="2"/>
  </w:num>
  <w:num w:numId="3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Alice Hofbauer">
    <w15:presenceInfo w15:providerId="None" w15:userId="Jane Alice Hofbauer"/>
  </w15:person>
  <w15:person w15:author="Dr Vassilis Tzevelekos">
    <w15:presenceInfo w15:providerId="None" w15:userId="Dr Vassilis Tzevelek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3A"/>
    <w:rsid w:val="00000971"/>
    <w:rsid w:val="00000BD9"/>
    <w:rsid w:val="0000228B"/>
    <w:rsid w:val="00002790"/>
    <w:rsid w:val="000027C6"/>
    <w:rsid w:val="0000457B"/>
    <w:rsid w:val="000045F1"/>
    <w:rsid w:val="00004993"/>
    <w:rsid w:val="00004C72"/>
    <w:rsid w:val="0000508F"/>
    <w:rsid w:val="0000595A"/>
    <w:rsid w:val="000059AD"/>
    <w:rsid w:val="000059FD"/>
    <w:rsid w:val="00005B08"/>
    <w:rsid w:val="00005C19"/>
    <w:rsid w:val="00005E6C"/>
    <w:rsid w:val="00006679"/>
    <w:rsid w:val="00006801"/>
    <w:rsid w:val="0000694B"/>
    <w:rsid w:val="000069AD"/>
    <w:rsid w:val="00007D18"/>
    <w:rsid w:val="00007FD5"/>
    <w:rsid w:val="000100E1"/>
    <w:rsid w:val="000117ED"/>
    <w:rsid w:val="00011844"/>
    <w:rsid w:val="00011C24"/>
    <w:rsid w:val="00011FD8"/>
    <w:rsid w:val="00012A6C"/>
    <w:rsid w:val="00013413"/>
    <w:rsid w:val="000134EE"/>
    <w:rsid w:val="00013737"/>
    <w:rsid w:val="00013E2A"/>
    <w:rsid w:val="0001456F"/>
    <w:rsid w:val="000148DF"/>
    <w:rsid w:val="00014E00"/>
    <w:rsid w:val="00015143"/>
    <w:rsid w:val="0001531A"/>
    <w:rsid w:val="00015371"/>
    <w:rsid w:val="0001539C"/>
    <w:rsid w:val="00015BD8"/>
    <w:rsid w:val="0001617A"/>
    <w:rsid w:val="00016E5B"/>
    <w:rsid w:val="000175F8"/>
    <w:rsid w:val="0001769E"/>
    <w:rsid w:val="00020047"/>
    <w:rsid w:val="000204C4"/>
    <w:rsid w:val="000206C8"/>
    <w:rsid w:val="00020ECC"/>
    <w:rsid w:val="000214F0"/>
    <w:rsid w:val="00022C23"/>
    <w:rsid w:val="00022D8F"/>
    <w:rsid w:val="0002383E"/>
    <w:rsid w:val="00023F1F"/>
    <w:rsid w:val="00023FFE"/>
    <w:rsid w:val="0002423A"/>
    <w:rsid w:val="00024E0F"/>
    <w:rsid w:val="00025218"/>
    <w:rsid w:val="000259A5"/>
    <w:rsid w:val="0002715F"/>
    <w:rsid w:val="000273CE"/>
    <w:rsid w:val="000301E1"/>
    <w:rsid w:val="0003075D"/>
    <w:rsid w:val="00030DF1"/>
    <w:rsid w:val="00030E06"/>
    <w:rsid w:val="000312C0"/>
    <w:rsid w:val="000312C9"/>
    <w:rsid w:val="000314AF"/>
    <w:rsid w:val="000317D8"/>
    <w:rsid w:val="000332D2"/>
    <w:rsid w:val="0003380E"/>
    <w:rsid w:val="00033AB2"/>
    <w:rsid w:val="000340F7"/>
    <w:rsid w:val="0003418A"/>
    <w:rsid w:val="000346FA"/>
    <w:rsid w:val="00035278"/>
    <w:rsid w:val="00035812"/>
    <w:rsid w:val="00037490"/>
    <w:rsid w:val="000379B8"/>
    <w:rsid w:val="00037A8A"/>
    <w:rsid w:val="00037B66"/>
    <w:rsid w:val="00037CB8"/>
    <w:rsid w:val="000406B3"/>
    <w:rsid w:val="00040901"/>
    <w:rsid w:val="000410C4"/>
    <w:rsid w:val="00042B9E"/>
    <w:rsid w:val="00042F20"/>
    <w:rsid w:val="000432B2"/>
    <w:rsid w:val="00043332"/>
    <w:rsid w:val="0004335B"/>
    <w:rsid w:val="00043F88"/>
    <w:rsid w:val="00044CF4"/>
    <w:rsid w:val="00044F09"/>
    <w:rsid w:val="000451F7"/>
    <w:rsid w:val="0004526E"/>
    <w:rsid w:val="00046349"/>
    <w:rsid w:val="00046D52"/>
    <w:rsid w:val="00046F31"/>
    <w:rsid w:val="0005012B"/>
    <w:rsid w:val="000503ED"/>
    <w:rsid w:val="0005173B"/>
    <w:rsid w:val="000519DC"/>
    <w:rsid w:val="00052D72"/>
    <w:rsid w:val="0005309D"/>
    <w:rsid w:val="00054770"/>
    <w:rsid w:val="00054CEE"/>
    <w:rsid w:val="00055DB6"/>
    <w:rsid w:val="00056CF2"/>
    <w:rsid w:val="0005758D"/>
    <w:rsid w:val="00057B0F"/>
    <w:rsid w:val="00060661"/>
    <w:rsid w:val="0006084A"/>
    <w:rsid w:val="000620A0"/>
    <w:rsid w:val="00062954"/>
    <w:rsid w:val="00062E76"/>
    <w:rsid w:val="00063267"/>
    <w:rsid w:val="00063C63"/>
    <w:rsid w:val="00064A33"/>
    <w:rsid w:val="00066B6E"/>
    <w:rsid w:val="00070812"/>
    <w:rsid w:val="00070E5A"/>
    <w:rsid w:val="000712E2"/>
    <w:rsid w:val="00071B7B"/>
    <w:rsid w:val="00071E5B"/>
    <w:rsid w:val="0007206D"/>
    <w:rsid w:val="000721E7"/>
    <w:rsid w:val="00074071"/>
    <w:rsid w:val="00074E88"/>
    <w:rsid w:val="00075A23"/>
    <w:rsid w:val="00076455"/>
    <w:rsid w:val="000767B4"/>
    <w:rsid w:val="00076E3A"/>
    <w:rsid w:val="0007757A"/>
    <w:rsid w:val="000776F7"/>
    <w:rsid w:val="00080F27"/>
    <w:rsid w:val="00081718"/>
    <w:rsid w:val="000818B7"/>
    <w:rsid w:val="00081E09"/>
    <w:rsid w:val="00082282"/>
    <w:rsid w:val="0008240E"/>
    <w:rsid w:val="0008262B"/>
    <w:rsid w:val="0008264B"/>
    <w:rsid w:val="00082BD6"/>
    <w:rsid w:val="0008308D"/>
    <w:rsid w:val="0008334F"/>
    <w:rsid w:val="00083831"/>
    <w:rsid w:val="00083D56"/>
    <w:rsid w:val="00083E02"/>
    <w:rsid w:val="000842F6"/>
    <w:rsid w:val="00084472"/>
    <w:rsid w:val="00084A0E"/>
    <w:rsid w:val="00084EBD"/>
    <w:rsid w:val="00085377"/>
    <w:rsid w:val="0008559C"/>
    <w:rsid w:val="0008590A"/>
    <w:rsid w:val="00085FA3"/>
    <w:rsid w:val="0008609D"/>
    <w:rsid w:val="000869C7"/>
    <w:rsid w:val="00086E30"/>
    <w:rsid w:val="000900F5"/>
    <w:rsid w:val="000901B4"/>
    <w:rsid w:val="000901F1"/>
    <w:rsid w:val="00090615"/>
    <w:rsid w:val="00091134"/>
    <w:rsid w:val="00091FBD"/>
    <w:rsid w:val="000925D5"/>
    <w:rsid w:val="000926C7"/>
    <w:rsid w:val="00092DBD"/>
    <w:rsid w:val="000930CC"/>
    <w:rsid w:val="000933A5"/>
    <w:rsid w:val="00093B59"/>
    <w:rsid w:val="0009443F"/>
    <w:rsid w:val="00094B73"/>
    <w:rsid w:val="0009525B"/>
    <w:rsid w:val="0009546E"/>
    <w:rsid w:val="000962A5"/>
    <w:rsid w:val="000966B9"/>
    <w:rsid w:val="00096B69"/>
    <w:rsid w:val="00097757"/>
    <w:rsid w:val="0009782F"/>
    <w:rsid w:val="00097B57"/>
    <w:rsid w:val="000A00EE"/>
    <w:rsid w:val="000A05B2"/>
    <w:rsid w:val="000A0B51"/>
    <w:rsid w:val="000A2A7D"/>
    <w:rsid w:val="000A2DBD"/>
    <w:rsid w:val="000A30F8"/>
    <w:rsid w:val="000A3215"/>
    <w:rsid w:val="000A322F"/>
    <w:rsid w:val="000A33AE"/>
    <w:rsid w:val="000A37A9"/>
    <w:rsid w:val="000A37F4"/>
    <w:rsid w:val="000A39B7"/>
    <w:rsid w:val="000A3E26"/>
    <w:rsid w:val="000A535C"/>
    <w:rsid w:val="000A62BA"/>
    <w:rsid w:val="000A660E"/>
    <w:rsid w:val="000A6663"/>
    <w:rsid w:val="000A6B0F"/>
    <w:rsid w:val="000A7573"/>
    <w:rsid w:val="000A7832"/>
    <w:rsid w:val="000A7E6C"/>
    <w:rsid w:val="000A7FB4"/>
    <w:rsid w:val="000B031C"/>
    <w:rsid w:val="000B0519"/>
    <w:rsid w:val="000B12D3"/>
    <w:rsid w:val="000B1600"/>
    <w:rsid w:val="000B19D8"/>
    <w:rsid w:val="000B1D30"/>
    <w:rsid w:val="000B222A"/>
    <w:rsid w:val="000B234E"/>
    <w:rsid w:val="000B3234"/>
    <w:rsid w:val="000B3792"/>
    <w:rsid w:val="000B39F5"/>
    <w:rsid w:val="000B3DB5"/>
    <w:rsid w:val="000B4378"/>
    <w:rsid w:val="000B4620"/>
    <w:rsid w:val="000B490E"/>
    <w:rsid w:val="000B4EA2"/>
    <w:rsid w:val="000B5415"/>
    <w:rsid w:val="000B5BDF"/>
    <w:rsid w:val="000B6698"/>
    <w:rsid w:val="000B7291"/>
    <w:rsid w:val="000B75A1"/>
    <w:rsid w:val="000C040D"/>
    <w:rsid w:val="000C1075"/>
    <w:rsid w:val="000C12A6"/>
    <w:rsid w:val="000C1523"/>
    <w:rsid w:val="000C1801"/>
    <w:rsid w:val="000C254C"/>
    <w:rsid w:val="000C29C4"/>
    <w:rsid w:val="000C329A"/>
    <w:rsid w:val="000C32EF"/>
    <w:rsid w:val="000C4F46"/>
    <w:rsid w:val="000C5085"/>
    <w:rsid w:val="000C51CA"/>
    <w:rsid w:val="000C5ADA"/>
    <w:rsid w:val="000C5E2A"/>
    <w:rsid w:val="000C604E"/>
    <w:rsid w:val="000C6135"/>
    <w:rsid w:val="000C677A"/>
    <w:rsid w:val="000C6A00"/>
    <w:rsid w:val="000C701E"/>
    <w:rsid w:val="000C752F"/>
    <w:rsid w:val="000C7652"/>
    <w:rsid w:val="000C7A33"/>
    <w:rsid w:val="000C7F62"/>
    <w:rsid w:val="000D019A"/>
    <w:rsid w:val="000D043A"/>
    <w:rsid w:val="000D05AA"/>
    <w:rsid w:val="000D147E"/>
    <w:rsid w:val="000D1D51"/>
    <w:rsid w:val="000D2AE7"/>
    <w:rsid w:val="000D3540"/>
    <w:rsid w:val="000D374A"/>
    <w:rsid w:val="000D49C8"/>
    <w:rsid w:val="000D55A4"/>
    <w:rsid w:val="000D5F42"/>
    <w:rsid w:val="000D6259"/>
    <w:rsid w:val="000D643F"/>
    <w:rsid w:val="000D6495"/>
    <w:rsid w:val="000D7037"/>
    <w:rsid w:val="000E03A9"/>
    <w:rsid w:val="000E0617"/>
    <w:rsid w:val="000E0CC0"/>
    <w:rsid w:val="000E3428"/>
    <w:rsid w:val="000E458C"/>
    <w:rsid w:val="000E5A41"/>
    <w:rsid w:val="000E6B69"/>
    <w:rsid w:val="000E7924"/>
    <w:rsid w:val="000E7926"/>
    <w:rsid w:val="000F0ADB"/>
    <w:rsid w:val="000F18B5"/>
    <w:rsid w:val="000F1921"/>
    <w:rsid w:val="000F319F"/>
    <w:rsid w:val="000F4C81"/>
    <w:rsid w:val="000F551E"/>
    <w:rsid w:val="000F5ACD"/>
    <w:rsid w:val="000F60C7"/>
    <w:rsid w:val="000F6B8B"/>
    <w:rsid w:val="000F6F7F"/>
    <w:rsid w:val="000F7442"/>
    <w:rsid w:val="000F7A55"/>
    <w:rsid w:val="000F7FD5"/>
    <w:rsid w:val="00100316"/>
    <w:rsid w:val="001003A5"/>
    <w:rsid w:val="00101400"/>
    <w:rsid w:val="0010178C"/>
    <w:rsid w:val="0010232A"/>
    <w:rsid w:val="00103137"/>
    <w:rsid w:val="0010393A"/>
    <w:rsid w:val="00103FBD"/>
    <w:rsid w:val="00105824"/>
    <w:rsid w:val="00106100"/>
    <w:rsid w:val="00106149"/>
    <w:rsid w:val="00106962"/>
    <w:rsid w:val="0010708A"/>
    <w:rsid w:val="00110F4F"/>
    <w:rsid w:val="00111AAB"/>
    <w:rsid w:val="001121FA"/>
    <w:rsid w:val="00112701"/>
    <w:rsid w:val="0011452D"/>
    <w:rsid w:val="00115584"/>
    <w:rsid w:val="001157D4"/>
    <w:rsid w:val="00115ABE"/>
    <w:rsid w:val="001174A0"/>
    <w:rsid w:val="001207DE"/>
    <w:rsid w:val="00122D44"/>
    <w:rsid w:val="001247BB"/>
    <w:rsid w:val="001253E9"/>
    <w:rsid w:val="00126825"/>
    <w:rsid w:val="00127A40"/>
    <w:rsid w:val="00127E59"/>
    <w:rsid w:val="0013029B"/>
    <w:rsid w:val="001308F6"/>
    <w:rsid w:val="001310AF"/>
    <w:rsid w:val="001313B7"/>
    <w:rsid w:val="00131B3C"/>
    <w:rsid w:val="00132E24"/>
    <w:rsid w:val="0013389E"/>
    <w:rsid w:val="00134383"/>
    <w:rsid w:val="00134940"/>
    <w:rsid w:val="00134FD9"/>
    <w:rsid w:val="001351BF"/>
    <w:rsid w:val="0013574B"/>
    <w:rsid w:val="00135A1B"/>
    <w:rsid w:val="00135E6D"/>
    <w:rsid w:val="00136856"/>
    <w:rsid w:val="00137AD3"/>
    <w:rsid w:val="00137DE3"/>
    <w:rsid w:val="00137E6E"/>
    <w:rsid w:val="00137ED1"/>
    <w:rsid w:val="00140C61"/>
    <w:rsid w:val="001414AB"/>
    <w:rsid w:val="00143053"/>
    <w:rsid w:val="00143BFE"/>
    <w:rsid w:val="00143EC2"/>
    <w:rsid w:val="00143FFD"/>
    <w:rsid w:val="00144A80"/>
    <w:rsid w:val="001454F7"/>
    <w:rsid w:val="00145BAA"/>
    <w:rsid w:val="0014785F"/>
    <w:rsid w:val="00147E7A"/>
    <w:rsid w:val="00147EDF"/>
    <w:rsid w:val="00147F8B"/>
    <w:rsid w:val="00147FD1"/>
    <w:rsid w:val="00150000"/>
    <w:rsid w:val="00150680"/>
    <w:rsid w:val="001506D1"/>
    <w:rsid w:val="00150D42"/>
    <w:rsid w:val="00150F1C"/>
    <w:rsid w:val="00151513"/>
    <w:rsid w:val="0015164F"/>
    <w:rsid w:val="0015180D"/>
    <w:rsid w:val="001520DC"/>
    <w:rsid w:val="0015271A"/>
    <w:rsid w:val="00152A78"/>
    <w:rsid w:val="001530EE"/>
    <w:rsid w:val="00153378"/>
    <w:rsid w:val="001536F7"/>
    <w:rsid w:val="00153A70"/>
    <w:rsid w:val="00153C5F"/>
    <w:rsid w:val="00154657"/>
    <w:rsid w:val="001548D0"/>
    <w:rsid w:val="001565CC"/>
    <w:rsid w:val="00156BB6"/>
    <w:rsid w:val="00157476"/>
    <w:rsid w:val="001576CD"/>
    <w:rsid w:val="00157744"/>
    <w:rsid w:val="00157EF9"/>
    <w:rsid w:val="0016026C"/>
    <w:rsid w:val="001621FC"/>
    <w:rsid w:val="001622E2"/>
    <w:rsid w:val="00162826"/>
    <w:rsid w:val="001629F2"/>
    <w:rsid w:val="00163668"/>
    <w:rsid w:val="00163686"/>
    <w:rsid w:val="0016498A"/>
    <w:rsid w:val="00164C13"/>
    <w:rsid w:val="00166200"/>
    <w:rsid w:val="00166853"/>
    <w:rsid w:val="00166D17"/>
    <w:rsid w:val="00166E4B"/>
    <w:rsid w:val="00170546"/>
    <w:rsid w:val="00170883"/>
    <w:rsid w:val="0017144F"/>
    <w:rsid w:val="00171E1F"/>
    <w:rsid w:val="00172333"/>
    <w:rsid w:val="00172661"/>
    <w:rsid w:val="0017268E"/>
    <w:rsid w:val="001726F4"/>
    <w:rsid w:val="00172C10"/>
    <w:rsid w:val="00172C3E"/>
    <w:rsid w:val="001738A8"/>
    <w:rsid w:val="001743F5"/>
    <w:rsid w:val="001745EE"/>
    <w:rsid w:val="00174C2B"/>
    <w:rsid w:val="001755EF"/>
    <w:rsid w:val="001756CF"/>
    <w:rsid w:val="001757E4"/>
    <w:rsid w:val="00175B4A"/>
    <w:rsid w:val="00175CB5"/>
    <w:rsid w:val="0017692D"/>
    <w:rsid w:val="00176DB8"/>
    <w:rsid w:val="00177089"/>
    <w:rsid w:val="00177B83"/>
    <w:rsid w:val="0018160C"/>
    <w:rsid w:val="00183564"/>
    <w:rsid w:val="001839DA"/>
    <w:rsid w:val="00184C9B"/>
    <w:rsid w:val="00185033"/>
    <w:rsid w:val="0018548E"/>
    <w:rsid w:val="00186861"/>
    <w:rsid w:val="0018747B"/>
    <w:rsid w:val="00187D79"/>
    <w:rsid w:val="00187DED"/>
    <w:rsid w:val="001906CB"/>
    <w:rsid w:val="00191901"/>
    <w:rsid w:val="00192C05"/>
    <w:rsid w:val="00193D5A"/>
    <w:rsid w:val="00193E25"/>
    <w:rsid w:val="00194430"/>
    <w:rsid w:val="001948C6"/>
    <w:rsid w:val="00195D31"/>
    <w:rsid w:val="00196438"/>
    <w:rsid w:val="0019656F"/>
    <w:rsid w:val="00196B85"/>
    <w:rsid w:val="001973AA"/>
    <w:rsid w:val="001A06B4"/>
    <w:rsid w:val="001A0F9D"/>
    <w:rsid w:val="001A1139"/>
    <w:rsid w:val="001A13D2"/>
    <w:rsid w:val="001A156A"/>
    <w:rsid w:val="001A17DB"/>
    <w:rsid w:val="001A1D10"/>
    <w:rsid w:val="001A3474"/>
    <w:rsid w:val="001A3C55"/>
    <w:rsid w:val="001A3CBC"/>
    <w:rsid w:val="001A41C5"/>
    <w:rsid w:val="001A42F9"/>
    <w:rsid w:val="001A467F"/>
    <w:rsid w:val="001A4CF7"/>
    <w:rsid w:val="001A519C"/>
    <w:rsid w:val="001A5500"/>
    <w:rsid w:val="001A60A5"/>
    <w:rsid w:val="001A6F3F"/>
    <w:rsid w:val="001A790C"/>
    <w:rsid w:val="001A7E00"/>
    <w:rsid w:val="001B118B"/>
    <w:rsid w:val="001B164A"/>
    <w:rsid w:val="001B164D"/>
    <w:rsid w:val="001B16CF"/>
    <w:rsid w:val="001B20C6"/>
    <w:rsid w:val="001B22C4"/>
    <w:rsid w:val="001B2330"/>
    <w:rsid w:val="001B2F48"/>
    <w:rsid w:val="001B3295"/>
    <w:rsid w:val="001B37DD"/>
    <w:rsid w:val="001B3BDB"/>
    <w:rsid w:val="001B3D42"/>
    <w:rsid w:val="001B40BA"/>
    <w:rsid w:val="001B412D"/>
    <w:rsid w:val="001B435B"/>
    <w:rsid w:val="001B48E6"/>
    <w:rsid w:val="001B5EF3"/>
    <w:rsid w:val="001B62EA"/>
    <w:rsid w:val="001B6CDC"/>
    <w:rsid w:val="001B6FCA"/>
    <w:rsid w:val="001B7A14"/>
    <w:rsid w:val="001B7CC5"/>
    <w:rsid w:val="001C0982"/>
    <w:rsid w:val="001C0A3F"/>
    <w:rsid w:val="001C0D2E"/>
    <w:rsid w:val="001C0E57"/>
    <w:rsid w:val="001C0F96"/>
    <w:rsid w:val="001C12E4"/>
    <w:rsid w:val="001C195A"/>
    <w:rsid w:val="001C2550"/>
    <w:rsid w:val="001C25A0"/>
    <w:rsid w:val="001C2A86"/>
    <w:rsid w:val="001C2ABC"/>
    <w:rsid w:val="001C3C05"/>
    <w:rsid w:val="001C3DB7"/>
    <w:rsid w:val="001C48B5"/>
    <w:rsid w:val="001C4B6E"/>
    <w:rsid w:val="001C4BA6"/>
    <w:rsid w:val="001C4E6C"/>
    <w:rsid w:val="001C528C"/>
    <w:rsid w:val="001C59EB"/>
    <w:rsid w:val="001C650E"/>
    <w:rsid w:val="001C6C68"/>
    <w:rsid w:val="001C70BB"/>
    <w:rsid w:val="001C7818"/>
    <w:rsid w:val="001C7ABF"/>
    <w:rsid w:val="001D061C"/>
    <w:rsid w:val="001D0C74"/>
    <w:rsid w:val="001D148B"/>
    <w:rsid w:val="001D1EF4"/>
    <w:rsid w:val="001D1FF8"/>
    <w:rsid w:val="001D4102"/>
    <w:rsid w:val="001D46ED"/>
    <w:rsid w:val="001D575F"/>
    <w:rsid w:val="001D6802"/>
    <w:rsid w:val="001D7211"/>
    <w:rsid w:val="001D7289"/>
    <w:rsid w:val="001D747E"/>
    <w:rsid w:val="001D7D57"/>
    <w:rsid w:val="001E0C5A"/>
    <w:rsid w:val="001E1180"/>
    <w:rsid w:val="001E1535"/>
    <w:rsid w:val="001E186F"/>
    <w:rsid w:val="001E1C83"/>
    <w:rsid w:val="001E22D9"/>
    <w:rsid w:val="001E269E"/>
    <w:rsid w:val="001E2753"/>
    <w:rsid w:val="001E4832"/>
    <w:rsid w:val="001E48B7"/>
    <w:rsid w:val="001E4D46"/>
    <w:rsid w:val="001E58F4"/>
    <w:rsid w:val="001E5921"/>
    <w:rsid w:val="001E5D41"/>
    <w:rsid w:val="001E6262"/>
    <w:rsid w:val="001E6A29"/>
    <w:rsid w:val="001E7A5F"/>
    <w:rsid w:val="001E7C63"/>
    <w:rsid w:val="001F06B4"/>
    <w:rsid w:val="001F07AB"/>
    <w:rsid w:val="001F0D2F"/>
    <w:rsid w:val="001F143D"/>
    <w:rsid w:val="001F1C97"/>
    <w:rsid w:val="001F22F4"/>
    <w:rsid w:val="001F29B7"/>
    <w:rsid w:val="001F3235"/>
    <w:rsid w:val="001F36B0"/>
    <w:rsid w:val="001F3A3C"/>
    <w:rsid w:val="001F4529"/>
    <w:rsid w:val="001F4BA5"/>
    <w:rsid w:val="001F5E0F"/>
    <w:rsid w:val="001F64F8"/>
    <w:rsid w:val="001F65B9"/>
    <w:rsid w:val="001F6D20"/>
    <w:rsid w:val="001F6D90"/>
    <w:rsid w:val="001F754D"/>
    <w:rsid w:val="001F7644"/>
    <w:rsid w:val="001F7846"/>
    <w:rsid w:val="001F7D83"/>
    <w:rsid w:val="00201585"/>
    <w:rsid w:val="00201B02"/>
    <w:rsid w:val="0020210C"/>
    <w:rsid w:val="00202B7D"/>
    <w:rsid w:val="00205AD2"/>
    <w:rsid w:val="00206661"/>
    <w:rsid w:val="00206B1D"/>
    <w:rsid w:val="002070F7"/>
    <w:rsid w:val="0020712C"/>
    <w:rsid w:val="00210CF8"/>
    <w:rsid w:val="0021100B"/>
    <w:rsid w:val="00211A71"/>
    <w:rsid w:val="00211F29"/>
    <w:rsid w:val="00212016"/>
    <w:rsid w:val="002129AC"/>
    <w:rsid w:val="0021386E"/>
    <w:rsid w:val="00213B33"/>
    <w:rsid w:val="00213D9E"/>
    <w:rsid w:val="00213FBD"/>
    <w:rsid w:val="002143FF"/>
    <w:rsid w:val="00215448"/>
    <w:rsid w:val="00215D12"/>
    <w:rsid w:val="00215D86"/>
    <w:rsid w:val="002161A3"/>
    <w:rsid w:val="00216212"/>
    <w:rsid w:val="00216DEE"/>
    <w:rsid w:val="00216E78"/>
    <w:rsid w:val="00217622"/>
    <w:rsid w:val="00217F2D"/>
    <w:rsid w:val="00222400"/>
    <w:rsid w:val="00222663"/>
    <w:rsid w:val="0022368B"/>
    <w:rsid w:val="00223709"/>
    <w:rsid w:val="00223C6A"/>
    <w:rsid w:val="002256A5"/>
    <w:rsid w:val="00225954"/>
    <w:rsid w:val="0022666D"/>
    <w:rsid w:val="002267C2"/>
    <w:rsid w:val="002302DB"/>
    <w:rsid w:val="00230DDC"/>
    <w:rsid w:val="00230F63"/>
    <w:rsid w:val="002311F6"/>
    <w:rsid w:val="002317E6"/>
    <w:rsid w:val="00231A79"/>
    <w:rsid w:val="00232738"/>
    <w:rsid w:val="0023285B"/>
    <w:rsid w:val="00234385"/>
    <w:rsid w:val="00234735"/>
    <w:rsid w:val="00234C5C"/>
    <w:rsid w:val="00234C67"/>
    <w:rsid w:val="00235836"/>
    <w:rsid w:val="002365AF"/>
    <w:rsid w:val="00236E93"/>
    <w:rsid w:val="00237421"/>
    <w:rsid w:val="00237A51"/>
    <w:rsid w:val="0024021B"/>
    <w:rsid w:val="0024099A"/>
    <w:rsid w:val="002410E3"/>
    <w:rsid w:val="00241C1E"/>
    <w:rsid w:val="00241E3B"/>
    <w:rsid w:val="00242381"/>
    <w:rsid w:val="00242878"/>
    <w:rsid w:val="00242BB9"/>
    <w:rsid w:val="00243AFF"/>
    <w:rsid w:val="00243DD5"/>
    <w:rsid w:val="00243E21"/>
    <w:rsid w:val="0024448D"/>
    <w:rsid w:val="002444E2"/>
    <w:rsid w:val="00244C39"/>
    <w:rsid w:val="00244D0A"/>
    <w:rsid w:val="00244D22"/>
    <w:rsid w:val="00245869"/>
    <w:rsid w:val="00245EB3"/>
    <w:rsid w:val="00246067"/>
    <w:rsid w:val="00246650"/>
    <w:rsid w:val="0024678C"/>
    <w:rsid w:val="00247699"/>
    <w:rsid w:val="00247B5D"/>
    <w:rsid w:val="00250DA5"/>
    <w:rsid w:val="0025133D"/>
    <w:rsid w:val="00252541"/>
    <w:rsid w:val="00252EE4"/>
    <w:rsid w:val="00253C6F"/>
    <w:rsid w:val="00255924"/>
    <w:rsid w:val="00255F97"/>
    <w:rsid w:val="002564D6"/>
    <w:rsid w:val="002573A8"/>
    <w:rsid w:val="002573D9"/>
    <w:rsid w:val="002574F9"/>
    <w:rsid w:val="00260605"/>
    <w:rsid w:val="00260B16"/>
    <w:rsid w:val="00260FA5"/>
    <w:rsid w:val="00261E5E"/>
    <w:rsid w:val="00262E3F"/>
    <w:rsid w:val="00263173"/>
    <w:rsid w:val="00263586"/>
    <w:rsid w:val="00263864"/>
    <w:rsid w:val="00263BC1"/>
    <w:rsid w:val="002657B8"/>
    <w:rsid w:val="00265CB8"/>
    <w:rsid w:val="002661C8"/>
    <w:rsid w:val="00266363"/>
    <w:rsid w:val="00266F6E"/>
    <w:rsid w:val="0026700F"/>
    <w:rsid w:val="00267A2B"/>
    <w:rsid w:val="00270170"/>
    <w:rsid w:val="00270F8D"/>
    <w:rsid w:val="00271330"/>
    <w:rsid w:val="002717EE"/>
    <w:rsid w:val="00271A32"/>
    <w:rsid w:val="00272300"/>
    <w:rsid w:val="00273538"/>
    <w:rsid w:val="00273E0F"/>
    <w:rsid w:val="0027410A"/>
    <w:rsid w:val="00274691"/>
    <w:rsid w:val="00275578"/>
    <w:rsid w:val="002756D5"/>
    <w:rsid w:val="00275BEC"/>
    <w:rsid w:val="002767BE"/>
    <w:rsid w:val="00276C60"/>
    <w:rsid w:val="00277748"/>
    <w:rsid w:val="00277B03"/>
    <w:rsid w:val="00280182"/>
    <w:rsid w:val="00280440"/>
    <w:rsid w:val="00281129"/>
    <w:rsid w:val="00281219"/>
    <w:rsid w:val="002817D2"/>
    <w:rsid w:val="00283CE7"/>
    <w:rsid w:val="00284346"/>
    <w:rsid w:val="00284A2F"/>
    <w:rsid w:val="00284EEB"/>
    <w:rsid w:val="00285AF7"/>
    <w:rsid w:val="00285B9A"/>
    <w:rsid w:val="00286A1D"/>
    <w:rsid w:val="00286B69"/>
    <w:rsid w:val="00286EC2"/>
    <w:rsid w:val="0028715C"/>
    <w:rsid w:val="002872FA"/>
    <w:rsid w:val="00287B2F"/>
    <w:rsid w:val="002905FB"/>
    <w:rsid w:val="00290970"/>
    <w:rsid w:val="00290C81"/>
    <w:rsid w:val="0029123B"/>
    <w:rsid w:val="00292122"/>
    <w:rsid w:val="00292477"/>
    <w:rsid w:val="002927C6"/>
    <w:rsid w:val="002933BC"/>
    <w:rsid w:val="00293E3A"/>
    <w:rsid w:val="00294807"/>
    <w:rsid w:val="00294B30"/>
    <w:rsid w:val="00294E95"/>
    <w:rsid w:val="0029571E"/>
    <w:rsid w:val="0029585A"/>
    <w:rsid w:val="00295B72"/>
    <w:rsid w:val="0029626F"/>
    <w:rsid w:val="002962B2"/>
    <w:rsid w:val="00297477"/>
    <w:rsid w:val="00297987"/>
    <w:rsid w:val="00297AD7"/>
    <w:rsid w:val="002A05F2"/>
    <w:rsid w:val="002A0889"/>
    <w:rsid w:val="002A1DA4"/>
    <w:rsid w:val="002A329C"/>
    <w:rsid w:val="002A3C04"/>
    <w:rsid w:val="002A3C8A"/>
    <w:rsid w:val="002A3E7E"/>
    <w:rsid w:val="002A4497"/>
    <w:rsid w:val="002A485A"/>
    <w:rsid w:val="002A4D91"/>
    <w:rsid w:val="002A50E0"/>
    <w:rsid w:val="002A577C"/>
    <w:rsid w:val="002A5F52"/>
    <w:rsid w:val="002A5F5F"/>
    <w:rsid w:val="002A6A5A"/>
    <w:rsid w:val="002A782F"/>
    <w:rsid w:val="002A7CFA"/>
    <w:rsid w:val="002A7DF6"/>
    <w:rsid w:val="002B1801"/>
    <w:rsid w:val="002B18BD"/>
    <w:rsid w:val="002B2593"/>
    <w:rsid w:val="002B2B88"/>
    <w:rsid w:val="002B3620"/>
    <w:rsid w:val="002B3ADE"/>
    <w:rsid w:val="002B440C"/>
    <w:rsid w:val="002B4A55"/>
    <w:rsid w:val="002B4B32"/>
    <w:rsid w:val="002B4E6F"/>
    <w:rsid w:val="002B4FD6"/>
    <w:rsid w:val="002B509F"/>
    <w:rsid w:val="002B7FD0"/>
    <w:rsid w:val="002C06EF"/>
    <w:rsid w:val="002C117C"/>
    <w:rsid w:val="002C11CE"/>
    <w:rsid w:val="002C1A34"/>
    <w:rsid w:val="002C20AD"/>
    <w:rsid w:val="002C25F1"/>
    <w:rsid w:val="002C35CC"/>
    <w:rsid w:val="002C3936"/>
    <w:rsid w:val="002C3C27"/>
    <w:rsid w:val="002C491A"/>
    <w:rsid w:val="002C4B27"/>
    <w:rsid w:val="002C5124"/>
    <w:rsid w:val="002C52D0"/>
    <w:rsid w:val="002C534D"/>
    <w:rsid w:val="002C5507"/>
    <w:rsid w:val="002C597F"/>
    <w:rsid w:val="002C5B85"/>
    <w:rsid w:val="002D06DF"/>
    <w:rsid w:val="002D0942"/>
    <w:rsid w:val="002D0A46"/>
    <w:rsid w:val="002D0ACD"/>
    <w:rsid w:val="002D1132"/>
    <w:rsid w:val="002D2280"/>
    <w:rsid w:val="002D279B"/>
    <w:rsid w:val="002D317A"/>
    <w:rsid w:val="002D4D52"/>
    <w:rsid w:val="002D54F1"/>
    <w:rsid w:val="002D5CEC"/>
    <w:rsid w:val="002D5D74"/>
    <w:rsid w:val="002D626F"/>
    <w:rsid w:val="002D6EF2"/>
    <w:rsid w:val="002D7435"/>
    <w:rsid w:val="002E01ED"/>
    <w:rsid w:val="002E0282"/>
    <w:rsid w:val="002E0685"/>
    <w:rsid w:val="002E123F"/>
    <w:rsid w:val="002E18E1"/>
    <w:rsid w:val="002E30F3"/>
    <w:rsid w:val="002E3318"/>
    <w:rsid w:val="002E36FC"/>
    <w:rsid w:val="002E450F"/>
    <w:rsid w:val="002E4D86"/>
    <w:rsid w:val="002E621E"/>
    <w:rsid w:val="002E62B6"/>
    <w:rsid w:val="002E6531"/>
    <w:rsid w:val="002E7358"/>
    <w:rsid w:val="002E7747"/>
    <w:rsid w:val="002E7E79"/>
    <w:rsid w:val="002E7FE4"/>
    <w:rsid w:val="002F1006"/>
    <w:rsid w:val="002F118B"/>
    <w:rsid w:val="002F165F"/>
    <w:rsid w:val="002F1A2C"/>
    <w:rsid w:val="002F28AD"/>
    <w:rsid w:val="002F2C60"/>
    <w:rsid w:val="002F3101"/>
    <w:rsid w:val="002F3B43"/>
    <w:rsid w:val="002F3F9B"/>
    <w:rsid w:val="002F4326"/>
    <w:rsid w:val="002F51A2"/>
    <w:rsid w:val="002F51AE"/>
    <w:rsid w:val="002F5532"/>
    <w:rsid w:val="002F7059"/>
    <w:rsid w:val="002F74D2"/>
    <w:rsid w:val="002F769B"/>
    <w:rsid w:val="002F78D5"/>
    <w:rsid w:val="002F7A09"/>
    <w:rsid w:val="003009E4"/>
    <w:rsid w:val="00300F66"/>
    <w:rsid w:val="00301B5D"/>
    <w:rsid w:val="00301C5D"/>
    <w:rsid w:val="003021D9"/>
    <w:rsid w:val="003025A8"/>
    <w:rsid w:val="00302602"/>
    <w:rsid w:val="0030262C"/>
    <w:rsid w:val="00302E8A"/>
    <w:rsid w:val="00303300"/>
    <w:rsid w:val="00304078"/>
    <w:rsid w:val="00304939"/>
    <w:rsid w:val="00304B42"/>
    <w:rsid w:val="00305162"/>
    <w:rsid w:val="00305834"/>
    <w:rsid w:val="003059C7"/>
    <w:rsid w:val="00305F6A"/>
    <w:rsid w:val="00306812"/>
    <w:rsid w:val="0030716B"/>
    <w:rsid w:val="00310491"/>
    <w:rsid w:val="003106E5"/>
    <w:rsid w:val="00310B43"/>
    <w:rsid w:val="00310E3C"/>
    <w:rsid w:val="003113AB"/>
    <w:rsid w:val="00312665"/>
    <w:rsid w:val="00312CE3"/>
    <w:rsid w:val="00313A03"/>
    <w:rsid w:val="0031426D"/>
    <w:rsid w:val="003144ED"/>
    <w:rsid w:val="00314EBF"/>
    <w:rsid w:val="00316A52"/>
    <w:rsid w:val="0031759F"/>
    <w:rsid w:val="00322ABA"/>
    <w:rsid w:val="00322B72"/>
    <w:rsid w:val="00323915"/>
    <w:rsid w:val="0032505F"/>
    <w:rsid w:val="00325869"/>
    <w:rsid w:val="00325B85"/>
    <w:rsid w:val="00326480"/>
    <w:rsid w:val="003270E3"/>
    <w:rsid w:val="0032714E"/>
    <w:rsid w:val="00327560"/>
    <w:rsid w:val="0032758F"/>
    <w:rsid w:val="003277B1"/>
    <w:rsid w:val="0033005E"/>
    <w:rsid w:val="003307FC"/>
    <w:rsid w:val="003308ED"/>
    <w:rsid w:val="00331248"/>
    <w:rsid w:val="003326B8"/>
    <w:rsid w:val="0033291A"/>
    <w:rsid w:val="003335CE"/>
    <w:rsid w:val="003338AB"/>
    <w:rsid w:val="003339C7"/>
    <w:rsid w:val="00333CA2"/>
    <w:rsid w:val="00333F49"/>
    <w:rsid w:val="003346AA"/>
    <w:rsid w:val="00334E24"/>
    <w:rsid w:val="00334E5F"/>
    <w:rsid w:val="003355A2"/>
    <w:rsid w:val="00335883"/>
    <w:rsid w:val="00335FA7"/>
    <w:rsid w:val="0033637C"/>
    <w:rsid w:val="003375EC"/>
    <w:rsid w:val="003377AF"/>
    <w:rsid w:val="00337C16"/>
    <w:rsid w:val="00337EB2"/>
    <w:rsid w:val="00337F07"/>
    <w:rsid w:val="00340963"/>
    <w:rsid w:val="00340F6A"/>
    <w:rsid w:val="003421FA"/>
    <w:rsid w:val="003430A7"/>
    <w:rsid w:val="003430D1"/>
    <w:rsid w:val="00344FCE"/>
    <w:rsid w:val="00346E37"/>
    <w:rsid w:val="00346F8A"/>
    <w:rsid w:val="00347902"/>
    <w:rsid w:val="0035033A"/>
    <w:rsid w:val="0035087E"/>
    <w:rsid w:val="00351813"/>
    <w:rsid w:val="003519A5"/>
    <w:rsid w:val="00351BBC"/>
    <w:rsid w:val="003526F9"/>
    <w:rsid w:val="003529BD"/>
    <w:rsid w:val="0035367E"/>
    <w:rsid w:val="003541E8"/>
    <w:rsid w:val="00354585"/>
    <w:rsid w:val="0035501F"/>
    <w:rsid w:val="00355540"/>
    <w:rsid w:val="003559D9"/>
    <w:rsid w:val="00355A06"/>
    <w:rsid w:val="00355E3C"/>
    <w:rsid w:val="00356224"/>
    <w:rsid w:val="003562BC"/>
    <w:rsid w:val="0035752C"/>
    <w:rsid w:val="00360F76"/>
    <w:rsid w:val="00361D7E"/>
    <w:rsid w:val="00362159"/>
    <w:rsid w:val="0036216E"/>
    <w:rsid w:val="00362852"/>
    <w:rsid w:val="00362B5E"/>
    <w:rsid w:val="003632AF"/>
    <w:rsid w:val="0036345F"/>
    <w:rsid w:val="00363485"/>
    <w:rsid w:val="00363910"/>
    <w:rsid w:val="00364A5E"/>
    <w:rsid w:val="0036530E"/>
    <w:rsid w:val="003671F0"/>
    <w:rsid w:val="00367F45"/>
    <w:rsid w:val="00370593"/>
    <w:rsid w:val="003707FD"/>
    <w:rsid w:val="00370D2F"/>
    <w:rsid w:val="00371337"/>
    <w:rsid w:val="00371B61"/>
    <w:rsid w:val="00372C4E"/>
    <w:rsid w:val="00373A9B"/>
    <w:rsid w:val="00373EA0"/>
    <w:rsid w:val="00374824"/>
    <w:rsid w:val="00374D91"/>
    <w:rsid w:val="00374FA8"/>
    <w:rsid w:val="00374FB0"/>
    <w:rsid w:val="00375362"/>
    <w:rsid w:val="00375369"/>
    <w:rsid w:val="003758E9"/>
    <w:rsid w:val="00375EA6"/>
    <w:rsid w:val="00375EF3"/>
    <w:rsid w:val="003761A4"/>
    <w:rsid w:val="0037645F"/>
    <w:rsid w:val="00377091"/>
    <w:rsid w:val="003771B3"/>
    <w:rsid w:val="003771F5"/>
    <w:rsid w:val="003774B0"/>
    <w:rsid w:val="00377847"/>
    <w:rsid w:val="00377E39"/>
    <w:rsid w:val="0038066A"/>
    <w:rsid w:val="00381924"/>
    <w:rsid w:val="003821D2"/>
    <w:rsid w:val="0038263D"/>
    <w:rsid w:val="00383E35"/>
    <w:rsid w:val="0038442B"/>
    <w:rsid w:val="003860B4"/>
    <w:rsid w:val="003861FC"/>
    <w:rsid w:val="00386830"/>
    <w:rsid w:val="00386A14"/>
    <w:rsid w:val="003872A3"/>
    <w:rsid w:val="0038782A"/>
    <w:rsid w:val="00387A74"/>
    <w:rsid w:val="00391A15"/>
    <w:rsid w:val="00392593"/>
    <w:rsid w:val="00392C73"/>
    <w:rsid w:val="00393017"/>
    <w:rsid w:val="003931CA"/>
    <w:rsid w:val="0039332B"/>
    <w:rsid w:val="003947C5"/>
    <w:rsid w:val="003955BE"/>
    <w:rsid w:val="0039565E"/>
    <w:rsid w:val="00395B74"/>
    <w:rsid w:val="00395FB8"/>
    <w:rsid w:val="00396162"/>
    <w:rsid w:val="00396213"/>
    <w:rsid w:val="0039662D"/>
    <w:rsid w:val="00396CDA"/>
    <w:rsid w:val="0039713F"/>
    <w:rsid w:val="0039737B"/>
    <w:rsid w:val="003975B8"/>
    <w:rsid w:val="003A07AC"/>
    <w:rsid w:val="003A13B8"/>
    <w:rsid w:val="003A2B33"/>
    <w:rsid w:val="003A318B"/>
    <w:rsid w:val="003A3570"/>
    <w:rsid w:val="003A385A"/>
    <w:rsid w:val="003A4527"/>
    <w:rsid w:val="003A59D0"/>
    <w:rsid w:val="003A60BE"/>
    <w:rsid w:val="003A6657"/>
    <w:rsid w:val="003A6778"/>
    <w:rsid w:val="003B00A1"/>
    <w:rsid w:val="003B0AB1"/>
    <w:rsid w:val="003B0B02"/>
    <w:rsid w:val="003B12AB"/>
    <w:rsid w:val="003B1EA7"/>
    <w:rsid w:val="003B240A"/>
    <w:rsid w:val="003B37DD"/>
    <w:rsid w:val="003B3A40"/>
    <w:rsid w:val="003B3DDA"/>
    <w:rsid w:val="003B4027"/>
    <w:rsid w:val="003B4358"/>
    <w:rsid w:val="003B5868"/>
    <w:rsid w:val="003B65FE"/>
    <w:rsid w:val="003B72D5"/>
    <w:rsid w:val="003B7816"/>
    <w:rsid w:val="003B7F3B"/>
    <w:rsid w:val="003C0A69"/>
    <w:rsid w:val="003C1772"/>
    <w:rsid w:val="003C1ECC"/>
    <w:rsid w:val="003C24EC"/>
    <w:rsid w:val="003C27AE"/>
    <w:rsid w:val="003C320F"/>
    <w:rsid w:val="003C360F"/>
    <w:rsid w:val="003C3681"/>
    <w:rsid w:val="003C3AE7"/>
    <w:rsid w:val="003C41E5"/>
    <w:rsid w:val="003C425B"/>
    <w:rsid w:val="003C43C4"/>
    <w:rsid w:val="003C4824"/>
    <w:rsid w:val="003C4BB1"/>
    <w:rsid w:val="003C71DA"/>
    <w:rsid w:val="003C7867"/>
    <w:rsid w:val="003D12AC"/>
    <w:rsid w:val="003D1562"/>
    <w:rsid w:val="003D18AD"/>
    <w:rsid w:val="003D2CE7"/>
    <w:rsid w:val="003D4907"/>
    <w:rsid w:val="003D4E15"/>
    <w:rsid w:val="003D4F6F"/>
    <w:rsid w:val="003D535B"/>
    <w:rsid w:val="003D53A3"/>
    <w:rsid w:val="003D5AA6"/>
    <w:rsid w:val="003D5C7B"/>
    <w:rsid w:val="003D5E6B"/>
    <w:rsid w:val="003D5E7B"/>
    <w:rsid w:val="003D5FF6"/>
    <w:rsid w:val="003D6A6D"/>
    <w:rsid w:val="003D7609"/>
    <w:rsid w:val="003D7990"/>
    <w:rsid w:val="003E0277"/>
    <w:rsid w:val="003E03B1"/>
    <w:rsid w:val="003E0A3A"/>
    <w:rsid w:val="003E0BAF"/>
    <w:rsid w:val="003E1286"/>
    <w:rsid w:val="003E18FD"/>
    <w:rsid w:val="003E1C48"/>
    <w:rsid w:val="003E26C0"/>
    <w:rsid w:val="003E3D69"/>
    <w:rsid w:val="003E4788"/>
    <w:rsid w:val="003E667A"/>
    <w:rsid w:val="003E6752"/>
    <w:rsid w:val="003E6B4A"/>
    <w:rsid w:val="003E6D44"/>
    <w:rsid w:val="003E71FF"/>
    <w:rsid w:val="003E7368"/>
    <w:rsid w:val="003E7573"/>
    <w:rsid w:val="003E7820"/>
    <w:rsid w:val="003F04CC"/>
    <w:rsid w:val="003F0DDA"/>
    <w:rsid w:val="003F11DF"/>
    <w:rsid w:val="003F13D6"/>
    <w:rsid w:val="003F27DF"/>
    <w:rsid w:val="003F28AE"/>
    <w:rsid w:val="003F3534"/>
    <w:rsid w:val="003F3F0F"/>
    <w:rsid w:val="003F4A66"/>
    <w:rsid w:val="003F4FD8"/>
    <w:rsid w:val="003F51A8"/>
    <w:rsid w:val="003F782C"/>
    <w:rsid w:val="0040015C"/>
    <w:rsid w:val="00400522"/>
    <w:rsid w:val="00400C48"/>
    <w:rsid w:val="00401880"/>
    <w:rsid w:val="0040197A"/>
    <w:rsid w:val="004021DE"/>
    <w:rsid w:val="00402468"/>
    <w:rsid w:val="004038B7"/>
    <w:rsid w:val="00403A5D"/>
    <w:rsid w:val="0040424E"/>
    <w:rsid w:val="00404D1C"/>
    <w:rsid w:val="0040535E"/>
    <w:rsid w:val="004057C8"/>
    <w:rsid w:val="00405FB0"/>
    <w:rsid w:val="00406658"/>
    <w:rsid w:val="00406CEA"/>
    <w:rsid w:val="00406E17"/>
    <w:rsid w:val="004071F4"/>
    <w:rsid w:val="004072B6"/>
    <w:rsid w:val="0040791A"/>
    <w:rsid w:val="004079B1"/>
    <w:rsid w:val="00407A9C"/>
    <w:rsid w:val="00407DD9"/>
    <w:rsid w:val="004108CF"/>
    <w:rsid w:val="00410B9F"/>
    <w:rsid w:val="00411C65"/>
    <w:rsid w:val="0041205A"/>
    <w:rsid w:val="00412857"/>
    <w:rsid w:val="0041332D"/>
    <w:rsid w:val="004133D4"/>
    <w:rsid w:val="00413E2B"/>
    <w:rsid w:val="00414289"/>
    <w:rsid w:val="00414F04"/>
    <w:rsid w:val="0041517B"/>
    <w:rsid w:val="00415702"/>
    <w:rsid w:val="004158BA"/>
    <w:rsid w:val="00415A0D"/>
    <w:rsid w:val="0041666F"/>
    <w:rsid w:val="0041724C"/>
    <w:rsid w:val="0042062E"/>
    <w:rsid w:val="004206CB"/>
    <w:rsid w:val="0042123B"/>
    <w:rsid w:val="00423597"/>
    <w:rsid w:val="0042363C"/>
    <w:rsid w:val="004236A0"/>
    <w:rsid w:val="00423915"/>
    <w:rsid w:val="004243DD"/>
    <w:rsid w:val="004247AE"/>
    <w:rsid w:val="00424A5C"/>
    <w:rsid w:val="0042764F"/>
    <w:rsid w:val="00427950"/>
    <w:rsid w:val="0042797D"/>
    <w:rsid w:val="00427E98"/>
    <w:rsid w:val="004315FE"/>
    <w:rsid w:val="0043176D"/>
    <w:rsid w:val="004327E7"/>
    <w:rsid w:val="0043284E"/>
    <w:rsid w:val="0043355B"/>
    <w:rsid w:val="004337E7"/>
    <w:rsid w:val="004339EB"/>
    <w:rsid w:val="004341F3"/>
    <w:rsid w:val="00434681"/>
    <w:rsid w:val="00436358"/>
    <w:rsid w:val="00436E66"/>
    <w:rsid w:val="00437971"/>
    <w:rsid w:val="004414EC"/>
    <w:rsid w:val="0044190D"/>
    <w:rsid w:val="00441EE7"/>
    <w:rsid w:val="0044231B"/>
    <w:rsid w:val="00442720"/>
    <w:rsid w:val="00443915"/>
    <w:rsid w:val="00444D53"/>
    <w:rsid w:val="00444E02"/>
    <w:rsid w:val="00445370"/>
    <w:rsid w:val="00445527"/>
    <w:rsid w:val="0044570E"/>
    <w:rsid w:val="004462DA"/>
    <w:rsid w:val="00447958"/>
    <w:rsid w:val="00447D6E"/>
    <w:rsid w:val="0045011D"/>
    <w:rsid w:val="0045035F"/>
    <w:rsid w:val="0045042E"/>
    <w:rsid w:val="00450814"/>
    <w:rsid w:val="00450E74"/>
    <w:rsid w:val="00452A4E"/>
    <w:rsid w:val="00452DC8"/>
    <w:rsid w:val="00452F65"/>
    <w:rsid w:val="00453058"/>
    <w:rsid w:val="0045356B"/>
    <w:rsid w:val="004535FC"/>
    <w:rsid w:val="00453716"/>
    <w:rsid w:val="00453A09"/>
    <w:rsid w:val="00453EF3"/>
    <w:rsid w:val="00455720"/>
    <w:rsid w:val="00455761"/>
    <w:rsid w:val="00455DBC"/>
    <w:rsid w:val="004568AF"/>
    <w:rsid w:val="004569C7"/>
    <w:rsid w:val="004571A2"/>
    <w:rsid w:val="00457684"/>
    <w:rsid w:val="0045788D"/>
    <w:rsid w:val="004578CC"/>
    <w:rsid w:val="004578D3"/>
    <w:rsid w:val="0045799A"/>
    <w:rsid w:val="00457D49"/>
    <w:rsid w:val="00460C94"/>
    <w:rsid w:val="00461918"/>
    <w:rsid w:val="0046239F"/>
    <w:rsid w:val="00462AB7"/>
    <w:rsid w:val="00463296"/>
    <w:rsid w:val="004637B8"/>
    <w:rsid w:val="004640D6"/>
    <w:rsid w:val="0046430A"/>
    <w:rsid w:val="00465B2B"/>
    <w:rsid w:val="004667C5"/>
    <w:rsid w:val="004674BF"/>
    <w:rsid w:val="00467D34"/>
    <w:rsid w:val="00470823"/>
    <w:rsid w:val="00471AF2"/>
    <w:rsid w:val="004727F4"/>
    <w:rsid w:val="00472F99"/>
    <w:rsid w:val="00473D1A"/>
    <w:rsid w:val="00474F40"/>
    <w:rsid w:val="004759C7"/>
    <w:rsid w:val="00475DBF"/>
    <w:rsid w:val="00475E9E"/>
    <w:rsid w:val="00475F1D"/>
    <w:rsid w:val="00476B51"/>
    <w:rsid w:val="00476CF8"/>
    <w:rsid w:val="00476F75"/>
    <w:rsid w:val="004772C4"/>
    <w:rsid w:val="004773BA"/>
    <w:rsid w:val="00480A09"/>
    <w:rsid w:val="00480ADE"/>
    <w:rsid w:val="00480C8C"/>
    <w:rsid w:val="00480D7B"/>
    <w:rsid w:val="00481399"/>
    <w:rsid w:val="004817DA"/>
    <w:rsid w:val="00481855"/>
    <w:rsid w:val="00483610"/>
    <w:rsid w:val="00483C1E"/>
    <w:rsid w:val="00483CFC"/>
    <w:rsid w:val="00483D31"/>
    <w:rsid w:val="0048466D"/>
    <w:rsid w:val="0048542C"/>
    <w:rsid w:val="00485E12"/>
    <w:rsid w:val="0048605A"/>
    <w:rsid w:val="00486ADE"/>
    <w:rsid w:val="00486C20"/>
    <w:rsid w:val="0048701B"/>
    <w:rsid w:val="00487030"/>
    <w:rsid w:val="004877A0"/>
    <w:rsid w:val="004877B6"/>
    <w:rsid w:val="00491102"/>
    <w:rsid w:val="00491C17"/>
    <w:rsid w:val="00491FD5"/>
    <w:rsid w:val="0049310A"/>
    <w:rsid w:val="004932A4"/>
    <w:rsid w:val="00493576"/>
    <w:rsid w:val="00494D54"/>
    <w:rsid w:val="00495457"/>
    <w:rsid w:val="00495697"/>
    <w:rsid w:val="0049601A"/>
    <w:rsid w:val="00496213"/>
    <w:rsid w:val="0049640A"/>
    <w:rsid w:val="0049679C"/>
    <w:rsid w:val="00497493"/>
    <w:rsid w:val="004976FB"/>
    <w:rsid w:val="004A0EFB"/>
    <w:rsid w:val="004A166E"/>
    <w:rsid w:val="004A1DC9"/>
    <w:rsid w:val="004A21BD"/>
    <w:rsid w:val="004A23D2"/>
    <w:rsid w:val="004A2763"/>
    <w:rsid w:val="004A318F"/>
    <w:rsid w:val="004A489E"/>
    <w:rsid w:val="004A592D"/>
    <w:rsid w:val="004A5AF4"/>
    <w:rsid w:val="004A5CF7"/>
    <w:rsid w:val="004A5D1B"/>
    <w:rsid w:val="004A5F85"/>
    <w:rsid w:val="004A6AD3"/>
    <w:rsid w:val="004A7257"/>
    <w:rsid w:val="004A747D"/>
    <w:rsid w:val="004A7E7C"/>
    <w:rsid w:val="004B17E8"/>
    <w:rsid w:val="004B2023"/>
    <w:rsid w:val="004B3014"/>
    <w:rsid w:val="004B36A0"/>
    <w:rsid w:val="004B36A5"/>
    <w:rsid w:val="004B3B40"/>
    <w:rsid w:val="004B3E84"/>
    <w:rsid w:val="004B3EFE"/>
    <w:rsid w:val="004B4799"/>
    <w:rsid w:val="004B4AFA"/>
    <w:rsid w:val="004B4C7E"/>
    <w:rsid w:val="004B4F90"/>
    <w:rsid w:val="004B5A34"/>
    <w:rsid w:val="004B5C4E"/>
    <w:rsid w:val="004B5EF8"/>
    <w:rsid w:val="004B618C"/>
    <w:rsid w:val="004B6663"/>
    <w:rsid w:val="004B6907"/>
    <w:rsid w:val="004B6917"/>
    <w:rsid w:val="004B7E7C"/>
    <w:rsid w:val="004C02A8"/>
    <w:rsid w:val="004C08C2"/>
    <w:rsid w:val="004C1B90"/>
    <w:rsid w:val="004C25BF"/>
    <w:rsid w:val="004C295A"/>
    <w:rsid w:val="004C2F1F"/>
    <w:rsid w:val="004C2FF2"/>
    <w:rsid w:val="004C39D1"/>
    <w:rsid w:val="004C4AD8"/>
    <w:rsid w:val="004C5525"/>
    <w:rsid w:val="004C6406"/>
    <w:rsid w:val="004C71CA"/>
    <w:rsid w:val="004C7C62"/>
    <w:rsid w:val="004C7E05"/>
    <w:rsid w:val="004C7EDC"/>
    <w:rsid w:val="004C7FDE"/>
    <w:rsid w:val="004D1C2D"/>
    <w:rsid w:val="004D3869"/>
    <w:rsid w:val="004D388D"/>
    <w:rsid w:val="004D6ECA"/>
    <w:rsid w:val="004E0251"/>
    <w:rsid w:val="004E06D4"/>
    <w:rsid w:val="004E131C"/>
    <w:rsid w:val="004E206D"/>
    <w:rsid w:val="004E24C3"/>
    <w:rsid w:val="004E37BB"/>
    <w:rsid w:val="004E4226"/>
    <w:rsid w:val="004E4E0B"/>
    <w:rsid w:val="004E5636"/>
    <w:rsid w:val="004E5AA5"/>
    <w:rsid w:val="004E5B5B"/>
    <w:rsid w:val="004E7004"/>
    <w:rsid w:val="004E78A7"/>
    <w:rsid w:val="004F0ECE"/>
    <w:rsid w:val="004F12A1"/>
    <w:rsid w:val="004F20F3"/>
    <w:rsid w:val="004F25C8"/>
    <w:rsid w:val="004F354E"/>
    <w:rsid w:val="004F3933"/>
    <w:rsid w:val="004F4384"/>
    <w:rsid w:val="004F4B8A"/>
    <w:rsid w:val="004F67BD"/>
    <w:rsid w:val="004F744A"/>
    <w:rsid w:val="00500BD2"/>
    <w:rsid w:val="00500F2C"/>
    <w:rsid w:val="0050108C"/>
    <w:rsid w:val="00501E7D"/>
    <w:rsid w:val="005021F9"/>
    <w:rsid w:val="00502326"/>
    <w:rsid w:val="00502C52"/>
    <w:rsid w:val="005050B6"/>
    <w:rsid w:val="00505B4A"/>
    <w:rsid w:val="00505CE4"/>
    <w:rsid w:val="0050644E"/>
    <w:rsid w:val="00506C6B"/>
    <w:rsid w:val="00506D69"/>
    <w:rsid w:val="005103A3"/>
    <w:rsid w:val="00510B04"/>
    <w:rsid w:val="00512426"/>
    <w:rsid w:val="00513417"/>
    <w:rsid w:val="005149F7"/>
    <w:rsid w:val="00514E6D"/>
    <w:rsid w:val="00514F24"/>
    <w:rsid w:val="00515532"/>
    <w:rsid w:val="005155A5"/>
    <w:rsid w:val="00515A32"/>
    <w:rsid w:val="00515DF3"/>
    <w:rsid w:val="00516F3E"/>
    <w:rsid w:val="00517810"/>
    <w:rsid w:val="00517DC9"/>
    <w:rsid w:val="00517E85"/>
    <w:rsid w:val="0052023A"/>
    <w:rsid w:val="00520BCC"/>
    <w:rsid w:val="00521F5A"/>
    <w:rsid w:val="00522F3F"/>
    <w:rsid w:val="005245B2"/>
    <w:rsid w:val="00524602"/>
    <w:rsid w:val="00524A86"/>
    <w:rsid w:val="005254D6"/>
    <w:rsid w:val="00525D86"/>
    <w:rsid w:val="005267DC"/>
    <w:rsid w:val="00530479"/>
    <w:rsid w:val="0053051A"/>
    <w:rsid w:val="005312FE"/>
    <w:rsid w:val="00531AF9"/>
    <w:rsid w:val="00531B87"/>
    <w:rsid w:val="00531C07"/>
    <w:rsid w:val="00533931"/>
    <w:rsid w:val="005349F9"/>
    <w:rsid w:val="00536307"/>
    <w:rsid w:val="00536FD3"/>
    <w:rsid w:val="00536FEF"/>
    <w:rsid w:val="00537595"/>
    <w:rsid w:val="00537CAD"/>
    <w:rsid w:val="00540A7C"/>
    <w:rsid w:val="00540BCF"/>
    <w:rsid w:val="00540D35"/>
    <w:rsid w:val="00541B81"/>
    <w:rsid w:val="00541D5E"/>
    <w:rsid w:val="00541DB3"/>
    <w:rsid w:val="005426FA"/>
    <w:rsid w:val="00542781"/>
    <w:rsid w:val="00542B7C"/>
    <w:rsid w:val="00542D21"/>
    <w:rsid w:val="00543195"/>
    <w:rsid w:val="00543430"/>
    <w:rsid w:val="0054346E"/>
    <w:rsid w:val="00543C22"/>
    <w:rsid w:val="00543DD7"/>
    <w:rsid w:val="0054417C"/>
    <w:rsid w:val="005444BA"/>
    <w:rsid w:val="00544A17"/>
    <w:rsid w:val="00544E2B"/>
    <w:rsid w:val="0054521D"/>
    <w:rsid w:val="0054585A"/>
    <w:rsid w:val="005459D8"/>
    <w:rsid w:val="00546070"/>
    <w:rsid w:val="00546089"/>
    <w:rsid w:val="00546BF4"/>
    <w:rsid w:val="00546F39"/>
    <w:rsid w:val="0054731F"/>
    <w:rsid w:val="00547B18"/>
    <w:rsid w:val="00547C81"/>
    <w:rsid w:val="005502A7"/>
    <w:rsid w:val="005504B7"/>
    <w:rsid w:val="00550E07"/>
    <w:rsid w:val="005514BB"/>
    <w:rsid w:val="00552B55"/>
    <w:rsid w:val="00552EE3"/>
    <w:rsid w:val="0055314F"/>
    <w:rsid w:val="00553430"/>
    <w:rsid w:val="0055347B"/>
    <w:rsid w:val="0055391B"/>
    <w:rsid w:val="00553B0C"/>
    <w:rsid w:val="00553F46"/>
    <w:rsid w:val="00553FA3"/>
    <w:rsid w:val="005542DA"/>
    <w:rsid w:val="005544C5"/>
    <w:rsid w:val="00554525"/>
    <w:rsid w:val="0055499E"/>
    <w:rsid w:val="00554A8F"/>
    <w:rsid w:val="0055521D"/>
    <w:rsid w:val="005554CD"/>
    <w:rsid w:val="0055568A"/>
    <w:rsid w:val="00555A20"/>
    <w:rsid w:val="00555B70"/>
    <w:rsid w:val="005564E8"/>
    <w:rsid w:val="0056167D"/>
    <w:rsid w:val="00561741"/>
    <w:rsid w:val="00561C3E"/>
    <w:rsid w:val="00562077"/>
    <w:rsid w:val="00562AA8"/>
    <w:rsid w:val="005638A9"/>
    <w:rsid w:val="005638EA"/>
    <w:rsid w:val="00563BC5"/>
    <w:rsid w:val="00563C10"/>
    <w:rsid w:val="00564779"/>
    <w:rsid w:val="00564924"/>
    <w:rsid w:val="005649ED"/>
    <w:rsid w:val="005652AC"/>
    <w:rsid w:val="00565327"/>
    <w:rsid w:val="00567642"/>
    <w:rsid w:val="005676F8"/>
    <w:rsid w:val="00567A61"/>
    <w:rsid w:val="005721CD"/>
    <w:rsid w:val="00572404"/>
    <w:rsid w:val="0057304C"/>
    <w:rsid w:val="005736FF"/>
    <w:rsid w:val="00573B09"/>
    <w:rsid w:val="00573D13"/>
    <w:rsid w:val="005741B7"/>
    <w:rsid w:val="0057588D"/>
    <w:rsid w:val="00575D82"/>
    <w:rsid w:val="0057633B"/>
    <w:rsid w:val="00576BA1"/>
    <w:rsid w:val="00580CBD"/>
    <w:rsid w:val="00581B27"/>
    <w:rsid w:val="00581B93"/>
    <w:rsid w:val="00581E68"/>
    <w:rsid w:val="00581F2E"/>
    <w:rsid w:val="005825CD"/>
    <w:rsid w:val="0058394D"/>
    <w:rsid w:val="005868F5"/>
    <w:rsid w:val="005870C9"/>
    <w:rsid w:val="005872CC"/>
    <w:rsid w:val="0058779A"/>
    <w:rsid w:val="00587EDE"/>
    <w:rsid w:val="00590CDA"/>
    <w:rsid w:val="005914E2"/>
    <w:rsid w:val="00591CD3"/>
    <w:rsid w:val="00592335"/>
    <w:rsid w:val="005927BE"/>
    <w:rsid w:val="005928C7"/>
    <w:rsid w:val="00593D99"/>
    <w:rsid w:val="00593F8C"/>
    <w:rsid w:val="005963B6"/>
    <w:rsid w:val="00597302"/>
    <w:rsid w:val="005974C9"/>
    <w:rsid w:val="005974E0"/>
    <w:rsid w:val="00597990"/>
    <w:rsid w:val="00597EA1"/>
    <w:rsid w:val="005A05F2"/>
    <w:rsid w:val="005A0861"/>
    <w:rsid w:val="005A15F8"/>
    <w:rsid w:val="005A2202"/>
    <w:rsid w:val="005A24F4"/>
    <w:rsid w:val="005A28C7"/>
    <w:rsid w:val="005A3309"/>
    <w:rsid w:val="005A37DD"/>
    <w:rsid w:val="005A3A2A"/>
    <w:rsid w:val="005A41CE"/>
    <w:rsid w:val="005A48A7"/>
    <w:rsid w:val="005A4FF9"/>
    <w:rsid w:val="005A616B"/>
    <w:rsid w:val="005A718D"/>
    <w:rsid w:val="005B0080"/>
    <w:rsid w:val="005B029D"/>
    <w:rsid w:val="005B08DA"/>
    <w:rsid w:val="005B1054"/>
    <w:rsid w:val="005B16C5"/>
    <w:rsid w:val="005B17DD"/>
    <w:rsid w:val="005B1B0D"/>
    <w:rsid w:val="005B1D69"/>
    <w:rsid w:val="005B1EA8"/>
    <w:rsid w:val="005B2621"/>
    <w:rsid w:val="005B4AE5"/>
    <w:rsid w:val="005B4D37"/>
    <w:rsid w:val="005B546C"/>
    <w:rsid w:val="005B58D2"/>
    <w:rsid w:val="005B748E"/>
    <w:rsid w:val="005B74AB"/>
    <w:rsid w:val="005C1D30"/>
    <w:rsid w:val="005C3915"/>
    <w:rsid w:val="005C45F3"/>
    <w:rsid w:val="005C4910"/>
    <w:rsid w:val="005C4F9D"/>
    <w:rsid w:val="005C54DA"/>
    <w:rsid w:val="005C5D39"/>
    <w:rsid w:val="005C65B6"/>
    <w:rsid w:val="005C65DC"/>
    <w:rsid w:val="005C67BD"/>
    <w:rsid w:val="005C67CB"/>
    <w:rsid w:val="005C6E81"/>
    <w:rsid w:val="005D0D4F"/>
    <w:rsid w:val="005D11AB"/>
    <w:rsid w:val="005D16D5"/>
    <w:rsid w:val="005D23E8"/>
    <w:rsid w:val="005D2614"/>
    <w:rsid w:val="005D2DD9"/>
    <w:rsid w:val="005D5095"/>
    <w:rsid w:val="005D539B"/>
    <w:rsid w:val="005D5721"/>
    <w:rsid w:val="005D66BD"/>
    <w:rsid w:val="005D7340"/>
    <w:rsid w:val="005D7DA4"/>
    <w:rsid w:val="005D7DCA"/>
    <w:rsid w:val="005E1397"/>
    <w:rsid w:val="005E2132"/>
    <w:rsid w:val="005E2229"/>
    <w:rsid w:val="005E319F"/>
    <w:rsid w:val="005E410D"/>
    <w:rsid w:val="005E4134"/>
    <w:rsid w:val="005E413B"/>
    <w:rsid w:val="005E447F"/>
    <w:rsid w:val="005E4BE2"/>
    <w:rsid w:val="005E4D70"/>
    <w:rsid w:val="005E5095"/>
    <w:rsid w:val="005E5448"/>
    <w:rsid w:val="005E658A"/>
    <w:rsid w:val="005E6631"/>
    <w:rsid w:val="005E6B07"/>
    <w:rsid w:val="005E7052"/>
    <w:rsid w:val="005E7C50"/>
    <w:rsid w:val="005F143C"/>
    <w:rsid w:val="005F1B54"/>
    <w:rsid w:val="005F1D55"/>
    <w:rsid w:val="005F2DEE"/>
    <w:rsid w:val="005F3B1F"/>
    <w:rsid w:val="005F4A36"/>
    <w:rsid w:val="005F4ED8"/>
    <w:rsid w:val="005F5FE6"/>
    <w:rsid w:val="005F600E"/>
    <w:rsid w:val="005F7180"/>
    <w:rsid w:val="005F75AB"/>
    <w:rsid w:val="005F7642"/>
    <w:rsid w:val="005F7814"/>
    <w:rsid w:val="00600214"/>
    <w:rsid w:val="006008F7"/>
    <w:rsid w:val="00600EC0"/>
    <w:rsid w:val="00601C9E"/>
    <w:rsid w:val="006031E0"/>
    <w:rsid w:val="00603875"/>
    <w:rsid w:val="00603AD9"/>
    <w:rsid w:val="006044E0"/>
    <w:rsid w:val="00604FE0"/>
    <w:rsid w:val="0060758A"/>
    <w:rsid w:val="00607829"/>
    <w:rsid w:val="006114D5"/>
    <w:rsid w:val="00611FBA"/>
    <w:rsid w:val="00612095"/>
    <w:rsid w:val="00612C1E"/>
    <w:rsid w:val="0061369E"/>
    <w:rsid w:val="00613CF5"/>
    <w:rsid w:val="00613CFC"/>
    <w:rsid w:val="00613F98"/>
    <w:rsid w:val="00614C3A"/>
    <w:rsid w:val="00614C5D"/>
    <w:rsid w:val="006158D0"/>
    <w:rsid w:val="00615986"/>
    <w:rsid w:val="00617379"/>
    <w:rsid w:val="00617A03"/>
    <w:rsid w:val="00617D26"/>
    <w:rsid w:val="00621C67"/>
    <w:rsid w:val="00621E27"/>
    <w:rsid w:val="006222C6"/>
    <w:rsid w:val="006242B2"/>
    <w:rsid w:val="0062474C"/>
    <w:rsid w:val="00624AC8"/>
    <w:rsid w:val="00624ACF"/>
    <w:rsid w:val="00624C78"/>
    <w:rsid w:val="0062577E"/>
    <w:rsid w:val="0062596D"/>
    <w:rsid w:val="00625C14"/>
    <w:rsid w:val="00627343"/>
    <w:rsid w:val="00627B56"/>
    <w:rsid w:val="00630147"/>
    <w:rsid w:val="0063045D"/>
    <w:rsid w:val="00630501"/>
    <w:rsid w:val="00630E32"/>
    <w:rsid w:val="00630F22"/>
    <w:rsid w:val="00630F7B"/>
    <w:rsid w:val="006311D3"/>
    <w:rsid w:val="00631FBB"/>
    <w:rsid w:val="006327A0"/>
    <w:rsid w:val="006327A4"/>
    <w:rsid w:val="00632FC6"/>
    <w:rsid w:val="00633178"/>
    <w:rsid w:val="00633F68"/>
    <w:rsid w:val="006343F7"/>
    <w:rsid w:val="00634C08"/>
    <w:rsid w:val="00634F72"/>
    <w:rsid w:val="00635389"/>
    <w:rsid w:val="00635581"/>
    <w:rsid w:val="00635697"/>
    <w:rsid w:val="00635F3D"/>
    <w:rsid w:val="00636987"/>
    <w:rsid w:val="00636ABB"/>
    <w:rsid w:val="00636C82"/>
    <w:rsid w:val="00637753"/>
    <w:rsid w:val="00640646"/>
    <w:rsid w:val="0064143E"/>
    <w:rsid w:val="006416A1"/>
    <w:rsid w:val="006416BF"/>
    <w:rsid w:val="00641DB3"/>
    <w:rsid w:val="006423D1"/>
    <w:rsid w:val="0064309F"/>
    <w:rsid w:val="0064332F"/>
    <w:rsid w:val="00644251"/>
    <w:rsid w:val="00645A53"/>
    <w:rsid w:val="00645B33"/>
    <w:rsid w:val="00646300"/>
    <w:rsid w:val="006466E7"/>
    <w:rsid w:val="0064688A"/>
    <w:rsid w:val="00650873"/>
    <w:rsid w:val="0065131A"/>
    <w:rsid w:val="00651AF2"/>
    <w:rsid w:val="00651B5E"/>
    <w:rsid w:val="00652F91"/>
    <w:rsid w:val="00653106"/>
    <w:rsid w:val="0065328B"/>
    <w:rsid w:val="006535C3"/>
    <w:rsid w:val="00654111"/>
    <w:rsid w:val="00654324"/>
    <w:rsid w:val="006545A7"/>
    <w:rsid w:val="00654A04"/>
    <w:rsid w:val="00654EE6"/>
    <w:rsid w:val="00655444"/>
    <w:rsid w:val="0065548D"/>
    <w:rsid w:val="00655674"/>
    <w:rsid w:val="006557E6"/>
    <w:rsid w:val="00655C13"/>
    <w:rsid w:val="00656C33"/>
    <w:rsid w:val="0065706A"/>
    <w:rsid w:val="00657AC8"/>
    <w:rsid w:val="00657B7E"/>
    <w:rsid w:val="006600D9"/>
    <w:rsid w:val="006601C7"/>
    <w:rsid w:val="006618B5"/>
    <w:rsid w:val="00661BAB"/>
    <w:rsid w:val="00661DF9"/>
    <w:rsid w:val="00661E16"/>
    <w:rsid w:val="00661EAC"/>
    <w:rsid w:val="00661F77"/>
    <w:rsid w:val="006622F5"/>
    <w:rsid w:val="00662818"/>
    <w:rsid w:val="00663C9F"/>
    <w:rsid w:val="00664D88"/>
    <w:rsid w:val="00664ED6"/>
    <w:rsid w:val="00665577"/>
    <w:rsid w:val="00666161"/>
    <w:rsid w:val="006665CB"/>
    <w:rsid w:val="006669D7"/>
    <w:rsid w:val="00666FDF"/>
    <w:rsid w:val="00667C5E"/>
    <w:rsid w:val="006700DD"/>
    <w:rsid w:val="00670208"/>
    <w:rsid w:val="0067089C"/>
    <w:rsid w:val="006716F0"/>
    <w:rsid w:val="006724DA"/>
    <w:rsid w:val="00672604"/>
    <w:rsid w:val="00672728"/>
    <w:rsid w:val="00672744"/>
    <w:rsid w:val="00672DA6"/>
    <w:rsid w:val="00673549"/>
    <w:rsid w:val="00673AC5"/>
    <w:rsid w:val="00673E32"/>
    <w:rsid w:val="006744AB"/>
    <w:rsid w:val="00674A6A"/>
    <w:rsid w:val="00674BCB"/>
    <w:rsid w:val="00674E09"/>
    <w:rsid w:val="006750DB"/>
    <w:rsid w:val="0067531E"/>
    <w:rsid w:val="006755FC"/>
    <w:rsid w:val="006756C8"/>
    <w:rsid w:val="00676092"/>
    <w:rsid w:val="006762E2"/>
    <w:rsid w:val="0067672C"/>
    <w:rsid w:val="00676B1B"/>
    <w:rsid w:val="00676E16"/>
    <w:rsid w:val="00677348"/>
    <w:rsid w:val="00677C72"/>
    <w:rsid w:val="00681723"/>
    <w:rsid w:val="00681ECE"/>
    <w:rsid w:val="0068225D"/>
    <w:rsid w:val="006824B0"/>
    <w:rsid w:val="00682579"/>
    <w:rsid w:val="00682785"/>
    <w:rsid w:val="00682837"/>
    <w:rsid w:val="00682D3D"/>
    <w:rsid w:val="006832AE"/>
    <w:rsid w:val="006839F0"/>
    <w:rsid w:val="00683A71"/>
    <w:rsid w:val="0068547E"/>
    <w:rsid w:val="00685D1A"/>
    <w:rsid w:val="0068674E"/>
    <w:rsid w:val="00686D1C"/>
    <w:rsid w:val="00687ED4"/>
    <w:rsid w:val="00690710"/>
    <w:rsid w:val="00690D91"/>
    <w:rsid w:val="0069194C"/>
    <w:rsid w:val="00691A5B"/>
    <w:rsid w:val="00691B57"/>
    <w:rsid w:val="00691EEF"/>
    <w:rsid w:val="00692324"/>
    <w:rsid w:val="0069250A"/>
    <w:rsid w:val="0069264D"/>
    <w:rsid w:val="006926BC"/>
    <w:rsid w:val="00692874"/>
    <w:rsid w:val="006929BC"/>
    <w:rsid w:val="0069349C"/>
    <w:rsid w:val="00693C0A"/>
    <w:rsid w:val="00693F58"/>
    <w:rsid w:val="00694195"/>
    <w:rsid w:val="0069486A"/>
    <w:rsid w:val="00694877"/>
    <w:rsid w:val="00694BFF"/>
    <w:rsid w:val="00694F63"/>
    <w:rsid w:val="00695C5E"/>
    <w:rsid w:val="006971B0"/>
    <w:rsid w:val="006973F4"/>
    <w:rsid w:val="0069744D"/>
    <w:rsid w:val="00697BA1"/>
    <w:rsid w:val="00697BB4"/>
    <w:rsid w:val="00697FB1"/>
    <w:rsid w:val="006A0202"/>
    <w:rsid w:val="006A0370"/>
    <w:rsid w:val="006A0AD8"/>
    <w:rsid w:val="006A163F"/>
    <w:rsid w:val="006A2177"/>
    <w:rsid w:val="006A21E0"/>
    <w:rsid w:val="006A251C"/>
    <w:rsid w:val="006A2E99"/>
    <w:rsid w:val="006A30A2"/>
    <w:rsid w:val="006A365A"/>
    <w:rsid w:val="006A4200"/>
    <w:rsid w:val="006A458D"/>
    <w:rsid w:val="006A4E93"/>
    <w:rsid w:val="006A5903"/>
    <w:rsid w:val="006A5D2B"/>
    <w:rsid w:val="006A64BE"/>
    <w:rsid w:val="006A70A5"/>
    <w:rsid w:val="006A73DD"/>
    <w:rsid w:val="006A777A"/>
    <w:rsid w:val="006A7923"/>
    <w:rsid w:val="006A7C0F"/>
    <w:rsid w:val="006A7FD5"/>
    <w:rsid w:val="006B00A9"/>
    <w:rsid w:val="006B0270"/>
    <w:rsid w:val="006B0574"/>
    <w:rsid w:val="006B0BFB"/>
    <w:rsid w:val="006B0E62"/>
    <w:rsid w:val="006B1ADE"/>
    <w:rsid w:val="006B1F02"/>
    <w:rsid w:val="006B2B4A"/>
    <w:rsid w:val="006B3073"/>
    <w:rsid w:val="006B335E"/>
    <w:rsid w:val="006B3361"/>
    <w:rsid w:val="006B45D2"/>
    <w:rsid w:val="006B4748"/>
    <w:rsid w:val="006B4D17"/>
    <w:rsid w:val="006B5FB9"/>
    <w:rsid w:val="006B5FBD"/>
    <w:rsid w:val="006B611A"/>
    <w:rsid w:val="006B6CEE"/>
    <w:rsid w:val="006B729B"/>
    <w:rsid w:val="006B73FC"/>
    <w:rsid w:val="006B7C58"/>
    <w:rsid w:val="006B7E07"/>
    <w:rsid w:val="006C0AC4"/>
    <w:rsid w:val="006C15DA"/>
    <w:rsid w:val="006C1CD9"/>
    <w:rsid w:val="006C3A63"/>
    <w:rsid w:val="006C4222"/>
    <w:rsid w:val="006C4B02"/>
    <w:rsid w:val="006C4B90"/>
    <w:rsid w:val="006C5307"/>
    <w:rsid w:val="006C5904"/>
    <w:rsid w:val="006C5CA2"/>
    <w:rsid w:val="006C5FE9"/>
    <w:rsid w:val="006C602B"/>
    <w:rsid w:val="006C614C"/>
    <w:rsid w:val="006C7314"/>
    <w:rsid w:val="006C7820"/>
    <w:rsid w:val="006D1142"/>
    <w:rsid w:val="006D1C88"/>
    <w:rsid w:val="006D2253"/>
    <w:rsid w:val="006D2812"/>
    <w:rsid w:val="006D2F57"/>
    <w:rsid w:val="006D34C4"/>
    <w:rsid w:val="006D3D3A"/>
    <w:rsid w:val="006D4157"/>
    <w:rsid w:val="006D43CC"/>
    <w:rsid w:val="006D52A8"/>
    <w:rsid w:val="006D5372"/>
    <w:rsid w:val="006D58AC"/>
    <w:rsid w:val="006D6C1A"/>
    <w:rsid w:val="006D73F0"/>
    <w:rsid w:val="006D7B5C"/>
    <w:rsid w:val="006E0809"/>
    <w:rsid w:val="006E0B80"/>
    <w:rsid w:val="006E0F5F"/>
    <w:rsid w:val="006E1A9E"/>
    <w:rsid w:val="006E26B6"/>
    <w:rsid w:val="006E3E35"/>
    <w:rsid w:val="006E47F5"/>
    <w:rsid w:val="006E5017"/>
    <w:rsid w:val="006E50F2"/>
    <w:rsid w:val="006E55BA"/>
    <w:rsid w:val="006E5AF5"/>
    <w:rsid w:val="006E5F78"/>
    <w:rsid w:val="006E65B2"/>
    <w:rsid w:val="006E7C1A"/>
    <w:rsid w:val="006E7C51"/>
    <w:rsid w:val="006F00C6"/>
    <w:rsid w:val="006F1245"/>
    <w:rsid w:val="006F19AB"/>
    <w:rsid w:val="006F1D5E"/>
    <w:rsid w:val="006F218A"/>
    <w:rsid w:val="006F282E"/>
    <w:rsid w:val="006F2901"/>
    <w:rsid w:val="006F2CE2"/>
    <w:rsid w:val="006F2E08"/>
    <w:rsid w:val="006F2EF4"/>
    <w:rsid w:val="006F3733"/>
    <w:rsid w:val="006F3899"/>
    <w:rsid w:val="006F3C9F"/>
    <w:rsid w:val="006F4031"/>
    <w:rsid w:val="006F4B83"/>
    <w:rsid w:val="006F50F6"/>
    <w:rsid w:val="006F62BA"/>
    <w:rsid w:val="006F641C"/>
    <w:rsid w:val="006F6A05"/>
    <w:rsid w:val="006F6FE3"/>
    <w:rsid w:val="006F7308"/>
    <w:rsid w:val="006F7F67"/>
    <w:rsid w:val="00700368"/>
    <w:rsid w:val="00700964"/>
    <w:rsid w:val="00701D12"/>
    <w:rsid w:val="00702248"/>
    <w:rsid w:val="00702750"/>
    <w:rsid w:val="00703605"/>
    <w:rsid w:val="007044FB"/>
    <w:rsid w:val="00704963"/>
    <w:rsid w:val="00704D88"/>
    <w:rsid w:val="007053C8"/>
    <w:rsid w:val="00705695"/>
    <w:rsid w:val="00705A15"/>
    <w:rsid w:val="00705CF1"/>
    <w:rsid w:val="00705D2B"/>
    <w:rsid w:val="0070692A"/>
    <w:rsid w:val="00706D6D"/>
    <w:rsid w:val="00706E09"/>
    <w:rsid w:val="00706FC1"/>
    <w:rsid w:val="00707D5A"/>
    <w:rsid w:val="00707EB9"/>
    <w:rsid w:val="007105B3"/>
    <w:rsid w:val="007126C1"/>
    <w:rsid w:val="00712FCA"/>
    <w:rsid w:val="007134AB"/>
    <w:rsid w:val="0071394D"/>
    <w:rsid w:val="00713BCC"/>
    <w:rsid w:val="00714383"/>
    <w:rsid w:val="00715180"/>
    <w:rsid w:val="0071664D"/>
    <w:rsid w:val="00716A36"/>
    <w:rsid w:val="00716D90"/>
    <w:rsid w:val="007170D3"/>
    <w:rsid w:val="00720DC9"/>
    <w:rsid w:val="007223B5"/>
    <w:rsid w:val="00722937"/>
    <w:rsid w:val="007236BB"/>
    <w:rsid w:val="00723959"/>
    <w:rsid w:val="00723BF6"/>
    <w:rsid w:val="00725630"/>
    <w:rsid w:val="00725B75"/>
    <w:rsid w:val="007266A7"/>
    <w:rsid w:val="00726CE8"/>
    <w:rsid w:val="007303D7"/>
    <w:rsid w:val="007314AE"/>
    <w:rsid w:val="00731598"/>
    <w:rsid w:val="00732C2D"/>
    <w:rsid w:val="00733A97"/>
    <w:rsid w:val="00734530"/>
    <w:rsid w:val="00734FE6"/>
    <w:rsid w:val="007365F5"/>
    <w:rsid w:val="00737569"/>
    <w:rsid w:val="007375EB"/>
    <w:rsid w:val="007376FD"/>
    <w:rsid w:val="007378C2"/>
    <w:rsid w:val="00737C1F"/>
    <w:rsid w:val="00740426"/>
    <w:rsid w:val="007414F1"/>
    <w:rsid w:val="00741E3D"/>
    <w:rsid w:val="00741F0D"/>
    <w:rsid w:val="007422FA"/>
    <w:rsid w:val="00742C6F"/>
    <w:rsid w:val="00742DA4"/>
    <w:rsid w:val="00743145"/>
    <w:rsid w:val="00743C82"/>
    <w:rsid w:val="00743F62"/>
    <w:rsid w:val="007442D5"/>
    <w:rsid w:val="007447A5"/>
    <w:rsid w:val="00744942"/>
    <w:rsid w:val="00744A9F"/>
    <w:rsid w:val="00745336"/>
    <w:rsid w:val="00745728"/>
    <w:rsid w:val="007460E3"/>
    <w:rsid w:val="007465C7"/>
    <w:rsid w:val="00747065"/>
    <w:rsid w:val="007500D9"/>
    <w:rsid w:val="007508C3"/>
    <w:rsid w:val="00750FFD"/>
    <w:rsid w:val="007510B4"/>
    <w:rsid w:val="00752BFA"/>
    <w:rsid w:val="007535CA"/>
    <w:rsid w:val="00753C4A"/>
    <w:rsid w:val="00753F33"/>
    <w:rsid w:val="0075588C"/>
    <w:rsid w:val="00755D0A"/>
    <w:rsid w:val="00755D5C"/>
    <w:rsid w:val="00755E5C"/>
    <w:rsid w:val="0075602A"/>
    <w:rsid w:val="007566FB"/>
    <w:rsid w:val="00756B87"/>
    <w:rsid w:val="0076258E"/>
    <w:rsid w:val="00762915"/>
    <w:rsid w:val="007632DC"/>
    <w:rsid w:val="007639BC"/>
    <w:rsid w:val="00763E41"/>
    <w:rsid w:val="00764968"/>
    <w:rsid w:val="00764B7E"/>
    <w:rsid w:val="00764BF5"/>
    <w:rsid w:val="00764C4E"/>
    <w:rsid w:val="00764DD6"/>
    <w:rsid w:val="00764E84"/>
    <w:rsid w:val="00765882"/>
    <w:rsid w:val="00766BE3"/>
    <w:rsid w:val="0076736F"/>
    <w:rsid w:val="007675E3"/>
    <w:rsid w:val="00767A5E"/>
    <w:rsid w:val="007706DA"/>
    <w:rsid w:val="007706F0"/>
    <w:rsid w:val="0077089E"/>
    <w:rsid w:val="007716AB"/>
    <w:rsid w:val="007723B6"/>
    <w:rsid w:val="007732AD"/>
    <w:rsid w:val="007734CA"/>
    <w:rsid w:val="00773BF7"/>
    <w:rsid w:val="00773F5F"/>
    <w:rsid w:val="0077417D"/>
    <w:rsid w:val="00774891"/>
    <w:rsid w:val="0077523F"/>
    <w:rsid w:val="007757E5"/>
    <w:rsid w:val="00775A2E"/>
    <w:rsid w:val="007765EC"/>
    <w:rsid w:val="00776EA0"/>
    <w:rsid w:val="007776FD"/>
    <w:rsid w:val="0077799E"/>
    <w:rsid w:val="00777B60"/>
    <w:rsid w:val="00780A5C"/>
    <w:rsid w:val="00781492"/>
    <w:rsid w:val="00781B05"/>
    <w:rsid w:val="00781F4C"/>
    <w:rsid w:val="0078204E"/>
    <w:rsid w:val="0078212C"/>
    <w:rsid w:val="00782498"/>
    <w:rsid w:val="00784906"/>
    <w:rsid w:val="00785387"/>
    <w:rsid w:val="007854A5"/>
    <w:rsid w:val="00785D6F"/>
    <w:rsid w:val="007861CF"/>
    <w:rsid w:val="007866C8"/>
    <w:rsid w:val="00787017"/>
    <w:rsid w:val="00790779"/>
    <w:rsid w:val="00790966"/>
    <w:rsid w:val="00791AE7"/>
    <w:rsid w:val="00792479"/>
    <w:rsid w:val="007925C8"/>
    <w:rsid w:val="00793F4A"/>
    <w:rsid w:val="00794382"/>
    <w:rsid w:val="0079439E"/>
    <w:rsid w:val="00794BC8"/>
    <w:rsid w:val="00794C93"/>
    <w:rsid w:val="00795537"/>
    <w:rsid w:val="00795D4E"/>
    <w:rsid w:val="007971C7"/>
    <w:rsid w:val="007A0043"/>
    <w:rsid w:val="007A038D"/>
    <w:rsid w:val="007A0801"/>
    <w:rsid w:val="007A09A1"/>
    <w:rsid w:val="007A2052"/>
    <w:rsid w:val="007A27BB"/>
    <w:rsid w:val="007A2D7F"/>
    <w:rsid w:val="007A3A63"/>
    <w:rsid w:val="007A408A"/>
    <w:rsid w:val="007A4387"/>
    <w:rsid w:val="007A4FC2"/>
    <w:rsid w:val="007A5B04"/>
    <w:rsid w:val="007A60A7"/>
    <w:rsid w:val="007A644F"/>
    <w:rsid w:val="007A7070"/>
    <w:rsid w:val="007A7104"/>
    <w:rsid w:val="007A7113"/>
    <w:rsid w:val="007B0270"/>
    <w:rsid w:val="007B147C"/>
    <w:rsid w:val="007B23AB"/>
    <w:rsid w:val="007B2631"/>
    <w:rsid w:val="007B29EC"/>
    <w:rsid w:val="007B2D68"/>
    <w:rsid w:val="007B3454"/>
    <w:rsid w:val="007B3FA0"/>
    <w:rsid w:val="007B441E"/>
    <w:rsid w:val="007B5FE9"/>
    <w:rsid w:val="007B617D"/>
    <w:rsid w:val="007B6921"/>
    <w:rsid w:val="007B70CD"/>
    <w:rsid w:val="007B761F"/>
    <w:rsid w:val="007B7828"/>
    <w:rsid w:val="007B7F31"/>
    <w:rsid w:val="007C0B4D"/>
    <w:rsid w:val="007C0BB6"/>
    <w:rsid w:val="007C114B"/>
    <w:rsid w:val="007C1D04"/>
    <w:rsid w:val="007C1E79"/>
    <w:rsid w:val="007C1F20"/>
    <w:rsid w:val="007C24E2"/>
    <w:rsid w:val="007C2B95"/>
    <w:rsid w:val="007C2BE8"/>
    <w:rsid w:val="007C3810"/>
    <w:rsid w:val="007C39FF"/>
    <w:rsid w:val="007C3C0A"/>
    <w:rsid w:val="007C40DD"/>
    <w:rsid w:val="007C4E9F"/>
    <w:rsid w:val="007C5047"/>
    <w:rsid w:val="007C5F0A"/>
    <w:rsid w:val="007C64CA"/>
    <w:rsid w:val="007C69E4"/>
    <w:rsid w:val="007C71BF"/>
    <w:rsid w:val="007C722E"/>
    <w:rsid w:val="007C7554"/>
    <w:rsid w:val="007C7BF4"/>
    <w:rsid w:val="007C7F78"/>
    <w:rsid w:val="007D05C4"/>
    <w:rsid w:val="007D0A85"/>
    <w:rsid w:val="007D0CD0"/>
    <w:rsid w:val="007D0EC4"/>
    <w:rsid w:val="007D1D2E"/>
    <w:rsid w:val="007D3497"/>
    <w:rsid w:val="007D3BA1"/>
    <w:rsid w:val="007D42E4"/>
    <w:rsid w:val="007D4728"/>
    <w:rsid w:val="007D51AF"/>
    <w:rsid w:val="007D6C27"/>
    <w:rsid w:val="007D701D"/>
    <w:rsid w:val="007D7F61"/>
    <w:rsid w:val="007E0087"/>
    <w:rsid w:val="007E0303"/>
    <w:rsid w:val="007E0577"/>
    <w:rsid w:val="007E0648"/>
    <w:rsid w:val="007E0AF7"/>
    <w:rsid w:val="007E1052"/>
    <w:rsid w:val="007E1CD5"/>
    <w:rsid w:val="007E27D0"/>
    <w:rsid w:val="007E38AA"/>
    <w:rsid w:val="007E38CD"/>
    <w:rsid w:val="007E3905"/>
    <w:rsid w:val="007E3F40"/>
    <w:rsid w:val="007E46F2"/>
    <w:rsid w:val="007E5024"/>
    <w:rsid w:val="007E5286"/>
    <w:rsid w:val="007E56E8"/>
    <w:rsid w:val="007E5FE5"/>
    <w:rsid w:val="007E6486"/>
    <w:rsid w:val="007E7696"/>
    <w:rsid w:val="007E7737"/>
    <w:rsid w:val="007F05E8"/>
    <w:rsid w:val="007F0743"/>
    <w:rsid w:val="007F1222"/>
    <w:rsid w:val="007F1AFE"/>
    <w:rsid w:val="007F2550"/>
    <w:rsid w:val="007F3C99"/>
    <w:rsid w:val="007F52AD"/>
    <w:rsid w:val="007F59C5"/>
    <w:rsid w:val="007F5C59"/>
    <w:rsid w:val="007F5FF1"/>
    <w:rsid w:val="007F60E9"/>
    <w:rsid w:val="007F641B"/>
    <w:rsid w:val="007F682D"/>
    <w:rsid w:val="007F6F6C"/>
    <w:rsid w:val="007F7E86"/>
    <w:rsid w:val="00800457"/>
    <w:rsid w:val="00800A84"/>
    <w:rsid w:val="008016DB"/>
    <w:rsid w:val="00801824"/>
    <w:rsid w:val="00801833"/>
    <w:rsid w:val="00801F8D"/>
    <w:rsid w:val="00802E67"/>
    <w:rsid w:val="00803101"/>
    <w:rsid w:val="0080433F"/>
    <w:rsid w:val="00804C55"/>
    <w:rsid w:val="00804EBF"/>
    <w:rsid w:val="008052EE"/>
    <w:rsid w:val="00805892"/>
    <w:rsid w:val="0080626F"/>
    <w:rsid w:val="00806D4F"/>
    <w:rsid w:val="00806F87"/>
    <w:rsid w:val="00807640"/>
    <w:rsid w:val="0080778A"/>
    <w:rsid w:val="00807A56"/>
    <w:rsid w:val="00807B1A"/>
    <w:rsid w:val="0081084F"/>
    <w:rsid w:val="008109DA"/>
    <w:rsid w:val="00811614"/>
    <w:rsid w:val="00812E14"/>
    <w:rsid w:val="00813535"/>
    <w:rsid w:val="00813881"/>
    <w:rsid w:val="00814134"/>
    <w:rsid w:val="00814806"/>
    <w:rsid w:val="00814942"/>
    <w:rsid w:val="00814C0D"/>
    <w:rsid w:val="00814E8F"/>
    <w:rsid w:val="00814F54"/>
    <w:rsid w:val="00816009"/>
    <w:rsid w:val="00816470"/>
    <w:rsid w:val="008164EB"/>
    <w:rsid w:val="00816646"/>
    <w:rsid w:val="00816EC3"/>
    <w:rsid w:val="008172EA"/>
    <w:rsid w:val="00820202"/>
    <w:rsid w:val="00820FFB"/>
    <w:rsid w:val="00821C18"/>
    <w:rsid w:val="00821E3D"/>
    <w:rsid w:val="008236E1"/>
    <w:rsid w:val="0082461E"/>
    <w:rsid w:val="008251C3"/>
    <w:rsid w:val="008256C6"/>
    <w:rsid w:val="00825C5C"/>
    <w:rsid w:val="00826724"/>
    <w:rsid w:val="00826B68"/>
    <w:rsid w:val="008304FD"/>
    <w:rsid w:val="00830518"/>
    <w:rsid w:val="00832614"/>
    <w:rsid w:val="00833D05"/>
    <w:rsid w:val="008343C9"/>
    <w:rsid w:val="00834CF0"/>
    <w:rsid w:val="00834EAB"/>
    <w:rsid w:val="0083520C"/>
    <w:rsid w:val="008352B2"/>
    <w:rsid w:val="0083556F"/>
    <w:rsid w:val="00835DEB"/>
    <w:rsid w:val="0083603A"/>
    <w:rsid w:val="00836271"/>
    <w:rsid w:val="008364FF"/>
    <w:rsid w:val="00836774"/>
    <w:rsid w:val="00836D87"/>
    <w:rsid w:val="00837A03"/>
    <w:rsid w:val="008402D1"/>
    <w:rsid w:val="00840A23"/>
    <w:rsid w:val="00840A5C"/>
    <w:rsid w:val="00841405"/>
    <w:rsid w:val="00841C9F"/>
    <w:rsid w:val="008420D1"/>
    <w:rsid w:val="00842BDF"/>
    <w:rsid w:val="008444FA"/>
    <w:rsid w:val="00844B55"/>
    <w:rsid w:val="008453E5"/>
    <w:rsid w:val="0084568B"/>
    <w:rsid w:val="00845EF0"/>
    <w:rsid w:val="00846C8D"/>
    <w:rsid w:val="00846F53"/>
    <w:rsid w:val="00847686"/>
    <w:rsid w:val="00847ACE"/>
    <w:rsid w:val="008500D2"/>
    <w:rsid w:val="00850979"/>
    <w:rsid w:val="0085143E"/>
    <w:rsid w:val="0085194D"/>
    <w:rsid w:val="008532AF"/>
    <w:rsid w:val="008537EF"/>
    <w:rsid w:val="0085434E"/>
    <w:rsid w:val="00854AB9"/>
    <w:rsid w:val="008552B9"/>
    <w:rsid w:val="00855DFB"/>
    <w:rsid w:val="00856B66"/>
    <w:rsid w:val="00856CB5"/>
    <w:rsid w:val="00856E73"/>
    <w:rsid w:val="00857C92"/>
    <w:rsid w:val="00861106"/>
    <w:rsid w:val="00861EA4"/>
    <w:rsid w:val="00862A46"/>
    <w:rsid w:val="00862BE8"/>
    <w:rsid w:val="00863084"/>
    <w:rsid w:val="00863BC7"/>
    <w:rsid w:val="00863EBE"/>
    <w:rsid w:val="00864152"/>
    <w:rsid w:val="0086497C"/>
    <w:rsid w:val="008653F9"/>
    <w:rsid w:val="00866FF6"/>
    <w:rsid w:val="00867293"/>
    <w:rsid w:val="00867302"/>
    <w:rsid w:val="00867540"/>
    <w:rsid w:val="0087004D"/>
    <w:rsid w:val="008704B0"/>
    <w:rsid w:val="0087051F"/>
    <w:rsid w:val="00870962"/>
    <w:rsid w:val="00870984"/>
    <w:rsid w:val="0087106B"/>
    <w:rsid w:val="008717DB"/>
    <w:rsid w:val="0087347D"/>
    <w:rsid w:val="00875129"/>
    <w:rsid w:val="008756EB"/>
    <w:rsid w:val="00876A1D"/>
    <w:rsid w:val="00877437"/>
    <w:rsid w:val="0088090E"/>
    <w:rsid w:val="00880C56"/>
    <w:rsid w:val="0088164A"/>
    <w:rsid w:val="0088195C"/>
    <w:rsid w:val="00881FAA"/>
    <w:rsid w:val="0088307F"/>
    <w:rsid w:val="008842A1"/>
    <w:rsid w:val="00884733"/>
    <w:rsid w:val="00884FAE"/>
    <w:rsid w:val="00886333"/>
    <w:rsid w:val="00887127"/>
    <w:rsid w:val="00887152"/>
    <w:rsid w:val="00887242"/>
    <w:rsid w:val="008873DC"/>
    <w:rsid w:val="00887983"/>
    <w:rsid w:val="00890186"/>
    <w:rsid w:val="008914B4"/>
    <w:rsid w:val="0089268B"/>
    <w:rsid w:val="00892D5A"/>
    <w:rsid w:val="00893055"/>
    <w:rsid w:val="00893261"/>
    <w:rsid w:val="0089336A"/>
    <w:rsid w:val="008933ED"/>
    <w:rsid w:val="008938A4"/>
    <w:rsid w:val="008949A1"/>
    <w:rsid w:val="00894EDB"/>
    <w:rsid w:val="00895DEC"/>
    <w:rsid w:val="00895E6F"/>
    <w:rsid w:val="008960B0"/>
    <w:rsid w:val="00896E7A"/>
    <w:rsid w:val="00896F65"/>
    <w:rsid w:val="008972D3"/>
    <w:rsid w:val="00897904"/>
    <w:rsid w:val="00897D91"/>
    <w:rsid w:val="00897FE0"/>
    <w:rsid w:val="008A12A2"/>
    <w:rsid w:val="008A1E93"/>
    <w:rsid w:val="008A309D"/>
    <w:rsid w:val="008A3FA8"/>
    <w:rsid w:val="008A3FEE"/>
    <w:rsid w:val="008A44E4"/>
    <w:rsid w:val="008A4FBF"/>
    <w:rsid w:val="008A58E2"/>
    <w:rsid w:val="008A596C"/>
    <w:rsid w:val="008A5F3F"/>
    <w:rsid w:val="008A66FD"/>
    <w:rsid w:val="008A6BDF"/>
    <w:rsid w:val="008B014E"/>
    <w:rsid w:val="008B040D"/>
    <w:rsid w:val="008B07E9"/>
    <w:rsid w:val="008B0E43"/>
    <w:rsid w:val="008B103F"/>
    <w:rsid w:val="008B1A15"/>
    <w:rsid w:val="008B246B"/>
    <w:rsid w:val="008B24DB"/>
    <w:rsid w:val="008B2E04"/>
    <w:rsid w:val="008B4EC6"/>
    <w:rsid w:val="008B5346"/>
    <w:rsid w:val="008B548B"/>
    <w:rsid w:val="008B54C6"/>
    <w:rsid w:val="008B5BB0"/>
    <w:rsid w:val="008B64A6"/>
    <w:rsid w:val="008B67B9"/>
    <w:rsid w:val="008B6E26"/>
    <w:rsid w:val="008B7227"/>
    <w:rsid w:val="008B7CC5"/>
    <w:rsid w:val="008C0170"/>
    <w:rsid w:val="008C0526"/>
    <w:rsid w:val="008C1087"/>
    <w:rsid w:val="008C11D1"/>
    <w:rsid w:val="008C1287"/>
    <w:rsid w:val="008C1524"/>
    <w:rsid w:val="008C3C91"/>
    <w:rsid w:val="008C50A8"/>
    <w:rsid w:val="008C5A91"/>
    <w:rsid w:val="008C5BE9"/>
    <w:rsid w:val="008C6AA8"/>
    <w:rsid w:val="008C762C"/>
    <w:rsid w:val="008C76B8"/>
    <w:rsid w:val="008C7D8D"/>
    <w:rsid w:val="008D01F8"/>
    <w:rsid w:val="008D1134"/>
    <w:rsid w:val="008D222D"/>
    <w:rsid w:val="008D2A83"/>
    <w:rsid w:val="008D2E10"/>
    <w:rsid w:val="008D3285"/>
    <w:rsid w:val="008D41B9"/>
    <w:rsid w:val="008D44A5"/>
    <w:rsid w:val="008D4F04"/>
    <w:rsid w:val="008D59BE"/>
    <w:rsid w:val="008D6051"/>
    <w:rsid w:val="008D62A9"/>
    <w:rsid w:val="008D654D"/>
    <w:rsid w:val="008D6BD8"/>
    <w:rsid w:val="008D7194"/>
    <w:rsid w:val="008D71F7"/>
    <w:rsid w:val="008D758B"/>
    <w:rsid w:val="008D77BF"/>
    <w:rsid w:val="008D7C8D"/>
    <w:rsid w:val="008D7D3C"/>
    <w:rsid w:val="008D7E8E"/>
    <w:rsid w:val="008D7F7B"/>
    <w:rsid w:val="008E1EB8"/>
    <w:rsid w:val="008E2205"/>
    <w:rsid w:val="008E2FAC"/>
    <w:rsid w:val="008E35A3"/>
    <w:rsid w:val="008E40EC"/>
    <w:rsid w:val="008E47EF"/>
    <w:rsid w:val="008E4DA6"/>
    <w:rsid w:val="008E5CB0"/>
    <w:rsid w:val="008E5F21"/>
    <w:rsid w:val="008E652F"/>
    <w:rsid w:val="008E66A4"/>
    <w:rsid w:val="008E72AA"/>
    <w:rsid w:val="008E7556"/>
    <w:rsid w:val="008E7ADF"/>
    <w:rsid w:val="008E7D32"/>
    <w:rsid w:val="008F01F8"/>
    <w:rsid w:val="008F0F1F"/>
    <w:rsid w:val="008F1252"/>
    <w:rsid w:val="008F1851"/>
    <w:rsid w:val="008F243F"/>
    <w:rsid w:val="008F27AF"/>
    <w:rsid w:val="008F3F82"/>
    <w:rsid w:val="008F42C9"/>
    <w:rsid w:val="008F45C8"/>
    <w:rsid w:val="008F4907"/>
    <w:rsid w:val="008F4B90"/>
    <w:rsid w:val="008F4DBC"/>
    <w:rsid w:val="008F4F1B"/>
    <w:rsid w:val="008F50CF"/>
    <w:rsid w:val="008F5345"/>
    <w:rsid w:val="008F553C"/>
    <w:rsid w:val="008F5C69"/>
    <w:rsid w:val="008F6AFC"/>
    <w:rsid w:val="008F766C"/>
    <w:rsid w:val="009002AC"/>
    <w:rsid w:val="0090131B"/>
    <w:rsid w:val="00901AF2"/>
    <w:rsid w:val="00901B01"/>
    <w:rsid w:val="009020A8"/>
    <w:rsid w:val="00902B3F"/>
    <w:rsid w:val="00902F98"/>
    <w:rsid w:val="009030BF"/>
    <w:rsid w:val="009036B5"/>
    <w:rsid w:val="0090433A"/>
    <w:rsid w:val="0090579F"/>
    <w:rsid w:val="00905A57"/>
    <w:rsid w:val="00906313"/>
    <w:rsid w:val="00907323"/>
    <w:rsid w:val="00907D6F"/>
    <w:rsid w:val="00910C47"/>
    <w:rsid w:val="009112EF"/>
    <w:rsid w:val="009116B6"/>
    <w:rsid w:val="00911AD8"/>
    <w:rsid w:val="00911F74"/>
    <w:rsid w:val="00912598"/>
    <w:rsid w:val="00912648"/>
    <w:rsid w:val="00912891"/>
    <w:rsid w:val="00912A4A"/>
    <w:rsid w:val="009131AE"/>
    <w:rsid w:val="00913738"/>
    <w:rsid w:val="00913A7C"/>
    <w:rsid w:val="00913BA4"/>
    <w:rsid w:val="0091435F"/>
    <w:rsid w:val="0091498C"/>
    <w:rsid w:val="009152C6"/>
    <w:rsid w:val="009152D3"/>
    <w:rsid w:val="00915450"/>
    <w:rsid w:val="00915458"/>
    <w:rsid w:val="00915A2F"/>
    <w:rsid w:val="0091669D"/>
    <w:rsid w:val="00916D87"/>
    <w:rsid w:val="00916DE3"/>
    <w:rsid w:val="00916FF1"/>
    <w:rsid w:val="009175BD"/>
    <w:rsid w:val="009206D7"/>
    <w:rsid w:val="00920A24"/>
    <w:rsid w:val="00921172"/>
    <w:rsid w:val="00921A1D"/>
    <w:rsid w:val="00921E93"/>
    <w:rsid w:val="0092269D"/>
    <w:rsid w:val="0092312A"/>
    <w:rsid w:val="0092479C"/>
    <w:rsid w:val="009247B6"/>
    <w:rsid w:val="009249E6"/>
    <w:rsid w:val="00924D56"/>
    <w:rsid w:val="00924D58"/>
    <w:rsid w:val="00925920"/>
    <w:rsid w:val="0092620A"/>
    <w:rsid w:val="00927122"/>
    <w:rsid w:val="009274F3"/>
    <w:rsid w:val="0092770C"/>
    <w:rsid w:val="00927AB8"/>
    <w:rsid w:val="009301F5"/>
    <w:rsid w:val="00930EA0"/>
    <w:rsid w:val="00930FE5"/>
    <w:rsid w:val="00931E2A"/>
    <w:rsid w:val="00931EE0"/>
    <w:rsid w:val="00931FA7"/>
    <w:rsid w:val="009325FD"/>
    <w:rsid w:val="0093351F"/>
    <w:rsid w:val="009335BC"/>
    <w:rsid w:val="0093378B"/>
    <w:rsid w:val="009344E9"/>
    <w:rsid w:val="00934D2F"/>
    <w:rsid w:val="0093523F"/>
    <w:rsid w:val="009364BF"/>
    <w:rsid w:val="0093762F"/>
    <w:rsid w:val="00937C1B"/>
    <w:rsid w:val="00937CB6"/>
    <w:rsid w:val="00940954"/>
    <w:rsid w:val="00940E5A"/>
    <w:rsid w:val="0094102D"/>
    <w:rsid w:val="0094102F"/>
    <w:rsid w:val="00941599"/>
    <w:rsid w:val="0094187D"/>
    <w:rsid w:val="00941CDD"/>
    <w:rsid w:val="00941DA3"/>
    <w:rsid w:val="00941DE9"/>
    <w:rsid w:val="0094242E"/>
    <w:rsid w:val="0094274A"/>
    <w:rsid w:val="00942B77"/>
    <w:rsid w:val="00942FA6"/>
    <w:rsid w:val="009432DE"/>
    <w:rsid w:val="009440A2"/>
    <w:rsid w:val="00944DEA"/>
    <w:rsid w:val="00945955"/>
    <w:rsid w:val="009459A6"/>
    <w:rsid w:val="00946DD8"/>
    <w:rsid w:val="009479B4"/>
    <w:rsid w:val="00947D22"/>
    <w:rsid w:val="00947D32"/>
    <w:rsid w:val="0095029A"/>
    <w:rsid w:val="0095145C"/>
    <w:rsid w:val="009514AB"/>
    <w:rsid w:val="009514DB"/>
    <w:rsid w:val="00952562"/>
    <w:rsid w:val="009528F9"/>
    <w:rsid w:val="00952A48"/>
    <w:rsid w:val="0095330E"/>
    <w:rsid w:val="00953352"/>
    <w:rsid w:val="0095353A"/>
    <w:rsid w:val="00954698"/>
    <w:rsid w:val="00954F10"/>
    <w:rsid w:val="00955F6B"/>
    <w:rsid w:val="009574AA"/>
    <w:rsid w:val="00957539"/>
    <w:rsid w:val="009578BE"/>
    <w:rsid w:val="00957D48"/>
    <w:rsid w:val="00957EF8"/>
    <w:rsid w:val="00960058"/>
    <w:rsid w:val="009604B7"/>
    <w:rsid w:val="00960B3D"/>
    <w:rsid w:val="009614F8"/>
    <w:rsid w:val="00961519"/>
    <w:rsid w:val="009617D6"/>
    <w:rsid w:val="009619DD"/>
    <w:rsid w:val="00961A68"/>
    <w:rsid w:val="00962BC0"/>
    <w:rsid w:val="009631C2"/>
    <w:rsid w:val="00963E6D"/>
    <w:rsid w:val="009641DB"/>
    <w:rsid w:val="009646B7"/>
    <w:rsid w:val="00965284"/>
    <w:rsid w:val="00965438"/>
    <w:rsid w:val="0096577A"/>
    <w:rsid w:val="00965CF6"/>
    <w:rsid w:val="0096651F"/>
    <w:rsid w:val="00966CFA"/>
    <w:rsid w:val="0096749E"/>
    <w:rsid w:val="0096760B"/>
    <w:rsid w:val="00967DDD"/>
    <w:rsid w:val="0097070A"/>
    <w:rsid w:val="00970E0B"/>
    <w:rsid w:val="009718B4"/>
    <w:rsid w:val="009718CA"/>
    <w:rsid w:val="00972087"/>
    <w:rsid w:val="00972F84"/>
    <w:rsid w:val="009740BF"/>
    <w:rsid w:val="00974399"/>
    <w:rsid w:val="009743C1"/>
    <w:rsid w:val="009755A3"/>
    <w:rsid w:val="009764E5"/>
    <w:rsid w:val="009771D0"/>
    <w:rsid w:val="00977442"/>
    <w:rsid w:val="00977521"/>
    <w:rsid w:val="00980492"/>
    <w:rsid w:val="00980E13"/>
    <w:rsid w:val="009820F6"/>
    <w:rsid w:val="009824D1"/>
    <w:rsid w:val="00982612"/>
    <w:rsid w:val="00982841"/>
    <w:rsid w:val="0098301F"/>
    <w:rsid w:val="009836B8"/>
    <w:rsid w:val="009836EB"/>
    <w:rsid w:val="00983A6A"/>
    <w:rsid w:val="00983F05"/>
    <w:rsid w:val="009844C6"/>
    <w:rsid w:val="009846AB"/>
    <w:rsid w:val="00984F85"/>
    <w:rsid w:val="0098630D"/>
    <w:rsid w:val="009868C7"/>
    <w:rsid w:val="009873F3"/>
    <w:rsid w:val="009906CC"/>
    <w:rsid w:val="00990BB6"/>
    <w:rsid w:val="00990C73"/>
    <w:rsid w:val="0099187F"/>
    <w:rsid w:val="00992018"/>
    <w:rsid w:val="0099202F"/>
    <w:rsid w:val="00993785"/>
    <w:rsid w:val="009944B8"/>
    <w:rsid w:val="009945B0"/>
    <w:rsid w:val="00994D43"/>
    <w:rsid w:val="0099502E"/>
    <w:rsid w:val="00995525"/>
    <w:rsid w:val="00995ADB"/>
    <w:rsid w:val="00995EDF"/>
    <w:rsid w:val="00996604"/>
    <w:rsid w:val="009969EC"/>
    <w:rsid w:val="00996B83"/>
    <w:rsid w:val="00996BEC"/>
    <w:rsid w:val="00996E16"/>
    <w:rsid w:val="00997658"/>
    <w:rsid w:val="009A0B86"/>
    <w:rsid w:val="009A174D"/>
    <w:rsid w:val="009A1F42"/>
    <w:rsid w:val="009A2929"/>
    <w:rsid w:val="009A2C27"/>
    <w:rsid w:val="009A2D78"/>
    <w:rsid w:val="009A3905"/>
    <w:rsid w:val="009A3E19"/>
    <w:rsid w:val="009A41C3"/>
    <w:rsid w:val="009A4339"/>
    <w:rsid w:val="009A44A7"/>
    <w:rsid w:val="009A4C17"/>
    <w:rsid w:val="009A4D97"/>
    <w:rsid w:val="009A4F7B"/>
    <w:rsid w:val="009A5DA9"/>
    <w:rsid w:val="009A5F30"/>
    <w:rsid w:val="009A6048"/>
    <w:rsid w:val="009A68C4"/>
    <w:rsid w:val="009A6E80"/>
    <w:rsid w:val="009A6F24"/>
    <w:rsid w:val="009A6F3A"/>
    <w:rsid w:val="009A7B19"/>
    <w:rsid w:val="009A7D6E"/>
    <w:rsid w:val="009B0368"/>
    <w:rsid w:val="009B1A19"/>
    <w:rsid w:val="009B20BF"/>
    <w:rsid w:val="009B2724"/>
    <w:rsid w:val="009B2E13"/>
    <w:rsid w:val="009B3566"/>
    <w:rsid w:val="009B3733"/>
    <w:rsid w:val="009B3BD3"/>
    <w:rsid w:val="009B3E5B"/>
    <w:rsid w:val="009B42EF"/>
    <w:rsid w:val="009B4C9E"/>
    <w:rsid w:val="009B557E"/>
    <w:rsid w:val="009B5D64"/>
    <w:rsid w:val="009B6026"/>
    <w:rsid w:val="009B7B84"/>
    <w:rsid w:val="009C06B1"/>
    <w:rsid w:val="009C0F42"/>
    <w:rsid w:val="009C174B"/>
    <w:rsid w:val="009C1A8C"/>
    <w:rsid w:val="009C326D"/>
    <w:rsid w:val="009C3630"/>
    <w:rsid w:val="009C3D19"/>
    <w:rsid w:val="009C45BE"/>
    <w:rsid w:val="009C5304"/>
    <w:rsid w:val="009C5365"/>
    <w:rsid w:val="009C54A2"/>
    <w:rsid w:val="009C5AB3"/>
    <w:rsid w:val="009C62CF"/>
    <w:rsid w:val="009C658B"/>
    <w:rsid w:val="009C7242"/>
    <w:rsid w:val="009C7A95"/>
    <w:rsid w:val="009C7AD2"/>
    <w:rsid w:val="009D1A4A"/>
    <w:rsid w:val="009D2215"/>
    <w:rsid w:val="009D23E4"/>
    <w:rsid w:val="009D2705"/>
    <w:rsid w:val="009D2EDA"/>
    <w:rsid w:val="009D2FDB"/>
    <w:rsid w:val="009D3318"/>
    <w:rsid w:val="009D34E4"/>
    <w:rsid w:val="009D4894"/>
    <w:rsid w:val="009D48A9"/>
    <w:rsid w:val="009D53C1"/>
    <w:rsid w:val="009D58FE"/>
    <w:rsid w:val="009D5FAF"/>
    <w:rsid w:val="009D6253"/>
    <w:rsid w:val="009D6EA6"/>
    <w:rsid w:val="009E000B"/>
    <w:rsid w:val="009E015C"/>
    <w:rsid w:val="009E19E7"/>
    <w:rsid w:val="009E1A36"/>
    <w:rsid w:val="009E241A"/>
    <w:rsid w:val="009E27EE"/>
    <w:rsid w:val="009E318C"/>
    <w:rsid w:val="009E358B"/>
    <w:rsid w:val="009E3736"/>
    <w:rsid w:val="009E4132"/>
    <w:rsid w:val="009E4272"/>
    <w:rsid w:val="009E42A7"/>
    <w:rsid w:val="009E49DA"/>
    <w:rsid w:val="009E657A"/>
    <w:rsid w:val="009E678B"/>
    <w:rsid w:val="009E6D5A"/>
    <w:rsid w:val="009E74FA"/>
    <w:rsid w:val="009E7C15"/>
    <w:rsid w:val="009E7DF4"/>
    <w:rsid w:val="009F1F0B"/>
    <w:rsid w:val="009F2173"/>
    <w:rsid w:val="009F402E"/>
    <w:rsid w:val="009F463B"/>
    <w:rsid w:val="009F4C92"/>
    <w:rsid w:val="009F4CA7"/>
    <w:rsid w:val="009F6AD3"/>
    <w:rsid w:val="009F7216"/>
    <w:rsid w:val="009F72D1"/>
    <w:rsid w:val="009F7F9B"/>
    <w:rsid w:val="00A007D3"/>
    <w:rsid w:val="00A01611"/>
    <w:rsid w:val="00A0237F"/>
    <w:rsid w:val="00A02D1F"/>
    <w:rsid w:val="00A03668"/>
    <w:rsid w:val="00A03856"/>
    <w:rsid w:val="00A0518E"/>
    <w:rsid w:val="00A051A6"/>
    <w:rsid w:val="00A054C3"/>
    <w:rsid w:val="00A05A38"/>
    <w:rsid w:val="00A05AA4"/>
    <w:rsid w:val="00A05CE6"/>
    <w:rsid w:val="00A0644B"/>
    <w:rsid w:val="00A06E6F"/>
    <w:rsid w:val="00A078B7"/>
    <w:rsid w:val="00A10377"/>
    <w:rsid w:val="00A1091E"/>
    <w:rsid w:val="00A117B0"/>
    <w:rsid w:val="00A1258A"/>
    <w:rsid w:val="00A1363C"/>
    <w:rsid w:val="00A138EF"/>
    <w:rsid w:val="00A14422"/>
    <w:rsid w:val="00A14539"/>
    <w:rsid w:val="00A14760"/>
    <w:rsid w:val="00A1478F"/>
    <w:rsid w:val="00A148BA"/>
    <w:rsid w:val="00A14E10"/>
    <w:rsid w:val="00A151DC"/>
    <w:rsid w:val="00A15234"/>
    <w:rsid w:val="00A155F5"/>
    <w:rsid w:val="00A15D69"/>
    <w:rsid w:val="00A16018"/>
    <w:rsid w:val="00A163AD"/>
    <w:rsid w:val="00A16442"/>
    <w:rsid w:val="00A169A5"/>
    <w:rsid w:val="00A174F9"/>
    <w:rsid w:val="00A1774C"/>
    <w:rsid w:val="00A202D5"/>
    <w:rsid w:val="00A2077F"/>
    <w:rsid w:val="00A20C66"/>
    <w:rsid w:val="00A20E86"/>
    <w:rsid w:val="00A21599"/>
    <w:rsid w:val="00A218F0"/>
    <w:rsid w:val="00A2261E"/>
    <w:rsid w:val="00A226B7"/>
    <w:rsid w:val="00A2353B"/>
    <w:rsid w:val="00A2449D"/>
    <w:rsid w:val="00A25844"/>
    <w:rsid w:val="00A2604B"/>
    <w:rsid w:val="00A26650"/>
    <w:rsid w:val="00A26FAE"/>
    <w:rsid w:val="00A27000"/>
    <w:rsid w:val="00A30AA0"/>
    <w:rsid w:val="00A30C90"/>
    <w:rsid w:val="00A30EB0"/>
    <w:rsid w:val="00A30F39"/>
    <w:rsid w:val="00A310FE"/>
    <w:rsid w:val="00A316DE"/>
    <w:rsid w:val="00A317DF"/>
    <w:rsid w:val="00A32946"/>
    <w:rsid w:val="00A32F23"/>
    <w:rsid w:val="00A335D9"/>
    <w:rsid w:val="00A35B54"/>
    <w:rsid w:val="00A35F70"/>
    <w:rsid w:val="00A36365"/>
    <w:rsid w:val="00A366D9"/>
    <w:rsid w:val="00A36EC9"/>
    <w:rsid w:val="00A36F2C"/>
    <w:rsid w:val="00A37583"/>
    <w:rsid w:val="00A376AD"/>
    <w:rsid w:val="00A379B8"/>
    <w:rsid w:val="00A40581"/>
    <w:rsid w:val="00A40932"/>
    <w:rsid w:val="00A414C2"/>
    <w:rsid w:val="00A427F2"/>
    <w:rsid w:val="00A433C6"/>
    <w:rsid w:val="00A44777"/>
    <w:rsid w:val="00A4539A"/>
    <w:rsid w:val="00A458B8"/>
    <w:rsid w:val="00A45E89"/>
    <w:rsid w:val="00A46288"/>
    <w:rsid w:val="00A46A8A"/>
    <w:rsid w:val="00A475C3"/>
    <w:rsid w:val="00A47CC3"/>
    <w:rsid w:val="00A502C1"/>
    <w:rsid w:val="00A50567"/>
    <w:rsid w:val="00A50810"/>
    <w:rsid w:val="00A519B6"/>
    <w:rsid w:val="00A51F58"/>
    <w:rsid w:val="00A52566"/>
    <w:rsid w:val="00A52FD5"/>
    <w:rsid w:val="00A53192"/>
    <w:rsid w:val="00A5425B"/>
    <w:rsid w:val="00A545E7"/>
    <w:rsid w:val="00A54D89"/>
    <w:rsid w:val="00A550C9"/>
    <w:rsid w:val="00A5511A"/>
    <w:rsid w:val="00A5525B"/>
    <w:rsid w:val="00A56051"/>
    <w:rsid w:val="00A57B50"/>
    <w:rsid w:val="00A60441"/>
    <w:rsid w:val="00A61700"/>
    <w:rsid w:val="00A617DA"/>
    <w:rsid w:val="00A61BED"/>
    <w:rsid w:val="00A63B0D"/>
    <w:rsid w:val="00A63F99"/>
    <w:rsid w:val="00A64ABE"/>
    <w:rsid w:val="00A64B49"/>
    <w:rsid w:val="00A6504C"/>
    <w:rsid w:val="00A6527F"/>
    <w:rsid w:val="00A65DA3"/>
    <w:rsid w:val="00A67481"/>
    <w:rsid w:val="00A67662"/>
    <w:rsid w:val="00A67C70"/>
    <w:rsid w:val="00A7094B"/>
    <w:rsid w:val="00A70D3E"/>
    <w:rsid w:val="00A72307"/>
    <w:rsid w:val="00A72E00"/>
    <w:rsid w:val="00A7358D"/>
    <w:rsid w:val="00A74104"/>
    <w:rsid w:val="00A74269"/>
    <w:rsid w:val="00A748FD"/>
    <w:rsid w:val="00A750A8"/>
    <w:rsid w:val="00A753F3"/>
    <w:rsid w:val="00A75445"/>
    <w:rsid w:val="00A754FB"/>
    <w:rsid w:val="00A755CE"/>
    <w:rsid w:val="00A75D81"/>
    <w:rsid w:val="00A75EC4"/>
    <w:rsid w:val="00A76C70"/>
    <w:rsid w:val="00A76FB6"/>
    <w:rsid w:val="00A77621"/>
    <w:rsid w:val="00A77A2B"/>
    <w:rsid w:val="00A77A46"/>
    <w:rsid w:val="00A77F49"/>
    <w:rsid w:val="00A77FAB"/>
    <w:rsid w:val="00A811CD"/>
    <w:rsid w:val="00A817A0"/>
    <w:rsid w:val="00A81C80"/>
    <w:rsid w:val="00A81F26"/>
    <w:rsid w:val="00A826A7"/>
    <w:rsid w:val="00A82DAA"/>
    <w:rsid w:val="00A8314B"/>
    <w:rsid w:val="00A83177"/>
    <w:rsid w:val="00A83223"/>
    <w:rsid w:val="00A83A13"/>
    <w:rsid w:val="00A83C8C"/>
    <w:rsid w:val="00A83F04"/>
    <w:rsid w:val="00A84691"/>
    <w:rsid w:val="00A84FB3"/>
    <w:rsid w:val="00A84FD7"/>
    <w:rsid w:val="00A85498"/>
    <w:rsid w:val="00A8555A"/>
    <w:rsid w:val="00A855C0"/>
    <w:rsid w:val="00A85EFD"/>
    <w:rsid w:val="00A85F89"/>
    <w:rsid w:val="00A872B2"/>
    <w:rsid w:val="00A8763F"/>
    <w:rsid w:val="00A9004D"/>
    <w:rsid w:val="00A916BD"/>
    <w:rsid w:val="00A9190B"/>
    <w:rsid w:val="00A91D8F"/>
    <w:rsid w:val="00A920D2"/>
    <w:rsid w:val="00A93C2B"/>
    <w:rsid w:val="00A9419B"/>
    <w:rsid w:val="00A94795"/>
    <w:rsid w:val="00A94CD0"/>
    <w:rsid w:val="00A95564"/>
    <w:rsid w:val="00A955A8"/>
    <w:rsid w:val="00A958B2"/>
    <w:rsid w:val="00A95A07"/>
    <w:rsid w:val="00A969DE"/>
    <w:rsid w:val="00A977F5"/>
    <w:rsid w:val="00A979A9"/>
    <w:rsid w:val="00AA03A7"/>
    <w:rsid w:val="00AA0B80"/>
    <w:rsid w:val="00AA1BFC"/>
    <w:rsid w:val="00AA1C70"/>
    <w:rsid w:val="00AA2106"/>
    <w:rsid w:val="00AA2620"/>
    <w:rsid w:val="00AA2881"/>
    <w:rsid w:val="00AA28A9"/>
    <w:rsid w:val="00AA2C68"/>
    <w:rsid w:val="00AA30B8"/>
    <w:rsid w:val="00AA3232"/>
    <w:rsid w:val="00AA369D"/>
    <w:rsid w:val="00AA3A1D"/>
    <w:rsid w:val="00AA41A2"/>
    <w:rsid w:val="00AA446F"/>
    <w:rsid w:val="00AA5112"/>
    <w:rsid w:val="00AA58DB"/>
    <w:rsid w:val="00AA65B2"/>
    <w:rsid w:val="00AA6D71"/>
    <w:rsid w:val="00AA7175"/>
    <w:rsid w:val="00AA7AEE"/>
    <w:rsid w:val="00AA7DC2"/>
    <w:rsid w:val="00AB1B0A"/>
    <w:rsid w:val="00AB2612"/>
    <w:rsid w:val="00AB29FA"/>
    <w:rsid w:val="00AB31B9"/>
    <w:rsid w:val="00AB33DF"/>
    <w:rsid w:val="00AB380E"/>
    <w:rsid w:val="00AB3BAA"/>
    <w:rsid w:val="00AB4525"/>
    <w:rsid w:val="00AB478F"/>
    <w:rsid w:val="00AB4CC5"/>
    <w:rsid w:val="00AB4FA9"/>
    <w:rsid w:val="00AB505B"/>
    <w:rsid w:val="00AB557D"/>
    <w:rsid w:val="00AB5C3C"/>
    <w:rsid w:val="00AB5E94"/>
    <w:rsid w:val="00AB638E"/>
    <w:rsid w:val="00AB6426"/>
    <w:rsid w:val="00AB66DA"/>
    <w:rsid w:val="00AB707B"/>
    <w:rsid w:val="00AB707F"/>
    <w:rsid w:val="00AB7614"/>
    <w:rsid w:val="00AB786E"/>
    <w:rsid w:val="00AC0248"/>
    <w:rsid w:val="00AC0410"/>
    <w:rsid w:val="00AC0A1B"/>
    <w:rsid w:val="00AC11E4"/>
    <w:rsid w:val="00AC1D43"/>
    <w:rsid w:val="00AC217A"/>
    <w:rsid w:val="00AC2538"/>
    <w:rsid w:val="00AC2776"/>
    <w:rsid w:val="00AC3B28"/>
    <w:rsid w:val="00AC3D72"/>
    <w:rsid w:val="00AC4420"/>
    <w:rsid w:val="00AC4547"/>
    <w:rsid w:val="00AC4586"/>
    <w:rsid w:val="00AC4806"/>
    <w:rsid w:val="00AC5B6B"/>
    <w:rsid w:val="00AC61E9"/>
    <w:rsid w:val="00AC6765"/>
    <w:rsid w:val="00AC6D0A"/>
    <w:rsid w:val="00AC7050"/>
    <w:rsid w:val="00AC7701"/>
    <w:rsid w:val="00AC77DB"/>
    <w:rsid w:val="00AC7CD4"/>
    <w:rsid w:val="00AC7EB8"/>
    <w:rsid w:val="00AD0345"/>
    <w:rsid w:val="00AD037B"/>
    <w:rsid w:val="00AD16A0"/>
    <w:rsid w:val="00AD27A8"/>
    <w:rsid w:val="00AD35D0"/>
    <w:rsid w:val="00AD3634"/>
    <w:rsid w:val="00AD6214"/>
    <w:rsid w:val="00AD622B"/>
    <w:rsid w:val="00AD6578"/>
    <w:rsid w:val="00AD6CBD"/>
    <w:rsid w:val="00AD743C"/>
    <w:rsid w:val="00AD74EB"/>
    <w:rsid w:val="00AD7E60"/>
    <w:rsid w:val="00AE0A25"/>
    <w:rsid w:val="00AE0C72"/>
    <w:rsid w:val="00AE0FB1"/>
    <w:rsid w:val="00AE1371"/>
    <w:rsid w:val="00AE14C1"/>
    <w:rsid w:val="00AE16E9"/>
    <w:rsid w:val="00AE1723"/>
    <w:rsid w:val="00AE1DB9"/>
    <w:rsid w:val="00AE2041"/>
    <w:rsid w:val="00AE22B4"/>
    <w:rsid w:val="00AE2319"/>
    <w:rsid w:val="00AE297A"/>
    <w:rsid w:val="00AE3025"/>
    <w:rsid w:val="00AE30D5"/>
    <w:rsid w:val="00AE4B44"/>
    <w:rsid w:val="00AE4E99"/>
    <w:rsid w:val="00AE519D"/>
    <w:rsid w:val="00AE54D2"/>
    <w:rsid w:val="00AE67FB"/>
    <w:rsid w:val="00AE71F7"/>
    <w:rsid w:val="00AE72AD"/>
    <w:rsid w:val="00AE77BF"/>
    <w:rsid w:val="00AE7DD6"/>
    <w:rsid w:val="00AE7FDC"/>
    <w:rsid w:val="00AF0779"/>
    <w:rsid w:val="00AF12BD"/>
    <w:rsid w:val="00AF26AD"/>
    <w:rsid w:val="00AF3457"/>
    <w:rsid w:val="00AF3DBB"/>
    <w:rsid w:val="00AF52C5"/>
    <w:rsid w:val="00AF5F51"/>
    <w:rsid w:val="00AF61FD"/>
    <w:rsid w:val="00AF6897"/>
    <w:rsid w:val="00AF76FC"/>
    <w:rsid w:val="00B0008F"/>
    <w:rsid w:val="00B002FD"/>
    <w:rsid w:val="00B009B0"/>
    <w:rsid w:val="00B00D21"/>
    <w:rsid w:val="00B017A4"/>
    <w:rsid w:val="00B01A3F"/>
    <w:rsid w:val="00B025E0"/>
    <w:rsid w:val="00B02924"/>
    <w:rsid w:val="00B02B37"/>
    <w:rsid w:val="00B02C4F"/>
    <w:rsid w:val="00B037E1"/>
    <w:rsid w:val="00B0416B"/>
    <w:rsid w:val="00B0520B"/>
    <w:rsid w:val="00B071DF"/>
    <w:rsid w:val="00B0782E"/>
    <w:rsid w:val="00B07984"/>
    <w:rsid w:val="00B10C9E"/>
    <w:rsid w:val="00B11694"/>
    <w:rsid w:val="00B12057"/>
    <w:rsid w:val="00B121A7"/>
    <w:rsid w:val="00B13038"/>
    <w:rsid w:val="00B13234"/>
    <w:rsid w:val="00B136C2"/>
    <w:rsid w:val="00B13877"/>
    <w:rsid w:val="00B15053"/>
    <w:rsid w:val="00B152A8"/>
    <w:rsid w:val="00B1547C"/>
    <w:rsid w:val="00B157A2"/>
    <w:rsid w:val="00B16666"/>
    <w:rsid w:val="00B166D0"/>
    <w:rsid w:val="00B16B6E"/>
    <w:rsid w:val="00B1705C"/>
    <w:rsid w:val="00B178F2"/>
    <w:rsid w:val="00B17E27"/>
    <w:rsid w:val="00B17E6C"/>
    <w:rsid w:val="00B204DC"/>
    <w:rsid w:val="00B2050A"/>
    <w:rsid w:val="00B21C09"/>
    <w:rsid w:val="00B22AF9"/>
    <w:rsid w:val="00B2363E"/>
    <w:rsid w:val="00B248CC"/>
    <w:rsid w:val="00B25702"/>
    <w:rsid w:val="00B25AFC"/>
    <w:rsid w:val="00B30485"/>
    <w:rsid w:val="00B30BC0"/>
    <w:rsid w:val="00B314D6"/>
    <w:rsid w:val="00B3243D"/>
    <w:rsid w:val="00B32B15"/>
    <w:rsid w:val="00B33840"/>
    <w:rsid w:val="00B34156"/>
    <w:rsid w:val="00B34528"/>
    <w:rsid w:val="00B34D92"/>
    <w:rsid w:val="00B370DF"/>
    <w:rsid w:val="00B37315"/>
    <w:rsid w:val="00B4071C"/>
    <w:rsid w:val="00B40C09"/>
    <w:rsid w:val="00B413BB"/>
    <w:rsid w:val="00B41ECA"/>
    <w:rsid w:val="00B4245F"/>
    <w:rsid w:val="00B42503"/>
    <w:rsid w:val="00B42C2E"/>
    <w:rsid w:val="00B43D11"/>
    <w:rsid w:val="00B4402C"/>
    <w:rsid w:val="00B44862"/>
    <w:rsid w:val="00B44D70"/>
    <w:rsid w:val="00B46A9F"/>
    <w:rsid w:val="00B47863"/>
    <w:rsid w:val="00B479AE"/>
    <w:rsid w:val="00B505F4"/>
    <w:rsid w:val="00B515DF"/>
    <w:rsid w:val="00B51888"/>
    <w:rsid w:val="00B522D6"/>
    <w:rsid w:val="00B52649"/>
    <w:rsid w:val="00B5280C"/>
    <w:rsid w:val="00B52920"/>
    <w:rsid w:val="00B52C4E"/>
    <w:rsid w:val="00B5347D"/>
    <w:rsid w:val="00B548B1"/>
    <w:rsid w:val="00B54BE0"/>
    <w:rsid w:val="00B5584B"/>
    <w:rsid w:val="00B565FA"/>
    <w:rsid w:val="00B566D9"/>
    <w:rsid w:val="00B56A69"/>
    <w:rsid w:val="00B5744C"/>
    <w:rsid w:val="00B60B5E"/>
    <w:rsid w:val="00B60D67"/>
    <w:rsid w:val="00B610FD"/>
    <w:rsid w:val="00B611EE"/>
    <w:rsid w:val="00B61289"/>
    <w:rsid w:val="00B6155E"/>
    <w:rsid w:val="00B61766"/>
    <w:rsid w:val="00B61B11"/>
    <w:rsid w:val="00B61EEB"/>
    <w:rsid w:val="00B626F2"/>
    <w:rsid w:val="00B631DB"/>
    <w:rsid w:val="00B63F85"/>
    <w:rsid w:val="00B6411F"/>
    <w:rsid w:val="00B658CD"/>
    <w:rsid w:val="00B65B57"/>
    <w:rsid w:val="00B66261"/>
    <w:rsid w:val="00B66BC6"/>
    <w:rsid w:val="00B66C51"/>
    <w:rsid w:val="00B6795A"/>
    <w:rsid w:val="00B67F1D"/>
    <w:rsid w:val="00B700AE"/>
    <w:rsid w:val="00B7013C"/>
    <w:rsid w:val="00B701ED"/>
    <w:rsid w:val="00B703D4"/>
    <w:rsid w:val="00B72C5C"/>
    <w:rsid w:val="00B733D0"/>
    <w:rsid w:val="00B73B38"/>
    <w:rsid w:val="00B73D1C"/>
    <w:rsid w:val="00B7418F"/>
    <w:rsid w:val="00B74788"/>
    <w:rsid w:val="00B7517E"/>
    <w:rsid w:val="00B75A6B"/>
    <w:rsid w:val="00B75ACC"/>
    <w:rsid w:val="00B76720"/>
    <w:rsid w:val="00B76BFD"/>
    <w:rsid w:val="00B77B14"/>
    <w:rsid w:val="00B81FCF"/>
    <w:rsid w:val="00B8245C"/>
    <w:rsid w:val="00B82603"/>
    <w:rsid w:val="00B82E15"/>
    <w:rsid w:val="00B83E62"/>
    <w:rsid w:val="00B841A0"/>
    <w:rsid w:val="00B84DA2"/>
    <w:rsid w:val="00B85AAE"/>
    <w:rsid w:val="00B85B7A"/>
    <w:rsid w:val="00B85BA2"/>
    <w:rsid w:val="00B8692E"/>
    <w:rsid w:val="00B8799F"/>
    <w:rsid w:val="00B900F5"/>
    <w:rsid w:val="00B90696"/>
    <w:rsid w:val="00B9219C"/>
    <w:rsid w:val="00B926EE"/>
    <w:rsid w:val="00B92D19"/>
    <w:rsid w:val="00B935AA"/>
    <w:rsid w:val="00B9366A"/>
    <w:rsid w:val="00B93B7C"/>
    <w:rsid w:val="00B94A85"/>
    <w:rsid w:val="00B955D6"/>
    <w:rsid w:val="00B95645"/>
    <w:rsid w:val="00B9575C"/>
    <w:rsid w:val="00B95B63"/>
    <w:rsid w:val="00B96F0C"/>
    <w:rsid w:val="00B972D6"/>
    <w:rsid w:val="00B97488"/>
    <w:rsid w:val="00BA0713"/>
    <w:rsid w:val="00BA07E7"/>
    <w:rsid w:val="00BA0D60"/>
    <w:rsid w:val="00BA14A7"/>
    <w:rsid w:val="00BA22D4"/>
    <w:rsid w:val="00BA27BB"/>
    <w:rsid w:val="00BA2A8D"/>
    <w:rsid w:val="00BA2F81"/>
    <w:rsid w:val="00BA3D4A"/>
    <w:rsid w:val="00BA55B0"/>
    <w:rsid w:val="00BA575C"/>
    <w:rsid w:val="00BA5819"/>
    <w:rsid w:val="00BA5AE4"/>
    <w:rsid w:val="00BA5D21"/>
    <w:rsid w:val="00BA61AA"/>
    <w:rsid w:val="00BA7E23"/>
    <w:rsid w:val="00BB0C97"/>
    <w:rsid w:val="00BB1104"/>
    <w:rsid w:val="00BB170B"/>
    <w:rsid w:val="00BB1799"/>
    <w:rsid w:val="00BB17B7"/>
    <w:rsid w:val="00BB21FD"/>
    <w:rsid w:val="00BB35AA"/>
    <w:rsid w:val="00BB3A45"/>
    <w:rsid w:val="00BB3F44"/>
    <w:rsid w:val="00BB4075"/>
    <w:rsid w:val="00BB4123"/>
    <w:rsid w:val="00BB42B2"/>
    <w:rsid w:val="00BB4570"/>
    <w:rsid w:val="00BB4A06"/>
    <w:rsid w:val="00BB58C2"/>
    <w:rsid w:val="00BB5A45"/>
    <w:rsid w:val="00BB5C33"/>
    <w:rsid w:val="00BB5C48"/>
    <w:rsid w:val="00BB61A9"/>
    <w:rsid w:val="00BB6A07"/>
    <w:rsid w:val="00BC0542"/>
    <w:rsid w:val="00BC05C7"/>
    <w:rsid w:val="00BC066A"/>
    <w:rsid w:val="00BC11C1"/>
    <w:rsid w:val="00BC13E7"/>
    <w:rsid w:val="00BC1786"/>
    <w:rsid w:val="00BC1EBE"/>
    <w:rsid w:val="00BC23A8"/>
    <w:rsid w:val="00BC2462"/>
    <w:rsid w:val="00BC2CEB"/>
    <w:rsid w:val="00BC30EF"/>
    <w:rsid w:val="00BC359D"/>
    <w:rsid w:val="00BC5452"/>
    <w:rsid w:val="00BC594B"/>
    <w:rsid w:val="00BC672E"/>
    <w:rsid w:val="00BC7818"/>
    <w:rsid w:val="00BC78D5"/>
    <w:rsid w:val="00BD07C2"/>
    <w:rsid w:val="00BD09B0"/>
    <w:rsid w:val="00BD2189"/>
    <w:rsid w:val="00BD27F1"/>
    <w:rsid w:val="00BD302B"/>
    <w:rsid w:val="00BD3C33"/>
    <w:rsid w:val="00BD41FA"/>
    <w:rsid w:val="00BD4732"/>
    <w:rsid w:val="00BD4BA7"/>
    <w:rsid w:val="00BD4C8D"/>
    <w:rsid w:val="00BD607F"/>
    <w:rsid w:val="00BD6795"/>
    <w:rsid w:val="00BD72F4"/>
    <w:rsid w:val="00BD744B"/>
    <w:rsid w:val="00BD7A69"/>
    <w:rsid w:val="00BD7AF7"/>
    <w:rsid w:val="00BE023F"/>
    <w:rsid w:val="00BE0390"/>
    <w:rsid w:val="00BE0662"/>
    <w:rsid w:val="00BE1610"/>
    <w:rsid w:val="00BE1CE2"/>
    <w:rsid w:val="00BE21E7"/>
    <w:rsid w:val="00BE2DFE"/>
    <w:rsid w:val="00BE2E9B"/>
    <w:rsid w:val="00BE318E"/>
    <w:rsid w:val="00BE35C1"/>
    <w:rsid w:val="00BE3FED"/>
    <w:rsid w:val="00BE496C"/>
    <w:rsid w:val="00BE5631"/>
    <w:rsid w:val="00BE62CC"/>
    <w:rsid w:val="00BE6466"/>
    <w:rsid w:val="00BE64EC"/>
    <w:rsid w:val="00BE668D"/>
    <w:rsid w:val="00BE7AF4"/>
    <w:rsid w:val="00BF022E"/>
    <w:rsid w:val="00BF1FF0"/>
    <w:rsid w:val="00BF3708"/>
    <w:rsid w:val="00BF3A2F"/>
    <w:rsid w:val="00BF3CB1"/>
    <w:rsid w:val="00BF52DC"/>
    <w:rsid w:val="00BF62CA"/>
    <w:rsid w:val="00BF63C7"/>
    <w:rsid w:val="00BF6D90"/>
    <w:rsid w:val="00BF7152"/>
    <w:rsid w:val="00BF73E3"/>
    <w:rsid w:val="00C00623"/>
    <w:rsid w:val="00C01C05"/>
    <w:rsid w:val="00C01CE9"/>
    <w:rsid w:val="00C01D4E"/>
    <w:rsid w:val="00C01F25"/>
    <w:rsid w:val="00C02625"/>
    <w:rsid w:val="00C03A75"/>
    <w:rsid w:val="00C03EF7"/>
    <w:rsid w:val="00C043C5"/>
    <w:rsid w:val="00C0457D"/>
    <w:rsid w:val="00C04C23"/>
    <w:rsid w:val="00C06663"/>
    <w:rsid w:val="00C0691B"/>
    <w:rsid w:val="00C07086"/>
    <w:rsid w:val="00C078F5"/>
    <w:rsid w:val="00C100C0"/>
    <w:rsid w:val="00C100C5"/>
    <w:rsid w:val="00C101C5"/>
    <w:rsid w:val="00C10FDA"/>
    <w:rsid w:val="00C11773"/>
    <w:rsid w:val="00C117AA"/>
    <w:rsid w:val="00C117C6"/>
    <w:rsid w:val="00C1183C"/>
    <w:rsid w:val="00C11CC0"/>
    <w:rsid w:val="00C12669"/>
    <w:rsid w:val="00C13450"/>
    <w:rsid w:val="00C153C2"/>
    <w:rsid w:val="00C154AC"/>
    <w:rsid w:val="00C15E86"/>
    <w:rsid w:val="00C16326"/>
    <w:rsid w:val="00C171DB"/>
    <w:rsid w:val="00C17F42"/>
    <w:rsid w:val="00C203C0"/>
    <w:rsid w:val="00C20589"/>
    <w:rsid w:val="00C20F3D"/>
    <w:rsid w:val="00C2146F"/>
    <w:rsid w:val="00C21777"/>
    <w:rsid w:val="00C22298"/>
    <w:rsid w:val="00C23691"/>
    <w:rsid w:val="00C23CDE"/>
    <w:rsid w:val="00C242B0"/>
    <w:rsid w:val="00C24AF6"/>
    <w:rsid w:val="00C24D66"/>
    <w:rsid w:val="00C257BD"/>
    <w:rsid w:val="00C262FB"/>
    <w:rsid w:val="00C2710F"/>
    <w:rsid w:val="00C27476"/>
    <w:rsid w:val="00C27540"/>
    <w:rsid w:val="00C30233"/>
    <w:rsid w:val="00C3170C"/>
    <w:rsid w:val="00C31E56"/>
    <w:rsid w:val="00C3282B"/>
    <w:rsid w:val="00C34337"/>
    <w:rsid w:val="00C3589D"/>
    <w:rsid w:val="00C36887"/>
    <w:rsid w:val="00C3780D"/>
    <w:rsid w:val="00C37CDE"/>
    <w:rsid w:val="00C37FF6"/>
    <w:rsid w:val="00C40A28"/>
    <w:rsid w:val="00C40AD9"/>
    <w:rsid w:val="00C413E4"/>
    <w:rsid w:val="00C41894"/>
    <w:rsid w:val="00C419B4"/>
    <w:rsid w:val="00C436B0"/>
    <w:rsid w:val="00C43B8C"/>
    <w:rsid w:val="00C4412B"/>
    <w:rsid w:val="00C441AC"/>
    <w:rsid w:val="00C44D68"/>
    <w:rsid w:val="00C455C7"/>
    <w:rsid w:val="00C45BE9"/>
    <w:rsid w:val="00C465A0"/>
    <w:rsid w:val="00C470C7"/>
    <w:rsid w:val="00C47370"/>
    <w:rsid w:val="00C47996"/>
    <w:rsid w:val="00C47B09"/>
    <w:rsid w:val="00C50179"/>
    <w:rsid w:val="00C509D0"/>
    <w:rsid w:val="00C50EEA"/>
    <w:rsid w:val="00C51AAF"/>
    <w:rsid w:val="00C52D32"/>
    <w:rsid w:val="00C5367D"/>
    <w:rsid w:val="00C54189"/>
    <w:rsid w:val="00C54B4F"/>
    <w:rsid w:val="00C553A2"/>
    <w:rsid w:val="00C5582C"/>
    <w:rsid w:val="00C55E2B"/>
    <w:rsid w:val="00C57777"/>
    <w:rsid w:val="00C603E8"/>
    <w:rsid w:val="00C60593"/>
    <w:rsid w:val="00C60A56"/>
    <w:rsid w:val="00C60D4D"/>
    <w:rsid w:val="00C6129E"/>
    <w:rsid w:val="00C6233C"/>
    <w:rsid w:val="00C626B5"/>
    <w:rsid w:val="00C62EB6"/>
    <w:rsid w:val="00C6360B"/>
    <w:rsid w:val="00C63CF8"/>
    <w:rsid w:val="00C644C5"/>
    <w:rsid w:val="00C6454D"/>
    <w:rsid w:val="00C65AF2"/>
    <w:rsid w:val="00C662D5"/>
    <w:rsid w:val="00C6673A"/>
    <w:rsid w:val="00C668F0"/>
    <w:rsid w:val="00C671B9"/>
    <w:rsid w:val="00C672AE"/>
    <w:rsid w:val="00C67BDD"/>
    <w:rsid w:val="00C700A4"/>
    <w:rsid w:val="00C70CCA"/>
    <w:rsid w:val="00C71D1F"/>
    <w:rsid w:val="00C72FD8"/>
    <w:rsid w:val="00C730C0"/>
    <w:rsid w:val="00C732E5"/>
    <w:rsid w:val="00C73583"/>
    <w:rsid w:val="00C736AC"/>
    <w:rsid w:val="00C736B3"/>
    <w:rsid w:val="00C74793"/>
    <w:rsid w:val="00C7486B"/>
    <w:rsid w:val="00C74EF8"/>
    <w:rsid w:val="00C75535"/>
    <w:rsid w:val="00C76468"/>
    <w:rsid w:val="00C76789"/>
    <w:rsid w:val="00C80357"/>
    <w:rsid w:val="00C80628"/>
    <w:rsid w:val="00C8175D"/>
    <w:rsid w:val="00C81AD5"/>
    <w:rsid w:val="00C820C6"/>
    <w:rsid w:val="00C82320"/>
    <w:rsid w:val="00C82687"/>
    <w:rsid w:val="00C84EAF"/>
    <w:rsid w:val="00C85066"/>
    <w:rsid w:val="00C85113"/>
    <w:rsid w:val="00C855E8"/>
    <w:rsid w:val="00C8587D"/>
    <w:rsid w:val="00C85AD7"/>
    <w:rsid w:val="00C85AE9"/>
    <w:rsid w:val="00C85FDB"/>
    <w:rsid w:val="00C86AFC"/>
    <w:rsid w:val="00C86D41"/>
    <w:rsid w:val="00C873C9"/>
    <w:rsid w:val="00C878AB"/>
    <w:rsid w:val="00C90793"/>
    <w:rsid w:val="00C91D35"/>
    <w:rsid w:val="00C91FA4"/>
    <w:rsid w:val="00C91FC7"/>
    <w:rsid w:val="00C93AB3"/>
    <w:rsid w:val="00C93EC0"/>
    <w:rsid w:val="00C94040"/>
    <w:rsid w:val="00C9476F"/>
    <w:rsid w:val="00C94AC0"/>
    <w:rsid w:val="00C970CE"/>
    <w:rsid w:val="00C97585"/>
    <w:rsid w:val="00C97729"/>
    <w:rsid w:val="00C97C40"/>
    <w:rsid w:val="00CA0143"/>
    <w:rsid w:val="00CA0C05"/>
    <w:rsid w:val="00CA0E76"/>
    <w:rsid w:val="00CA1D38"/>
    <w:rsid w:val="00CA201C"/>
    <w:rsid w:val="00CA2097"/>
    <w:rsid w:val="00CA3097"/>
    <w:rsid w:val="00CA3416"/>
    <w:rsid w:val="00CA3658"/>
    <w:rsid w:val="00CA3C3A"/>
    <w:rsid w:val="00CA43D1"/>
    <w:rsid w:val="00CA45E8"/>
    <w:rsid w:val="00CA4C3B"/>
    <w:rsid w:val="00CA58EF"/>
    <w:rsid w:val="00CA5ECF"/>
    <w:rsid w:val="00CA6499"/>
    <w:rsid w:val="00CA71BF"/>
    <w:rsid w:val="00CA72E9"/>
    <w:rsid w:val="00CA778A"/>
    <w:rsid w:val="00CA7B72"/>
    <w:rsid w:val="00CB15B9"/>
    <w:rsid w:val="00CB21AA"/>
    <w:rsid w:val="00CB21E7"/>
    <w:rsid w:val="00CB2769"/>
    <w:rsid w:val="00CB2852"/>
    <w:rsid w:val="00CB2FB6"/>
    <w:rsid w:val="00CB350F"/>
    <w:rsid w:val="00CB3F80"/>
    <w:rsid w:val="00CB40B7"/>
    <w:rsid w:val="00CB42C0"/>
    <w:rsid w:val="00CB45FA"/>
    <w:rsid w:val="00CB495A"/>
    <w:rsid w:val="00CB5212"/>
    <w:rsid w:val="00CB5636"/>
    <w:rsid w:val="00CB6C24"/>
    <w:rsid w:val="00CB6D1F"/>
    <w:rsid w:val="00CB7066"/>
    <w:rsid w:val="00CB7305"/>
    <w:rsid w:val="00CB7CBB"/>
    <w:rsid w:val="00CB7CDB"/>
    <w:rsid w:val="00CC0611"/>
    <w:rsid w:val="00CC2054"/>
    <w:rsid w:val="00CC4926"/>
    <w:rsid w:val="00CC5667"/>
    <w:rsid w:val="00CC56F5"/>
    <w:rsid w:val="00CC6CAC"/>
    <w:rsid w:val="00CC798C"/>
    <w:rsid w:val="00CD0031"/>
    <w:rsid w:val="00CD06E6"/>
    <w:rsid w:val="00CD093A"/>
    <w:rsid w:val="00CD0C11"/>
    <w:rsid w:val="00CD1ED3"/>
    <w:rsid w:val="00CD358A"/>
    <w:rsid w:val="00CD36B1"/>
    <w:rsid w:val="00CD3B51"/>
    <w:rsid w:val="00CD3E9A"/>
    <w:rsid w:val="00CD3F6E"/>
    <w:rsid w:val="00CD40AB"/>
    <w:rsid w:val="00CD4420"/>
    <w:rsid w:val="00CD46A1"/>
    <w:rsid w:val="00CD4860"/>
    <w:rsid w:val="00CD4B3E"/>
    <w:rsid w:val="00CD4C35"/>
    <w:rsid w:val="00CD6F45"/>
    <w:rsid w:val="00CD74C2"/>
    <w:rsid w:val="00CE01D9"/>
    <w:rsid w:val="00CE1A64"/>
    <w:rsid w:val="00CE1B3B"/>
    <w:rsid w:val="00CE20DA"/>
    <w:rsid w:val="00CE2651"/>
    <w:rsid w:val="00CE32DD"/>
    <w:rsid w:val="00CE4128"/>
    <w:rsid w:val="00CE52DD"/>
    <w:rsid w:val="00CE57BE"/>
    <w:rsid w:val="00CE593C"/>
    <w:rsid w:val="00CE61E5"/>
    <w:rsid w:val="00CE67B3"/>
    <w:rsid w:val="00CE6A9C"/>
    <w:rsid w:val="00CE6C9A"/>
    <w:rsid w:val="00CE7372"/>
    <w:rsid w:val="00CE7595"/>
    <w:rsid w:val="00CE7650"/>
    <w:rsid w:val="00CE7786"/>
    <w:rsid w:val="00CF0413"/>
    <w:rsid w:val="00CF1554"/>
    <w:rsid w:val="00CF2440"/>
    <w:rsid w:val="00CF24DF"/>
    <w:rsid w:val="00CF267A"/>
    <w:rsid w:val="00CF2B20"/>
    <w:rsid w:val="00CF2B2C"/>
    <w:rsid w:val="00CF31EB"/>
    <w:rsid w:val="00CF383F"/>
    <w:rsid w:val="00CF388B"/>
    <w:rsid w:val="00CF400F"/>
    <w:rsid w:val="00CF47D6"/>
    <w:rsid w:val="00CF491C"/>
    <w:rsid w:val="00CF50B8"/>
    <w:rsid w:val="00CF544E"/>
    <w:rsid w:val="00CF58AB"/>
    <w:rsid w:val="00CF5A25"/>
    <w:rsid w:val="00CF5FAA"/>
    <w:rsid w:val="00CF634A"/>
    <w:rsid w:val="00CF66BB"/>
    <w:rsid w:val="00CF697A"/>
    <w:rsid w:val="00CF7D80"/>
    <w:rsid w:val="00D00D8C"/>
    <w:rsid w:val="00D013A7"/>
    <w:rsid w:val="00D01447"/>
    <w:rsid w:val="00D02099"/>
    <w:rsid w:val="00D02187"/>
    <w:rsid w:val="00D021F8"/>
    <w:rsid w:val="00D023C7"/>
    <w:rsid w:val="00D026F9"/>
    <w:rsid w:val="00D03D8C"/>
    <w:rsid w:val="00D03DAE"/>
    <w:rsid w:val="00D03E2F"/>
    <w:rsid w:val="00D0424B"/>
    <w:rsid w:val="00D044DA"/>
    <w:rsid w:val="00D04D64"/>
    <w:rsid w:val="00D04F63"/>
    <w:rsid w:val="00D0531F"/>
    <w:rsid w:val="00D058BA"/>
    <w:rsid w:val="00D0652C"/>
    <w:rsid w:val="00D06B81"/>
    <w:rsid w:val="00D06F4B"/>
    <w:rsid w:val="00D1154A"/>
    <w:rsid w:val="00D11A64"/>
    <w:rsid w:val="00D11E5D"/>
    <w:rsid w:val="00D121DF"/>
    <w:rsid w:val="00D12AF3"/>
    <w:rsid w:val="00D12E33"/>
    <w:rsid w:val="00D135A0"/>
    <w:rsid w:val="00D13A24"/>
    <w:rsid w:val="00D13CC0"/>
    <w:rsid w:val="00D14691"/>
    <w:rsid w:val="00D147FF"/>
    <w:rsid w:val="00D1612B"/>
    <w:rsid w:val="00D1628E"/>
    <w:rsid w:val="00D1685D"/>
    <w:rsid w:val="00D16CBA"/>
    <w:rsid w:val="00D1753F"/>
    <w:rsid w:val="00D176D5"/>
    <w:rsid w:val="00D17D4C"/>
    <w:rsid w:val="00D20A98"/>
    <w:rsid w:val="00D20BF6"/>
    <w:rsid w:val="00D20D2B"/>
    <w:rsid w:val="00D20DAC"/>
    <w:rsid w:val="00D210B8"/>
    <w:rsid w:val="00D21125"/>
    <w:rsid w:val="00D21287"/>
    <w:rsid w:val="00D212B1"/>
    <w:rsid w:val="00D2156D"/>
    <w:rsid w:val="00D22763"/>
    <w:rsid w:val="00D22A96"/>
    <w:rsid w:val="00D22D82"/>
    <w:rsid w:val="00D23235"/>
    <w:rsid w:val="00D23897"/>
    <w:rsid w:val="00D23BB5"/>
    <w:rsid w:val="00D24279"/>
    <w:rsid w:val="00D25B97"/>
    <w:rsid w:val="00D2609A"/>
    <w:rsid w:val="00D2670A"/>
    <w:rsid w:val="00D2691B"/>
    <w:rsid w:val="00D273EE"/>
    <w:rsid w:val="00D27D2D"/>
    <w:rsid w:val="00D27D88"/>
    <w:rsid w:val="00D27DFE"/>
    <w:rsid w:val="00D304BA"/>
    <w:rsid w:val="00D30794"/>
    <w:rsid w:val="00D30E3D"/>
    <w:rsid w:val="00D311CB"/>
    <w:rsid w:val="00D313AA"/>
    <w:rsid w:val="00D31692"/>
    <w:rsid w:val="00D31995"/>
    <w:rsid w:val="00D3199C"/>
    <w:rsid w:val="00D323B8"/>
    <w:rsid w:val="00D32859"/>
    <w:rsid w:val="00D33405"/>
    <w:rsid w:val="00D33557"/>
    <w:rsid w:val="00D340D9"/>
    <w:rsid w:val="00D3472D"/>
    <w:rsid w:val="00D34A98"/>
    <w:rsid w:val="00D353C3"/>
    <w:rsid w:val="00D35813"/>
    <w:rsid w:val="00D35CE2"/>
    <w:rsid w:val="00D36BE1"/>
    <w:rsid w:val="00D374E5"/>
    <w:rsid w:val="00D404A5"/>
    <w:rsid w:val="00D406BB"/>
    <w:rsid w:val="00D40F81"/>
    <w:rsid w:val="00D41269"/>
    <w:rsid w:val="00D41584"/>
    <w:rsid w:val="00D41D76"/>
    <w:rsid w:val="00D42B33"/>
    <w:rsid w:val="00D42BBB"/>
    <w:rsid w:val="00D42C6E"/>
    <w:rsid w:val="00D43572"/>
    <w:rsid w:val="00D43920"/>
    <w:rsid w:val="00D43AF7"/>
    <w:rsid w:val="00D43CB9"/>
    <w:rsid w:val="00D44176"/>
    <w:rsid w:val="00D4471F"/>
    <w:rsid w:val="00D44BEC"/>
    <w:rsid w:val="00D453D3"/>
    <w:rsid w:val="00D456AB"/>
    <w:rsid w:val="00D46229"/>
    <w:rsid w:val="00D46492"/>
    <w:rsid w:val="00D466B4"/>
    <w:rsid w:val="00D467DB"/>
    <w:rsid w:val="00D468AA"/>
    <w:rsid w:val="00D46A44"/>
    <w:rsid w:val="00D4754C"/>
    <w:rsid w:val="00D47807"/>
    <w:rsid w:val="00D50481"/>
    <w:rsid w:val="00D5110D"/>
    <w:rsid w:val="00D515D5"/>
    <w:rsid w:val="00D51E07"/>
    <w:rsid w:val="00D52309"/>
    <w:rsid w:val="00D5334C"/>
    <w:rsid w:val="00D533F4"/>
    <w:rsid w:val="00D54137"/>
    <w:rsid w:val="00D5465D"/>
    <w:rsid w:val="00D5470E"/>
    <w:rsid w:val="00D54D9E"/>
    <w:rsid w:val="00D54F05"/>
    <w:rsid w:val="00D55967"/>
    <w:rsid w:val="00D57324"/>
    <w:rsid w:val="00D577FA"/>
    <w:rsid w:val="00D57982"/>
    <w:rsid w:val="00D6069C"/>
    <w:rsid w:val="00D60A45"/>
    <w:rsid w:val="00D60AB8"/>
    <w:rsid w:val="00D60F47"/>
    <w:rsid w:val="00D61030"/>
    <w:rsid w:val="00D61D6F"/>
    <w:rsid w:val="00D630ED"/>
    <w:rsid w:val="00D6394C"/>
    <w:rsid w:val="00D6432E"/>
    <w:rsid w:val="00D649AF"/>
    <w:rsid w:val="00D64C27"/>
    <w:rsid w:val="00D64CF7"/>
    <w:rsid w:val="00D64F0D"/>
    <w:rsid w:val="00D65356"/>
    <w:rsid w:val="00D65807"/>
    <w:rsid w:val="00D65E64"/>
    <w:rsid w:val="00D6640B"/>
    <w:rsid w:val="00D70A04"/>
    <w:rsid w:val="00D70DC7"/>
    <w:rsid w:val="00D7103A"/>
    <w:rsid w:val="00D71209"/>
    <w:rsid w:val="00D71852"/>
    <w:rsid w:val="00D720B8"/>
    <w:rsid w:val="00D722AA"/>
    <w:rsid w:val="00D724BE"/>
    <w:rsid w:val="00D72C80"/>
    <w:rsid w:val="00D73BC1"/>
    <w:rsid w:val="00D7408C"/>
    <w:rsid w:val="00D7427D"/>
    <w:rsid w:val="00D743F6"/>
    <w:rsid w:val="00D74B2E"/>
    <w:rsid w:val="00D74BAF"/>
    <w:rsid w:val="00D7507E"/>
    <w:rsid w:val="00D751EA"/>
    <w:rsid w:val="00D75A84"/>
    <w:rsid w:val="00D75C41"/>
    <w:rsid w:val="00D75D23"/>
    <w:rsid w:val="00D76417"/>
    <w:rsid w:val="00D767A9"/>
    <w:rsid w:val="00D76BFD"/>
    <w:rsid w:val="00D76F62"/>
    <w:rsid w:val="00D7746A"/>
    <w:rsid w:val="00D77B55"/>
    <w:rsid w:val="00D77BCD"/>
    <w:rsid w:val="00D77E3A"/>
    <w:rsid w:val="00D80D83"/>
    <w:rsid w:val="00D817C6"/>
    <w:rsid w:val="00D81899"/>
    <w:rsid w:val="00D81FA0"/>
    <w:rsid w:val="00D82836"/>
    <w:rsid w:val="00D82948"/>
    <w:rsid w:val="00D82E43"/>
    <w:rsid w:val="00D83595"/>
    <w:rsid w:val="00D835EC"/>
    <w:rsid w:val="00D842C8"/>
    <w:rsid w:val="00D842F9"/>
    <w:rsid w:val="00D844E4"/>
    <w:rsid w:val="00D84CF8"/>
    <w:rsid w:val="00D84FEE"/>
    <w:rsid w:val="00D85039"/>
    <w:rsid w:val="00D85371"/>
    <w:rsid w:val="00D85C49"/>
    <w:rsid w:val="00D85D01"/>
    <w:rsid w:val="00D86E3D"/>
    <w:rsid w:val="00D86F94"/>
    <w:rsid w:val="00D86FE9"/>
    <w:rsid w:val="00D871CB"/>
    <w:rsid w:val="00D87996"/>
    <w:rsid w:val="00D87E20"/>
    <w:rsid w:val="00D90DCC"/>
    <w:rsid w:val="00D912B0"/>
    <w:rsid w:val="00D914C7"/>
    <w:rsid w:val="00D91633"/>
    <w:rsid w:val="00D91D44"/>
    <w:rsid w:val="00D91E26"/>
    <w:rsid w:val="00D92F98"/>
    <w:rsid w:val="00D932D5"/>
    <w:rsid w:val="00D942EE"/>
    <w:rsid w:val="00D94CEE"/>
    <w:rsid w:val="00D95477"/>
    <w:rsid w:val="00D9594C"/>
    <w:rsid w:val="00D95974"/>
    <w:rsid w:val="00D95A0C"/>
    <w:rsid w:val="00D96274"/>
    <w:rsid w:val="00D97D34"/>
    <w:rsid w:val="00DA03D2"/>
    <w:rsid w:val="00DA0C5B"/>
    <w:rsid w:val="00DA0EC0"/>
    <w:rsid w:val="00DA100E"/>
    <w:rsid w:val="00DA19E5"/>
    <w:rsid w:val="00DA1A07"/>
    <w:rsid w:val="00DA2393"/>
    <w:rsid w:val="00DA3341"/>
    <w:rsid w:val="00DA4190"/>
    <w:rsid w:val="00DA42B2"/>
    <w:rsid w:val="00DA4F0A"/>
    <w:rsid w:val="00DA62DD"/>
    <w:rsid w:val="00DA7932"/>
    <w:rsid w:val="00DB053A"/>
    <w:rsid w:val="00DB21F9"/>
    <w:rsid w:val="00DB39D1"/>
    <w:rsid w:val="00DB3AFF"/>
    <w:rsid w:val="00DB464B"/>
    <w:rsid w:val="00DB5249"/>
    <w:rsid w:val="00DB547D"/>
    <w:rsid w:val="00DB7453"/>
    <w:rsid w:val="00DB7CD9"/>
    <w:rsid w:val="00DC017B"/>
    <w:rsid w:val="00DC026E"/>
    <w:rsid w:val="00DC08B8"/>
    <w:rsid w:val="00DC0A73"/>
    <w:rsid w:val="00DC198A"/>
    <w:rsid w:val="00DC24A1"/>
    <w:rsid w:val="00DC2762"/>
    <w:rsid w:val="00DC2F40"/>
    <w:rsid w:val="00DC30EA"/>
    <w:rsid w:val="00DC31FC"/>
    <w:rsid w:val="00DC3640"/>
    <w:rsid w:val="00DC3C51"/>
    <w:rsid w:val="00DC4051"/>
    <w:rsid w:val="00DC45B6"/>
    <w:rsid w:val="00DC4CA2"/>
    <w:rsid w:val="00DC5029"/>
    <w:rsid w:val="00DC536C"/>
    <w:rsid w:val="00DC5FC3"/>
    <w:rsid w:val="00DC6AFB"/>
    <w:rsid w:val="00DC6BAC"/>
    <w:rsid w:val="00DC6ECA"/>
    <w:rsid w:val="00DC6EEF"/>
    <w:rsid w:val="00DC7826"/>
    <w:rsid w:val="00DD0790"/>
    <w:rsid w:val="00DD19B2"/>
    <w:rsid w:val="00DD25ED"/>
    <w:rsid w:val="00DD26B1"/>
    <w:rsid w:val="00DD2850"/>
    <w:rsid w:val="00DD2C82"/>
    <w:rsid w:val="00DD3854"/>
    <w:rsid w:val="00DD3CFA"/>
    <w:rsid w:val="00DD41CA"/>
    <w:rsid w:val="00DD582B"/>
    <w:rsid w:val="00DD621D"/>
    <w:rsid w:val="00DD6557"/>
    <w:rsid w:val="00DD6C2A"/>
    <w:rsid w:val="00DE03D9"/>
    <w:rsid w:val="00DE0650"/>
    <w:rsid w:val="00DE1125"/>
    <w:rsid w:val="00DE1496"/>
    <w:rsid w:val="00DE25F8"/>
    <w:rsid w:val="00DE3B72"/>
    <w:rsid w:val="00DE3E00"/>
    <w:rsid w:val="00DE5710"/>
    <w:rsid w:val="00DE7B71"/>
    <w:rsid w:val="00DE7CC0"/>
    <w:rsid w:val="00DF010C"/>
    <w:rsid w:val="00DF0C1D"/>
    <w:rsid w:val="00DF1145"/>
    <w:rsid w:val="00DF1192"/>
    <w:rsid w:val="00DF13E2"/>
    <w:rsid w:val="00DF174A"/>
    <w:rsid w:val="00DF23E5"/>
    <w:rsid w:val="00DF2571"/>
    <w:rsid w:val="00DF2BEA"/>
    <w:rsid w:val="00DF2C5C"/>
    <w:rsid w:val="00DF31CB"/>
    <w:rsid w:val="00DF34F0"/>
    <w:rsid w:val="00DF3829"/>
    <w:rsid w:val="00DF3AF6"/>
    <w:rsid w:val="00DF3CCB"/>
    <w:rsid w:val="00DF40A6"/>
    <w:rsid w:val="00DF4656"/>
    <w:rsid w:val="00DF4786"/>
    <w:rsid w:val="00DF49B4"/>
    <w:rsid w:val="00DF4BA2"/>
    <w:rsid w:val="00DF672C"/>
    <w:rsid w:val="00DF6AE6"/>
    <w:rsid w:val="00DF725F"/>
    <w:rsid w:val="00DF745D"/>
    <w:rsid w:val="00DF74C4"/>
    <w:rsid w:val="00DF7A26"/>
    <w:rsid w:val="00E00AC7"/>
    <w:rsid w:val="00E00E3E"/>
    <w:rsid w:val="00E03088"/>
    <w:rsid w:val="00E0352B"/>
    <w:rsid w:val="00E047A1"/>
    <w:rsid w:val="00E049FC"/>
    <w:rsid w:val="00E05B84"/>
    <w:rsid w:val="00E06915"/>
    <w:rsid w:val="00E07532"/>
    <w:rsid w:val="00E07782"/>
    <w:rsid w:val="00E077F8"/>
    <w:rsid w:val="00E07E7E"/>
    <w:rsid w:val="00E10710"/>
    <w:rsid w:val="00E10720"/>
    <w:rsid w:val="00E12D5A"/>
    <w:rsid w:val="00E1317F"/>
    <w:rsid w:val="00E137A5"/>
    <w:rsid w:val="00E139FD"/>
    <w:rsid w:val="00E14198"/>
    <w:rsid w:val="00E1449C"/>
    <w:rsid w:val="00E14EAD"/>
    <w:rsid w:val="00E150A3"/>
    <w:rsid w:val="00E152B9"/>
    <w:rsid w:val="00E15C1E"/>
    <w:rsid w:val="00E15CC3"/>
    <w:rsid w:val="00E15D9A"/>
    <w:rsid w:val="00E15E16"/>
    <w:rsid w:val="00E15E8C"/>
    <w:rsid w:val="00E1649F"/>
    <w:rsid w:val="00E20086"/>
    <w:rsid w:val="00E204C0"/>
    <w:rsid w:val="00E213E4"/>
    <w:rsid w:val="00E21DA7"/>
    <w:rsid w:val="00E21E01"/>
    <w:rsid w:val="00E21FF9"/>
    <w:rsid w:val="00E22858"/>
    <w:rsid w:val="00E22FD9"/>
    <w:rsid w:val="00E24146"/>
    <w:rsid w:val="00E241D2"/>
    <w:rsid w:val="00E2428F"/>
    <w:rsid w:val="00E24376"/>
    <w:rsid w:val="00E2521F"/>
    <w:rsid w:val="00E257A9"/>
    <w:rsid w:val="00E25ACB"/>
    <w:rsid w:val="00E25D2B"/>
    <w:rsid w:val="00E2619E"/>
    <w:rsid w:val="00E26D73"/>
    <w:rsid w:val="00E2727F"/>
    <w:rsid w:val="00E277FB"/>
    <w:rsid w:val="00E27A16"/>
    <w:rsid w:val="00E30294"/>
    <w:rsid w:val="00E302D8"/>
    <w:rsid w:val="00E30AFF"/>
    <w:rsid w:val="00E30E8F"/>
    <w:rsid w:val="00E310D0"/>
    <w:rsid w:val="00E31136"/>
    <w:rsid w:val="00E316E9"/>
    <w:rsid w:val="00E31950"/>
    <w:rsid w:val="00E31FEE"/>
    <w:rsid w:val="00E3539D"/>
    <w:rsid w:val="00E3549F"/>
    <w:rsid w:val="00E354E8"/>
    <w:rsid w:val="00E35A17"/>
    <w:rsid w:val="00E35E3A"/>
    <w:rsid w:val="00E35FA0"/>
    <w:rsid w:val="00E369D0"/>
    <w:rsid w:val="00E36A09"/>
    <w:rsid w:val="00E36A1E"/>
    <w:rsid w:val="00E37278"/>
    <w:rsid w:val="00E3749F"/>
    <w:rsid w:val="00E37EF1"/>
    <w:rsid w:val="00E41468"/>
    <w:rsid w:val="00E414A6"/>
    <w:rsid w:val="00E431C8"/>
    <w:rsid w:val="00E43666"/>
    <w:rsid w:val="00E444F3"/>
    <w:rsid w:val="00E44AC8"/>
    <w:rsid w:val="00E45019"/>
    <w:rsid w:val="00E4560D"/>
    <w:rsid w:val="00E458A6"/>
    <w:rsid w:val="00E458E7"/>
    <w:rsid w:val="00E45EC3"/>
    <w:rsid w:val="00E45F2A"/>
    <w:rsid w:val="00E46579"/>
    <w:rsid w:val="00E46CB1"/>
    <w:rsid w:val="00E476E1"/>
    <w:rsid w:val="00E47B54"/>
    <w:rsid w:val="00E47CF4"/>
    <w:rsid w:val="00E47DAD"/>
    <w:rsid w:val="00E50933"/>
    <w:rsid w:val="00E510EC"/>
    <w:rsid w:val="00E51746"/>
    <w:rsid w:val="00E52856"/>
    <w:rsid w:val="00E53801"/>
    <w:rsid w:val="00E54264"/>
    <w:rsid w:val="00E552B2"/>
    <w:rsid w:val="00E55944"/>
    <w:rsid w:val="00E55A60"/>
    <w:rsid w:val="00E56234"/>
    <w:rsid w:val="00E567B8"/>
    <w:rsid w:val="00E5687D"/>
    <w:rsid w:val="00E56E4E"/>
    <w:rsid w:val="00E5724F"/>
    <w:rsid w:val="00E57477"/>
    <w:rsid w:val="00E57718"/>
    <w:rsid w:val="00E6139E"/>
    <w:rsid w:val="00E62628"/>
    <w:rsid w:val="00E6264D"/>
    <w:rsid w:val="00E62FC2"/>
    <w:rsid w:val="00E63687"/>
    <w:rsid w:val="00E63A45"/>
    <w:rsid w:val="00E65BDE"/>
    <w:rsid w:val="00E65EB4"/>
    <w:rsid w:val="00E6705E"/>
    <w:rsid w:val="00E70252"/>
    <w:rsid w:val="00E70A12"/>
    <w:rsid w:val="00E71031"/>
    <w:rsid w:val="00E71E87"/>
    <w:rsid w:val="00E73057"/>
    <w:rsid w:val="00E73397"/>
    <w:rsid w:val="00E73EE9"/>
    <w:rsid w:val="00E740C9"/>
    <w:rsid w:val="00E746E2"/>
    <w:rsid w:val="00E74756"/>
    <w:rsid w:val="00E748D6"/>
    <w:rsid w:val="00E74A0B"/>
    <w:rsid w:val="00E75FC4"/>
    <w:rsid w:val="00E76C3B"/>
    <w:rsid w:val="00E76EB4"/>
    <w:rsid w:val="00E76FCF"/>
    <w:rsid w:val="00E805E0"/>
    <w:rsid w:val="00E81C7F"/>
    <w:rsid w:val="00E8297E"/>
    <w:rsid w:val="00E82B8B"/>
    <w:rsid w:val="00E82E87"/>
    <w:rsid w:val="00E83191"/>
    <w:rsid w:val="00E841EE"/>
    <w:rsid w:val="00E842F2"/>
    <w:rsid w:val="00E85308"/>
    <w:rsid w:val="00E853FB"/>
    <w:rsid w:val="00E85BC7"/>
    <w:rsid w:val="00E86BB4"/>
    <w:rsid w:val="00E86E3F"/>
    <w:rsid w:val="00E8726F"/>
    <w:rsid w:val="00E87EF9"/>
    <w:rsid w:val="00E9159E"/>
    <w:rsid w:val="00E9226A"/>
    <w:rsid w:val="00E92741"/>
    <w:rsid w:val="00E928E8"/>
    <w:rsid w:val="00E92EB1"/>
    <w:rsid w:val="00E93249"/>
    <w:rsid w:val="00E93906"/>
    <w:rsid w:val="00E94248"/>
    <w:rsid w:val="00E95B7D"/>
    <w:rsid w:val="00E95E25"/>
    <w:rsid w:val="00E964C2"/>
    <w:rsid w:val="00E96926"/>
    <w:rsid w:val="00E96A58"/>
    <w:rsid w:val="00E973AF"/>
    <w:rsid w:val="00E974D2"/>
    <w:rsid w:val="00E97D7B"/>
    <w:rsid w:val="00EA02D7"/>
    <w:rsid w:val="00EA058D"/>
    <w:rsid w:val="00EA1C2A"/>
    <w:rsid w:val="00EA2BF2"/>
    <w:rsid w:val="00EA3095"/>
    <w:rsid w:val="00EA3AA5"/>
    <w:rsid w:val="00EA45D1"/>
    <w:rsid w:val="00EA4CE8"/>
    <w:rsid w:val="00EA5631"/>
    <w:rsid w:val="00EA5AC6"/>
    <w:rsid w:val="00EA6AED"/>
    <w:rsid w:val="00EA798F"/>
    <w:rsid w:val="00EB03CF"/>
    <w:rsid w:val="00EB071B"/>
    <w:rsid w:val="00EB0A6D"/>
    <w:rsid w:val="00EB1950"/>
    <w:rsid w:val="00EB19FE"/>
    <w:rsid w:val="00EB1FFE"/>
    <w:rsid w:val="00EB2251"/>
    <w:rsid w:val="00EB240E"/>
    <w:rsid w:val="00EB4514"/>
    <w:rsid w:val="00EB4A7A"/>
    <w:rsid w:val="00EB4BBC"/>
    <w:rsid w:val="00EB545B"/>
    <w:rsid w:val="00EB5F48"/>
    <w:rsid w:val="00EB6226"/>
    <w:rsid w:val="00EB62EC"/>
    <w:rsid w:val="00EB6408"/>
    <w:rsid w:val="00EB64C9"/>
    <w:rsid w:val="00EB6B95"/>
    <w:rsid w:val="00EB6D93"/>
    <w:rsid w:val="00EB719A"/>
    <w:rsid w:val="00EB725C"/>
    <w:rsid w:val="00EB7703"/>
    <w:rsid w:val="00EB7753"/>
    <w:rsid w:val="00EB7D0C"/>
    <w:rsid w:val="00EC02ED"/>
    <w:rsid w:val="00EC0DE4"/>
    <w:rsid w:val="00EC0F42"/>
    <w:rsid w:val="00EC24F4"/>
    <w:rsid w:val="00EC25B6"/>
    <w:rsid w:val="00EC267C"/>
    <w:rsid w:val="00EC2F0F"/>
    <w:rsid w:val="00EC3411"/>
    <w:rsid w:val="00EC36CF"/>
    <w:rsid w:val="00EC44D0"/>
    <w:rsid w:val="00EC4D27"/>
    <w:rsid w:val="00EC538B"/>
    <w:rsid w:val="00EC59B0"/>
    <w:rsid w:val="00EC5ABC"/>
    <w:rsid w:val="00EC6813"/>
    <w:rsid w:val="00EC6BF5"/>
    <w:rsid w:val="00EC72FA"/>
    <w:rsid w:val="00EC757F"/>
    <w:rsid w:val="00EC79ED"/>
    <w:rsid w:val="00ED0136"/>
    <w:rsid w:val="00ED02EE"/>
    <w:rsid w:val="00ED1739"/>
    <w:rsid w:val="00ED1AD5"/>
    <w:rsid w:val="00ED1D4E"/>
    <w:rsid w:val="00ED28CB"/>
    <w:rsid w:val="00ED2B72"/>
    <w:rsid w:val="00ED3222"/>
    <w:rsid w:val="00ED3815"/>
    <w:rsid w:val="00ED3B2B"/>
    <w:rsid w:val="00ED3BD4"/>
    <w:rsid w:val="00ED4C26"/>
    <w:rsid w:val="00ED544B"/>
    <w:rsid w:val="00EE04CE"/>
    <w:rsid w:val="00EE0855"/>
    <w:rsid w:val="00EE0D6D"/>
    <w:rsid w:val="00EE0F9E"/>
    <w:rsid w:val="00EE1CDF"/>
    <w:rsid w:val="00EE269D"/>
    <w:rsid w:val="00EE2AF8"/>
    <w:rsid w:val="00EE333A"/>
    <w:rsid w:val="00EE44DA"/>
    <w:rsid w:val="00EE4980"/>
    <w:rsid w:val="00EE51A5"/>
    <w:rsid w:val="00EE561E"/>
    <w:rsid w:val="00EE5681"/>
    <w:rsid w:val="00EE7961"/>
    <w:rsid w:val="00EF0267"/>
    <w:rsid w:val="00EF0B11"/>
    <w:rsid w:val="00EF14A3"/>
    <w:rsid w:val="00EF1727"/>
    <w:rsid w:val="00EF1F36"/>
    <w:rsid w:val="00EF26E1"/>
    <w:rsid w:val="00EF2782"/>
    <w:rsid w:val="00EF2E70"/>
    <w:rsid w:val="00EF3AA9"/>
    <w:rsid w:val="00EF3C79"/>
    <w:rsid w:val="00EF3CA5"/>
    <w:rsid w:val="00EF3FC0"/>
    <w:rsid w:val="00EF45AD"/>
    <w:rsid w:val="00EF4845"/>
    <w:rsid w:val="00EF523E"/>
    <w:rsid w:val="00EF573A"/>
    <w:rsid w:val="00EF5813"/>
    <w:rsid w:val="00EF59B6"/>
    <w:rsid w:val="00EF5E94"/>
    <w:rsid w:val="00EF6207"/>
    <w:rsid w:val="00EF6A41"/>
    <w:rsid w:val="00EF6FBA"/>
    <w:rsid w:val="00EF748C"/>
    <w:rsid w:val="00EF7560"/>
    <w:rsid w:val="00F003B3"/>
    <w:rsid w:val="00F00540"/>
    <w:rsid w:val="00F009FC"/>
    <w:rsid w:val="00F01A62"/>
    <w:rsid w:val="00F02682"/>
    <w:rsid w:val="00F0398A"/>
    <w:rsid w:val="00F03F5C"/>
    <w:rsid w:val="00F0407E"/>
    <w:rsid w:val="00F04495"/>
    <w:rsid w:val="00F0514A"/>
    <w:rsid w:val="00F057A1"/>
    <w:rsid w:val="00F05892"/>
    <w:rsid w:val="00F05894"/>
    <w:rsid w:val="00F07097"/>
    <w:rsid w:val="00F07BE0"/>
    <w:rsid w:val="00F07CA7"/>
    <w:rsid w:val="00F10063"/>
    <w:rsid w:val="00F10099"/>
    <w:rsid w:val="00F10D75"/>
    <w:rsid w:val="00F11ED2"/>
    <w:rsid w:val="00F12081"/>
    <w:rsid w:val="00F12098"/>
    <w:rsid w:val="00F12405"/>
    <w:rsid w:val="00F1351B"/>
    <w:rsid w:val="00F13618"/>
    <w:rsid w:val="00F13AAD"/>
    <w:rsid w:val="00F143EA"/>
    <w:rsid w:val="00F14984"/>
    <w:rsid w:val="00F14BDC"/>
    <w:rsid w:val="00F15262"/>
    <w:rsid w:val="00F1590A"/>
    <w:rsid w:val="00F15942"/>
    <w:rsid w:val="00F15CEA"/>
    <w:rsid w:val="00F161BA"/>
    <w:rsid w:val="00F16E70"/>
    <w:rsid w:val="00F170BF"/>
    <w:rsid w:val="00F1777B"/>
    <w:rsid w:val="00F21D25"/>
    <w:rsid w:val="00F2278E"/>
    <w:rsid w:val="00F22A51"/>
    <w:rsid w:val="00F23420"/>
    <w:rsid w:val="00F24395"/>
    <w:rsid w:val="00F24636"/>
    <w:rsid w:val="00F24CF7"/>
    <w:rsid w:val="00F24E25"/>
    <w:rsid w:val="00F25685"/>
    <w:rsid w:val="00F25937"/>
    <w:rsid w:val="00F26528"/>
    <w:rsid w:val="00F26B58"/>
    <w:rsid w:val="00F26D0F"/>
    <w:rsid w:val="00F31725"/>
    <w:rsid w:val="00F318AB"/>
    <w:rsid w:val="00F31946"/>
    <w:rsid w:val="00F31997"/>
    <w:rsid w:val="00F31C72"/>
    <w:rsid w:val="00F31E1B"/>
    <w:rsid w:val="00F32714"/>
    <w:rsid w:val="00F33441"/>
    <w:rsid w:val="00F3375B"/>
    <w:rsid w:val="00F339A7"/>
    <w:rsid w:val="00F33BF4"/>
    <w:rsid w:val="00F34404"/>
    <w:rsid w:val="00F34615"/>
    <w:rsid w:val="00F34EB5"/>
    <w:rsid w:val="00F3573C"/>
    <w:rsid w:val="00F359D3"/>
    <w:rsid w:val="00F35CBB"/>
    <w:rsid w:val="00F35E2C"/>
    <w:rsid w:val="00F35EFC"/>
    <w:rsid w:val="00F35FCC"/>
    <w:rsid w:val="00F35FE6"/>
    <w:rsid w:val="00F36059"/>
    <w:rsid w:val="00F365DE"/>
    <w:rsid w:val="00F36898"/>
    <w:rsid w:val="00F36BD9"/>
    <w:rsid w:val="00F4008D"/>
    <w:rsid w:val="00F40233"/>
    <w:rsid w:val="00F41600"/>
    <w:rsid w:val="00F417BE"/>
    <w:rsid w:val="00F4315E"/>
    <w:rsid w:val="00F438C2"/>
    <w:rsid w:val="00F46275"/>
    <w:rsid w:val="00F462C9"/>
    <w:rsid w:val="00F4678A"/>
    <w:rsid w:val="00F50614"/>
    <w:rsid w:val="00F5081C"/>
    <w:rsid w:val="00F51185"/>
    <w:rsid w:val="00F5149F"/>
    <w:rsid w:val="00F516F1"/>
    <w:rsid w:val="00F52148"/>
    <w:rsid w:val="00F52193"/>
    <w:rsid w:val="00F532DB"/>
    <w:rsid w:val="00F546C2"/>
    <w:rsid w:val="00F548A2"/>
    <w:rsid w:val="00F54998"/>
    <w:rsid w:val="00F54B42"/>
    <w:rsid w:val="00F5619F"/>
    <w:rsid w:val="00F56322"/>
    <w:rsid w:val="00F5671E"/>
    <w:rsid w:val="00F5700E"/>
    <w:rsid w:val="00F57012"/>
    <w:rsid w:val="00F57594"/>
    <w:rsid w:val="00F5798D"/>
    <w:rsid w:val="00F609AB"/>
    <w:rsid w:val="00F6119E"/>
    <w:rsid w:val="00F61D0B"/>
    <w:rsid w:val="00F621D9"/>
    <w:rsid w:val="00F62EB7"/>
    <w:rsid w:val="00F63198"/>
    <w:rsid w:val="00F639C3"/>
    <w:rsid w:val="00F642A7"/>
    <w:rsid w:val="00F65214"/>
    <w:rsid w:val="00F65BD0"/>
    <w:rsid w:val="00F6641E"/>
    <w:rsid w:val="00F6661F"/>
    <w:rsid w:val="00F666BD"/>
    <w:rsid w:val="00F67411"/>
    <w:rsid w:val="00F67D2A"/>
    <w:rsid w:val="00F70052"/>
    <w:rsid w:val="00F70C99"/>
    <w:rsid w:val="00F71227"/>
    <w:rsid w:val="00F71605"/>
    <w:rsid w:val="00F71B78"/>
    <w:rsid w:val="00F72431"/>
    <w:rsid w:val="00F72F9D"/>
    <w:rsid w:val="00F73D99"/>
    <w:rsid w:val="00F73EC4"/>
    <w:rsid w:val="00F74165"/>
    <w:rsid w:val="00F75F85"/>
    <w:rsid w:val="00F8047F"/>
    <w:rsid w:val="00F80839"/>
    <w:rsid w:val="00F814AC"/>
    <w:rsid w:val="00F81E4C"/>
    <w:rsid w:val="00F8347C"/>
    <w:rsid w:val="00F83941"/>
    <w:rsid w:val="00F83AB0"/>
    <w:rsid w:val="00F83B5C"/>
    <w:rsid w:val="00F84559"/>
    <w:rsid w:val="00F845B3"/>
    <w:rsid w:val="00F84BDB"/>
    <w:rsid w:val="00F852F5"/>
    <w:rsid w:val="00F85B58"/>
    <w:rsid w:val="00F86349"/>
    <w:rsid w:val="00F87D8F"/>
    <w:rsid w:val="00F9059C"/>
    <w:rsid w:val="00F90C2A"/>
    <w:rsid w:val="00F90C52"/>
    <w:rsid w:val="00F91BC2"/>
    <w:rsid w:val="00F91E25"/>
    <w:rsid w:val="00F93198"/>
    <w:rsid w:val="00F934BF"/>
    <w:rsid w:val="00F93841"/>
    <w:rsid w:val="00F93B07"/>
    <w:rsid w:val="00F93E81"/>
    <w:rsid w:val="00F95078"/>
    <w:rsid w:val="00F9655B"/>
    <w:rsid w:val="00F969D9"/>
    <w:rsid w:val="00F96DEA"/>
    <w:rsid w:val="00F96F1A"/>
    <w:rsid w:val="00F9716D"/>
    <w:rsid w:val="00F97826"/>
    <w:rsid w:val="00FA02DF"/>
    <w:rsid w:val="00FA0827"/>
    <w:rsid w:val="00FA0BC1"/>
    <w:rsid w:val="00FA2C48"/>
    <w:rsid w:val="00FA2DFE"/>
    <w:rsid w:val="00FA37EB"/>
    <w:rsid w:val="00FA3CD3"/>
    <w:rsid w:val="00FA42BE"/>
    <w:rsid w:val="00FA462A"/>
    <w:rsid w:val="00FA4E72"/>
    <w:rsid w:val="00FA5D56"/>
    <w:rsid w:val="00FA64FA"/>
    <w:rsid w:val="00FA6B41"/>
    <w:rsid w:val="00FA7036"/>
    <w:rsid w:val="00FA751B"/>
    <w:rsid w:val="00FB003B"/>
    <w:rsid w:val="00FB038F"/>
    <w:rsid w:val="00FB0618"/>
    <w:rsid w:val="00FB06C2"/>
    <w:rsid w:val="00FB090D"/>
    <w:rsid w:val="00FB0E2F"/>
    <w:rsid w:val="00FB1630"/>
    <w:rsid w:val="00FB1A3B"/>
    <w:rsid w:val="00FB2854"/>
    <w:rsid w:val="00FB2ACD"/>
    <w:rsid w:val="00FB2D18"/>
    <w:rsid w:val="00FB42C5"/>
    <w:rsid w:val="00FB533A"/>
    <w:rsid w:val="00FB5DD7"/>
    <w:rsid w:val="00FB5F0C"/>
    <w:rsid w:val="00FB7C61"/>
    <w:rsid w:val="00FB7F45"/>
    <w:rsid w:val="00FC0035"/>
    <w:rsid w:val="00FC01CD"/>
    <w:rsid w:val="00FC01E1"/>
    <w:rsid w:val="00FC0869"/>
    <w:rsid w:val="00FC0A04"/>
    <w:rsid w:val="00FC0B7C"/>
    <w:rsid w:val="00FC124E"/>
    <w:rsid w:val="00FC1891"/>
    <w:rsid w:val="00FC1AD6"/>
    <w:rsid w:val="00FC27CC"/>
    <w:rsid w:val="00FC2E6D"/>
    <w:rsid w:val="00FC2F22"/>
    <w:rsid w:val="00FC2F71"/>
    <w:rsid w:val="00FC2FDB"/>
    <w:rsid w:val="00FC3114"/>
    <w:rsid w:val="00FC35A4"/>
    <w:rsid w:val="00FC3FEA"/>
    <w:rsid w:val="00FC423D"/>
    <w:rsid w:val="00FC4661"/>
    <w:rsid w:val="00FC4A42"/>
    <w:rsid w:val="00FC4AC9"/>
    <w:rsid w:val="00FC4F44"/>
    <w:rsid w:val="00FC5303"/>
    <w:rsid w:val="00FC54B1"/>
    <w:rsid w:val="00FC5B51"/>
    <w:rsid w:val="00FC6420"/>
    <w:rsid w:val="00FC690B"/>
    <w:rsid w:val="00FC6A6C"/>
    <w:rsid w:val="00FC6FEB"/>
    <w:rsid w:val="00FC75E6"/>
    <w:rsid w:val="00FC7A51"/>
    <w:rsid w:val="00FC7E5E"/>
    <w:rsid w:val="00FD00EB"/>
    <w:rsid w:val="00FD0169"/>
    <w:rsid w:val="00FD1783"/>
    <w:rsid w:val="00FD18A3"/>
    <w:rsid w:val="00FD1967"/>
    <w:rsid w:val="00FD23F4"/>
    <w:rsid w:val="00FD2756"/>
    <w:rsid w:val="00FD3647"/>
    <w:rsid w:val="00FD3756"/>
    <w:rsid w:val="00FD4E2D"/>
    <w:rsid w:val="00FD4FD2"/>
    <w:rsid w:val="00FD57B5"/>
    <w:rsid w:val="00FD589B"/>
    <w:rsid w:val="00FD5954"/>
    <w:rsid w:val="00FD6315"/>
    <w:rsid w:val="00FD7AAA"/>
    <w:rsid w:val="00FD7C20"/>
    <w:rsid w:val="00FE03F7"/>
    <w:rsid w:val="00FE0807"/>
    <w:rsid w:val="00FE0E6A"/>
    <w:rsid w:val="00FE17BF"/>
    <w:rsid w:val="00FE3C17"/>
    <w:rsid w:val="00FE4433"/>
    <w:rsid w:val="00FE4660"/>
    <w:rsid w:val="00FE620F"/>
    <w:rsid w:val="00FE7182"/>
    <w:rsid w:val="00FE78B3"/>
    <w:rsid w:val="00FE7F09"/>
    <w:rsid w:val="00FF0010"/>
    <w:rsid w:val="00FF05BE"/>
    <w:rsid w:val="00FF060C"/>
    <w:rsid w:val="00FF1451"/>
    <w:rsid w:val="00FF298B"/>
    <w:rsid w:val="00FF31FA"/>
    <w:rsid w:val="00FF32F9"/>
    <w:rsid w:val="00FF38C7"/>
    <w:rsid w:val="00FF3DC9"/>
    <w:rsid w:val="00FF4BDA"/>
    <w:rsid w:val="00FF4C8E"/>
    <w:rsid w:val="00FF4EB5"/>
    <w:rsid w:val="00FF5163"/>
    <w:rsid w:val="00FF55F6"/>
    <w:rsid w:val="00FF59C8"/>
    <w:rsid w:val="00FF5F38"/>
    <w:rsid w:val="00FF608C"/>
    <w:rsid w:val="00FF6696"/>
    <w:rsid w:val="00FF6785"/>
    <w:rsid w:val="00FF7A4B"/>
    <w:rsid w:val="00FF7A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F7773"/>
  <w14:defaultImageDpi w14:val="32767"/>
  <w15:docId w15:val="{FECD83E7-4257-4379-B527-0319C981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959"/>
    <w:rPr>
      <w:rFonts w:ascii="Times New Roman" w:hAnsi="Times New Roman" w:cs="Times New Roman"/>
      <w:lang w:eastAsia="en-GB"/>
    </w:rPr>
  </w:style>
  <w:style w:type="paragraph" w:styleId="Heading1">
    <w:name w:val="heading 1"/>
    <w:basedOn w:val="Normal"/>
    <w:link w:val="Heading1Char"/>
    <w:uiPriority w:val="9"/>
    <w:qFormat/>
    <w:rsid w:val="0008308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C5307"/>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0A30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A3A"/>
    <w:pPr>
      <w:ind w:left="720"/>
      <w:contextualSpacing/>
    </w:pPr>
    <w:rPr>
      <w:rFonts w:asciiTheme="minorHAnsi" w:hAnsiTheme="minorHAnsi" w:cstheme="minorBidi"/>
      <w:lang w:eastAsia="en-US"/>
    </w:rPr>
  </w:style>
  <w:style w:type="paragraph" w:styleId="FootnoteText">
    <w:name w:val="footnote text"/>
    <w:basedOn w:val="Normal"/>
    <w:link w:val="FootnoteTextChar"/>
    <w:uiPriority w:val="99"/>
    <w:unhideWhenUsed/>
    <w:rsid w:val="00100316"/>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100316"/>
  </w:style>
  <w:style w:type="character" w:styleId="FootnoteReference">
    <w:name w:val="footnote reference"/>
    <w:basedOn w:val="DefaultParagraphFont"/>
    <w:uiPriority w:val="99"/>
    <w:unhideWhenUsed/>
    <w:rsid w:val="00100316"/>
    <w:rPr>
      <w:vertAlign w:val="superscript"/>
    </w:rPr>
  </w:style>
  <w:style w:type="character" w:styleId="Hyperlink">
    <w:name w:val="Hyperlink"/>
    <w:basedOn w:val="DefaultParagraphFont"/>
    <w:uiPriority w:val="99"/>
    <w:unhideWhenUsed/>
    <w:rsid w:val="00100316"/>
    <w:rPr>
      <w:color w:val="0563C1" w:themeColor="hyperlink"/>
      <w:u w:val="single"/>
    </w:rPr>
  </w:style>
  <w:style w:type="paragraph" w:styleId="NormalWeb">
    <w:name w:val="Normal (Web)"/>
    <w:basedOn w:val="Normal"/>
    <w:uiPriority w:val="99"/>
    <w:unhideWhenUsed/>
    <w:rsid w:val="00EE2AF8"/>
    <w:pPr>
      <w:spacing w:before="100" w:beforeAutospacing="1" w:after="100" w:afterAutospacing="1"/>
    </w:pPr>
  </w:style>
  <w:style w:type="character" w:customStyle="1" w:styleId="apple-converted-space">
    <w:name w:val="apple-converted-space"/>
    <w:basedOn w:val="DefaultParagraphFont"/>
    <w:rsid w:val="00EE2AF8"/>
  </w:style>
  <w:style w:type="character" w:customStyle="1" w:styleId="Heading1Char">
    <w:name w:val="Heading 1 Char"/>
    <w:basedOn w:val="DefaultParagraphFont"/>
    <w:link w:val="Heading1"/>
    <w:uiPriority w:val="9"/>
    <w:rsid w:val="0008308D"/>
    <w:rPr>
      <w:rFonts w:ascii="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8175D"/>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C8175D"/>
    <w:rPr>
      <w:rFonts w:ascii="Segoe UI" w:hAnsi="Segoe UI" w:cs="Segoe UI"/>
      <w:sz w:val="18"/>
      <w:szCs w:val="18"/>
    </w:rPr>
  </w:style>
  <w:style w:type="paragraph" w:styleId="Header">
    <w:name w:val="header"/>
    <w:basedOn w:val="Normal"/>
    <w:link w:val="HeaderChar"/>
    <w:uiPriority w:val="99"/>
    <w:unhideWhenUsed/>
    <w:rsid w:val="008172EA"/>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172EA"/>
  </w:style>
  <w:style w:type="paragraph" w:styleId="Footer">
    <w:name w:val="footer"/>
    <w:basedOn w:val="Normal"/>
    <w:link w:val="FooterChar"/>
    <w:uiPriority w:val="99"/>
    <w:unhideWhenUsed/>
    <w:rsid w:val="008172E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172EA"/>
  </w:style>
  <w:style w:type="character" w:styleId="PageNumber">
    <w:name w:val="page number"/>
    <w:basedOn w:val="DefaultParagraphFont"/>
    <w:uiPriority w:val="99"/>
    <w:semiHidden/>
    <w:unhideWhenUsed/>
    <w:rsid w:val="00A0644B"/>
  </w:style>
  <w:style w:type="paragraph" w:customStyle="1" w:styleId="p1">
    <w:name w:val="p1"/>
    <w:basedOn w:val="Normal"/>
    <w:rsid w:val="00D27D2D"/>
    <w:pPr>
      <w:jc w:val="both"/>
    </w:pPr>
    <w:rPr>
      <w:rFonts w:ascii="Helvetica Neue" w:hAnsi="Helvetica Neue"/>
      <w:color w:val="454545"/>
      <w:sz w:val="18"/>
      <w:szCs w:val="18"/>
    </w:rPr>
  </w:style>
  <w:style w:type="character" w:customStyle="1" w:styleId="apple-tab-span">
    <w:name w:val="apple-tab-span"/>
    <w:basedOn w:val="DefaultParagraphFont"/>
    <w:rsid w:val="00D27D2D"/>
  </w:style>
  <w:style w:type="character" w:customStyle="1" w:styleId="addmd">
    <w:name w:val="addmd"/>
    <w:basedOn w:val="DefaultParagraphFont"/>
    <w:rsid w:val="00347902"/>
  </w:style>
  <w:style w:type="character" w:customStyle="1" w:styleId="wordhighlighted">
    <w:name w:val="wordhighlighted"/>
    <w:basedOn w:val="DefaultParagraphFont"/>
    <w:rsid w:val="00DD3854"/>
  </w:style>
  <w:style w:type="character" w:customStyle="1" w:styleId="s38c10080">
    <w:name w:val="s38c10080"/>
    <w:basedOn w:val="DefaultParagraphFont"/>
    <w:rsid w:val="007376FD"/>
  </w:style>
  <w:style w:type="character" w:customStyle="1" w:styleId="sb8d990e2">
    <w:name w:val="sb8d990e2"/>
    <w:basedOn w:val="DefaultParagraphFont"/>
    <w:rsid w:val="007376FD"/>
  </w:style>
  <w:style w:type="character" w:customStyle="1" w:styleId="textcolumn">
    <w:name w:val="textcolumn"/>
    <w:basedOn w:val="DefaultParagraphFont"/>
    <w:rsid w:val="009A5F30"/>
  </w:style>
  <w:style w:type="paragraph" w:customStyle="1" w:styleId="p2">
    <w:name w:val="p2"/>
    <w:basedOn w:val="Normal"/>
    <w:rsid w:val="009131AE"/>
    <w:rPr>
      <w:rFonts w:ascii="Verdana" w:hAnsi="Verdana"/>
      <w:sz w:val="15"/>
      <w:szCs w:val="15"/>
    </w:rPr>
  </w:style>
  <w:style w:type="paragraph" w:customStyle="1" w:styleId="heading20">
    <w:name w:val="heading2"/>
    <w:basedOn w:val="Normal"/>
    <w:next w:val="Heading2"/>
    <w:rsid w:val="006C5307"/>
    <w:pPr>
      <w:keepNext/>
      <w:keepLines/>
      <w:suppressAutoHyphens/>
      <w:spacing w:before="80" w:after="80"/>
      <w:jc w:val="center"/>
    </w:pPr>
    <w:rPr>
      <w:rFonts w:eastAsia="Times New Roman"/>
      <w:b/>
      <w:bCs/>
      <w:spacing w:val="4"/>
      <w:w w:val="103"/>
      <w:kern w:val="14"/>
      <w:sz w:val="19"/>
      <w:szCs w:val="19"/>
      <w:lang w:eastAsia="zh-CN"/>
    </w:rPr>
  </w:style>
  <w:style w:type="character" w:customStyle="1" w:styleId="Heading2Char">
    <w:name w:val="Heading 2 Char"/>
    <w:basedOn w:val="DefaultParagraphFont"/>
    <w:link w:val="Heading2"/>
    <w:uiPriority w:val="9"/>
    <w:semiHidden/>
    <w:rsid w:val="006C530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12CE3"/>
    <w:rPr>
      <w:sz w:val="18"/>
      <w:szCs w:val="18"/>
    </w:rPr>
  </w:style>
  <w:style w:type="character" w:customStyle="1" w:styleId="s6b621b36">
    <w:name w:val="s6b621b36"/>
    <w:basedOn w:val="DefaultParagraphFont"/>
    <w:rsid w:val="00ED1D4E"/>
  </w:style>
  <w:style w:type="character" w:styleId="FollowedHyperlink">
    <w:name w:val="FollowedHyperlink"/>
    <w:basedOn w:val="DefaultParagraphFont"/>
    <w:uiPriority w:val="99"/>
    <w:semiHidden/>
    <w:unhideWhenUsed/>
    <w:rsid w:val="00FC4A42"/>
    <w:rPr>
      <w:color w:val="954F72" w:themeColor="followedHyperlink"/>
      <w:u w:val="single"/>
    </w:rPr>
  </w:style>
  <w:style w:type="paragraph" w:styleId="CommentText">
    <w:name w:val="annotation text"/>
    <w:basedOn w:val="Normal"/>
    <w:link w:val="CommentTextChar"/>
    <w:uiPriority w:val="99"/>
    <w:unhideWhenUsed/>
    <w:rsid w:val="00947D22"/>
    <w:rPr>
      <w:sz w:val="20"/>
      <w:szCs w:val="20"/>
    </w:rPr>
  </w:style>
  <w:style w:type="character" w:customStyle="1" w:styleId="CommentTextChar">
    <w:name w:val="Comment Text Char"/>
    <w:basedOn w:val="DefaultParagraphFont"/>
    <w:link w:val="CommentText"/>
    <w:uiPriority w:val="99"/>
    <w:rsid w:val="00947D2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7D22"/>
    <w:rPr>
      <w:b/>
      <w:bCs/>
    </w:rPr>
  </w:style>
  <w:style w:type="character" w:customStyle="1" w:styleId="CommentSubjectChar">
    <w:name w:val="Comment Subject Char"/>
    <w:basedOn w:val="CommentTextChar"/>
    <w:link w:val="CommentSubject"/>
    <w:uiPriority w:val="99"/>
    <w:semiHidden/>
    <w:rsid w:val="00947D22"/>
    <w:rPr>
      <w:rFonts w:ascii="Times New Roman" w:hAnsi="Times New Roman" w:cs="Times New Roman"/>
      <w:b/>
      <w:bCs/>
      <w:sz w:val="20"/>
      <w:szCs w:val="20"/>
      <w:lang w:eastAsia="en-GB"/>
    </w:rPr>
  </w:style>
  <w:style w:type="paragraph" w:styleId="ListBullet">
    <w:name w:val="List Bullet"/>
    <w:basedOn w:val="Normal"/>
    <w:uiPriority w:val="99"/>
    <w:unhideWhenUsed/>
    <w:rsid w:val="007A644F"/>
    <w:pPr>
      <w:numPr>
        <w:numId w:val="27"/>
      </w:numPr>
      <w:contextualSpacing/>
    </w:pPr>
  </w:style>
  <w:style w:type="character" w:styleId="Emphasis">
    <w:name w:val="Emphasis"/>
    <w:basedOn w:val="DefaultParagraphFont"/>
    <w:uiPriority w:val="20"/>
    <w:qFormat/>
    <w:rsid w:val="00355E3C"/>
    <w:rPr>
      <w:i/>
      <w:iCs/>
    </w:rPr>
  </w:style>
  <w:style w:type="paragraph" w:customStyle="1" w:styleId="ECHRPara">
    <w:name w:val="ECHR_Para"/>
    <w:aliases w:val="Ju_Para,Para,Left,First line:  0 cm"/>
    <w:basedOn w:val="Normal"/>
    <w:link w:val="JuParaCar"/>
    <w:qFormat/>
    <w:rsid w:val="0017268E"/>
    <w:pPr>
      <w:ind w:firstLine="284"/>
      <w:jc w:val="both"/>
    </w:pPr>
    <w:rPr>
      <w:rFonts w:asciiTheme="minorHAnsi" w:eastAsiaTheme="minorEastAsia" w:hAnsiTheme="minorHAnsi" w:cstheme="minorBidi"/>
      <w:szCs w:val="22"/>
      <w:lang w:val="en-US" w:eastAsia="en-US"/>
    </w:rPr>
  </w:style>
  <w:style w:type="character" w:customStyle="1" w:styleId="JuParaCar">
    <w:name w:val="Ju_Para Car"/>
    <w:link w:val="ECHRPara"/>
    <w:rsid w:val="0017268E"/>
    <w:rPr>
      <w:rFonts w:eastAsiaTheme="minorEastAsia"/>
      <w:szCs w:val="22"/>
      <w:lang w:val="en-US"/>
    </w:rPr>
  </w:style>
  <w:style w:type="table" w:styleId="TableGrid">
    <w:name w:val="Table Grid"/>
    <w:basedOn w:val="TableNormal"/>
    <w:uiPriority w:val="39"/>
    <w:rsid w:val="0058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LItalic">
    <w:name w:val="CLL_Italic"/>
    <w:basedOn w:val="DefaultParagraphFont"/>
    <w:uiPriority w:val="1"/>
    <w:rsid w:val="00553430"/>
    <w:rPr>
      <w:i/>
      <w:iCs/>
      <w:color w:val="auto"/>
      <w:lang w:val="en-GB"/>
    </w:rPr>
  </w:style>
  <w:style w:type="paragraph" w:styleId="Revision">
    <w:name w:val="Revision"/>
    <w:hidden/>
    <w:uiPriority w:val="99"/>
    <w:semiHidden/>
    <w:rsid w:val="00A05A38"/>
    <w:rPr>
      <w:rFonts w:ascii="Times New Roman" w:hAnsi="Times New Roman" w:cs="Times New Roman"/>
      <w:lang w:eastAsia="en-GB"/>
    </w:rPr>
  </w:style>
  <w:style w:type="character" w:customStyle="1" w:styleId="Heading3Char">
    <w:name w:val="Heading 3 Char"/>
    <w:basedOn w:val="DefaultParagraphFont"/>
    <w:link w:val="Heading3"/>
    <w:uiPriority w:val="9"/>
    <w:semiHidden/>
    <w:rsid w:val="000A30F8"/>
    <w:rPr>
      <w:rFonts w:asciiTheme="majorHAnsi" w:eastAsiaTheme="majorEastAsia" w:hAnsiTheme="majorHAnsi" w:cstheme="majorBidi"/>
      <w:color w:val="1F3763" w:themeColor="accent1" w:themeShade="7F"/>
      <w:lang w:eastAsia="en-GB"/>
    </w:rPr>
  </w:style>
  <w:style w:type="character" w:styleId="UnresolvedMention">
    <w:name w:val="Unresolved Mention"/>
    <w:basedOn w:val="DefaultParagraphFont"/>
    <w:uiPriority w:val="99"/>
    <w:semiHidden/>
    <w:unhideWhenUsed/>
    <w:rsid w:val="00E51746"/>
    <w:rPr>
      <w:color w:val="605E5C"/>
      <w:shd w:val="clear" w:color="auto" w:fill="E1DFDD"/>
    </w:rPr>
  </w:style>
  <w:style w:type="paragraph" w:customStyle="1" w:styleId="JuCase">
    <w:name w:val="Ju_Case"/>
    <w:basedOn w:val="Normal"/>
    <w:next w:val="ECHRPara"/>
    <w:uiPriority w:val="10"/>
    <w:rsid w:val="00AE30D5"/>
    <w:pPr>
      <w:ind w:firstLine="284"/>
      <w:jc w:val="both"/>
    </w:pPr>
    <w:rPr>
      <w:rFonts w:asciiTheme="minorHAnsi" w:eastAsiaTheme="minorEastAsia" w:hAnsiTheme="minorHAnsi" w:cstheme="minorBid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209">
      <w:bodyDiv w:val="1"/>
      <w:marLeft w:val="0"/>
      <w:marRight w:val="0"/>
      <w:marTop w:val="0"/>
      <w:marBottom w:val="0"/>
      <w:divBdr>
        <w:top w:val="none" w:sz="0" w:space="0" w:color="auto"/>
        <w:left w:val="none" w:sz="0" w:space="0" w:color="auto"/>
        <w:bottom w:val="none" w:sz="0" w:space="0" w:color="auto"/>
        <w:right w:val="none" w:sz="0" w:space="0" w:color="auto"/>
      </w:divBdr>
    </w:div>
    <w:div w:id="40176192">
      <w:bodyDiv w:val="1"/>
      <w:marLeft w:val="0"/>
      <w:marRight w:val="0"/>
      <w:marTop w:val="0"/>
      <w:marBottom w:val="0"/>
      <w:divBdr>
        <w:top w:val="none" w:sz="0" w:space="0" w:color="auto"/>
        <w:left w:val="none" w:sz="0" w:space="0" w:color="auto"/>
        <w:bottom w:val="none" w:sz="0" w:space="0" w:color="auto"/>
        <w:right w:val="none" w:sz="0" w:space="0" w:color="auto"/>
      </w:divBdr>
    </w:div>
    <w:div w:id="55402831">
      <w:bodyDiv w:val="1"/>
      <w:marLeft w:val="0"/>
      <w:marRight w:val="0"/>
      <w:marTop w:val="0"/>
      <w:marBottom w:val="0"/>
      <w:divBdr>
        <w:top w:val="none" w:sz="0" w:space="0" w:color="auto"/>
        <w:left w:val="none" w:sz="0" w:space="0" w:color="auto"/>
        <w:bottom w:val="none" w:sz="0" w:space="0" w:color="auto"/>
        <w:right w:val="none" w:sz="0" w:space="0" w:color="auto"/>
      </w:divBdr>
    </w:div>
    <w:div w:id="105661019">
      <w:bodyDiv w:val="1"/>
      <w:marLeft w:val="0"/>
      <w:marRight w:val="0"/>
      <w:marTop w:val="0"/>
      <w:marBottom w:val="0"/>
      <w:divBdr>
        <w:top w:val="none" w:sz="0" w:space="0" w:color="auto"/>
        <w:left w:val="none" w:sz="0" w:space="0" w:color="auto"/>
        <w:bottom w:val="none" w:sz="0" w:space="0" w:color="auto"/>
        <w:right w:val="none" w:sz="0" w:space="0" w:color="auto"/>
      </w:divBdr>
    </w:div>
    <w:div w:id="119544287">
      <w:bodyDiv w:val="1"/>
      <w:marLeft w:val="0"/>
      <w:marRight w:val="0"/>
      <w:marTop w:val="0"/>
      <w:marBottom w:val="0"/>
      <w:divBdr>
        <w:top w:val="none" w:sz="0" w:space="0" w:color="auto"/>
        <w:left w:val="none" w:sz="0" w:space="0" w:color="auto"/>
        <w:bottom w:val="none" w:sz="0" w:space="0" w:color="auto"/>
        <w:right w:val="none" w:sz="0" w:space="0" w:color="auto"/>
      </w:divBdr>
    </w:div>
    <w:div w:id="129830886">
      <w:bodyDiv w:val="1"/>
      <w:marLeft w:val="0"/>
      <w:marRight w:val="0"/>
      <w:marTop w:val="0"/>
      <w:marBottom w:val="0"/>
      <w:divBdr>
        <w:top w:val="none" w:sz="0" w:space="0" w:color="auto"/>
        <w:left w:val="none" w:sz="0" w:space="0" w:color="auto"/>
        <w:bottom w:val="none" w:sz="0" w:space="0" w:color="auto"/>
        <w:right w:val="none" w:sz="0" w:space="0" w:color="auto"/>
      </w:divBdr>
      <w:divsChild>
        <w:div w:id="1618945984">
          <w:marLeft w:val="0"/>
          <w:marRight w:val="0"/>
          <w:marTop w:val="0"/>
          <w:marBottom w:val="0"/>
          <w:divBdr>
            <w:top w:val="none" w:sz="0" w:space="0" w:color="auto"/>
            <w:left w:val="none" w:sz="0" w:space="0" w:color="auto"/>
            <w:bottom w:val="none" w:sz="0" w:space="0" w:color="auto"/>
            <w:right w:val="none" w:sz="0" w:space="0" w:color="auto"/>
          </w:divBdr>
          <w:divsChild>
            <w:div w:id="1939094848">
              <w:marLeft w:val="0"/>
              <w:marRight w:val="0"/>
              <w:marTop w:val="0"/>
              <w:marBottom w:val="0"/>
              <w:divBdr>
                <w:top w:val="none" w:sz="0" w:space="0" w:color="auto"/>
                <w:left w:val="none" w:sz="0" w:space="0" w:color="auto"/>
                <w:bottom w:val="none" w:sz="0" w:space="0" w:color="auto"/>
                <w:right w:val="none" w:sz="0" w:space="0" w:color="auto"/>
              </w:divBdr>
              <w:divsChild>
                <w:div w:id="18571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882">
      <w:bodyDiv w:val="1"/>
      <w:marLeft w:val="0"/>
      <w:marRight w:val="0"/>
      <w:marTop w:val="0"/>
      <w:marBottom w:val="0"/>
      <w:divBdr>
        <w:top w:val="none" w:sz="0" w:space="0" w:color="auto"/>
        <w:left w:val="none" w:sz="0" w:space="0" w:color="auto"/>
        <w:bottom w:val="none" w:sz="0" w:space="0" w:color="auto"/>
        <w:right w:val="none" w:sz="0" w:space="0" w:color="auto"/>
      </w:divBdr>
    </w:div>
    <w:div w:id="136151000">
      <w:bodyDiv w:val="1"/>
      <w:marLeft w:val="0"/>
      <w:marRight w:val="0"/>
      <w:marTop w:val="0"/>
      <w:marBottom w:val="0"/>
      <w:divBdr>
        <w:top w:val="none" w:sz="0" w:space="0" w:color="auto"/>
        <w:left w:val="none" w:sz="0" w:space="0" w:color="auto"/>
        <w:bottom w:val="none" w:sz="0" w:space="0" w:color="auto"/>
        <w:right w:val="none" w:sz="0" w:space="0" w:color="auto"/>
      </w:divBdr>
    </w:div>
    <w:div w:id="171913522">
      <w:bodyDiv w:val="1"/>
      <w:marLeft w:val="0"/>
      <w:marRight w:val="0"/>
      <w:marTop w:val="0"/>
      <w:marBottom w:val="0"/>
      <w:divBdr>
        <w:top w:val="none" w:sz="0" w:space="0" w:color="auto"/>
        <w:left w:val="none" w:sz="0" w:space="0" w:color="auto"/>
        <w:bottom w:val="none" w:sz="0" w:space="0" w:color="auto"/>
        <w:right w:val="none" w:sz="0" w:space="0" w:color="auto"/>
      </w:divBdr>
      <w:divsChild>
        <w:div w:id="81336405">
          <w:marLeft w:val="0"/>
          <w:marRight w:val="0"/>
          <w:marTop w:val="0"/>
          <w:marBottom w:val="0"/>
          <w:divBdr>
            <w:top w:val="none" w:sz="0" w:space="0" w:color="auto"/>
            <w:left w:val="none" w:sz="0" w:space="0" w:color="auto"/>
            <w:bottom w:val="none" w:sz="0" w:space="0" w:color="auto"/>
            <w:right w:val="none" w:sz="0" w:space="0" w:color="auto"/>
          </w:divBdr>
          <w:divsChild>
            <w:div w:id="956253336">
              <w:marLeft w:val="0"/>
              <w:marRight w:val="0"/>
              <w:marTop w:val="0"/>
              <w:marBottom w:val="0"/>
              <w:divBdr>
                <w:top w:val="none" w:sz="0" w:space="0" w:color="auto"/>
                <w:left w:val="none" w:sz="0" w:space="0" w:color="auto"/>
                <w:bottom w:val="none" w:sz="0" w:space="0" w:color="auto"/>
                <w:right w:val="none" w:sz="0" w:space="0" w:color="auto"/>
              </w:divBdr>
              <w:divsChild>
                <w:div w:id="17088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1566">
      <w:bodyDiv w:val="1"/>
      <w:marLeft w:val="0"/>
      <w:marRight w:val="0"/>
      <w:marTop w:val="0"/>
      <w:marBottom w:val="0"/>
      <w:divBdr>
        <w:top w:val="none" w:sz="0" w:space="0" w:color="auto"/>
        <w:left w:val="none" w:sz="0" w:space="0" w:color="auto"/>
        <w:bottom w:val="none" w:sz="0" w:space="0" w:color="auto"/>
        <w:right w:val="none" w:sz="0" w:space="0" w:color="auto"/>
      </w:divBdr>
      <w:divsChild>
        <w:div w:id="123278915">
          <w:marLeft w:val="0"/>
          <w:marRight w:val="0"/>
          <w:marTop w:val="0"/>
          <w:marBottom w:val="0"/>
          <w:divBdr>
            <w:top w:val="none" w:sz="0" w:space="0" w:color="auto"/>
            <w:left w:val="none" w:sz="0" w:space="0" w:color="auto"/>
            <w:bottom w:val="none" w:sz="0" w:space="0" w:color="auto"/>
            <w:right w:val="none" w:sz="0" w:space="0" w:color="auto"/>
          </w:divBdr>
          <w:divsChild>
            <w:div w:id="1292705474">
              <w:marLeft w:val="0"/>
              <w:marRight w:val="0"/>
              <w:marTop w:val="0"/>
              <w:marBottom w:val="0"/>
              <w:divBdr>
                <w:top w:val="none" w:sz="0" w:space="0" w:color="auto"/>
                <w:left w:val="none" w:sz="0" w:space="0" w:color="auto"/>
                <w:bottom w:val="none" w:sz="0" w:space="0" w:color="auto"/>
                <w:right w:val="none" w:sz="0" w:space="0" w:color="auto"/>
              </w:divBdr>
              <w:divsChild>
                <w:div w:id="18372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579">
      <w:bodyDiv w:val="1"/>
      <w:marLeft w:val="0"/>
      <w:marRight w:val="0"/>
      <w:marTop w:val="0"/>
      <w:marBottom w:val="0"/>
      <w:divBdr>
        <w:top w:val="none" w:sz="0" w:space="0" w:color="auto"/>
        <w:left w:val="none" w:sz="0" w:space="0" w:color="auto"/>
        <w:bottom w:val="none" w:sz="0" w:space="0" w:color="auto"/>
        <w:right w:val="none" w:sz="0" w:space="0" w:color="auto"/>
      </w:divBdr>
      <w:divsChild>
        <w:div w:id="1553345886">
          <w:marLeft w:val="0"/>
          <w:marRight w:val="0"/>
          <w:marTop w:val="0"/>
          <w:marBottom w:val="0"/>
          <w:divBdr>
            <w:top w:val="none" w:sz="0" w:space="0" w:color="auto"/>
            <w:left w:val="none" w:sz="0" w:space="0" w:color="auto"/>
            <w:bottom w:val="none" w:sz="0" w:space="0" w:color="auto"/>
            <w:right w:val="none" w:sz="0" w:space="0" w:color="auto"/>
          </w:divBdr>
          <w:divsChild>
            <w:div w:id="732120561">
              <w:marLeft w:val="0"/>
              <w:marRight w:val="0"/>
              <w:marTop w:val="0"/>
              <w:marBottom w:val="0"/>
              <w:divBdr>
                <w:top w:val="none" w:sz="0" w:space="0" w:color="auto"/>
                <w:left w:val="none" w:sz="0" w:space="0" w:color="auto"/>
                <w:bottom w:val="none" w:sz="0" w:space="0" w:color="auto"/>
                <w:right w:val="none" w:sz="0" w:space="0" w:color="auto"/>
              </w:divBdr>
              <w:divsChild>
                <w:div w:id="19988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940">
      <w:bodyDiv w:val="1"/>
      <w:marLeft w:val="0"/>
      <w:marRight w:val="0"/>
      <w:marTop w:val="0"/>
      <w:marBottom w:val="0"/>
      <w:divBdr>
        <w:top w:val="none" w:sz="0" w:space="0" w:color="auto"/>
        <w:left w:val="none" w:sz="0" w:space="0" w:color="auto"/>
        <w:bottom w:val="none" w:sz="0" w:space="0" w:color="auto"/>
        <w:right w:val="none" w:sz="0" w:space="0" w:color="auto"/>
      </w:divBdr>
    </w:div>
    <w:div w:id="206919354">
      <w:bodyDiv w:val="1"/>
      <w:marLeft w:val="0"/>
      <w:marRight w:val="0"/>
      <w:marTop w:val="0"/>
      <w:marBottom w:val="0"/>
      <w:divBdr>
        <w:top w:val="none" w:sz="0" w:space="0" w:color="auto"/>
        <w:left w:val="none" w:sz="0" w:space="0" w:color="auto"/>
        <w:bottom w:val="none" w:sz="0" w:space="0" w:color="auto"/>
        <w:right w:val="none" w:sz="0" w:space="0" w:color="auto"/>
      </w:divBdr>
      <w:divsChild>
        <w:div w:id="720135135">
          <w:marLeft w:val="0"/>
          <w:marRight w:val="0"/>
          <w:marTop w:val="0"/>
          <w:marBottom w:val="0"/>
          <w:divBdr>
            <w:top w:val="none" w:sz="0" w:space="0" w:color="auto"/>
            <w:left w:val="none" w:sz="0" w:space="0" w:color="auto"/>
            <w:bottom w:val="none" w:sz="0" w:space="0" w:color="auto"/>
            <w:right w:val="none" w:sz="0" w:space="0" w:color="auto"/>
          </w:divBdr>
          <w:divsChild>
            <w:div w:id="1229802692">
              <w:marLeft w:val="0"/>
              <w:marRight w:val="0"/>
              <w:marTop w:val="0"/>
              <w:marBottom w:val="0"/>
              <w:divBdr>
                <w:top w:val="none" w:sz="0" w:space="0" w:color="auto"/>
                <w:left w:val="none" w:sz="0" w:space="0" w:color="auto"/>
                <w:bottom w:val="none" w:sz="0" w:space="0" w:color="auto"/>
                <w:right w:val="none" w:sz="0" w:space="0" w:color="auto"/>
              </w:divBdr>
              <w:divsChild>
                <w:div w:id="513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8022">
      <w:bodyDiv w:val="1"/>
      <w:marLeft w:val="0"/>
      <w:marRight w:val="0"/>
      <w:marTop w:val="0"/>
      <w:marBottom w:val="0"/>
      <w:divBdr>
        <w:top w:val="none" w:sz="0" w:space="0" w:color="auto"/>
        <w:left w:val="none" w:sz="0" w:space="0" w:color="auto"/>
        <w:bottom w:val="none" w:sz="0" w:space="0" w:color="auto"/>
        <w:right w:val="none" w:sz="0" w:space="0" w:color="auto"/>
      </w:divBdr>
    </w:div>
    <w:div w:id="257373817">
      <w:bodyDiv w:val="1"/>
      <w:marLeft w:val="0"/>
      <w:marRight w:val="0"/>
      <w:marTop w:val="0"/>
      <w:marBottom w:val="0"/>
      <w:divBdr>
        <w:top w:val="none" w:sz="0" w:space="0" w:color="auto"/>
        <w:left w:val="none" w:sz="0" w:space="0" w:color="auto"/>
        <w:bottom w:val="none" w:sz="0" w:space="0" w:color="auto"/>
        <w:right w:val="none" w:sz="0" w:space="0" w:color="auto"/>
      </w:divBdr>
      <w:divsChild>
        <w:div w:id="1907568293">
          <w:marLeft w:val="0"/>
          <w:marRight w:val="0"/>
          <w:marTop w:val="0"/>
          <w:marBottom w:val="0"/>
          <w:divBdr>
            <w:top w:val="none" w:sz="0" w:space="0" w:color="auto"/>
            <w:left w:val="none" w:sz="0" w:space="0" w:color="auto"/>
            <w:bottom w:val="none" w:sz="0" w:space="0" w:color="auto"/>
            <w:right w:val="none" w:sz="0" w:space="0" w:color="auto"/>
          </w:divBdr>
          <w:divsChild>
            <w:div w:id="43870992">
              <w:marLeft w:val="0"/>
              <w:marRight w:val="0"/>
              <w:marTop w:val="0"/>
              <w:marBottom w:val="0"/>
              <w:divBdr>
                <w:top w:val="none" w:sz="0" w:space="0" w:color="auto"/>
                <w:left w:val="none" w:sz="0" w:space="0" w:color="auto"/>
                <w:bottom w:val="none" w:sz="0" w:space="0" w:color="auto"/>
                <w:right w:val="none" w:sz="0" w:space="0" w:color="auto"/>
              </w:divBdr>
              <w:divsChild>
                <w:div w:id="9517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2058">
      <w:bodyDiv w:val="1"/>
      <w:marLeft w:val="0"/>
      <w:marRight w:val="0"/>
      <w:marTop w:val="0"/>
      <w:marBottom w:val="0"/>
      <w:divBdr>
        <w:top w:val="none" w:sz="0" w:space="0" w:color="auto"/>
        <w:left w:val="none" w:sz="0" w:space="0" w:color="auto"/>
        <w:bottom w:val="none" w:sz="0" w:space="0" w:color="auto"/>
        <w:right w:val="none" w:sz="0" w:space="0" w:color="auto"/>
      </w:divBdr>
      <w:divsChild>
        <w:div w:id="1594699549">
          <w:marLeft w:val="0"/>
          <w:marRight w:val="0"/>
          <w:marTop w:val="0"/>
          <w:marBottom w:val="0"/>
          <w:divBdr>
            <w:top w:val="none" w:sz="0" w:space="0" w:color="auto"/>
            <w:left w:val="none" w:sz="0" w:space="0" w:color="auto"/>
            <w:bottom w:val="none" w:sz="0" w:space="0" w:color="auto"/>
            <w:right w:val="none" w:sz="0" w:space="0" w:color="auto"/>
          </w:divBdr>
          <w:divsChild>
            <w:div w:id="914239414">
              <w:marLeft w:val="0"/>
              <w:marRight w:val="0"/>
              <w:marTop w:val="0"/>
              <w:marBottom w:val="0"/>
              <w:divBdr>
                <w:top w:val="none" w:sz="0" w:space="0" w:color="auto"/>
                <w:left w:val="none" w:sz="0" w:space="0" w:color="auto"/>
                <w:bottom w:val="none" w:sz="0" w:space="0" w:color="auto"/>
                <w:right w:val="none" w:sz="0" w:space="0" w:color="auto"/>
              </w:divBdr>
              <w:divsChild>
                <w:div w:id="862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3254">
      <w:bodyDiv w:val="1"/>
      <w:marLeft w:val="0"/>
      <w:marRight w:val="0"/>
      <w:marTop w:val="0"/>
      <w:marBottom w:val="0"/>
      <w:divBdr>
        <w:top w:val="none" w:sz="0" w:space="0" w:color="auto"/>
        <w:left w:val="none" w:sz="0" w:space="0" w:color="auto"/>
        <w:bottom w:val="none" w:sz="0" w:space="0" w:color="auto"/>
        <w:right w:val="none" w:sz="0" w:space="0" w:color="auto"/>
      </w:divBdr>
    </w:div>
    <w:div w:id="289551442">
      <w:bodyDiv w:val="1"/>
      <w:marLeft w:val="0"/>
      <w:marRight w:val="0"/>
      <w:marTop w:val="0"/>
      <w:marBottom w:val="0"/>
      <w:divBdr>
        <w:top w:val="none" w:sz="0" w:space="0" w:color="auto"/>
        <w:left w:val="none" w:sz="0" w:space="0" w:color="auto"/>
        <w:bottom w:val="none" w:sz="0" w:space="0" w:color="auto"/>
        <w:right w:val="none" w:sz="0" w:space="0" w:color="auto"/>
      </w:divBdr>
    </w:div>
    <w:div w:id="320234026">
      <w:bodyDiv w:val="1"/>
      <w:marLeft w:val="0"/>
      <w:marRight w:val="0"/>
      <w:marTop w:val="0"/>
      <w:marBottom w:val="0"/>
      <w:divBdr>
        <w:top w:val="none" w:sz="0" w:space="0" w:color="auto"/>
        <w:left w:val="none" w:sz="0" w:space="0" w:color="auto"/>
        <w:bottom w:val="none" w:sz="0" w:space="0" w:color="auto"/>
        <w:right w:val="none" w:sz="0" w:space="0" w:color="auto"/>
      </w:divBdr>
    </w:div>
    <w:div w:id="330958475">
      <w:bodyDiv w:val="1"/>
      <w:marLeft w:val="0"/>
      <w:marRight w:val="0"/>
      <w:marTop w:val="0"/>
      <w:marBottom w:val="0"/>
      <w:divBdr>
        <w:top w:val="none" w:sz="0" w:space="0" w:color="auto"/>
        <w:left w:val="none" w:sz="0" w:space="0" w:color="auto"/>
        <w:bottom w:val="none" w:sz="0" w:space="0" w:color="auto"/>
        <w:right w:val="none" w:sz="0" w:space="0" w:color="auto"/>
      </w:divBdr>
      <w:divsChild>
        <w:div w:id="2142726645">
          <w:marLeft w:val="0"/>
          <w:marRight w:val="0"/>
          <w:marTop w:val="0"/>
          <w:marBottom w:val="0"/>
          <w:divBdr>
            <w:top w:val="none" w:sz="0" w:space="0" w:color="auto"/>
            <w:left w:val="none" w:sz="0" w:space="0" w:color="auto"/>
            <w:bottom w:val="none" w:sz="0" w:space="0" w:color="auto"/>
            <w:right w:val="none" w:sz="0" w:space="0" w:color="auto"/>
          </w:divBdr>
          <w:divsChild>
            <w:div w:id="2016347106">
              <w:marLeft w:val="0"/>
              <w:marRight w:val="0"/>
              <w:marTop w:val="0"/>
              <w:marBottom w:val="0"/>
              <w:divBdr>
                <w:top w:val="none" w:sz="0" w:space="0" w:color="auto"/>
                <w:left w:val="none" w:sz="0" w:space="0" w:color="auto"/>
                <w:bottom w:val="none" w:sz="0" w:space="0" w:color="auto"/>
                <w:right w:val="none" w:sz="0" w:space="0" w:color="auto"/>
              </w:divBdr>
              <w:divsChild>
                <w:div w:id="18207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2236">
      <w:bodyDiv w:val="1"/>
      <w:marLeft w:val="0"/>
      <w:marRight w:val="0"/>
      <w:marTop w:val="0"/>
      <w:marBottom w:val="0"/>
      <w:divBdr>
        <w:top w:val="none" w:sz="0" w:space="0" w:color="auto"/>
        <w:left w:val="none" w:sz="0" w:space="0" w:color="auto"/>
        <w:bottom w:val="none" w:sz="0" w:space="0" w:color="auto"/>
        <w:right w:val="none" w:sz="0" w:space="0" w:color="auto"/>
      </w:divBdr>
    </w:div>
    <w:div w:id="395512246">
      <w:bodyDiv w:val="1"/>
      <w:marLeft w:val="0"/>
      <w:marRight w:val="0"/>
      <w:marTop w:val="0"/>
      <w:marBottom w:val="0"/>
      <w:divBdr>
        <w:top w:val="none" w:sz="0" w:space="0" w:color="auto"/>
        <w:left w:val="none" w:sz="0" w:space="0" w:color="auto"/>
        <w:bottom w:val="none" w:sz="0" w:space="0" w:color="auto"/>
        <w:right w:val="none" w:sz="0" w:space="0" w:color="auto"/>
      </w:divBdr>
    </w:div>
    <w:div w:id="408039384">
      <w:bodyDiv w:val="1"/>
      <w:marLeft w:val="0"/>
      <w:marRight w:val="0"/>
      <w:marTop w:val="0"/>
      <w:marBottom w:val="0"/>
      <w:divBdr>
        <w:top w:val="none" w:sz="0" w:space="0" w:color="auto"/>
        <w:left w:val="none" w:sz="0" w:space="0" w:color="auto"/>
        <w:bottom w:val="none" w:sz="0" w:space="0" w:color="auto"/>
        <w:right w:val="none" w:sz="0" w:space="0" w:color="auto"/>
      </w:divBdr>
    </w:div>
    <w:div w:id="458962801">
      <w:bodyDiv w:val="1"/>
      <w:marLeft w:val="0"/>
      <w:marRight w:val="0"/>
      <w:marTop w:val="0"/>
      <w:marBottom w:val="0"/>
      <w:divBdr>
        <w:top w:val="none" w:sz="0" w:space="0" w:color="auto"/>
        <w:left w:val="none" w:sz="0" w:space="0" w:color="auto"/>
        <w:bottom w:val="none" w:sz="0" w:space="0" w:color="auto"/>
        <w:right w:val="none" w:sz="0" w:space="0" w:color="auto"/>
      </w:divBdr>
      <w:divsChild>
        <w:div w:id="1584487608">
          <w:marLeft w:val="0"/>
          <w:marRight w:val="0"/>
          <w:marTop w:val="0"/>
          <w:marBottom w:val="0"/>
          <w:divBdr>
            <w:top w:val="none" w:sz="0" w:space="0" w:color="auto"/>
            <w:left w:val="none" w:sz="0" w:space="0" w:color="auto"/>
            <w:bottom w:val="none" w:sz="0" w:space="0" w:color="auto"/>
            <w:right w:val="none" w:sz="0" w:space="0" w:color="auto"/>
          </w:divBdr>
          <w:divsChild>
            <w:div w:id="214242321">
              <w:marLeft w:val="0"/>
              <w:marRight w:val="0"/>
              <w:marTop w:val="0"/>
              <w:marBottom w:val="0"/>
              <w:divBdr>
                <w:top w:val="none" w:sz="0" w:space="0" w:color="auto"/>
                <w:left w:val="none" w:sz="0" w:space="0" w:color="auto"/>
                <w:bottom w:val="none" w:sz="0" w:space="0" w:color="auto"/>
                <w:right w:val="none" w:sz="0" w:space="0" w:color="auto"/>
              </w:divBdr>
              <w:divsChild>
                <w:div w:id="1811366009">
                  <w:marLeft w:val="0"/>
                  <w:marRight w:val="0"/>
                  <w:marTop w:val="0"/>
                  <w:marBottom w:val="0"/>
                  <w:divBdr>
                    <w:top w:val="none" w:sz="0" w:space="0" w:color="auto"/>
                    <w:left w:val="none" w:sz="0" w:space="0" w:color="auto"/>
                    <w:bottom w:val="none" w:sz="0" w:space="0" w:color="auto"/>
                    <w:right w:val="none" w:sz="0" w:space="0" w:color="auto"/>
                  </w:divBdr>
                  <w:divsChild>
                    <w:div w:id="2027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167444">
      <w:bodyDiv w:val="1"/>
      <w:marLeft w:val="0"/>
      <w:marRight w:val="0"/>
      <w:marTop w:val="0"/>
      <w:marBottom w:val="0"/>
      <w:divBdr>
        <w:top w:val="none" w:sz="0" w:space="0" w:color="auto"/>
        <w:left w:val="none" w:sz="0" w:space="0" w:color="auto"/>
        <w:bottom w:val="none" w:sz="0" w:space="0" w:color="auto"/>
        <w:right w:val="none" w:sz="0" w:space="0" w:color="auto"/>
      </w:divBdr>
    </w:div>
    <w:div w:id="471219166">
      <w:bodyDiv w:val="1"/>
      <w:marLeft w:val="0"/>
      <w:marRight w:val="0"/>
      <w:marTop w:val="0"/>
      <w:marBottom w:val="0"/>
      <w:divBdr>
        <w:top w:val="none" w:sz="0" w:space="0" w:color="auto"/>
        <w:left w:val="none" w:sz="0" w:space="0" w:color="auto"/>
        <w:bottom w:val="none" w:sz="0" w:space="0" w:color="auto"/>
        <w:right w:val="none" w:sz="0" w:space="0" w:color="auto"/>
      </w:divBdr>
    </w:div>
    <w:div w:id="474491642">
      <w:bodyDiv w:val="1"/>
      <w:marLeft w:val="0"/>
      <w:marRight w:val="0"/>
      <w:marTop w:val="0"/>
      <w:marBottom w:val="0"/>
      <w:divBdr>
        <w:top w:val="none" w:sz="0" w:space="0" w:color="auto"/>
        <w:left w:val="none" w:sz="0" w:space="0" w:color="auto"/>
        <w:bottom w:val="none" w:sz="0" w:space="0" w:color="auto"/>
        <w:right w:val="none" w:sz="0" w:space="0" w:color="auto"/>
      </w:divBdr>
      <w:divsChild>
        <w:div w:id="1077677334">
          <w:marLeft w:val="0"/>
          <w:marRight w:val="0"/>
          <w:marTop w:val="0"/>
          <w:marBottom w:val="0"/>
          <w:divBdr>
            <w:top w:val="none" w:sz="0" w:space="0" w:color="auto"/>
            <w:left w:val="none" w:sz="0" w:space="0" w:color="auto"/>
            <w:bottom w:val="none" w:sz="0" w:space="0" w:color="auto"/>
            <w:right w:val="none" w:sz="0" w:space="0" w:color="auto"/>
          </w:divBdr>
          <w:divsChild>
            <w:div w:id="1376585063">
              <w:marLeft w:val="0"/>
              <w:marRight w:val="0"/>
              <w:marTop w:val="0"/>
              <w:marBottom w:val="0"/>
              <w:divBdr>
                <w:top w:val="none" w:sz="0" w:space="0" w:color="auto"/>
                <w:left w:val="none" w:sz="0" w:space="0" w:color="auto"/>
                <w:bottom w:val="none" w:sz="0" w:space="0" w:color="auto"/>
                <w:right w:val="none" w:sz="0" w:space="0" w:color="auto"/>
              </w:divBdr>
              <w:divsChild>
                <w:div w:id="3530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0374">
      <w:bodyDiv w:val="1"/>
      <w:marLeft w:val="0"/>
      <w:marRight w:val="0"/>
      <w:marTop w:val="0"/>
      <w:marBottom w:val="0"/>
      <w:divBdr>
        <w:top w:val="none" w:sz="0" w:space="0" w:color="auto"/>
        <w:left w:val="none" w:sz="0" w:space="0" w:color="auto"/>
        <w:bottom w:val="none" w:sz="0" w:space="0" w:color="auto"/>
        <w:right w:val="none" w:sz="0" w:space="0" w:color="auto"/>
      </w:divBdr>
    </w:div>
    <w:div w:id="487134337">
      <w:bodyDiv w:val="1"/>
      <w:marLeft w:val="0"/>
      <w:marRight w:val="0"/>
      <w:marTop w:val="0"/>
      <w:marBottom w:val="0"/>
      <w:divBdr>
        <w:top w:val="none" w:sz="0" w:space="0" w:color="auto"/>
        <w:left w:val="none" w:sz="0" w:space="0" w:color="auto"/>
        <w:bottom w:val="none" w:sz="0" w:space="0" w:color="auto"/>
        <w:right w:val="none" w:sz="0" w:space="0" w:color="auto"/>
      </w:divBdr>
    </w:div>
    <w:div w:id="493306307">
      <w:bodyDiv w:val="1"/>
      <w:marLeft w:val="0"/>
      <w:marRight w:val="0"/>
      <w:marTop w:val="0"/>
      <w:marBottom w:val="0"/>
      <w:divBdr>
        <w:top w:val="none" w:sz="0" w:space="0" w:color="auto"/>
        <w:left w:val="none" w:sz="0" w:space="0" w:color="auto"/>
        <w:bottom w:val="none" w:sz="0" w:space="0" w:color="auto"/>
        <w:right w:val="none" w:sz="0" w:space="0" w:color="auto"/>
      </w:divBdr>
    </w:div>
    <w:div w:id="506671184">
      <w:bodyDiv w:val="1"/>
      <w:marLeft w:val="0"/>
      <w:marRight w:val="0"/>
      <w:marTop w:val="0"/>
      <w:marBottom w:val="0"/>
      <w:divBdr>
        <w:top w:val="none" w:sz="0" w:space="0" w:color="auto"/>
        <w:left w:val="none" w:sz="0" w:space="0" w:color="auto"/>
        <w:bottom w:val="none" w:sz="0" w:space="0" w:color="auto"/>
        <w:right w:val="none" w:sz="0" w:space="0" w:color="auto"/>
      </w:divBdr>
    </w:div>
    <w:div w:id="506988061">
      <w:bodyDiv w:val="1"/>
      <w:marLeft w:val="0"/>
      <w:marRight w:val="0"/>
      <w:marTop w:val="0"/>
      <w:marBottom w:val="0"/>
      <w:divBdr>
        <w:top w:val="none" w:sz="0" w:space="0" w:color="auto"/>
        <w:left w:val="none" w:sz="0" w:space="0" w:color="auto"/>
        <w:bottom w:val="none" w:sz="0" w:space="0" w:color="auto"/>
        <w:right w:val="none" w:sz="0" w:space="0" w:color="auto"/>
      </w:divBdr>
    </w:div>
    <w:div w:id="515384121">
      <w:bodyDiv w:val="1"/>
      <w:marLeft w:val="0"/>
      <w:marRight w:val="0"/>
      <w:marTop w:val="0"/>
      <w:marBottom w:val="0"/>
      <w:divBdr>
        <w:top w:val="none" w:sz="0" w:space="0" w:color="auto"/>
        <w:left w:val="none" w:sz="0" w:space="0" w:color="auto"/>
        <w:bottom w:val="none" w:sz="0" w:space="0" w:color="auto"/>
        <w:right w:val="none" w:sz="0" w:space="0" w:color="auto"/>
      </w:divBdr>
      <w:divsChild>
        <w:div w:id="999965384">
          <w:marLeft w:val="0"/>
          <w:marRight w:val="0"/>
          <w:marTop w:val="0"/>
          <w:marBottom w:val="0"/>
          <w:divBdr>
            <w:top w:val="none" w:sz="0" w:space="0" w:color="auto"/>
            <w:left w:val="none" w:sz="0" w:space="0" w:color="auto"/>
            <w:bottom w:val="none" w:sz="0" w:space="0" w:color="auto"/>
            <w:right w:val="none" w:sz="0" w:space="0" w:color="auto"/>
          </w:divBdr>
          <w:divsChild>
            <w:div w:id="1138958169">
              <w:marLeft w:val="0"/>
              <w:marRight w:val="0"/>
              <w:marTop w:val="0"/>
              <w:marBottom w:val="0"/>
              <w:divBdr>
                <w:top w:val="none" w:sz="0" w:space="0" w:color="auto"/>
                <w:left w:val="none" w:sz="0" w:space="0" w:color="auto"/>
                <w:bottom w:val="none" w:sz="0" w:space="0" w:color="auto"/>
                <w:right w:val="none" w:sz="0" w:space="0" w:color="auto"/>
              </w:divBdr>
              <w:divsChild>
                <w:div w:id="2107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915">
      <w:bodyDiv w:val="1"/>
      <w:marLeft w:val="0"/>
      <w:marRight w:val="0"/>
      <w:marTop w:val="0"/>
      <w:marBottom w:val="0"/>
      <w:divBdr>
        <w:top w:val="none" w:sz="0" w:space="0" w:color="auto"/>
        <w:left w:val="none" w:sz="0" w:space="0" w:color="auto"/>
        <w:bottom w:val="none" w:sz="0" w:space="0" w:color="auto"/>
        <w:right w:val="none" w:sz="0" w:space="0" w:color="auto"/>
      </w:divBdr>
    </w:div>
    <w:div w:id="536167423">
      <w:bodyDiv w:val="1"/>
      <w:marLeft w:val="0"/>
      <w:marRight w:val="0"/>
      <w:marTop w:val="0"/>
      <w:marBottom w:val="0"/>
      <w:divBdr>
        <w:top w:val="none" w:sz="0" w:space="0" w:color="auto"/>
        <w:left w:val="none" w:sz="0" w:space="0" w:color="auto"/>
        <w:bottom w:val="none" w:sz="0" w:space="0" w:color="auto"/>
        <w:right w:val="none" w:sz="0" w:space="0" w:color="auto"/>
      </w:divBdr>
    </w:div>
    <w:div w:id="537594428">
      <w:bodyDiv w:val="1"/>
      <w:marLeft w:val="0"/>
      <w:marRight w:val="0"/>
      <w:marTop w:val="0"/>
      <w:marBottom w:val="0"/>
      <w:divBdr>
        <w:top w:val="none" w:sz="0" w:space="0" w:color="auto"/>
        <w:left w:val="none" w:sz="0" w:space="0" w:color="auto"/>
        <w:bottom w:val="none" w:sz="0" w:space="0" w:color="auto"/>
        <w:right w:val="none" w:sz="0" w:space="0" w:color="auto"/>
      </w:divBdr>
      <w:divsChild>
        <w:div w:id="1284389536">
          <w:marLeft w:val="0"/>
          <w:marRight w:val="0"/>
          <w:marTop w:val="0"/>
          <w:marBottom w:val="0"/>
          <w:divBdr>
            <w:top w:val="none" w:sz="0" w:space="0" w:color="auto"/>
            <w:left w:val="none" w:sz="0" w:space="0" w:color="auto"/>
            <w:bottom w:val="none" w:sz="0" w:space="0" w:color="auto"/>
            <w:right w:val="none" w:sz="0" w:space="0" w:color="auto"/>
          </w:divBdr>
          <w:divsChild>
            <w:div w:id="51388280">
              <w:marLeft w:val="0"/>
              <w:marRight w:val="0"/>
              <w:marTop w:val="0"/>
              <w:marBottom w:val="0"/>
              <w:divBdr>
                <w:top w:val="none" w:sz="0" w:space="0" w:color="auto"/>
                <w:left w:val="none" w:sz="0" w:space="0" w:color="auto"/>
                <w:bottom w:val="none" w:sz="0" w:space="0" w:color="auto"/>
                <w:right w:val="none" w:sz="0" w:space="0" w:color="auto"/>
              </w:divBdr>
              <w:divsChild>
                <w:div w:id="345791554">
                  <w:marLeft w:val="0"/>
                  <w:marRight w:val="0"/>
                  <w:marTop w:val="0"/>
                  <w:marBottom w:val="0"/>
                  <w:divBdr>
                    <w:top w:val="none" w:sz="0" w:space="0" w:color="auto"/>
                    <w:left w:val="none" w:sz="0" w:space="0" w:color="auto"/>
                    <w:bottom w:val="none" w:sz="0" w:space="0" w:color="auto"/>
                    <w:right w:val="none" w:sz="0" w:space="0" w:color="auto"/>
                  </w:divBdr>
                  <w:divsChild>
                    <w:div w:id="22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12918">
      <w:bodyDiv w:val="1"/>
      <w:marLeft w:val="0"/>
      <w:marRight w:val="0"/>
      <w:marTop w:val="0"/>
      <w:marBottom w:val="0"/>
      <w:divBdr>
        <w:top w:val="none" w:sz="0" w:space="0" w:color="auto"/>
        <w:left w:val="none" w:sz="0" w:space="0" w:color="auto"/>
        <w:bottom w:val="none" w:sz="0" w:space="0" w:color="auto"/>
        <w:right w:val="none" w:sz="0" w:space="0" w:color="auto"/>
      </w:divBdr>
      <w:divsChild>
        <w:div w:id="1228373752">
          <w:marLeft w:val="0"/>
          <w:marRight w:val="0"/>
          <w:marTop w:val="0"/>
          <w:marBottom w:val="0"/>
          <w:divBdr>
            <w:top w:val="none" w:sz="0" w:space="0" w:color="auto"/>
            <w:left w:val="none" w:sz="0" w:space="0" w:color="auto"/>
            <w:bottom w:val="none" w:sz="0" w:space="0" w:color="auto"/>
            <w:right w:val="none" w:sz="0" w:space="0" w:color="auto"/>
          </w:divBdr>
          <w:divsChild>
            <w:div w:id="728381966">
              <w:marLeft w:val="0"/>
              <w:marRight w:val="0"/>
              <w:marTop w:val="0"/>
              <w:marBottom w:val="0"/>
              <w:divBdr>
                <w:top w:val="none" w:sz="0" w:space="0" w:color="auto"/>
                <w:left w:val="none" w:sz="0" w:space="0" w:color="auto"/>
                <w:bottom w:val="none" w:sz="0" w:space="0" w:color="auto"/>
                <w:right w:val="none" w:sz="0" w:space="0" w:color="auto"/>
              </w:divBdr>
              <w:divsChild>
                <w:div w:id="20219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9035">
      <w:bodyDiv w:val="1"/>
      <w:marLeft w:val="0"/>
      <w:marRight w:val="0"/>
      <w:marTop w:val="0"/>
      <w:marBottom w:val="0"/>
      <w:divBdr>
        <w:top w:val="none" w:sz="0" w:space="0" w:color="auto"/>
        <w:left w:val="none" w:sz="0" w:space="0" w:color="auto"/>
        <w:bottom w:val="none" w:sz="0" w:space="0" w:color="auto"/>
        <w:right w:val="none" w:sz="0" w:space="0" w:color="auto"/>
      </w:divBdr>
    </w:div>
    <w:div w:id="622034504">
      <w:bodyDiv w:val="1"/>
      <w:marLeft w:val="0"/>
      <w:marRight w:val="0"/>
      <w:marTop w:val="0"/>
      <w:marBottom w:val="0"/>
      <w:divBdr>
        <w:top w:val="none" w:sz="0" w:space="0" w:color="auto"/>
        <w:left w:val="none" w:sz="0" w:space="0" w:color="auto"/>
        <w:bottom w:val="none" w:sz="0" w:space="0" w:color="auto"/>
        <w:right w:val="none" w:sz="0" w:space="0" w:color="auto"/>
      </w:divBdr>
    </w:div>
    <w:div w:id="624849934">
      <w:bodyDiv w:val="1"/>
      <w:marLeft w:val="0"/>
      <w:marRight w:val="0"/>
      <w:marTop w:val="0"/>
      <w:marBottom w:val="0"/>
      <w:divBdr>
        <w:top w:val="none" w:sz="0" w:space="0" w:color="auto"/>
        <w:left w:val="none" w:sz="0" w:space="0" w:color="auto"/>
        <w:bottom w:val="none" w:sz="0" w:space="0" w:color="auto"/>
        <w:right w:val="none" w:sz="0" w:space="0" w:color="auto"/>
      </w:divBdr>
      <w:divsChild>
        <w:div w:id="971983411">
          <w:marLeft w:val="0"/>
          <w:marRight w:val="0"/>
          <w:marTop w:val="0"/>
          <w:marBottom w:val="0"/>
          <w:divBdr>
            <w:top w:val="none" w:sz="0" w:space="0" w:color="auto"/>
            <w:left w:val="none" w:sz="0" w:space="0" w:color="auto"/>
            <w:bottom w:val="none" w:sz="0" w:space="0" w:color="auto"/>
            <w:right w:val="none" w:sz="0" w:space="0" w:color="auto"/>
          </w:divBdr>
          <w:divsChild>
            <w:div w:id="1166283285">
              <w:marLeft w:val="0"/>
              <w:marRight w:val="0"/>
              <w:marTop w:val="0"/>
              <w:marBottom w:val="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83258">
      <w:bodyDiv w:val="1"/>
      <w:marLeft w:val="0"/>
      <w:marRight w:val="0"/>
      <w:marTop w:val="0"/>
      <w:marBottom w:val="0"/>
      <w:divBdr>
        <w:top w:val="none" w:sz="0" w:space="0" w:color="auto"/>
        <w:left w:val="none" w:sz="0" w:space="0" w:color="auto"/>
        <w:bottom w:val="none" w:sz="0" w:space="0" w:color="auto"/>
        <w:right w:val="none" w:sz="0" w:space="0" w:color="auto"/>
      </w:divBdr>
    </w:div>
    <w:div w:id="649557494">
      <w:bodyDiv w:val="1"/>
      <w:marLeft w:val="0"/>
      <w:marRight w:val="0"/>
      <w:marTop w:val="0"/>
      <w:marBottom w:val="0"/>
      <w:divBdr>
        <w:top w:val="none" w:sz="0" w:space="0" w:color="auto"/>
        <w:left w:val="none" w:sz="0" w:space="0" w:color="auto"/>
        <w:bottom w:val="none" w:sz="0" w:space="0" w:color="auto"/>
        <w:right w:val="none" w:sz="0" w:space="0" w:color="auto"/>
      </w:divBdr>
    </w:div>
    <w:div w:id="649796670">
      <w:bodyDiv w:val="1"/>
      <w:marLeft w:val="0"/>
      <w:marRight w:val="0"/>
      <w:marTop w:val="0"/>
      <w:marBottom w:val="0"/>
      <w:divBdr>
        <w:top w:val="none" w:sz="0" w:space="0" w:color="auto"/>
        <w:left w:val="none" w:sz="0" w:space="0" w:color="auto"/>
        <w:bottom w:val="none" w:sz="0" w:space="0" w:color="auto"/>
        <w:right w:val="none" w:sz="0" w:space="0" w:color="auto"/>
      </w:divBdr>
      <w:divsChild>
        <w:div w:id="1934898037">
          <w:marLeft w:val="0"/>
          <w:marRight w:val="0"/>
          <w:marTop w:val="0"/>
          <w:marBottom w:val="0"/>
          <w:divBdr>
            <w:top w:val="none" w:sz="0" w:space="0" w:color="auto"/>
            <w:left w:val="none" w:sz="0" w:space="0" w:color="auto"/>
            <w:bottom w:val="none" w:sz="0" w:space="0" w:color="auto"/>
            <w:right w:val="none" w:sz="0" w:space="0" w:color="auto"/>
          </w:divBdr>
          <w:divsChild>
            <w:div w:id="1028066468">
              <w:marLeft w:val="0"/>
              <w:marRight w:val="0"/>
              <w:marTop w:val="0"/>
              <w:marBottom w:val="0"/>
              <w:divBdr>
                <w:top w:val="none" w:sz="0" w:space="0" w:color="auto"/>
                <w:left w:val="none" w:sz="0" w:space="0" w:color="auto"/>
                <w:bottom w:val="none" w:sz="0" w:space="0" w:color="auto"/>
                <w:right w:val="none" w:sz="0" w:space="0" w:color="auto"/>
              </w:divBdr>
              <w:divsChild>
                <w:div w:id="1440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8668">
      <w:bodyDiv w:val="1"/>
      <w:marLeft w:val="0"/>
      <w:marRight w:val="0"/>
      <w:marTop w:val="0"/>
      <w:marBottom w:val="0"/>
      <w:divBdr>
        <w:top w:val="none" w:sz="0" w:space="0" w:color="auto"/>
        <w:left w:val="none" w:sz="0" w:space="0" w:color="auto"/>
        <w:bottom w:val="none" w:sz="0" w:space="0" w:color="auto"/>
        <w:right w:val="none" w:sz="0" w:space="0" w:color="auto"/>
      </w:divBdr>
      <w:divsChild>
        <w:div w:id="1949000151">
          <w:marLeft w:val="0"/>
          <w:marRight w:val="0"/>
          <w:marTop w:val="0"/>
          <w:marBottom w:val="0"/>
          <w:divBdr>
            <w:top w:val="none" w:sz="0" w:space="0" w:color="auto"/>
            <w:left w:val="none" w:sz="0" w:space="0" w:color="auto"/>
            <w:bottom w:val="none" w:sz="0" w:space="0" w:color="auto"/>
            <w:right w:val="none" w:sz="0" w:space="0" w:color="auto"/>
          </w:divBdr>
          <w:divsChild>
            <w:div w:id="1721199676">
              <w:marLeft w:val="0"/>
              <w:marRight w:val="0"/>
              <w:marTop w:val="0"/>
              <w:marBottom w:val="0"/>
              <w:divBdr>
                <w:top w:val="none" w:sz="0" w:space="0" w:color="auto"/>
                <w:left w:val="none" w:sz="0" w:space="0" w:color="auto"/>
                <w:bottom w:val="none" w:sz="0" w:space="0" w:color="auto"/>
                <w:right w:val="none" w:sz="0" w:space="0" w:color="auto"/>
              </w:divBdr>
              <w:divsChild>
                <w:div w:id="19545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4304">
      <w:bodyDiv w:val="1"/>
      <w:marLeft w:val="0"/>
      <w:marRight w:val="0"/>
      <w:marTop w:val="0"/>
      <w:marBottom w:val="0"/>
      <w:divBdr>
        <w:top w:val="none" w:sz="0" w:space="0" w:color="auto"/>
        <w:left w:val="none" w:sz="0" w:space="0" w:color="auto"/>
        <w:bottom w:val="none" w:sz="0" w:space="0" w:color="auto"/>
        <w:right w:val="none" w:sz="0" w:space="0" w:color="auto"/>
      </w:divBdr>
    </w:div>
    <w:div w:id="680205691">
      <w:bodyDiv w:val="1"/>
      <w:marLeft w:val="0"/>
      <w:marRight w:val="0"/>
      <w:marTop w:val="0"/>
      <w:marBottom w:val="0"/>
      <w:divBdr>
        <w:top w:val="none" w:sz="0" w:space="0" w:color="auto"/>
        <w:left w:val="none" w:sz="0" w:space="0" w:color="auto"/>
        <w:bottom w:val="none" w:sz="0" w:space="0" w:color="auto"/>
        <w:right w:val="none" w:sz="0" w:space="0" w:color="auto"/>
      </w:divBdr>
    </w:div>
    <w:div w:id="684983124">
      <w:bodyDiv w:val="1"/>
      <w:marLeft w:val="0"/>
      <w:marRight w:val="0"/>
      <w:marTop w:val="0"/>
      <w:marBottom w:val="0"/>
      <w:divBdr>
        <w:top w:val="none" w:sz="0" w:space="0" w:color="auto"/>
        <w:left w:val="none" w:sz="0" w:space="0" w:color="auto"/>
        <w:bottom w:val="none" w:sz="0" w:space="0" w:color="auto"/>
        <w:right w:val="none" w:sz="0" w:space="0" w:color="auto"/>
      </w:divBdr>
    </w:div>
    <w:div w:id="689646682">
      <w:bodyDiv w:val="1"/>
      <w:marLeft w:val="0"/>
      <w:marRight w:val="0"/>
      <w:marTop w:val="0"/>
      <w:marBottom w:val="0"/>
      <w:divBdr>
        <w:top w:val="none" w:sz="0" w:space="0" w:color="auto"/>
        <w:left w:val="none" w:sz="0" w:space="0" w:color="auto"/>
        <w:bottom w:val="none" w:sz="0" w:space="0" w:color="auto"/>
        <w:right w:val="none" w:sz="0" w:space="0" w:color="auto"/>
      </w:divBdr>
      <w:divsChild>
        <w:div w:id="963121524">
          <w:marLeft w:val="0"/>
          <w:marRight w:val="0"/>
          <w:marTop w:val="0"/>
          <w:marBottom w:val="0"/>
          <w:divBdr>
            <w:top w:val="none" w:sz="0" w:space="0" w:color="auto"/>
            <w:left w:val="none" w:sz="0" w:space="0" w:color="auto"/>
            <w:bottom w:val="none" w:sz="0" w:space="0" w:color="auto"/>
            <w:right w:val="none" w:sz="0" w:space="0" w:color="auto"/>
          </w:divBdr>
          <w:divsChild>
            <w:div w:id="1901673444">
              <w:marLeft w:val="0"/>
              <w:marRight w:val="0"/>
              <w:marTop w:val="0"/>
              <w:marBottom w:val="0"/>
              <w:divBdr>
                <w:top w:val="none" w:sz="0" w:space="0" w:color="auto"/>
                <w:left w:val="none" w:sz="0" w:space="0" w:color="auto"/>
                <w:bottom w:val="none" w:sz="0" w:space="0" w:color="auto"/>
                <w:right w:val="none" w:sz="0" w:space="0" w:color="auto"/>
              </w:divBdr>
              <w:divsChild>
                <w:div w:id="11830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5365">
      <w:bodyDiv w:val="1"/>
      <w:marLeft w:val="0"/>
      <w:marRight w:val="0"/>
      <w:marTop w:val="0"/>
      <w:marBottom w:val="0"/>
      <w:divBdr>
        <w:top w:val="none" w:sz="0" w:space="0" w:color="auto"/>
        <w:left w:val="none" w:sz="0" w:space="0" w:color="auto"/>
        <w:bottom w:val="none" w:sz="0" w:space="0" w:color="auto"/>
        <w:right w:val="none" w:sz="0" w:space="0" w:color="auto"/>
      </w:divBdr>
    </w:div>
    <w:div w:id="716470415">
      <w:bodyDiv w:val="1"/>
      <w:marLeft w:val="0"/>
      <w:marRight w:val="0"/>
      <w:marTop w:val="0"/>
      <w:marBottom w:val="0"/>
      <w:divBdr>
        <w:top w:val="none" w:sz="0" w:space="0" w:color="auto"/>
        <w:left w:val="none" w:sz="0" w:space="0" w:color="auto"/>
        <w:bottom w:val="none" w:sz="0" w:space="0" w:color="auto"/>
        <w:right w:val="none" w:sz="0" w:space="0" w:color="auto"/>
      </w:divBdr>
      <w:divsChild>
        <w:div w:id="135530494">
          <w:marLeft w:val="0"/>
          <w:marRight w:val="0"/>
          <w:marTop w:val="0"/>
          <w:marBottom w:val="0"/>
          <w:divBdr>
            <w:top w:val="none" w:sz="0" w:space="0" w:color="auto"/>
            <w:left w:val="none" w:sz="0" w:space="0" w:color="auto"/>
            <w:bottom w:val="none" w:sz="0" w:space="0" w:color="auto"/>
            <w:right w:val="none" w:sz="0" w:space="0" w:color="auto"/>
          </w:divBdr>
          <w:divsChild>
            <w:div w:id="2073844259">
              <w:marLeft w:val="0"/>
              <w:marRight w:val="0"/>
              <w:marTop w:val="0"/>
              <w:marBottom w:val="0"/>
              <w:divBdr>
                <w:top w:val="none" w:sz="0" w:space="0" w:color="auto"/>
                <w:left w:val="none" w:sz="0" w:space="0" w:color="auto"/>
                <w:bottom w:val="none" w:sz="0" w:space="0" w:color="auto"/>
                <w:right w:val="none" w:sz="0" w:space="0" w:color="auto"/>
              </w:divBdr>
              <w:divsChild>
                <w:div w:id="413747308">
                  <w:marLeft w:val="0"/>
                  <w:marRight w:val="0"/>
                  <w:marTop w:val="0"/>
                  <w:marBottom w:val="0"/>
                  <w:divBdr>
                    <w:top w:val="none" w:sz="0" w:space="0" w:color="auto"/>
                    <w:left w:val="none" w:sz="0" w:space="0" w:color="auto"/>
                    <w:bottom w:val="none" w:sz="0" w:space="0" w:color="auto"/>
                    <w:right w:val="none" w:sz="0" w:space="0" w:color="auto"/>
                  </w:divBdr>
                  <w:divsChild>
                    <w:div w:id="2505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12233">
      <w:bodyDiv w:val="1"/>
      <w:marLeft w:val="0"/>
      <w:marRight w:val="0"/>
      <w:marTop w:val="0"/>
      <w:marBottom w:val="0"/>
      <w:divBdr>
        <w:top w:val="none" w:sz="0" w:space="0" w:color="auto"/>
        <w:left w:val="none" w:sz="0" w:space="0" w:color="auto"/>
        <w:bottom w:val="none" w:sz="0" w:space="0" w:color="auto"/>
        <w:right w:val="none" w:sz="0" w:space="0" w:color="auto"/>
      </w:divBdr>
    </w:div>
    <w:div w:id="729887084">
      <w:bodyDiv w:val="1"/>
      <w:marLeft w:val="0"/>
      <w:marRight w:val="0"/>
      <w:marTop w:val="0"/>
      <w:marBottom w:val="0"/>
      <w:divBdr>
        <w:top w:val="none" w:sz="0" w:space="0" w:color="auto"/>
        <w:left w:val="none" w:sz="0" w:space="0" w:color="auto"/>
        <w:bottom w:val="none" w:sz="0" w:space="0" w:color="auto"/>
        <w:right w:val="none" w:sz="0" w:space="0" w:color="auto"/>
      </w:divBdr>
      <w:divsChild>
        <w:div w:id="3635903">
          <w:marLeft w:val="0"/>
          <w:marRight w:val="0"/>
          <w:marTop w:val="0"/>
          <w:marBottom w:val="0"/>
          <w:divBdr>
            <w:top w:val="none" w:sz="0" w:space="0" w:color="auto"/>
            <w:left w:val="none" w:sz="0" w:space="0" w:color="auto"/>
            <w:bottom w:val="none" w:sz="0" w:space="0" w:color="auto"/>
            <w:right w:val="none" w:sz="0" w:space="0" w:color="auto"/>
          </w:divBdr>
          <w:divsChild>
            <w:div w:id="524097481">
              <w:marLeft w:val="0"/>
              <w:marRight w:val="0"/>
              <w:marTop w:val="0"/>
              <w:marBottom w:val="0"/>
              <w:divBdr>
                <w:top w:val="none" w:sz="0" w:space="0" w:color="auto"/>
                <w:left w:val="none" w:sz="0" w:space="0" w:color="auto"/>
                <w:bottom w:val="none" w:sz="0" w:space="0" w:color="auto"/>
                <w:right w:val="none" w:sz="0" w:space="0" w:color="auto"/>
              </w:divBdr>
              <w:divsChild>
                <w:div w:id="15285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1282">
      <w:bodyDiv w:val="1"/>
      <w:marLeft w:val="0"/>
      <w:marRight w:val="0"/>
      <w:marTop w:val="0"/>
      <w:marBottom w:val="0"/>
      <w:divBdr>
        <w:top w:val="none" w:sz="0" w:space="0" w:color="auto"/>
        <w:left w:val="none" w:sz="0" w:space="0" w:color="auto"/>
        <w:bottom w:val="none" w:sz="0" w:space="0" w:color="auto"/>
        <w:right w:val="none" w:sz="0" w:space="0" w:color="auto"/>
      </w:divBdr>
      <w:divsChild>
        <w:div w:id="733428835">
          <w:marLeft w:val="0"/>
          <w:marRight w:val="0"/>
          <w:marTop w:val="0"/>
          <w:marBottom w:val="0"/>
          <w:divBdr>
            <w:top w:val="none" w:sz="0" w:space="0" w:color="auto"/>
            <w:left w:val="none" w:sz="0" w:space="0" w:color="auto"/>
            <w:bottom w:val="none" w:sz="0" w:space="0" w:color="auto"/>
            <w:right w:val="none" w:sz="0" w:space="0" w:color="auto"/>
          </w:divBdr>
          <w:divsChild>
            <w:div w:id="2134859343">
              <w:marLeft w:val="0"/>
              <w:marRight w:val="0"/>
              <w:marTop w:val="0"/>
              <w:marBottom w:val="0"/>
              <w:divBdr>
                <w:top w:val="none" w:sz="0" w:space="0" w:color="auto"/>
                <w:left w:val="none" w:sz="0" w:space="0" w:color="auto"/>
                <w:bottom w:val="none" w:sz="0" w:space="0" w:color="auto"/>
                <w:right w:val="none" w:sz="0" w:space="0" w:color="auto"/>
              </w:divBdr>
              <w:divsChild>
                <w:div w:id="13571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7868">
      <w:bodyDiv w:val="1"/>
      <w:marLeft w:val="0"/>
      <w:marRight w:val="0"/>
      <w:marTop w:val="0"/>
      <w:marBottom w:val="0"/>
      <w:divBdr>
        <w:top w:val="none" w:sz="0" w:space="0" w:color="auto"/>
        <w:left w:val="none" w:sz="0" w:space="0" w:color="auto"/>
        <w:bottom w:val="none" w:sz="0" w:space="0" w:color="auto"/>
        <w:right w:val="none" w:sz="0" w:space="0" w:color="auto"/>
      </w:divBdr>
      <w:divsChild>
        <w:div w:id="265309154">
          <w:marLeft w:val="0"/>
          <w:marRight w:val="0"/>
          <w:marTop w:val="0"/>
          <w:marBottom w:val="0"/>
          <w:divBdr>
            <w:top w:val="none" w:sz="0" w:space="0" w:color="auto"/>
            <w:left w:val="none" w:sz="0" w:space="0" w:color="auto"/>
            <w:bottom w:val="none" w:sz="0" w:space="0" w:color="auto"/>
            <w:right w:val="none" w:sz="0" w:space="0" w:color="auto"/>
          </w:divBdr>
          <w:divsChild>
            <w:div w:id="1825005125">
              <w:marLeft w:val="0"/>
              <w:marRight w:val="0"/>
              <w:marTop w:val="0"/>
              <w:marBottom w:val="0"/>
              <w:divBdr>
                <w:top w:val="none" w:sz="0" w:space="0" w:color="auto"/>
                <w:left w:val="none" w:sz="0" w:space="0" w:color="auto"/>
                <w:bottom w:val="none" w:sz="0" w:space="0" w:color="auto"/>
                <w:right w:val="none" w:sz="0" w:space="0" w:color="auto"/>
              </w:divBdr>
              <w:divsChild>
                <w:div w:id="13207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1940">
      <w:bodyDiv w:val="1"/>
      <w:marLeft w:val="0"/>
      <w:marRight w:val="0"/>
      <w:marTop w:val="0"/>
      <w:marBottom w:val="0"/>
      <w:divBdr>
        <w:top w:val="none" w:sz="0" w:space="0" w:color="auto"/>
        <w:left w:val="none" w:sz="0" w:space="0" w:color="auto"/>
        <w:bottom w:val="none" w:sz="0" w:space="0" w:color="auto"/>
        <w:right w:val="none" w:sz="0" w:space="0" w:color="auto"/>
      </w:divBdr>
    </w:div>
    <w:div w:id="790587076">
      <w:bodyDiv w:val="1"/>
      <w:marLeft w:val="0"/>
      <w:marRight w:val="0"/>
      <w:marTop w:val="0"/>
      <w:marBottom w:val="0"/>
      <w:divBdr>
        <w:top w:val="none" w:sz="0" w:space="0" w:color="auto"/>
        <w:left w:val="none" w:sz="0" w:space="0" w:color="auto"/>
        <w:bottom w:val="none" w:sz="0" w:space="0" w:color="auto"/>
        <w:right w:val="none" w:sz="0" w:space="0" w:color="auto"/>
      </w:divBdr>
    </w:div>
    <w:div w:id="796533351">
      <w:bodyDiv w:val="1"/>
      <w:marLeft w:val="0"/>
      <w:marRight w:val="0"/>
      <w:marTop w:val="0"/>
      <w:marBottom w:val="0"/>
      <w:divBdr>
        <w:top w:val="none" w:sz="0" w:space="0" w:color="auto"/>
        <w:left w:val="none" w:sz="0" w:space="0" w:color="auto"/>
        <w:bottom w:val="none" w:sz="0" w:space="0" w:color="auto"/>
        <w:right w:val="none" w:sz="0" w:space="0" w:color="auto"/>
      </w:divBdr>
    </w:div>
    <w:div w:id="798691491">
      <w:bodyDiv w:val="1"/>
      <w:marLeft w:val="0"/>
      <w:marRight w:val="0"/>
      <w:marTop w:val="0"/>
      <w:marBottom w:val="0"/>
      <w:divBdr>
        <w:top w:val="none" w:sz="0" w:space="0" w:color="auto"/>
        <w:left w:val="none" w:sz="0" w:space="0" w:color="auto"/>
        <w:bottom w:val="none" w:sz="0" w:space="0" w:color="auto"/>
        <w:right w:val="none" w:sz="0" w:space="0" w:color="auto"/>
      </w:divBdr>
      <w:divsChild>
        <w:div w:id="1495147207">
          <w:marLeft w:val="0"/>
          <w:marRight w:val="0"/>
          <w:marTop w:val="0"/>
          <w:marBottom w:val="0"/>
          <w:divBdr>
            <w:top w:val="none" w:sz="0" w:space="0" w:color="auto"/>
            <w:left w:val="none" w:sz="0" w:space="0" w:color="auto"/>
            <w:bottom w:val="none" w:sz="0" w:space="0" w:color="auto"/>
            <w:right w:val="none" w:sz="0" w:space="0" w:color="auto"/>
          </w:divBdr>
          <w:divsChild>
            <w:div w:id="1443764335">
              <w:marLeft w:val="0"/>
              <w:marRight w:val="0"/>
              <w:marTop w:val="0"/>
              <w:marBottom w:val="0"/>
              <w:divBdr>
                <w:top w:val="none" w:sz="0" w:space="0" w:color="auto"/>
                <w:left w:val="none" w:sz="0" w:space="0" w:color="auto"/>
                <w:bottom w:val="none" w:sz="0" w:space="0" w:color="auto"/>
                <w:right w:val="none" w:sz="0" w:space="0" w:color="auto"/>
              </w:divBdr>
              <w:divsChild>
                <w:div w:id="18405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13216">
      <w:bodyDiv w:val="1"/>
      <w:marLeft w:val="0"/>
      <w:marRight w:val="0"/>
      <w:marTop w:val="0"/>
      <w:marBottom w:val="0"/>
      <w:divBdr>
        <w:top w:val="none" w:sz="0" w:space="0" w:color="auto"/>
        <w:left w:val="none" w:sz="0" w:space="0" w:color="auto"/>
        <w:bottom w:val="none" w:sz="0" w:space="0" w:color="auto"/>
        <w:right w:val="none" w:sz="0" w:space="0" w:color="auto"/>
      </w:divBdr>
    </w:div>
    <w:div w:id="825626383">
      <w:bodyDiv w:val="1"/>
      <w:marLeft w:val="0"/>
      <w:marRight w:val="0"/>
      <w:marTop w:val="0"/>
      <w:marBottom w:val="0"/>
      <w:divBdr>
        <w:top w:val="none" w:sz="0" w:space="0" w:color="auto"/>
        <w:left w:val="none" w:sz="0" w:space="0" w:color="auto"/>
        <w:bottom w:val="none" w:sz="0" w:space="0" w:color="auto"/>
        <w:right w:val="none" w:sz="0" w:space="0" w:color="auto"/>
      </w:divBdr>
    </w:div>
    <w:div w:id="838039435">
      <w:bodyDiv w:val="1"/>
      <w:marLeft w:val="0"/>
      <w:marRight w:val="0"/>
      <w:marTop w:val="0"/>
      <w:marBottom w:val="0"/>
      <w:divBdr>
        <w:top w:val="none" w:sz="0" w:space="0" w:color="auto"/>
        <w:left w:val="none" w:sz="0" w:space="0" w:color="auto"/>
        <w:bottom w:val="none" w:sz="0" w:space="0" w:color="auto"/>
        <w:right w:val="none" w:sz="0" w:space="0" w:color="auto"/>
      </w:divBdr>
    </w:div>
    <w:div w:id="846214662">
      <w:bodyDiv w:val="1"/>
      <w:marLeft w:val="0"/>
      <w:marRight w:val="0"/>
      <w:marTop w:val="0"/>
      <w:marBottom w:val="0"/>
      <w:divBdr>
        <w:top w:val="none" w:sz="0" w:space="0" w:color="auto"/>
        <w:left w:val="none" w:sz="0" w:space="0" w:color="auto"/>
        <w:bottom w:val="none" w:sz="0" w:space="0" w:color="auto"/>
        <w:right w:val="none" w:sz="0" w:space="0" w:color="auto"/>
      </w:divBdr>
      <w:divsChild>
        <w:div w:id="1255474374">
          <w:marLeft w:val="0"/>
          <w:marRight w:val="0"/>
          <w:marTop w:val="0"/>
          <w:marBottom w:val="0"/>
          <w:divBdr>
            <w:top w:val="none" w:sz="0" w:space="0" w:color="auto"/>
            <w:left w:val="none" w:sz="0" w:space="0" w:color="auto"/>
            <w:bottom w:val="none" w:sz="0" w:space="0" w:color="auto"/>
            <w:right w:val="none" w:sz="0" w:space="0" w:color="auto"/>
          </w:divBdr>
          <w:divsChild>
            <w:div w:id="2002391320">
              <w:marLeft w:val="0"/>
              <w:marRight w:val="0"/>
              <w:marTop w:val="0"/>
              <w:marBottom w:val="0"/>
              <w:divBdr>
                <w:top w:val="none" w:sz="0" w:space="0" w:color="auto"/>
                <w:left w:val="none" w:sz="0" w:space="0" w:color="auto"/>
                <w:bottom w:val="none" w:sz="0" w:space="0" w:color="auto"/>
                <w:right w:val="none" w:sz="0" w:space="0" w:color="auto"/>
              </w:divBdr>
              <w:divsChild>
                <w:div w:id="7651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7664">
      <w:bodyDiv w:val="1"/>
      <w:marLeft w:val="0"/>
      <w:marRight w:val="0"/>
      <w:marTop w:val="0"/>
      <w:marBottom w:val="0"/>
      <w:divBdr>
        <w:top w:val="none" w:sz="0" w:space="0" w:color="auto"/>
        <w:left w:val="none" w:sz="0" w:space="0" w:color="auto"/>
        <w:bottom w:val="none" w:sz="0" w:space="0" w:color="auto"/>
        <w:right w:val="none" w:sz="0" w:space="0" w:color="auto"/>
      </w:divBdr>
    </w:div>
    <w:div w:id="859315564">
      <w:bodyDiv w:val="1"/>
      <w:marLeft w:val="0"/>
      <w:marRight w:val="0"/>
      <w:marTop w:val="0"/>
      <w:marBottom w:val="0"/>
      <w:divBdr>
        <w:top w:val="none" w:sz="0" w:space="0" w:color="auto"/>
        <w:left w:val="none" w:sz="0" w:space="0" w:color="auto"/>
        <w:bottom w:val="none" w:sz="0" w:space="0" w:color="auto"/>
        <w:right w:val="none" w:sz="0" w:space="0" w:color="auto"/>
      </w:divBdr>
    </w:div>
    <w:div w:id="861475456">
      <w:bodyDiv w:val="1"/>
      <w:marLeft w:val="0"/>
      <w:marRight w:val="0"/>
      <w:marTop w:val="0"/>
      <w:marBottom w:val="0"/>
      <w:divBdr>
        <w:top w:val="none" w:sz="0" w:space="0" w:color="auto"/>
        <w:left w:val="none" w:sz="0" w:space="0" w:color="auto"/>
        <w:bottom w:val="none" w:sz="0" w:space="0" w:color="auto"/>
        <w:right w:val="none" w:sz="0" w:space="0" w:color="auto"/>
      </w:divBdr>
    </w:div>
    <w:div w:id="863329143">
      <w:bodyDiv w:val="1"/>
      <w:marLeft w:val="0"/>
      <w:marRight w:val="0"/>
      <w:marTop w:val="0"/>
      <w:marBottom w:val="0"/>
      <w:divBdr>
        <w:top w:val="none" w:sz="0" w:space="0" w:color="auto"/>
        <w:left w:val="none" w:sz="0" w:space="0" w:color="auto"/>
        <w:bottom w:val="none" w:sz="0" w:space="0" w:color="auto"/>
        <w:right w:val="none" w:sz="0" w:space="0" w:color="auto"/>
      </w:divBdr>
      <w:divsChild>
        <w:div w:id="952395297">
          <w:marLeft w:val="0"/>
          <w:marRight w:val="0"/>
          <w:marTop w:val="0"/>
          <w:marBottom w:val="0"/>
          <w:divBdr>
            <w:top w:val="none" w:sz="0" w:space="0" w:color="auto"/>
            <w:left w:val="none" w:sz="0" w:space="0" w:color="auto"/>
            <w:bottom w:val="none" w:sz="0" w:space="0" w:color="auto"/>
            <w:right w:val="none" w:sz="0" w:space="0" w:color="auto"/>
          </w:divBdr>
          <w:divsChild>
            <w:div w:id="2132622749">
              <w:marLeft w:val="0"/>
              <w:marRight w:val="0"/>
              <w:marTop w:val="0"/>
              <w:marBottom w:val="0"/>
              <w:divBdr>
                <w:top w:val="none" w:sz="0" w:space="0" w:color="auto"/>
                <w:left w:val="none" w:sz="0" w:space="0" w:color="auto"/>
                <w:bottom w:val="none" w:sz="0" w:space="0" w:color="auto"/>
                <w:right w:val="none" w:sz="0" w:space="0" w:color="auto"/>
              </w:divBdr>
              <w:divsChild>
                <w:div w:id="14555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6041">
      <w:bodyDiv w:val="1"/>
      <w:marLeft w:val="0"/>
      <w:marRight w:val="0"/>
      <w:marTop w:val="0"/>
      <w:marBottom w:val="0"/>
      <w:divBdr>
        <w:top w:val="none" w:sz="0" w:space="0" w:color="auto"/>
        <w:left w:val="none" w:sz="0" w:space="0" w:color="auto"/>
        <w:bottom w:val="none" w:sz="0" w:space="0" w:color="auto"/>
        <w:right w:val="none" w:sz="0" w:space="0" w:color="auto"/>
      </w:divBdr>
      <w:divsChild>
        <w:div w:id="1493330629">
          <w:marLeft w:val="0"/>
          <w:marRight w:val="0"/>
          <w:marTop w:val="0"/>
          <w:marBottom w:val="0"/>
          <w:divBdr>
            <w:top w:val="none" w:sz="0" w:space="0" w:color="auto"/>
            <w:left w:val="none" w:sz="0" w:space="0" w:color="auto"/>
            <w:bottom w:val="none" w:sz="0" w:space="0" w:color="auto"/>
            <w:right w:val="none" w:sz="0" w:space="0" w:color="auto"/>
          </w:divBdr>
          <w:divsChild>
            <w:div w:id="713969929">
              <w:marLeft w:val="0"/>
              <w:marRight w:val="0"/>
              <w:marTop w:val="0"/>
              <w:marBottom w:val="0"/>
              <w:divBdr>
                <w:top w:val="none" w:sz="0" w:space="0" w:color="auto"/>
                <w:left w:val="none" w:sz="0" w:space="0" w:color="auto"/>
                <w:bottom w:val="none" w:sz="0" w:space="0" w:color="auto"/>
                <w:right w:val="none" w:sz="0" w:space="0" w:color="auto"/>
              </w:divBdr>
              <w:divsChild>
                <w:div w:id="2057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35851">
      <w:bodyDiv w:val="1"/>
      <w:marLeft w:val="0"/>
      <w:marRight w:val="0"/>
      <w:marTop w:val="0"/>
      <w:marBottom w:val="0"/>
      <w:divBdr>
        <w:top w:val="none" w:sz="0" w:space="0" w:color="auto"/>
        <w:left w:val="none" w:sz="0" w:space="0" w:color="auto"/>
        <w:bottom w:val="none" w:sz="0" w:space="0" w:color="auto"/>
        <w:right w:val="none" w:sz="0" w:space="0" w:color="auto"/>
      </w:divBdr>
    </w:div>
    <w:div w:id="917248471">
      <w:bodyDiv w:val="1"/>
      <w:marLeft w:val="0"/>
      <w:marRight w:val="0"/>
      <w:marTop w:val="0"/>
      <w:marBottom w:val="0"/>
      <w:divBdr>
        <w:top w:val="none" w:sz="0" w:space="0" w:color="auto"/>
        <w:left w:val="none" w:sz="0" w:space="0" w:color="auto"/>
        <w:bottom w:val="none" w:sz="0" w:space="0" w:color="auto"/>
        <w:right w:val="none" w:sz="0" w:space="0" w:color="auto"/>
      </w:divBdr>
    </w:div>
    <w:div w:id="924385873">
      <w:bodyDiv w:val="1"/>
      <w:marLeft w:val="0"/>
      <w:marRight w:val="0"/>
      <w:marTop w:val="0"/>
      <w:marBottom w:val="0"/>
      <w:divBdr>
        <w:top w:val="none" w:sz="0" w:space="0" w:color="auto"/>
        <w:left w:val="none" w:sz="0" w:space="0" w:color="auto"/>
        <w:bottom w:val="none" w:sz="0" w:space="0" w:color="auto"/>
        <w:right w:val="none" w:sz="0" w:space="0" w:color="auto"/>
      </w:divBdr>
    </w:div>
    <w:div w:id="963465905">
      <w:bodyDiv w:val="1"/>
      <w:marLeft w:val="0"/>
      <w:marRight w:val="0"/>
      <w:marTop w:val="0"/>
      <w:marBottom w:val="0"/>
      <w:divBdr>
        <w:top w:val="none" w:sz="0" w:space="0" w:color="auto"/>
        <w:left w:val="none" w:sz="0" w:space="0" w:color="auto"/>
        <w:bottom w:val="none" w:sz="0" w:space="0" w:color="auto"/>
        <w:right w:val="none" w:sz="0" w:space="0" w:color="auto"/>
      </w:divBdr>
      <w:divsChild>
        <w:div w:id="435096415">
          <w:marLeft w:val="0"/>
          <w:marRight w:val="0"/>
          <w:marTop w:val="0"/>
          <w:marBottom w:val="0"/>
          <w:divBdr>
            <w:top w:val="none" w:sz="0" w:space="0" w:color="auto"/>
            <w:left w:val="none" w:sz="0" w:space="0" w:color="auto"/>
            <w:bottom w:val="none" w:sz="0" w:space="0" w:color="auto"/>
            <w:right w:val="none" w:sz="0" w:space="0" w:color="auto"/>
          </w:divBdr>
          <w:divsChild>
            <w:div w:id="260996352">
              <w:marLeft w:val="0"/>
              <w:marRight w:val="0"/>
              <w:marTop w:val="0"/>
              <w:marBottom w:val="0"/>
              <w:divBdr>
                <w:top w:val="none" w:sz="0" w:space="0" w:color="auto"/>
                <w:left w:val="none" w:sz="0" w:space="0" w:color="auto"/>
                <w:bottom w:val="none" w:sz="0" w:space="0" w:color="auto"/>
                <w:right w:val="none" w:sz="0" w:space="0" w:color="auto"/>
              </w:divBdr>
              <w:divsChild>
                <w:div w:id="667251997">
                  <w:marLeft w:val="0"/>
                  <w:marRight w:val="0"/>
                  <w:marTop w:val="0"/>
                  <w:marBottom w:val="0"/>
                  <w:divBdr>
                    <w:top w:val="none" w:sz="0" w:space="0" w:color="auto"/>
                    <w:left w:val="none" w:sz="0" w:space="0" w:color="auto"/>
                    <w:bottom w:val="none" w:sz="0" w:space="0" w:color="auto"/>
                    <w:right w:val="none" w:sz="0" w:space="0" w:color="auto"/>
                  </w:divBdr>
                  <w:divsChild>
                    <w:div w:id="1828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97413">
      <w:bodyDiv w:val="1"/>
      <w:marLeft w:val="0"/>
      <w:marRight w:val="0"/>
      <w:marTop w:val="0"/>
      <w:marBottom w:val="0"/>
      <w:divBdr>
        <w:top w:val="none" w:sz="0" w:space="0" w:color="auto"/>
        <w:left w:val="none" w:sz="0" w:space="0" w:color="auto"/>
        <w:bottom w:val="none" w:sz="0" w:space="0" w:color="auto"/>
        <w:right w:val="none" w:sz="0" w:space="0" w:color="auto"/>
      </w:divBdr>
    </w:div>
    <w:div w:id="990210191">
      <w:bodyDiv w:val="1"/>
      <w:marLeft w:val="0"/>
      <w:marRight w:val="0"/>
      <w:marTop w:val="0"/>
      <w:marBottom w:val="0"/>
      <w:divBdr>
        <w:top w:val="none" w:sz="0" w:space="0" w:color="auto"/>
        <w:left w:val="none" w:sz="0" w:space="0" w:color="auto"/>
        <w:bottom w:val="none" w:sz="0" w:space="0" w:color="auto"/>
        <w:right w:val="none" w:sz="0" w:space="0" w:color="auto"/>
      </w:divBdr>
      <w:divsChild>
        <w:div w:id="1860698757">
          <w:marLeft w:val="0"/>
          <w:marRight w:val="0"/>
          <w:marTop w:val="0"/>
          <w:marBottom w:val="0"/>
          <w:divBdr>
            <w:top w:val="none" w:sz="0" w:space="0" w:color="auto"/>
            <w:left w:val="none" w:sz="0" w:space="0" w:color="auto"/>
            <w:bottom w:val="none" w:sz="0" w:space="0" w:color="auto"/>
            <w:right w:val="none" w:sz="0" w:space="0" w:color="auto"/>
          </w:divBdr>
          <w:divsChild>
            <w:div w:id="1114986341">
              <w:marLeft w:val="0"/>
              <w:marRight w:val="0"/>
              <w:marTop w:val="0"/>
              <w:marBottom w:val="0"/>
              <w:divBdr>
                <w:top w:val="none" w:sz="0" w:space="0" w:color="auto"/>
                <w:left w:val="none" w:sz="0" w:space="0" w:color="auto"/>
                <w:bottom w:val="none" w:sz="0" w:space="0" w:color="auto"/>
                <w:right w:val="none" w:sz="0" w:space="0" w:color="auto"/>
              </w:divBdr>
              <w:divsChild>
                <w:div w:id="272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01519">
      <w:bodyDiv w:val="1"/>
      <w:marLeft w:val="0"/>
      <w:marRight w:val="0"/>
      <w:marTop w:val="0"/>
      <w:marBottom w:val="0"/>
      <w:divBdr>
        <w:top w:val="none" w:sz="0" w:space="0" w:color="auto"/>
        <w:left w:val="none" w:sz="0" w:space="0" w:color="auto"/>
        <w:bottom w:val="none" w:sz="0" w:space="0" w:color="auto"/>
        <w:right w:val="none" w:sz="0" w:space="0" w:color="auto"/>
      </w:divBdr>
    </w:div>
    <w:div w:id="1000541049">
      <w:bodyDiv w:val="1"/>
      <w:marLeft w:val="0"/>
      <w:marRight w:val="0"/>
      <w:marTop w:val="0"/>
      <w:marBottom w:val="0"/>
      <w:divBdr>
        <w:top w:val="none" w:sz="0" w:space="0" w:color="auto"/>
        <w:left w:val="none" w:sz="0" w:space="0" w:color="auto"/>
        <w:bottom w:val="none" w:sz="0" w:space="0" w:color="auto"/>
        <w:right w:val="none" w:sz="0" w:space="0" w:color="auto"/>
      </w:divBdr>
      <w:divsChild>
        <w:div w:id="1335766601">
          <w:marLeft w:val="0"/>
          <w:marRight w:val="0"/>
          <w:marTop w:val="0"/>
          <w:marBottom w:val="0"/>
          <w:divBdr>
            <w:top w:val="none" w:sz="0" w:space="0" w:color="auto"/>
            <w:left w:val="none" w:sz="0" w:space="0" w:color="auto"/>
            <w:bottom w:val="none" w:sz="0" w:space="0" w:color="auto"/>
            <w:right w:val="none" w:sz="0" w:space="0" w:color="auto"/>
          </w:divBdr>
          <w:divsChild>
            <w:div w:id="1459494669">
              <w:marLeft w:val="0"/>
              <w:marRight w:val="0"/>
              <w:marTop w:val="0"/>
              <w:marBottom w:val="0"/>
              <w:divBdr>
                <w:top w:val="none" w:sz="0" w:space="0" w:color="auto"/>
                <w:left w:val="none" w:sz="0" w:space="0" w:color="auto"/>
                <w:bottom w:val="none" w:sz="0" w:space="0" w:color="auto"/>
                <w:right w:val="none" w:sz="0" w:space="0" w:color="auto"/>
              </w:divBdr>
              <w:divsChild>
                <w:div w:id="55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17923">
      <w:bodyDiv w:val="1"/>
      <w:marLeft w:val="0"/>
      <w:marRight w:val="0"/>
      <w:marTop w:val="0"/>
      <w:marBottom w:val="0"/>
      <w:divBdr>
        <w:top w:val="none" w:sz="0" w:space="0" w:color="auto"/>
        <w:left w:val="none" w:sz="0" w:space="0" w:color="auto"/>
        <w:bottom w:val="none" w:sz="0" w:space="0" w:color="auto"/>
        <w:right w:val="none" w:sz="0" w:space="0" w:color="auto"/>
      </w:divBdr>
    </w:div>
    <w:div w:id="1004895800">
      <w:bodyDiv w:val="1"/>
      <w:marLeft w:val="0"/>
      <w:marRight w:val="0"/>
      <w:marTop w:val="0"/>
      <w:marBottom w:val="0"/>
      <w:divBdr>
        <w:top w:val="none" w:sz="0" w:space="0" w:color="auto"/>
        <w:left w:val="none" w:sz="0" w:space="0" w:color="auto"/>
        <w:bottom w:val="none" w:sz="0" w:space="0" w:color="auto"/>
        <w:right w:val="none" w:sz="0" w:space="0" w:color="auto"/>
      </w:divBdr>
    </w:div>
    <w:div w:id="1043288556">
      <w:bodyDiv w:val="1"/>
      <w:marLeft w:val="0"/>
      <w:marRight w:val="0"/>
      <w:marTop w:val="0"/>
      <w:marBottom w:val="0"/>
      <w:divBdr>
        <w:top w:val="none" w:sz="0" w:space="0" w:color="auto"/>
        <w:left w:val="none" w:sz="0" w:space="0" w:color="auto"/>
        <w:bottom w:val="none" w:sz="0" w:space="0" w:color="auto"/>
        <w:right w:val="none" w:sz="0" w:space="0" w:color="auto"/>
      </w:divBdr>
      <w:divsChild>
        <w:div w:id="2049408677">
          <w:marLeft w:val="0"/>
          <w:marRight w:val="0"/>
          <w:marTop w:val="0"/>
          <w:marBottom w:val="0"/>
          <w:divBdr>
            <w:top w:val="none" w:sz="0" w:space="0" w:color="auto"/>
            <w:left w:val="none" w:sz="0" w:space="0" w:color="auto"/>
            <w:bottom w:val="none" w:sz="0" w:space="0" w:color="auto"/>
            <w:right w:val="none" w:sz="0" w:space="0" w:color="auto"/>
          </w:divBdr>
          <w:divsChild>
            <w:div w:id="651955938">
              <w:marLeft w:val="0"/>
              <w:marRight w:val="0"/>
              <w:marTop w:val="0"/>
              <w:marBottom w:val="0"/>
              <w:divBdr>
                <w:top w:val="none" w:sz="0" w:space="0" w:color="auto"/>
                <w:left w:val="none" w:sz="0" w:space="0" w:color="auto"/>
                <w:bottom w:val="none" w:sz="0" w:space="0" w:color="auto"/>
                <w:right w:val="none" w:sz="0" w:space="0" w:color="auto"/>
              </w:divBdr>
              <w:divsChild>
                <w:div w:id="181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4928">
      <w:bodyDiv w:val="1"/>
      <w:marLeft w:val="0"/>
      <w:marRight w:val="0"/>
      <w:marTop w:val="0"/>
      <w:marBottom w:val="0"/>
      <w:divBdr>
        <w:top w:val="none" w:sz="0" w:space="0" w:color="auto"/>
        <w:left w:val="none" w:sz="0" w:space="0" w:color="auto"/>
        <w:bottom w:val="none" w:sz="0" w:space="0" w:color="auto"/>
        <w:right w:val="none" w:sz="0" w:space="0" w:color="auto"/>
      </w:divBdr>
      <w:divsChild>
        <w:div w:id="1778216345">
          <w:marLeft w:val="0"/>
          <w:marRight w:val="0"/>
          <w:marTop w:val="0"/>
          <w:marBottom w:val="0"/>
          <w:divBdr>
            <w:top w:val="none" w:sz="0" w:space="0" w:color="auto"/>
            <w:left w:val="none" w:sz="0" w:space="0" w:color="auto"/>
            <w:bottom w:val="none" w:sz="0" w:space="0" w:color="auto"/>
            <w:right w:val="none" w:sz="0" w:space="0" w:color="auto"/>
          </w:divBdr>
          <w:divsChild>
            <w:div w:id="1224440583">
              <w:marLeft w:val="0"/>
              <w:marRight w:val="0"/>
              <w:marTop w:val="0"/>
              <w:marBottom w:val="0"/>
              <w:divBdr>
                <w:top w:val="none" w:sz="0" w:space="0" w:color="auto"/>
                <w:left w:val="none" w:sz="0" w:space="0" w:color="auto"/>
                <w:bottom w:val="none" w:sz="0" w:space="0" w:color="auto"/>
                <w:right w:val="none" w:sz="0" w:space="0" w:color="auto"/>
              </w:divBdr>
              <w:divsChild>
                <w:div w:id="12875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80442">
      <w:bodyDiv w:val="1"/>
      <w:marLeft w:val="0"/>
      <w:marRight w:val="0"/>
      <w:marTop w:val="0"/>
      <w:marBottom w:val="0"/>
      <w:divBdr>
        <w:top w:val="none" w:sz="0" w:space="0" w:color="auto"/>
        <w:left w:val="none" w:sz="0" w:space="0" w:color="auto"/>
        <w:bottom w:val="none" w:sz="0" w:space="0" w:color="auto"/>
        <w:right w:val="none" w:sz="0" w:space="0" w:color="auto"/>
      </w:divBdr>
      <w:divsChild>
        <w:div w:id="1240679887">
          <w:marLeft w:val="0"/>
          <w:marRight w:val="0"/>
          <w:marTop w:val="0"/>
          <w:marBottom w:val="0"/>
          <w:divBdr>
            <w:top w:val="none" w:sz="0" w:space="0" w:color="auto"/>
            <w:left w:val="none" w:sz="0" w:space="0" w:color="auto"/>
            <w:bottom w:val="none" w:sz="0" w:space="0" w:color="auto"/>
            <w:right w:val="none" w:sz="0" w:space="0" w:color="auto"/>
          </w:divBdr>
          <w:divsChild>
            <w:div w:id="1415474379">
              <w:marLeft w:val="0"/>
              <w:marRight w:val="0"/>
              <w:marTop w:val="0"/>
              <w:marBottom w:val="0"/>
              <w:divBdr>
                <w:top w:val="none" w:sz="0" w:space="0" w:color="auto"/>
                <w:left w:val="none" w:sz="0" w:space="0" w:color="auto"/>
                <w:bottom w:val="none" w:sz="0" w:space="0" w:color="auto"/>
                <w:right w:val="none" w:sz="0" w:space="0" w:color="auto"/>
              </w:divBdr>
              <w:divsChild>
                <w:div w:id="478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4903">
      <w:bodyDiv w:val="1"/>
      <w:marLeft w:val="0"/>
      <w:marRight w:val="0"/>
      <w:marTop w:val="0"/>
      <w:marBottom w:val="0"/>
      <w:divBdr>
        <w:top w:val="none" w:sz="0" w:space="0" w:color="auto"/>
        <w:left w:val="none" w:sz="0" w:space="0" w:color="auto"/>
        <w:bottom w:val="none" w:sz="0" w:space="0" w:color="auto"/>
        <w:right w:val="none" w:sz="0" w:space="0" w:color="auto"/>
      </w:divBdr>
    </w:div>
    <w:div w:id="1115902038">
      <w:bodyDiv w:val="1"/>
      <w:marLeft w:val="0"/>
      <w:marRight w:val="0"/>
      <w:marTop w:val="0"/>
      <w:marBottom w:val="0"/>
      <w:divBdr>
        <w:top w:val="none" w:sz="0" w:space="0" w:color="auto"/>
        <w:left w:val="none" w:sz="0" w:space="0" w:color="auto"/>
        <w:bottom w:val="none" w:sz="0" w:space="0" w:color="auto"/>
        <w:right w:val="none" w:sz="0" w:space="0" w:color="auto"/>
      </w:divBdr>
    </w:div>
    <w:div w:id="1117067702">
      <w:bodyDiv w:val="1"/>
      <w:marLeft w:val="0"/>
      <w:marRight w:val="0"/>
      <w:marTop w:val="0"/>
      <w:marBottom w:val="0"/>
      <w:divBdr>
        <w:top w:val="none" w:sz="0" w:space="0" w:color="auto"/>
        <w:left w:val="none" w:sz="0" w:space="0" w:color="auto"/>
        <w:bottom w:val="none" w:sz="0" w:space="0" w:color="auto"/>
        <w:right w:val="none" w:sz="0" w:space="0" w:color="auto"/>
      </w:divBdr>
      <w:divsChild>
        <w:div w:id="882904257">
          <w:marLeft w:val="0"/>
          <w:marRight w:val="0"/>
          <w:marTop w:val="0"/>
          <w:marBottom w:val="0"/>
          <w:divBdr>
            <w:top w:val="none" w:sz="0" w:space="0" w:color="auto"/>
            <w:left w:val="none" w:sz="0" w:space="0" w:color="auto"/>
            <w:bottom w:val="none" w:sz="0" w:space="0" w:color="auto"/>
            <w:right w:val="none" w:sz="0" w:space="0" w:color="auto"/>
          </w:divBdr>
          <w:divsChild>
            <w:div w:id="648749170">
              <w:marLeft w:val="0"/>
              <w:marRight w:val="0"/>
              <w:marTop w:val="0"/>
              <w:marBottom w:val="0"/>
              <w:divBdr>
                <w:top w:val="none" w:sz="0" w:space="0" w:color="auto"/>
                <w:left w:val="none" w:sz="0" w:space="0" w:color="auto"/>
                <w:bottom w:val="none" w:sz="0" w:space="0" w:color="auto"/>
                <w:right w:val="none" w:sz="0" w:space="0" w:color="auto"/>
              </w:divBdr>
              <w:divsChild>
                <w:div w:id="16409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2800">
      <w:bodyDiv w:val="1"/>
      <w:marLeft w:val="0"/>
      <w:marRight w:val="0"/>
      <w:marTop w:val="0"/>
      <w:marBottom w:val="0"/>
      <w:divBdr>
        <w:top w:val="none" w:sz="0" w:space="0" w:color="auto"/>
        <w:left w:val="none" w:sz="0" w:space="0" w:color="auto"/>
        <w:bottom w:val="none" w:sz="0" w:space="0" w:color="auto"/>
        <w:right w:val="none" w:sz="0" w:space="0" w:color="auto"/>
      </w:divBdr>
      <w:divsChild>
        <w:div w:id="1797143645">
          <w:marLeft w:val="0"/>
          <w:marRight w:val="0"/>
          <w:marTop w:val="0"/>
          <w:marBottom w:val="0"/>
          <w:divBdr>
            <w:top w:val="none" w:sz="0" w:space="0" w:color="auto"/>
            <w:left w:val="none" w:sz="0" w:space="0" w:color="auto"/>
            <w:bottom w:val="none" w:sz="0" w:space="0" w:color="auto"/>
            <w:right w:val="none" w:sz="0" w:space="0" w:color="auto"/>
          </w:divBdr>
          <w:divsChild>
            <w:div w:id="127674884">
              <w:marLeft w:val="0"/>
              <w:marRight w:val="0"/>
              <w:marTop w:val="0"/>
              <w:marBottom w:val="0"/>
              <w:divBdr>
                <w:top w:val="none" w:sz="0" w:space="0" w:color="auto"/>
                <w:left w:val="none" w:sz="0" w:space="0" w:color="auto"/>
                <w:bottom w:val="none" w:sz="0" w:space="0" w:color="auto"/>
                <w:right w:val="none" w:sz="0" w:space="0" w:color="auto"/>
              </w:divBdr>
              <w:divsChild>
                <w:div w:id="229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3037">
      <w:bodyDiv w:val="1"/>
      <w:marLeft w:val="0"/>
      <w:marRight w:val="0"/>
      <w:marTop w:val="0"/>
      <w:marBottom w:val="0"/>
      <w:divBdr>
        <w:top w:val="none" w:sz="0" w:space="0" w:color="auto"/>
        <w:left w:val="none" w:sz="0" w:space="0" w:color="auto"/>
        <w:bottom w:val="none" w:sz="0" w:space="0" w:color="auto"/>
        <w:right w:val="none" w:sz="0" w:space="0" w:color="auto"/>
      </w:divBdr>
    </w:div>
    <w:div w:id="1132021609">
      <w:bodyDiv w:val="1"/>
      <w:marLeft w:val="0"/>
      <w:marRight w:val="0"/>
      <w:marTop w:val="0"/>
      <w:marBottom w:val="0"/>
      <w:divBdr>
        <w:top w:val="none" w:sz="0" w:space="0" w:color="auto"/>
        <w:left w:val="none" w:sz="0" w:space="0" w:color="auto"/>
        <w:bottom w:val="none" w:sz="0" w:space="0" w:color="auto"/>
        <w:right w:val="none" w:sz="0" w:space="0" w:color="auto"/>
      </w:divBdr>
      <w:divsChild>
        <w:div w:id="1148518732">
          <w:marLeft w:val="0"/>
          <w:marRight w:val="0"/>
          <w:marTop w:val="0"/>
          <w:marBottom w:val="0"/>
          <w:divBdr>
            <w:top w:val="none" w:sz="0" w:space="0" w:color="auto"/>
            <w:left w:val="none" w:sz="0" w:space="0" w:color="auto"/>
            <w:bottom w:val="none" w:sz="0" w:space="0" w:color="auto"/>
            <w:right w:val="none" w:sz="0" w:space="0" w:color="auto"/>
          </w:divBdr>
          <w:divsChild>
            <w:div w:id="379861321">
              <w:marLeft w:val="0"/>
              <w:marRight w:val="0"/>
              <w:marTop w:val="0"/>
              <w:marBottom w:val="0"/>
              <w:divBdr>
                <w:top w:val="none" w:sz="0" w:space="0" w:color="auto"/>
                <w:left w:val="none" w:sz="0" w:space="0" w:color="auto"/>
                <w:bottom w:val="none" w:sz="0" w:space="0" w:color="auto"/>
                <w:right w:val="none" w:sz="0" w:space="0" w:color="auto"/>
              </w:divBdr>
              <w:divsChild>
                <w:div w:id="7808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4179">
      <w:bodyDiv w:val="1"/>
      <w:marLeft w:val="0"/>
      <w:marRight w:val="0"/>
      <w:marTop w:val="0"/>
      <w:marBottom w:val="0"/>
      <w:divBdr>
        <w:top w:val="none" w:sz="0" w:space="0" w:color="auto"/>
        <w:left w:val="none" w:sz="0" w:space="0" w:color="auto"/>
        <w:bottom w:val="none" w:sz="0" w:space="0" w:color="auto"/>
        <w:right w:val="none" w:sz="0" w:space="0" w:color="auto"/>
      </w:divBdr>
      <w:divsChild>
        <w:div w:id="1508398751">
          <w:marLeft w:val="0"/>
          <w:marRight w:val="0"/>
          <w:marTop w:val="0"/>
          <w:marBottom w:val="0"/>
          <w:divBdr>
            <w:top w:val="none" w:sz="0" w:space="0" w:color="auto"/>
            <w:left w:val="none" w:sz="0" w:space="0" w:color="auto"/>
            <w:bottom w:val="none" w:sz="0" w:space="0" w:color="auto"/>
            <w:right w:val="none" w:sz="0" w:space="0" w:color="auto"/>
          </w:divBdr>
          <w:divsChild>
            <w:div w:id="1522468843">
              <w:marLeft w:val="0"/>
              <w:marRight w:val="0"/>
              <w:marTop w:val="0"/>
              <w:marBottom w:val="0"/>
              <w:divBdr>
                <w:top w:val="none" w:sz="0" w:space="0" w:color="auto"/>
                <w:left w:val="none" w:sz="0" w:space="0" w:color="auto"/>
                <w:bottom w:val="none" w:sz="0" w:space="0" w:color="auto"/>
                <w:right w:val="none" w:sz="0" w:space="0" w:color="auto"/>
              </w:divBdr>
              <w:divsChild>
                <w:div w:id="1361512324">
                  <w:marLeft w:val="0"/>
                  <w:marRight w:val="0"/>
                  <w:marTop w:val="0"/>
                  <w:marBottom w:val="0"/>
                  <w:divBdr>
                    <w:top w:val="none" w:sz="0" w:space="0" w:color="auto"/>
                    <w:left w:val="none" w:sz="0" w:space="0" w:color="auto"/>
                    <w:bottom w:val="none" w:sz="0" w:space="0" w:color="auto"/>
                    <w:right w:val="none" w:sz="0" w:space="0" w:color="auto"/>
                  </w:divBdr>
                  <w:divsChild>
                    <w:div w:id="9641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16574">
      <w:bodyDiv w:val="1"/>
      <w:marLeft w:val="0"/>
      <w:marRight w:val="0"/>
      <w:marTop w:val="0"/>
      <w:marBottom w:val="0"/>
      <w:divBdr>
        <w:top w:val="none" w:sz="0" w:space="0" w:color="auto"/>
        <w:left w:val="none" w:sz="0" w:space="0" w:color="auto"/>
        <w:bottom w:val="none" w:sz="0" w:space="0" w:color="auto"/>
        <w:right w:val="none" w:sz="0" w:space="0" w:color="auto"/>
      </w:divBdr>
    </w:div>
    <w:div w:id="1149513758">
      <w:bodyDiv w:val="1"/>
      <w:marLeft w:val="0"/>
      <w:marRight w:val="0"/>
      <w:marTop w:val="0"/>
      <w:marBottom w:val="0"/>
      <w:divBdr>
        <w:top w:val="none" w:sz="0" w:space="0" w:color="auto"/>
        <w:left w:val="none" w:sz="0" w:space="0" w:color="auto"/>
        <w:bottom w:val="none" w:sz="0" w:space="0" w:color="auto"/>
        <w:right w:val="none" w:sz="0" w:space="0" w:color="auto"/>
      </w:divBdr>
    </w:div>
    <w:div w:id="1164124521">
      <w:bodyDiv w:val="1"/>
      <w:marLeft w:val="0"/>
      <w:marRight w:val="0"/>
      <w:marTop w:val="0"/>
      <w:marBottom w:val="0"/>
      <w:divBdr>
        <w:top w:val="none" w:sz="0" w:space="0" w:color="auto"/>
        <w:left w:val="none" w:sz="0" w:space="0" w:color="auto"/>
        <w:bottom w:val="none" w:sz="0" w:space="0" w:color="auto"/>
        <w:right w:val="none" w:sz="0" w:space="0" w:color="auto"/>
      </w:divBdr>
    </w:div>
    <w:div w:id="1165441804">
      <w:bodyDiv w:val="1"/>
      <w:marLeft w:val="0"/>
      <w:marRight w:val="0"/>
      <w:marTop w:val="0"/>
      <w:marBottom w:val="0"/>
      <w:divBdr>
        <w:top w:val="none" w:sz="0" w:space="0" w:color="auto"/>
        <w:left w:val="none" w:sz="0" w:space="0" w:color="auto"/>
        <w:bottom w:val="none" w:sz="0" w:space="0" w:color="auto"/>
        <w:right w:val="none" w:sz="0" w:space="0" w:color="auto"/>
      </w:divBdr>
      <w:divsChild>
        <w:div w:id="1914849494">
          <w:marLeft w:val="0"/>
          <w:marRight w:val="0"/>
          <w:marTop w:val="0"/>
          <w:marBottom w:val="0"/>
          <w:divBdr>
            <w:top w:val="none" w:sz="0" w:space="0" w:color="auto"/>
            <w:left w:val="none" w:sz="0" w:space="0" w:color="auto"/>
            <w:bottom w:val="none" w:sz="0" w:space="0" w:color="auto"/>
            <w:right w:val="none" w:sz="0" w:space="0" w:color="auto"/>
          </w:divBdr>
          <w:divsChild>
            <w:div w:id="950010139">
              <w:marLeft w:val="0"/>
              <w:marRight w:val="0"/>
              <w:marTop w:val="0"/>
              <w:marBottom w:val="0"/>
              <w:divBdr>
                <w:top w:val="none" w:sz="0" w:space="0" w:color="auto"/>
                <w:left w:val="none" w:sz="0" w:space="0" w:color="auto"/>
                <w:bottom w:val="none" w:sz="0" w:space="0" w:color="auto"/>
                <w:right w:val="none" w:sz="0" w:space="0" w:color="auto"/>
              </w:divBdr>
              <w:divsChild>
                <w:div w:id="323627452">
                  <w:marLeft w:val="0"/>
                  <w:marRight w:val="0"/>
                  <w:marTop w:val="0"/>
                  <w:marBottom w:val="0"/>
                  <w:divBdr>
                    <w:top w:val="none" w:sz="0" w:space="0" w:color="auto"/>
                    <w:left w:val="none" w:sz="0" w:space="0" w:color="auto"/>
                    <w:bottom w:val="none" w:sz="0" w:space="0" w:color="auto"/>
                    <w:right w:val="none" w:sz="0" w:space="0" w:color="auto"/>
                  </w:divBdr>
                  <w:divsChild>
                    <w:div w:id="14883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3841">
      <w:bodyDiv w:val="1"/>
      <w:marLeft w:val="0"/>
      <w:marRight w:val="0"/>
      <w:marTop w:val="0"/>
      <w:marBottom w:val="0"/>
      <w:divBdr>
        <w:top w:val="none" w:sz="0" w:space="0" w:color="auto"/>
        <w:left w:val="none" w:sz="0" w:space="0" w:color="auto"/>
        <w:bottom w:val="none" w:sz="0" w:space="0" w:color="auto"/>
        <w:right w:val="none" w:sz="0" w:space="0" w:color="auto"/>
      </w:divBdr>
    </w:div>
    <w:div w:id="1178471593">
      <w:bodyDiv w:val="1"/>
      <w:marLeft w:val="0"/>
      <w:marRight w:val="0"/>
      <w:marTop w:val="0"/>
      <w:marBottom w:val="0"/>
      <w:divBdr>
        <w:top w:val="none" w:sz="0" w:space="0" w:color="auto"/>
        <w:left w:val="none" w:sz="0" w:space="0" w:color="auto"/>
        <w:bottom w:val="none" w:sz="0" w:space="0" w:color="auto"/>
        <w:right w:val="none" w:sz="0" w:space="0" w:color="auto"/>
      </w:divBdr>
    </w:div>
    <w:div w:id="1184243398">
      <w:bodyDiv w:val="1"/>
      <w:marLeft w:val="0"/>
      <w:marRight w:val="0"/>
      <w:marTop w:val="0"/>
      <w:marBottom w:val="0"/>
      <w:divBdr>
        <w:top w:val="none" w:sz="0" w:space="0" w:color="auto"/>
        <w:left w:val="none" w:sz="0" w:space="0" w:color="auto"/>
        <w:bottom w:val="none" w:sz="0" w:space="0" w:color="auto"/>
        <w:right w:val="none" w:sz="0" w:space="0" w:color="auto"/>
      </w:divBdr>
      <w:divsChild>
        <w:div w:id="809639353">
          <w:marLeft w:val="0"/>
          <w:marRight w:val="0"/>
          <w:marTop w:val="0"/>
          <w:marBottom w:val="0"/>
          <w:divBdr>
            <w:top w:val="none" w:sz="0" w:space="0" w:color="auto"/>
            <w:left w:val="none" w:sz="0" w:space="0" w:color="auto"/>
            <w:bottom w:val="none" w:sz="0" w:space="0" w:color="auto"/>
            <w:right w:val="none" w:sz="0" w:space="0" w:color="auto"/>
          </w:divBdr>
          <w:divsChild>
            <w:div w:id="608507707">
              <w:marLeft w:val="0"/>
              <w:marRight w:val="0"/>
              <w:marTop w:val="0"/>
              <w:marBottom w:val="0"/>
              <w:divBdr>
                <w:top w:val="none" w:sz="0" w:space="0" w:color="auto"/>
                <w:left w:val="none" w:sz="0" w:space="0" w:color="auto"/>
                <w:bottom w:val="none" w:sz="0" w:space="0" w:color="auto"/>
                <w:right w:val="none" w:sz="0" w:space="0" w:color="auto"/>
              </w:divBdr>
              <w:divsChild>
                <w:div w:id="14950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95834">
      <w:bodyDiv w:val="1"/>
      <w:marLeft w:val="0"/>
      <w:marRight w:val="0"/>
      <w:marTop w:val="0"/>
      <w:marBottom w:val="0"/>
      <w:divBdr>
        <w:top w:val="none" w:sz="0" w:space="0" w:color="auto"/>
        <w:left w:val="none" w:sz="0" w:space="0" w:color="auto"/>
        <w:bottom w:val="none" w:sz="0" w:space="0" w:color="auto"/>
        <w:right w:val="none" w:sz="0" w:space="0" w:color="auto"/>
      </w:divBdr>
      <w:divsChild>
        <w:div w:id="985474986">
          <w:marLeft w:val="0"/>
          <w:marRight w:val="0"/>
          <w:marTop w:val="0"/>
          <w:marBottom w:val="0"/>
          <w:divBdr>
            <w:top w:val="none" w:sz="0" w:space="0" w:color="auto"/>
            <w:left w:val="none" w:sz="0" w:space="0" w:color="auto"/>
            <w:bottom w:val="none" w:sz="0" w:space="0" w:color="auto"/>
            <w:right w:val="none" w:sz="0" w:space="0" w:color="auto"/>
          </w:divBdr>
          <w:divsChild>
            <w:div w:id="1891334628">
              <w:marLeft w:val="0"/>
              <w:marRight w:val="0"/>
              <w:marTop w:val="0"/>
              <w:marBottom w:val="0"/>
              <w:divBdr>
                <w:top w:val="none" w:sz="0" w:space="0" w:color="auto"/>
                <w:left w:val="none" w:sz="0" w:space="0" w:color="auto"/>
                <w:bottom w:val="none" w:sz="0" w:space="0" w:color="auto"/>
                <w:right w:val="none" w:sz="0" w:space="0" w:color="auto"/>
              </w:divBdr>
              <w:divsChild>
                <w:div w:id="1541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67857">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sChild>
        <w:div w:id="1753965323">
          <w:marLeft w:val="0"/>
          <w:marRight w:val="0"/>
          <w:marTop w:val="0"/>
          <w:marBottom w:val="0"/>
          <w:divBdr>
            <w:top w:val="none" w:sz="0" w:space="0" w:color="auto"/>
            <w:left w:val="none" w:sz="0" w:space="0" w:color="auto"/>
            <w:bottom w:val="none" w:sz="0" w:space="0" w:color="auto"/>
            <w:right w:val="none" w:sz="0" w:space="0" w:color="auto"/>
          </w:divBdr>
          <w:divsChild>
            <w:div w:id="414397740">
              <w:marLeft w:val="0"/>
              <w:marRight w:val="0"/>
              <w:marTop w:val="0"/>
              <w:marBottom w:val="0"/>
              <w:divBdr>
                <w:top w:val="none" w:sz="0" w:space="0" w:color="auto"/>
                <w:left w:val="none" w:sz="0" w:space="0" w:color="auto"/>
                <w:bottom w:val="none" w:sz="0" w:space="0" w:color="auto"/>
                <w:right w:val="none" w:sz="0" w:space="0" w:color="auto"/>
              </w:divBdr>
              <w:divsChild>
                <w:div w:id="350841744">
                  <w:marLeft w:val="0"/>
                  <w:marRight w:val="0"/>
                  <w:marTop w:val="0"/>
                  <w:marBottom w:val="0"/>
                  <w:divBdr>
                    <w:top w:val="none" w:sz="0" w:space="0" w:color="auto"/>
                    <w:left w:val="none" w:sz="0" w:space="0" w:color="auto"/>
                    <w:bottom w:val="none" w:sz="0" w:space="0" w:color="auto"/>
                    <w:right w:val="none" w:sz="0" w:space="0" w:color="auto"/>
                  </w:divBdr>
                  <w:divsChild>
                    <w:div w:id="19164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5018">
      <w:bodyDiv w:val="1"/>
      <w:marLeft w:val="0"/>
      <w:marRight w:val="0"/>
      <w:marTop w:val="0"/>
      <w:marBottom w:val="0"/>
      <w:divBdr>
        <w:top w:val="none" w:sz="0" w:space="0" w:color="auto"/>
        <w:left w:val="none" w:sz="0" w:space="0" w:color="auto"/>
        <w:bottom w:val="none" w:sz="0" w:space="0" w:color="auto"/>
        <w:right w:val="none" w:sz="0" w:space="0" w:color="auto"/>
      </w:divBdr>
    </w:div>
    <w:div w:id="1220944559">
      <w:bodyDiv w:val="1"/>
      <w:marLeft w:val="0"/>
      <w:marRight w:val="0"/>
      <w:marTop w:val="0"/>
      <w:marBottom w:val="0"/>
      <w:divBdr>
        <w:top w:val="none" w:sz="0" w:space="0" w:color="auto"/>
        <w:left w:val="none" w:sz="0" w:space="0" w:color="auto"/>
        <w:bottom w:val="none" w:sz="0" w:space="0" w:color="auto"/>
        <w:right w:val="none" w:sz="0" w:space="0" w:color="auto"/>
      </w:divBdr>
    </w:div>
    <w:div w:id="1226406698">
      <w:bodyDiv w:val="1"/>
      <w:marLeft w:val="0"/>
      <w:marRight w:val="0"/>
      <w:marTop w:val="0"/>
      <w:marBottom w:val="0"/>
      <w:divBdr>
        <w:top w:val="none" w:sz="0" w:space="0" w:color="auto"/>
        <w:left w:val="none" w:sz="0" w:space="0" w:color="auto"/>
        <w:bottom w:val="none" w:sz="0" w:space="0" w:color="auto"/>
        <w:right w:val="none" w:sz="0" w:space="0" w:color="auto"/>
      </w:divBdr>
      <w:divsChild>
        <w:div w:id="939994751">
          <w:marLeft w:val="0"/>
          <w:marRight w:val="0"/>
          <w:marTop w:val="0"/>
          <w:marBottom w:val="0"/>
          <w:divBdr>
            <w:top w:val="none" w:sz="0" w:space="0" w:color="auto"/>
            <w:left w:val="none" w:sz="0" w:space="0" w:color="auto"/>
            <w:bottom w:val="none" w:sz="0" w:space="0" w:color="auto"/>
            <w:right w:val="none" w:sz="0" w:space="0" w:color="auto"/>
          </w:divBdr>
          <w:divsChild>
            <w:div w:id="1862205588">
              <w:marLeft w:val="0"/>
              <w:marRight w:val="0"/>
              <w:marTop w:val="0"/>
              <w:marBottom w:val="0"/>
              <w:divBdr>
                <w:top w:val="none" w:sz="0" w:space="0" w:color="auto"/>
                <w:left w:val="none" w:sz="0" w:space="0" w:color="auto"/>
                <w:bottom w:val="none" w:sz="0" w:space="0" w:color="auto"/>
                <w:right w:val="none" w:sz="0" w:space="0" w:color="auto"/>
              </w:divBdr>
              <w:divsChild>
                <w:div w:id="10284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99808">
      <w:bodyDiv w:val="1"/>
      <w:marLeft w:val="0"/>
      <w:marRight w:val="0"/>
      <w:marTop w:val="0"/>
      <w:marBottom w:val="0"/>
      <w:divBdr>
        <w:top w:val="none" w:sz="0" w:space="0" w:color="auto"/>
        <w:left w:val="none" w:sz="0" w:space="0" w:color="auto"/>
        <w:bottom w:val="none" w:sz="0" w:space="0" w:color="auto"/>
        <w:right w:val="none" w:sz="0" w:space="0" w:color="auto"/>
      </w:divBdr>
      <w:divsChild>
        <w:div w:id="1458646872">
          <w:marLeft w:val="0"/>
          <w:marRight w:val="0"/>
          <w:marTop w:val="0"/>
          <w:marBottom w:val="0"/>
          <w:divBdr>
            <w:top w:val="none" w:sz="0" w:space="0" w:color="auto"/>
            <w:left w:val="none" w:sz="0" w:space="0" w:color="auto"/>
            <w:bottom w:val="none" w:sz="0" w:space="0" w:color="auto"/>
            <w:right w:val="none" w:sz="0" w:space="0" w:color="auto"/>
          </w:divBdr>
          <w:divsChild>
            <w:div w:id="1044401296">
              <w:marLeft w:val="0"/>
              <w:marRight w:val="0"/>
              <w:marTop w:val="0"/>
              <w:marBottom w:val="0"/>
              <w:divBdr>
                <w:top w:val="none" w:sz="0" w:space="0" w:color="auto"/>
                <w:left w:val="none" w:sz="0" w:space="0" w:color="auto"/>
                <w:bottom w:val="none" w:sz="0" w:space="0" w:color="auto"/>
                <w:right w:val="none" w:sz="0" w:space="0" w:color="auto"/>
              </w:divBdr>
              <w:divsChild>
                <w:div w:id="10137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5920">
      <w:bodyDiv w:val="1"/>
      <w:marLeft w:val="0"/>
      <w:marRight w:val="0"/>
      <w:marTop w:val="0"/>
      <w:marBottom w:val="0"/>
      <w:divBdr>
        <w:top w:val="none" w:sz="0" w:space="0" w:color="auto"/>
        <w:left w:val="none" w:sz="0" w:space="0" w:color="auto"/>
        <w:bottom w:val="none" w:sz="0" w:space="0" w:color="auto"/>
        <w:right w:val="none" w:sz="0" w:space="0" w:color="auto"/>
      </w:divBdr>
      <w:divsChild>
        <w:div w:id="110974547">
          <w:marLeft w:val="0"/>
          <w:marRight w:val="0"/>
          <w:marTop w:val="0"/>
          <w:marBottom w:val="0"/>
          <w:divBdr>
            <w:top w:val="none" w:sz="0" w:space="0" w:color="auto"/>
            <w:left w:val="none" w:sz="0" w:space="0" w:color="auto"/>
            <w:bottom w:val="none" w:sz="0" w:space="0" w:color="auto"/>
            <w:right w:val="none" w:sz="0" w:space="0" w:color="auto"/>
          </w:divBdr>
          <w:divsChild>
            <w:div w:id="866410613">
              <w:marLeft w:val="0"/>
              <w:marRight w:val="0"/>
              <w:marTop w:val="0"/>
              <w:marBottom w:val="0"/>
              <w:divBdr>
                <w:top w:val="none" w:sz="0" w:space="0" w:color="auto"/>
                <w:left w:val="none" w:sz="0" w:space="0" w:color="auto"/>
                <w:bottom w:val="none" w:sz="0" w:space="0" w:color="auto"/>
                <w:right w:val="none" w:sz="0" w:space="0" w:color="auto"/>
              </w:divBdr>
              <w:divsChild>
                <w:div w:id="2810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4205">
      <w:bodyDiv w:val="1"/>
      <w:marLeft w:val="0"/>
      <w:marRight w:val="0"/>
      <w:marTop w:val="0"/>
      <w:marBottom w:val="0"/>
      <w:divBdr>
        <w:top w:val="none" w:sz="0" w:space="0" w:color="auto"/>
        <w:left w:val="none" w:sz="0" w:space="0" w:color="auto"/>
        <w:bottom w:val="none" w:sz="0" w:space="0" w:color="auto"/>
        <w:right w:val="none" w:sz="0" w:space="0" w:color="auto"/>
      </w:divBdr>
    </w:div>
    <w:div w:id="1243487061">
      <w:bodyDiv w:val="1"/>
      <w:marLeft w:val="0"/>
      <w:marRight w:val="0"/>
      <w:marTop w:val="0"/>
      <w:marBottom w:val="0"/>
      <w:divBdr>
        <w:top w:val="none" w:sz="0" w:space="0" w:color="auto"/>
        <w:left w:val="none" w:sz="0" w:space="0" w:color="auto"/>
        <w:bottom w:val="none" w:sz="0" w:space="0" w:color="auto"/>
        <w:right w:val="none" w:sz="0" w:space="0" w:color="auto"/>
      </w:divBdr>
    </w:div>
    <w:div w:id="1256672972">
      <w:bodyDiv w:val="1"/>
      <w:marLeft w:val="0"/>
      <w:marRight w:val="0"/>
      <w:marTop w:val="0"/>
      <w:marBottom w:val="0"/>
      <w:divBdr>
        <w:top w:val="none" w:sz="0" w:space="0" w:color="auto"/>
        <w:left w:val="none" w:sz="0" w:space="0" w:color="auto"/>
        <w:bottom w:val="none" w:sz="0" w:space="0" w:color="auto"/>
        <w:right w:val="none" w:sz="0" w:space="0" w:color="auto"/>
      </w:divBdr>
    </w:div>
    <w:div w:id="1277056980">
      <w:bodyDiv w:val="1"/>
      <w:marLeft w:val="0"/>
      <w:marRight w:val="0"/>
      <w:marTop w:val="0"/>
      <w:marBottom w:val="0"/>
      <w:divBdr>
        <w:top w:val="none" w:sz="0" w:space="0" w:color="auto"/>
        <w:left w:val="none" w:sz="0" w:space="0" w:color="auto"/>
        <w:bottom w:val="none" w:sz="0" w:space="0" w:color="auto"/>
        <w:right w:val="none" w:sz="0" w:space="0" w:color="auto"/>
      </w:divBdr>
    </w:div>
    <w:div w:id="1279097893">
      <w:bodyDiv w:val="1"/>
      <w:marLeft w:val="0"/>
      <w:marRight w:val="0"/>
      <w:marTop w:val="0"/>
      <w:marBottom w:val="0"/>
      <w:divBdr>
        <w:top w:val="none" w:sz="0" w:space="0" w:color="auto"/>
        <w:left w:val="none" w:sz="0" w:space="0" w:color="auto"/>
        <w:bottom w:val="none" w:sz="0" w:space="0" w:color="auto"/>
        <w:right w:val="none" w:sz="0" w:space="0" w:color="auto"/>
      </w:divBdr>
    </w:div>
    <w:div w:id="1297759618">
      <w:bodyDiv w:val="1"/>
      <w:marLeft w:val="0"/>
      <w:marRight w:val="0"/>
      <w:marTop w:val="0"/>
      <w:marBottom w:val="0"/>
      <w:divBdr>
        <w:top w:val="none" w:sz="0" w:space="0" w:color="auto"/>
        <w:left w:val="none" w:sz="0" w:space="0" w:color="auto"/>
        <w:bottom w:val="none" w:sz="0" w:space="0" w:color="auto"/>
        <w:right w:val="none" w:sz="0" w:space="0" w:color="auto"/>
      </w:divBdr>
      <w:divsChild>
        <w:div w:id="260336079">
          <w:marLeft w:val="0"/>
          <w:marRight w:val="0"/>
          <w:marTop w:val="0"/>
          <w:marBottom w:val="0"/>
          <w:divBdr>
            <w:top w:val="none" w:sz="0" w:space="0" w:color="auto"/>
            <w:left w:val="none" w:sz="0" w:space="0" w:color="auto"/>
            <w:bottom w:val="none" w:sz="0" w:space="0" w:color="auto"/>
            <w:right w:val="none" w:sz="0" w:space="0" w:color="auto"/>
          </w:divBdr>
          <w:divsChild>
            <w:div w:id="2081948102">
              <w:marLeft w:val="0"/>
              <w:marRight w:val="0"/>
              <w:marTop w:val="0"/>
              <w:marBottom w:val="0"/>
              <w:divBdr>
                <w:top w:val="none" w:sz="0" w:space="0" w:color="auto"/>
                <w:left w:val="none" w:sz="0" w:space="0" w:color="auto"/>
                <w:bottom w:val="none" w:sz="0" w:space="0" w:color="auto"/>
                <w:right w:val="none" w:sz="0" w:space="0" w:color="auto"/>
              </w:divBdr>
              <w:divsChild>
                <w:div w:id="3323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7018">
      <w:bodyDiv w:val="1"/>
      <w:marLeft w:val="0"/>
      <w:marRight w:val="0"/>
      <w:marTop w:val="0"/>
      <w:marBottom w:val="0"/>
      <w:divBdr>
        <w:top w:val="none" w:sz="0" w:space="0" w:color="auto"/>
        <w:left w:val="none" w:sz="0" w:space="0" w:color="auto"/>
        <w:bottom w:val="none" w:sz="0" w:space="0" w:color="auto"/>
        <w:right w:val="none" w:sz="0" w:space="0" w:color="auto"/>
      </w:divBdr>
    </w:div>
    <w:div w:id="1326009302">
      <w:bodyDiv w:val="1"/>
      <w:marLeft w:val="0"/>
      <w:marRight w:val="0"/>
      <w:marTop w:val="0"/>
      <w:marBottom w:val="0"/>
      <w:divBdr>
        <w:top w:val="none" w:sz="0" w:space="0" w:color="auto"/>
        <w:left w:val="none" w:sz="0" w:space="0" w:color="auto"/>
        <w:bottom w:val="none" w:sz="0" w:space="0" w:color="auto"/>
        <w:right w:val="none" w:sz="0" w:space="0" w:color="auto"/>
      </w:divBdr>
    </w:div>
    <w:div w:id="1327202269">
      <w:bodyDiv w:val="1"/>
      <w:marLeft w:val="0"/>
      <w:marRight w:val="0"/>
      <w:marTop w:val="0"/>
      <w:marBottom w:val="0"/>
      <w:divBdr>
        <w:top w:val="none" w:sz="0" w:space="0" w:color="auto"/>
        <w:left w:val="none" w:sz="0" w:space="0" w:color="auto"/>
        <w:bottom w:val="none" w:sz="0" w:space="0" w:color="auto"/>
        <w:right w:val="none" w:sz="0" w:space="0" w:color="auto"/>
      </w:divBdr>
    </w:div>
    <w:div w:id="1333528116">
      <w:bodyDiv w:val="1"/>
      <w:marLeft w:val="0"/>
      <w:marRight w:val="0"/>
      <w:marTop w:val="0"/>
      <w:marBottom w:val="0"/>
      <w:divBdr>
        <w:top w:val="none" w:sz="0" w:space="0" w:color="auto"/>
        <w:left w:val="none" w:sz="0" w:space="0" w:color="auto"/>
        <w:bottom w:val="none" w:sz="0" w:space="0" w:color="auto"/>
        <w:right w:val="none" w:sz="0" w:space="0" w:color="auto"/>
      </w:divBdr>
      <w:divsChild>
        <w:div w:id="1601374681">
          <w:marLeft w:val="0"/>
          <w:marRight w:val="0"/>
          <w:marTop w:val="0"/>
          <w:marBottom w:val="0"/>
          <w:divBdr>
            <w:top w:val="none" w:sz="0" w:space="0" w:color="auto"/>
            <w:left w:val="none" w:sz="0" w:space="0" w:color="auto"/>
            <w:bottom w:val="none" w:sz="0" w:space="0" w:color="auto"/>
            <w:right w:val="none" w:sz="0" w:space="0" w:color="auto"/>
          </w:divBdr>
          <w:divsChild>
            <w:div w:id="720325413">
              <w:marLeft w:val="0"/>
              <w:marRight w:val="0"/>
              <w:marTop w:val="0"/>
              <w:marBottom w:val="0"/>
              <w:divBdr>
                <w:top w:val="none" w:sz="0" w:space="0" w:color="auto"/>
                <w:left w:val="none" w:sz="0" w:space="0" w:color="auto"/>
                <w:bottom w:val="none" w:sz="0" w:space="0" w:color="auto"/>
                <w:right w:val="none" w:sz="0" w:space="0" w:color="auto"/>
              </w:divBdr>
              <w:divsChild>
                <w:div w:id="1420829783">
                  <w:marLeft w:val="0"/>
                  <w:marRight w:val="0"/>
                  <w:marTop w:val="0"/>
                  <w:marBottom w:val="0"/>
                  <w:divBdr>
                    <w:top w:val="none" w:sz="0" w:space="0" w:color="auto"/>
                    <w:left w:val="none" w:sz="0" w:space="0" w:color="auto"/>
                    <w:bottom w:val="none" w:sz="0" w:space="0" w:color="auto"/>
                    <w:right w:val="none" w:sz="0" w:space="0" w:color="auto"/>
                  </w:divBdr>
                  <w:divsChild>
                    <w:div w:id="4607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309">
      <w:bodyDiv w:val="1"/>
      <w:marLeft w:val="0"/>
      <w:marRight w:val="0"/>
      <w:marTop w:val="0"/>
      <w:marBottom w:val="0"/>
      <w:divBdr>
        <w:top w:val="none" w:sz="0" w:space="0" w:color="auto"/>
        <w:left w:val="none" w:sz="0" w:space="0" w:color="auto"/>
        <w:bottom w:val="none" w:sz="0" w:space="0" w:color="auto"/>
        <w:right w:val="none" w:sz="0" w:space="0" w:color="auto"/>
      </w:divBdr>
    </w:div>
    <w:div w:id="1353416334">
      <w:bodyDiv w:val="1"/>
      <w:marLeft w:val="0"/>
      <w:marRight w:val="0"/>
      <w:marTop w:val="0"/>
      <w:marBottom w:val="0"/>
      <w:divBdr>
        <w:top w:val="none" w:sz="0" w:space="0" w:color="auto"/>
        <w:left w:val="none" w:sz="0" w:space="0" w:color="auto"/>
        <w:bottom w:val="none" w:sz="0" w:space="0" w:color="auto"/>
        <w:right w:val="none" w:sz="0" w:space="0" w:color="auto"/>
      </w:divBdr>
    </w:div>
    <w:div w:id="1369063741">
      <w:bodyDiv w:val="1"/>
      <w:marLeft w:val="0"/>
      <w:marRight w:val="0"/>
      <w:marTop w:val="0"/>
      <w:marBottom w:val="0"/>
      <w:divBdr>
        <w:top w:val="none" w:sz="0" w:space="0" w:color="auto"/>
        <w:left w:val="none" w:sz="0" w:space="0" w:color="auto"/>
        <w:bottom w:val="none" w:sz="0" w:space="0" w:color="auto"/>
        <w:right w:val="none" w:sz="0" w:space="0" w:color="auto"/>
      </w:divBdr>
    </w:div>
    <w:div w:id="1369645509">
      <w:bodyDiv w:val="1"/>
      <w:marLeft w:val="0"/>
      <w:marRight w:val="0"/>
      <w:marTop w:val="0"/>
      <w:marBottom w:val="0"/>
      <w:divBdr>
        <w:top w:val="none" w:sz="0" w:space="0" w:color="auto"/>
        <w:left w:val="none" w:sz="0" w:space="0" w:color="auto"/>
        <w:bottom w:val="none" w:sz="0" w:space="0" w:color="auto"/>
        <w:right w:val="none" w:sz="0" w:space="0" w:color="auto"/>
      </w:divBdr>
      <w:divsChild>
        <w:div w:id="1412846330">
          <w:marLeft w:val="0"/>
          <w:marRight w:val="0"/>
          <w:marTop w:val="0"/>
          <w:marBottom w:val="0"/>
          <w:divBdr>
            <w:top w:val="none" w:sz="0" w:space="0" w:color="auto"/>
            <w:left w:val="none" w:sz="0" w:space="0" w:color="auto"/>
            <w:bottom w:val="none" w:sz="0" w:space="0" w:color="auto"/>
            <w:right w:val="none" w:sz="0" w:space="0" w:color="auto"/>
          </w:divBdr>
          <w:divsChild>
            <w:div w:id="621766015">
              <w:marLeft w:val="0"/>
              <w:marRight w:val="0"/>
              <w:marTop w:val="0"/>
              <w:marBottom w:val="0"/>
              <w:divBdr>
                <w:top w:val="none" w:sz="0" w:space="0" w:color="auto"/>
                <w:left w:val="none" w:sz="0" w:space="0" w:color="auto"/>
                <w:bottom w:val="none" w:sz="0" w:space="0" w:color="auto"/>
                <w:right w:val="none" w:sz="0" w:space="0" w:color="auto"/>
              </w:divBdr>
              <w:divsChild>
                <w:div w:id="5531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9859">
      <w:bodyDiv w:val="1"/>
      <w:marLeft w:val="0"/>
      <w:marRight w:val="0"/>
      <w:marTop w:val="0"/>
      <w:marBottom w:val="0"/>
      <w:divBdr>
        <w:top w:val="none" w:sz="0" w:space="0" w:color="auto"/>
        <w:left w:val="none" w:sz="0" w:space="0" w:color="auto"/>
        <w:bottom w:val="none" w:sz="0" w:space="0" w:color="auto"/>
        <w:right w:val="none" w:sz="0" w:space="0" w:color="auto"/>
      </w:divBdr>
    </w:div>
    <w:div w:id="1371414224">
      <w:bodyDiv w:val="1"/>
      <w:marLeft w:val="0"/>
      <w:marRight w:val="0"/>
      <w:marTop w:val="0"/>
      <w:marBottom w:val="0"/>
      <w:divBdr>
        <w:top w:val="none" w:sz="0" w:space="0" w:color="auto"/>
        <w:left w:val="none" w:sz="0" w:space="0" w:color="auto"/>
        <w:bottom w:val="none" w:sz="0" w:space="0" w:color="auto"/>
        <w:right w:val="none" w:sz="0" w:space="0" w:color="auto"/>
      </w:divBdr>
      <w:divsChild>
        <w:div w:id="1006438569">
          <w:marLeft w:val="0"/>
          <w:marRight w:val="0"/>
          <w:marTop w:val="0"/>
          <w:marBottom w:val="0"/>
          <w:divBdr>
            <w:top w:val="none" w:sz="0" w:space="0" w:color="auto"/>
            <w:left w:val="none" w:sz="0" w:space="0" w:color="auto"/>
            <w:bottom w:val="none" w:sz="0" w:space="0" w:color="auto"/>
            <w:right w:val="none" w:sz="0" w:space="0" w:color="auto"/>
          </w:divBdr>
          <w:divsChild>
            <w:div w:id="1380321689">
              <w:marLeft w:val="0"/>
              <w:marRight w:val="0"/>
              <w:marTop w:val="0"/>
              <w:marBottom w:val="0"/>
              <w:divBdr>
                <w:top w:val="none" w:sz="0" w:space="0" w:color="auto"/>
                <w:left w:val="none" w:sz="0" w:space="0" w:color="auto"/>
                <w:bottom w:val="none" w:sz="0" w:space="0" w:color="auto"/>
                <w:right w:val="none" w:sz="0" w:space="0" w:color="auto"/>
              </w:divBdr>
              <w:divsChild>
                <w:div w:id="12079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6039">
      <w:bodyDiv w:val="1"/>
      <w:marLeft w:val="0"/>
      <w:marRight w:val="0"/>
      <w:marTop w:val="0"/>
      <w:marBottom w:val="0"/>
      <w:divBdr>
        <w:top w:val="none" w:sz="0" w:space="0" w:color="auto"/>
        <w:left w:val="none" w:sz="0" w:space="0" w:color="auto"/>
        <w:bottom w:val="none" w:sz="0" w:space="0" w:color="auto"/>
        <w:right w:val="none" w:sz="0" w:space="0" w:color="auto"/>
      </w:divBdr>
    </w:div>
    <w:div w:id="1394045714">
      <w:bodyDiv w:val="1"/>
      <w:marLeft w:val="0"/>
      <w:marRight w:val="0"/>
      <w:marTop w:val="0"/>
      <w:marBottom w:val="0"/>
      <w:divBdr>
        <w:top w:val="none" w:sz="0" w:space="0" w:color="auto"/>
        <w:left w:val="none" w:sz="0" w:space="0" w:color="auto"/>
        <w:bottom w:val="none" w:sz="0" w:space="0" w:color="auto"/>
        <w:right w:val="none" w:sz="0" w:space="0" w:color="auto"/>
      </w:divBdr>
    </w:div>
    <w:div w:id="1405685738">
      <w:bodyDiv w:val="1"/>
      <w:marLeft w:val="0"/>
      <w:marRight w:val="0"/>
      <w:marTop w:val="0"/>
      <w:marBottom w:val="0"/>
      <w:divBdr>
        <w:top w:val="none" w:sz="0" w:space="0" w:color="auto"/>
        <w:left w:val="none" w:sz="0" w:space="0" w:color="auto"/>
        <w:bottom w:val="none" w:sz="0" w:space="0" w:color="auto"/>
        <w:right w:val="none" w:sz="0" w:space="0" w:color="auto"/>
      </w:divBdr>
    </w:div>
    <w:div w:id="1408915360">
      <w:bodyDiv w:val="1"/>
      <w:marLeft w:val="0"/>
      <w:marRight w:val="0"/>
      <w:marTop w:val="0"/>
      <w:marBottom w:val="0"/>
      <w:divBdr>
        <w:top w:val="none" w:sz="0" w:space="0" w:color="auto"/>
        <w:left w:val="none" w:sz="0" w:space="0" w:color="auto"/>
        <w:bottom w:val="none" w:sz="0" w:space="0" w:color="auto"/>
        <w:right w:val="none" w:sz="0" w:space="0" w:color="auto"/>
      </w:divBdr>
    </w:div>
    <w:div w:id="1421876985">
      <w:bodyDiv w:val="1"/>
      <w:marLeft w:val="0"/>
      <w:marRight w:val="0"/>
      <w:marTop w:val="0"/>
      <w:marBottom w:val="0"/>
      <w:divBdr>
        <w:top w:val="none" w:sz="0" w:space="0" w:color="auto"/>
        <w:left w:val="none" w:sz="0" w:space="0" w:color="auto"/>
        <w:bottom w:val="none" w:sz="0" w:space="0" w:color="auto"/>
        <w:right w:val="none" w:sz="0" w:space="0" w:color="auto"/>
      </w:divBdr>
    </w:div>
    <w:div w:id="1432120362">
      <w:bodyDiv w:val="1"/>
      <w:marLeft w:val="0"/>
      <w:marRight w:val="0"/>
      <w:marTop w:val="0"/>
      <w:marBottom w:val="0"/>
      <w:divBdr>
        <w:top w:val="none" w:sz="0" w:space="0" w:color="auto"/>
        <w:left w:val="none" w:sz="0" w:space="0" w:color="auto"/>
        <w:bottom w:val="none" w:sz="0" w:space="0" w:color="auto"/>
        <w:right w:val="none" w:sz="0" w:space="0" w:color="auto"/>
      </w:divBdr>
    </w:div>
    <w:div w:id="1460608602">
      <w:bodyDiv w:val="1"/>
      <w:marLeft w:val="0"/>
      <w:marRight w:val="0"/>
      <w:marTop w:val="0"/>
      <w:marBottom w:val="0"/>
      <w:divBdr>
        <w:top w:val="none" w:sz="0" w:space="0" w:color="auto"/>
        <w:left w:val="none" w:sz="0" w:space="0" w:color="auto"/>
        <w:bottom w:val="none" w:sz="0" w:space="0" w:color="auto"/>
        <w:right w:val="none" w:sz="0" w:space="0" w:color="auto"/>
      </w:divBdr>
    </w:div>
    <w:div w:id="1471705293">
      <w:bodyDiv w:val="1"/>
      <w:marLeft w:val="0"/>
      <w:marRight w:val="0"/>
      <w:marTop w:val="0"/>
      <w:marBottom w:val="0"/>
      <w:divBdr>
        <w:top w:val="none" w:sz="0" w:space="0" w:color="auto"/>
        <w:left w:val="none" w:sz="0" w:space="0" w:color="auto"/>
        <w:bottom w:val="none" w:sz="0" w:space="0" w:color="auto"/>
        <w:right w:val="none" w:sz="0" w:space="0" w:color="auto"/>
      </w:divBdr>
    </w:div>
    <w:div w:id="1474717094">
      <w:bodyDiv w:val="1"/>
      <w:marLeft w:val="0"/>
      <w:marRight w:val="0"/>
      <w:marTop w:val="0"/>
      <w:marBottom w:val="0"/>
      <w:divBdr>
        <w:top w:val="none" w:sz="0" w:space="0" w:color="auto"/>
        <w:left w:val="none" w:sz="0" w:space="0" w:color="auto"/>
        <w:bottom w:val="none" w:sz="0" w:space="0" w:color="auto"/>
        <w:right w:val="none" w:sz="0" w:space="0" w:color="auto"/>
      </w:divBdr>
      <w:divsChild>
        <w:div w:id="836964048">
          <w:marLeft w:val="0"/>
          <w:marRight w:val="0"/>
          <w:marTop w:val="0"/>
          <w:marBottom w:val="0"/>
          <w:divBdr>
            <w:top w:val="none" w:sz="0" w:space="0" w:color="auto"/>
            <w:left w:val="none" w:sz="0" w:space="0" w:color="auto"/>
            <w:bottom w:val="none" w:sz="0" w:space="0" w:color="auto"/>
            <w:right w:val="none" w:sz="0" w:space="0" w:color="auto"/>
          </w:divBdr>
          <w:divsChild>
            <w:div w:id="159390510">
              <w:marLeft w:val="0"/>
              <w:marRight w:val="0"/>
              <w:marTop w:val="0"/>
              <w:marBottom w:val="0"/>
              <w:divBdr>
                <w:top w:val="none" w:sz="0" w:space="0" w:color="auto"/>
                <w:left w:val="none" w:sz="0" w:space="0" w:color="auto"/>
                <w:bottom w:val="none" w:sz="0" w:space="0" w:color="auto"/>
                <w:right w:val="none" w:sz="0" w:space="0" w:color="auto"/>
              </w:divBdr>
              <w:divsChild>
                <w:div w:id="14326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99233">
      <w:bodyDiv w:val="1"/>
      <w:marLeft w:val="0"/>
      <w:marRight w:val="0"/>
      <w:marTop w:val="0"/>
      <w:marBottom w:val="0"/>
      <w:divBdr>
        <w:top w:val="none" w:sz="0" w:space="0" w:color="auto"/>
        <w:left w:val="none" w:sz="0" w:space="0" w:color="auto"/>
        <w:bottom w:val="none" w:sz="0" w:space="0" w:color="auto"/>
        <w:right w:val="none" w:sz="0" w:space="0" w:color="auto"/>
      </w:divBdr>
    </w:div>
    <w:div w:id="1489857349">
      <w:bodyDiv w:val="1"/>
      <w:marLeft w:val="0"/>
      <w:marRight w:val="0"/>
      <w:marTop w:val="0"/>
      <w:marBottom w:val="0"/>
      <w:divBdr>
        <w:top w:val="none" w:sz="0" w:space="0" w:color="auto"/>
        <w:left w:val="none" w:sz="0" w:space="0" w:color="auto"/>
        <w:bottom w:val="none" w:sz="0" w:space="0" w:color="auto"/>
        <w:right w:val="none" w:sz="0" w:space="0" w:color="auto"/>
      </w:divBdr>
    </w:div>
    <w:div w:id="1497725958">
      <w:bodyDiv w:val="1"/>
      <w:marLeft w:val="0"/>
      <w:marRight w:val="0"/>
      <w:marTop w:val="0"/>
      <w:marBottom w:val="0"/>
      <w:divBdr>
        <w:top w:val="none" w:sz="0" w:space="0" w:color="auto"/>
        <w:left w:val="none" w:sz="0" w:space="0" w:color="auto"/>
        <w:bottom w:val="none" w:sz="0" w:space="0" w:color="auto"/>
        <w:right w:val="none" w:sz="0" w:space="0" w:color="auto"/>
      </w:divBdr>
      <w:divsChild>
        <w:div w:id="1549300279">
          <w:marLeft w:val="0"/>
          <w:marRight w:val="0"/>
          <w:marTop w:val="0"/>
          <w:marBottom w:val="0"/>
          <w:divBdr>
            <w:top w:val="none" w:sz="0" w:space="0" w:color="auto"/>
            <w:left w:val="none" w:sz="0" w:space="0" w:color="auto"/>
            <w:bottom w:val="none" w:sz="0" w:space="0" w:color="auto"/>
            <w:right w:val="none" w:sz="0" w:space="0" w:color="auto"/>
          </w:divBdr>
          <w:divsChild>
            <w:div w:id="936670198">
              <w:marLeft w:val="0"/>
              <w:marRight w:val="0"/>
              <w:marTop w:val="0"/>
              <w:marBottom w:val="0"/>
              <w:divBdr>
                <w:top w:val="none" w:sz="0" w:space="0" w:color="auto"/>
                <w:left w:val="none" w:sz="0" w:space="0" w:color="auto"/>
                <w:bottom w:val="none" w:sz="0" w:space="0" w:color="auto"/>
                <w:right w:val="none" w:sz="0" w:space="0" w:color="auto"/>
              </w:divBdr>
              <w:divsChild>
                <w:div w:id="13553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0488">
      <w:bodyDiv w:val="1"/>
      <w:marLeft w:val="0"/>
      <w:marRight w:val="0"/>
      <w:marTop w:val="0"/>
      <w:marBottom w:val="0"/>
      <w:divBdr>
        <w:top w:val="none" w:sz="0" w:space="0" w:color="auto"/>
        <w:left w:val="none" w:sz="0" w:space="0" w:color="auto"/>
        <w:bottom w:val="none" w:sz="0" w:space="0" w:color="auto"/>
        <w:right w:val="none" w:sz="0" w:space="0" w:color="auto"/>
      </w:divBdr>
    </w:div>
    <w:div w:id="1504396012">
      <w:bodyDiv w:val="1"/>
      <w:marLeft w:val="0"/>
      <w:marRight w:val="0"/>
      <w:marTop w:val="0"/>
      <w:marBottom w:val="0"/>
      <w:divBdr>
        <w:top w:val="none" w:sz="0" w:space="0" w:color="auto"/>
        <w:left w:val="none" w:sz="0" w:space="0" w:color="auto"/>
        <w:bottom w:val="none" w:sz="0" w:space="0" w:color="auto"/>
        <w:right w:val="none" w:sz="0" w:space="0" w:color="auto"/>
      </w:divBdr>
    </w:div>
    <w:div w:id="1516310790">
      <w:bodyDiv w:val="1"/>
      <w:marLeft w:val="0"/>
      <w:marRight w:val="0"/>
      <w:marTop w:val="0"/>
      <w:marBottom w:val="0"/>
      <w:divBdr>
        <w:top w:val="none" w:sz="0" w:space="0" w:color="auto"/>
        <w:left w:val="none" w:sz="0" w:space="0" w:color="auto"/>
        <w:bottom w:val="none" w:sz="0" w:space="0" w:color="auto"/>
        <w:right w:val="none" w:sz="0" w:space="0" w:color="auto"/>
      </w:divBdr>
    </w:div>
    <w:div w:id="1516381756">
      <w:bodyDiv w:val="1"/>
      <w:marLeft w:val="0"/>
      <w:marRight w:val="0"/>
      <w:marTop w:val="0"/>
      <w:marBottom w:val="0"/>
      <w:divBdr>
        <w:top w:val="none" w:sz="0" w:space="0" w:color="auto"/>
        <w:left w:val="none" w:sz="0" w:space="0" w:color="auto"/>
        <w:bottom w:val="none" w:sz="0" w:space="0" w:color="auto"/>
        <w:right w:val="none" w:sz="0" w:space="0" w:color="auto"/>
      </w:divBdr>
    </w:div>
    <w:div w:id="1534878287">
      <w:bodyDiv w:val="1"/>
      <w:marLeft w:val="0"/>
      <w:marRight w:val="0"/>
      <w:marTop w:val="0"/>
      <w:marBottom w:val="0"/>
      <w:divBdr>
        <w:top w:val="none" w:sz="0" w:space="0" w:color="auto"/>
        <w:left w:val="none" w:sz="0" w:space="0" w:color="auto"/>
        <w:bottom w:val="none" w:sz="0" w:space="0" w:color="auto"/>
        <w:right w:val="none" w:sz="0" w:space="0" w:color="auto"/>
      </w:divBdr>
      <w:divsChild>
        <w:div w:id="1434128157">
          <w:marLeft w:val="0"/>
          <w:marRight w:val="0"/>
          <w:marTop w:val="0"/>
          <w:marBottom w:val="0"/>
          <w:divBdr>
            <w:top w:val="none" w:sz="0" w:space="0" w:color="auto"/>
            <w:left w:val="none" w:sz="0" w:space="0" w:color="auto"/>
            <w:bottom w:val="none" w:sz="0" w:space="0" w:color="auto"/>
            <w:right w:val="none" w:sz="0" w:space="0" w:color="auto"/>
          </w:divBdr>
          <w:divsChild>
            <w:div w:id="853764939">
              <w:marLeft w:val="0"/>
              <w:marRight w:val="0"/>
              <w:marTop w:val="0"/>
              <w:marBottom w:val="0"/>
              <w:divBdr>
                <w:top w:val="none" w:sz="0" w:space="0" w:color="auto"/>
                <w:left w:val="none" w:sz="0" w:space="0" w:color="auto"/>
                <w:bottom w:val="none" w:sz="0" w:space="0" w:color="auto"/>
                <w:right w:val="none" w:sz="0" w:space="0" w:color="auto"/>
              </w:divBdr>
              <w:divsChild>
                <w:div w:id="19295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40663">
      <w:bodyDiv w:val="1"/>
      <w:marLeft w:val="0"/>
      <w:marRight w:val="0"/>
      <w:marTop w:val="0"/>
      <w:marBottom w:val="0"/>
      <w:divBdr>
        <w:top w:val="none" w:sz="0" w:space="0" w:color="auto"/>
        <w:left w:val="none" w:sz="0" w:space="0" w:color="auto"/>
        <w:bottom w:val="none" w:sz="0" w:space="0" w:color="auto"/>
        <w:right w:val="none" w:sz="0" w:space="0" w:color="auto"/>
      </w:divBdr>
    </w:div>
    <w:div w:id="1566988694">
      <w:bodyDiv w:val="1"/>
      <w:marLeft w:val="0"/>
      <w:marRight w:val="0"/>
      <w:marTop w:val="0"/>
      <w:marBottom w:val="0"/>
      <w:divBdr>
        <w:top w:val="none" w:sz="0" w:space="0" w:color="auto"/>
        <w:left w:val="none" w:sz="0" w:space="0" w:color="auto"/>
        <w:bottom w:val="none" w:sz="0" w:space="0" w:color="auto"/>
        <w:right w:val="none" w:sz="0" w:space="0" w:color="auto"/>
      </w:divBdr>
      <w:divsChild>
        <w:div w:id="838272053">
          <w:marLeft w:val="0"/>
          <w:marRight w:val="0"/>
          <w:marTop w:val="0"/>
          <w:marBottom w:val="0"/>
          <w:divBdr>
            <w:top w:val="none" w:sz="0" w:space="0" w:color="auto"/>
            <w:left w:val="none" w:sz="0" w:space="0" w:color="auto"/>
            <w:bottom w:val="none" w:sz="0" w:space="0" w:color="auto"/>
            <w:right w:val="none" w:sz="0" w:space="0" w:color="auto"/>
          </w:divBdr>
          <w:divsChild>
            <w:div w:id="2047630897">
              <w:marLeft w:val="0"/>
              <w:marRight w:val="0"/>
              <w:marTop w:val="0"/>
              <w:marBottom w:val="0"/>
              <w:divBdr>
                <w:top w:val="none" w:sz="0" w:space="0" w:color="auto"/>
                <w:left w:val="none" w:sz="0" w:space="0" w:color="auto"/>
                <w:bottom w:val="none" w:sz="0" w:space="0" w:color="auto"/>
                <w:right w:val="none" w:sz="0" w:space="0" w:color="auto"/>
              </w:divBdr>
              <w:divsChild>
                <w:div w:id="5326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01957">
      <w:bodyDiv w:val="1"/>
      <w:marLeft w:val="0"/>
      <w:marRight w:val="0"/>
      <w:marTop w:val="0"/>
      <w:marBottom w:val="0"/>
      <w:divBdr>
        <w:top w:val="none" w:sz="0" w:space="0" w:color="auto"/>
        <w:left w:val="none" w:sz="0" w:space="0" w:color="auto"/>
        <w:bottom w:val="none" w:sz="0" w:space="0" w:color="auto"/>
        <w:right w:val="none" w:sz="0" w:space="0" w:color="auto"/>
      </w:divBdr>
    </w:div>
    <w:div w:id="1588690429">
      <w:bodyDiv w:val="1"/>
      <w:marLeft w:val="0"/>
      <w:marRight w:val="0"/>
      <w:marTop w:val="0"/>
      <w:marBottom w:val="0"/>
      <w:divBdr>
        <w:top w:val="none" w:sz="0" w:space="0" w:color="auto"/>
        <w:left w:val="none" w:sz="0" w:space="0" w:color="auto"/>
        <w:bottom w:val="none" w:sz="0" w:space="0" w:color="auto"/>
        <w:right w:val="none" w:sz="0" w:space="0" w:color="auto"/>
      </w:divBdr>
    </w:div>
    <w:div w:id="1589457970">
      <w:bodyDiv w:val="1"/>
      <w:marLeft w:val="0"/>
      <w:marRight w:val="0"/>
      <w:marTop w:val="0"/>
      <w:marBottom w:val="0"/>
      <w:divBdr>
        <w:top w:val="none" w:sz="0" w:space="0" w:color="auto"/>
        <w:left w:val="none" w:sz="0" w:space="0" w:color="auto"/>
        <w:bottom w:val="none" w:sz="0" w:space="0" w:color="auto"/>
        <w:right w:val="none" w:sz="0" w:space="0" w:color="auto"/>
      </w:divBdr>
    </w:div>
    <w:div w:id="1603224200">
      <w:bodyDiv w:val="1"/>
      <w:marLeft w:val="0"/>
      <w:marRight w:val="0"/>
      <w:marTop w:val="0"/>
      <w:marBottom w:val="0"/>
      <w:divBdr>
        <w:top w:val="none" w:sz="0" w:space="0" w:color="auto"/>
        <w:left w:val="none" w:sz="0" w:space="0" w:color="auto"/>
        <w:bottom w:val="none" w:sz="0" w:space="0" w:color="auto"/>
        <w:right w:val="none" w:sz="0" w:space="0" w:color="auto"/>
      </w:divBdr>
    </w:div>
    <w:div w:id="1632126578">
      <w:bodyDiv w:val="1"/>
      <w:marLeft w:val="0"/>
      <w:marRight w:val="0"/>
      <w:marTop w:val="0"/>
      <w:marBottom w:val="0"/>
      <w:divBdr>
        <w:top w:val="none" w:sz="0" w:space="0" w:color="auto"/>
        <w:left w:val="none" w:sz="0" w:space="0" w:color="auto"/>
        <w:bottom w:val="none" w:sz="0" w:space="0" w:color="auto"/>
        <w:right w:val="none" w:sz="0" w:space="0" w:color="auto"/>
      </w:divBdr>
      <w:divsChild>
        <w:div w:id="1270308329">
          <w:marLeft w:val="0"/>
          <w:marRight w:val="0"/>
          <w:marTop w:val="0"/>
          <w:marBottom w:val="0"/>
          <w:divBdr>
            <w:top w:val="none" w:sz="0" w:space="0" w:color="auto"/>
            <w:left w:val="none" w:sz="0" w:space="0" w:color="auto"/>
            <w:bottom w:val="none" w:sz="0" w:space="0" w:color="auto"/>
            <w:right w:val="none" w:sz="0" w:space="0" w:color="auto"/>
          </w:divBdr>
          <w:divsChild>
            <w:div w:id="1168327496">
              <w:marLeft w:val="0"/>
              <w:marRight w:val="0"/>
              <w:marTop w:val="0"/>
              <w:marBottom w:val="0"/>
              <w:divBdr>
                <w:top w:val="none" w:sz="0" w:space="0" w:color="auto"/>
                <w:left w:val="none" w:sz="0" w:space="0" w:color="auto"/>
                <w:bottom w:val="none" w:sz="0" w:space="0" w:color="auto"/>
                <w:right w:val="none" w:sz="0" w:space="0" w:color="auto"/>
              </w:divBdr>
              <w:divsChild>
                <w:div w:id="20189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2832">
      <w:bodyDiv w:val="1"/>
      <w:marLeft w:val="0"/>
      <w:marRight w:val="0"/>
      <w:marTop w:val="0"/>
      <w:marBottom w:val="0"/>
      <w:divBdr>
        <w:top w:val="none" w:sz="0" w:space="0" w:color="auto"/>
        <w:left w:val="none" w:sz="0" w:space="0" w:color="auto"/>
        <w:bottom w:val="none" w:sz="0" w:space="0" w:color="auto"/>
        <w:right w:val="none" w:sz="0" w:space="0" w:color="auto"/>
      </w:divBdr>
    </w:div>
    <w:div w:id="1636369755">
      <w:bodyDiv w:val="1"/>
      <w:marLeft w:val="0"/>
      <w:marRight w:val="0"/>
      <w:marTop w:val="0"/>
      <w:marBottom w:val="0"/>
      <w:divBdr>
        <w:top w:val="none" w:sz="0" w:space="0" w:color="auto"/>
        <w:left w:val="none" w:sz="0" w:space="0" w:color="auto"/>
        <w:bottom w:val="none" w:sz="0" w:space="0" w:color="auto"/>
        <w:right w:val="none" w:sz="0" w:space="0" w:color="auto"/>
      </w:divBdr>
      <w:divsChild>
        <w:div w:id="310644309">
          <w:marLeft w:val="0"/>
          <w:marRight w:val="0"/>
          <w:marTop w:val="0"/>
          <w:marBottom w:val="0"/>
          <w:divBdr>
            <w:top w:val="none" w:sz="0" w:space="0" w:color="auto"/>
            <w:left w:val="none" w:sz="0" w:space="0" w:color="auto"/>
            <w:bottom w:val="none" w:sz="0" w:space="0" w:color="auto"/>
            <w:right w:val="none" w:sz="0" w:space="0" w:color="auto"/>
          </w:divBdr>
          <w:divsChild>
            <w:div w:id="1631862028">
              <w:marLeft w:val="0"/>
              <w:marRight w:val="0"/>
              <w:marTop w:val="0"/>
              <w:marBottom w:val="0"/>
              <w:divBdr>
                <w:top w:val="none" w:sz="0" w:space="0" w:color="auto"/>
                <w:left w:val="none" w:sz="0" w:space="0" w:color="auto"/>
                <w:bottom w:val="none" w:sz="0" w:space="0" w:color="auto"/>
                <w:right w:val="none" w:sz="0" w:space="0" w:color="auto"/>
              </w:divBdr>
              <w:divsChild>
                <w:div w:id="184485167">
                  <w:marLeft w:val="0"/>
                  <w:marRight w:val="0"/>
                  <w:marTop w:val="0"/>
                  <w:marBottom w:val="0"/>
                  <w:divBdr>
                    <w:top w:val="none" w:sz="0" w:space="0" w:color="auto"/>
                    <w:left w:val="none" w:sz="0" w:space="0" w:color="auto"/>
                    <w:bottom w:val="none" w:sz="0" w:space="0" w:color="auto"/>
                    <w:right w:val="none" w:sz="0" w:space="0" w:color="auto"/>
                  </w:divBdr>
                  <w:divsChild>
                    <w:div w:id="795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28551">
      <w:bodyDiv w:val="1"/>
      <w:marLeft w:val="0"/>
      <w:marRight w:val="0"/>
      <w:marTop w:val="0"/>
      <w:marBottom w:val="0"/>
      <w:divBdr>
        <w:top w:val="none" w:sz="0" w:space="0" w:color="auto"/>
        <w:left w:val="none" w:sz="0" w:space="0" w:color="auto"/>
        <w:bottom w:val="none" w:sz="0" w:space="0" w:color="auto"/>
        <w:right w:val="none" w:sz="0" w:space="0" w:color="auto"/>
      </w:divBdr>
    </w:div>
    <w:div w:id="1678995084">
      <w:bodyDiv w:val="1"/>
      <w:marLeft w:val="0"/>
      <w:marRight w:val="0"/>
      <w:marTop w:val="0"/>
      <w:marBottom w:val="0"/>
      <w:divBdr>
        <w:top w:val="none" w:sz="0" w:space="0" w:color="auto"/>
        <w:left w:val="none" w:sz="0" w:space="0" w:color="auto"/>
        <w:bottom w:val="none" w:sz="0" w:space="0" w:color="auto"/>
        <w:right w:val="none" w:sz="0" w:space="0" w:color="auto"/>
      </w:divBdr>
    </w:div>
    <w:div w:id="1679305062">
      <w:bodyDiv w:val="1"/>
      <w:marLeft w:val="0"/>
      <w:marRight w:val="0"/>
      <w:marTop w:val="0"/>
      <w:marBottom w:val="0"/>
      <w:divBdr>
        <w:top w:val="none" w:sz="0" w:space="0" w:color="auto"/>
        <w:left w:val="none" w:sz="0" w:space="0" w:color="auto"/>
        <w:bottom w:val="none" w:sz="0" w:space="0" w:color="auto"/>
        <w:right w:val="none" w:sz="0" w:space="0" w:color="auto"/>
      </w:divBdr>
      <w:divsChild>
        <w:div w:id="2092500841">
          <w:marLeft w:val="0"/>
          <w:marRight w:val="0"/>
          <w:marTop w:val="0"/>
          <w:marBottom w:val="0"/>
          <w:divBdr>
            <w:top w:val="none" w:sz="0" w:space="0" w:color="auto"/>
            <w:left w:val="none" w:sz="0" w:space="0" w:color="auto"/>
            <w:bottom w:val="none" w:sz="0" w:space="0" w:color="auto"/>
            <w:right w:val="none" w:sz="0" w:space="0" w:color="auto"/>
          </w:divBdr>
          <w:divsChild>
            <w:div w:id="1802267695">
              <w:marLeft w:val="0"/>
              <w:marRight w:val="0"/>
              <w:marTop w:val="0"/>
              <w:marBottom w:val="0"/>
              <w:divBdr>
                <w:top w:val="none" w:sz="0" w:space="0" w:color="auto"/>
                <w:left w:val="none" w:sz="0" w:space="0" w:color="auto"/>
                <w:bottom w:val="none" w:sz="0" w:space="0" w:color="auto"/>
                <w:right w:val="none" w:sz="0" w:space="0" w:color="auto"/>
              </w:divBdr>
              <w:divsChild>
                <w:div w:id="4472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2262">
      <w:bodyDiv w:val="1"/>
      <w:marLeft w:val="0"/>
      <w:marRight w:val="0"/>
      <w:marTop w:val="0"/>
      <w:marBottom w:val="0"/>
      <w:divBdr>
        <w:top w:val="none" w:sz="0" w:space="0" w:color="auto"/>
        <w:left w:val="none" w:sz="0" w:space="0" w:color="auto"/>
        <w:bottom w:val="none" w:sz="0" w:space="0" w:color="auto"/>
        <w:right w:val="none" w:sz="0" w:space="0" w:color="auto"/>
      </w:divBdr>
    </w:div>
    <w:div w:id="1697583364">
      <w:bodyDiv w:val="1"/>
      <w:marLeft w:val="0"/>
      <w:marRight w:val="0"/>
      <w:marTop w:val="0"/>
      <w:marBottom w:val="0"/>
      <w:divBdr>
        <w:top w:val="none" w:sz="0" w:space="0" w:color="auto"/>
        <w:left w:val="none" w:sz="0" w:space="0" w:color="auto"/>
        <w:bottom w:val="none" w:sz="0" w:space="0" w:color="auto"/>
        <w:right w:val="none" w:sz="0" w:space="0" w:color="auto"/>
      </w:divBdr>
    </w:div>
    <w:div w:id="1704749948">
      <w:bodyDiv w:val="1"/>
      <w:marLeft w:val="0"/>
      <w:marRight w:val="0"/>
      <w:marTop w:val="0"/>
      <w:marBottom w:val="0"/>
      <w:divBdr>
        <w:top w:val="none" w:sz="0" w:space="0" w:color="auto"/>
        <w:left w:val="none" w:sz="0" w:space="0" w:color="auto"/>
        <w:bottom w:val="none" w:sz="0" w:space="0" w:color="auto"/>
        <w:right w:val="none" w:sz="0" w:space="0" w:color="auto"/>
      </w:divBdr>
    </w:div>
    <w:div w:id="1712264207">
      <w:bodyDiv w:val="1"/>
      <w:marLeft w:val="0"/>
      <w:marRight w:val="0"/>
      <w:marTop w:val="0"/>
      <w:marBottom w:val="0"/>
      <w:divBdr>
        <w:top w:val="none" w:sz="0" w:space="0" w:color="auto"/>
        <w:left w:val="none" w:sz="0" w:space="0" w:color="auto"/>
        <w:bottom w:val="none" w:sz="0" w:space="0" w:color="auto"/>
        <w:right w:val="none" w:sz="0" w:space="0" w:color="auto"/>
      </w:divBdr>
    </w:div>
    <w:div w:id="1715813233">
      <w:bodyDiv w:val="1"/>
      <w:marLeft w:val="0"/>
      <w:marRight w:val="0"/>
      <w:marTop w:val="0"/>
      <w:marBottom w:val="0"/>
      <w:divBdr>
        <w:top w:val="none" w:sz="0" w:space="0" w:color="auto"/>
        <w:left w:val="none" w:sz="0" w:space="0" w:color="auto"/>
        <w:bottom w:val="none" w:sz="0" w:space="0" w:color="auto"/>
        <w:right w:val="none" w:sz="0" w:space="0" w:color="auto"/>
      </w:divBdr>
    </w:div>
    <w:div w:id="1716809145">
      <w:bodyDiv w:val="1"/>
      <w:marLeft w:val="0"/>
      <w:marRight w:val="0"/>
      <w:marTop w:val="0"/>
      <w:marBottom w:val="0"/>
      <w:divBdr>
        <w:top w:val="none" w:sz="0" w:space="0" w:color="auto"/>
        <w:left w:val="none" w:sz="0" w:space="0" w:color="auto"/>
        <w:bottom w:val="none" w:sz="0" w:space="0" w:color="auto"/>
        <w:right w:val="none" w:sz="0" w:space="0" w:color="auto"/>
      </w:divBdr>
    </w:div>
    <w:div w:id="1728069321">
      <w:bodyDiv w:val="1"/>
      <w:marLeft w:val="0"/>
      <w:marRight w:val="0"/>
      <w:marTop w:val="0"/>
      <w:marBottom w:val="0"/>
      <w:divBdr>
        <w:top w:val="none" w:sz="0" w:space="0" w:color="auto"/>
        <w:left w:val="none" w:sz="0" w:space="0" w:color="auto"/>
        <w:bottom w:val="none" w:sz="0" w:space="0" w:color="auto"/>
        <w:right w:val="none" w:sz="0" w:space="0" w:color="auto"/>
      </w:divBdr>
    </w:div>
    <w:div w:id="1737586176">
      <w:bodyDiv w:val="1"/>
      <w:marLeft w:val="0"/>
      <w:marRight w:val="0"/>
      <w:marTop w:val="0"/>
      <w:marBottom w:val="0"/>
      <w:divBdr>
        <w:top w:val="none" w:sz="0" w:space="0" w:color="auto"/>
        <w:left w:val="none" w:sz="0" w:space="0" w:color="auto"/>
        <w:bottom w:val="none" w:sz="0" w:space="0" w:color="auto"/>
        <w:right w:val="none" w:sz="0" w:space="0" w:color="auto"/>
      </w:divBdr>
    </w:div>
    <w:div w:id="1743524416">
      <w:bodyDiv w:val="1"/>
      <w:marLeft w:val="0"/>
      <w:marRight w:val="0"/>
      <w:marTop w:val="0"/>
      <w:marBottom w:val="0"/>
      <w:divBdr>
        <w:top w:val="none" w:sz="0" w:space="0" w:color="auto"/>
        <w:left w:val="none" w:sz="0" w:space="0" w:color="auto"/>
        <w:bottom w:val="none" w:sz="0" w:space="0" w:color="auto"/>
        <w:right w:val="none" w:sz="0" w:space="0" w:color="auto"/>
      </w:divBdr>
      <w:divsChild>
        <w:div w:id="408044802">
          <w:marLeft w:val="0"/>
          <w:marRight w:val="0"/>
          <w:marTop w:val="0"/>
          <w:marBottom w:val="0"/>
          <w:divBdr>
            <w:top w:val="none" w:sz="0" w:space="0" w:color="auto"/>
            <w:left w:val="none" w:sz="0" w:space="0" w:color="auto"/>
            <w:bottom w:val="none" w:sz="0" w:space="0" w:color="auto"/>
            <w:right w:val="none" w:sz="0" w:space="0" w:color="auto"/>
          </w:divBdr>
          <w:divsChild>
            <w:div w:id="717823309">
              <w:marLeft w:val="0"/>
              <w:marRight w:val="0"/>
              <w:marTop w:val="0"/>
              <w:marBottom w:val="0"/>
              <w:divBdr>
                <w:top w:val="none" w:sz="0" w:space="0" w:color="auto"/>
                <w:left w:val="none" w:sz="0" w:space="0" w:color="auto"/>
                <w:bottom w:val="none" w:sz="0" w:space="0" w:color="auto"/>
                <w:right w:val="none" w:sz="0" w:space="0" w:color="auto"/>
              </w:divBdr>
              <w:divsChild>
                <w:div w:id="328018561">
                  <w:marLeft w:val="0"/>
                  <w:marRight w:val="0"/>
                  <w:marTop w:val="0"/>
                  <w:marBottom w:val="0"/>
                  <w:divBdr>
                    <w:top w:val="none" w:sz="0" w:space="0" w:color="auto"/>
                    <w:left w:val="none" w:sz="0" w:space="0" w:color="auto"/>
                    <w:bottom w:val="none" w:sz="0" w:space="0" w:color="auto"/>
                    <w:right w:val="none" w:sz="0" w:space="0" w:color="auto"/>
                  </w:divBdr>
                  <w:divsChild>
                    <w:div w:id="20975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22417">
      <w:bodyDiv w:val="1"/>
      <w:marLeft w:val="0"/>
      <w:marRight w:val="0"/>
      <w:marTop w:val="0"/>
      <w:marBottom w:val="0"/>
      <w:divBdr>
        <w:top w:val="none" w:sz="0" w:space="0" w:color="auto"/>
        <w:left w:val="none" w:sz="0" w:space="0" w:color="auto"/>
        <w:bottom w:val="none" w:sz="0" w:space="0" w:color="auto"/>
        <w:right w:val="none" w:sz="0" w:space="0" w:color="auto"/>
      </w:divBdr>
    </w:div>
    <w:div w:id="1776098857">
      <w:bodyDiv w:val="1"/>
      <w:marLeft w:val="0"/>
      <w:marRight w:val="0"/>
      <w:marTop w:val="0"/>
      <w:marBottom w:val="0"/>
      <w:divBdr>
        <w:top w:val="none" w:sz="0" w:space="0" w:color="auto"/>
        <w:left w:val="none" w:sz="0" w:space="0" w:color="auto"/>
        <w:bottom w:val="none" w:sz="0" w:space="0" w:color="auto"/>
        <w:right w:val="none" w:sz="0" w:space="0" w:color="auto"/>
      </w:divBdr>
      <w:divsChild>
        <w:div w:id="88820140">
          <w:marLeft w:val="0"/>
          <w:marRight w:val="0"/>
          <w:marTop w:val="0"/>
          <w:marBottom w:val="0"/>
          <w:divBdr>
            <w:top w:val="none" w:sz="0" w:space="0" w:color="auto"/>
            <w:left w:val="none" w:sz="0" w:space="0" w:color="auto"/>
            <w:bottom w:val="none" w:sz="0" w:space="0" w:color="auto"/>
            <w:right w:val="none" w:sz="0" w:space="0" w:color="auto"/>
          </w:divBdr>
          <w:divsChild>
            <w:div w:id="1372615078">
              <w:marLeft w:val="0"/>
              <w:marRight w:val="0"/>
              <w:marTop w:val="0"/>
              <w:marBottom w:val="0"/>
              <w:divBdr>
                <w:top w:val="none" w:sz="0" w:space="0" w:color="auto"/>
                <w:left w:val="none" w:sz="0" w:space="0" w:color="auto"/>
                <w:bottom w:val="none" w:sz="0" w:space="0" w:color="auto"/>
                <w:right w:val="none" w:sz="0" w:space="0" w:color="auto"/>
              </w:divBdr>
              <w:divsChild>
                <w:div w:id="705180821">
                  <w:marLeft w:val="0"/>
                  <w:marRight w:val="0"/>
                  <w:marTop w:val="0"/>
                  <w:marBottom w:val="0"/>
                  <w:divBdr>
                    <w:top w:val="none" w:sz="0" w:space="0" w:color="auto"/>
                    <w:left w:val="none" w:sz="0" w:space="0" w:color="auto"/>
                    <w:bottom w:val="none" w:sz="0" w:space="0" w:color="auto"/>
                    <w:right w:val="none" w:sz="0" w:space="0" w:color="auto"/>
                  </w:divBdr>
                  <w:divsChild>
                    <w:div w:id="20835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979">
      <w:bodyDiv w:val="1"/>
      <w:marLeft w:val="0"/>
      <w:marRight w:val="0"/>
      <w:marTop w:val="0"/>
      <w:marBottom w:val="0"/>
      <w:divBdr>
        <w:top w:val="none" w:sz="0" w:space="0" w:color="auto"/>
        <w:left w:val="none" w:sz="0" w:space="0" w:color="auto"/>
        <w:bottom w:val="none" w:sz="0" w:space="0" w:color="auto"/>
        <w:right w:val="none" w:sz="0" w:space="0" w:color="auto"/>
      </w:divBdr>
      <w:divsChild>
        <w:div w:id="1013217288">
          <w:marLeft w:val="0"/>
          <w:marRight w:val="0"/>
          <w:marTop w:val="0"/>
          <w:marBottom w:val="0"/>
          <w:divBdr>
            <w:top w:val="none" w:sz="0" w:space="0" w:color="auto"/>
            <w:left w:val="none" w:sz="0" w:space="0" w:color="auto"/>
            <w:bottom w:val="none" w:sz="0" w:space="0" w:color="auto"/>
            <w:right w:val="none" w:sz="0" w:space="0" w:color="auto"/>
          </w:divBdr>
          <w:divsChild>
            <w:div w:id="850611400">
              <w:marLeft w:val="0"/>
              <w:marRight w:val="0"/>
              <w:marTop w:val="0"/>
              <w:marBottom w:val="0"/>
              <w:divBdr>
                <w:top w:val="none" w:sz="0" w:space="0" w:color="auto"/>
                <w:left w:val="none" w:sz="0" w:space="0" w:color="auto"/>
                <w:bottom w:val="none" w:sz="0" w:space="0" w:color="auto"/>
                <w:right w:val="none" w:sz="0" w:space="0" w:color="auto"/>
              </w:divBdr>
              <w:divsChild>
                <w:div w:id="9023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571">
      <w:bodyDiv w:val="1"/>
      <w:marLeft w:val="0"/>
      <w:marRight w:val="0"/>
      <w:marTop w:val="0"/>
      <w:marBottom w:val="0"/>
      <w:divBdr>
        <w:top w:val="none" w:sz="0" w:space="0" w:color="auto"/>
        <w:left w:val="none" w:sz="0" w:space="0" w:color="auto"/>
        <w:bottom w:val="none" w:sz="0" w:space="0" w:color="auto"/>
        <w:right w:val="none" w:sz="0" w:space="0" w:color="auto"/>
      </w:divBdr>
    </w:div>
    <w:div w:id="1833718354">
      <w:bodyDiv w:val="1"/>
      <w:marLeft w:val="0"/>
      <w:marRight w:val="0"/>
      <w:marTop w:val="0"/>
      <w:marBottom w:val="0"/>
      <w:divBdr>
        <w:top w:val="none" w:sz="0" w:space="0" w:color="auto"/>
        <w:left w:val="none" w:sz="0" w:space="0" w:color="auto"/>
        <w:bottom w:val="none" w:sz="0" w:space="0" w:color="auto"/>
        <w:right w:val="none" w:sz="0" w:space="0" w:color="auto"/>
      </w:divBdr>
      <w:divsChild>
        <w:div w:id="474025661">
          <w:marLeft w:val="0"/>
          <w:marRight w:val="0"/>
          <w:marTop w:val="0"/>
          <w:marBottom w:val="0"/>
          <w:divBdr>
            <w:top w:val="none" w:sz="0" w:space="0" w:color="auto"/>
            <w:left w:val="none" w:sz="0" w:space="0" w:color="auto"/>
            <w:bottom w:val="none" w:sz="0" w:space="0" w:color="auto"/>
            <w:right w:val="none" w:sz="0" w:space="0" w:color="auto"/>
          </w:divBdr>
          <w:divsChild>
            <w:div w:id="1695032540">
              <w:marLeft w:val="0"/>
              <w:marRight w:val="0"/>
              <w:marTop w:val="0"/>
              <w:marBottom w:val="0"/>
              <w:divBdr>
                <w:top w:val="none" w:sz="0" w:space="0" w:color="auto"/>
                <w:left w:val="none" w:sz="0" w:space="0" w:color="auto"/>
                <w:bottom w:val="none" w:sz="0" w:space="0" w:color="auto"/>
                <w:right w:val="none" w:sz="0" w:space="0" w:color="auto"/>
              </w:divBdr>
              <w:divsChild>
                <w:div w:id="17283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4422">
      <w:bodyDiv w:val="1"/>
      <w:marLeft w:val="0"/>
      <w:marRight w:val="0"/>
      <w:marTop w:val="0"/>
      <w:marBottom w:val="0"/>
      <w:divBdr>
        <w:top w:val="none" w:sz="0" w:space="0" w:color="auto"/>
        <w:left w:val="none" w:sz="0" w:space="0" w:color="auto"/>
        <w:bottom w:val="none" w:sz="0" w:space="0" w:color="auto"/>
        <w:right w:val="none" w:sz="0" w:space="0" w:color="auto"/>
      </w:divBdr>
    </w:div>
    <w:div w:id="1843206294">
      <w:bodyDiv w:val="1"/>
      <w:marLeft w:val="0"/>
      <w:marRight w:val="0"/>
      <w:marTop w:val="0"/>
      <w:marBottom w:val="0"/>
      <w:divBdr>
        <w:top w:val="none" w:sz="0" w:space="0" w:color="auto"/>
        <w:left w:val="none" w:sz="0" w:space="0" w:color="auto"/>
        <w:bottom w:val="none" w:sz="0" w:space="0" w:color="auto"/>
        <w:right w:val="none" w:sz="0" w:space="0" w:color="auto"/>
      </w:divBdr>
    </w:div>
    <w:div w:id="1858077852">
      <w:bodyDiv w:val="1"/>
      <w:marLeft w:val="0"/>
      <w:marRight w:val="0"/>
      <w:marTop w:val="0"/>
      <w:marBottom w:val="0"/>
      <w:divBdr>
        <w:top w:val="none" w:sz="0" w:space="0" w:color="auto"/>
        <w:left w:val="none" w:sz="0" w:space="0" w:color="auto"/>
        <w:bottom w:val="none" w:sz="0" w:space="0" w:color="auto"/>
        <w:right w:val="none" w:sz="0" w:space="0" w:color="auto"/>
      </w:divBdr>
      <w:divsChild>
        <w:div w:id="130900788">
          <w:marLeft w:val="0"/>
          <w:marRight w:val="0"/>
          <w:marTop w:val="0"/>
          <w:marBottom w:val="0"/>
          <w:divBdr>
            <w:top w:val="none" w:sz="0" w:space="0" w:color="auto"/>
            <w:left w:val="none" w:sz="0" w:space="0" w:color="auto"/>
            <w:bottom w:val="none" w:sz="0" w:space="0" w:color="auto"/>
            <w:right w:val="none" w:sz="0" w:space="0" w:color="auto"/>
          </w:divBdr>
          <w:divsChild>
            <w:div w:id="834493497">
              <w:marLeft w:val="0"/>
              <w:marRight w:val="0"/>
              <w:marTop w:val="0"/>
              <w:marBottom w:val="0"/>
              <w:divBdr>
                <w:top w:val="none" w:sz="0" w:space="0" w:color="auto"/>
                <w:left w:val="none" w:sz="0" w:space="0" w:color="auto"/>
                <w:bottom w:val="none" w:sz="0" w:space="0" w:color="auto"/>
                <w:right w:val="none" w:sz="0" w:space="0" w:color="auto"/>
              </w:divBdr>
              <w:divsChild>
                <w:div w:id="6964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6343">
      <w:bodyDiv w:val="1"/>
      <w:marLeft w:val="0"/>
      <w:marRight w:val="0"/>
      <w:marTop w:val="0"/>
      <w:marBottom w:val="0"/>
      <w:divBdr>
        <w:top w:val="none" w:sz="0" w:space="0" w:color="auto"/>
        <w:left w:val="none" w:sz="0" w:space="0" w:color="auto"/>
        <w:bottom w:val="none" w:sz="0" w:space="0" w:color="auto"/>
        <w:right w:val="none" w:sz="0" w:space="0" w:color="auto"/>
      </w:divBdr>
    </w:div>
    <w:div w:id="1870678443">
      <w:bodyDiv w:val="1"/>
      <w:marLeft w:val="0"/>
      <w:marRight w:val="0"/>
      <w:marTop w:val="0"/>
      <w:marBottom w:val="0"/>
      <w:divBdr>
        <w:top w:val="none" w:sz="0" w:space="0" w:color="auto"/>
        <w:left w:val="none" w:sz="0" w:space="0" w:color="auto"/>
        <w:bottom w:val="none" w:sz="0" w:space="0" w:color="auto"/>
        <w:right w:val="none" w:sz="0" w:space="0" w:color="auto"/>
      </w:divBdr>
    </w:div>
    <w:div w:id="1899702087">
      <w:bodyDiv w:val="1"/>
      <w:marLeft w:val="0"/>
      <w:marRight w:val="0"/>
      <w:marTop w:val="0"/>
      <w:marBottom w:val="0"/>
      <w:divBdr>
        <w:top w:val="none" w:sz="0" w:space="0" w:color="auto"/>
        <w:left w:val="none" w:sz="0" w:space="0" w:color="auto"/>
        <w:bottom w:val="none" w:sz="0" w:space="0" w:color="auto"/>
        <w:right w:val="none" w:sz="0" w:space="0" w:color="auto"/>
      </w:divBdr>
    </w:div>
    <w:div w:id="1936209901">
      <w:bodyDiv w:val="1"/>
      <w:marLeft w:val="0"/>
      <w:marRight w:val="0"/>
      <w:marTop w:val="0"/>
      <w:marBottom w:val="0"/>
      <w:divBdr>
        <w:top w:val="none" w:sz="0" w:space="0" w:color="auto"/>
        <w:left w:val="none" w:sz="0" w:space="0" w:color="auto"/>
        <w:bottom w:val="none" w:sz="0" w:space="0" w:color="auto"/>
        <w:right w:val="none" w:sz="0" w:space="0" w:color="auto"/>
      </w:divBdr>
    </w:div>
    <w:div w:id="1943494337">
      <w:bodyDiv w:val="1"/>
      <w:marLeft w:val="0"/>
      <w:marRight w:val="0"/>
      <w:marTop w:val="0"/>
      <w:marBottom w:val="0"/>
      <w:divBdr>
        <w:top w:val="none" w:sz="0" w:space="0" w:color="auto"/>
        <w:left w:val="none" w:sz="0" w:space="0" w:color="auto"/>
        <w:bottom w:val="none" w:sz="0" w:space="0" w:color="auto"/>
        <w:right w:val="none" w:sz="0" w:space="0" w:color="auto"/>
      </w:divBdr>
    </w:div>
    <w:div w:id="1968125599">
      <w:bodyDiv w:val="1"/>
      <w:marLeft w:val="0"/>
      <w:marRight w:val="0"/>
      <w:marTop w:val="0"/>
      <w:marBottom w:val="0"/>
      <w:divBdr>
        <w:top w:val="none" w:sz="0" w:space="0" w:color="auto"/>
        <w:left w:val="none" w:sz="0" w:space="0" w:color="auto"/>
        <w:bottom w:val="none" w:sz="0" w:space="0" w:color="auto"/>
        <w:right w:val="none" w:sz="0" w:space="0" w:color="auto"/>
      </w:divBdr>
    </w:div>
    <w:div w:id="1977831524">
      <w:bodyDiv w:val="1"/>
      <w:marLeft w:val="0"/>
      <w:marRight w:val="0"/>
      <w:marTop w:val="0"/>
      <w:marBottom w:val="0"/>
      <w:divBdr>
        <w:top w:val="none" w:sz="0" w:space="0" w:color="auto"/>
        <w:left w:val="none" w:sz="0" w:space="0" w:color="auto"/>
        <w:bottom w:val="none" w:sz="0" w:space="0" w:color="auto"/>
        <w:right w:val="none" w:sz="0" w:space="0" w:color="auto"/>
      </w:divBdr>
    </w:div>
    <w:div w:id="1981958682">
      <w:bodyDiv w:val="1"/>
      <w:marLeft w:val="0"/>
      <w:marRight w:val="0"/>
      <w:marTop w:val="0"/>
      <w:marBottom w:val="0"/>
      <w:divBdr>
        <w:top w:val="none" w:sz="0" w:space="0" w:color="auto"/>
        <w:left w:val="none" w:sz="0" w:space="0" w:color="auto"/>
        <w:bottom w:val="none" w:sz="0" w:space="0" w:color="auto"/>
        <w:right w:val="none" w:sz="0" w:space="0" w:color="auto"/>
      </w:divBdr>
    </w:div>
    <w:div w:id="2021160749">
      <w:bodyDiv w:val="1"/>
      <w:marLeft w:val="0"/>
      <w:marRight w:val="0"/>
      <w:marTop w:val="0"/>
      <w:marBottom w:val="0"/>
      <w:divBdr>
        <w:top w:val="none" w:sz="0" w:space="0" w:color="auto"/>
        <w:left w:val="none" w:sz="0" w:space="0" w:color="auto"/>
        <w:bottom w:val="none" w:sz="0" w:space="0" w:color="auto"/>
        <w:right w:val="none" w:sz="0" w:space="0" w:color="auto"/>
      </w:divBdr>
      <w:divsChild>
        <w:div w:id="1902517663">
          <w:marLeft w:val="0"/>
          <w:marRight w:val="0"/>
          <w:marTop w:val="0"/>
          <w:marBottom w:val="0"/>
          <w:divBdr>
            <w:top w:val="none" w:sz="0" w:space="0" w:color="auto"/>
            <w:left w:val="none" w:sz="0" w:space="0" w:color="auto"/>
            <w:bottom w:val="none" w:sz="0" w:space="0" w:color="auto"/>
            <w:right w:val="none" w:sz="0" w:space="0" w:color="auto"/>
          </w:divBdr>
          <w:divsChild>
            <w:div w:id="299072554">
              <w:marLeft w:val="0"/>
              <w:marRight w:val="0"/>
              <w:marTop w:val="0"/>
              <w:marBottom w:val="0"/>
              <w:divBdr>
                <w:top w:val="none" w:sz="0" w:space="0" w:color="auto"/>
                <w:left w:val="none" w:sz="0" w:space="0" w:color="auto"/>
                <w:bottom w:val="none" w:sz="0" w:space="0" w:color="auto"/>
                <w:right w:val="none" w:sz="0" w:space="0" w:color="auto"/>
              </w:divBdr>
              <w:divsChild>
                <w:div w:id="6090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1313">
      <w:bodyDiv w:val="1"/>
      <w:marLeft w:val="0"/>
      <w:marRight w:val="0"/>
      <w:marTop w:val="0"/>
      <w:marBottom w:val="0"/>
      <w:divBdr>
        <w:top w:val="none" w:sz="0" w:space="0" w:color="auto"/>
        <w:left w:val="none" w:sz="0" w:space="0" w:color="auto"/>
        <w:bottom w:val="none" w:sz="0" w:space="0" w:color="auto"/>
        <w:right w:val="none" w:sz="0" w:space="0" w:color="auto"/>
      </w:divBdr>
      <w:divsChild>
        <w:div w:id="667246165">
          <w:marLeft w:val="0"/>
          <w:marRight w:val="0"/>
          <w:marTop w:val="0"/>
          <w:marBottom w:val="0"/>
          <w:divBdr>
            <w:top w:val="none" w:sz="0" w:space="0" w:color="auto"/>
            <w:left w:val="none" w:sz="0" w:space="0" w:color="auto"/>
            <w:bottom w:val="none" w:sz="0" w:space="0" w:color="auto"/>
            <w:right w:val="none" w:sz="0" w:space="0" w:color="auto"/>
          </w:divBdr>
          <w:divsChild>
            <w:div w:id="346714811">
              <w:marLeft w:val="0"/>
              <w:marRight w:val="0"/>
              <w:marTop w:val="0"/>
              <w:marBottom w:val="0"/>
              <w:divBdr>
                <w:top w:val="none" w:sz="0" w:space="0" w:color="auto"/>
                <w:left w:val="none" w:sz="0" w:space="0" w:color="auto"/>
                <w:bottom w:val="none" w:sz="0" w:space="0" w:color="auto"/>
                <w:right w:val="none" w:sz="0" w:space="0" w:color="auto"/>
              </w:divBdr>
              <w:divsChild>
                <w:div w:id="14950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01811">
      <w:bodyDiv w:val="1"/>
      <w:marLeft w:val="0"/>
      <w:marRight w:val="0"/>
      <w:marTop w:val="0"/>
      <w:marBottom w:val="0"/>
      <w:divBdr>
        <w:top w:val="none" w:sz="0" w:space="0" w:color="auto"/>
        <w:left w:val="none" w:sz="0" w:space="0" w:color="auto"/>
        <w:bottom w:val="none" w:sz="0" w:space="0" w:color="auto"/>
        <w:right w:val="none" w:sz="0" w:space="0" w:color="auto"/>
      </w:divBdr>
      <w:divsChild>
        <w:div w:id="2130279876">
          <w:marLeft w:val="0"/>
          <w:marRight w:val="0"/>
          <w:marTop w:val="0"/>
          <w:marBottom w:val="0"/>
          <w:divBdr>
            <w:top w:val="none" w:sz="0" w:space="0" w:color="auto"/>
            <w:left w:val="none" w:sz="0" w:space="0" w:color="auto"/>
            <w:bottom w:val="none" w:sz="0" w:space="0" w:color="auto"/>
            <w:right w:val="none" w:sz="0" w:space="0" w:color="auto"/>
          </w:divBdr>
          <w:divsChild>
            <w:div w:id="1023364755">
              <w:marLeft w:val="0"/>
              <w:marRight w:val="0"/>
              <w:marTop w:val="0"/>
              <w:marBottom w:val="0"/>
              <w:divBdr>
                <w:top w:val="none" w:sz="0" w:space="0" w:color="auto"/>
                <w:left w:val="none" w:sz="0" w:space="0" w:color="auto"/>
                <w:bottom w:val="none" w:sz="0" w:space="0" w:color="auto"/>
                <w:right w:val="none" w:sz="0" w:space="0" w:color="auto"/>
              </w:divBdr>
              <w:divsChild>
                <w:div w:id="1146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6824">
      <w:bodyDiv w:val="1"/>
      <w:marLeft w:val="0"/>
      <w:marRight w:val="0"/>
      <w:marTop w:val="0"/>
      <w:marBottom w:val="0"/>
      <w:divBdr>
        <w:top w:val="none" w:sz="0" w:space="0" w:color="auto"/>
        <w:left w:val="none" w:sz="0" w:space="0" w:color="auto"/>
        <w:bottom w:val="none" w:sz="0" w:space="0" w:color="auto"/>
        <w:right w:val="none" w:sz="0" w:space="0" w:color="auto"/>
      </w:divBdr>
    </w:div>
    <w:div w:id="2078942471">
      <w:bodyDiv w:val="1"/>
      <w:marLeft w:val="0"/>
      <w:marRight w:val="0"/>
      <w:marTop w:val="0"/>
      <w:marBottom w:val="0"/>
      <w:divBdr>
        <w:top w:val="none" w:sz="0" w:space="0" w:color="auto"/>
        <w:left w:val="none" w:sz="0" w:space="0" w:color="auto"/>
        <w:bottom w:val="none" w:sz="0" w:space="0" w:color="auto"/>
        <w:right w:val="none" w:sz="0" w:space="0" w:color="auto"/>
      </w:divBdr>
    </w:div>
    <w:div w:id="2092383380">
      <w:bodyDiv w:val="1"/>
      <w:marLeft w:val="0"/>
      <w:marRight w:val="0"/>
      <w:marTop w:val="0"/>
      <w:marBottom w:val="0"/>
      <w:divBdr>
        <w:top w:val="none" w:sz="0" w:space="0" w:color="auto"/>
        <w:left w:val="none" w:sz="0" w:space="0" w:color="auto"/>
        <w:bottom w:val="none" w:sz="0" w:space="0" w:color="auto"/>
        <w:right w:val="none" w:sz="0" w:space="0" w:color="auto"/>
      </w:divBdr>
    </w:div>
    <w:div w:id="2104449693">
      <w:bodyDiv w:val="1"/>
      <w:marLeft w:val="0"/>
      <w:marRight w:val="0"/>
      <w:marTop w:val="0"/>
      <w:marBottom w:val="0"/>
      <w:divBdr>
        <w:top w:val="none" w:sz="0" w:space="0" w:color="auto"/>
        <w:left w:val="none" w:sz="0" w:space="0" w:color="auto"/>
        <w:bottom w:val="none" w:sz="0" w:space="0" w:color="auto"/>
        <w:right w:val="none" w:sz="0" w:space="0" w:color="auto"/>
      </w:divBdr>
    </w:div>
    <w:div w:id="2105565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3BB8-B798-1A42-B75A-17CC1F07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30</Pages>
  <Words>12426</Words>
  <Characters>70829</Characters>
  <Application>Microsoft Office Word</Application>
  <DocSecurity>0</DocSecurity>
  <Lines>590</Lines>
  <Paragraphs>166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Vassilis Tzevelekos</dc:creator>
  <cp:keywords/>
  <dc:description/>
  <cp:lastModifiedBy>Dr Vassilis Tzevelekos</cp:lastModifiedBy>
  <cp:revision>20</cp:revision>
  <dcterms:created xsi:type="dcterms:W3CDTF">2019-01-05T22:51:00Z</dcterms:created>
  <dcterms:modified xsi:type="dcterms:W3CDTF">2019-01-06T23:45:00Z</dcterms:modified>
</cp:coreProperties>
</file>