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F0B" w:rsidRPr="00567373" w:rsidRDefault="007D7F0B" w:rsidP="00021D25">
      <w:pPr>
        <w:rPr>
          <w:b/>
        </w:rPr>
      </w:pPr>
      <w:r w:rsidRPr="00567373">
        <w:rPr>
          <w:b/>
        </w:rPr>
        <w:t>Original Article</w:t>
      </w:r>
    </w:p>
    <w:p w:rsidR="007D7F0B" w:rsidRPr="00567373" w:rsidRDefault="007D7F0B" w:rsidP="00021D25">
      <w:pPr>
        <w:rPr>
          <w:b/>
        </w:rPr>
      </w:pPr>
    </w:p>
    <w:p w:rsidR="00CE7BBE" w:rsidRPr="00567373" w:rsidRDefault="007A7A91" w:rsidP="00021D25">
      <w:pPr>
        <w:rPr>
          <w:b/>
        </w:rPr>
      </w:pPr>
      <w:r w:rsidRPr="00567373">
        <w:rPr>
          <w:b/>
        </w:rPr>
        <w:t xml:space="preserve">Comparison of fasted basal insulin with the </w:t>
      </w:r>
      <w:r w:rsidR="00CE7BBE" w:rsidRPr="00567373">
        <w:rPr>
          <w:b/>
        </w:rPr>
        <w:t>combined glucose</w:t>
      </w:r>
      <w:r w:rsidR="005003BF" w:rsidRPr="00567373">
        <w:rPr>
          <w:b/>
        </w:rPr>
        <w:t>-</w:t>
      </w:r>
      <w:r w:rsidR="00CE7BBE" w:rsidRPr="00567373">
        <w:rPr>
          <w:b/>
        </w:rPr>
        <w:t>insulin</w:t>
      </w:r>
      <w:r w:rsidR="005003BF" w:rsidRPr="00567373">
        <w:rPr>
          <w:b/>
        </w:rPr>
        <w:t xml:space="preserve"> </w:t>
      </w:r>
      <w:r w:rsidR="00CE7BBE" w:rsidRPr="00567373">
        <w:rPr>
          <w:b/>
        </w:rPr>
        <w:t xml:space="preserve">test </w:t>
      </w:r>
      <w:r w:rsidR="00FC7CC4" w:rsidRPr="00567373">
        <w:rPr>
          <w:b/>
        </w:rPr>
        <w:t xml:space="preserve">in horses and </w:t>
      </w:r>
      <w:r w:rsidR="00393201" w:rsidRPr="00567373">
        <w:rPr>
          <w:b/>
        </w:rPr>
        <w:t xml:space="preserve">ponies with suspected </w:t>
      </w:r>
      <w:r w:rsidRPr="00567373">
        <w:rPr>
          <w:b/>
        </w:rPr>
        <w:t>insulin dysregulation</w:t>
      </w:r>
    </w:p>
    <w:p w:rsidR="00FC7CC4" w:rsidRPr="00567373" w:rsidRDefault="00FC7CC4" w:rsidP="00021D25">
      <w:pPr>
        <w:rPr>
          <w:b/>
          <w:u w:val="single"/>
        </w:rPr>
      </w:pPr>
    </w:p>
    <w:p w:rsidR="00FC67CD" w:rsidRPr="00567373" w:rsidRDefault="00F333DC" w:rsidP="00021D25">
      <w:r w:rsidRPr="00567373">
        <w:t>R</w:t>
      </w:r>
      <w:r w:rsidR="00E9277E">
        <w:t>.</w:t>
      </w:r>
      <w:r w:rsidRPr="00567373">
        <w:t>B. Olley</w:t>
      </w:r>
      <w:r w:rsidR="001A6CC5" w:rsidRPr="00567373">
        <w:t>,</w:t>
      </w:r>
      <w:r w:rsidRPr="00567373">
        <w:t xml:space="preserve"> H.B. Carslake</w:t>
      </w:r>
      <w:r w:rsidR="001A6CC5" w:rsidRPr="00567373">
        <w:t>,</w:t>
      </w:r>
      <w:r w:rsidR="00260B35" w:rsidRPr="00567373">
        <w:rPr>
          <w:vertAlign w:val="superscript"/>
        </w:rPr>
        <w:t xml:space="preserve"> </w:t>
      </w:r>
      <w:r w:rsidR="00260B35" w:rsidRPr="00567373">
        <w:t>J.L. Ireland</w:t>
      </w:r>
      <w:r w:rsidR="00EA5D8C" w:rsidRPr="00567373">
        <w:t>,</w:t>
      </w:r>
      <w:r w:rsidRPr="00567373">
        <w:rPr>
          <w:vertAlign w:val="superscript"/>
        </w:rPr>
        <w:t xml:space="preserve"> </w:t>
      </w:r>
      <w:r w:rsidRPr="00567373">
        <w:t>C.M. McGowan</w:t>
      </w:r>
      <w:r w:rsidR="004B68FD" w:rsidRPr="00567373">
        <w:t>*</w:t>
      </w:r>
    </w:p>
    <w:p w:rsidR="00B6564E" w:rsidRDefault="00F333DC" w:rsidP="00021D25">
      <w:pPr>
        <w:rPr>
          <w:i/>
        </w:rPr>
      </w:pPr>
      <w:r w:rsidRPr="00567373">
        <w:br/>
      </w:r>
      <w:r w:rsidR="007E52C5" w:rsidRPr="00567373">
        <w:rPr>
          <w:i/>
        </w:rPr>
        <w:t xml:space="preserve">Institute of Veterinary Science, Faculty of Health and Life Sciences, University of Liverpool, Leahurst, Cheshire </w:t>
      </w:r>
      <w:r w:rsidR="00787A3F" w:rsidRPr="00567373">
        <w:rPr>
          <w:i/>
        </w:rPr>
        <w:t xml:space="preserve">CH64 7TE </w:t>
      </w:r>
      <w:r w:rsidR="007E52C5" w:rsidRPr="00567373">
        <w:rPr>
          <w:i/>
        </w:rPr>
        <w:t>UK</w:t>
      </w:r>
    </w:p>
    <w:p w:rsidR="00021D25" w:rsidRDefault="00021D25" w:rsidP="00021D25">
      <w:pPr>
        <w:rPr>
          <w:i/>
        </w:rPr>
      </w:pPr>
    </w:p>
    <w:p w:rsidR="00021D25" w:rsidRPr="00567373" w:rsidRDefault="00021D25" w:rsidP="00021D25">
      <w:pPr>
        <w:rPr>
          <w:i/>
        </w:rPr>
      </w:pPr>
    </w:p>
    <w:p w:rsidR="00EA5D8C" w:rsidRPr="00567373" w:rsidRDefault="004B68FD" w:rsidP="00021D25">
      <w:r w:rsidRPr="00567373">
        <w:t>*Corresponding author</w:t>
      </w:r>
      <w:r w:rsidR="00EA5D8C" w:rsidRPr="00567373">
        <w:t>. Tel.: +44 151794</w:t>
      </w:r>
      <w:r w:rsidR="00E9277E" w:rsidRPr="00567373">
        <w:t>6</w:t>
      </w:r>
      <w:r w:rsidR="00EA5D8C" w:rsidRPr="00567373">
        <w:t>041.</w:t>
      </w:r>
    </w:p>
    <w:p w:rsidR="00581968" w:rsidRPr="00567373" w:rsidRDefault="00EA5D8C" w:rsidP="00021D25">
      <w:pPr>
        <w:rPr>
          <w:rStyle w:val="Hyperlink"/>
          <w:color w:val="auto"/>
          <w:u w:val="none"/>
        </w:rPr>
      </w:pPr>
      <w:r w:rsidRPr="00567373">
        <w:rPr>
          <w:i/>
        </w:rPr>
        <w:t>E-mail address</w:t>
      </w:r>
      <w:r w:rsidRPr="00567373">
        <w:t xml:space="preserve">: </w:t>
      </w:r>
      <w:hyperlink r:id="rId8" w:history="1">
        <w:r w:rsidR="00E228FF" w:rsidRPr="00567373">
          <w:rPr>
            <w:rStyle w:val="Hyperlink"/>
            <w:color w:val="auto"/>
          </w:rPr>
          <w:t>C.M.McGowan@liverpool.ac.uk</w:t>
        </w:r>
      </w:hyperlink>
      <w:r w:rsidRPr="00567373">
        <w:rPr>
          <w:rStyle w:val="Hyperlink"/>
          <w:color w:val="auto"/>
          <w:u w:val="none"/>
        </w:rPr>
        <w:t xml:space="preserve"> (C.M. McGowan).</w:t>
      </w:r>
    </w:p>
    <w:p w:rsidR="00DD78D3" w:rsidRPr="00567373" w:rsidRDefault="00DD78D3" w:rsidP="00021D25">
      <w:pPr>
        <w:rPr>
          <w:b/>
        </w:rPr>
      </w:pPr>
      <w:r w:rsidRPr="00567373">
        <w:rPr>
          <w:b/>
        </w:rPr>
        <w:br w:type="page"/>
      </w:r>
    </w:p>
    <w:p w:rsidR="00FB5413" w:rsidRPr="00D40858" w:rsidRDefault="0014100F" w:rsidP="00E10F86">
      <w:pPr>
        <w:spacing w:line="480" w:lineRule="auto"/>
        <w:rPr>
          <w:b/>
        </w:rPr>
      </w:pPr>
      <w:r w:rsidRPr="00567373">
        <w:rPr>
          <w:b/>
        </w:rPr>
        <w:lastRenderedPageBreak/>
        <w:t>Abstract</w:t>
      </w:r>
    </w:p>
    <w:p w:rsidR="00E228FF" w:rsidRPr="00567373" w:rsidRDefault="00E228FF" w:rsidP="00E10F86">
      <w:pPr>
        <w:spacing w:line="480" w:lineRule="auto"/>
        <w:ind w:firstLine="720"/>
      </w:pPr>
      <w:r w:rsidRPr="00567373">
        <w:t>Fasting horses for m</w:t>
      </w:r>
      <w:r w:rsidR="009C4DC6" w:rsidRPr="00567373">
        <w:t>easurement of b</w:t>
      </w:r>
      <w:r w:rsidR="00CE7BBE" w:rsidRPr="00567373">
        <w:t xml:space="preserve">asal </w:t>
      </w:r>
      <w:r w:rsidR="00C033BC" w:rsidRPr="00567373">
        <w:t xml:space="preserve">serum </w:t>
      </w:r>
      <w:r w:rsidR="00CE7BBE" w:rsidRPr="00567373">
        <w:t>insulin</w:t>
      </w:r>
      <w:r w:rsidR="00C033BC" w:rsidRPr="00567373">
        <w:t xml:space="preserve"> concentration</w:t>
      </w:r>
      <w:r w:rsidR="00CE7BBE" w:rsidRPr="00567373">
        <w:t xml:space="preserve"> (</w:t>
      </w:r>
      <w:r w:rsidR="000B641A">
        <w:t xml:space="preserve">fasting insulin; </w:t>
      </w:r>
      <w:r w:rsidRPr="00567373">
        <w:t>FI</w:t>
      </w:r>
      <w:r w:rsidR="00CE7BBE" w:rsidRPr="00567373">
        <w:t>)</w:t>
      </w:r>
      <w:r w:rsidR="009C4DC6" w:rsidRPr="00567373">
        <w:t xml:space="preserve"> </w:t>
      </w:r>
      <w:r w:rsidR="009E1E8F" w:rsidRPr="00567373">
        <w:t>has been recommended to standardise testing for</w:t>
      </w:r>
      <w:r w:rsidR="009C4DC6" w:rsidRPr="00567373">
        <w:t xml:space="preserve"> insulin dysregulation (ID)</w:t>
      </w:r>
      <w:r w:rsidR="009E1E8F" w:rsidRPr="00567373">
        <w:t xml:space="preserve">, yet </w:t>
      </w:r>
      <w:r w:rsidRPr="00567373">
        <w:t>l</w:t>
      </w:r>
      <w:r w:rsidR="00CE7BBE" w:rsidRPr="00567373">
        <w:t xml:space="preserve">imited data exist comparing it to dynamic </w:t>
      </w:r>
      <w:r w:rsidR="00A11820" w:rsidRPr="00567373">
        <w:t>tests.</w:t>
      </w:r>
      <w:r w:rsidR="00EA5D8C" w:rsidRPr="00567373">
        <w:t xml:space="preserve"> </w:t>
      </w:r>
      <w:r w:rsidRPr="00567373">
        <w:t>T</w:t>
      </w:r>
      <w:r w:rsidR="009E1E8F" w:rsidRPr="00567373">
        <w:t xml:space="preserve">his study </w:t>
      </w:r>
      <w:r w:rsidRPr="00567373">
        <w:t>aimed</w:t>
      </w:r>
      <w:r w:rsidR="0014100F" w:rsidRPr="00567373">
        <w:t xml:space="preserve"> to compare</w:t>
      </w:r>
      <w:r w:rsidR="002316EA" w:rsidRPr="00567373">
        <w:t xml:space="preserve"> </w:t>
      </w:r>
      <w:r w:rsidRPr="00567373">
        <w:t>FI</w:t>
      </w:r>
      <w:r w:rsidR="0014100F" w:rsidRPr="00567373">
        <w:t xml:space="preserve"> </w:t>
      </w:r>
      <w:r w:rsidR="002316EA" w:rsidRPr="00567373">
        <w:t>with the combined glucose</w:t>
      </w:r>
      <w:r w:rsidR="00F53AD8" w:rsidRPr="00567373">
        <w:t>-</w:t>
      </w:r>
      <w:r w:rsidR="002316EA" w:rsidRPr="00567373">
        <w:t xml:space="preserve">insulin test (CGIT) in </w:t>
      </w:r>
      <w:r w:rsidRPr="00567373">
        <w:t xml:space="preserve">horses </w:t>
      </w:r>
      <w:r w:rsidR="002316EA" w:rsidRPr="00567373">
        <w:t>suspect</w:t>
      </w:r>
      <w:r w:rsidR="00D40858">
        <w:t xml:space="preserve"> for</w:t>
      </w:r>
      <w:r w:rsidRPr="00567373">
        <w:t xml:space="preserve"> </w:t>
      </w:r>
      <w:r w:rsidR="002316EA" w:rsidRPr="00567373">
        <w:t xml:space="preserve">ID. </w:t>
      </w:r>
      <w:r w:rsidR="0014085E" w:rsidRPr="00567373">
        <w:t xml:space="preserve">We hypothesised </w:t>
      </w:r>
      <w:r w:rsidR="009C4DC6" w:rsidRPr="00567373">
        <w:t>that</w:t>
      </w:r>
      <w:r w:rsidR="00B952AF" w:rsidRPr="00567373">
        <w:t xml:space="preserve"> </w:t>
      </w:r>
      <w:r w:rsidR="00EE66DB" w:rsidRPr="00567373">
        <w:t>FI</w:t>
      </w:r>
      <w:r w:rsidRPr="00567373">
        <w:t xml:space="preserve"> </w:t>
      </w:r>
      <w:r w:rsidR="0014085E" w:rsidRPr="00567373">
        <w:t xml:space="preserve">would have </w:t>
      </w:r>
      <w:r w:rsidR="00931511" w:rsidRPr="00567373">
        <w:t>poor</w:t>
      </w:r>
      <w:r w:rsidR="0014085E" w:rsidRPr="00567373">
        <w:t xml:space="preserve"> sensitivity for detecting ID compared to CGIT</w:t>
      </w:r>
      <w:r w:rsidR="00B952AF" w:rsidRPr="00567373">
        <w:t xml:space="preserve"> using conventional cut-offs</w:t>
      </w:r>
      <w:r w:rsidR="0014085E" w:rsidRPr="00567373">
        <w:t xml:space="preserve">. </w:t>
      </w:r>
      <w:r w:rsidR="00082C76" w:rsidRPr="00567373">
        <w:t>Records were</w:t>
      </w:r>
      <w:r w:rsidR="0014100F" w:rsidRPr="00567373">
        <w:t xml:space="preserve"> retrieved </w:t>
      </w:r>
      <w:r w:rsidR="00F425C2" w:rsidRPr="00567373">
        <w:t>from</w:t>
      </w:r>
      <w:r w:rsidR="00E41FEC" w:rsidRPr="00567373">
        <w:t xml:space="preserve"> </w:t>
      </w:r>
      <w:r w:rsidR="00CE7BBE" w:rsidRPr="00567373">
        <w:t>CGIT</w:t>
      </w:r>
      <w:r w:rsidR="00F53AD8" w:rsidRPr="00567373">
        <w:t>s</w:t>
      </w:r>
      <w:r w:rsidR="00C033BC" w:rsidRPr="00567373">
        <w:t xml:space="preserve"> performed in </w:t>
      </w:r>
      <w:r w:rsidRPr="00567373">
        <w:t xml:space="preserve">horses </w:t>
      </w:r>
      <w:r w:rsidR="00C033BC" w:rsidRPr="00567373">
        <w:t xml:space="preserve">fasted </w:t>
      </w:r>
      <w:r w:rsidR="00810153" w:rsidRPr="00567373">
        <w:t xml:space="preserve">for </w:t>
      </w:r>
      <w:r w:rsidR="00C033BC" w:rsidRPr="00567373">
        <w:t>approximately 8</w:t>
      </w:r>
      <w:r w:rsidR="00377723">
        <w:t xml:space="preserve"> </w:t>
      </w:r>
      <w:r w:rsidR="00C033BC" w:rsidRPr="00567373">
        <w:t>h</w:t>
      </w:r>
      <w:r w:rsidR="00CE7BBE" w:rsidRPr="00567373">
        <w:t xml:space="preserve">. </w:t>
      </w:r>
      <w:r w:rsidR="00B93973" w:rsidRPr="00567373">
        <w:t>Serum i</w:t>
      </w:r>
      <w:r w:rsidR="00EE66DB" w:rsidRPr="00567373">
        <w:t xml:space="preserve">nsulin </w:t>
      </w:r>
      <w:r w:rsidR="00ED48FA" w:rsidRPr="00567373">
        <w:t xml:space="preserve">and glucose </w:t>
      </w:r>
      <w:r w:rsidR="00B93973" w:rsidRPr="00567373">
        <w:t xml:space="preserve">concentrations </w:t>
      </w:r>
      <w:r w:rsidR="0014100F" w:rsidRPr="00567373">
        <w:t xml:space="preserve">were </w:t>
      </w:r>
      <w:r w:rsidR="00EE66DB" w:rsidRPr="00567373">
        <w:t xml:space="preserve">measured </w:t>
      </w:r>
      <w:r w:rsidR="005003BF" w:rsidRPr="00567373">
        <w:t>before</w:t>
      </w:r>
      <w:r w:rsidR="00EE66DB" w:rsidRPr="00567373">
        <w:t xml:space="preserve"> and for</w:t>
      </w:r>
      <w:r w:rsidR="00ED48FA" w:rsidRPr="00567373">
        <w:t xml:space="preserve"> 150</w:t>
      </w:r>
      <w:r w:rsidR="00A842B0" w:rsidRPr="00567373">
        <w:t xml:space="preserve"> </w:t>
      </w:r>
      <w:r w:rsidR="00984E23">
        <w:t>min</w:t>
      </w:r>
      <w:r w:rsidR="00ED48FA" w:rsidRPr="00567373">
        <w:t xml:space="preserve"> following a</w:t>
      </w:r>
      <w:r w:rsidR="009D272C" w:rsidRPr="00567373">
        <w:t xml:space="preserve">n </w:t>
      </w:r>
      <w:r w:rsidR="00D217AD">
        <w:t xml:space="preserve">IV </w:t>
      </w:r>
      <w:r w:rsidR="00ED48FA" w:rsidRPr="00567373">
        <w:t xml:space="preserve">bolus of glucose followed by insulin. </w:t>
      </w:r>
      <w:r w:rsidR="0014100F" w:rsidRPr="00567373">
        <w:t xml:space="preserve">Correlations between </w:t>
      </w:r>
      <w:r w:rsidRPr="00567373">
        <w:t>FI</w:t>
      </w:r>
      <w:r w:rsidR="0014100F" w:rsidRPr="00567373">
        <w:t xml:space="preserve"> and CGIT values were assessed. </w:t>
      </w:r>
      <w:r w:rsidR="00612A31" w:rsidRPr="00567373">
        <w:t>Youden</w:t>
      </w:r>
      <w:r w:rsidR="00C52BB8" w:rsidRPr="00567373">
        <w:t>’s</w:t>
      </w:r>
      <w:r w:rsidR="00612A31" w:rsidRPr="00567373">
        <w:t xml:space="preserve"> index analysis </w:t>
      </w:r>
      <w:r w:rsidR="00F425C2" w:rsidRPr="00567373">
        <w:t xml:space="preserve">was </w:t>
      </w:r>
      <w:r w:rsidR="00CE7BBE" w:rsidRPr="00567373">
        <w:t xml:space="preserve">used to determine </w:t>
      </w:r>
      <w:r w:rsidR="00F425C2" w:rsidRPr="00567373">
        <w:t>the</w:t>
      </w:r>
      <w:r w:rsidR="005F7E43" w:rsidRPr="00567373">
        <w:t xml:space="preserve"> optimal cut</w:t>
      </w:r>
      <w:r w:rsidR="008F212D" w:rsidRPr="00567373">
        <w:t>-</w:t>
      </w:r>
      <w:r w:rsidR="005F7E43" w:rsidRPr="00567373">
        <w:t>off for</w:t>
      </w:r>
      <w:r w:rsidR="00ED48FA" w:rsidRPr="00567373">
        <w:t xml:space="preserve"> </w:t>
      </w:r>
      <w:r w:rsidRPr="00567373">
        <w:t>FI</w:t>
      </w:r>
      <w:r w:rsidR="00E10BA5" w:rsidRPr="00567373">
        <w:t xml:space="preserve">. </w:t>
      </w:r>
      <w:r w:rsidR="0014100F" w:rsidRPr="00567373">
        <w:t>L</w:t>
      </w:r>
      <w:r w:rsidR="00427232" w:rsidRPr="00567373">
        <w:t>ogistic regression</w:t>
      </w:r>
      <w:r w:rsidR="0014100F" w:rsidRPr="00567373">
        <w:t xml:space="preserve"> </w:t>
      </w:r>
      <w:r w:rsidR="00F425C2" w:rsidRPr="00567373">
        <w:t xml:space="preserve">and Mann-Whitney </w:t>
      </w:r>
      <w:r w:rsidR="00F425C2" w:rsidRPr="00567373">
        <w:rPr>
          <w:i/>
        </w:rPr>
        <w:t>U</w:t>
      </w:r>
      <w:r w:rsidR="00F425C2" w:rsidRPr="00567373">
        <w:t xml:space="preserve"> tests were</w:t>
      </w:r>
      <w:r w:rsidR="00427232" w:rsidRPr="00567373">
        <w:t xml:space="preserve"> </w:t>
      </w:r>
      <w:r w:rsidR="00E10BA5" w:rsidRPr="00567373">
        <w:t xml:space="preserve">used </w:t>
      </w:r>
      <w:r w:rsidR="00427232" w:rsidRPr="00567373">
        <w:t>to determine factors affecting the results</w:t>
      </w:r>
      <w:r w:rsidR="00CE7BBE" w:rsidRPr="00567373">
        <w:t>.</w:t>
      </w:r>
    </w:p>
    <w:p w:rsidR="00B030B9" w:rsidRPr="00567373" w:rsidRDefault="004415E1" w:rsidP="00E10F86">
      <w:pPr>
        <w:spacing w:line="480" w:lineRule="auto"/>
      </w:pPr>
      <w:r w:rsidRPr="00567373">
        <w:br/>
      </w:r>
      <w:r w:rsidR="00677123" w:rsidRPr="00567373">
        <w:t xml:space="preserve"> </w:t>
      </w:r>
      <w:r w:rsidR="00677123" w:rsidRPr="00567373">
        <w:tab/>
      </w:r>
      <w:r w:rsidR="00CE7BBE" w:rsidRPr="00567373">
        <w:t xml:space="preserve">CGITs </w:t>
      </w:r>
      <w:r w:rsidR="00D45341">
        <w:t>(</w:t>
      </w:r>
      <w:r w:rsidR="00D45341" w:rsidRPr="00D45341">
        <w:rPr>
          <w:i/>
        </w:rPr>
        <w:t>n</w:t>
      </w:r>
      <w:r w:rsidR="00D45341">
        <w:t xml:space="preserve">=130) </w:t>
      </w:r>
      <w:r w:rsidR="00CE7BBE" w:rsidRPr="00567373">
        <w:t xml:space="preserve">from </w:t>
      </w:r>
      <w:r w:rsidR="00813FE9" w:rsidRPr="00567373">
        <w:t xml:space="preserve">62 </w:t>
      </w:r>
      <w:r w:rsidR="00CE7BBE" w:rsidRPr="00567373">
        <w:t xml:space="preserve">horses were evaluated. </w:t>
      </w:r>
      <w:r w:rsidR="00124095" w:rsidRPr="00567373">
        <w:t>Compared to CGIT, s</w:t>
      </w:r>
      <w:r w:rsidR="00A65661" w:rsidRPr="00567373">
        <w:t xml:space="preserve">ensitivity and specificity of </w:t>
      </w:r>
      <w:r w:rsidR="00E228FF" w:rsidRPr="00567373">
        <w:t>FI</w:t>
      </w:r>
      <w:r w:rsidR="00A65661" w:rsidRPr="00567373">
        <w:t xml:space="preserve"> for diagnosis of ID </w:t>
      </w:r>
      <w:r w:rsidR="004A7215" w:rsidRPr="00567373">
        <w:t xml:space="preserve">were </w:t>
      </w:r>
      <w:r w:rsidR="00CE7BBE" w:rsidRPr="00567373">
        <w:t>14.</w:t>
      </w:r>
      <w:r w:rsidR="00B138E1" w:rsidRPr="00567373">
        <w:t>6</w:t>
      </w:r>
      <w:r w:rsidR="00CE7BBE" w:rsidRPr="00567373">
        <w:t>%</w:t>
      </w:r>
      <w:r w:rsidR="00A65661" w:rsidRPr="00567373">
        <w:t xml:space="preserve"> and 100% at </w:t>
      </w:r>
      <w:r w:rsidR="00721A1A" w:rsidRPr="00567373">
        <w:t xml:space="preserve">a cut-off of </w:t>
      </w:r>
      <w:r w:rsidR="00A65661" w:rsidRPr="00567373">
        <w:t>20 µIU/m</w:t>
      </w:r>
      <w:r w:rsidR="00C4513B" w:rsidRPr="00567373">
        <w:t>L</w:t>
      </w:r>
      <w:r w:rsidR="00A65661" w:rsidRPr="00567373">
        <w:t xml:space="preserve"> and 63</w:t>
      </w:r>
      <w:r w:rsidR="00EF3AFB" w:rsidRPr="00567373">
        <w:t>.4%</w:t>
      </w:r>
      <w:r w:rsidR="00A65661" w:rsidRPr="00567373">
        <w:t xml:space="preserve"> and 87</w:t>
      </w:r>
      <w:r w:rsidR="00EF3AFB" w:rsidRPr="00567373">
        <w:t>.2</w:t>
      </w:r>
      <w:r w:rsidR="00A65661" w:rsidRPr="00567373">
        <w:t xml:space="preserve">% at </w:t>
      </w:r>
      <w:r w:rsidR="00721A1A" w:rsidRPr="00567373">
        <w:t xml:space="preserve">a cut-off of </w:t>
      </w:r>
      <w:r w:rsidR="00A65661" w:rsidRPr="00567373">
        <w:t>5.2 µIU/m</w:t>
      </w:r>
      <w:r w:rsidR="00C4513B" w:rsidRPr="00567373">
        <w:t>L</w:t>
      </w:r>
      <w:r w:rsidR="00D217AD">
        <w:t>, respectively</w:t>
      </w:r>
      <w:r w:rsidR="00D106B4" w:rsidRPr="00567373">
        <w:t>.</w:t>
      </w:r>
      <w:r w:rsidR="00CE7BBE" w:rsidRPr="00567373">
        <w:t xml:space="preserve"> </w:t>
      </w:r>
      <w:r w:rsidR="00E228FF" w:rsidRPr="00567373">
        <w:t>FI</w:t>
      </w:r>
      <w:r w:rsidR="00CE7BBE" w:rsidRPr="00567373">
        <w:t xml:space="preserve"> </w:t>
      </w:r>
      <w:r w:rsidR="004A7215" w:rsidRPr="00567373">
        <w:t xml:space="preserve">was significantly </w:t>
      </w:r>
      <w:r w:rsidR="00CE7BBE" w:rsidRPr="00567373">
        <w:t xml:space="preserve">correlated </w:t>
      </w:r>
      <w:r w:rsidR="000A7FA3" w:rsidRPr="00567373">
        <w:t xml:space="preserve">with </w:t>
      </w:r>
      <w:r w:rsidR="00CE7BBE" w:rsidRPr="00567373">
        <w:t>insulin at 45</w:t>
      </w:r>
      <w:r w:rsidR="00A842B0" w:rsidRPr="00567373">
        <w:t xml:space="preserve"> </w:t>
      </w:r>
      <w:r w:rsidR="00984E23">
        <w:t>min</w:t>
      </w:r>
      <w:r w:rsidR="00CE7BBE" w:rsidRPr="00567373">
        <w:t xml:space="preserve"> (</w:t>
      </w:r>
      <w:r w:rsidR="00CE7BBE" w:rsidRPr="00A20AAE">
        <w:rPr>
          <w:i/>
        </w:rPr>
        <w:t>r</w:t>
      </w:r>
      <w:r w:rsidR="00CE7BBE" w:rsidRPr="00567373">
        <w:rPr>
          <w:vertAlign w:val="subscript"/>
        </w:rPr>
        <w:t>s</w:t>
      </w:r>
      <w:r w:rsidR="00CE7BBE" w:rsidRPr="00567373">
        <w:t>=0.66) and 75</w:t>
      </w:r>
      <w:r w:rsidR="00A842B0" w:rsidRPr="00567373">
        <w:t xml:space="preserve"> </w:t>
      </w:r>
      <w:r w:rsidR="00984E23">
        <w:t>min</w:t>
      </w:r>
      <w:r w:rsidR="00CE7BBE" w:rsidRPr="00567373">
        <w:t xml:space="preserve"> (</w:t>
      </w:r>
      <w:r w:rsidR="00CE7BBE" w:rsidRPr="00A20AAE">
        <w:rPr>
          <w:i/>
        </w:rPr>
        <w:t>r</w:t>
      </w:r>
      <w:r w:rsidR="00CE7BBE" w:rsidRPr="00567373">
        <w:rPr>
          <w:vertAlign w:val="subscript"/>
        </w:rPr>
        <w:t>s</w:t>
      </w:r>
      <w:r w:rsidR="00CE7BBE" w:rsidRPr="00567373">
        <w:t xml:space="preserve">=0.72); </w:t>
      </w:r>
      <w:r w:rsidR="00D217AD">
        <w:t>area under the curve for insulin (</w:t>
      </w:r>
      <w:r w:rsidR="00CE7BBE" w:rsidRPr="00567373">
        <w:t>AUC</w:t>
      </w:r>
      <w:r w:rsidR="00CE7BBE" w:rsidRPr="00567373">
        <w:rPr>
          <w:vertAlign w:val="subscript"/>
        </w:rPr>
        <w:t>insulin</w:t>
      </w:r>
      <w:r w:rsidR="00D217AD">
        <w:t xml:space="preserve">; </w:t>
      </w:r>
      <w:r w:rsidR="00CE7BBE" w:rsidRPr="00A20AAE">
        <w:rPr>
          <w:i/>
        </w:rPr>
        <w:t>r</w:t>
      </w:r>
      <w:r w:rsidR="00CE7BBE" w:rsidRPr="00567373">
        <w:rPr>
          <w:vertAlign w:val="subscript"/>
        </w:rPr>
        <w:t>s</w:t>
      </w:r>
      <w:r w:rsidR="00CE7BBE" w:rsidRPr="00567373">
        <w:t>=0.67); glucose at 45</w:t>
      </w:r>
      <w:r w:rsidR="00A842B0" w:rsidRPr="00567373">
        <w:t xml:space="preserve"> </w:t>
      </w:r>
      <w:r w:rsidR="00984E23">
        <w:t>min</w:t>
      </w:r>
      <w:r w:rsidR="00CE7BBE" w:rsidRPr="00567373">
        <w:t xml:space="preserve"> (</w:t>
      </w:r>
      <w:r w:rsidR="00CE7BBE" w:rsidRPr="00A20AAE">
        <w:rPr>
          <w:i/>
        </w:rPr>
        <w:t>r</w:t>
      </w:r>
      <w:r w:rsidR="00CE7BBE" w:rsidRPr="00567373">
        <w:rPr>
          <w:vertAlign w:val="subscript"/>
        </w:rPr>
        <w:t>s</w:t>
      </w:r>
      <w:r w:rsidR="00CE7BBE" w:rsidRPr="00567373">
        <w:t>=0.53); and AUC</w:t>
      </w:r>
      <w:r w:rsidR="00CE7BBE" w:rsidRPr="00567373">
        <w:rPr>
          <w:vertAlign w:val="subscript"/>
        </w:rPr>
        <w:t>glucose</w:t>
      </w:r>
      <w:r w:rsidR="00CE7BBE" w:rsidRPr="00567373">
        <w:t xml:space="preserve"> (</w:t>
      </w:r>
      <w:r w:rsidR="00CE7BBE" w:rsidRPr="00A20AAE">
        <w:rPr>
          <w:i/>
        </w:rPr>
        <w:t>r</w:t>
      </w:r>
      <w:r w:rsidR="00CE7BBE" w:rsidRPr="00567373">
        <w:rPr>
          <w:vertAlign w:val="subscript"/>
        </w:rPr>
        <w:t>s</w:t>
      </w:r>
      <w:r w:rsidR="00CE7BBE" w:rsidRPr="00567373">
        <w:t>=0.50).</w:t>
      </w:r>
      <w:r w:rsidR="00A65661" w:rsidRPr="00567373">
        <w:t xml:space="preserve"> </w:t>
      </w:r>
      <w:r w:rsidR="00F425C2" w:rsidRPr="00567373">
        <w:t>O</w:t>
      </w:r>
      <w:r w:rsidR="00721A1A" w:rsidRPr="00567373">
        <w:t xml:space="preserve">besity was significantly associated with increased odds of a </w:t>
      </w:r>
      <w:r w:rsidR="00F425C2" w:rsidRPr="00567373">
        <w:t>positive CGIT</w:t>
      </w:r>
      <w:r w:rsidR="00721A1A" w:rsidRPr="00567373">
        <w:t xml:space="preserve"> </w:t>
      </w:r>
      <w:r w:rsidR="00F425C2" w:rsidRPr="00567373">
        <w:t xml:space="preserve">and horses with a positive CGIT were </w:t>
      </w:r>
      <w:r w:rsidR="00D57C2E" w:rsidRPr="00567373">
        <w:t xml:space="preserve">significantly </w:t>
      </w:r>
      <w:r w:rsidR="00F425C2" w:rsidRPr="00567373">
        <w:t xml:space="preserve">older </w:t>
      </w:r>
      <w:r w:rsidR="008B6745" w:rsidRPr="00567373">
        <w:t>(</w:t>
      </w:r>
      <w:r w:rsidR="00721A1A" w:rsidRPr="00567373">
        <w:rPr>
          <w:i/>
          <w:iCs/>
        </w:rPr>
        <w:t>P</w:t>
      </w:r>
      <w:r w:rsidR="00F425C2" w:rsidRPr="00567373">
        <w:t>&lt;</w:t>
      </w:r>
      <w:r w:rsidR="00721A1A" w:rsidRPr="00567373">
        <w:t>0.</w:t>
      </w:r>
      <w:r w:rsidR="00F425C2" w:rsidRPr="00567373">
        <w:t>05</w:t>
      </w:r>
      <w:r w:rsidR="00721A1A" w:rsidRPr="00567373">
        <w:t xml:space="preserve">). </w:t>
      </w:r>
      <w:r w:rsidR="0014100F" w:rsidRPr="00567373">
        <w:t xml:space="preserve">In conclusion, </w:t>
      </w:r>
      <w:r w:rsidR="008B6745" w:rsidRPr="00567373">
        <w:t>FI</w:t>
      </w:r>
      <w:r w:rsidR="0014100F" w:rsidRPr="00567373">
        <w:t xml:space="preserve"> correlate</w:t>
      </w:r>
      <w:r w:rsidR="008B6745" w:rsidRPr="00567373">
        <w:t>d</w:t>
      </w:r>
      <w:r w:rsidR="0014100F" w:rsidRPr="00567373">
        <w:t xml:space="preserve"> </w:t>
      </w:r>
      <w:r w:rsidR="00B11A45" w:rsidRPr="00567373">
        <w:t xml:space="preserve">well </w:t>
      </w:r>
      <w:r w:rsidR="0014100F" w:rsidRPr="00567373">
        <w:t xml:space="preserve">with </w:t>
      </w:r>
      <w:r w:rsidR="00B93973" w:rsidRPr="00567373">
        <w:t>CGIT</w:t>
      </w:r>
      <w:r w:rsidR="0014100F" w:rsidRPr="00567373">
        <w:t xml:space="preserve"> results</w:t>
      </w:r>
      <w:r w:rsidR="00CE7BBE" w:rsidRPr="00567373">
        <w:t xml:space="preserve"> </w:t>
      </w:r>
      <w:r w:rsidR="005F7E43" w:rsidRPr="00567373">
        <w:t>and</w:t>
      </w:r>
      <w:r w:rsidR="00202125" w:rsidRPr="00567373">
        <w:t xml:space="preserve"> </w:t>
      </w:r>
      <w:r w:rsidR="00B93973" w:rsidRPr="00567373">
        <w:t xml:space="preserve">had adequate </w:t>
      </w:r>
      <w:r w:rsidR="00202125" w:rsidRPr="00567373">
        <w:t>sensitiv</w:t>
      </w:r>
      <w:r w:rsidR="00B93973" w:rsidRPr="00567373">
        <w:t>ity</w:t>
      </w:r>
      <w:r w:rsidR="00202125" w:rsidRPr="00567373">
        <w:t xml:space="preserve"> and specific</w:t>
      </w:r>
      <w:r w:rsidR="00B93973" w:rsidRPr="00567373">
        <w:t>ity</w:t>
      </w:r>
      <w:r w:rsidR="00202125" w:rsidRPr="00567373">
        <w:t xml:space="preserve"> at lower cut-off</w:t>
      </w:r>
      <w:r w:rsidR="00E00479" w:rsidRPr="00567373">
        <w:t>s</w:t>
      </w:r>
      <w:r w:rsidR="00C4513B" w:rsidRPr="00567373">
        <w:t>, despite poor sensitivity at conventional cut-off values</w:t>
      </w:r>
      <w:r w:rsidR="00CE7BBE" w:rsidRPr="00567373">
        <w:t xml:space="preserve">. </w:t>
      </w:r>
      <w:r w:rsidR="00202125" w:rsidRPr="00567373">
        <w:t xml:space="preserve">Further research to derive </w:t>
      </w:r>
      <w:r w:rsidR="00D106B4" w:rsidRPr="00567373">
        <w:t>cut</w:t>
      </w:r>
      <w:r w:rsidR="00CE7BBE" w:rsidRPr="00567373">
        <w:t xml:space="preserve">-off values </w:t>
      </w:r>
      <w:r w:rsidR="000B2482" w:rsidRPr="00567373">
        <w:t>relevant to the fasting period</w:t>
      </w:r>
      <w:r w:rsidR="008140B7" w:rsidRPr="00567373">
        <w:t xml:space="preserve"> </w:t>
      </w:r>
      <w:r w:rsidR="00202125" w:rsidRPr="00567373">
        <w:t>is warranted</w:t>
      </w:r>
      <w:r w:rsidR="00CE7BBE" w:rsidRPr="00567373">
        <w:t>.</w:t>
      </w:r>
    </w:p>
    <w:p w:rsidR="002B593B" w:rsidRPr="00567373" w:rsidRDefault="002B593B" w:rsidP="00E10F86">
      <w:pPr>
        <w:spacing w:line="480" w:lineRule="auto"/>
      </w:pPr>
    </w:p>
    <w:p w:rsidR="002B593B" w:rsidRPr="00567373" w:rsidRDefault="002B593B" w:rsidP="00E10F86">
      <w:pPr>
        <w:spacing w:line="480" w:lineRule="auto"/>
      </w:pPr>
      <w:r w:rsidRPr="00E9277E">
        <w:rPr>
          <w:i/>
        </w:rPr>
        <w:lastRenderedPageBreak/>
        <w:t>Keywords</w:t>
      </w:r>
      <w:r w:rsidRPr="00567373">
        <w:rPr>
          <w:b/>
        </w:rPr>
        <w:t xml:space="preserve">: </w:t>
      </w:r>
      <w:r w:rsidR="00DD182E" w:rsidRPr="00567373">
        <w:t>Dynamic Testing</w:t>
      </w:r>
      <w:r w:rsidR="00377723">
        <w:t xml:space="preserve">; </w:t>
      </w:r>
      <w:r w:rsidR="00377723" w:rsidRPr="00567373">
        <w:t>Endocrine;</w:t>
      </w:r>
      <w:r w:rsidR="00377723">
        <w:t xml:space="preserve"> </w:t>
      </w:r>
      <w:r w:rsidR="00377723" w:rsidRPr="00567373">
        <w:t xml:space="preserve">Equine Metabolic Syndrome (EMS); </w:t>
      </w:r>
      <w:r w:rsidR="00377723">
        <w:t>Insulin Resistance</w:t>
      </w:r>
    </w:p>
    <w:p w:rsidR="00D217AD" w:rsidRDefault="00D217AD">
      <w:pPr>
        <w:spacing w:after="200" w:line="276" w:lineRule="auto"/>
        <w:rPr>
          <w:i/>
        </w:rPr>
      </w:pPr>
      <w:r>
        <w:rPr>
          <w:i/>
        </w:rPr>
        <w:br w:type="page"/>
      </w:r>
    </w:p>
    <w:p w:rsidR="00DA42F5" w:rsidRPr="00DF1FDC" w:rsidRDefault="00CE7BBE" w:rsidP="00E10F86">
      <w:pPr>
        <w:spacing w:line="480" w:lineRule="auto"/>
        <w:rPr>
          <w:b/>
        </w:rPr>
      </w:pPr>
      <w:r w:rsidRPr="00567373">
        <w:rPr>
          <w:b/>
        </w:rPr>
        <w:lastRenderedPageBreak/>
        <w:t>Introduction</w:t>
      </w:r>
    </w:p>
    <w:p w:rsidR="00875C1C" w:rsidRPr="00567373" w:rsidRDefault="009E1E8F" w:rsidP="00E10F86">
      <w:pPr>
        <w:spacing w:line="480" w:lineRule="auto"/>
        <w:ind w:firstLine="720"/>
      </w:pPr>
      <w:r w:rsidRPr="00567373">
        <w:t xml:space="preserve">Endocrinopathic laminitis </w:t>
      </w:r>
      <w:r w:rsidR="001F4E9B" w:rsidRPr="00567373">
        <w:t xml:space="preserve">risk </w:t>
      </w:r>
      <w:r w:rsidRPr="00567373">
        <w:t xml:space="preserve">is consistently associated with underlying </w:t>
      </w:r>
      <w:r w:rsidR="00631C7B" w:rsidRPr="00567373">
        <w:t>insulin dysregulation (</w:t>
      </w:r>
      <w:r w:rsidR="007E51BC" w:rsidRPr="00567373">
        <w:t>ID</w:t>
      </w:r>
      <w:r w:rsidR="0091261E">
        <w:t xml:space="preserve">; </w:t>
      </w:r>
      <w:r w:rsidR="00D86521" w:rsidRPr="00567373">
        <w:t xml:space="preserve">Durham et al., 2019). </w:t>
      </w:r>
      <w:r w:rsidR="00A11820" w:rsidRPr="00567373">
        <w:t>L</w:t>
      </w:r>
      <w:r w:rsidR="00875C1C" w:rsidRPr="00567373">
        <w:t>aminitis represent</w:t>
      </w:r>
      <w:r w:rsidR="00A11820" w:rsidRPr="00567373">
        <w:t>s</w:t>
      </w:r>
      <w:r w:rsidR="00875C1C" w:rsidRPr="00567373">
        <w:t xml:space="preserve"> a welfare concern because </w:t>
      </w:r>
      <w:r w:rsidR="00A11820" w:rsidRPr="00567373">
        <w:t>it is</w:t>
      </w:r>
      <w:r w:rsidR="00875C1C" w:rsidRPr="00567373">
        <w:t xml:space="preserve"> painful</w:t>
      </w:r>
      <w:r w:rsidR="007D528D" w:rsidRPr="00567373">
        <w:t>,</w:t>
      </w:r>
      <w:r w:rsidR="00875C1C" w:rsidRPr="00567373">
        <w:t xml:space="preserve"> ha</w:t>
      </w:r>
      <w:r w:rsidR="00A11820" w:rsidRPr="00567373">
        <w:t>s</w:t>
      </w:r>
      <w:r w:rsidR="00875C1C" w:rsidRPr="00567373">
        <w:t xml:space="preserve"> </w:t>
      </w:r>
      <w:r w:rsidR="00A11820" w:rsidRPr="00567373">
        <w:t xml:space="preserve">the </w:t>
      </w:r>
      <w:r w:rsidR="00875C1C" w:rsidRPr="00567373">
        <w:t xml:space="preserve">potential to be severe </w:t>
      </w:r>
      <w:r w:rsidR="000B768F" w:rsidRPr="00567373">
        <w:t>o</w:t>
      </w:r>
      <w:r w:rsidR="00875C1C" w:rsidRPr="00567373">
        <w:t>r recurrent</w:t>
      </w:r>
      <w:r w:rsidR="007D528D" w:rsidRPr="00567373">
        <w:t>,</w:t>
      </w:r>
      <w:r w:rsidR="00875C1C" w:rsidRPr="00567373">
        <w:t xml:space="preserve"> and </w:t>
      </w:r>
      <w:r w:rsidR="00A11820" w:rsidRPr="00567373">
        <w:t>is</w:t>
      </w:r>
      <w:r w:rsidR="00875C1C" w:rsidRPr="00567373">
        <w:t xml:space="preserve"> difficult to treat</w:t>
      </w:r>
      <w:r w:rsidR="006F771B" w:rsidRPr="00567373">
        <w:t xml:space="preserve">. Therefore, it </w:t>
      </w:r>
      <w:r w:rsidR="007D528D" w:rsidRPr="00567373">
        <w:t>is important</w:t>
      </w:r>
      <w:r w:rsidR="006F771B" w:rsidRPr="00567373">
        <w:t xml:space="preserve"> to</w:t>
      </w:r>
      <w:r w:rsidR="00875C1C" w:rsidRPr="00567373">
        <w:t xml:space="preserve"> detect at</w:t>
      </w:r>
      <w:r w:rsidR="00A11820" w:rsidRPr="00567373">
        <w:t>-</w:t>
      </w:r>
      <w:r w:rsidR="00875C1C" w:rsidRPr="00567373">
        <w:t xml:space="preserve">risk individuals before the development of clinical laminitis </w:t>
      </w:r>
      <w:r w:rsidR="008C505F" w:rsidRPr="00567373">
        <w:t>(Bertin and de Laat, 2017)</w:t>
      </w:r>
      <w:r w:rsidR="00875C1C" w:rsidRPr="00567373">
        <w:t>.</w:t>
      </w:r>
      <w:r w:rsidR="006F771B" w:rsidRPr="00567373">
        <w:t xml:space="preserve"> </w:t>
      </w:r>
    </w:p>
    <w:p w:rsidR="00875C1C" w:rsidRPr="00567373" w:rsidRDefault="00875C1C" w:rsidP="00E10F86">
      <w:pPr>
        <w:spacing w:line="480" w:lineRule="auto"/>
      </w:pPr>
    </w:p>
    <w:p w:rsidR="005B4B4E" w:rsidRPr="00567373" w:rsidRDefault="006F771B" w:rsidP="00E10F86">
      <w:pPr>
        <w:spacing w:line="480" w:lineRule="auto"/>
        <w:ind w:firstLine="720"/>
      </w:pPr>
      <w:r w:rsidRPr="00567373">
        <w:t xml:space="preserve">The detection of ID is central to determining the risk of laminitis </w:t>
      </w:r>
      <w:r w:rsidR="00D86521" w:rsidRPr="00567373">
        <w:t xml:space="preserve">in horses with suspected endocrine disease </w:t>
      </w:r>
      <w:r w:rsidR="00D849D8" w:rsidRPr="00567373">
        <w:t>(Frank and Tadros, 2014)</w:t>
      </w:r>
      <w:r w:rsidRPr="00567373">
        <w:t xml:space="preserve">. </w:t>
      </w:r>
      <w:r w:rsidR="00DF2860" w:rsidRPr="00567373">
        <w:t xml:space="preserve">Basal insulin testing for hyperinsulinaemia is convenient and practical in clinical practice, yet results can be influenced by feeding. This is particularly relevant in clinical cases, where the </w:t>
      </w:r>
      <w:r w:rsidR="0034643D" w:rsidRPr="00567373">
        <w:t xml:space="preserve">non-structural carbohydrate </w:t>
      </w:r>
      <w:r w:rsidR="0034643D">
        <w:t>(</w:t>
      </w:r>
      <w:r w:rsidR="00DF2860" w:rsidRPr="00567373">
        <w:t>NSC</w:t>
      </w:r>
      <w:r w:rsidR="0034643D">
        <w:t>)</w:t>
      </w:r>
      <w:r w:rsidR="00DF2860" w:rsidRPr="00567373">
        <w:t xml:space="preserve"> content of forage is unlikely to be known by the animal owner. Consequently, measurement of basal fasted insulin (FI) in horses has been recommended to standardise testing (Frank et al., 2010). However, fasting </w:t>
      </w:r>
      <w:r w:rsidR="009E1E8F" w:rsidRPr="00567373">
        <w:t xml:space="preserve">has recently fallen out of favour due to </w:t>
      </w:r>
      <w:r w:rsidR="00DD182E" w:rsidRPr="00567373">
        <w:t>concerns</w:t>
      </w:r>
      <w:r w:rsidR="009E1E8F" w:rsidRPr="00567373">
        <w:t xml:space="preserve"> of poor sensitivity</w:t>
      </w:r>
      <w:r w:rsidR="00DD182E" w:rsidRPr="00567373">
        <w:t xml:space="preserve"> (Durham et al., 2019)</w:t>
      </w:r>
      <w:r w:rsidR="00807CEA" w:rsidRPr="00567373">
        <w:t xml:space="preserve"> a</w:t>
      </w:r>
      <w:r w:rsidR="00DD182E" w:rsidRPr="00567373">
        <w:t>lthough</w:t>
      </w:r>
      <w:r w:rsidR="009E1E8F" w:rsidRPr="00567373">
        <w:t xml:space="preserve"> data comparing </w:t>
      </w:r>
      <w:r w:rsidR="00DD182E" w:rsidRPr="00567373">
        <w:t>FI</w:t>
      </w:r>
      <w:r w:rsidR="009E1E8F" w:rsidRPr="00567373">
        <w:t xml:space="preserve"> to dynamic tests</w:t>
      </w:r>
      <w:r w:rsidR="00DD182E" w:rsidRPr="00567373">
        <w:t xml:space="preserve"> </w:t>
      </w:r>
      <w:r w:rsidR="001151FC" w:rsidRPr="00567373">
        <w:t>are</w:t>
      </w:r>
      <w:r w:rsidR="00DD182E" w:rsidRPr="00567373">
        <w:t xml:space="preserve"> </w:t>
      </w:r>
      <w:r w:rsidR="00753504" w:rsidRPr="00567373">
        <w:t>minimal and not representative of the population at risk</w:t>
      </w:r>
      <w:r w:rsidR="00D86521" w:rsidRPr="00567373">
        <w:t xml:space="preserve"> of endocrine disease and ID</w:t>
      </w:r>
      <w:r w:rsidR="00DD182E" w:rsidRPr="00567373">
        <w:t xml:space="preserve"> (Dunbar et al., 2016)</w:t>
      </w:r>
      <w:r w:rsidR="0013641C" w:rsidRPr="00567373">
        <w:t>.</w:t>
      </w:r>
      <w:r w:rsidR="005855C2" w:rsidRPr="00567373">
        <w:t xml:space="preserve"> </w:t>
      </w:r>
      <w:r w:rsidR="00B30AA0" w:rsidRPr="00567373">
        <w:t xml:space="preserve">The </w:t>
      </w:r>
      <w:r w:rsidR="009E7234" w:rsidRPr="00567373">
        <w:t>combined glucose</w:t>
      </w:r>
      <w:r w:rsidR="005003BF" w:rsidRPr="00567373">
        <w:t>-</w:t>
      </w:r>
      <w:r w:rsidR="009E7234" w:rsidRPr="00567373">
        <w:t>insulin test (CGIT)</w:t>
      </w:r>
      <w:r w:rsidR="00B30AA0" w:rsidRPr="00567373">
        <w:t xml:space="preserve"> </w:t>
      </w:r>
      <w:r w:rsidR="00753504" w:rsidRPr="00567373">
        <w:t>is a dynamic test of insulin dysregulation, primarily providing an indirect measure of</w:t>
      </w:r>
      <w:r w:rsidR="009E7234" w:rsidRPr="00567373">
        <w:t xml:space="preserve"> tissue insulin resistance </w:t>
      </w:r>
      <w:r w:rsidR="00D849D8" w:rsidRPr="00567373">
        <w:t>(Bertin and de Laat, 2017)</w:t>
      </w:r>
      <w:r w:rsidR="009E7234" w:rsidRPr="00567373">
        <w:t>. The CGIT</w:t>
      </w:r>
      <w:r w:rsidR="009D7B43" w:rsidRPr="00567373">
        <w:t xml:space="preserve"> has been used to succ</w:t>
      </w:r>
      <w:r w:rsidR="009E7234" w:rsidRPr="00567373">
        <w:t xml:space="preserve">essfully demonstrate changes in </w:t>
      </w:r>
      <w:r w:rsidR="00F31480" w:rsidRPr="00567373">
        <w:t xml:space="preserve">ID </w:t>
      </w:r>
      <w:r w:rsidR="009D7B43" w:rsidRPr="00567373">
        <w:t>in resear</w:t>
      </w:r>
      <w:r w:rsidR="009C7F22" w:rsidRPr="00567373">
        <w:t>ch</w:t>
      </w:r>
      <w:r w:rsidR="009E7234" w:rsidRPr="00567373">
        <w:t xml:space="preserve"> </w:t>
      </w:r>
      <w:r w:rsidR="00D849D8" w:rsidRPr="00567373">
        <w:t>(McGowan et al., 2013)</w:t>
      </w:r>
      <w:r w:rsidR="009E7234" w:rsidRPr="00567373">
        <w:t xml:space="preserve"> </w:t>
      </w:r>
      <w:r w:rsidR="009C7F22" w:rsidRPr="00567373">
        <w:t xml:space="preserve">and </w:t>
      </w:r>
      <w:r w:rsidR="009B1574" w:rsidRPr="00567373">
        <w:t xml:space="preserve">in </w:t>
      </w:r>
      <w:r w:rsidR="00D86521" w:rsidRPr="00567373">
        <w:t xml:space="preserve">clinical studies </w:t>
      </w:r>
      <w:r w:rsidR="00D849D8" w:rsidRPr="00567373">
        <w:t>(Morgan et al., 2016)</w:t>
      </w:r>
      <w:r w:rsidR="009F789E" w:rsidRPr="00567373">
        <w:t>. H</w:t>
      </w:r>
      <w:r w:rsidR="00B30AA0" w:rsidRPr="00567373">
        <w:t>owever</w:t>
      </w:r>
      <w:r w:rsidR="009F789E" w:rsidRPr="00567373">
        <w:t>,</w:t>
      </w:r>
      <w:r w:rsidR="00B30AA0" w:rsidRPr="00567373">
        <w:t xml:space="preserve"> it requires </w:t>
      </w:r>
      <w:r w:rsidR="009D7B43" w:rsidRPr="00567373">
        <w:t>at least three</w:t>
      </w:r>
      <w:r w:rsidR="00B30AA0" w:rsidRPr="00567373">
        <w:t xml:space="preserve"> blood samples over a </w:t>
      </w:r>
      <w:r w:rsidR="00A96AA6" w:rsidRPr="00567373">
        <w:t>45-</w:t>
      </w:r>
      <w:r w:rsidR="009E5F9C" w:rsidRPr="00567373">
        <w:t>150</w:t>
      </w:r>
      <w:r w:rsidR="00B30AA0" w:rsidRPr="00567373">
        <w:t xml:space="preserve"> min</w:t>
      </w:r>
      <w:r w:rsidR="00A842B0" w:rsidRPr="00567373">
        <w:t>ute</w:t>
      </w:r>
      <w:r w:rsidR="00B30AA0" w:rsidRPr="00567373">
        <w:t xml:space="preserve"> period and</w:t>
      </w:r>
      <w:r w:rsidR="009F789E" w:rsidRPr="00567373">
        <w:t>,</w:t>
      </w:r>
      <w:r w:rsidR="00B30AA0" w:rsidRPr="00567373">
        <w:t xml:space="preserve"> ideally</w:t>
      </w:r>
      <w:r w:rsidR="009F789E" w:rsidRPr="00567373">
        <w:t>,</w:t>
      </w:r>
      <w:r w:rsidR="00B30AA0" w:rsidRPr="00567373">
        <w:t xml:space="preserve"> the pre-placement of an intravenous catheter</w:t>
      </w:r>
      <w:r w:rsidR="009C7F22" w:rsidRPr="00567373">
        <w:t xml:space="preserve"> </w:t>
      </w:r>
      <w:r w:rsidR="00D849D8" w:rsidRPr="00567373">
        <w:t>(Eiler et al., 2005)</w:t>
      </w:r>
      <w:r w:rsidR="005855C2" w:rsidRPr="00567373">
        <w:t>.</w:t>
      </w:r>
    </w:p>
    <w:p w:rsidR="005B4B4E" w:rsidRPr="00567373" w:rsidRDefault="005B4B4E" w:rsidP="00E10F86">
      <w:pPr>
        <w:spacing w:line="480" w:lineRule="auto"/>
      </w:pPr>
    </w:p>
    <w:p w:rsidR="009F789E" w:rsidRPr="00567373" w:rsidRDefault="005B4B4E" w:rsidP="00E10F86">
      <w:pPr>
        <w:spacing w:line="480" w:lineRule="auto"/>
        <w:ind w:firstLine="720"/>
      </w:pPr>
      <w:r w:rsidRPr="00567373">
        <w:lastRenderedPageBreak/>
        <w:t xml:space="preserve">Improving the diagnostic value of </w:t>
      </w:r>
      <w:r w:rsidR="00E228FF" w:rsidRPr="00567373">
        <w:t>FI</w:t>
      </w:r>
      <w:r w:rsidR="005855C2" w:rsidRPr="00567373">
        <w:t xml:space="preserve"> in the detection </w:t>
      </w:r>
      <w:r w:rsidR="008F212D" w:rsidRPr="00567373">
        <w:t>and monitoring of</w:t>
      </w:r>
      <w:r w:rsidR="005855C2" w:rsidRPr="00567373">
        <w:t xml:space="preserve"> ID</w:t>
      </w:r>
      <w:r w:rsidRPr="00567373">
        <w:t xml:space="preserve"> </w:t>
      </w:r>
      <w:r w:rsidR="005855C2" w:rsidRPr="00567373">
        <w:t>may</w:t>
      </w:r>
      <w:r w:rsidRPr="00567373">
        <w:t xml:space="preserve"> improve client compliance with testing </w:t>
      </w:r>
      <w:r w:rsidR="005855C2" w:rsidRPr="00567373">
        <w:t>and</w:t>
      </w:r>
      <w:r w:rsidR="001445C6" w:rsidRPr="00567373">
        <w:t xml:space="preserve"> </w:t>
      </w:r>
      <w:r w:rsidR="009B1574" w:rsidRPr="00567373">
        <w:t xml:space="preserve">reduce the risk of laminitis by facilitating timely interventions. </w:t>
      </w:r>
      <w:r w:rsidR="00753504" w:rsidRPr="00567373">
        <w:t xml:space="preserve">Consensus </w:t>
      </w:r>
      <w:r w:rsidRPr="00567373">
        <w:t xml:space="preserve">recommendations are that </w:t>
      </w:r>
      <w:r w:rsidR="00E228FF" w:rsidRPr="00567373">
        <w:t>FI</w:t>
      </w:r>
      <w:r w:rsidRPr="00567373">
        <w:t xml:space="preserve"> </w:t>
      </w:r>
      <w:r w:rsidR="00B02809" w:rsidRPr="00567373">
        <w:t xml:space="preserve">in normal horses </w:t>
      </w:r>
      <w:r w:rsidRPr="00567373">
        <w:t xml:space="preserve">should be </w:t>
      </w:r>
      <w:r w:rsidR="00923CF0" w:rsidRPr="00567373">
        <w:t>&lt;</w:t>
      </w:r>
      <w:r w:rsidR="00414CA1" w:rsidRPr="00567373">
        <w:t xml:space="preserve"> </w:t>
      </w:r>
      <w:r w:rsidRPr="00567373">
        <w:t>20</w:t>
      </w:r>
      <w:r w:rsidR="009B1574" w:rsidRPr="00567373">
        <w:t xml:space="preserve"> </w:t>
      </w:r>
      <w:r w:rsidRPr="00567373">
        <w:t>μIU/m</w:t>
      </w:r>
      <w:r w:rsidR="00C4513B" w:rsidRPr="00567373">
        <w:t>L</w:t>
      </w:r>
      <w:r w:rsidRPr="00567373">
        <w:t xml:space="preserve"> </w:t>
      </w:r>
      <w:r w:rsidR="00922F03" w:rsidRPr="00567373">
        <w:t xml:space="preserve">when </w:t>
      </w:r>
      <w:r w:rsidR="00B05433" w:rsidRPr="00567373">
        <w:t>measured by Coat-a-Count insulin radio</w:t>
      </w:r>
      <w:r w:rsidR="00CF24C6" w:rsidRPr="00567373">
        <w:t>i</w:t>
      </w:r>
      <w:r w:rsidR="00B05433" w:rsidRPr="00567373">
        <w:t>mmunoassay</w:t>
      </w:r>
      <w:r w:rsidR="00757D1E" w:rsidRPr="00567373">
        <w:t xml:space="preserve"> (RIA)</w:t>
      </w:r>
      <w:r w:rsidR="00B05433" w:rsidRPr="00567373">
        <w:t xml:space="preserve">, Immulite insulin solid-phase chemiluminescent assay, or DSL-1600 insulin </w:t>
      </w:r>
      <w:r w:rsidR="00757D1E" w:rsidRPr="00567373">
        <w:t>RIA</w:t>
      </w:r>
      <w:r w:rsidR="00B05433" w:rsidRPr="00567373">
        <w:t xml:space="preserve"> </w:t>
      </w:r>
      <w:r w:rsidR="00AA42C0" w:rsidRPr="00567373">
        <w:t>following</w:t>
      </w:r>
      <w:r w:rsidR="009D7B43" w:rsidRPr="00567373">
        <w:t xml:space="preserve"> fasting for at least 6 hours</w:t>
      </w:r>
      <w:r w:rsidR="00590D7A" w:rsidRPr="00567373">
        <w:t xml:space="preserve"> </w:t>
      </w:r>
      <w:r w:rsidR="009A5973" w:rsidRPr="00567373">
        <w:t>(Frank et al., 2010)</w:t>
      </w:r>
      <w:r w:rsidR="008F212D" w:rsidRPr="00567373">
        <w:t xml:space="preserve">. </w:t>
      </w:r>
    </w:p>
    <w:p w:rsidR="00C07917" w:rsidRPr="00567373" w:rsidRDefault="00C07917" w:rsidP="00E10F86">
      <w:pPr>
        <w:spacing w:line="480" w:lineRule="auto"/>
      </w:pPr>
    </w:p>
    <w:p w:rsidR="00C07917" w:rsidRPr="00567373" w:rsidRDefault="00923CF0" w:rsidP="00E10F86">
      <w:pPr>
        <w:spacing w:line="480" w:lineRule="auto"/>
        <w:ind w:firstLine="720"/>
      </w:pPr>
      <w:r w:rsidRPr="00567373">
        <w:t xml:space="preserve">The objectives of this study were to compare </w:t>
      </w:r>
      <w:r w:rsidR="00E228FF" w:rsidRPr="00567373">
        <w:t>FI</w:t>
      </w:r>
      <w:r w:rsidRPr="00567373">
        <w:t xml:space="preserve"> with the CGIT for the diagnosis of ID in a group of horses and ponies suspected to have endocrine disease</w:t>
      </w:r>
      <w:r w:rsidR="008F212D" w:rsidRPr="00567373">
        <w:t xml:space="preserve"> and examine factors affecting the results</w:t>
      </w:r>
      <w:r w:rsidRPr="00567373">
        <w:t xml:space="preserve">. Should the results for </w:t>
      </w:r>
      <w:r w:rsidR="00E228FF" w:rsidRPr="00567373">
        <w:t>FI</w:t>
      </w:r>
      <w:r w:rsidRPr="00567373">
        <w:t xml:space="preserve"> and CGIT tests be well correlated, we intended to investigate the most appropriate </w:t>
      </w:r>
      <w:r w:rsidR="008F212D" w:rsidRPr="00567373">
        <w:t>cut-off</w:t>
      </w:r>
      <w:r w:rsidRPr="00567373">
        <w:t xml:space="preserve"> value for </w:t>
      </w:r>
      <w:r w:rsidR="00E228FF" w:rsidRPr="00567373">
        <w:t>FI</w:t>
      </w:r>
      <w:r w:rsidRPr="00567373">
        <w:t xml:space="preserve"> under </w:t>
      </w:r>
      <w:r w:rsidR="008F212D" w:rsidRPr="00567373">
        <w:t xml:space="preserve">standardised </w:t>
      </w:r>
      <w:r w:rsidRPr="00567373">
        <w:t xml:space="preserve">conditions. </w:t>
      </w:r>
      <w:r w:rsidR="00886660" w:rsidRPr="00567373">
        <w:t xml:space="preserve">We hypothesised that </w:t>
      </w:r>
      <w:r w:rsidR="00E228FF" w:rsidRPr="00567373">
        <w:t>FI</w:t>
      </w:r>
      <w:r w:rsidR="00886660" w:rsidRPr="00567373">
        <w:t xml:space="preserve"> would have a low sensitivity for detecting </w:t>
      </w:r>
      <w:r w:rsidR="00E9572A" w:rsidRPr="00567373">
        <w:t>ID</w:t>
      </w:r>
      <w:r w:rsidR="00886660" w:rsidRPr="00567373">
        <w:t xml:space="preserve"> compared to the CGIT</w:t>
      </w:r>
      <w:r w:rsidR="00165E29" w:rsidRPr="00567373">
        <w:t xml:space="preserve"> when using conventional cut-offs</w:t>
      </w:r>
      <w:r w:rsidR="00074561" w:rsidRPr="00567373">
        <w:t xml:space="preserve">. </w:t>
      </w:r>
      <w:r w:rsidR="008140B7" w:rsidRPr="00567373">
        <w:t>Further</w:t>
      </w:r>
      <w:r w:rsidR="007D5773" w:rsidRPr="00567373">
        <w:t>more</w:t>
      </w:r>
      <w:r w:rsidR="008140B7" w:rsidRPr="00567373">
        <w:t xml:space="preserve">, we hypothesised that the </w:t>
      </w:r>
      <w:r w:rsidR="004D5888" w:rsidRPr="00567373">
        <w:t xml:space="preserve">diagnostic </w:t>
      </w:r>
      <w:r w:rsidR="002C105C" w:rsidRPr="00567373">
        <w:t>accuracy</w:t>
      </w:r>
      <w:r w:rsidR="008140B7" w:rsidRPr="00567373">
        <w:t xml:space="preserve"> of </w:t>
      </w:r>
      <w:r w:rsidR="00E228FF" w:rsidRPr="00567373">
        <w:t>FI</w:t>
      </w:r>
      <w:r w:rsidR="008140B7" w:rsidRPr="00567373">
        <w:t xml:space="preserve"> could be improved by deriving a lower cut-off value for horses</w:t>
      </w:r>
      <w:r w:rsidR="00EA1449" w:rsidRPr="00567373">
        <w:t xml:space="preserve"> tested</w:t>
      </w:r>
      <w:r w:rsidR="008140B7" w:rsidRPr="00567373">
        <w:t xml:space="preserve"> in the fasted state.</w:t>
      </w:r>
    </w:p>
    <w:p w:rsidR="009F02E6" w:rsidRPr="00567373" w:rsidRDefault="009F02E6" w:rsidP="00E10F86">
      <w:pPr>
        <w:spacing w:line="480" w:lineRule="auto"/>
      </w:pPr>
    </w:p>
    <w:p w:rsidR="00CE7BBE" w:rsidRPr="00567373" w:rsidRDefault="00EF0F19" w:rsidP="00E10F86">
      <w:pPr>
        <w:spacing w:line="480" w:lineRule="auto"/>
        <w:rPr>
          <w:b/>
        </w:rPr>
      </w:pPr>
      <w:r w:rsidRPr="00567373">
        <w:rPr>
          <w:b/>
        </w:rPr>
        <w:t>Ma</w:t>
      </w:r>
      <w:r w:rsidR="0056738B" w:rsidRPr="00567373">
        <w:rPr>
          <w:b/>
        </w:rPr>
        <w:t>terials and methods</w:t>
      </w:r>
    </w:p>
    <w:p w:rsidR="00A942FA" w:rsidRPr="00567373" w:rsidRDefault="0056738B" w:rsidP="00E10F86">
      <w:pPr>
        <w:spacing w:line="480" w:lineRule="auto"/>
        <w:rPr>
          <w:i/>
        </w:rPr>
      </w:pPr>
      <w:r w:rsidRPr="00567373">
        <w:rPr>
          <w:i/>
        </w:rPr>
        <w:t>Study design</w:t>
      </w:r>
    </w:p>
    <w:p w:rsidR="00430805" w:rsidRDefault="008F212D" w:rsidP="00E10F86">
      <w:pPr>
        <w:spacing w:line="480" w:lineRule="auto"/>
        <w:ind w:firstLine="720"/>
      </w:pPr>
      <w:r w:rsidRPr="00567373">
        <w:t>C</w:t>
      </w:r>
      <w:r w:rsidR="00425C15" w:rsidRPr="00567373">
        <w:t xml:space="preserve">linical records </w:t>
      </w:r>
      <w:r w:rsidRPr="00567373">
        <w:t xml:space="preserve">were </w:t>
      </w:r>
      <w:r w:rsidR="00425C15" w:rsidRPr="00567373">
        <w:t>obtained from</w:t>
      </w:r>
      <w:r w:rsidR="00A82274" w:rsidRPr="00567373">
        <w:t xml:space="preserve"> </w:t>
      </w:r>
      <w:r w:rsidR="00425C15" w:rsidRPr="00567373">
        <w:t>horses and ponies</w:t>
      </w:r>
      <w:r w:rsidR="001B00BE" w:rsidRPr="00567373">
        <w:t xml:space="preserve"> </w:t>
      </w:r>
      <w:r w:rsidR="00046022" w:rsidRPr="00567373">
        <w:t xml:space="preserve">(referred to collectively as ‘horses’) </w:t>
      </w:r>
      <w:r w:rsidR="00CA63DF" w:rsidRPr="00567373">
        <w:t xml:space="preserve">that had </w:t>
      </w:r>
      <w:r w:rsidR="00F6621A" w:rsidRPr="00567373">
        <w:t>undergo</w:t>
      </w:r>
      <w:r w:rsidR="00CA63DF" w:rsidRPr="00567373">
        <w:t>ne</w:t>
      </w:r>
      <w:r w:rsidR="00A82274" w:rsidRPr="00567373">
        <w:t xml:space="preserve"> CGIT</w:t>
      </w:r>
      <w:r w:rsidR="00425C15" w:rsidRPr="00567373">
        <w:t xml:space="preserve"> </w:t>
      </w:r>
      <w:r w:rsidR="00A82274" w:rsidRPr="00567373">
        <w:t xml:space="preserve">testing </w:t>
      </w:r>
      <w:r w:rsidR="00425C15" w:rsidRPr="00567373">
        <w:t xml:space="preserve">at the </w:t>
      </w:r>
      <w:r w:rsidR="000E5FA2" w:rsidRPr="00567373">
        <w:t>University of Liverpool</w:t>
      </w:r>
      <w:r w:rsidR="00892911" w:rsidRPr="00567373">
        <w:t>’s</w:t>
      </w:r>
      <w:r w:rsidR="000E5FA2" w:rsidRPr="00567373">
        <w:t xml:space="preserve"> Equine Hospital</w:t>
      </w:r>
      <w:r w:rsidR="00EB0B89" w:rsidRPr="00567373">
        <w:t xml:space="preserve"> </w:t>
      </w:r>
      <w:r w:rsidR="00425C15" w:rsidRPr="00567373">
        <w:t>as part of investigation into suspected endocrine disease</w:t>
      </w:r>
      <w:r w:rsidR="00046022" w:rsidRPr="00567373">
        <w:t>. Horses</w:t>
      </w:r>
      <w:r w:rsidR="000E5FA2" w:rsidRPr="00567373">
        <w:t xml:space="preserve"> were either presented </w:t>
      </w:r>
      <w:r w:rsidR="002E5C2F" w:rsidRPr="00567373">
        <w:t xml:space="preserve">directly </w:t>
      </w:r>
      <w:r w:rsidR="000E5FA2" w:rsidRPr="00567373">
        <w:t>by their owners, referred by veterinary surgeons</w:t>
      </w:r>
      <w:r w:rsidR="00DD4139" w:rsidRPr="00567373">
        <w:t xml:space="preserve"> </w:t>
      </w:r>
      <w:r w:rsidR="004C0C22" w:rsidRPr="00567373">
        <w:t>(Morgan et al., 2016)</w:t>
      </w:r>
      <w:r w:rsidR="000E5FA2" w:rsidRPr="00567373">
        <w:t xml:space="preserve"> or </w:t>
      </w:r>
      <w:r w:rsidR="00DD4139" w:rsidRPr="00567373">
        <w:t xml:space="preserve">were </w:t>
      </w:r>
      <w:r w:rsidR="000E5FA2" w:rsidRPr="00567373">
        <w:t>being screened</w:t>
      </w:r>
      <w:r w:rsidR="001D1A40" w:rsidRPr="00567373">
        <w:t xml:space="preserve"> or tested</w:t>
      </w:r>
      <w:r w:rsidR="000E5FA2" w:rsidRPr="00567373">
        <w:t xml:space="preserve"> f</w:t>
      </w:r>
      <w:r w:rsidR="00A82274" w:rsidRPr="00567373">
        <w:t>or experimental studies</w:t>
      </w:r>
      <w:r w:rsidR="009C7F22" w:rsidRPr="00567373">
        <w:t xml:space="preserve"> </w:t>
      </w:r>
      <w:r w:rsidR="004C0C22" w:rsidRPr="00567373">
        <w:t>(</w:t>
      </w:r>
      <w:r w:rsidR="00CC3D36" w:rsidRPr="00567373">
        <w:t xml:space="preserve">McGowan et al., 2013; </w:t>
      </w:r>
      <w:r w:rsidR="004C0C22" w:rsidRPr="00567373">
        <w:t>Carslake et al., 2018)</w:t>
      </w:r>
      <w:r w:rsidR="00A82274" w:rsidRPr="00567373">
        <w:t xml:space="preserve">. </w:t>
      </w:r>
      <w:r w:rsidR="00CA63DF" w:rsidRPr="00567373">
        <w:t>C</w:t>
      </w:r>
      <w:r w:rsidR="00430805" w:rsidRPr="00567373">
        <w:t xml:space="preserve">linical cases were investigated under institutional ethical approval </w:t>
      </w:r>
      <w:bookmarkStart w:id="0" w:name="_GoBack"/>
      <w:r w:rsidR="00430805" w:rsidRPr="00567373">
        <w:t xml:space="preserve">VREC248 </w:t>
      </w:r>
      <w:r w:rsidR="007536D6">
        <w:rPr>
          <w:color w:val="00B050"/>
        </w:rPr>
        <w:t xml:space="preserve">(Approved 04.09.2014) </w:t>
      </w:r>
      <w:r w:rsidR="00CA63DF" w:rsidRPr="00567373">
        <w:t>and the e</w:t>
      </w:r>
      <w:r w:rsidR="00430805" w:rsidRPr="00567373">
        <w:t xml:space="preserve">xperimental cases under </w:t>
      </w:r>
      <w:r w:rsidR="00430805" w:rsidRPr="00567373">
        <w:rPr>
          <w:shd w:val="clear" w:color="auto" w:fill="FFFFFF"/>
        </w:rPr>
        <w:t>The</w:t>
      </w:r>
      <w:r w:rsidR="00CA63DF" w:rsidRPr="00567373">
        <w:rPr>
          <w:rStyle w:val="apple-converted-space"/>
          <w:shd w:val="clear" w:color="auto" w:fill="FFFFFF"/>
        </w:rPr>
        <w:t xml:space="preserve"> </w:t>
      </w:r>
      <w:r w:rsidR="00430805" w:rsidRPr="00567373">
        <w:rPr>
          <w:bCs/>
          <w:shd w:val="clear" w:color="auto" w:fill="FFFFFF"/>
        </w:rPr>
        <w:t>Animals</w:t>
      </w:r>
      <w:r w:rsidR="00CA63DF" w:rsidRPr="00567373">
        <w:rPr>
          <w:rStyle w:val="apple-converted-space"/>
          <w:shd w:val="clear" w:color="auto" w:fill="FFFFFF"/>
        </w:rPr>
        <w:t xml:space="preserve"> </w:t>
      </w:r>
      <w:r w:rsidR="00430805" w:rsidRPr="00567373">
        <w:rPr>
          <w:shd w:val="clear" w:color="auto" w:fill="FFFFFF"/>
        </w:rPr>
        <w:t>(</w:t>
      </w:r>
      <w:r w:rsidR="00430805" w:rsidRPr="00567373">
        <w:rPr>
          <w:bCs/>
          <w:shd w:val="clear" w:color="auto" w:fill="FFFFFF"/>
        </w:rPr>
        <w:t>Scientific Procedures</w:t>
      </w:r>
      <w:r w:rsidR="00430805" w:rsidRPr="00567373">
        <w:rPr>
          <w:shd w:val="clear" w:color="auto" w:fill="FFFFFF"/>
        </w:rPr>
        <w:t>)</w:t>
      </w:r>
      <w:r w:rsidR="00CA63DF" w:rsidRPr="00567373">
        <w:rPr>
          <w:rStyle w:val="apple-converted-space"/>
          <w:shd w:val="clear" w:color="auto" w:fill="FFFFFF"/>
        </w:rPr>
        <w:t xml:space="preserve"> </w:t>
      </w:r>
      <w:r w:rsidR="00430805" w:rsidRPr="00567373">
        <w:rPr>
          <w:bCs/>
          <w:shd w:val="clear" w:color="auto" w:fill="FFFFFF"/>
        </w:rPr>
        <w:t>Act</w:t>
      </w:r>
      <w:r w:rsidR="00CA63DF" w:rsidRPr="00567373">
        <w:rPr>
          <w:rStyle w:val="apple-converted-space"/>
          <w:shd w:val="clear" w:color="auto" w:fill="FFFFFF"/>
        </w:rPr>
        <w:t xml:space="preserve"> </w:t>
      </w:r>
      <w:r w:rsidR="00430805" w:rsidRPr="00567373">
        <w:rPr>
          <w:shd w:val="clear" w:color="auto" w:fill="FFFFFF"/>
        </w:rPr>
        <w:t>1986</w:t>
      </w:r>
      <w:r w:rsidR="00430805" w:rsidRPr="00567373">
        <w:t xml:space="preserve">, </w:t>
      </w:r>
      <w:r w:rsidR="00430805" w:rsidRPr="00567373">
        <w:lastRenderedPageBreak/>
        <w:t>project licence number PPL 40/3715</w:t>
      </w:r>
      <w:bookmarkEnd w:id="0"/>
      <w:r w:rsidR="00430805" w:rsidRPr="00567373">
        <w:t xml:space="preserve">. Following the trials, the </w:t>
      </w:r>
      <w:r w:rsidR="00D76278" w:rsidRPr="00567373">
        <w:t xml:space="preserve">experimental </w:t>
      </w:r>
      <w:r w:rsidR="00046022" w:rsidRPr="00567373">
        <w:t>horses</w:t>
      </w:r>
      <w:r w:rsidR="00430805" w:rsidRPr="00567373">
        <w:t xml:space="preserve"> were </w:t>
      </w:r>
      <w:r w:rsidR="00EF273A" w:rsidRPr="00567373">
        <w:t>assessed</w:t>
      </w:r>
      <w:r w:rsidR="00430805" w:rsidRPr="00567373">
        <w:t xml:space="preserve"> </w:t>
      </w:r>
      <w:r w:rsidR="00EF273A" w:rsidRPr="00567373">
        <w:t>as</w:t>
      </w:r>
      <w:r w:rsidR="00430805" w:rsidRPr="00567373">
        <w:t xml:space="preserve"> healthy and were re-homed.</w:t>
      </w:r>
    </w:p>
    <w:p w:rsidR="00BB51DB" w:rsidRPr="00567373" w:rsidRDefault="00BB51DB" w:rsidP="00E10F86">
      <w:pPr>
        <w:spacing w:line="480" w:lineRule="auto"/>
        <w:ind w:firstLine="720"/>
      </w:pPr>
    </w:p>
    <w:p w:rsidR="00425C15" w:rsidRPr="00567373" w:rsidRDefault="00A82274" w:rsidP="00E10F86">
      <w:pPr>
        <w:spacing w:line="480" w:lineRule="auto"/>
        <w:ind w:firstLine="720"/>
      </w:pPr>
      <w:r w:rsidRPr="00567373">
        <w:t xml:space="preserve">Information on signalment, </w:t>
      </w:r>
      <w:r w:rsidR="00182811" w:rsidRPr="00567373">
        <w:t xml:space="preserve">bodyweight, </w:t>
      </w:r>
      <w:r w:rsidRPr="00567373">
        <w:t xml:space="preserve">diet and </w:t>
      </w:r>
      <w:r w:rsidR="004B12E6" w:rsidRPr="00567373">
        <w:t xml:space="preserve">previous and current laminitis </w:t>
      </w:r>
      <w:r w:rsidRPr="00567373">
        <w:t xml:space="preserve">was obtained where it was </w:t>
      </w:r>
      <w:r w:rsidR="00E55211" w:rsidRPr="00567373">
        <w:t>included in the clinical records</w:t>
      </w:r>
      <w:r w:rsidRPr="00567373">
        <w:t>. Partial datasets were retained</w:t>
      </w:r>
      <w:r w:rsidR="00FB5413" w:rsidRPr="00567373">
        <w:t>,</w:t>
      </w:r>
      <w:r w:rsidRPr="00567373">
        <w:t xml:space="preserve"> with missing values being excluded during analysis</w:t>
      </w:r>
      <w:r w:rsidR="00662503" w:rsidRPr="00567373">
        <w:t xml:space="preserve">. </w:t>
      </w:r>
      <w:r w:rsidR="00083FBE" w:rsidRPr="00567373">
        <w:t>Diets were recorded in the clinical notes contemporaneously as reported by the owner</w:t>
      </w:r>
      <w:r w:rsidR="00C4513B" w:rsidRPr="00567373">
        <w:t>.</w:t>
      </w:r>
    </w:p>
    <w:p w:rsidR="00005EBD" w:rsidRPr="00567373" w:rsidRDefault="00005EBD" w:rsidP="00E10F86">
      <w:pPr>
        <w:spacing w:line="480" w:lineRule="auto"/>
      </w:pPr>
    </w:p>
    <w:p w:rsidR="00005EBD" w:rsidRPr="00567373" w:rsidRDefault="0056738B" w:rsidP="00E10F86">
      <w:pPr>
        <w:spacing w:line="480" w:lineRule="auto"/>
        <w:rPr>
          <w:i/>
        </w:rPr>
      </w:pPr>
      <w:r w:rsidRPr="00567373">
        <w:rPr>
          <w:i/>
        </w:rPr>
        <w:t>CGIT protocol</w:t>
      </w:r>
    </w:p>
    <w:p w:rsidR="00BB51DB" w:rsidRDefault="0052195D" w:rsidP="00E10F86">
      <w:pPr>
        <w:spacing w:line="480" w:lineRule="auto"/>
        <w:ind w:firstLine="720"/>
      </w:pPr>
      <w:r w:rsidRPr="00567373">
        <w:t>A</w:t>
      </w:r>
      <w:r w:rsidR="002E5C2F" w:rsidRPr="00567373">
        <w:t>ll endocrine testing was performed according to an established</w:t>
      </w:r>
      <w:r w:rsidR="001973DC" w:rsidRPr="00567373">
        <w:t>,</w:t>
      </w:r>
      <w:r w:rsidR="002E5C2F" w:rsidRPr="00567373">
        <w:t xml:space="preserve"> </w:t>
      </w:r>
      <w:r w:rsidR="004A79F3" w:rsidRPr="00567373">
        <w:t xml:space="preserve">standardised </w:t>
      </w:r>
      <w:r w:rsidR="000548C0" w:rsidRPr="00567373">
        <w:t>h</w:t>
      </w:r>
      <w:r w:rsidR="002E5C2F" w:rsidRPr="00567373">
        <w:t>ospital</w:t>
      </w:r>
      <w:r w:rsidR="000548C0" w:rsidRPr="00567373">
        <w:t xml:space="preserve"> </w:t>
      </w:r>
      <w:r w:rsidR="00AE2ADC" w:rsidRPr="00567373">
        <w:t>protocol</w:t>
      </w:r>
      <w:r w:rsidR="002E5C2F" w:rsidRPr="00567373">
        <w:t xml:space="preserve">. </w:t>
      </w:r>
      <w:r w:rsidR="00A27016" w:rsidRPr="00567373">
        <w:t>The day prior to the</w:t>
      </w:r>
      <w:r w:rsidR="002471C7" w:rsidRPr="00567373">
        <w:t xml:space="preserve"> CGIT</w:t>
      </w:r>
      <w:r w:rsidR="009E5F9C" w:rsidRPr="00567373">
        <w:t>,</w:t>
      </w:r>
      <w:r w:rsidR="002471C7" w:rsidRPr="00567373">
        <w:t xml:space="preserve"> an intravenous catheter was placed</w:t>
      </w:r>
      <w:r w:rsidR="000548C0" w:rsidRPr="00567373">
        <w:t xml:space="preserve"> in a jugular vein</w:t>
      </w:r>
      <w:r w:rsidR="002471C7" w:rsidRPr="00567373">
        <w:t xml:space="preserve"> and flushed with heparin</w:t>
      </w:r>
      <w:r w:rsidR="00EB0B89" w:rsidRPr="00567373">
        <w:t>ised saline</w:t>
      </w:r>
      <w:r w:rsidR="002E5C2F" w:rsidRPr="00567373">
        <w:t xml:space="preserve"> periodically</w:t>
      </w:r>
      <w:r w:rsidR="002471C7" w:rsidRPr="00567373">
        <w:t xml:space="preserve"> overnight.</w:t>
      </w:r>
      <w:r w:rsidR="000F54E3" w:rsidRPr="00567373">
        <w:t xml:space="preserve"> </w:t>
      </w:r>
      <w:r w:rsidR="001973DC" w:rsidRPr="00567373">
        <w:t xml:space="preserve">A </w:t>
      </w:r>
      <w:r w:rsidR="000F54E3" w:rsidRPr="00567373">
        <w:t xml:space="preserve">meal of approximately </w:t>
      </w:r>
      <w:r w:rsidR="00C033BC" w:rsidRPr="00567373">
        <w:t>1</w:t>
      </w:r>
      <w:r w:rsidR="000F54E3" w:rsidRPr="00567373">
        <w:t xml:space="preserve">% of body mass </w:t>
      </w:r>
      <w:r w:rsidR="00240B4D" w:rsidRPr="00567373">
        <w:t xml:space="preserve">(as dry matter) </w:t>
      </w:r>
      <w:r w:rsidR="000F54E3" w:rsidRPr="00567373">
        <w:t xml:space="preserve">of grass hay </w:t>
      </w:r>
      <w:r w:rsidR="00EE6703" w:rsidRPr="00567373">
        <w:t>was fed between 3</w:t>
      </w:r>
      <w:r w:rsidR="00BB51DB">
        <w:t>.00</w:t>
      </w:r>
      <w:r w:rsidR="00EE6703" w:rsidRPr="00567373">
        <w:t xml:space="preserve"> and 4</w:t>
      </w:r>
      <w:r w:rsidR="00BB51DB">
        <w:t>.00 p.m.</w:t>
      </w:r>
      <w:r w:rsidR="00EE6703" w:rsidRPr="00567373">
        <w:t xml:space="preserve"> </w:t>
      </w:r>
      <w:r w:rsidR="000F54E3" w:rsidRPr="00567373">
        <w:t xml:space="preserve">and </w:t>
      </w:r>
      <w:r w:rsidR="00EF3AFB" w:rsidRPr="00567373">
        <w:t>CGITs commenced</w:t>
      </w:r>
      <w:r w:rsidR="00AE2ADC" w:rsidRPr="00567373">
        <w:t xml:space="preserve"> at 8 AM the following morning. Based on typical consumption rates, </w:t>
      </w:r>
      <w:r w:rsidR="001B00BE" w:rsidRPr="00567373">
        <w:t>animals</w:t>
      </w:r>
      <w:r w:rsidR="000F54E3" w:rsidRPr="00567373">
        <w:t xml:space="preserve"> were fasted for 8</w:t>
      </w:r>
      <w:r w:rsidR="00EE6703" w:rsidRPr="00567373">
        <w:t xml:space="preserve"> - 12</w:t>
      </w:r>
      <w:r w:rsidR="000F54E3" w:rsidRPr="00567373">
        <w:t xml:space="preserve"> h. </w:t>
      </w:r>
      <w:r w:rsidR="000548C0" w:rsidRPr="00567373">
        <w:t>A CGIT was then performe</w:t>
      </w:r>
      <w:r w:rsidR="004B12E6" w:rsidRPr="00567373">
        <w:t xml:space="preserve">d as previously described </w:t>
      </w:r>
      <w:r w:rsidR="004C0C22" w:rsidRPr="00567373">
        <w:t>(Eiler et al., 2005)</w:t>
      </w:r>
      <w:r w:rsidR="000548C0" w:rsidRPr="00567373">
        <w:t xml:space="preserve">. </w:t>
      </w:r>
      <w:r w:rsidR="004B12E6" w:rsidRPr="00567373">
        <w:t xml:space="preserve">Briefly, </w:t>
      </w:r>
      <w:r w:rsidR="00DC1FDF" w:rsidRPr="00567373">
        <w:t>150mg/kg glucose was administered intravenously as a 40%</w:t>
      </w:r>
      <w:r w:rsidR="000B293C" w:rsidRPr="00567373">
        <w:rPr>
          <w:vertAlign w:val="superscript"/>
        </w:rPr>
        <w:t xml:space="preserve"> </w:t>
      </w:r>
      <w:r w:rsidR="000B293C" w:rsidRPr="00567373">
        <w:t>(Dextrose 40% w/v solution, Dechra</w:t>
      </w:r>
      <w:r w:rsidR="00757D1E" w:rsidRPr="00567373">
        <w:t>)</w:t>
      </w:r>
      <w:r w:rsidR="0063782E" w:rsidRPr="00567373">
        <w:t xml:space="preserve"> or 50%</w:t>
      </w:r>
      <w:r w:rsidR="00757D1E" w:rsidRPr="00567373">
        <w:rPr>
          <w:vertAlign w:val="superscript"/>
        </w:rPr>
        <w:t xml:space="preserve"> </w:t>
      </w:r>
      <w:r w:rsidR="00757D1E" w:rsidRPr="00567373">
        <w:t>(Glucose 50% w/v solution, Fresenius Kabi)</w:t>
      </w:r>
      <w:r w:rsidR="0075451C" w:rsidRPr="00567373">
        <w:t xml:space="preserve"> glucose</w:t>
      </w:r>
      <w:r w:rsidR="00DC1FDF" w:rsidRPr="00567373">
        <w:t xml:space="preserve"> solution in </w:t>
      </w:r>
      <w:r w:rsidR="004739D5" w:rsidRPr="00567373">
        <w:t>less than</w:t>
      </w:r>
      <w:r w:rsidR="00DC1FDF" w:rsidRPr="00567373">
        <w:t xml:space="preserve"> 1 minute immediately followed by a 0.1</w:t>
      </w:r>
      <w:r w:rsidR="0063782E" w:rsidRPr="00567373">
        <w:t xml:space="preserve"> </w:t>
      </w:r>
      <w:r w:rsidR="00DC1FDF" w:rsidRPr="00567373">
        <w:t>IU/kg bolus of insulin (Humulin-S</w:t>
      </w:r>
      <w:r w:rsidR="00757D1E" w:rsidRPr="00567373">
        <w:t>, Lilly</w:t>
      </w:r>
      <w:r w:rsidR="00DC1FDF" w:rsidRPr="00567373">
        <w:t>)</w:t>
      </w:r>
      <w:r w:rsidR="00EB0B89" w:rsidRPr="00567373">
        <w:t xml:space="preserve"> and heparinised saline.</w:t>
      </w:r>
      <w:r w:rsidR="000548C0" w:rsidRPr="00567373">
        <w:t xml:space="preserve"> </w:t>
      </w:r>
      <w:r w:rsidR="000F54E3" w:rsidRPr="00567373">
        <w:t>Serum insulin concentrations were measured at 0</w:t>
      </w:r>
      <w:r w:rsidR="00C216D5" w:rsidRPr="00567373">
        <w:t xml:space="preserve"> </w:t>
      </w:r>
      <w:r w:rsidR="00984E23">
        <w:t>min</w:t>
      </w:r>
      <w:r w:rsidR="00C216D5" w:rsidRPr="00567373">
        <w:t xml:space="preserve"> (</w:t>
      </w:r>
      <w:r w:rsidR="00E228FF" w:rsidRPr="00567373">
        <w:t>FI</w:t>
      </w:r>
      <w:r w:rsidR="00C216D5" w:rsidRPr="00567373">
        <w:t>)</w:t>
      </w:r>
      <w:r w:rsidR="000F54E3" w:rsidRPr="00567373">
        <w:t xml:space="preserve">, 45 </w:t>
      </w:r>
      <w:r w:rsidR="00984E23">
        <w:t>min</w:t>
      </w:r>
      <w:r w:rsidR="001248E8" w:rsidRPr="00567373">
        <w:t xml:space="preserve"> (insulin</w:t>
      </w:r>
      <w:r w:rsidR="001248E8" w:rsidRPr="00567373">
        <w:rPr>
          <w:vertAlign w:val="subscript"/>
        </w:rPr>
        <w:t>45</w:t>
      </w:r>
      <w:r w:rsidR="001248E8" w:rsidRPr="00567373">
        <w:t>)</w:t>
      </w:r>
      <w:r w:rsidR="00C216D5" w:rsidRPr="00567373">
        <w:t xml:space="preserve"> </w:t>
      </w:r>
      <w:r w:rsidR="000F54E3" w:rsidRPr="00567373">
        <w:t xml:space="preserve">and 75 </w:t>
      </w:r>
      <w:r w:rsidR="00984E23">
        <w:t>min</w:t>
      </w:r>
      <w:r w:rsidR="001248E8" w:rsidRPr="00567373">
        <w:t xml:space="preserve"> (insulin</w:t>
      </w:r>
      <w:r w:rsidR="001248E8" w:rsidRPr="00567373">
        <w:rPr>
          <w:vertAlign w:val="subscript"/>
        </w:rPr>
        <w:t>75</w:t>
      </w:r>
      <w:r w:rsidR="001248E8" w:rsidRPr="00567373">
        <w:t>)</w:t>
      </w:r>
      <w:r w:rsidR="000E5FA2" w:rsidRPr="00567373">
        <w:t xml:space="preserve"> using</w:t>
      </w:r>
      <w:r w:rsidR="000F54E3" w:rsidRPr="00567373">
        <w:t xml:space="preserve"> a chemiluminescen</w:t>
      </w:r>
      <w:r w:rsidR="002E5C2F" w:rsidRPr="00567373">
        <w:t>t</w:t>
      </w:r>
      <w:r w:rsidR="00757D1E" w:rsidRPr="00567373">
        <w:t xml:space="preserve"> immunoassay (Immulite insulin solid-phase chemiluminescent assay</w:t>
      </w:r>
      <w:r w:rsidR="00BB51DB">
        <w:t xml:space="preserve">; </w:t>
      </w:r>
      <w:r w:rsidR="00757D1E" w:rsidRPr="00567373">
        <w:t>Immulite 1000 or Immulite 2000, Siemens)</w:t>
      </w:r>
      <w:r w:rsidR="008C7C69" w:rsidRPr="00567373">
        <w:t xml:space="preserve"> validated for use in horses</w:t>
      </w:r>
      <w:r w:rsidR="008D19C4" w:rsidRPr="00567373">
        <w:t xml:space="preserve"> </w:t>
      </w:r>
      <w:r w:rsidR="004C0C22" w:rsidRPr="00567373">
        <w:t>(Carslake</w:t>
      </w:r>
      <w:r w:rsidR="00D76278" w:rsidRPr="00567373">
        <w:t xml:space="preserve"> et al.</w:t>
      </w:r>
      <w:r w:rsidR="004C0C22" w:rsidRPr="00567373">
        <w:t>, 2017)</w:t>
      </w:r>
      <w:r w:rsidR="00AB177A" w:rsidRPr="00567373">
        <w:t>. Whole blood glucose concentration w</w:t>
      </w:r>
      <w:r w:rsidR="008C7C69" w:rsidRPr="00567373">
        <w:t>as</w:t>
      </w:r>
      <w:r w:rsidR="00AB177A" w:rsidRPr="00567373">
        <w:t xml:space="preserve"> measured at 0, 1, </w:t>
      </w:r>
      <w:r w:rsidR="000548C0" w:rsidRPr="00567373">
        <w:t xml:space="preserve">5, </w:t>
      </w:r>
      <w:r w:rsidR="00AB177A" w:rsidRPr="00567373">
        <w:t>15, 25, 35, 45, 60, 75, 90, 105, 120, 135 and 150 min</w:t>
      </w:r>
      <w:r w:rsidR="001248E8" w:rsidRPr="00567373">
        <w:t xml:space="preserve"> (glucose</w:t>
      </w:r>
      <w:r w:rsidR="001248E8" w:rsidRPr="00567373">
        <w:rPr>
          <w:vertAlign w:val="subscript"/>
        </w:rPr>
        <w:t>0</w:t>
      </w:r>
      <w:r w:rsidR="001248E8" w:rsidRPr="00567373">
        <w:t xml:space="preserve"> – glucose</w:t>
      </w:r>
      <w:r w:rsidR="001248E8" w:rsidRPr="00567373">
        <w:rPr>
          <w:vertAlign w:val="subscript"/>
        </w:rPr>
        <w:t>150</w:t>
      </w:r>
      <w:r w:rsidR="001248E8" w:rsidRPr="00567373">
        <w:t>)</w:t>
      </w:r>
      <w:r w:rsidR="00AB177A" w:rsidRPr="00567373">
        <w:t xml:space="preserve"> using a validated handheld device</w:t>
      </w:r>
      <w:r w:rsidR="00CE40A0" w:rsidRPr="00567373">
        <w:t xml:space="preserve"> utilising glucose dehydrogenase enzyme and colourimetric </w:t>
      </w:r>
      <w:r w:rsidR="00CE40A0" w:rsidRPr="00567373">
        <w:lastRenderedPageBreak/>
        <w:t>principles</w:t>
      </w:r>
      <w:r w:rsidR="00AB177A" w:rsidRPr="00567373">
        <w:t xml:space="preserve"> (</w:t>
      </w:r>
      <w:r w:rsidR="00AA0AC3" w:rsidRPr="00567373">
        <w:t>Alphatrak</w:t>
      </w:r>
      <w:r w:rsidR="00757D1E" w:rsidRPr="00567373">
        <w:t>, Zoetis</w:t>
      </w:r>
      <w:r w:rsidR="0091261E">
        <w:t xml:space="preserve">; </w:t>
      </w:r>
      <w:r w:rsidR="004C0C22" w:rsidRPr="00567373">
        <w:t>Hackett and McCue, 2010)</w:t>
      </w:r>
      <w:r w:rsidR="002B61F9" w:rsidRPr="00567373">
        <w:t xml:space="preserve"> </w:t>
      </w:r>
      <w:r w:rsidR="00AB177A" w:rsidRPr="00567373">
        <w:t xml:space="preserve">or </w:t>
      </w:r>
      <w:r w:rsidR="00CE40A0" w:rsidRPr="00567373">
        <w:t xml:space="preserve">a </w:t>
      </w:r>
      <w:r w:rsidR="00AB177A" w:rsidRPr="00567373">
        <w:t>benchtop analyser</w:t>
      </w:r>
      <w:r w:rsidR="00CE40A0" w:rsidRPr="00567373">
        <w:t xml:space="preserve"> utilising a glucose oxidase enzymatic method</w:t>
      </w:r>
      <w:r w:rsidR="00AB177A" w:rsidRPr="00567373">
        <w:t xml:space="preserve"> (YSI 2300</w:t>
      </w:r>
      <w:r w:rsidR="00757D1E" w:rsidRPr="00567373">
        <w:t>, YSI)</w:t>
      </w:r>
      <w:r w:rsidR="00CE40A0" w:rsidRPr="00567373">
        <w:t>,</w:t>
      </w:r>
      <w:r w:rsidR="003B1B00" w:rsidRPr="00567373">
        <w:t xml:space="preserve"> with the same analyser being used throughout </w:t>
      </w:r>
      <w:r w:rsidR="00EB0B89" w:rsidRPr="00567373">
        <w:t>each</w:t>
      </w:r>
      <w:r w:rsidR="003B1B00" w:rsidRPr="00567373">
        <w:t xml:space="preserve"> individual CGIT test. </w:t>
      </w:r>
      <w:r w:rsidR="006C5271" w:rsidRPr="00567373">
        <w:t>Results from t</w:t>
      </w:r>
      <w:r w:rsidR="00E8736F" w:rsidRPr="00567373">
        <w:t xml:space="preserve">he YSI 2300 </w:t>
      </w:r>
      <w:r w:rsidR="006C5271" w:rsidRPr="00567373">
        <w:t>were</w:t>
      </w:r>
      <w:r w:rsidR="00E8736F" w:rsidRPr="00567373">
        <w:t xml:space="preserve"> highly correlated with </w:t>
      </w:r>
      <w:r w:rsidR="005B4637" w:rsidRPr="00567373">
        <w:t xml:space="preserve">those of the </w:t>
      </w:r>
      <w:r w:rsidR="00E8736F" w:rsidRPr="00567373">
        <w:t>Alphatrak (</w:t>
      </w:r>
      <w:r w:rsidR="00FB19D6" w:rsidRPr="00FB19D6">
        <w:rPr>
          <w:i/>
        </w:rPr>
        <w:t>r</w:t>
      </w:r>
      <w:r w:rsidR="006C5271" w:rsidRPr="00567373">
        <w:rPr>
          <w:vertAlign w:val="superscript"/>
        </w:rPr>
        <w:t>2</w:t>
      </w:r>
      <w:r w:rsidR="002107F8">
        <w:t>=</w:t>
      </w:r>
      <w:r w:rsidR="006C5271" w:rsidRPr="00567373">
        <w:t xml:space="preserve">0.99; </w:t>
      </w:r>
      <w:r w:rsidR="00E8736F" w:rsidRPr="00567373">
        <w:t>median coefficient of variance 2.2%, interquartile range 1.0-3.5%)</w:t>
      </w:r>
      <w:r w:rsidR="005B4637" w:rsidRPr="00567373">
        <w:t>,</w:t>
      </w:r>
      <w:r w:rsidR="00E8736F" w:rsidRPr="00567373">
        <w:t xml:space="preserve"> when transformed using linear regression according to the formula </w:t>
      </w:r>
      <w:r w:rsidR="00BB51DB">
        <w:t>-</w:t>
      </w:r>
    </w:p>
    <w:p w:rsidR="00BB51DB" w:rsidRDefault="00E8736F" w:rsidP="00BB51DB">
      <w:pPr>
        <w:spacing w:line="480" w:lineRule="auto"/>
      </w:pPr>
      <w:r w:rsidRPr="00567373">
        <w:t>Alphatrak = (YSI 2300 x 1.52) – 0.46</w:t>
      </w:r>
      <w:r w:rsidR="005B4637" w:rsidRPr="00567373">
        <w:t xml:space="preserve">. </w:t>
      </w:r>
    </w:p>
    <w:p w:rsidR="00E8736F" w:rsidRPr="00567373" w:rsidRDefault="005B4637" w:rsidP="00BB51DB">
      <w:pPr>
        <w:spacing w:line="480" w:lineRule="auto"/>
      </w:pPr>
      <w:r w:rsidRPr="00567373">
        <w:t>Therefore, results from the YSI 2300 device</w:t>
      </w:r>
      <w:r w:rsidR="00E8736F" w:rsidRPr="00567373">
        <w:t xml:space="preserve"> were transformed and retained for </w:t>
      </w:r>
      <w:r w:rsidR="006C5271" w:rsidRPr="00567373">
        <w:t>analysis.</w:t>
      </w:r>
    </w:p>
    <w:p w:rsidR="00E76AB2" w:rsidRPr="00567373" w:rsidRDefault="00E76AB2" w:rsidP="00E10F86">
      <w:pPr>
        <w:spacing w:line="480" w:lineRule="auto"/>
      </w:pPr>
    </w:p>
    <w:p w:rsidR="00385754" w:rsidRPr="00567373" w:rsidRDefault="0056738B" w:rsidP="00E10F86">
      <w:pPr>
        <w:spacing w:line="480" w:lineRule="auto"/>
        <w:rPr>
          <w:i/>
        </w:rPr>
      </w:pPr>
      <w:r w:rsidRPr="00567373">
        <w:rPr>
          <w:i/>
        </w:rPr>
        <w:t>Case definition</w:t>
      </w:r>
    </w:p>
    <w:p w:rsidR="007A032D" w:rsidRPr="00567373" w:rsidRDefault="00B72DBF" w:rsidP="00E10F86">
      <w:pPr>
        <w:spacing w:line="480" w:lineRule="auto"/>
        <w:ind w:firstLine="720"/>
      </w:pPr>
      <w:r w:rsidRPr="00567373">
        <w:t xml:space="preserve">Horses were classified as positive for ID using CGIT </w:t>
      </w:r>
      <w:r w:rsidR="008F5C8D" w:rsidRPr="00567373">
        <w:t xml:space="preserve">if </w:t>
      </w:r>
      <w:r w:rsidRPr="00567373">
        <w:t>insulin</w:t>
      </w:r>
      <w:r w:rsidR="000434FD" w:rsidRPr="00567373">
        <w:rPr>
          <w:vertAlign w:val="subscript"/>
        </w:rPr>
        <w:t>45</w:t>
      </w:r>
      <w:r w:rsidR="005F4561" w:rsidRPr="00567373">
        <w:rPr>
          <w:vertAlign w:val="subscript"/>
        </w:rPr>
        <w:t xml:space="preserve"> </w:t>
      </w:r>
      <w:r w:rsidRPr="00567373">
        <w:t>was ≥ 100μIU/m</w:t>
      </w:r>
      <w:r w:rsidR="00C4513B" w:rsidRPr="00567373">
        <w:t>L</w:t>
      </w:r>
      <w:r w:rsidRPr="00567373">
        <w:t xml:space="preserve"> and/or glucose</w:t>
      </w:r>
      <w:r w:rsidR="000434FD" w:rsidRPr="00567373">
        <w:rPr>
          <w:vertAlign w:val="subscript"/>
        </w:rPr>
        <w:t xml:space="preserve">45 </w:t>
      </w:r>
      <w:r w:rsidRPr="00567373">
        <w:t>was above baseline glucose</w:t>
      </w:r>
      <w:r w:rsidR="007417B7" w:rsidRPr="00567373">
        <w:t xml:space="preserve"> </w:t>
      </w:r>
      <w:r w:rsidR="004C0C22" w:rsidRPr="00567373">
        <w:t>(Frank et al., 2010)</w:t>
      </w:r>
      <w:r w:rsidRPr="00567373">
        <w:t xml:space="preserve"> </w:t>
      </w:r>
      <w:r w:rsidR="006F6463" w:rsidRPr="00567373">
        <w:t xml:space="preserve">by at least </w:t>
      </w:r>
      <w:r w:rsidRPr="00567373">
        <w:t>1 mmol/L</w:t>
      </w:r>
      <w:r w:rsidR="00BA492F" w:rsidRPr="00567373">
        <w:t xml:space="preserve">, </w:t>
      </w:r>
      <w:r w:rsidR="006F6463" w:rsidRPr="00567373">
        <w:t xml:space="preserve">in order to account for the </w:t>
      </w:r>
      <w:r w:rsidR="00324CD3" w:rsidRPr="00567373">
        <w:t>precision</w:t>
      </w:r>
      <w:r w:rsidR="000434FD" w:rsidRPr="00567373">
        <w:t xml:space="preserve"> of the glucometer</w:t>
      </w:r>
      <w:r w:rsidRPr="00567373">
        <w:t xml:space="preserve">.  </w:t>
      </w:r>
      <w:r w:rsidR="00117ED0" w:rsidRPr="00567373">
        <w:t>A</w:t>
      </w:r>
      <w:r w:rsidR="005433C6" w:rsidRPr="00567373">
        <w:t xml:space="preserve"> </w:t>
      </w:r>
      <w:r w:rsidR="00E228FF" w:rsidRPr="00567373">
        <w:t>FI</w:t>
      </w:r>
      <w:r w:rsidR="00117ED0" w:rsidRPr="00567373">
        <w:t xml:space="preserve"> </w:t>
      </w:r>
      <w:r w:rsidR="005433C6" w:rsidRPr="00567373">
        <w:t>cut-off of</w:t>
      </w:r>
      <w:r w:rsidR="00FB5413" w:rsidRPr="00567373">
        <w:t xml:space="preserve"> </w:t>
      </w:r>
      <w:r w:rsidR="00EC4F08" w:rsidRPr="00567373">
        <w:t>≥ 20μIU/</w:t>
      </w:r>
      <w:r w:rsidR="00C4513B" w:rsidRPr="00567373">
        <w:t xml:space="preserve">mL </w:t>
      </w:r>
      <w:r w:rsidR="005433C6" w:rsidRPr="00567373">
        <w:t>was used</w:t>
      </w:r>
      <w:r w:rsidR="00EC4F08" w:rsidRPr="00567373">
        <w:t xml:space="preserve"> as positive for</w:t>
      </w:r>
      <w:r w:rsidR="00FB5413" w:rsidRPr="00567373">
        <w:t xml:space="preserve"> </w:t>
      </w:r>
      <w:r w:rsidR="005433C6" w:rsidRPr="00567373">
        <w:t>ID</w:t>
      </w:r>
      <w:r w:rsidR="00083FBE" w:rsidRPr="00567373">
        <w:t xml:space="preserve"> </w:t>
      </w:r>
      <w:r w:rsidR="004C0C22" w:rsidRPr="00567373">
        <w:t>(Frank et al., 2010)</w:t>
      </w:r>
      <w:r w:rsidR="00A97407" w:rsidRPr="00567373">
        <w:t xml:space="preserve">. </w:t>
      </w:r>
      <w:r w:rsidR="002A771A" w:rsidRPr="00567373">
        <w:t>Horses</w:t>
      </w:r>
      <w:r w:rsidR="00662503" w:rsidRPr="00567373">
        <w:t xml:space="preserve"> were classed as obese where their body condition score was recorded as ≥ 4/5 </w:t>
      </w:r>
      <w:r w:rsidR="00A02026" w:rsidRPr="00567373">
        <w:t xml:space="preserve">(Carroll and Huntington, 1988) </w:t>
      </w:r>
      <w:r w:rsidR="00662503" w:rsidRPr="00567373">
        <w:t xml:space="preserve">or </w:t>
      </w:r>
      <w:r w:rsidR="00D00C39" w:rsidRPr="00567373">
        <w:t xml:space="preserve">≥ </w:t>
      </w:r>
      <w:r w:rsidR="00662503" w:rsidRPr="00567373">
        <w:t>7/9 (</w:t>
      </w:r>
      <w:r w:rsidR="00A02026" w:rsidRPr="00567373">
        <w:t>Henneke et al., 1983</w:t>
      </w:r>
      <w:r w:rsidR="00662503" w:rsidRPr="00567373">
        <w:t xml:space="preserve">). </w:t>
      </w:r>
      <w:r w:rsidR="00046022" w:rsidRPr="00567373">
        <w:t>For the purpose of statistical analysis</w:t>
      </w:r>
      <w:r w:rsidR="00D76278" w:rsidRPr="00567373">
        <w:t>,</w:t>
      </w:r>
      <w:r w:rsidR="00046022" w:rsidRPr="00567373">
        <w:t xml:space="preserve"> </w:t>
      </w:r>
      <w:r w:rsidR="00B97910" w:rsidRPr="00567373">
        <w:t xml:space="preserve">breeds </w:t>
      </w:r>
      <w:r w:rsidR="00641B18" w:rsidRPr="00567373">
        <w:t>were categorised into native ponies</w:t>
      </w:r>
      <w:r w:rsidR="00A67861" w:rsidRPr="00567373">
        <w:t xml:space="preserve">; </w:t>
      </w:r>
      <w:r w:rsidR="00641B18" w:rsidRPr="00567373">
        <w:t>cobs</w:t>
      </w:r>
      <w:r w:rsidR="00AE2A13" w:rsidRPr="00567373">
        <w:t xml:space="preserve"> and cold bloods</w:t>
      </w:r>
      <w:r w:rsidR="00A67861" w:rsidRPr="00567373">
        <w:t>;</w:t>
      </w:r>
      <w:r w:rsidR="00641B18" w:rsidRPr="00567373">
        <w:t xml:space="preserve"> </w:t>
      </w:r>
      <w:r w:rsidR="00AC128C" w:rsidRPr="00567373">
        <w:t>and</w:t>
      </w:r>
      <w:r w:rsidR="00641B18" w:rsidRPr="00567373">
        <w:t xml:space="preserve"> </w:t>
      </w:r>
      <w:r w:rsidR="009B6725" w:rsidRPr="00567373">
        <w:t xml:space="preserve">other </w:t>
      </w:r>
      <w:r w:rsidR="00641B18" w:rsidRPr="00567373">
        <w:t>horse</w:t>
      </w:r>
      <w:r w:rsidR="009B6725" w:rsidRPr="00567373">
        <w:t xml:space="preserve"> breed</w:t>
      </w:r>
      <w:r w:rsidR="00641B18" w:rsidRPr="00567373">
        <w:t>s</w:t>
      </w:r>
      <w:r w:rsidR="00046022" w:rsidRPr="00567373">
        <w:t>.</w:t>
      </w:r>
      <w:r w:rsidR="00641B18" w:rsidRPr="00567373">
        <w:t xml:space="preserve"> </w:t>
      </w:r>
      <w:r w:rsidR="00662503" w:rsidRPr="00567373">
        <w:t xml:space="preserve">Animals were classed as previously laminitic where this was reported by the owner or referring vet and/or where there was unequivocal evidence on examination of the hooves of previous laminitic changes (divergent growth rings, </w:t>
      </w:r>
      <w:r w:rsidR="00E0395B" w:rsidRPr="00567373">
        <w:t>convex sole</w:t>
      </w:r>
      <w:r w:rsidR="00FC5313" w:rsidRPr="00567373">
        <w:t>; Karikoski et al., 2015)</w:t>
      </w:r>
      <w:r w:rsidR="00662503" w:rsidRPr="00567373">
        <w:t xml:space="preserve">. </w:t>
      </w:r>
      <w:r w:rsidR="002A771A" w:rsidRPr="00567373">
        <w:t>Horses</w:t>
      </w:r>
      <w:r w:rsidR="00662503" w:rsidRPr="00567373">
        <w:t xml:space="preserve"> were classed as currently laminitic when they were recorded to show lameness that had been diagnosed at the hospital to be laminitis, graded as Obel grade</w:t>
      </w:r>
      <w:r w:rsidR="00D00C39" w:rsidRPr="00567373">
        <w:t xml:space="preserve"> ≥</w:t>
      </w:r>
      <w:r w:rsidR="00662503" w:rsidRPr="00567373">
        <w:t xml:space="preserve"> II/IV (</w:t>
      </w:r>
      <w:r w:rsidR="009A20EF" w:rsidRPr="00567373">
        <w:t>Obel, 1948</w:t>
      </w:r>
      <w:r w:rsidR="00662503" w:rsidRPr="00567373">
        <w:t xml:space="preserve">). </w:t>
      </w:r>
      <w:r w:rsidR="00C83FDB" w:rsidRPr="00567373">
        <w:t>Feeding was classified in a binary fashion according to access to pasture/high NSC feed/supplementary feeding.</w:t>
      </w:r>
      <w:r w:rsidR="000D2816" w:rsidRPr="00567373">
        <w:t xml:space="preserve"> </w:t>
      </w:r>
      <w:r w:rsidR="002A771A" w:rsidRPr="00567373">
        <w:t>Horses</w:t>
      </w:r>
      <w:r w:rsidR="007A032D" w:rsidRPr="00567373">
        <w:t xml:space="preserve"> were considered to have access to high NSC feed if they had access to unlimited pasture, received supplementary feeding, or were fed unsoaked haylage</w:t>
      </w:r>
      <w:r w:rsidR="0015520A" w:rsidRPr="00567373">
        <w:t xml:space="preserve"> (Carslake et al., 2018)</w:t>
      </w:r>
      <w:r w:rsidR="007A032D" w:rsidRPr="00567373">
        <w:t>.</w:t>
      </w:r>
    </w:p>
    <w:p w:rsidR="00117ED0" w:rsidRPr="00567373" w:rsidRDefault="00117ED0" w:rsidP="00E10F86">
      <w:pPr>
        <w:spacing w:line="480" w:lineRule="auto"/>
      </w:pPr>
    </w:p>
    <w:p w:rsidR="00385754" w:rsidRPr="00567373" w:rsidRDefault="0056738B" w:rsidP="00E10F86">
      <w:pPr>
        <w:spacing w:line="480" w:lineRule="auto"/>
        <w:rPr>
          <w:i/>
        </w:rPr>
      </w:pPr>
      <w:r w:rsidRPr="00567373">
        <w:rPr>
          <w:i/>
        </w:rPr>
        <w:t>Data analysis</w:t>
      </w:r>
    </w:p>
    <w:p w:rsidR="00ED5A59" w:rsidRPr="00567373" w:rsidRDefault="00704EA5" w:rsidP="00E10F86">
      <w:pPr>
        <w:spacing w:line="480" w:lineRule="auto"/>
        <w:ind w:firstLine="720"/>
      </w:pPr>
      <w:r w:rsidRPr="00567373">
        <w:t xml:space="preserve">For comparison of </w:t>
      </w:r>
      <w:r w:rsidR="00D12FA2" w:rsidRPr="00567373">
        <w:t>FI and CGIT</w:t>
      </w:r>
      <w:r w:rsidRPr="00567373">
        <w:t xml:space="preserve"> results, d</w:t>
      </w:r>
      <w:r w:rsidR="005B3E4F" w:rsidRPr="00567373">
        <w:t>ata</w:t>
      </w:r>
      <w:r w:rsidR="00EE6703" w:rsidRPr="00567373">
        <w:t xml:space="preserve"> </w:t>
      </w:r>
      <w:r w:rsidR="005B3E4F" w:rsidRPr="00567373">
        <w:t>included multiple datasets from the same horse but at different stages of treatment</w:t>
      </w:r>
      <w:r w:rsidR="00441520" w:rsidRPr="00567373">
        <w:t xml:space="preserve"> (i.e. following manipulation of diet and exercise)</w:t>
      </w:r>
      <w:r w:rsidR="00EE6703" w:rsidRPr="00567373">
        <w:t>.</w:t>
      </w:r>
      <w:r w:rsidR="005B3E4F" w:rsidRPr="00567373">
        <w:t xml:space="preserve"> </w:t>
      </w:r>
      <w:r w:rsidR="00EE6703" w:rsidRPr="00567373">
        <w:t>Normality</w:t>
      </w:r>
      <w:r w:rsidR="008111B0" w:rsidRPr="00567373">
        <w:t xml:space="preserve"> </w:t>
      </w:r>
      <w:r w:rsidR="00E55211" w:rsidRPr="00567373">
        <w:t>of data was tested</w:t>
      </w:r>
      <w:r w:rsidR="008111B0" w:rsidRPr="00567373">
        <w:t xml:space="preserve"> using Shapiro-Wilk analysis.</w:t>
      </w:r>
      <w:r w:rsidR="003335EF" w:rsidRPr="00567373">
        <w:t xml:space="preserve"> </w:t>
      </w:r>
      <w:r w:rsidR="002B46B2" w:rsidRPr="00567373">
        <w:t xml:space="preserve">Sensitivity and specificity of </w:t>
      </w:r>
      <w:r w:rsidR="00E228FF" w:rsidRPr="00567373">
        <w:t>FI</w:t>
      </w:r>
      <w:r w:rsidR="002B46B2" w:rsidRPr="00567373">
        <w:t xml:space="preserve"> </w:t>
      </w:r>
      <w:r w:rsidR="00005EBD" w:rsidRPr="00567373">
        <w:t xml:space="preserve">was calculated </w:t>
      </w:r>
      <w:r w:rsidR="00FA32FD" w:rsidRPr="00567373">
        <w:t xml:space="preserve">with </w:t>
      </w:r>
      <w:r w:rsidR="004516B0" w:rsidRPr="00567373">
        <w:t xml:space="preserve">reference to </w:t>
      </w:r>
      <w:r w:rsidR="00B8108C" w:rsidRPr="00567373">
        <w:t xml:space="preserve">different </w:t>
      </w:r>
      <w:r w:rsidR="004516B0" w:rsidRPr="00567373">
        <w:t>outcome variables of the</w:t>
      </w:r>
      <w:r w:rsidR="002B46B2" w:rsidRPr="00567373">
        <w:t xml:space="preserve"> CGIT. </w:t>
      </w:r>
      <w:r w:rsidR="00662503" w:rsidRPr="00567373">
        <w:t>Area under the curve (AUC) for insulin and glucose were calculated</w:t>
      </w:r>
      <w:r w:rsidR="00C141D2" w:rsidRPr="00567373">
        <w:t xml:space="preserve"> using the trapezoid method</w:t>
      </w:r>
      <w:r w:rsidR="00662503" w:rsidRPr="00567373">
        <w:t xml:space="preserve">. </w:t>
      </w:r>
      <w:r w:rsidR="002C74DD" w:rsidRPr="00567373">
        <w:t>Spearman</w:t>
      </w:r>
      <w:r w:rsidR="006E4F37" w:rsidRPr="00567373">
        <w:t>’s</w:t>
      </w:r>
      <w:r w:rsidR="002C74DD" w:rsidRPr="00567373">
        <w:t xml:space="preserve"> </w:t>
      </w:r>
      <w:r w:rsidR="006E4F37" w:rsidRPr="00567373">
        <w:t>rank correlation coefficient</w:t>
      </w:r>
      <w:r w:rsidR="00C141D2" w:rsidRPr="00567373">
        <w:t xml:space="preserve"> was</w:t>
      </w:r>
      <w:r w:rsidR="002B46B2" w:rsidRPr="00567373">
        <w:t xml:space="preserve"> used to compare </w:t>
      </w:r>
      <w:r w:rsidR="00E228FF" w:rsidRPr="00567373">
        <w:t>FI</w:t>
      </w:r>
      <w:r w:rsidR="002B46B2" w:rsidRPr="00567373">
        <w:t xml:space="preserve"> with </w:t>
      </w:r>
      <w:r w:rsidR="00117ED0" w:rsidRPr="00567373">
        <w:t>insulin</w:t>
      </w:r>
      <w:r w:rsidR="00652A87" w:rsidRPr="00567373">
        <w:rPr>
          <w:vertAlign w:val="subscript"/>
        </w:rPr>
        <w:t>45</w:t>
      </w:r>
      <w:r w:rsidR="00652A87" w:rsidRPr="00567373">
        <w:t>,</w:t>
      </w:r>
      <w:r w:rsidR="003A0FAC" w:rsidRPr="00567373">
        <w:t xml:space="preserve"> glucose</w:t>
      </w:r>
      <w:r w:rsidR="00652A87" w:rsidRPr="00567373">
        <w:rPr>
          <w:vertAlign w:val="subscript"/>
        </w:rPr>
        <w:t>45</w:t>
      </w:r>
      <w:r w:rsidR="003640A1" w:rsidRPr="00567373">
        <w:t>,</w:t>
      </w:r>
      <w:r w:rsidR="00117ED0" w:rsidRPr="00567373">
        <w:t xml:space="preserve"> insulin</w:t>
      </w:r>
      <w:r w:rsidR="00652A87" w:rsidRPr="00567373">
        <w:rPr>
          <w:vertAlign w:val="subscript"/>
        </w:rPr>
        <w:t>75</w:t>
      </w:r>
      <w:r w:rsidR="002943B4" w:rsidRPr="00567373">
        <w:t>,</w:t>
      </w:r>
      <w:r w:rsidR="00F9363E" w:rsidRPr="00567373">
        <w:t xml:space="preserve"> AUC</w:t>
      </w:r>
      <w:r w:rsidR="00F9363E" w:rsidRPr="00567373">
        <w:rPr>
          <w:vertAlign w:val="subscript"/>
        </w:rPr>
        <w:t>insulin</w:t>
      </w:r>
      <w:r w:rsidR="00F9363E" w:rsidRPr="00567373">
        <w:t xml:space="preserve"> and AUC</w:t>
      </w:r>
      <w:r w:rsidR="00F9363E" w:rsidRPr="00567373">
        <w:rPr>
          <w:vertAlign w:val="subscript"/>
        </w:rPr>
        <w:t>glucose</w:t>
      </w:r>
      <w:r w:rsidR="00005EBD" w:rsidRPr="00567373">
        <w:t>.</w:t>
      </w:r>
      <w:r w:rsidR="003D30FB" w:rsidRPr="00567373">
        <w:t xml:space="preserve"> </w:t>
      </w:r>
      <w:r w:rsidR="005753C9" w:rsidRPr="00567373">
        <w:t>R</w:t>
      </w:r>
      <w:r w:rsidR="0034073E" w:rsidRPr="00567373">
        <w:t>eceiver</w:t>
      </w:r>
      <w:r w:rsidR="0034643D">
        <w:t xml:space="preserve"> </w:t>
      </w:r>
      <w:r w:rsidR="0034073E" w:rsidRPr="00567373">
        <w:t>operat</w:t>
      </w:r>
      <w:r w:rsidR="0034643D">
        <w:t>ing</w:t>
      </w:r>
      <w:r w:rsidR="0034073E" w:rsidRPr="00567373">
        <w:t xml:space="preserve"> characteristic (ROC) curve and Youden</w:t>
      </w:r>
      <w:r w:rsidR="004A4243" w:rsidRPr="00567373">
        <w:t>’s</w:t>
      </w:r>
      <w:r w:rsidR="0034073E" w:rsidRPr="00567373">
        <w:t xml:space="preserve"> index</w:t>
      </w:r>
      <w:r w:rsidR="002B46B2" w:rsidRPr="00567373">
        <w:t xml:space="preserve"> analysis </w:t>
      </w:r>
      <w:r w:rsidR="00005EBD" w:rsidRPr="00567373">
        <w:t>w</w:t>
      </w:r>
      <w:r w:rsidR="003335EF" w:rsidRPr="00567373">
        <w:t>ere</w:t>
      </w:r>
      <w:r w:rsidR="002B46B2" w:rsidRPr="00567373">
        <w:t xml:space="preserve"> used to calculate optimal cut-off values for </w:t>
      </w:r>
      <w:r w:rsidR="00E228FF" w:rsidRPr="00567373">
        <w:t>FI</w:t>
      </w:r>
      <w:r w:rsidR="00F9363E" w:rsidRPr="00567373">
        <w:t xml:space="preserve"> with</w:t>
      </w:r>
      <w:r w:rsidR="003335EF" w:rsidRPr="00567373">
        <w:t xml:space="preserve"> reference to </w:t>
      </w:r>
      <w:r w:rsidR="00F9363E" w:rsidRPr="00567373">
        <w:t xml:space="preserve">the </w:t>
      </w:r>
      <w:r w:rsidR="003335EF" w:rsidRPr="00567373">
        <w:t>CGIT result</w:t>
      </w:r>
      <w:r w:rsidR="0021650D" w:rsidRPr="00567373">
        <w:t>.</w:t>
      </w:r>
    </w:p>
    <w:p w:rsidR="003C47A1" w:rsidRPr="00567373" w:rsidRDefault="003C47A1" w:rsidP="00E10F86">
      <w:pPr>
        <w:spacing w:line="480" w:lineRule="auto"/>
      </w:pPr>
    </w:p>
    <w:p w:rsidR="0007466C" w:rsidRPr="00567373" w:rsidRDefault="00704EA5" w:rsidP="00E10F86">
      <w:pPr>
        <w:spacing w:line="480" w:lineRule="auto"/>
        <w:ind w:firstLine="720"/>
      </w:pPr>
      <w:r w:rsidRPr="00567373">
        <w:t xml:space="preserve">For investigation of </w:t>
      </w:r>
      <w:r w:rsidR="00D00EED" w:rsidRPr="00567373">
        <w:t xml:space="preserve">horse level </w:t>
      </w:r>
      <w:r w:rsidRPr="00567373">
        <w:t>factors associated with test outcome, only</w:t>
      </w:r>
      <w:r w:rsidR="009F08F4" w:rsidRPr="00567373">
        <w:t xml:space="preserve"> data</w:t>
      </w:r>
      <w:r w:rsidR="00CF7FF8" w:rsidRPr="00567373">
        <w:t>sets</w:t>
      </w:r>
      <w:r w:rsidR="009F08F4" w:rsidRPr="00567373">
        <w:t xml:space="preserve"> from the first </w:t>
      </w:r>
      <w:r w:rsidR="00441520" w:rsidRPr="00567373">
        <w:t>CGIT</w:t>
      </w:r>
      <w:r w:rsidR="009F08F4" w:rsidRPr="00567373">
        <w:t xml:space="preserve"> on each horse </w:t>
      </w:r>
      <w:r w:rsidR="009B6725" w:rsidRPr="00567373">
        <w:t xml:space="preserve">were </w:t>
      </w:r>
      <w:r w:rsidRPr="00567373">
        <w:t xml:space="preserve">used. </w:t>
      </w:r>
      <w:r w:rsidR="007D2814" w:rsidRPr="00567373">
        <w:t xml:space="preserve">Mann-Whitney </w:t>
      </w:r>
      <w:r w:rsidR="007D2814" w:rsidRPr="00567373">
        <w:rPr>
          <w:i/>
        </w:rPr>
        <w:t>U</w:t>
      </w:r>
      <w:r w:rsidR="007D2814" w:rsidRPr="00567373">
        <w:t xml:space="preserve"> tests were used to </w:t>
      </w:r>
      <w:r w:rsidR="005C19A3" w:rsidRPr="00567373">
        <w:t>investigate</w:t>
      </w:r>
      <w:r w:rsidR="007D2814" w:rsidRPr="00567373">
        <w:t xml:space="preserve"> </w:t>
      </w:r>
      <w:r w:rsidR="00D00EED" w:rsidRPr="00567373">
        <w:t>the association between</w:t>
      </w:r>
      <w:r w:rsidR="00E948F2" w:rsidRPr="00567373">
        <w:t xml:space="preserve"> </w:t>
      </w:r>
      <w:r w:rsidR="00D00EED" w:rsidRPr="00567373">
        <w:t xml:space="preserve">test outcome and </w:t>
      </w:r>
      <w:r w:rsidR="007D2814" w:rsidRPr="00567373">
        <w:t>continuous variables</w:t>
      </w:r>
      <w:r w:rsidR="00D00EED" w:rsidRPr="00567373">
        <w:t xml:space="preserve"> of age and weight</w:t>
      </w:r>
      <w:r w:rsidR="007D2814" w:rsidRPr="00567373">
        <w:t xml:space="preserve">. </w:t>
      </w:r>
      <w:r w:rsidR="009F08F4" w:rsidRPr="00567373">
        <w:t>T</w:t>
      </w:r>
      <w:r w:rsidR="003C47A1" w:rsidRPr="00567373">
        <w:t>he effect of signalment</w:t>
      </w:r>
      <w:r w:rsidR="003979B5" w:rsidRPr="00567373">
        <w:t xml:space="preserve"> (age category/</w:t>
      </w:r>
      <w:r w:rsidR="00896CEC" w:rsidRPr="00567373">
        <w:t xml:space="preserve"> </w:t>
      </w:r>
      <w:r w:rsidR="003979B5" w:rsidRPr="00567373">
        <w:t>breed category/</w:t>
      </w:r>
      <w:r w:rsidR="00896CEC" w:rsidRPr="00567373">
        <w:t xml:space="preserve"> </w:t>
      </w:r>
      <w:r w:rsidR="003979B5" w:rsidRPr="00567373">
        <w:t>sex)</w:t>
      </w:r>
      <w:r w:rsidR="003C47A1" w:rsidRPr="00567373">
        <w:t xml:space="preserve">, </w:t>
      </w:r>
      <w:r w:rsidR="009F08F4" w:rsidRPr="00567373">
        <w:t>bodyweight</w:t>
      </w:r>
      <w:r w:rsidR="003979B5" w:rsidRPr="00567373">
        <w:t xml:space="preserve"> category</w:t>
      </w:r>
      <w:r w:rsidR="009F08F4" w:rsidRPr="00567373">
        <w:t xml:space="preserve">, </w:t>
      </w:r>
      <w:r w:rsidR="003C47A1" w:rsidRPr="00567373">
        <w:t xml:space="preserve">diet </w:t>
      </w:r>
      <w:r w:rsidR="003979B5" w:rsidRPr="00567373">
        <w:t>(access to supplementary feed/</w:t>
      </w:r>
      <w:r w:rsidR="00896CEC" w:rsidRPr="00567373">
        <w:t xml:space="preserve"> </w:t>
      </w:r>
      <w:r w:rsidR="003979B5" w:rsidRPr="00567373">
        <w:t>access to pasture/</w:t>
      </w:r>
      <w:r w:rsidR="00896CEC" w:rsidRPr="00567373">
        <w:t xml:space="preserve"> </w:t>
      </w:r>
      <w:r w:rsidR="003979B5" w:rsidRPr="00567373">
        <w:t xml:space="preserve">access to high NSC feed) </w:t>
      </w:r>
      <w:r w:rsidR="003C47A1" w:rsidRPr="00567373">
        <w:t>and laminitis status</w:t>
      </w:r>
      <w:r w:rsidR="003979B5" w:rsidRPr="00567373">
        <w:t xml:space="preserve"> (history of laminitis/ currently lame/ history of laminitis but currently sound)</w:t>
      </w:r>
      <w:r w:rsidR="003C47A1" w:rsidRPr="00567373">
        <w:t xml:space="preserve"> on the likelihood of a positive CGIT result and the likelihood of a false negative </w:t>
      </w:r>
      <w:r w:rsidR="00E228FF" w:rsidRPr="00567373">
        <w:t>FI</w:t>
      </w:r>
      <w:r w:rsidR="003C47A1" w:rsidRPr="00567373">
        <w:t xml:space="preserve"> result (positive CGIT result and negative </w:t>
      </w:r>
      <w:r w:rsidR="00E228FF" w:rsidRPr="00567373">
        <w:t>FI</w:t>
      </w:r>
      <w:r w:rsidR="003C47A1" w:rsidRPr="00567373">
        <w:t xml:space="preserve"> result) were explored with</w:t>
      </w:r>
      <w:r w:rsidR="003979B5" w:rsidRPr="00567373">
        <w:t xml:space="preserve"> univariable</w:t>
      </w:r>
      <w:r w:rsidR="003C47A1" w:rsidRPr="00567373">
        <w:t xml:space="preserve"> </w:t>
      </w:r>
      <w:r w:rsidR="00E55211" w:rsidRPr="00567373">
        <w:t>logistic</w:t>
      </w:r>
      <w:r w:rsidR="003C47A1" w:rsidRPr="00567373">
        <w:t xml:space="preserve"> regression. </w:t>
      </w:r>
      <w:r w:rsidR="00E44093" w:rsidRPr="00567373">
        <w:t xml:space="preserve">Data analysis was performed using </w:t>
      </w:r>
      <w:r w:rsidR="00F60EC0" w:rsidRPr="00567373">
        <w:t>M</w:t>
      </w:r>
      <w:r w:rsidR="002F5FB8" w:rsidRPr="00567373">
        <w:t>icrosoft Office Excel</w:t>
      </w:r>
      <w:r w:rsidR="00335178" w:rsidRPr="00567373">
        <w:t xml:space="preserve"> (2016)</w:t>
      </w:r>
      <w:r w:rsidR="002F5FB8" w:rsidRPr="00567373">
        <w:t xml:space="preserve">, </w:t>
      </w:r>
      <w:r w:rsidR="00E44093" w:rsidRPr="00567373">
        <w:t>SPSS</w:t>
      </w:r>
      <w:r w:rsidR="00206745" w:rsidRPr="00567373">
        <w:t xml:space="preserve"> version 24</w:t>
      </w:r>
      <w:r w:rsidR="00757D1E" w:rsidRPr="00567373">
        <w:rPr>
          <w:vertAlign w:val="superscript"/>
        </w:rPr>
        <w:t xml:space="preserve"> </w:t>
      </w:r>
      <w:r w:rsidR="00757D1E" w:rsidRPr="00567373">
        <w:t>(IBM)</w:t>
      </w:r>
      <w:r w:rsidR="002F5FB8" w:rsidRPr="00567373">
        <w:t xml:space="preserve"> and Ausvet Epi</w:t>
      </w:r>
      <w:r w:rsidR="00E44093" w:rsidRPr="00567373">
        <w:t xml:space="preserve"> </w:t>
      </w:r>
      <w:r w:rsidR="002D30F2" w:rsidRPr="00567373">
        <w:t>Tools</w:t>
      </w:r>
      <w:r w:rsidR="001808B4" w:rsidRPr="00567373">
        <w:rPr>
          <w:rStyle w:val="FootnoteReference"/>
        </w:rPr>
        <w:footnoteReference w:id="1"/>
      </w:r>
      <w:r w:rsidR="00BB51DB">
        <w:t xml:space="preserve"> </w:t>
      </w:r>
      <w:r w:rsidR="00E44093" w:rsidRPr="00567373">
        <w:t xml:space="preserve">and </w:t>
      </w:r>
      <w:r w:rsidR="00E44093" w:rsidRPr="00567373">
        <w:rPr>
          <w:i/>
          <w:iCs/>
        </w:rPr>
        <w:t>P</w:t>
      </w:r>
      <w:r w:rsidR="00E44093" w:rsidRPr="00567373">
        <w:t>&lt;0.05 was considered significant.</w:t>
      </w:r>
    </w:p>
    <w:p w:rsidR="00F9363E" w:rsidRPr="00567373" w:rsidRDefault="00F9363E" w:rsidP="00E10F86">
      <w:pPr>
        <w:spacing w:line="480" w:lineRule="auto"/>
      </w:pPr>
    </w:p>
    <w:p w:rsidR="0007466C" w:rsidRPr="00567373" w:rsidRDefault="0056738B" w:rsidP="00E10F86">
      <w:pPr>
        <w:spacing w:line="480" w:lineRule="auto"/>
        <w:rPr>
          <w:b/>
        </w:rPr>
      </w:pPr>
      <w:r w:rsidRPr="00567373">
        <w:rPr>
          <w:b/>
        </w:rPr>
        <w:t>Results</w:t>
      </w:r>
    </w:p>
    <w:p w:rsidR="00543E26" w:rsidRPr="00567373" w:rsidRDefault="00456AD6" w:rsidP="00E10F86">
      <w:pPr>
        <w:spacing w:line="480" w:lineRule="auto"/>
        <w:ind w:firstLine="720"/>
      </w:pPr>
      <w:r w:rsidRPr="00567373">
        <w:t xml:space="preserve">A total of </w:t>
      </w:r>
      <w:r w:rsidR="00BF6127" w:rsidRPr="00567373">
        <w:t>1</w:t>
      </w:r>
      <w:r w:rsidR="00F31480" w:rsidRPr="00567373">
        <w:t>30</w:t>
      </w:r>
      <w:r w:rsidR="00BF6127" w:rsidRPr="00567373">
        <w:t xml:space="preserve"> </w:t>
      </w:r>
      <w:r w:rsidR="006638F8" w:rsidRPr="00567373">
        <w:t>datasets</w:t>
      </w:r>
      <w:r w:rsidR="00BF6127" w:rsidRPr="00567373">
        <w:t xml:space="preserve"> were included fr</w:t>
      </w:r>
      <w:r w:rsidR="00E56769" w:rsidRPr="00567373">
        <w:t>om 6</w:t>
      </w:r>
      <w:r w:rsidR="00813FE9" w:rsidRPr="00567373">
        <w:t>2</w:t>
      </w:r>
      <w:r w:rsidR="00E56769" w:rsidRPr="00567373">
        <w:t xml:space="preserve"> </w:t>
      </w:r>
      <w:r w:rsidR="001B00BE" w:rsidRPr="00567373">
        <w:t>animals</w:t>
      </w:r>
      <w:r w:rsidR="00BF6127" w:rsidRPr="00567373">
        <w:t>.</w:t>
      </w:r>
      <w:r w:rsidR="00E50C7C" w:rsidRPr="00567373">
        <w:t xml:space="preserve"> </w:t>
      </w:r>
      <w:r w:rsidRPr="00567373">
        <w:t>The majority (</w:t>
      </w:r>
      <w:r w:rsidR="008429CC" w:rsidRPr="00567373">
        <w:t xml:space="preserve">105 </w:t>
      </w:r>
      <w:r w:rsidR="00E50C7C" w:rsidRPr="00567373">
        <w:t>datasets</w:t>
      </w:r>
      <w:r w:rsidRPr="00567373">
        <w:t>)</w:t>
      </w:r>
      <w:r w:rsidR="00E50C7C" w:rsidRPr="00567373">
        <w:t xml:space="preserve"> were from client</w:t>
      </w:r>
      <w:r w:rsidRPr="00567373">
        <w:t>-</w:t>
      </w:r>
      <w:r w:rsidR="00E50C7C" w:rsidRPr="00567373">
        <w:t xml:space="preserve">owned </w:t>
      </w:r>
      <w:r w:rsidR="001B00BE" w:rsidRPr="00567373">
        <w:t>animals</w:t>
      </w:r>
      <w:r w:rsidR="00E50C7C" w:rsidRPr="00567373">
        <w:t xml:space="preserve">, </w:t>
      </w:r>
      <w:r w:rsidR="008429CC" w:rsidRPr="00567373">
        <w:t xml:space="preserve">13 </w:t>
      </w:r>
      <w:r w:rsidR="00E50C7C" w:rsidRPr="00567373">
        <w:t xml:space="preserve">datasets were from preliminary screening of experimental </w:t>
      </w:r>
      <w:r w:rsidR="001B00BE" w:rsidRPr="00567373">
        <w:t xml:space="preserve">animals </w:t>
      </w:r>
      <w:r w:rsidR="00E50C7C" w:rsidRPr="00567373">
        <w:t xml:space="preserve">and </w:t>
      </w:r>
      <w:r w:rsidR="008429CC" w:rsidRPr="00567373">
        <w:t xml:space="preserve">12 </w:t>
      </w:r>
      <w:r w:rsidR="00E50C7C" w:rsidRPr="00567373">
        <w:t xml:space="preserve">datasets were from experimental </w:t>
      </w:r>
      <w:r w:rsidR="001B00BE" w:rsidRPr="00567373">
        <w:t>animals</w:t>
      </w:r>
      <w:r w:rsidR="00E50C7C" w:rsidRPr="00567373">
        <w:t>.</w:t>
      </w:r>
      <w:r w:rsidR="00BF6127" w:rsidRPr="00567373">
        <w:t xml:space="preserve"> </w:t>
      </w:r>
      <w:r w:rsidRPr="00567373">
        <w:t>Twenty-</w:t>
      </w:r>
      <w:r w:rsidR="007C3C88" w:rsidRPr="00567373">
        <w:t xml:space="preserve">four </w:t>
      </w:r>
      <w:r w:rsidR="00BF6127" w:rsidRPr="00567373">
        <w:t xml:space="preserve">geldings contributed 42 </w:t>
      </w:r>
      <w:r w:rsidR="00887416" w:rsidRPr="00567373">
        <w:t>datasets</w:t>
      </w:r>
      <w:r w:rsidR="00BF6127" w:rsidRPr="00567373">
        <w:t xml:space="preserve"> and </w:t>
      </w:r>
      <w:r w:rsidR="007C3C88" w:rsidRPr="00567373">
        <w:t xml:space="preserve">38 </w:t>
      </w:r>
      <w:r w:rsidR="00BF6127" w:rsidRPr="00567373">
        <w:t xml:space="preserve">mares contributed 88 </w:t>
      </w:r>
      <w:r w:rsidR="00887416" w:rsidRPr="00567373">
        <w:t>datasets</w:t>
      </w:r>
      <w:r w:rsidR="00BF6127" w:rsidRPr="00567373">
        <w:t>. The me</w:t>
      </w:r>
      <w:r w:rsidR="00DC05A1" w:rsidRPr="00567373">
        <w:t>dian age at time of sampling was 10</w:t>
      </w:r>
      <w:r w:rsidR="00BF6127" w:rsidRPr="00567373">
        <w:t xml:space="preserve"> years</w:t>
      </w:r>
      <w:r w:rsidRPr="00567373">
        <w:t xml:space="preserve"> (</w:t>
      </w:r>
      <w:r w:rsidR="003640A1" w:rsidRPr="00567373">
        <w:t xml:space="preserve">interquartile range (IQR) 8.0 – 12.2 years; </w:t>
      </w:r>
      <w:r w:rsidR="00BF6127" w:rsidRPr="00567373">
        <w:t>range 4 to 21 years</w:t>
      </w:r>
      <w:r w:rsidRPr="00567373">
        <w:t>)</w:t>
      </w:r>
      <w:r w:rsidR="00BF6127" w:rsidRPr="00567373">
        <w:t xml:space="preserve">. </w:t>
      </w:r>
      <w:r w:rsidR="007766D7" w:rsidRPr="00567373">
        <w:t xml:space="preserve"> </w:t>
      </w:r>
      <w:r w:rsidR="00B369FB" w:rsidRPr="00567373">
        <w:t>Pony breeds (</w:t>
      </w:r>
      <w:r w:rsidR="00B369FB" w:rsidRPr="00567373">
        <w:rPr>
          <w:i/>
          <w:iCs/>
        </w:rPr>
        <w:t>n</w:t>
      </w:r>
      <w:r w:rsidR="00B369FB" w:rsidRPr="00567373">
        <w:t xml:space="preserve">=36) included </w:t>
      </w:r>
      <w:r w:rsidR="00A67861" w:rsidRPr="00567373">
        <w:t>Welsh Section A ponies (</w:t>
      </w:r>
      <w:r w:rsidR="00A67861" w:rsidRPr="00567373">
        <w:rPr>
          <w:i/>
          <w:iCs/>
        </w:rPr>
        <w:t>n</w:t>
      </w:r>
      <w:r w:rsidR="00A67861" w:rsidRPr="00567373">
        <w:t>=11); other Welsh pony breeds or crosses (</w:t>
      </w:r>
      <w:r w:rsidR="00A67861" w:rsidRPr="00567373">
        <w:rPr>
          <w:i/>
          <w:iCs/>
        </w:rPr>
        <w:t>n</w:t>
      </w:r>
      <w:r w:rsidR="00A67861" w:rsidRPr="00567373">
        <w:t>=7); Shetlands (</w:t>
      </w:r>
      <w:r w:rsidR="00A67861" w:rsidRPr="00567373">
        <w:rPr>
          <w:i/>
          <w:iCs/>
        </w:rPr>
        <w:t>n</w:t>
      </w:r>
      <w:r w:rsidR="00A67861" w:rsidRPr="00567373">
        <w:t>=5); other UK native pony breeds (</w:t>
      </w:r>
      <w:r w:rsidR="00A67861" w:rsidRPr="00567373">
        <w:rPr>
          <w:i/>
          <w:iCs/>
        </w:rPr>
        <w:t>n</w:t>
      </w:r>
      <w:r w:rsidR="00A67861" w:rsidRPr="00567373">
        <w:t>=12); and other pony breed</w:t>
      </w:r>
      <w:r w:rsidR="00EB2015" w:rsidRPr="00567373">
        <w:t>s</w:t>
      </w:r>
      <w:r w:rsidR="00A67861" w:rsidRPr="00567373">
        <w:t xml:space="preserve"> (</w:t>
      </w:r>
      <w:r w:rsidR="00A67861" w:rsidRPr="00567373">
        <w:rPr>
          <w:i/>
          <w:iCs/>
        </w:rPr>
        <w:t>n</w:t>
      </w:r>
      <w:r w:rsidR="00A67861" w:rsidRPr="00567373">
        <w:t>=1)</w:t>
      </w:r>
      <w:r w:rsidR="00B369FB" w:rsidRPr="00567373">
        <w:t>. C</w:t>
      </w:r>
      <w:r w:rsidR="00A67861" w:rsidRPr="00567373">
        <w:t xml:space="preserve">obs and cold bloods </w:t>
      </w:r>
      <w:r w:rsidR="00B369FB" w:rsidRPr="00567373">
        <w:t>(</w:t>
      </w:r>
      <w:r w:rsidR="00B369FB" w:rsidRPr="00567373">
        <w:rPr>
          <w:i/>
          <w:iCs/>
        </w:rPr>
        <w:t>n</w:t>
      </w:r>
      <w:r w:rsidR="00B369FB" w:rsidRPr="00567373">
        <w:t xml:space="preserve">=21) </w:t>
      </w:r>
      <w:r w:rsidR="00A67861" w:rsidRPr="00567373">
        <w:t>includ</w:t>
      </w:r>
      <w:r w:rsidR="00B369FB" w:rsidRPr="00567373">
        <w:t>ed</w:t>
      </w:r>
      <w:r w:rsidR="00A67861" w:rsidRPr="00567373">
        <w:t xml:space="preserve"> cobs (</w:t>
      </w:r>
      <w:r w:rsidR="00A67861" w:rsidRPr="00567373">
        <w:rPr>
          <w:i/>
          <w:iCs/>
        </w:rPr>
        <w:t>n</w:t>
      </w:r>
      <w:r w:rsidR="00A67861" w:rsidRPr="00567373">
        <w:t>=13)</w:t>
      </w:r>
      <w:r w:rsidR="00B369FB" w:rsidRPr="00567373">
        <w:t>;</w:t>
      </w:r>
      <w:r w:rsidR="00A67861" w:rsidRPr="00567373">
        <w:t xml:space="preserve"> Welsh Section D cobs (</w:t>
      </w:r>
      <w:r w:rsidR="00A67861" w:rsidRPr="00567373">
        <w:rPr>
          <w:i/>
          <w:iCs/>
        </w:rPr>
        <w:t>n</w:t>
      </w:r>
      <w:r w:rsidR="00A67861" w:rsidRPr="00567373">
        <w:t>=7)</w:t>
      </w:r>
      <w:r w:rsidR="00B369FB" w:rsidRPr="00567373">
        <w:t>;</w:t>
      </w:r>
      <w:r w:rsidR="00A67861" w:rsidRPr="00567373">
        <w:t xml:space="preserve"> and Clydesdale</w:t>
      </w:r>
      <w:r w:rsidR="00B369FB" w:rsidRPr="00567373">
        <w:t>s</w:t>
      </w:r>
      <w:r w:rsidR="00A67861" w:rsidRPr="00567373">
        <w:t xml:space="preserve"> (</w:t>
      </w:r>
      <w:r w:rsidR="00A67861" w:rsidRPr="00567373">
        <w:rPr>
          <w:i/>
          <w:iCs/>
        </w:rPr>
        <w:t>n</w:t>
      </w:r>
      <w:r w:rsidR="00A67861" w:rsidRPr="00567373">
        <w:t>=1)</w:t>
      </w:r>
      <w:r w:rsidR="00B369FB" w:rsidRPr="00567373">
        <w:t>. Other horse breeds (</w:t>
      </w:r>
      <w:r w:rsidR="00B369FB" w:rsidRPr="00567373">
        <w:rPr>
          <w:i/>
          <w:iCs/>
        </w:rPr>
        <w:t>n</w:t>
      </w:r>
      <w:r w:rsidR="00B369FB" w:rsidRPr="00567373">
        <w:t xml:space="preserve">=5) included </w:t>
      </w:r>
      <w:r w:rsidR="00A67861" w:rsidRPr="00567373">
        <w:t>Arab</w:t>
      </w:r>
      <w:r w:rsidR="00B369FB" w:rsidRPr="00567373">
        <w:t>;</w:t>
      </w:r>
      <w:r w:rsidR="00A67861" w:rsidRPr="00567373">
        <w:t xml:space="preserve"> Anglo Arab</w:t>
      </w:r>
      <w:r w:rsidR="00B369FB" w:rsidRPr="00567373">
        <w:t>;</w:t>
      </w:r>
      <w:r w:rsidR="00A67861" w:rsidRPr="00567373">
        <w:t xml:space="preserve"> Cleveland Bay</w:t>
      </w:r>
      <w:r w:rsidR="00B369FB" w:rsidRPr="00567373">
        <w:t>;</w:t>
      </w:r>
      <w:r w:rsidR="00A67861" w:rsidRPr="00567373">
        <w:t xml:space="preserve"> Dutch Warmblood</w:t>
      </w:r>
      <w:r w:rsidR="00B369FB" w:rsidRPr="00567373">
        <w:t>;</w:t>
      </w:r>
      <w:r w:rsidR="00A67861" w:rsidRPr="00567373">
        <w:t xml:space="preserve"> and Quarter Horse (all </w:t>
      </w:r>
      <w:r w:rsidR="00A67861" w:rsidRPr="00567373">
        <w:rPr>
          <w:i/>
          <w:iCs/>
        </w:rPr>
        <w:t>n</w:t>
      </w:r>
      <w:r w:rsidR="00A67861" w:rsidRPr="00567373">
        <w:t>=1).</w:t>
      </w:r>
      <w:r w:rsidR="00B369FB" w:rsidRPr="00567373">
        <w:t xml:space="preserve"> </w:t>
      </w:r>
    </w:p>
    <w:p w:rsidR="000613AA" w:rsidRPr="00567373" w:rsidRDefault="000613AA" w:rsidP="00E10F86">
      <w:pPr>
        <w:spacing w:line="480" w:lineRule="auto"/>
      </w:pPr>
    </w:p>
    <w:p w:rsidR="0042278E" w:rsidRPr="00567373" w:rsidRDefault="00281AEB" w:rsidP="00E10F86">
      <w:pPr>
        <w:spacing w:line="480" w:lineRule="auto"/>
        <w:ind w:firstLine="720"/>
      </w:pPr>
      <w:r w:rsidRPr="00567373">
        <w:t>Values for glucose</w:t>
      </w:r>
      <w:r w:rsidR="00FB1D0D" w:rsidRPr="00567373">
        <w:rPr>
          <w:vertAlign w:val="subscript"/>
        </w:rPr>
        <w:t>0</w:t>
      </w:r>
      <w:r w:rsidRPr="00567373">
        <w:rPr>
          <w:vertAlign w:val="subscript"/>
        </w:rPr>
        <w:t>;</w:t>
      </w:r>
      <w:r w:rsidRPr="00567373">
        <w:t xml:space="preserve"> glucose</w:t>
      </w:r>
      <w:r w:rsidR="00FB1D0D" w:rsidRPr="00567373">
        <w:rPr>
          <w:vertAlign w:val="subscript"/>
        </w:rPr>
        <w:t>45</w:t>
      </w:r>
      <w:r w:rsidRPr="00567373">
        <w:rPr>
          <w:vertAlign w:val="subscript"/>
        </w:rPr>
        <w:t>;</w:t>
      </w:r>
      <w:r w:rsidRPr="00567373">
        <w:t xml:space="preserve"> and AUC</w:t>
      </w:r>
      <w:r w:rsidRPr="00567373">
        <w:rPr>
          <w:vertAlign w:val="subscript"/>
        </w:rPr>
        <w:t xml:space="preserve">glucose </w:t>
      </w:r>
      <w:r w:rsidRPr="00567373">
        <w:t xml:space="preserve">were normally distributed however the values for </w:t>
      </w:r>
      <w:r w:rsidR="00FB1D0D" w:rsidRPr="00567373">
        <w:t>insulin</w:t>
      </w:r>
      <w:r w:rsidR="00FB1D0D" w:rsidRPr="00567373">
        <w:rPr>
          <w:vertAlign w:val="subscript"/>
        </w:rPr>
        <w:t>0</w:t>
      </w:r>
      <w:r w:rsidR="00FB1D0D" w:rsidRPr="00567373">
        <w:t xml:space="preserve"> (</w:t>
      </w:r>
      <w:r w:rsidR="00E228FF" w:rsidRPr="00567373">
        <w:t>FI</w:t>
      </w:r>
      <w:r w:rsidRPr="00567373">
        <w:t>); insulin</w:t>
      </w:r>
      <w:r w:rsidR="00FB1D0D" w:rsidRPr="00567373">
        <w:rPr>
          <w:vertAlign w:val="subscript"/>
        </w:rPr>
        <w:t>45</w:t>
      </w:r>
      <w:r w:rsidRPr="00567373">
        <w:t>; insulin</w:t>
      </w:r>
      <w:r w:rsidR="00FB1D0D" w:rsidRPr="00567373">
        <w:rPr>
          <w:vertAlign w:val="subscript"/>
        </w:rPr>
        <w:t>75</w:t>
      </w:r>
      <w:r w:rsidR="00FB1D0D" w:rsidRPr="00567373">
        <w:t xml:space="preserve"> </w:t>
      </w:r>
      <w:r w:rsidRPr="00567373">
        <w:t>and AUC</w:t>
      </w:r>
      <w:r w:rsidRPr="00567373">
        <w:rPr>
          <w:vertAlign w:val="subscript"/>
        </w:rPr>
        <w:t xml:space="preserve">insulin </w:t>
      </w:r>
      <w:r w:rsidRPr="00567373">
        <w:t>were not normally distributed</w:t>
      </w:r>
      <w:r w:rsidR="00543E26" w:rsidRPr="00567373">
        <w:t>,</w:t>
      </w:r>
      <w:r w:rsidRPr="00567373">
        <w:t xml:space="preserve"> and therefore </w:t>
      </w:r>
      <w:r w:rsidR="001E3D01" w:rsidRPr="00567373">
        <w:t>non</w:t>
      </w:r>
      <w:r w:rsidR="001F0EDD" w:rsidRPr="00567373">
        <w:t>-</w:t>
      </w:r>
      <w:r w:rsidRPr="00567373">
        <w:t>parametric tests were u</w:t>
      </w:r>
      <w:r w:rsidR="001F0EDD" w:rsidRPr="00567373">
        <w:t>se</w:t>
      </w:r>
      <w:r w:rsidRPr="00567373">
        <w:t xml:space="preserve">d. </w:t>
      </w:r>
      <w:r w:rsidR="008429CC" w:rsidRPr="00567373">
        <w:t>Median (</w:t>
      </w:r>
      <w:r w:rsidR="00E031C5" w:rsidRPr="00567373">
        <w:t>IQR</w:t>
      </w:r>
      <w:r w:rsidR="008429CC" w:rsidRPr="00567373">
        <w:t xml:space="preserve">) </w:t>
      </w:r>
      <w:r w:rsidR="00FB1D0D" w:rsidRPr="00567373">
        <w:t>FI</w:t>
      </w:r>
      <w:r w:rsidR="008429CC" w:rsidRPr="00567373">
        <w:t xml:space="preserve"> was 4.</w:t>
      </w:r>
      <w:r w:rsidR="003640A1" w:rsidRPr="00567373">
        <w:t xml:space="preserve">6 </w:t>
      </w:r>
      <w:r w:rsidR="008429CC" w:rsidRPr="00567373">
        <w:t>(2</w:t>
      </w:r>
      <w:r w:rsidR="003640A1" w:rsidRPr="00567373">
        <w:t>.0</w:t>
      </w:r>
      <w:r w:rsidR="008429CC" w:rsidRPr="00567373">
        <w:t xml:space="preserve"> to 11.</w:t>
      </w:r>
      <w:r w:rsidR="003640A1" w:rsidRPr="00567373">
        <w:t>6</w:t>
      </w:r>
      <w:r w:rsidR="008429CC" w:rsidRPr="00567373">
        <w:t>) μIU/m</w:t>
      </w:r>
      <w:r w:rsidR="00C4513B" w:rsidRPr="00567373">
        <w:t>L</w:t>
      </w:r>
      <w:r w:rsidR="008429CC" w:rsidRPr="00567373">
        <w:t xml:space="preserve">; </w:t>
      </w:r>
      <w:r w:rsidR="00367055" w:rsidRPr="00567373">
        <w:t>insulin</w:t>
      </w:r>
      <w:r w:rsidR="00367055" w:rsidRPr="00567373">
        <w:rPr>
          <w:vertAlign w:val="subscript"/>
        </w:rPr>
        <w:t>45</w:t>
      </w:r>
      <w:r w:rsidR="00B55B88" w:rsidRPr="00567373">
        <w:t xml:space="preserve"> was </w:t>
      </w:r>
      <w:r w:rsidR="003640A1" w:rsidRPr="00567373">
        <w:t>79.4</w:t>
      </w:r>
      <w:r w:rsidR="00B55B88" w:rsidRPr="00567373">
        <w:t xml:space="preserve"> </w:t>
      </w:r>
      <w:r w:rsidR="008429CC" w:rsidRPr="00567373">
        <w:t>(4</w:t>
      </w:r>
      <w:r w:rsidR="003640A1" w:rsidRPr="00567373">
        <w:t>3.5</w:t>
      </w:r>
      <w:r w:rsidR="004D5838" w:rsidRPr="00567373">
        <w:t xml:space="preserve"> </w:t>
      </w:r>
      <w:r w:rsidR="008429CC" w:rsidRPr="00567373">
        <w:t xml:space="preserve">to </w:t>
      </w:r>
      <w:r w:rsidR="003640A1" w:rsidRPr="00567373">
        <w:t>182</w:t>
      </w:r>
      <w:r w:rsidR="00456AD6" w:rsidRPr="00567373">
        <w:t>.0</w:t>
      </w:r>
      <w:r w:rsidR="008429CC" w:rsidRPr="00567373">
        <w:t>) μIU/m</w:t>
      </w:r>
      <w:r w:rsidR="00C4513B" w:rsidRPr="00567373">
        <w:t>L</w:t>
      </w:r>
      <w:r w:rsidR="008429CC" w:rsidRPr="00567373">
        <w:t xml:space="preserve">; and </w:t>
      </w:r>
      <w:r w:rsidR="00367055" w:rsidRPr="00567373">
        <w:t>insulin</w:t>
      </w:r>
      <w:r w:rsidR="00367055" w:rsidRPr="00567373">
        <w:rPr>
          <w:vertAlign w:val="subscript"/>
        </w:rPr>
        <w:t>75</w:t>
      </w:r>
      <w:r w:rsidR="008429CC" w:rsidRPr="00567373">
        <w:t xml:space="preserve"> was </w:t>
      </w:r>
      <w:r w:rsidR="003640A1" w:rsidRPr="00567373">
        <w:t>29.7</w:t>
      </w:r>
      <w:r w:rsidR="008429CC" w:rsidRPr="00567373">
        <w:t xml:space="preserve"> (11.</w:t>
      </w:r>
      <w:r w:rsidR="003640A1" w:rsidRPr="00567373">
        <w:t xml:space="preserve">2 </w:t>
      </w:r>
      <w:r w:rsidR="008429CC" w:rsidRPr="00567373">
        <w:t xml:space="preserve">to </w:t>
      </w:r>
      <w:r w:rsidR="00346B2B" w:rsidRPr="00567373">
        <w:t>79.3</w:t>
      </w:r>
      <w:r w:rsidR="008429CC" w:rsidRPr="00567373">
        <w:t>) μIU/m</w:t>
      </w:r>
      <w:r w:rsidR="00C4513B" w:rsidRPr="00567373">
        <w:t>L</w:t>
      </w:r>
      <w:r w:rsidR="008429CC" w:rsidRPr="00567373">
        <w:t xml:space="preserve">. </w:t>
      </w:r>
    </w:p>
    <w:p w:rsidR="0042278E" w:rsidRPr="00567373" w:rsidRDefault="0042278E" w:rsidP="00E10F86">
      <w:pPr>
        <w:spacing w:line="480" w:lineRule="auto"/>
      </w:pPr>
    </w:p>
    <w:p w:rsidR="00753379" w:rsidRPr="00567373" w:rsidRDefault="007766D7" w:rsidP="00E10F86">
      <w:pPr>
        <w:spacing w:line="480" w:lineRule="auto"/>
        <w:ind w:firstLine="720"/>
      </w:pPr>
      <w:r w:rsidRPr="00567373">
        <w:t>Using the CGIT test cut-offs, 63.8% (</w:t>
      </w:r>
      <w:r w:rsidRPr="00567373">
        <w:rPr>
          <w:i/>
          <w:iCs/>
        </w:rPr>
        <w:t>n</w:t>
      </w:r>
      <w:r w:rsidRPr="00567373">
        <w:t xml:space="preserve">=83/130; 95% confidence interval (CI) 55.6-72.1%) of results were positive for ID. Only 9.3% </w:t>
      </w:r>
      <w:r w:rsidR="00BF6127" w:rsidRPr="00567373">
        <w:t>(</w:t>
      </w:r>
      <w:r w:rsidR="00456AD6" w:rsidRPr="00567373">
        <w:rPr>
          <w:i/>
          <w:iCs/>
        </w:rPr>
        <w:t>n</w:t>
      </w:r>
      <w:r w:rsidR="00456AD6" w:rsidRPr="00567373">
        <w:t>=</w:t>
      </w:r>
      <w:r w:rsidR="00BF6127" w:rsidRPr="00567373">
        <w:t>12/129</w:t>
      </w:r>
      <w:r w:rsidR="0097257C" w:rsidRPr="00567373">
        <w:t>; 95% CI 4.3-14.3%</w:t>
      </w:r>
      <w:r w:rsidR="00BF6127" w:rsidRPr="00567373">
        <w:t xml:space="preserve">) </w:t>
      </w:r>
      <w:r w:rsidR="002B7C42" w:rsidRPr="00567373">
        <w:t xml:space="preserve">of results were positive for </w:t>
      </w:r>
      <w:r w:rsidR="00F31480" w:rsidRPr="00567373">
        <w:t>ID</w:t>
      </w:r>
      <w:r w:rsidR="002B7C42" w:rsidRPr="00567373">
        <w:t xml:space="preserve"> </w:t>
      </w:r>
      <w:r w:rsidR="008429CC" w:rsidRPr="00567373">
        <w:t>when classified by</w:t>
      </w:r>
      <w:r w:rsidR="00543E26" w:rsidRPr="00567373">
        <w:t xml:space="preserve"> </w:t>
      </w:r>
      <w:r w:rsidR="00E228FF" w:rsidRPr="00567373">
        <w:t>FI</w:t>
      </w:r>
      <w:r w:rsidR="00543E26" w:rsidRPr="00567373">
        <w:t xml:space="preserve"> using a cut off of </w:t>
      </w:r>
      <w:r w:rsidR="004A4243" w:rsidRPr="00567373">
        <w:t xml:space="preserve">≥ </w:t>
      </w:r>
      <w:r w:rsidR="00543E26" w:rsidRPr="00567373">
        <w:t>20 µIU/m</w:t>
      </w:r>
      <w:r w:rsidR="00C4513B" w:rsidRPr="00567373">
        <w:t>L</w:t>
      </w:r>
      <w:r w:rsidR="00BF6127" w:rsidRPr="00567373">
        <w:t>.</w:t>
      </w:r>
      <w:r w:rsidR="004516B0" w:rsidRPr="00567373">
        <w:t xml:space="preserve"> </w:t>
      </w:r>
      <w:r w:rsidR="00543E26" w:rsidRPr="00567373">
        <w:t>This resulted in sensitivity of</w:t>
      </w:r>
      <w:r w:rsidR="00E031C5" w:rsidRPr="00567373">
        <w:t xml:space="preserve"> </w:t>
      </w:r>
      <w:r w:rsidR="00E228FF" w:rsidRPr="00567373">
        <w:t>FI</w:t>
      </w:r>
      <w:r w:rsidR="00E031C5" w:rsidRPr="00567373">
        <w:t xml:space="preserve"> of</w:t>
      </w:r>
      <w:r w:rsidR="00543E26" w:rsidRPr="00567373">
        <w:t xml:space="preserve"> 14.6% (95% </w:t>
      </w:r>
      <w:r w:rsidR="00456AD6" w:rsidRPr="00567373">
        <w:t xml:space="preserve">CI </w:t>
      </w:r>
      <w:r w:rsidR="00543E26" w:rsidRPr="00567373">
        <w:t xml:space="preserve">7.8-24.2%) but specificity of 100% (95% </w:t>
      </w:r>
      <w:r w:rsidR="00456AD6" w:rsidRPr="00567373">
        <w:t>CI</w:t>
      </w:r>
      <w:r w:rsidR="00543E26" w:rsidRPr="00567373">
        <w:t xml:space="preserve"> 92.5-100%) </w:t>
      </w:r>
      <w:r w:rsidR="00E031C5" w:rsidRPr="00567373">
        <w:t xml:space="preserve">compared to the </w:t>
      </w:r>
      <w:r w:rsidR="00543E26" w:rsidRPr="00567373">
        <w:t>CGIT test</w:t>
      </w:r>
      <w:r w:rsidR="00B74D3F" w:rsidRPr="00567373">
        <w:t xml:space="preserve"> </w:t>
      </w:r>
      <w:r w:rsidR="00180258" w:rsidRPr="00567373">
        <w:t>(Table 1)</w:t>
      </w:r>
      <w:r w:rsidR="00595A48" w:rsidRPr="00567373">
        <w:t>, with</w:t>
      </w:r>
      <w:r w:rsidR="0042278E" w:rsidRPr="00567373">
        <w:t xml:space="preserve"> </w:t>
      </w:r>
      <w:r w:rsidR="00B75DB2" w:rsidRPr="00567373">
        <w:t xml:space="preserve">area under </w:t>
      </w:r>
      <w:r w:rsidR="00180258" w:rsidRPr="00567373">
        <w:t xml:space="preserve">the </w:t>
      </w:r>
      <w:r w:rsidR="00B75DB2" w:rsidRPr="00567373">
        <w:t>ROC curve</w:t>
      </w:r>
      <w:r w:rsidR="00180258" w:rsidRPr="00567373">
        <w:t xml:space="preserve"> </w:t>
      </w:r>
      <w:r w:rsidR="00B75DB2" w:rsidRPr="00567373">
        <w:t>0.79</w:t>
      </w:r>
      <w:r w:rsidR="00180258" w:rsidRPr="00567373">
        <w:t xml:space="preserve"> </w:t>
      </w:r>
      <w:r w:rsidR="0091261E">
        <w:t>(</w:t>
      </w:r>
      <w:r w:rsidR="00456AD6" w:rsidRPr="00567373">
        <w:t xml:space="preserve">95% </w:t>
      </w:r>
      <w:r w:rsidR="003A0FAC" w:rsidRPr="00567373">
        <w:t>CI 0.71 to 0.86</w:t>
      </w:r>
      <w:r w:rsidR="0091261E">
        <w:t>)</w:t>
      </w:r>
      <w:r w:rsidR="00B74D3F" w:rsidRPr="00567373">
        <w:t>.</w:t>
      </w:r>
      <w:r w:rsidR="00D1584F" w:rsidRPr="00567373">
        <w:t xml:space="preserve"> </w:t>
      </w:r>
    </w:p>
    <w:p w:rsidR="00A97407" w:rsidRPr="00567373" w:rsidRDefault="00A97407" w:rsidP="00E10F86">
      <w:pPr>
        <w:spacing w:line="480" w:lineRule="auto"/>
      </w:pPr>
    </w:p>
    <w:p w:rsidR="00A97407" w:rsidRPr="00567373" w:rsidRDefault="00E5429F" w:rsidP="00E10F86">
      <w:pPr>
        <w:spacing w:line="480" w:lineRule="auto"/>
        <w:ind w:firstLine="720"/>
        <w:rPr>
          <w:bCs/>
        </w:rPr>
      </w:pPr>
      <w:r w:rsidRPr="00567373">
        <w:t xml:space="preserve">Basal </w:t>
      </w:r>
      <w:r w:rsidR="00F02D60">
        <w:t>FI</w:t>
      </w:r>
      <w:r w:rsidR="00AC128C" w:rsidRPr="00567373">
        <w:t xml:space="preserve"> concentration</w:t>
      </w:r>
      <w:r w:rsidR="00A97407" w:rsidRPr="00567373">
        <w:t xml:space="preserve"> was moderately to highly correlated with insulin</w:t>
      </w:r>
      <w:r w:rsidR="00A97407" w:rsidRPr="00567373">
        <w:rPr>
          <w:vertAlign w:val="subscript"/>
        </w:rPr>
        <w:t xml:space="preserve">45 </w:t>
      </w:r>
      <w:r w:rsidR="00A97407" w:rsidRPr="00567373">
        <w:t>(Fig</w:t>
      </w:r>
      <w:r w:rsidR="00757D1E" w:rsidRPr="00567373">
        <w:t>.</w:t>
      </w:r>
      <w:r w:rsidR="00A97407" w:rsidRPr="00567373">
        <w:t xml:space="preserve"> 1)</w:t>
      </w:r>
      <w:r w:rsidR="00AC128C" w:rsidRPr="00567373">
        <w:t>,</w:t>
      </w:r>
      <w:r w:rsidR="00A97407" w:rsidRPr="00567373">
        <w:t xml:space="preserve"> insulin</w:t>
      </w:r>
      <w:r w:rsidR="00A97407" w:rsidRPr="00567373">
        <w:rPr>
          <w:vertAlign w:val="subscript"/>
        </w:rPr>
        <w:t xml:space="preserve">75 </w:t>
      </w:r>
      <w:r w:rsidR="00A97407" w:rsidRPr="00567373">
        <w:t>(Fig</w:t>
      </w:r>
      <w:r w:rsidR="00757D1E" w:rsidRPr="00567373">
        <w:t>.</w:t>
      </w:r>
      <w:r w:rsidR="00A97407" w:rsidRPr="00567373">
        <w:t xml:space="preserve"> 1) and AUC</w:t>
      </w:r>
      <w:r w:rsidR="00A97407" w:rsidRPr="00567373">
        <w:rPr>
          <w:vertAlign w:val="subscript"/>
        </w:rPr>
        <w:t xml:space="preserve">insulin </w:t>
      </w:r>
      <w:r w:rsidR="00A97407" w:rsidRPr="00567373">
        <w:t>with Spearman's rank correlation coefficients of 0.66</w:t>
      </w:r>
      <w:r w:rsidR="00AC128C" w:rsidRPr="00567373">
        <w:t>,</w:t>
      </w:r>
      <w:r w:rsidR="00A97407" w:rsidRPr="00567373">
        <w:t xml:space="preserve"> 0.72 and 0.67 respectively (all </w:t>
      </w:r>
      <w:r w:rsidR="00A97407" w:rsidRPr="00567373">
        <w:rPr>
          <w:i/>
          <w:iCs/>
        </w:rPr>
        <w:t>P</w:t>
      </w:r>
      <w:r w:rsidR="00A97407" w:rsidRPr="00567373">
        <w:t>&lt;0.001). However, FI was only moderately correlated with glucose</w:t>
      </w:r>
      <w:r w:rsidR="00A97407" w:rsidRPr="00567373">
        <w:rPr>
          <w:vertAlign w:val="subscript"/>
        </w:rPr>
        <w:t xml:space="preserve">45 </w:t>
      </w:r>
      <w:r w:rsidR="00A97407" w:rsidRPr="00567373">
        <w:t>(Fig</w:t>
      </w:r>
      <w:r w:rsidR="00757D1E" w:rsidRPr="00567373">
        <w:t>.</w:t>
      </w:r>
      <w:r w:rsidR="00A97407" w:rsidRPr="00567373">
        <w:t xml:space="preserve"> 1</w:t>
      </w:r>
      <w:r w:rsidR="00AC128C" w:rsidRPr="00567373">
        <w:t>)</w:t>
      </w:r>
      <w:r w:rsidR="00A97407" w:rsidRPr="00567373">
        <w:t xml:space="preserve"> and AUC</w:t>
      </w:r>
      <w:r w:rsidR="00A97407" w:rsidRPr="00567373">
        <w:rPr>
          <w:vertAlign w:val="subscript"/>
        </w:rPr>
        <w:t xml:space="preserve">glucose </w:t>
      </w:r>
      <w:r w:rsidR="00A97407" w:rsidRPr="00567373">
        <w:t xml:space="preserve">with Spearman's rank correlation coefficients of 0.53 and 0.50 respectively (all </w:t>
      </w:r>
      <w:r w:rsidR="00A97407" w:rsidRPr="00567373">
        <w:rPr>
          <w:i/>
          <w:iCs/>
        </w:rPr>
        <w:t>P</w:t>
      </w:r>
      <w:r w:rsidR="00A97407" w:rsidRPr="00567373">
        <w:t xml:space="preserve">&lt;0.001). </w:t>
      </w:r>
    </w:p>
    <w:p w:rsidR="00753379" w:rsidRPr="00567373" w:rsidRDefault="00753379" w:rsidP="00E10F86">
      <w:pPr>
        <w:spacing w:line="480" w:lineRule="auto"/>
      </w:pPr>
    </w:p>
    <w:p w:rsidR="00BF6127" w:rsidRDefault="00D1584F" w:rsidP="00E10F86">
      <w:pPr>
        <w:spacing w:line="480" w:lineRule="auto"/>
        <w:ind w:firstLine="720"/>
      </w:pPr>
      <w:r w:rsidRPr="00567373">
        <w:t xml:space="preserve">Using Youden’s index to maximise test efficiency, the optimal cut-off value for </w:t>
      </w:r>
      <w:r w:rsidR="00E228FF" w:rsidRPr="00567373">
        <w:t>FI</w:t>
      </w:r>
      <w:r w:rsidRPr="00567373">
        <w:t xml:space="preserve"> </w:t>
      </w:r>
      <w:r w:rsidR="00456AD6" w:rsidRPr="00567373">
        <w:t xml:space="preserve">was </w:t>
      </w:r>
      <w:r w:rsidRPr="00567373">
        <w:t>5.2µIU/</w:t>
      </w:r>
      <w:r w:rsidR="00C4513B" w:rsidRPr="00567373">
        <w:t>mL</w:t>
      </w:r>
      <w:r w:rsidR="00456AD6" w:rsidRPr="00567373">
        <w:t>,</w:t>
      </w:r>
      <w:r w:rsidRPr="00567373">
        <w:t xml:space="preserve"> with an associated sensitivity of 63.4% </w:t>
      </w:r>
      <w:r w:rsidR="000F7C73" w:rsidRPr="00567373">
        <w:t xml:space="preserve">(95% CI 52.6-73.0%) </w:t>
      </w:r>
      <w:r w:rsidRPr="00567373">
        <w:t>and specificity of 87.2%</w:t>
      </w:r>
      <w:r w:rsidR="000F7C73" w:rsidRPr="00567373">
        <w:t xml:space="preserve"> (95% CI 74.8-94.0%</w:t>
      </w:r>
      <w:r w:rsidR="00FB19D6">
        <w:t xml:space="preserve">; </w:t>
      </w:r>
      <w:r w:rsidR="00AE1580" w:rsidRPr="00567373">
        <w:t>Fig.</w:t>
      </w:r>
      <w:r w:rsidR="00BB63F1" w:rsidRPr="00567373">
        <w:t xml:space="preserve"> 2)</w:t>
      </w:r>
      <w:r w:rsidRPr="00567373">
        <w:t>.</w:t>
      </w:r>
      <w:r w:rsidR="00B033D0" w:rsidRPr="00567373">
        <w:t xml:space="preserve"> </w:t>
      </w:r>
    </w:p>
    <w:p w:rsidR="006C6B86" w:rsidRPr="00567373" w:rsidRDefault="006C6B86" w:rsidP="00E10F86">
      <w:pPr>
        <w:spacing w:line="480" w:lineRule="auto"/>
        <w:ind w:firstLine="720"/>
      </w:pPr>
    </w:p>
    <w:p w:rsidR="00AD4D94" w:rsidRPr="00567373" w:rsidRDefault="003A3A4E" w:rsidP="00E10F86">
      <w:pPr>
        <w:spacing w:line="480" w:lineRule="auto"/>
        <w:rPr>
          <w:i/>
        </w:rPr>
      </w:pPr>
      <w:r w:rsidRPr="00567373">
        <w:rPr>
          <w:i/>
        </w:rPr>
        <w:t xml:space="preserve">Effect of </w:t>
      </w:r>
      <w:r w:rsidR="00551CFD" w:rsidRPr="00567373">
        <w:rPr>
          <w:i/>
        </w:rPr>
        <w:t>signalment, weight</w:t>
      </w:r>
      <w:r w:rsidR="00C5279A" w:rsidRPr="00567373">
        <w:rPr>
          <w:i/>
        </w:rPr>
        <w:t xml:space="preserve">, </w:t>
      </w:r>
      <w:r w:rsidRPr="00567373">
        <w:rPr>
          <w:i/>
        </w:rPr>
        <w:t>diet</w:t>
      </w:r>
      <w:r w:rsidR="00551CFD" w:rsidRPr="00567373">
        <w:rPr>
          <w:i/>
        </w:rPr>
        <w:t xml:space="preserve"> and laminitis status</w:t>
      </w:r>
      <w:r w:rsidRPr="00567373">
        <w:rPr>
          <w:i/>
        </w:rPr>
        <w:t xml:space="preserve"> on test outcomes</w:t>
      </w:r>
    </w:p>
    <w:p w:rsidR="004B0CF3" w:rsidRPr="00567373" w:rsidRDefault="00F21B74" w:rsidP="00E10F86">
      <w:pPr>
        <w:spacing w:line="480" w:lineRule="auto"/>
        <w:ind w:firstLine="720"/>
        <w:rPr>
          <w:i/>
        </w:rPr>
      </w:pPr>
      <w:r w:rsidRPr="00567373">
        <w:t>At the time of initial presentation, m</w:t>
      </w:r>
      <w:r w:rsidR="00C77B54" w:rsidRPr="00567373">
        <w:t>edian bodyweight was 430kg (IQR 274-50</w:t>
      </w:r>
      <w:r w:rsidR="00CE0F62" w:rsidRPr="00567373">
        <w:t>6</w:t>
      </w:r>
      <w:r w:rsidR="00C77B54" w:rsidRPr="00567373">
        <w:t>kg)</w:t>
      </w:r>
      <w:r w:rsidR="002A2A9D" w:rsidRPr="00567373">
        <w:t>, and 85.0% of horses</w:t>
      </w:r>
      <w:r w:rsidR="00C77B54" w:rsidRPr="00567373">
        <w:t xml:space="preserve"> </w:t>
      </w:r>
      <w:r w:rsidR="002A2A9D" w:rsidRPr="00567373">
        <w:t>(</w:t>
      </w:r>
      <w:r w:rsidR="002A2A9D" w:rsidRPr="00567373">
        <w:rPr>
          <w:i/>
          <w:iCs/>
        </w:rPr>
        <w:t>n</w:t>
      </w:r>
      <w:r w:rsidR="002A2A9D" w:rsidRPr="00567373">
        <w:t>=</w:t>
      </w:r>
      <w:r w:rsidR="00C77B54" w:rsidRPr="00567373">
        <w:t>51/60</w:t>
      </w:r>
      <w:r w:rsidR="002A2A9D" w:rsidRPr="00567373">
        <w:t>; 95% CI</w:t>
      </w:r>
      <w:r w:rsidRPr="00567373">
        <w:t xml:space="preserve"> 76.0-94.0%) were</w:t>
      </w:r>
      <w:r w:rsidR="00C77B54" w:rsidRPr="00567373">
        <w:t xml:space="preserve"> recorded as obese. </w:t>
      </w:r>
      <w:r w:rsidRPr="00567373">
        <w:t>Overall, 67.7% of horses (</w:t>
      </w:r>
      <w:r w:rsidRPr="00567373">
        <w:rPr>
          <w:i/>
          <w:iCs/>
        </w:rPr>
        <w:t>n</w:t>
      </w:r>
      <w:r w:rsidRPr="00567373">
        <w:t>=</w:t>
      </w:r>
      <w:r w:rsidR="00C77B54" w:rsidRPr="00567373">
        <w:t>42/62</w:t>
      </w:r>
      <w:r w:rsidRPr="00567373">
        <w:t xml:space="preserve">; 95% CI 56.1-79.4%) </w:t>
      </w:r>
      <w:r w:rsidR="00C77B54" w:rsidRPr="00567373">
        <w:t>had previously had laminitis</w:t>
      </w:r>
      <w:r w:rsidR="00C63DFE" w:rsidRPr="00567373">
        <w:t xml:space="preserve"> and </w:t>
      </w:r>
      <w:r w:rsidRPr="00567373">
        <w:t>50.0% of horses (</w:t>
      </w:r>
      <w:r w:rsidRPr="00567373">
        <w:rPr>
          <w:i/>
          <w:iCs/>
        </w:rPr>
        <w:t>n</w:t>
      </w:r>
      <w:r w:rsidRPr="00567373">
        <w:t>=</w:t>
      </w:r>
      <w:r w:rsidR="00C63DFE" w:rsidRPr="00567373">
        <w:t>31/62</w:t>
      </w:r>
      <w:r w:rsidRPr="00567373">
        <w:t xml:space="preserve">; 95% CI 37.6-62.4%) </w:t>
      </w:r>
      <w:r w:rsidR="007A032D" w:rsidRPr="00567373">
        <w:t>had laminitis</w:t>
      </w:r>
      <w:r w:rsidR="00C63DFE" w:rsidRPr="00567373">
        <w:t xml:space="preserve"> at the time of </w:t>
      </w:r>
      <w:r w:rsidRPr="00567373">
        <w:t xml:space="preserve">initial </w:t>
      </w:r>
      <w:r w:rsidR="00C63DFE" w:rsidRPr="00567373">
        <w:t xml:space="preserve">testing. </w:t>
      </w:r>
      <w:r w:rsidR="00271BC4" w:rsidRPr="00567373">
        <w:t>Fifty-six percent of horses (</w:t>
      </w:r>
      <w:r w:rsidR="00271BC4" w:rsidRPr="00567373">
        <w:rPr>
          <w:i/>
          <w:iCs/>
        </w:rPr>
        <w:t>n</w:t>
      </w:r>
      <w:r w:rsidR="00271BC4" w:rsidRPr="00567373">
        <w:t>=34/61; 95% CI 43.3-68.2%) had access to pasture</w:t>
      </w:r>
      <w:r w:rsidR="00E0395B" w:rsidRPr="00567373">
        <w:t xml:space="preserve">; </w:t>
      </w:r>
      <w:r w:rsidR="00271BC4" w:rsidRPr="00567373">
        <w:t>a further 36.1% (</w:t>
      </w:r>
      <w:r w:rsidR="00271BC4" w:rsidRPr="00567373">
        <w:rPr>
          <w:i/>
          <w:iCs/>
        </w:rPr>
        <w:t>n</w:t>
      </w:r>
      <w:r w:rsidR="00271BC4" w:rsidRPr="00567373">
        <w:t xml:space="preserve">=22/61; 95% CI 24.0-48.1%) </w:t>
      </w:r>
      <w:r w:rsidR="00E0395B" w:rsidRPr="00567373">
        <w:t>had</w:t>
      </w:r>
      <w:r w:rsidR="00271BC4" w:rsidRPr="00567373">
        <w:t xml:space="preserve"> no or only muzzled pasture access and the remaining 9.8% of horses (</w:t>
      </w:r>
      <w:r w:rsidR="00271BC4" w:rsidRPr="00567373">
        <w:rPr>
          <w:i/>
          <w:iCs/>
        </w:rPr>
        <w:t>n</w:t>
      </w:r>
      <w:r w:rsidR="00271BC4" w:rsidRPr="00567373">
        <w:t>=5/61; 95% CI 2.4-17.3%) had access to bare pasture.  Only 4.9% of horses (</w:t>
      </w:r>
      <w:r w:rsidR="00271BC4" w:rsidRPr="00567373">
        <w:rPr>
          <w:i/>
          <w:iCs/>
        </w:rPr>
        <w:t>n</w:t>
      </w:r>
      <w:r w:rsidR="00271BC4" w:rsidRPr="00567373">
        <w:t>=3/61; 95% CI 0-10.3%) were reported to receive supplementary feed</w:t>
      </w:r>
      <w:r w:rsidR="00E0395B" w:rsidRPr="00567373">
        <w:t>. O</w:t>
      </w:r>
      <w:r w:rsidR="00271BC4" w:rsidRPr="00567373">
        <w:t>verall</w:t>
      </w:r>
      <w:r w:rsidR="000171C4" w:rsidRPr="00567373">
        <w:t>,</w:t>
      </w:r>
      <w:r w:rsidR="00271BC4" w:rsidRPr="00567373">
        <w:t xml:space="preserve"> 85.2% of horses (</w:t>
      </w:r>
      <w:r w:rsidR="00271BC4" w:rsidRPr="00567373">
        <w:rPr>
          <w:i/>
          <w:iCs/>
        </w:rPr>
        <w:t>n</w:t>
      </w:r>
      <w:r w:rsidR="00271BC4" w:rsidRPr="00567373">
        <w:t>=</w:t>
      </w:r>
      <w:r w:rsidR="00C63DFE" w:rsidRPr="00567373">
        <w:t>46/54</w:t>
      </w:r>
      <w:r w:rsidR="00271BC4" w:rsidRPr="00567373">
        <w:t>; 95% CI 75.7-94.7%) were categorised as</w:t>
      </w:r>
      <w:r w:rsidR="00C63DFE" w:rsidRPr="00567373">
        <w:t xml:space="preserve"> ha</w:t>
      </w:r>
      <w:r w:rsidR="00271BC4" w:rsidRPr="00567373">
        <w:t>ving</w:t>
      </w:r>
      <w:r w:rsidR="00C63DFE" w:rsidRPr="00567373">
        <w:t xml:space="preserve"> access to high </w:t>
      </w:r>
      <w:r w:rsidR="00E0395B" w:rsidRPr="00567373">
        <w:t>NSC feed at the time of testing</w:t>
      </w:r>
      <w:r w:rsidR="007A032D" w:rsidRPr="00567373">
        <w:t>.</w:t>
      </w:r>
    </w:p>
    <w:p w:rsidR="00E744A8" w:rsidRPr="00567373" w:rsidRDefault="00DA4DDD" w:rsidP="00E10F86">
      <w:pPr>
        <w:spacing w:line="480" w:lineRule="auto"/>
      </w:pPr>
      <w:r w:rsidRPr="00567373">
        <w:br/>
      </w:r>
      <w:r w:rsidR="008F7318" w:rsidRPr="00567373">
        <w:t xml:space="preserve"> </w:t>
      </w:r>
      <w:r w:rsidR="008F7318" w:rsidRPr="00567373">
        <w:tab/>
      </w:r>
      <w:r w:rsidR="00E0395B" w:rsidRPr="00567373">
        <w:t>T</w:t>
      </w:r>
      <w:r w:rsidR="000221BA" w:rsidRPr="00567373">
        <w:t xml:space="preserve">he age of animals with a positive CGIT result was significantly </w:t>
      </w:r>
      <w:r w:rsidR="00F21B74" w:rsidRPr="00567373">
        <w:t>greater</w:t>
      </w:r>
      <w:r w:rsidR="000221BA" w:rsidRPr="00567373">
        <w:t xml:space="preserve"> (median 11.5 </w:t>
      </w:r>
      <w:r w:rsidR="000221BA" w:rsidRPr="00567373">
        <w:lastRenderedPageBreak/>
        <w:t xml:space="preserve">years) </w:t>
      </w:r>
      <w:r w:rsidR="0091261E">
        <w:t xml:space="preserve">than </w:t>
      </w:r>
      <w:r w:rsidR="000221BA" w:rsidRPr="00567373">
        <w:t>those with a negative CGIT (median 10.0 years</w:t>
      </w:r>
      <w:r w:rsidR="0091261E">
        <w:t xml:space="preserve">; </w:t>
      </w:r>
      <w:r w:rsidR="000221BA" w:rsidRPr="00567373">
        <w:rPr>
          <w:i/>
          <w:iCs/>
        </w:rPr>
        <w:t>P</w:t>
      </w:r>
      <w:r w:rsidR="000221BA" w:rsidRPr="00567373">
        <w:t xml:space="preserve">=0.04). Weight was not </w:t>
      </w:r>
      <w:r w:rsidR="00E744A8" w:rsidRPr="00567373">
        <w:t xml:space="preserve">significantly </w:t>
      </w:r>
      <w:r w:rsidR="00363973" w:rsidRPr="00567373">
        <w:t>different between animals with a positive CGIT result versus those with a negative CGIT result</w:t>
      </w:r>
      <w:r w:rsidR="00F21B74" w:rsidRPr="00567373">
        <w:t xml:space="preserve"> (</w:t>
      </w:r>
      <w:r w:rsidR="00F21B74" w:rsidRPr="00567373">
        <w:rPr>
          <w:i/>
          <w:iCs/>
        </w:rPr>
        <w:t>P</w:t>
      </w:r>
      <w:r w:rsidR="00F21B74" w:rsidRPr="00567373">
        <w:t>=0.65)</w:t>
      </w:r>
      <w:r w:rsidR="000221BA" w:rsidRPr="00567373">
        <w:t>.</w:t>
      </w:r>
      <w:r w:rsidR="00CE0F62" w:rsidRPr="00567373">
        <w:t xml:space="preserve">  </w:t>
      </w:r>
      <w:r w:rsidR="000221BA" w:rsidRPr="00567373">
        <w:t xml:space="preserve">Using univariable logistic regression, the presence of obesity </w:t>
      </w:r>
      <w:r w:rsidR="00206745" w:rsidRPr="00567373">
        <w:t xml:space="preserve">at the time of initial presentation </w:t>
      </w:r>
      <w:r w:rsidR="000221BA" w:rsidRPr="00567373">
        <w:t xml:space="preserve">was associated with increased odds of a positive CGIT result (odds ratio (OR) 26.0; 95% CI 2.9-229.4; </w:t>
      </w:r>
      <w:r w:rsidR="000221BA" w:rsidRPr="00567373">
        <w:rPr>
          <w:i/>
          <w:iCs/>
        </w:rPr>
        <w:t>P</w:t>
      </w:r>
      <w:r w:rsidR="000221BA" w:rsidRPr="00567373">
        <w:t xml:space="preserve">=0.003). </w:t>
      </w:r>
      <w:r w:rsidR="007246B9" w:rsidRPr="00567373">
        <w:t>There were no significant associations between a positive CGIT result and w</w:t>
      </w:r>
      <w:r w:rsidR="00455B5B" w:rsidRPr="00567373">
        <w:t>eight, breed</w:t>
      </w:r>
      <w:r w:rsidR="0042278E" w:rsidRPr="00567373">
        <w:t xml:space="preserve"> category</w:t>
      </w:r>
      <w:r w:rsidR="00455B5B" w:rsidRPr="00567373">
        <w:t xml:space="preserve">, sex, history of laminitis, current lameness, history of laminitis but currently sound, supplementary feeding, pasture access, </w:t>
      </w:r>
      <w:r w:rsidR="007246B9" w:rsidRPr="00567373">
        <w:t xml:space="preserve">or </w:t>
      </w:r>
      <w:r w:rsidR="00455B5B" w:rsidRPr="00567373">
        <w:t xml:space="preserve">access to </w:t>
      </w:r>
      <w:r w:rsidR="007A4E28" w:rsidRPr="00567373">
        <w:t xml:space="preserve">high </w:t>
      </w:r>
      <w:r w:rsidR="00455B5B" w:rsidRPr="00567373">
        <w:t xml:space="preserve">NSC feed </w:t>
      </w:r>
      <w:r w:rsidR="008D6618" w:rsidRPr="00567373">
        <w:t xml:space="preserve">(all </w:t>
      </w:r>
      <w:r w:rsidR="009211C9" w:rsidRPr="00567373">
        <w:rPr>
          <w:i/>
          <w:iCs/>
        </w:rPr>
        <w:t>P</w:t>
      </w:r>
      <w:r w:rsidR="008D6618" w:rsidRPr="00567373">
        <w:t>&gt;0.05)</w:t>
      </w:r>
      <w:r w:rsidR="00455B5B" w:rsidRPr="00567373">
        <w:t xml:space="preserve">. </w:t>
      </w:r>
    </w:p>
    <w:p w:rsidR="00363973" w:rsidRPr="00567373" w:rsidRDefault="00363973" w:rsidP="00E10F86">
      <w:pPr>
        <w:spacing w:line="480" w:lineRule="auto"/>
      </w:pPr>
    </w:p>
    <w:p w:rsidR="00E744A8" w:rsidRPr="00567373" w:rsidRDefault="00574768" w:rsidP="00E10F86">
      <w:pPr>
        <w:spacing w:line="480" w:lineRule="auto"/>
        <w:ind w:firstLine="720"/>
      </w:pPr>
      <w:r w:rsidRPr="00567373">
        <w:t>A</w:t>
      </w:r>
      <w:r w:rsidR="00206745" w:rsidRPr="00567373">
        <w:t>t the time of initial presentation, a</w:t>
      </w:r>
      <w:r w:rsidR="00E744A8" w:rsidRPr="00567373">
        <w:t xml:space="preserve">ge and weight were not </w:t>
      </w:r>
      <w:r w:rsidR="00363973" w:rsidRPr="00567373">
        <w:t xml:space="preserve">significantly different between </w:t>
      </w:r>
      <w:r w:rsidRPr="00567373">
        <w:t xml:space="preserve">horses </w:t>
      </w:r>
      <w:r w:rsidR="00363973" w:rsidRPr="00567373">
        <w:t xml:space="preserve">with a false negative </w:t>
      </w:r>
      <w:r w:rsidR="00E744A8" w:rsidRPr="00567373">
        <w:t>FI result (i.e. positive CGIT result and negative FI result)</w:t>
      </w:r>
      <w:r w:rsidR="00363973" w:rsidRPr="00567373">
        <w:t xml:space="preserve"> versus those without</w:t>
      </w:r>
      <w:r w:rsidR="00E744A8" w:rsidRPr="00567373">
        <w:t xml:space="preserve">. Using univariable logistic regression, </w:t>
      </w:r>
      <w:r w:rsidR="00363973" w:rsidRPr="00567373">
        <w:t>the presence of obesity was associated with incr</w:t>
      </w:r>
      <w:r w:rsidR="008B2FF7" w:rsidRPr="00567373">
        <w:t xml:space="preserve">eased odds of a false negative </w:t>
      </w:r>
      <w:r w:rsidR="00363973" w:rsidRPr="00567373">
        <w:t xml:space="preserve">FI outcome (OR 9.7; 95% CI 1.1-83.7; </w:t>
      </w:r>
      <w:r w:rsidR="00363973" w:rsidRPr="00567373">
        <w:rPr>
          <w:i/>
          <w:iCs/>
        </w:rPr>
        <w:t>P</w:t>
      </w:r>
      <w:r w:rsidR="00363973" w:rsidRPr="00567373">
        <w:t xml:space="preserve">=0.04). </w:t>
      </w:r>
      <w:r w:rsidR="007246B9" w:rsidRPr="00567373">
        <w:t>There were no significant associations between a false negative FI result and w</w:t>
      </w:r>
      <w:r w:rsidR="00E744A8" w:rsidRPr="00567373">
        <w:t xml:space="preserve">eight, breed category, sex, history of laminitis, current lameness, history of laminitis but currently sound, supplementary feeding, pasture access, </w:t>
      </w:r>
      <w:r w:rsidR="007246B9" w:rsidRPr="00567373">
        <w:t xml:space="preserve">or </w:t>
      </w:r>
      <w:r w:rsidR="00E744A8" w:rsidRPr="00567373">
        <w:t xml:space="preserve">access to high NSC feed (all </w:t>
      </w:r>
      <w:r w:rsidR="00E744A8" w:rsidRPr="00567373">
        <w:rPr>
          <w:i/>
          <w:iCs/>
        </w:rPr>
        <w:t>P</w:t>
      </w:r>
      <w:r w:rsidR="00E744A8" w:rsidRPr="00567373">
        <w:t xml:space="preserve">&gt;0.05). </w:t>
      </w:r>
    </w:p>
    <w:p w:rsidR="00A633CC" w:rsidRPr="00567373" w:rsidRDefault="00A633CC" w:rsidP="00E10F86">
      <w:pPr>
        <w:spacing w:line="480" w:lineRule="auto"/>
      </w:pPr>
    </w:p>
    <w:p w:rsidR="002206F9" w:rsidRPr="00567373" w:rsidRDefault="003A3A4E" w:rsidP="00E10F86">
      <w:pPr>
        <w:spacing w:line="480" w:lineRule="auto"/>
        <w:rPr>
          <w:b/>
        </w:rPr>
      </w:pPr>
      <w:r w:rsidRPr="00567373">
        <w:rPr>
          <w:b/>
        </w:rPr>
        <w:t>Discussion</w:t>
      </w:r>
    </w:p>
    <w:p w:rsidR="00C65AEA" w:rsidRPr="00567373" w:rsidRDefault="00F1640A" w:rsidP="00E10F86">
      <w:pPr>
        <w:spacing w:line="480" w:lineRule="auto"/>
        <w:ind w:firstLine="720"/>
      </w:pPr>
      <w:r w:rsidRPr="00567373">
        <w:t>T</w:t>
      </w:r>
      <w:r w:rsidR="00F173FB" w:rsidRPr="00567373">
        <w:t xml:space="preserve">his study confirmed poor sensitivity of </w:t>
      </w:r>
      <w:r w:rsidR="00E228FF" w:rsidRPr="00567373">
        <w:t>FI</w:t>
      </w:r>
      <w:r w:rsidR="00583955" w:rsidRPr="00567373">
        <w:t xml:space="preserve"> for diagnosis of EMS</w:t>
      </w:r>
      <w:r w:rsidR="00F173FB" w:rsidRPr="00567373">
        <w:t xml:space="preserve"> </w:t>
      </w:r>
      <w:r w:rsidRPr="00567373">
        <w:t xml:space="preserve">in horses and ponies suspected to have </w:t>
      </w:r>
      <w:r w:rsidR="008D1C68" w:rsidRPr="00567373">
        <w:t>ID</w:t>
      </w:r>
      <w:r w:rsidRPr="00567373">
        <w:t xml:space="preserve"> </w:t>
      </w:r>
      <w:r w:rsidR="00F173FB" w:rsidRPr="00567373">
        <w:t xml:space="preserve">when the conventional cut-off of </w:t>
      </w:r>
      <w:r w:rsidR="007246B9" w:rsidRPr="00567373">
        <w:t xml:space="preserve">≥ </w:t>
      </w:r>
      <w:r w:rsidR="00F173FB" w:rsidRPr="00567373">
        <w:t>20 µIU/</w:t>
      </w:r>
      <w:r w:rsidR="00C62AE6" w:rsidRPr="00567373">
        <w:t xml:space="preserve">mL </w:t>
      </w:r>
      <w:r w:rsidR="008705E6" w:rsidRPr="00567373">
        <w:t>on a chemiluminescent assay</w:t>
      </w:r>
      <w:r w:rsidR="00B97910" w:rsidRPr="00567373">
        <w:t xml:space="preserve"> is used</w:t>
      </w:r>
      <w:r w:rsidR="00520D4D" w:rsidRPr="00567373">
        <w:t xml:space="preserve">, in line with recent opinion moving away from the use of fasted </w:t>
      </w:r>
      <w:r w:rsidR="00DF351A" w:rsidRPr="00567373">
        <w:t>sampling conditions</w:t>
      </w:r>
      <w:r w:rsidR="00520D4D" w:rsidRPr="00567373">
        <w:t xml:space="preserve"> </w:t>
      </w:r>
      <w:r w:rsidR="004B5B4A" w:rsidRPr="00567373">
        <w:t>(Durham et al., 2019)</w:t>
      </w:r>
      <w:r w:rsidR="008D1C68" w:rsidRPr="00567373">
        <w:t xml:space="preserve">. </w:t>
      </w:r>
      <w:r w:rsidR="00C65AEA" w:rsidRPr="00567373">
        <w:t xml:space="preserve">A previous study also showed a poor sensitivity of FI in a group of </w:t>
      </w:r>
      <w:r w:rsidR="00583955" w:rsidRPr="00567373">
        <w:t>twelve</w:t>
      </w:r>
      <w:r w:rsidR="00C65AEA" w:rsidRPr="00567373">
        <w:t xml:space="preserve"> horses not suspected to have I</w:t>
      </w:r>
      <w:r w:rsidR="00E52EFE" w:rsidRPr="00567373">
        <w:t>D;</w:t>
      </w:r>
      <w:r w:rsidR="00C65AEA" w:rsidRPr="00567373">
        <w:t xml:space="preserve"> h</w:t>
      </w:r>
      <w:r w:rsidR="00E52EFE" w:rsidRPr="00567373">
        <w:t>owever,</w:t>
      </w:r>
      <w:r w:rsidR="00C65AEA" w:rsidRPr="00567373">
        <w:t xml:space="preserve"> these comparisons were made </w:t>
      </w:r>
      <w:r w:rsidR="00C65AEA" w:rsidRPr="00567373">
        <w:lastRenderedPageBreak/>
        <w:t xml:space="preserve">against an arbitrary single cut-off value for the frequently sampled intravenous glucose tolerance test </w:t>
      </w:r>
      <w:r w:rsidR="0018071E" w:rsidRPr="00567373">
        <w:t xml:space="preserve">and further examination of the </w:t>
      </w:r>
      <w:r w:rsidR="00C65AEA" w:rsidRPr="00567373">
        <w:t xml:space="preserve">cut-off itself was </w:t>
      </w:r>
      <w:r w:rsidR="0018071E" w:rsidRPr="00567373">
        <w:t>not performed</w:t>
      </w:r>
      <w:r w:rsidR="00C65AEA" w:rsidRPr="00567373">
        <w:t xml:space="preserve"> (Dunbar et al., 2016). </w:t>
      </w:r>
      <w:r w:rsidR="00FE7469" w:rsidRPr="00567373">
        <w:t>Depending on the population sampled, t</w:t>
      </w:r>
      <w:r w:rsidR="004B5B4A" w:rsidRPr="00567373">
        <w:t>he sensitivity and specificity of a test is affected by the cut-off value used;</w:t>
      </w:r>
      <w:r w:rsidR="00FE7469" w:rsidRPr="00567373">
        <w:t xml:space="preserve"> reducing</w:t>
      </w:r>
      <w:r w:rsidR="004B5B4A" w:rsidRPr="00567373">
        <w:t xml:space="preserve"> the cut-off </w:t>
      </w:r>
      <w:r w:rsidR="00FE7469" w:rsidRPr="00567373">
        <w:t xml:space="preserve">usually </w:t>
      </w:r>
      <w:r w:rsidR="004B5B4A" w:rsidRPr="00567373">
        <w:t xml:space="preserve">improves the sensitivity </w:t>
      </w:r>
      <w:r w:rsidR="0018071E" w:rsidRPr="00567373">
        <w:t>but</w:t>
      </w:r>
      <w:r w:rsidR="00206745" w:rsidRPr="00567373">
        <w:t xml:space="preserve"> </w:t>
      </w:r>
      <w:r w:rsidR="004B5B4A" w:rsidRPr="00567373">
        <w:t>reduce</w:t>
      </w:r>
      <w:r w:rsidR="00FE7469" w:rsidRPr="00567373">
        <w:t>s</w:t>
      </w:r>
      <w:r w:rsidR="004B5B4A" w:rsidRPr="00567373">
        <w:t xml:space="preserve"> the </w:t>
      </w:r>
      <w:r w:rsidR="00B11A45" w:rsidRPr="00567373">
        <w:t xml:space="preserve">specificity. </w:t>
      </w:r>
      <w:r w:rsidR="004B5B4A" w:rsidRPr="00567373">
        <w:t xml:space="preserve">In this study, there were moderate to high correlations between FI and dynamic test results. </w:t>
      </w:r>
      <w:r w:rsidR="00043928" w:rsidRPr="00567373">
        <w:t>Further</w:t>
      </w:r>
      <w:r w:rsidR="007D5773" w:rsidRPr="00567373">
        <w:t>more</w:t>
      </w:r>
      <w:r w:rsidR="00043928" w:rsidRPr="00567373">
        <w:t>,</w:t>
      </w:r>
      <w:r w:rsidR="00E52EFE" w:rsidRPr="00567373">
        <w:t xml:space="preserve"> a</w:t>
      </w:r>
      <w:r w:rsidR="00043928" w:rsidRPr="00567373">
        <w:t xml:space="preserve"> lower cut-off value derived by Youden’s index markedly improved s</w:t>
      </w:r>
      <w:r w:rsidR="004B5B4A" w:rsidRPr="00567373">
        <w:t xml:space="preserve">ensitivity </w:t>
      </w:r>
      <w:r w:rsidR="00043928" w:rsidRPr="00567373">
        <w:t>whilst maintaining high specificity</w:t>
      </w:r>
      <w:r w:rsidR="00534994" w:rsidRPr="00567373">
        <w:t>.</w:t>
      </w:r>
      <w:r w:rsidR="00C65AEA" w:rsidRPr="00567373">
        <w:t xml:space="preserve"> Our study</w:t>
      </w:r>
      <w:r w:rsidR="00574768" w:rsidRPr="00567373">
        <w:t>,</w:t>
      </w:r>
      <w:r w:rsidR="00E52EFE" w:rsidRPr="00567373">
        <w:t xml:space="preserve"> therefore</w:t>
      </w:r>
      <w:r w:rsidR="00574768" w:rsidRPr="00567373">
        <w:t>,</w:t>
      </w:r>
      <w:r w:rsidR="00C65AEA" w:rsidRPr="00567373">
        <w:t xml:space="preserve"> demonstrated that the poor sensitivity is related to the cut-off value used rather than FI being an intrinsically inappropriate test.</w:t>
      </w:r>
    </w:p>
    <w:p w:rsidR="00043928" w:rsidRPr="00567373" w:rsidRDefault="00043928" w:rsidP="00E10F86">
      <w:pPr>
        <w:spacing w:line="480" w:lineRule="auto"/>
      </w:pPr>
    </w:p>
    <w:p w:rsidR="00043928" w:rsidRPr="00567373" w:rsidRDefault="00043928" w:rsidP="00E10F86">
      <w:pPr>
        <w:spacing w:line="480" w:lineRule="auto"/>
        <w:ind w:firstLine="720"/>
      </w:pPr>
      <w:r w:rsidRPr="00567373">
        <w:t xml:space="preserve">Lowering the cut-off </w:t>
      </w:r>
      <w:r w:rsidR="00BF2591" w:rsidRPr="00567373">
        <w:t xml:space="preserve">for FI to 5.2 µIU/mL </w:t>
      </w:r>
      <w:r w:rsidRPr="00567373">
        <w:t xml:space="preserve">improved sensitivity from 15% to 63% and lowered the specificity from 100% to 87%. </w:t>
      </w:r>
      <w:r w:rsidR="007D5773" w:rsidRPr="00567373">
        <w:t>We</w:t>
      </w:r>
      <w:r w:rsidRPr="00567373">
        <w:t xml:space="preserve"> acknowledge that the decreased specificity would </w:t>
      </w:r>
      <w:r w:rsidR="007D5773" w:rsidRPr="00567373">
        <w:t xml:space="preserve">mean increased false positive diagnoses </w:t>
      </w:r>
      <w:r w:rsidR="00E52EFE" w:rsidRPr="00567373">
        <w:t>of ID</w:t>
      </w:r>
      <w:r w:rsidR="000171C4" w:rsidRPr="00567373">
        <w:t>,</w:t>
      </w:r>
      <w:r w:rsidR="00E52EFE" w:rsidRPr="00567373">
        <w:t xml:space="preserve"> </w:t>
      </w:r>
      <w:r w:rsidR="007D5773" w:rsidRPr="00567373">
        <w:t xml:space="preserve">with the </w:t>
      </w:r>
      <w:r w:rsidR="00BF2591" w:rsidRPr="00567373">
        <w:t xml:space="preserve">potential </w:t>
      </w:r>
      <w:r w:rsidR="00E52EFE" w:rsidRPr="00567373">
        <w:t>consequence</w:t>
      </w:r>
      <w:r w:rsidR="007D5773" w:rsidRPr="00567373">
        <w:t xml:space="preserve"> of management interventions </w:t>
      </w:r>
      <w:r w:rsidR="00BE3A48" w:rsidRPr="00567373">
        <w:t>being recommended</w:t>
      </w:r>
      <w:r w:rsidR="007D5773" w:rsidRPr="00567373">
        <w:t xml:space="preserve"> when </w:t>
      </w:r>
      <w:r w:rsidR="00BE3A48" w:rsidRPr="00567373">
        <w:t>ID is not actually present</w:t>
      </w:r>
      <w:r w:rsidR="007D5773" w:rsidRPr="00567373">
        <w:t xml:space="preserve">. </w:t>
      </w:r>
      <w:r w:rsidR="00BE3A48" w:rsidRPr="00567373">
        <w:t>However, m</w:t>
      </w:r>
      <w:r w:rsidR="007D5773" w:rsidRPr="00567373">
        <w:t xml:space="preserve">anagement of ID primarily involves reduction of obesity and incorporation of increased exercise into the treatment plan. </w:t>
      </w:r>
      <w:r w:rsidR="00BE3A48" w:rsidRPr="00567373">
        <w:t>Furthermore</w:t>
      </w:r>
      <w:r w:rsidR="007D5773" w:rsidRPr="00567373">
        <w:t xml:space="preserve">, obesity is known to cause a range of problems and is considered </w:t>
      </w:r>
      <w:r w:rsidR="00A75BF7" w:rsidRPr="00567373">
        <w:t>detrimental to</w:t>
      </w:r>
      <w:r w:rsidR="007D5773" w:rsidRPr="00567373">
        <w:t xml:space="preserve"> the health of horses even without ID (</w:t>
      </w:r>
      <w:r w:rsidR="00520D4D" w:rsidRPr="00567373">
        <w:t>McGregor-</w:t>
      </w:r>
      <w:r w:rsidR="007D5773" w:rsidRPr="00567373">
        <w:t>Argo</w:t>
      </w:r>
      <w:r w:rsidR="00520D4D" w:rsidRPr="00567373">
        <w:t>, 2009</w:t>
      </w:r>
      <w:r w:rsidR="007D5773" w:rsidRPr="00567373">
        <w:t>).</w:t>
      </w:r>
      <w:r w:rsidR="00BE3A48" w:rsidRPr="00567373">
        <w:t xml:space="preserve"> S</w:t>
      </w:r>
      <w:r w:rsidR="007D5773" w:rsidRPr="00567373">
        <w:t xml:space="preserve">ince obesity and age are risk factors for </w:t>
      </w:r>
      <w:r w:rsidR="00D86521" w:rsidRPr="00567373">
        <w:t xml:space="preserve">Equine Metabolic Syndrome (EMS), </w:t>
      </w:r>
      <w:r w:rsidR="000171C4" w:rsidRPr="00567373">
        <w:t>which</w:t>
      </w:r>
      <w:r w:rsidR="00F61B1F" w:rsidRPr="00567373">
        <w:t xml:space="preserve"> consistently features</w:t>
      </w:r>
      <w:r w:rsidR="00D86521" w:rsidRPr="00567373">
        <w:t xml:space="preserve"> ID </w:t>
      </w:r>
      <w:r w:rsidR="007D5773" w:rsidRPr="00567373">
        <w:t xml:space="preserve">(Morgan </w:t>
      </w:r>
      <w:r w:rsidR="007246B9" w:rsidRPr="00567373">
        <w:t xml:space="preserve">et al., </w:t>
      </w:r>
      <w:r w:rsidR="007D5773" w:rsidRPr="00567373">
        <w:t xml:space="preserve">2014; Durham </w:t>
      </w:r>
      <w:r w:rsidR="007246B9" w:rsidRPr="00567373">
        <w:t xml:space="preserve">et al., </w:t>
      </w:r>
      <w:r w:rsidR="007D5773" w:rsidRPr="00567373">
        <w:t xml:space="preserve">2019), treatment using diet and exercise may help prevent </w:t>
      </w:r>
      <w:r w:rsidR="00E52EFE" w:rsidRPr="00567373">
        <w:t>development of EMS, i.e. of ID and consequent</w:t>
      </w:r>
      <w:r w:rsidRPr="00567373">
        <w:t xml:space="preserve"> clinical laminitis. </w:t>
      </w:r>
      <w:r w:rsidR="00BE3A48" w:rsidRPr="00567373">
        <w:t xml:space="preserve">Thus </w:t>
      </w:r>
      <w:r w:rsidRPr="00567373">
        <w:t xml:space="preserve">reducing the cut-off is likely to </w:t>
      </w:r>
      <w:r w:rsidR="00B4494C" w:rsidRPr="00567373">
        <w:t xml:space="preserve">be overall </w:t>
      </w:r>
      <w:r w:rsidRPr="00567373">
        <w:t>beneficial</w:t>
      </w:r>
      <w:r w:rsidR="00B4494C" w:rsidRPr="00567373">
        <w:t xml:space="preserve"> </w:t>
      </w:r>
      <w:r w:rsidRPr="00567373">
        <w:t>to the welfare of the equine population.</w:t>
      </w:r>
    </w:p>
    <w:p w:rsidR="00C96E97" w:rsidRPr="00567373" w:rsidRDefault="00C96E97" w:rsidP="00E10F86">
      <w:pPr>
        <w:spacing w:line="480" w:lineRule="auto"/>
      </w:pPr>
    </w:p>
    <w:p w:rsidR="004B5B4A" w:rsidRPr="00567373" w:rsidRDefault="00C31158" w:rsidP="00E10F86">
      <w:pPr>
        <w:spacing w:line="480" w:lineRule="auto"/>
        <w:ind w:firstLine="720"/>
      </w:pPr>
      <w:r w:rsidRPr="00567373">
        <w:t xml:space="preserve">Multiple research studies have utilised fasting following a </w:t>
      </w:r>
      <w:r w:rsidR="000C78F6" w:rsidRPr="00567373">
        <w:t xml:space="preserve">set </w:t>
      </w:r>
      <w:r w:rsidRPr="00567373">
        <w:t>evening meal to standardise testing conditions, although</w:t>
      </w:r>
      <w:r w:rsidR="0068392B" w:rsidRPr="00567373">
        <w:t>,</w:t>
      </w:r>
      <w:r w:rsidRPr="00567373">
        <w:t xml:space="preserve"> </w:t>
      </w:r>
      <w:r w:rsidR="00E5429F" w:rsidRPr="00567373">
        <w:t xml:space="preserve">due to </w:t>
      </w:r>
      <w:r w:rsidRPr="00567373">
        <w:t xml:space="preserve">the experimental </w:t>
      </w:r>
      <w:r w:rsidR="00E5429F" w:rsidRPr="00567373">
        <w:t>design</w:t>
      </w:r>
      <w:r w:rsidR="00324CD3" w:rsidRPr="00567373">
        <w:t>s, the</w:t>
      </w:r>
      <w:r w:rsidR="00E5429F" w:rsidRPr="00567373">
        <w:t xml:space="preserve"> results </w:t>
      </w:r>
      <w:r w:rsidR="00324CD3" w:rsidRPr="00567373">
        <w:t xml:space="preserve">focussed </w:t>
      </w:r>
      <w:r w:rsidR="00324CD3" w:rsidRPr="00567373">
        <w:lastRenderedPageBreak/>
        <w:t>on the effects of interventions rather than</w:t>
      </w:r>
      <w:r w:rsidR="00E5429F" w:rsidRPr="00567373">
        <w:t xml:space="preserve"> specific cut-off values </w:t>
      </w:r>
      <w:r w:rsidRPr="00567373">
        <w:t xml:space="preserve">(McGowan et al., 2013; Morgan et al., 2016; Carslake et al., 2018). </w:t>
      </w:r>
      <w:r w:rsidR="00C96E97" w:rsidRPr="00567373">
        <w:t xml:space="preserve">Fasting was </w:t>
      </w:r>
      <w:r w:rsidR="00BC2122" w:rsidRPr="00567373">
        <w:t xml:space="preserve">also </w:t>
      </w:r>
      <w:r w:rsidR="00C96E97" w:rsidRPr="00567373">
        <w:t xml:space="preserve">recommended </w:t>
      </w:r>
      <w:r w:rsidR="00F659F0" w:rsidRPr="00567373">
        <w:t xml:space="preserve">in </w:t>
      </w:r>
      <w:r w:rsidR="00BC2122" w:rsidRPr="00567373">
        <w:t xml:space="preserve">clinical ID testing for the same reason </w:t>
      </w:r>
      <w:r w:rsidR="00E27CF4" w:rsidRPr="00567373">
        <w:t>(Frank et al., 2010)</w:t>
      </w:r>
      <w:r w:rsidR="00BC2122" w:rsidRPr="00567373">
        <w:t>.</w:t>
      </w:r>
      <w:r w:rsidR="00E27CF4" w:rsidRPr="00567373">
        <w:t xml:space="preserve"> </w:t>
      </w:r>
      <w:r w:rsidR="004B5B4A" w:rsidRPr="00567373">
        <w:t xml:space="preserve">The cut-off value of 20 μIU/mL may </w:t>
      </w:r>
      <w:r w:rsidR="000C78F6" w:rsidRPr="00567373">
        <w:t xml:space="preserve">however have been based on unfasted or very briefly fasted animals, based on work published prior to this recommendation. In </w:t>
      </w:r>
      <w:r w:rsidR="004B5B4A" w:rsidRPr="00567373">
        <w:t xml:space="preserve">ponies </w:t>
      </w:r>
      <w:r w:rsidR="00F02D60">
        <w:t>removed from pasture</w:t>
      </w:r>
      <w:r w:rsidR="004B5B4A" w:rsidRPr="00567373">
        <w:t xml:space="preserve"> for only 1-3 hours prior to sampling, plasma insulin concentrations (mean ±SE) in previously laminitic ponies were 21.6 ±2.2 μIU/mL and in non-laminitic ponies 10.7 ±0.8 μIU/mL using a</w:t>
      </w:r>
      <w:r w:rsidR="00757D1E" w:rsidRPr="00567373">
        <w:t>n</w:t>
      </w:r>
      <w:r w:rsidR="004B5B4A" w:rsidRPr="00567373">
        <w:t xml:space="preserve"> RIA (Treiber et al., 2006). In the same herd of </w:t>
      </w:r>
      <w:r w:rsidR="00B10EFC" w:rsidRPr="00567373">
        <w:t xml:space="preserve">pastured </w:t>
      </w:r>
      <w:r w:rsidR="004B5B4A" w:rsidRPr="00567373">
        <w:t xml:space="preserve">ponies, a </w:t>
      </w:r>
      <w:r w:rsidR="00B0377E" w:rsidRPr="00567373">
        <w:t>basal insulin</w:t>
      </w:r>
      <w:r w:rsidR="004B5B4A" w:rsidRPr="00567373">
        <w:t xml:space="preserve"> cut-off of 32 μIU/mL adequately predicted laminitis in unfasted ponies (area under the ROC curve 0.88 [95% CI 0.80-0.96]) using the same RIA (Carter et al., 2009). </w:t>
      </w:r>
      <w:r w:rsidR="000C78F6" w:rsidRPr="00567373">
        <w:t>In addition, t</w:t>
      </w:r>
      <w:r w:rsidR="004B5B4A" w:rsidRPr="00567373">
        <w:t>he RIA reads consistently higher at lower insulin values than the chemiluminescent assay</w:t>
      </w:r>
      <w:r w:rsidR="00887416" w:rsidRPr="00567373">
        <w:t xml:space="preserve"> more commonly used</w:t>
      </w:r>
      <w:r w:rsidR="004B5B4A" w:rsidRPr="00567373">
        <w:t xml:space="preserve"> in the UK (Carslake</w:t>
      </w:r>
      <w:r w:rsidR="00CF6F3B" w:rsidRPr="00567373">
        <w:t xml:space="preserve"> et al.</w:t>
      </w:r>
      <w:r w:rsidR="004B5B4A" w:rsidRPr="00567373">
        <w:t xml:space="preserve">, 2017) so these higher cut-offs may have been inappropriately applied if extrapolated to laboratories utilising the </w:t>
      </w:r>
      <w:r w:rsidR="00404BB4" w:rsidRPr="00567373">
        <w:t xml:space="preserve">chemiluminescent </w:t>
      </w:r>
      <w:r w:rsidR="004B5B4A" w:rsidRPr="00567373">
        <w:t>assay.</w:t>
      </w:r>
    </w:p>
    <w:p w:rsidR="004B5B4A" w:rsidRPr="00567373" w:rsidRDefault="004B5B4A" w:rsidP="00E10F86">
      <w:pPr>
        <w:spacing w:line="480" w:lineRule="auto"/>
      </w:pPr>
    </w:p>
    <w:p w:rsidR="00C96E97" w:rsidRPr="00567373" w:rsidRDefault="00A00FBB" w:rsidP="00E10F86">
      <w:pPr>
        <w:spacing w:line="480" w:lineRule="auto"/>
        <w:ind w:firstLine="720"/>
      </w:pPr>
      <w:r w:rsidRPr="00567373">
        <w:t>Following a diagnosis of laminitis</w:t>
      </w:r>
      <w:r w:rsidR="00A419CB" w:rsidRPr="00567373">
        <w:t>,</w:t>
      </w:r>
      <w:r w:rsidRPr="00567373">
        <w:t xml:space="preserve"> </w:t>
      </w:r>
      <w:r w:rsidR="00441520" w:rsidRPr="00567373">
        <w:t>recommended management changes to reduce forces on the damaged lamellae include stabling and diet restriction</w:t>
      </w:r>
      <w:r w:rsidR="00CA6FCB" w:rsidRPr="00567373">
        <w:t xml:space="preserve"> </w:t>
      </w:r>
      <w:r w:rsidR="00032B80" w:rsidRPr="00567373">
        <w:t>(van Weeren et al., 2016)</w:t>
      </w:r>
      <w:r w:rsidR="00CA6FCB" w:rsidRPr="00567373">
        <w:t xml:space="preserve">. Under these conditions, </w:t>
      </w:r>
      <w:r w:rsidR="00574768" w:rsidRPr="00567373">
        <w:t>a</w:t>
      </w:r>
      <w:r w:rsidR="00C96E97" w:rsidRPr="00567373">
        <w:t xml:space="preserve"> </w:t>
      </w:r>
      <w:r w:rsidR="00CA6FCB" w:rsidRPr="00567373">
        <w:t>standardised fast</w:t>
      </w:r>
      <w:r w:rsidR="00C96E97" w:rsidRPr="00567373">
        <w:t xml:space="preserve"> can be incorporated practically into a horse’s routine</w:t>
      </w:r>
      <w:r w:rsidR="00BE73DF" w:rsidRPr="00567373">
        <w:t>, limiting the variations in insulin concentrations that can occur after feeding of different types of preserved forage (Carslake et al., 2018)</w:t>
      </w:r>
      <w:r w:rsidR="00C96E97" w:rsidRPr="00567373">
        <w:t xml:space="preserve">. </w:t>
      </w:r>
      <w:r w:rsidR="00574768" w:rsidRPr="00567373">
        <w:t xml:space="preserve">However, FI </w:t>
      </w:r>
      <w:r w:rsidR="00BE73DF" w:rsidRPr="00567373">
        <w:t>concentrations</w:t>
      </w:r>
      <w:r w:rsidR="00574768" w:rsidRPr="00567373">
        <w:t xml:space="preserve"> of &lt; 5 </w:t>
      </w:r>
      <w:r w:rsidR="00BE73DF" w:rsidRPr="00567373">
        <w:t>μIU/</w:t>
      </w:r>
      <w:r w:rsidR="00382F90" w:rsidRPr="00567373">
        <w:t>mL</w:t>
      </w:r>
      <w:r w:rsidR="00BE73DF" w:rsidRPr="00567373">
        <w:t xml:space="preserve"> are close to the limits of detection of the </w:t>
      </w:r>
      <w:r w:rsidR="00404BB4" w:rsidRPr="00567373">
        <w:t xml:space="preserve">chemiluminescent </w:t>
      </w:r>
      <w:r w:rsidR="00BE73DF" w:rsidRPr="00567373">
        <w:t>assay, so a shorter period of fasting or feeding of a standardised forage may be ideal and further research to determine the optimal period of fasting or feed withholding is warranted</w:t>
      </w:r>
      <w:r w:rsidR="00F500B4" w:rsidRPr="00567373">
        <w:t>.</w:t>
      </w:r>
    </w:p>
    <w:p w:rsidR="00C96E97" w:rsidRPr="00567373" w:rsidRDefault="00C96E97" w:rsidP="00E10F86">
      <w:pPr>
        <w:spacing w:line="480" w:lineRule="auto"/>
      </w:pPr>
    </w:p>
    <w:p w:rsidR="00F173FB" w:rsidRPr="00567373" w:rsidRDefault="00E228FF" w:rsidP="00E10F86">
      <w:pPr>
        <w:spacing w:line="480" w:lineRule="auto"/>
        <w:ind w:firstLine="720"/>
      </w:pPr>
      <w:r w:rsidRPr="00567373">
        <w:lastRenderedPageBreak/>
        <w:t>FI</w:t>
      </w:r>
      <w:r w:rsidR="00F173FB" w:rsidRPr="00567373">
        <w:t xml:space="preserve"> was better correlated with CGIT insulin outcome variables than with CGIT glucose outcome variables in this study, consistent with previous work demonstrating superior repeatability for insulin responses compared to glu</w:t>
      </w:r>
      <w:r w:rsidR="003D0D15" w:rsidRPr="00567373">
        <w:t xml:space="preserve">cose responses during the CGIT </w:t>
      </w:r>
      <w:r w:rsidR="00032B80" w:rsidRPr="00567373">
        <w:t>(Eiler et al., 2005; Bröjer et al., 2013)</w:t>
      </w:r>
      <w:r w:rsidR="00F173FB" w:rsidRPr="00567373">
        <w:t xml:space="preserve">. </w:t>
      </w:r>
      <w:r w:rsidR="0068392B" w:rsidRPr="00567373">
        <w:t>FI was also better correlated with insulin</w:t>
      </w:r>
      <w:r w:rsidR="0068392B" w:rsidRPr="00567373">
        <w:rPr>
          <w:vertAlign w:val="subscript"/>
        </w:rPr>
        <w:t>75</w:t>
      </w:r>
      <w:r w:rsidR="0068392B" w:rsidRPr="00567373">
        <w:t xml:space="preserve"> than insulin</w:t>
      </w:r>
      <w:r w:rsidR="0068392B" w:rsidRPr="00567373">
        <w:rPr>
          <w:vertAlign w:val="subscript"/>
        </w:rPr>
        <w:t>45</w:t>
      </w:r>
      <w:r w:rsidR="0068392B" w:rsidRPr="00567373">
        <w:t xml:space="preserve">. </w:t>
      </w:r>
      <w:r w:rsidR="00BA08FB" w:rsidRPr="00567373">
        <w:t xml:space="preserve">The additional insulin measurement at 75 </w:t>
      </w:r>
      <w:r w:rsidR="00984E23">
        <w:t>min</w:t>
      </w:r>
      <w:r w:rsidR="00BA08FB" w:rsidRPr="00567373">
        <w:t xml:space="preserve"> is part of the</w:t>
      </w:r>
      <w:r w:rsidR="00C516BC" w:rsidRPr="00567373">
        <w:t xml:space="preserve"> CGIT</w:t>
      </w:r>
      <w:r w:rsidR="00BA08FB" w:rsidRPr="00567373">
        <w:t xml:space="preserve"> protocol used at the centre where this study was undertaken </w:t>
      </w:r>
      <w:r w:rsidR="00F500B4" w:rsidRPr="00567373">
        <w:t xml:space="preserve">and was based on the original research on the CGIT where insulin returned to baseline values in normal horses by 75 </w:t>
      </w:r>
      <w:r w:rsidR="00984E23">
        <w:t>min</w:t>
      </w:r>
      <w:r w:rsidR="00F500B4" w:rsidRPr="00567373">
        <w:t xml:space="preserve"> (Eiler et al., 2005)</w:t>
      </w:r>
      <w:r w:rsidR="00BA08FB" w:rsidRPr="00567373">
        <w:t>.</w:t>
      </w:r>
      <w:r w:rsidR="00C516BC" w:rsidRPr="00567373">
        <w:t xml:space="preserve"> </w:t>
      </w:r>
      <w:r w:rsidR="00E1040A" w:rsidRPr="00567373">
        <w:t>The</w:t>
      </w:r>
      <w:r w:rsidR="00BA08FB" w:rsidRPr="00567373">
        <w:t xml:space="preserve"> return </w:t>
      </w:r>
      <w:r w:rsidR="001B7AD9" w:rsidRPr="00567373">
        <w:t xml:space="preserve">of glucose </w:t>
      </w:r>
      <w:r w:rsidR="00BA08FB" w:rsidRPr="00567373">
        <w:t xml:space="preserve">to baseline by </w:t>
      </w:r>
      <w:r w:rsidR="001B7AD9" w:rsidRPr="00567373">
        <w:t xml:space="preserve">45 </w:t>
      </w:r>
      <w:r w:rsidR="00984E23">
        <w:t>min</w:t>
      </w:r>
      <w:r w:rsidR="00BA08FB" w:rsidRPr="00567373">
        <w:t xml:space="preserve"> was derived from the original research on the CGIT </w:t>
      </w:r>
      <w:r w:rsidR="00032B80" w:rsidRPr="00567373">
        <w:t>(Eiler et al., 2005)</w:t>
      </w:r>
      <w:r w:rsidR="00BA08FB" w:rsidRPr="00567373">
        <w:t xml:space="preserve"> while the </w:t>
      </w:r>
      <w:r w:rsidR="001B7AD9" w:rsidRPr="00567373">
        <w:t>cut-off for insulin</w:t>
      </w:r>
      <w:r w:rsidR="001B7AD9" w:rsidRPr="00567373">
        <w:rPr>
          <w:vertAlign w:val="subscript"/>
        </w:rPr>
        <w:t>45</w:t>
      </w:r>
      <w:r w:rsidR="001B7AD9" w:rsidRPr="00567373">
        <w:t xml:space="preserve"> </w:t>
      </w:r>
      <w:r w:rsidR="00BA08FB" w:rsidRPr="00567373">
        <w:t>of 100 μIU/m</w:t>
      </w:r>
      <w:r w:rsidR="00DF0923" w:rsidRPr="00567373">
        <w:t>L</w:t>
      </w:r>
      <w:r w:rsidR="00BA08FB" w:rsidRPr="00567373">
        <w:t xml:space="preserve"> was only ever derived by expert opinion </w:t>
      </w:r>
      <w:r w:rsidR="00032B80" w:rsidRPr="00567373">
        <w:t xml:space="preserve">(Frank et al., 2010). </w:t>
      </w:r>
    </w:p>
    <w:p w:rsidR="00F173FB" w:rsidRPr="00567373" w:rsidRDefault="00F173FB" w:rsidP="00E10F86">
      <w:pPr>
        <w:spacing w:line="480" w:lineRule="auto"/>
      </w:pPr>
    </w:p>
    <w:p w:rsidR="00F173FB" w:rsidRPr="00567373" w:rsidRDefault="00F173FB" w:rsidP="00E10F86">
      <w:pPr>
        <w:spacing w:line="480" w:lineRule="auto"/>
        <w:ind w:firstLine="720"/>
      </w:pPr>
      <w:r w:rsidRPr="00567373">
        <w:t xml:space="preserve">Obesity </w:t>
      </w:r>
      <w:r w:rsidR="00D90736" w:rsidRPr="00567373">
        <w:t xml:space="preserve">at the time of initial presentation </w:t>
      </w:r>
      <w:r w:rsidRPr="00567373">
        <w:t xml:space="preserve">was associated with </w:t>
      </w:r>
      <w:r w:rsidR="007C3FBB" w:rsidRPr="00567373">
        <w:t xml:space="preserve">increased odds of </w:t>
      </w:r>
      <w:r w:rsidRPr="00567373">
        <w:t xml:space="preserve">a positive CGIT result, which is unsurprising given </w:t>
      </w:r>
      <w:r w:rsidR="00045E2B" w:rsidRPr="00567373">
        <w:t xml:space="preserve">obesity </w:t>
      </w:r>
      <w:r w:rsidR="00372ADE" w:rsidRPr="00567373">
        <w:t xml:space="preserve">is an important </w:t>
      </w:r>
      <w:r w:rsidR="0015520A" w:rsidRPr="00567373">
        <w:t>predisposing factor</w:t>
      </w:r>
      <w:r w:rsidR="00372ADE" w:rsidRPr="00567373">
        <w:t xml:space="preserve"> for EMS </w:t>
      </w:r>
      <w:r w:rsidR="00032B80" w:rsidRPr="00567373">
        <w:t>(</w:t>
      </w:r>
      <w:r w:rsidR="00AE2A13" w:rsidRPr="00567373">
        <w:t>Durham et al., 2019</w:t>
      </w:r>
      <w:r w:rsidR="00032B80" w:rsidRPr="00567373">
        <w:t xml:space="preserve">). </w:t>
      </w:r>
      <w:r w:rsidRPr="00567373">
        <w:t>The association of obesity with</w:t>
      </w:r>
      <w:r w:rsidR="007C3FBB" w:rsidRPr="00567373">
        <w:t xml:space="preserve"> increased odds of</w:t>
      </w:r>
      <w:r w:rsidRPr="00567373">
        <w:t xml:space="preserve"> a false negative </w:t>
      </w:r>
      <w:r w:rsidR="00E228FF" w:rsidRPr="00567373">
        <w:t>FI</w:t>
      </w:r>
      <w:r w:rsidRPr="00567373">
        <w:t xml:space="preserve"> result </w:t>
      </w:r>
      <w:r w:rsidR="007C3FBB" w:rsidRPr="00567373">
        <w:t xml:space="preserve">may </w:t>
      </w:r>
      <w:r w:rsidR="00B32E7D" w:rsidRPr="00567373">
        <w:t xml:space="preserve">reflect the poor sensitivity of </w:t>
      </w:r>
      <w:r w:rsidR="00E228FF" w:rsidRPr="00567373">
        <w:t>FI</w:t>
      </w:r>
      <w:r w:rsidR="00B32E7D" w:rsidRPr="00567373">
        <w:t xml:space="preserve"> at the 20 μIU/m</w:t>
      </w:r>
      <w:r w:rsidR="00DF0923" w:rsidRPr="00567373">
        <w:t>L</w:t>
      </w:r>
      <w:r w:rsidR="00B32E7D" w:rsidRPr="00567373">
        <w:t xml:space="preserve"> cut-off or could </w:t>
      </w:r>
      <w:r w:rsidR="00372ADE" w:rsidRPr="00567373">
        <w:t xml:space="preserve">potentially </w:t>
      </w:r>
      <w:r w:rsidR="007C3FBB" w:rsidRPr="00567373">
        <w:t xml:space="preserve">be </w:t>
      </w:r>
      <w:r w:rsidR="00B32E7D" w:rsidRPr="00567373">
        <w:t>due to</w:t>
      </w:r>
      <w:r w:rsidR="00372ADE" w:rsidRPr="00567373">
        <w:t xml:space="preserve"> interventions </w:t>
      </w:r>
      <w:r w:rsidR="00B32E7D" w:rsidRPr="00567373">
        <w:t>undertaken by owner</w:t>
      </w:r>
      <w:r w:rsidR="00EB37D3" w:rsidRPr="00567373">
        <w:t>s</w:t>
      </w:r>
      <w:r w:rsidR="00B32E7D" w:rsidRPr="00567373">
        <w:t xml:space="preserve"> prior to presentation</w:t>
      </w:r>
      <w:r w:rsidR="00EB37D3" w:rsidRPr="00567373">
        <w:t xml:space="preserve"> that reduced the degree of fasting hyperinsulinaemia</w:t>
      </w:r>
      <w:r w:rsidR="00B32E7D" w:rsidRPr="00567373">
        <w:t xml:space="preserve"> (e.g. restricting feed intake)</w:t>
      </w:r>
      <w:r w:rsidR="00372ADE" w:rsidRPr="00567373">
        <w:t>.</w:t>
      </w:r>
      <w:r w:rsidR="0047504A" w:rsidRPr="00567373">
        <w:t xml:space="preserve"> Horses with a positive CGIT were older than those with a negative result, which supports previous research showing </w:t>
      </w:r>
      <w:r w:rsidR="00CF6F3B" w:rsidRPr="00567373">
        <w:t xml:space="preserve">that </w:t>
      </w:r>
      <w:r w:rsidR="0047504A" w:rsidRPr="00567373">
        <w:t xml:space="preserve">age is a significant risk factor for hyperinsulinaemia </w:t>
      </w:r>
      <w:r w:rsidR="00032B80" w:rsidRPr="00567373">
        <w:t>(Morgan et al., 2014)</w:t>
      </w:r>
      <w:r w:rsidR="0047504A" w:rsidRPr="00567373">
        <w:t>.</w:t>
      </w:r>
      <w:r w:rsidR="00CF6F3B" w:rsidRPr="00567373">
        <w:t xml:space="preserve"> </w:t>
      </w:r>
      <w:r w:rsidRPr="00567373">
        <w:t xml:space="preserve">The lack of statistically significant associations between </w:t>
      </w:r>
      <w:r w:rsidR="0098495F" w:rsidRPr="00567373">
        <w:t xml:space="preserve">test outcomes and </w:t>
      </w:r>
      <w:r w:rsidR="009270D7" w:rsidRPr="00567373">
        <w:t>breed</w:t>
      </w:r>
      <w:r w:rsidRPr="00567373">
        <w:t>, diet and laminitis status</w:t>
      </w:r>
      <w:r w:rsidR="000310DD" w:rsidRPr="00567373">
        <w:t xml:space="preserve"> </w:t>
      </w:r>
      <w:r w:rsidR="00045E2B" w:rsidRPr="00567373">
        <w:t>may</w:t>
      </w:r>
      <w:r w:rsidRPr="00567373">
        <w:t xml:space="preserve"> reflect a Type II statistical error due to </w:t>
      </w:r>
      <w:r w:rsidR="005908D9" w:rsidRPr="00567373">
        <w:t xml:space="preserve">the small sample size </w:t>
      </w:r>
      <w:r w:rsidR="009F4331" w:rsidRPr="00567373">
        <w:t>(</w:t>
      </w:r>
      <w:r w:rsidR="005908D9" w:rsidRPr="00567373">
        <w:rPr>
          <w:i/>
          <w:iCs/>
        </w:rPr>
        <w:t>n</w:t>
      </w:r>
      <w:r w:rsidR="00AE2A13" w:rsidRPr="00567373">
        <w:t>=</w:t>
      </w:r>
      <w:r w:rsidR="00DF0923" w:rsidRPr="00567373">
        <w:t>62</w:t>
      </w:r>
      <w:r w:rsidR="005908D9" w:rsidRPr="00567373">
        <w:t>)</w:t>
      </w:r>
      <w:r w:rsidR="007766D7" w:rsidRPr="00567373">
        <w:t xml:space="preserve"> </w:t>
      </w:r>
      <w:r w:rsidR="009270D7" w:rsidRPr="00567373">
        <w:t xml:space="preserve">and/or </w:t>
      </w:r>
      <w:r w:rsidR="00045E2B" w:rsidRPr="00567373">
        <w:t xml:space="preserve">the difficulties in </w:t>
      </w:r>
      <w:r w:rsidR="0098495F" w:rsidRPr="00567373">
        <w:t xml:space="preserve">accurately </w:t>
      </w:r>
      <w:r w:rsidR="00045E2B" w:rsidRPr="00567373">
        <w:t>classifying diet based on historical</w:t>
      </w:r>
      <w:r w:rsidR="009270D7" w:rsidRPr="00567373">
        <w:t xml:space="preserve"> clinical records</w:t>
      </w:r>
      <w:r w:rsidRPr="00567373">
        <w:t xml:space="preserve">. The effect </w:t>
      </w:r>
      <w:r w:rsidR="000310DD" w:rsidRPr="00567373">
        <w:t xml:space="preserve">that </w:t>
      </w:r>
      <w:r w:rsidR="009270D7" w:rsidRPr="00567373">
        <w:t>these variables</w:t>
      </w:r>
      <w:r w:rsidR="000310DD" w:rsidRPr="00567373">
        <w:t xml:space="preserve"> have on test </w:t>
      </w:r>
      <w:r w:rsidR="000171C4" w:rsidRPr="00567373">
        <w:t xml:space="preserve">outcome </w:t>
      </w:r>
      <w:r w:rsidRPr="00567373">
        <w:t xml:space="preserve">may be better initially explored in experimental studies </w:t>
      </w:r>
      <w:r w:rsidRPr="00567373">
        <w:lastRenderedPageBreak/>
        <w:t>altering only one variable at a time</w:t>
      </w:r>
      <w:r w:rsidR="000310DD" w:rsidRPr="00567373">
        <w:t xml:space="preserve">, </w:t>
      </w:r>
      <w:r w:rsidRPr="00567373">
        <w:t xml:space="preserve">rather than </w:t>
      </w:r>
      <w:r w:rsidR="003C4AAA" w:rsidRPr="00567373">
        <w:t>in a retrospective case series</w:t>
      </w:r>
      <w:r w:rsidR="000171C4" w:rsidRPr="00567373">
        <w:t xml:space="preserve">, in order to optimise </w:t>
      </w:r>
      <w:r w:rsidR="001F26CD" w:rsidRPr="00567373">
        <w:t xml:space="preserve">the </w:t>
      </w:r>
      <w:r w:rsidR="000171C4" w:rsidRPr="00567373">
        <w:t>test performance</w:t>
      </w:r>
      <w:r w:rsidR="001F26CD" w:rsidRPr="00567373">
        <w:t xml:space="preserve"> of basal insulin</w:t>
      </w:r>
      <w:r w:rsidRPr="00567373">
        <w:t xml:space="preserve">. </w:t>
      </w:r>
    </w:p>
    <w:p w:rsidR="00C96E97" w:rsidRPr="00567373" w:rsidRDefault="00C96E97" w:rsidP="00E10F86">
      <w:pPr>
        <w:spacing w:line="480" w:lineRule="auto"/>
      </w:pPr>
    </w:p>
    <w:p w:rsidR="00336A26" w:rsidRPr="00567373" w:rsidRDefault="00F173FB" w:rsidP="00E10F86">
      <w:pPr>
        <w:spacing w:line="480" w:lineRule="auto"/>
        <w:ind w:firstLine="720"/>
      </w:pPr>
      <w:r w:rsidRPr="00567373">
        <w:t>The inclusion of datasets from experimental studies as well as from client</w:t>
      </w:r>
      <w:r w:rsidR="006C196F" w:rsidRPr="00567373">
        <w:t>-</w:t>
      </w:r>
      <w:r w:rsidRPr="00567373">
        <w:t xml:space="preserve">owned animals presenting for investigation of suspected endocrine disease could be considered </w:t>
      </w:r>
      <w:r w:rsidR="003B742F" w:rsidRPr="00567373">
        <w:t>a study limitation.</w:t>
      </w:r>
      <w:r w:rsidRPr="00567373">
        <w:t xml:space="preserve"> However, the experimental animals were </w:t>
      </w:r>
      <w:r w:rsidR="003B742F" w:rsidRPr="00567373">
        <w:t>acquired</w:t>
      </w:r>
      <w:r w:rsidRPr="00567373">
        <w:t xml:space="preserve"> for the purpose of investigating suspected endocrine disease and were all native breeds acclimatised to pasture management prior to acquisition and managed either at pasture or stabled with access to grass hay or soaked grass hay during studies, thus mirroring conditions for many client</w:t>
      </w:r>
      <w:r w:rsidR="006C196F" w:rsidRPr="00567373">
        <w:t>-</w:t>
      </w:r>
      <w:r w:rsidRPr="00567373">
        <w:t>owned animals</w:t>
      </w:r>
      <w:r w:rsidR="003B742F" w:rsidRPr="00567373">
        <w:t xml:space="preserve"> with endocrinopathic laminitis</w:t>
      </w:r>
      <w:r w:rsidR="003C4AAA" w:rsidRPr="00567373">
        <w:t>,</w:t>
      </w:r>
      <w:r w:rsidR="00336A26" w:rsidRPr="00567373">
        <w:t xml:space="preserve"> such that results can reasonably be extrapolated to client-owned horses</w:t>
      </w:r>
      <w:r w:rsidRPr="00567373">
        <w:t xml:space="preserve">. </w:t>
      </w:r>
      <w:r w:rsidR="00336A26" w:rsidRPr="00567373">
        <w:t>Conversely, i</w:t>
      </w:r>
      <w:r w:rsidR="003B742F" w:rsidRPr="00567373">
        <w:t xml:space="preserve">nvestigation of the effect of baseline diet on test performance </w:t>
      </w:r>
      <w:r w:rsidRPr="00567373">
        <w:t xml:space="preserve">may be limited by </w:t>
      </w:r>
      <w:r w:rsidR="003B742F" w:rsidRPr="00567373">
        <w:t>difficulties in retrospectively categorising diet based on potentially biased owner reporting.</w:t>
      </w:r>
      <w:r w:rsidR="005B774F" w:rsidRPr="00567373">
        <w:t xml:space="preserve"> </w:t>
      </w:r>
      <w:r w:rsidR="000B73B8" w:rsidRPr="00567373">
        <w:t xml:space="preserve">The horses included in the study could have altered insulin </w:t>
      </w:r>
      <w:r w:rsidR="003F0E80" w:rsidRPr="00567373">
        <w:t xml:space="preserve">dynamics compared to ponies, however </w:t>
      </w:r>
      <w:r w:rsidR="001A1E0D" w:rsidRPr="00567373">
        <w:t>the breed distribution is likely to be similar to the</w:t>
      </w:r>
      <w:r w:rsidR="003F0E80" w:rsidRPr="00567373">
        <w:t xml:space="preserve"> population seen</w:t>
      </w:r>
      <w:r w:rsidR="003C4AAA" w:rsidRPr="00567373">
        <w:t xml:space="preserve"> for suspected EMS</w:t>
      </w:r>
      <w:r w:rsidR="003F0E80" w:rsidRPr="00567373">
        <w:t xml:space="preserve"> in clinical practice</w:t>
      </w:r>
      <w:r w:rsidR="00B97910" w:rsidRPr="00567373">
        <w:t xml:space="preserve"> and univariable regression did not identify a</w:t>
      </w:r>
      <w:r w:rsidR="00686A21" w:rsidRPr="00567373">
        <w:t xml:space="preserve"> significant difference in</w:t>
      </w:r>
      <w:r w:rsidR="00B97910" w:rsidRPr="00567373">
        <w:t xml:space="preserve"> odds of a positive CGIT</w:t>
      </w:r>
      <w:r w:rsidR="00686A21" w:rsidRPr="00567373">
        <w:t xml:space="preserve"> in cobs and cold bloods or other horse breeds compared to ponies</w:t>
      </w:r>
      <w:r w:rsidR="003F0E80" w:rsidRPr="00567373">
        <w:t>.</w:t>
      </w:r>
    </w:p>
    <w:p w:rsidR="00336A26" w:rsidRPr="00567373" w:rsidRDefault="00336A26" w:rsidP="00E10F86">
      <w:pPr>
        <w:spacing w:line="480" w:lineRule="auto"/>
      </w:pPr>
    </w:p>
    <w:p w:rsidR="0063550C" w:rsidRPr="00567373" w:rsidRDefault="00336A26" w:rsidP="00E10F86">
      <w:pPr>
        <w:spacing w:line="480" w:lineRule="auto"/>
        <w:ind w:firstLine="720"/>
      </w:pPr>
      <w:r w:rsidRPr="00567373">
        <w:t xml:space="preserve">A further </w:t>
      </w:r>
      <w:r w:rsidR="00C96E97" w:rsidRPr="00567373">
        <w:t xml:space="preserve">limitation of this study </w:t>
      </w:r>
      <w:r w:rsidR="0056770A" w:rsidRPr="00567373">
        <w:t>was</w:t>
      </w:r>
      <w:r w:rsidR="00C96E97" w:rsidRPr="00567373">
        <w:t xml:space="preserve"> that both </w:t>
      </w:r>
      <w:r w:rsidR="00E228FF" w:rsidRPr="00567373">
        <w:t>FI</w:t>
      </w:r>
      <w:r w:rsidR="00C96E97" w:rsidRPr="00567373">
        <w:t xml:space="preserve"> and C</w:t>
      </w:r>
      <w:r w:rsidR="0056770A" w:rsidRPr="00567373">
        <w:t>G</w:t>
      </w:r>
      <w:r w:rsidR="00C96E97" w:rsidRPr="00567373">
        <w:t xml:space="preserve">IT represent </w:t>
      </w:r>
      <w:r w:rsidR="0063550C" w:rsidRPr="00567373">
        <w:t xml:space="preserve">predominantly tissue insulin resistance rather than </w:t>
      </w:r>
      <w:r w:rsidR="00545591" w:rsidRPr="00567373">
        <w:t xml:space="preserve">enteroinsular axis </w:t>
      </w:r>
      <w:r w:rsidR="0063550C" w:rsidRPr="00567373">
        <w:t>derived insulinaemic responses</w:t>
      </w:r>
      <w:r w:rsidRPr="00567373">
        <w:t>, as can be measured with oral dynamic testing</w:t>
      </w:r>
      <w:r w:rsidR="0063550C" w:rsidRPr="00567373">
        <w:t xml:space="preserve">. </w:t>
      </w:r>
      <w:r w:rsidR="00441520" w:rsidRPr="00567373">
        <w:t>The clinical and pathophysiological relevance of investigating the enteroinsular axis doesn’t, however, eliminate the requirement for tests of tissue insulin resistance. P</w:t>
      </w:r>
      <w:r w:rsidR="005B774F" w:rsidRPr="00567373">
        <w:t xml:space="preserve">revious </w:t>
      </w:r>
      <w:r w:rsidRPr="00567373">
        <w:t xml:space="preserve">work </w:t>
      </w:r>
      <w:r w:rsidR="005B774F" w:rsidRPr="00567373">
        <w:t>has shown that the</w:t>
      </w:r>
      <w:r w:rsidR="0063550C" w:rsidRPr="00567373">
        <w:t xml:space="preserve"> CGIT </w:t>
      </w:r>
      <w:r w:rsidRPr="00567373">
        <w:t>has superior sensitivity and specificity to the</w:t>
      </w:r>
      <w:r w:rsidR="0063550C" w:rsidRPr="00567373">
        <w:t xml:space="preserve"> </w:t>
      </w:r>
      <w:r w:rsidR="004746E0" w:rsidRPr="00567373">
        <w:t>oral sugar test (</w:t>
      </w:r>
      <w:r w:rsidR="0063550C" w:rsidRPr="00567373">
        <w:t>OST</w:t>
      </w:r>
      <w:r w:rsidR="00FB19D6">
        <w:t xml:space="preserve">; </w:t>
      </w:r>
      <w:r w:rsidR="00032B80" w:rsidRPr="00567373">
        <w:t>Dunbar et al., 2016)</w:t>
      </w:r>
      <w:r w:rsidRPr="00567373">
        <w:t xml:space="preserve"> and </w:t>
      </w:r>
      <w:r w:rsidR="0063550C" w:rsidRPr="00567373">
        <w:t xml:space="preserve">is more repeatable than oral </w:t>
      </w:r>
      <w:r w:rsidR="0063550C" w:rsidRPr="00567373">
        <w:lastRenderedPageBreak/>
        <w:t xml:space="preserve">tests </w:t>
      </w:r>
      <w:r w:rsidR="00032B80" w:rsidRPr="00567373">
        <w:t>(Bertin and de Laat, 2017)</w:t>
      </w:r>
      <w:r w:rsidR="00AE2A13" w:rsidRPr="00567373">
        <w:t>. The</w:t>
      </w:r>
      <w:r w:rsidRPr="00567373">
        <w:t xml:space="preserve"> CGIT has </w:t>
      </w:r>
      <w:r w:rsidR="00AE2A13" w:rsidRPr="00567373">
        <w:t xml:space="preserve">also </w:t>
      </w:r>
      <w:r w:rsidRPr="00567373">
        <w:t xml:space="preserve">been </w:t>
      </w:r>
      <w:r w:rsidR="0063550C" w:rsidRPr="00567373">
        <w:t xml:space="preserve">used in numerous </w:t>
      </w:r>
      <w:r w:rsidRPr="00567373">
        <w:t>experimental and</w:t>
      </w:r>
      <w:r w:rsidR="0063550C" w:rsidRPr="00567373">
        <w:t xml:space="preserve"> clinical studies</w:t>
      </w:r>
      <w:r w:rsidR="004436F3" w:rsidRPr="00567373">
        <w:t xml:space="preserve"> </w:t>
      </w:r>
      <w:r w:rsidR="00AE2A13" w:rsidRPr="00567373">
        <w:t xml:space="preserve">previously </w:t>
      </w:r>
      <w:r w:rsidR="00032B80" w:rsidRPr="00567373">
        <w:t>(Eiler et al., 2005; Bröjer et al., 2013; McGowan et al., 2013; Morgan et al., 2016; Carslake et al., 2018)</w:t>
      </w:r>
      <w:r w:rsidR="00B93F2D" w:rsidRPr="00567373">
        <w:t>.</w:t>
      </w:r>
      <w:r w:rsidR="00032B80" w:rsidRPr="00567373">
        <w:t xml:space="preserve"> </w:t>
      </w:r>
      <w:r w:rsidR="0063550C" w:rsidRPr="00567373">
        <w:t xml:space="preserve">It has been estimated that the incretin derived component of ID accounts for </w:t>
      </w:r>
      <w:r w:rsidRPr="00567373">
        <w:t xml:space="preserve">less than </w:t>
      </w:r>
      <w:r w:rsidR="0063550C" w:rsidRPr="00567373">
        <w:t xml:space="preserve">23% of the total insulinaemic response </w:t>
      </w:r>
      <w:r w:rsidR="00032B80" w:rsidRPr="00567373">
        <w:t>(</w:t>
      </w:r>
      <w:r w:rsidR="00AE2A13" w:rsidRPr="00567373">
        <w:t>d</w:t>
      </w:r>
      <w:r w:rsidR="00041334" w:rsidRPr="00567373">
        <w:t>e Laat</w:t>
      </w:r>
      <w:r w:rsidR="00686A21" w:rsidRPr="00567373">
        <w:t xml:space="preserve"> et al.</w:t>
      </w:r>
      <w:r w:rsidR="003C4AAA" w:rsidRPr="00567373">
        <w:t>,</w:t>
      </w:r>
      <w:r w:rsidR="00041334" w:rsidRPr="00567373">
        <w:t xml:space="preserve"> 201</w:t>
      </w:r>
      <w:r w:rsidR="00AE2A13" w:rsidRPr="00567373">
        <w:t>6</w:t>
      </w:r>
      <w:r w:rsidR="00032B80" w:rsidRPr="00567373">
        <w:t>)</w:t>
      </w:r>
      <w:r w:rsidR="0063550C" w:rsidRPr="00567373">
        <w:t>.</w:t>
      </w:r>
    </w:p>
    <w:p w:rsidR="003C4AAA" w:rsidRPr="00567373" w:rsidRDefault="003C4AAA" w:rsidP="00E10F86">
      <w:pPr>
        <w:spacing w:line="480" w:lineRule="auto"/>
      </w:pPr>
    </w:p>
    <w:p w:rsidR="003C4AAA" w:rsidRPr="00567373" w:rsidRDefault="003C4AAA" w:rsidP="00E10F86">
      <w:pPr>
        <w:spacing w:line="480" w:lineRule="auto"/>
        <w:ind w:firstLine="720"/>
      </w:pPr>
      <w:r w:rsidRPr="00567373">
        <w:t xml:space="preserve">Previous work has identified non-fasted </w:t>
      </w:r>
      <w:r w:rsidR="00F40048" w:rsidRPr="00567373">
        <w:t>basal insulin</w:t>
      </w:r>
      <w:r w:rsidRPr="00567373">
        <w:t xml:space="preserve"> to be significantly </w:t>
      </w:r>
      <w:r w:rsidR="00A664F4" w:rsidRPr="00567373">
        <w:t>associated</w:t>
      </w:r>
      <w:r w:rsidRPr="00567373">
        <w:t xml:space="preserve"> with the future development of laminitis in the next 1, 2 and 3 years in a large group of ponies under variable owner controlled management conditions (Menzies-Gow et al., 2016). </w:t>
      </w:r>
      <w:r w:rsidR="00441520" w:rsidRPr="00567373">
        <w:t>This study has demonstrated the value of utilising ROC to identify cut-off values appropriate to the testing conditions, rather than extrapolating from observational studies. We identified that a cut-off of 5.2µIU/m</w:t>
      </w:r>
      <w:r w:rsidR="00C20043" w:rsidRPr="00567373">
        <w:t>L</w:t>
      </w:r>
      <w:r w:rsidR="00441520" w:rsidRPr="00567373">
        <w:t xml:space="preserve"> is more appropriate than a cut-off of 20µIU/m</w:t>
      </w:r>
      <w:r w:rsidR="00C20043" w:rsidRPr="00567373">
        <w:t>L</w:t>
      </w:r>
      <w:r w:rsidR="00441520" w:rsidRPr="00567373">
        <w:t xml:space="preserve"> when using a chemiluminescent assay to measure </w:t>
      </w:r>
      <w:r w:rsidR="00B10EFC">
        <w:t>FI</w:t>
      </w:r>
      <w:r w:rsidR="00441520" w:rsidRPr="00567373">
        <w:t xml:space="preserve"> in order to diagnose ID. This contests the concern that FI is a poorly sensitive test, by demonstrating this previous conclusion to be a consequence of an inappropriate cut-off value. However, as this cut-off value is close to the limit of detection of the chemiluminescent assay, increasing the cut-off value by using a shorter fasting period may be beneficial. </w:t>
      </w:r>
      <w:r w:rsidRPr="00567373">
        <w:t xml:space="preserve">Further work is needed to investigate whether </w:t>
      </w:r>
      <w:r w:rsidR="00F40048" w:rsidRPr="00567373">
        <w:t>basal insulin</w:t>
      </w:r>
      <w:r w:rsidRPr="00567373">
        <w:t xml:space="preserve"> test performance is improved when performed on fed or fasted horses and, if fed</w:t>
      </w:r>
      <w:r w:rsidR="00416266">
        <w:t>,</w:t>
      </w:r>
      <w:r w:rsidRPr="00567373">
        <w:t xml:space="preserve"> how to standardise the constituents, volume and time frame of feeding and sampling.</w:t>
      </w:r>
    </w:p>
    <w:p w:rsidR="003B742F" w:rsidRPr="00567373" w:rsidRDefault="0063550C" w:rsidP="00E10F86">
      <w:pPr>
        <w:spacing w:line="480" w:lineRule="auto"/>
      </w:pPr>
      <w:r w:rsidRPr="00567373">
        <w:t xml:space="preserve">  </w:t>
      </w:r>
    </w:p>
    <w:p w:rsidR="00FF393B" w:rsidRPr="00567373" w:rsidRDefault="00FF393B" w:rsidP="00E10F86">
      <w:pPr>
        <w:spacing w:line="480" w:lineRule="auto"/>
      </w:pPr>
      <w:r w:rsidRPr="00567373">
        <w:rPr>
          <w:b/>
        </w:rPr>
        <w:t>Conclusion</w:t>
      </w:r>
      <w:r w:rsidR="000A603F">
        <w:rPr>
          <w:b/>
        </w:rPr>
        <w:t>s</w:t>
      </w:r>
    </w:p>
    <w:p w:rsidR="00F173FB" w:rsidRPr="00567373" w:rsidRDefault="004445F7" w:rsidP="00E10F86">
      <w:pPr>
        <w:spacing w:line="480" w:lineRule="auto"/>
        <w:ind w:firstLine="720"/>
      </w:pPr>
      <w:r w:rsidRPr="00567373">
        <w:t xml:space="preserve">Measurement of </w:t>
      </w:r>
      <w:r w:rsidR="00B10EFC">
        <w:t>FI</w:t>
      </w:r>
      <w:r w:rsidRPr="00567373">
        <w:t xml:space="preserve"> using a chemiluminescent assay is insensitive for the diagnosis of ID at a cut-off of 20 μIU/mL, but more sensitive whilst remaining specific at a cut-off of 5.2 μIU/mL. </w:t>
      </w:r>
      <w:r w:rsidR="00F173FB" w:rsidRPr="00567373">
        <w:t xml:space="preserve">Based on these results, screening for ID </w:t>
      </w:r>
      <w:r w:rsidR="000A626B" w:rsidRPr="00567373">
        <w:t>can be performed using</w:t>
      </w:r>
      <w:r w:rsidR="00F173FB" w:rsidRPr="00567373">
        <w:t xml:space="preserve"> </w:t>
      </w:r>
      <w:r w:rsidR="000A626B" w:rsidRPr="00567373">
        <w:t xml:space="preserve">fasted </w:t>
      </w:r>
      <w:r w:rsidR="00F40048" w:rsidRPr="00567373">
        <w:t>conditions</w:t>
      </w:r>
      <w:r w:rsidR="00F173FB" w:rsidRPr="00567373">
        <w:t xml:space="preserve"> </w:t>
      </w:r>
      <w:r w:rsidR="00AC3A08" w:rsidRPr="00567373">
        <w:lastRenderedPageBreak/>
        <w:t xml:space="preserve">whilst achieving adequate sensitivity </w:t>
      </w:r>
      <w:r w:rsidR="00F173FB" w:rsidRPr="00567373">
        <w:t xml:space="preserve">by lowering the </w:t>
      </w:r>
      <w:r w:rsidR="008F212D" w:rsidRPr="00567373">
        <w:t>cut-off</w:t>
      </w:r>
      <w:r w:rsidR="00F173FB" w:rsidRPr="00567373">
        <w:t xml:space="preserve">. Further work is needed to investigate optimal sampling </w:t>
      </w:r>
      <w:r w:rsidR="003B742F" w:rsidRPr="00567373">
        <w:t xml:space="preserve">conditions for </w:t>
      </w:r>
      <w:r w:rsidR="00B93F2D" w:rsidRPr="00567373">
        <w:t>basal insulin</w:t>
      </w:r>
      <w:r w:rsidR="003B742F" w:rsidRPr="00567373">
        <w:t xml:space="preserve"> testing </w:t>
      </w:r>
      <w:r w:rsidR="00F173FB" w:rsidRPr="00567373">
        <w:t xml:space="preserve">and </w:t>
      </w:r>
      <w:r w:rsidR="00AC3A08" w:rsidRPr="00567373">
        <w:t xml:space="preserve">to identify </w:t>
      </w:r>
      <w:r w:rsidR="00F173FB" w:rsidRPr="00567373">
        <w:t xml:space="preserve">which factors may affect </w:t>
      </w:r>
      <w:r w:rsidR="00AC3A08" w:rsidRPr="00567373">
        <w:t xml:space="preserve">the </w:t>
      </w:r>
      <w:r w:rsidR="00F173FB" w:rsidRPr="00567373">
        <w:t xml:space="preserve">interpretation </w:t>
      </w:r>
      <w:r w:rsidR="003B742F" w:rsidRPr="00567373">
        <w:t>of results.</w:t>
      </w:r>
    </w:p>
    <w:p w:rsidR="00B345BE" w:rsidRPr="00567373" w:rsidRDefault="00B345BE" w:rsidP="00E10F86">
      <w:pPr>
        <w:spacing w:line="480" w:lineRule="auto"/>
      </w:pPr>
    </w:p>
    <w:p w:rsidR="00B345BE" w:rsidRPr="00567373" w:rsidRDefault="00567373" w:rsidP="00E10F86">
      <w:pPr>
        <w:spacing w:line="480" w:lineRule="auto"/>
        <w:rPr>
          <w:b/>
        </w:rPr>
      </w:pPr>
      <w:r>
        <w:rPr>
          <w:b/>
        </w:rPr>
        <w:t>Conflict of interest statement</w:t>
      </w:r>
    </w:p>
    <w:p w:rsidR="00EE28AD" w:rsidRPr="00567373" w:rsidRDefault="000B641A" w:rsidP="00E10F86">
      <w:pPr>
        <w:spacing w:line="480" w:lineRule="auto"/>
        <w:rPr>
          <w:b/>
        </w:rPr>
      </w:pPr>
      <w:r>
        <w:tab/>
      </w:r>
      <w:r w:rsidR="00B345BE" w:rsidRPr="00567373">
        <w:t>N</w:t>
      </w:r>
      <w:r w:rsidR="00BB7901" w:rsidRPr="00567373">
        <w:t>one</w:t>
      </w:r>
      <w:r w:rsidR="001F26CD" w:rsidRPr="00567373">
        <w:t xml:space="preserve"> of the authors has any other financial or personal relationships that could inappropriately influence or bias the content of the paper</w:t>
      </w:r>
      <w:r w:rsidR="00BB7901" w:rsidRPr="00567373">
        <w:t>.</w:t>
      </w:r>
    </w:p>
    <w:p w:rsidR="00EE28AD" w:rsidRPr="00567373" w:rsidRDefault="00EE28AD" w:rsidP="00E10F86">
      <w:pPr>
        <w:spacing w:line="480" w:lineRule="auto"/>
      </w:pPr>
    </w:p>
    <w:p w:rsidR="00EE28AD" w:rsidRPr="00567373" w:rsidRDefault="00567373" w:rsidP="00E10F86">
      <w:pPr>
        <w:spacing w:line="480" w:lineRule="auto"/>
        <w:rPr>
          <w:b/>
        </w:rPr>
      </w:pPr>
      <w:r>
        <w:rPr>
          <w:b/>
        </w:rPr>
        <w:t>Acknowledgements</w:t>
      </w:r>
    </w:p>
    <w:p w:rsidR="00F254AE" w:rsidRPr="00567373" w:rsidRDefault="000B641A" w:rsidP="00E10F86">
      <w:pPr>
        <w:spacing w:line="480" w:lineRule="auto"/>
      </w:pPr>
      <w:r>
        <w:tab/>
      </w:r>
      <w:r w:rsidR="003C437E" w:rsidRPr="00567373">
        <w:t>Preliminary results were reported as an abstract at the British Equine Veterinary Association Congress, 2017.</w:t>
      </w:r>
      <w:r w:rsidR="00A1510A" w:rsidRPr="00567373">
        <w:t xml:space="preserve"> </w:t>
      </w:r>
      <w:r w:rsidR="00F254AE" w:rsidRPr="00567373">
        <w:t xml:space="preserve">The authors would like to acknowledge </w:t>
      </w:r>
      <w:r w:rsidR="00382F90" w:rsidRPr="00567373">
        <w:t xml:space="preserve">Dr </w:t>
      </w:r>
      <w:r w:rsidR="00F254AE" w:rsidRPr="00567373">
        <w:t>T</w:t>
      </w:r>
      <w:r w:rsidR="00382F90" w:rsidRPr="00567373">
        <w:t>h</w:t>
      </w:r>
      <w:r w:rsidR="00F254AE" w:rsidRPr="00567373">
        <w:t>om</w:t>
      </w:r>
      <w:r w:rsidR="00382F90" w:rsidRPr="00567373">
        <w:t>as W.</w:t>
      </w:r>
      <w:r w:rsidR="00F254AE" w:rsidRPr="00567373">
        <w:t xml:space="preserve"> McGowan’s contribution to data analysis.</w:t>
      </w:r>
    </w:p>
    <w:p w:rsidR="00BE26CD" w:rsidRPr="00567373" w:rsidRDefault="00BE26CD" w:rsidP="00E10F86">
      <w:pPr>
        <w:spacing w:line="480" w:lineRule="auto"/>
        <w:rPr>
          <w:b/>
        </w:rPr>
      </w:pPr>
    </w:p>
    <w:p w:rsidR="00B030B9" w:rsidRPr="00567373" w:rsidRDefault="00B030B9" w:rsidP="00303BA1">
      <w:pPr>
        <w:spacing w:after="120"/>
        <w:rPr>
          <w:b/>
        </w:rPr>
      </w:pPr>
      <w:r w:rsidRPr="00567373">
        <w:rPr>
          <w:b/>
        </w:rPr>
        <w:t>References</w:t>
      </w:r>
    </w:p>
    <w:p w:rsidR="00621EDA" w:rsidRDefault="00556003" w:rsidP="00303BA1">
      <w:pPr>
        <w:shd w:val="clear" w:color="auto" w:fill="FFFFFF"/>
      </w:pPr>
      <w:r w:rsidRPr="00567373">
        <w:t>Bertin, F.R.</w:t>
      </w:r>
      <w:r w:rsidR="00EA5D8C" w:rsidRPr="00567373">
        <w:t>,</w:t>
      </w:r>
      <w:r w:rsidRPr="00567373">
        <w:t xml:space="preserve"> de Laat, M.A., </w:t>
      </w:r>
      <w:r w:rsidR="00621EDA" w:rsidRPr="00567373">
        <w:t>2017. The diagnosis of equine insulin dysregulation</w:t>
      </w:r>
      <w:r w:rsidR="00B97910" w:rsidRPr="00567373">
        <w:t>.</w:t>
      </w:r>
      <w:r w:rsidR="00621EDA" w:rsidRPr="00567373">
        <w:t xml:space="preserve"> </w:t>
      </w:r>
      <w:r w:rsidRPr="00567373">
        <w:t xml:space="preserve">Equine </w:t>
      </w:r>
      <w:r w:rsidR="00A20AAE">
        <w:tab/>
      </w:r>
      <w:r w:rsidRPr="00567373">
        <w:t>Veterinary Journal</w:t>
      </w:r>
      <w:r w:rsidR="00621EDA" w:rsidRPr="00567373">
        <w:t xml:space="preserve"> </w:t>
      </w:r>
      <w:r w:rsidRPr="00567373">
        <w:t>49</w:t>
      </w:r>
      <w:r w:rsidR="00EA5D8C" w:rsidRPr="00567373">
        <w:t>,</w:t>
      </w:r>
      <w:r w:rsidRPr="00567373">
        <w:t xml:space="preserve"> 570-576.</w:t>
      </w:r>
    </w:p>
    <w:p w:rsidR="00303BA1" w:rsidRPr="00567373" w:rsidRDefault="00303BA1" w:rsidP="00303BA1">
      <w:pPr>
        <w:shd w:val="clear" w:color="auto" w:fill="FFFFFF"/>
      </w:pPr>
    </w:p>
    <w:p w:rsidR="00621EDA" w:rsidRDefault="00766F02" w:rsidP="00303BA1">
      <w:pPr>
        <w:shd w:val="clear" w:color="auto" w:fill="FFFFFF"/>
        <w:rPr>
          <w:u w:val="single"/>
        </w:rPr>
      </w:pPr>
      <w:r w:rsidRPr="00567373">
        <w:t>Bröjer, J., Lindåse, S., Hedenskog, J., Alvarsson, K., Nostell, K</w:t>
      </w:r>
      <w:r w:rsidR="00EA5D8C" w:rsidRPr="00567373">
        <w:t xml:space="preserve">., </w:t>
      </w:r>
      <w:r w:rsidRPr="00567373">
        <w:t>2013</w:t>
      </w:r>
      <w:r w:rsidR="00EA5D8C" w:rsidRPr="00567373">
        <w:t>.</w:t>
      </w:r>
      <w:r w:rsidRPr="00567373">
        <w:t xml:space="preserve"> Repeatability </w:t>
      </w:r>
      <w:r w:rsidR="00120038" w:rsidRPr="00567373">
        <w:t xml:space="preserve">of the </w:t>
      </w:r>
      <w:r w:rsidR="00A20AAE">
        <w:tab/>
      </w:r>
      <w:r w:rsidR="00120038" w:rsidRPr="00567373">
        <w:t xml:space="preserve">combined glucose-insulin tolerance test and the effect of a stressor before testing in </w:t>
      </w:r>
      <w:r w:rsidR="00A20AAE">
        <w:tab/>
      </w:r>
      <w:r w:rsidR="00120038" w:rsidRPr="00567373">
        <w:t>horses of 2 breeds</w:t>
      </w:r>
      <w:r w:rsidR="00EA5D8C" w:rsidRPr="00567373">
        <w:t>.</w:t>
      </w:r>
      <w:r w:rsidRPr="00567373">
        <w:t xml:space="preserve"> </w:t>
      </w:r>
      <w:r w:rsidR="00556003" w:rsidRPr="00567373">
        <w:t xml:space="preserve">Journal of Veterinary Internal Medicine </w:t>
      </w:r>
      <w:r w:rsidRPr="00567373">
        <w:t>27,</w:t>
      </w:r>
      <w:r w:rsidR="0082659D" w:rsidRPr="00567373">
        <w:t xml:space="preserve"> </w:t>
      </w:r>
      <w:r w:rsidRPr="00567373">
        <w:t>1543-1550.</w:t>
      </w:r>
      <w:r w:rsidR="00556003" w:rsidRPr="00567373">
        <w:rPr>
          <w:u w:val="single"/>
        </w:rPr>
        <w:t xml:space="preserve"> </w:t>
      </w:r>
    </w:p>
    <w:p w:rsidR="00303BA1" w:rsidRPr="00567373" w:rsidRDefault="00303BA1" w:rsidP="00303BA1">
      <w:pPr>
        <w:shd w:val="clear" w:color="auto" w:fill="FFFFFF"/>
        <w:rPr>
          <w:u w:val="single"/>
        </w:rPr>
      </w:pPr>
    </w:p>
    <w:p w:rsidR="00A27016" w:rsidRDefault="00A27016" w:rsidP="00303BA1">
      <w:bookmarkStart w:id="1" w:name="_ENREF_9"/>
      <w:r w:rsidRPr="00567373">
        <w:t>Carroll, C. L.</w:t>
      </w:r>
      <w:r w:rsidR="00EA5D8C" w:rsidRPr="00567373">
        <w:t xml:space="preserve">, </w:t>
      </w:r>
      <w:r w:rsidRPr="00567373">
        <w:t>Huntington, P. J.</w:t>
      </w:r>
      <w:r w:rsidR="00EA5D8C" w:rsidRPr="00567373">
        <w:t>,</w:t>
      </w:r>
      <w:r w:rsidRPr="00567373">
        <w:t xml:space="preserve"> </w:t>
      </w:r>
      <w:r w:rsidR="00556003" w:rsidRPr="00567373">
        <w:t>1988.</w:t>
      </w:r>
      <w:r w:rsidRPr="00567373">
        <w:t xml:space="preserve"> Body condition scoring and weight estimation of </w:t>
      </w:r>
      <w:r w:rsidR="00A20AAE">
        <w:tab/>
      </w:r>
      <w:r w:rsidRPr="00567373">
        <w:t>horses. Equine Veterinary Journal 20, 41-45</w:t>
      </w:r>
      <w:bookmarkEnd w:id="1"/>
      <w:r w:rsidR="00303BA1">
        <w:t>.</w:t>
      </w:r>
    </w:p>
    <w:p w:rsidR="00303BA1" w:rsidRPr="00567373" w:rsidRDefault="00303BA1" w:rsidP="00303BA1"/>
    <w:p w:rsidR="00D76278" w:rsidRDefault="00D76278" w:rsidP="00303BA1">
      <w:r w:rsidRPr="00567373">
        <w:t xml:space="preserve">Carslake, H.B., Pinchbeck, G.L., McGowan, C.M., 2017. Evaluation </w:t>
      </w:r>
      <w:r w:rsidR="00120038" w:rsidRPr="00567373">
        <w:t xml:space="preserve">of a chemiluminescent </w:t>
      </w:r>
      <w:r w:rsidR="00A20AAE">
        <w:tab/>
      </w:r>
      <w:r w:rsidR="00120038" w:rsidRPr="00567373">
        <w:t>immunoassay for measurement of equine insulin</w:t>
      </w:r>
      <w:r w:rsidRPr="00567373">
        <w:t xml:space="preserve">. Journal of Veterinary Internal </w:t>
      </w:r>
      <w:r w:rsidR="00A20AAE">
        <w:tab/>
      </w:r>
      <w:r w:rsidRPr="00567373">
        <w:t>Medicine 31, 568-574.</w:t>
      </w:r>
    </w:p>
    <w:p w:rsidR="00303BA1" w:rsidRPr="00567373" w:rsidRDefault="00303BA1" w:rsidP="00303BA1"/>
    <w:p w:rsidR="00621EDA" w:rsidRDefault="00621EDA" w:rsidP="00303BA1">
      <w:r w:rsidRPr="00567373">
        <w:t>Carslake, H.B., Argo, C.McG</w:t>
      </w:r>
      <w:r w:rsidR="00A1510A" w:rsidRPr="00567373">
        <w:t>.</w:t>
      </w:r>
      <w:r w:rsidRPr="00567373">
        <w:t>, Pinchbeck, G.L., Dugdale, A.H.A., McGowan, C.M</w:t>
      </w:r>
      <w:r w:rsidR="00EA5D8C" w:rsidRPr="00567373">
        <w:t xml:space="preserve">., </w:t>
      </w:r>
      <w:r w:rsidRPr="00567373">
        <w:t>2018</w:t>
      </w:r>
      <w:r w:rsidR="00EA5D8C" w:rsidRPr="00567373">
        <w:t>.</w:t>
      </w:r>
      <w:r w:rsidRPr="00567373">
        <w:t xml:space="preserve"> </w:t>
      </w:r>
      <w:r w:rsidR="00A20AAE">
        <w:tab/>
      </w:r>
      <w:r w:rsidRPr="00567373">
        <w:t>Insulinaemic and glycaemic responses to three forages in ponies</w:t>
      </w:r>
      <w:r w:rsidR="00467DC4" w:rsidRPr="00567373">
        <w:t>.</w:t>
      </w:r>
      <w:r w:rsidRPr="00567373">
        <w:t xml:space="preserve"> </w:t>
      </w:r>
      <w:r w:rsidR="00D30D49" w:rsidRPr="00567373">
        <w:t xml:space="preserve">The Veterinary </w:t>
      </w:r>
      <w:r w:rsidR="00A20AAE">
        <w:tab/>
      </w:r>
      <w:r w:rsidR="00D30D49" w:rsidRPr="00567373">
        <w:t>Journal</w:t>
      </w:r>
      <w:r w:rsidR="00382F90" w:rsidRPr="00567373">
        <w:t xml:space="preserve"> 235, 83-89.</w:t>
      </w:r>
    </w:p>
    <w:p w:rsidR="00303BA1" w:rsidRPr="00567373" w:rsidRDefault="00303BA1" w:rsidP="00303BA1">
      <w:pPr>
        <w:rPr>
          <w:rStyle w:val="Hyperlink"/>
          <w:color w:val="auto"/>
          <w:u w:val="none"/>
        </w:rPr>
      </w:pPr>
    </w:p>
    <w:p w:rsidR="00766F02" w:rsidRDefault="00766F02" w:rsidP="00303BA1">
      <w:pPr>
        <w:shd w:val="clear" w:color="auto" w:fill="FFFFFF"/>
      </w:pPr>
      <w:r w:rsidRPr="00567373">
        <w:t>Carter, R.A., Treiber, K.H., Geor, R.J., Douglass, L., Harris, P.A</w:t>
      </w:r>
      <w:r w:rsidR="00EA5D8C" w:rsidRPr="00567373">
        <w:t xml:space="preserve">., </w:t>
      </w:r>
      <w:r w:rsidRPr="00567373">
        <w:t>2009</w:t>
      </w:r>
      <w:r w:rsidR="00EA5D8C" w:rsidRPr="00567373">
        <w:t>.</w:t>
      </w:r>
      <w:r w:rsidRPr="00567373">
        <w:t xml:space="preserve"> Prediction of </w:t>
      </w:r>
      <w:r w:rsidR="00A20AAE">
        <w:tab/>
      </w:r>
      <w:r w:rsidRPr="00567373">
        <w:t xml:space="preserve">incipient pasture-associated laminitis from hyperinsulinaemia, hyperleptinaemia and </w:t>
      </w:r>
      <w:r w:rsidR="00A20AAE">
        <w:lastRenderedPageBreak/>
        <w:tab/>
      </w:r>
      <w:r w:rsidRPr="00567373">
        <w:t xml:space="preserve">generalised and localised obesity in a cohort of ponies. </w:t>
      </w:r>
      <w:r w:rsidR="00556003" w:rsidRPr="00567373">
        <w:t xml:space="preserve">Equine Veterinary Journal </w:t>
      </w:r>
      <w:r w:rsidRPr="00567373">
        <w:t>41</w:t>
      </w:r>
      <w:r w:rsidR="00556003" w:rsidRPr="00567373">
        <w:t xml:space="preserve">, </w:t>
      </w:r>
      <w:r w:rsidR="00A20AAE">
        <w:tab/>
      </w:r>
      <w:r w:rsidR="00556003" w:rsidRPr="00567373">
        <w:t>171-178.</w:t>
      </w:r>
    </w:p>
    <w:p w:rsidR="00303BA1" w:rsidRPr="00567373" w:rsidRDefault="00303BA1" w:rsidP="00303BA1">
      <w:pPr>
        <w:shd w:val="clear" w:color="auto" w:fill="FFFFFF"/>
      </w:pPr>
    </w:p>
    <w:p w:rsidR="00621EDA" w:rsidRDefault="00621EDA" w:rsidP="00303BA1">
      <w:pPr>
        <w:pStyle w:val="CommentText"/>
        <w:rPr>
          <w:sz w:val="24"/>
          <w:szCs w:val="24"/>
        </w:rPr>
      </w:pPr>
      <w:r w:rsidRPr="00567373">
        <w:rPr>
          <w:sz w:val="24"/>
          <w:szCs w:val="24"/>
        </w:rPr>
        <w:t>de Laat, M.A., McGree, J.M., Sillence, M.N</w:t>
      </w:r>
      <w:r w:rsidR="00EA5D8C" w:rsidRPr="00567373">
        <w:rPr>
          <w:sz w:val="24"/>
          <w:szCs w:val="24"/>
        </w:rPr>
        <w:t xml:space="preserve">., </w:t>
      </w:r>
      <w:r w:rsidRPr="00567373">
        <w:rPr>
          <w:sz w:val="24"/>
          <w:szCs w:val="24"/>
        </w:rPr>
        <w:t>2016</w:t>
      </w:r>
      <w:r w:rsidR="00EA5D8C" w:rsidRPr="00567373">
        <w:rPr>
          <w:sz w:val="24"/>
          <w:szCs w:val="24"/>
        </w:rPr>
        <w:t>.</w:t>
      </w:r>
      <w:r w:rsidRPr="00567373">
        <w:rPr>
          <w:sz w:val="24"/>
          <w:szCs w:val="24"/>
        </w:rPr>
        <w:t xml:space="preserve"> Equine </w:t>
      </w:r>
      <w:r w:rsidR="004C4976" w:rsidRPr="00567373">
        <w:rPr>
          <w:sz w:val="24"/>
          <w:szCs w:val="24"/>
        </w:rPr>
        <w:t xml:space="preserve">hyperinsulinaemia: investigation </w:t>
      </w:r>
      <w:r w:rsidR="00A20AAE">
        <w:rPr>
          <w:sz w:val="24"/>
          <w:szCs w:val="24"/>
        </w:rPr>
        <w:tab/>
      </w:r>
      <w:r w:rsidR="004C4976" w:rsidRPr="00567373">
        <w:rPr>
          <w:sz w:val="24"/>
          <w:szCs w:val="24"/>
        </w:rPr>
        <w:t>of the enteroinsular axis during insulin dysregulation</w:t>
      </w:r>
      <w:r w:rsidRPr="00567373">
        <w:rPr>
          <w:sz w:val="24"/>
          <w:szCs w:val="24"/>
        </w:rPr>
        <w:t xml:space="preserve">. </w:t>
      </w:r>
      <w:r w:rsidR="00AE2A13" w:rsidRPr="00567373">
        <w:rPr>
          <w:iCs/>
          <w:sz w:val="24"/>
          <w:szCs w:val="24"/>
        </w:rPr>
        <w:t xml:space="preserve">American </w:t>
      </w:r>
      <w:r w:rsidR="00BB63F1" w:rsidRPr="00567373">
        <w:rPr>
          <w:iCs/>
          <w:sz w:val="24"/>
          <w:szCs w:val="24"/>
        </w:rPr>
        <w:t>J</w:t>
      </w:r>
      <w:r w:rsidR="00AE2A13" w:rsidRPr="00567373">
        <w:rPr>
          <w:iCs/>
          <w:sz w:val="24"/>
          <w:szCs w:val="24"/>
        </w:rPr>
        <w:t xml:space="preserve">ournal of </w:t>
      </w:r>
      <w:r w:rsidR="00A20AAE">
        <w:rPr>
          <w:iCs/>
          <w:sz w:val="24"/>
          <w:szCs w:val="24"/>
        </w:rPr>
        <w:tab/>
      </w:r>
      <w:r w:rsidR="00BB63F1" w:rsidRPr="00567373">
        <w:rPr>
          <w:iCs/>
          <w:sz w:val="24"/>
          <w:szCs w:val="24"/>
        </w:rPr>
        <w:t>P</w:t>
      </w:r>
      <w:r w:rsidR="00AE2A13" w:rsidRPr="00567373">
        <w:rPr>
          <w:iCs/>
          <w:sz w:val="24"/>
          <w:szCs w:val="24"/>
        </w:rPr>
        <w:t>hysiology</w:t>
      </w:r>
      <w:r w:rsidR="0082659D" w:rsidRPr="00567373">
        <w:rPr>
          <w:iCs/>
          <w:sz w:val="24"/>
          <w:szCs w:val="24"/>
        </w:rPr>
        <w:t xml:space="preserve"> - </w:t>
      </w:r>
      <w:r w:rsidR="00AE2A13" w:rsidRPr="00567373">
        <w:rPr>
          <w:iCs/>
          <w:sz w:val="24"/>
          <w:szCs w:val="24"/>
        </w:rPr>
        <w:t xml:space="preserve">Endocrinology and </w:t>
      </w:r>
      <w:r w:rsidR="00BB63F1" w:rsidRPr="00567373">
        <w:rPr>
          <w:iCs/>
          <w:sz w:val="24"/>
          <w:szCs w:val="24"/>
        </w:rPr>
        <w:t>M</w:t>
      </w:r>
      <w:r w:rsidR="00AE2A13" w:rsidRPr="00567373">
        <w:rPr>
          <w:iCs/>
          <w:sz w:val="24"/>
          <w:szCs w:val="24"/>
        </w:rPr>
        <w:t>etabolism.</w:t>
      </w:r>
      <w:r w:rsidR="00AE2A13" w:rsidRPr="00567373">
        <w:rPr>
          <w:bCs/>
          <w:iCs/>
          <w:sz w:val="24"/>
          <w:szCs w:val="24"/>
        </w:rPr>
        <w:t xml:space="preserve"> </w:t>
      </w:r>
      <w:r w:rsidRPr="00567373">
        <w:rPr>
          <w:bCs/>
          <w:sz w:val="24"/>
          <w:szCs w:val="24"/>
        </w:rPr>
        <w:t>310</w:t>
      </w:r>
      <w:r w:rsidRPr="00567373">
        <w:rPr>
          <w:sz w:val="24"/>
          <w:szCs w:val="24"/>
        </w:rPr>
        <w:t xml:space="preserve">, 61-72. </w:t>
      </w:r>
    </w:p>
    <w:p w:rsidR="00303BA1" w:rsidRPr="00567373" w:rsidRDefault="00303BA1" w:rsidP="00303BA1">
      <w:pPr>
        <w:pStyle w:val="CommentText"/>
        <w:rPr>
          <w:sz w:val="24"/>
          <w:szCs w:val="24"/>
        </w:rPr>
      </w:pPr>
    </w:p>
    <w:p w:rsidR="00621EDA" w:rsidRDefault="00621EDA" w:rsidP="00303BA1">
      <w:r w:rsidRPr="00567373">
        <w:t>Dunbar, L.K., Mielnicki, K.A., Dembek, K.A., Toribio, R.E., Burns, T.A</w:t>
      </w:r>
      <w:r w:rsidR="00EA5D8C" w:rsidRPr="00567373">
        <w:t xml:space="preserve">., </w:t>
      </w:r>
      <w:r w:rsidRPr="00567373">
        <w:t>2016</w:t>
      </w:r>
      <w:r w:rsidR="00EA5D8C" w:rsidRPr="00567373">
        <w:t>.</w:t>
      </w:r>
      <w:r w:rsidRPr="00567373">
        <w:t xml:space="preserve"> Evaluation </w:t>
      </w:r>
      <w:r w:rsidR="00A20AAE">
        <w:tab/>
      </w:r>
      <w:r w:rsidR="004C4976" w:rsidRPr="00567373">
        <w:t>of four diagnostic tests for insulin dysregulation in adult light-breed horses</w:t>
      </w:r>
      <w:r w:rsidR="00467DC4" w:rsidRPr="00567373">
        <w:t>.</w:t>
      </w:r>
      <w:r w:rsidRPr="00567373">
        <w:t xml:space="preserve"> </w:t>
      </w:r>
      <w:r w:rsidR="00556003" w:rsidRPr="00567373">
        <w:t xml:space="preserve">Journal of </w:t>
      </w:r>
      <w:r w:rsidR="00A20AAE">
        <w:tab/>
      </w:r>
      <w:r w:rsidR="00556003" w:rsidRPr="00567373">
        <w:t xml:space="preserve">Veterinary Internal Medicine </w:t>
      </w:r>
      <w:r w:rsidRPr="00567373">
        <w:t>30, 885-891</w:t>
      </w:r>
      <w:r w:rsidR="00556003" w:rsidRPr="00567373">
        <w:t>.</w:t>
      </w:r>
    </w:p>
    <w:p w:rsidR="00303BA1" w:rsidRPr="00567373" w:rsidRDefault="00303BA1" w:rsidP="00303BA1"/>
    <w:p w:rsidR="00041334" w:rsidRPr="00303BA1" w:rsidRDefault="009E1E8F" w:rsidP="00303BA1">
      <w:pPr>
        <w:rPr>
          <w:lang w:eastAsia="en-US"/>
        </w:rPr>
      </w:pPr>
      <w:r w:rsidRPr="00303BA1">
        <w:t xml:space="preserve">Durham, A.E., Frank, N., McGowan, C.M., Menzies-Gow, N.J., Roelfsema, E., Veuvery, I., </w:t>
      </w:r>
      <w:r w:rsidR="00A20AAE" w:rsidRPr="00303BA1">
        <w:tab/>
      </w:r>
      <w:r w:rsidRPr="00303BA1">
        <w:t>Feige, K.</w:t>
      </w:r>
      <w:r w:rsidR="00EA5D8C" w:rsidRPr="00303BA1">
        <w:t>,</w:t>
      </w:r>
      <w:r w:rsidRPr="00303BA1">
        <w:t xml:space="preserve"> Fey, K</w:t>
      </w:r>
      <w:r w:rsidR="00EA5D8C" w:rsidRPr="00303BA1">
        <w:t xml:space="preserve">., </w:t>
      </w:r>
      <w:r w:rsidRPr="00303BA1">
        <w:t>2019</w:t>
      </w:r>
      <w:r w:rsidR="00B97910" w:rsidRPr="00303BA1">
        <w:t xml:space="preserve">. </w:t>
      </w:r>
      <w:r w:rsidRPr="00303BA1">
        <w:t>ECEIM c</w:t>
      </w:r>
      <w:r w:rsidR="004C4976" w:rsidRPr="00303BA1">
        <w:t>onsensus statement on equine metabolic syndrome</w:t>
      </w:r>
      <w:r w:rsidRPr="00303BA1">
        <w:t xml:space="preserve">. </w:t>
      </w:r>
      <w:r w:rsidR="00A20AAE" w:rsidRPr="00303BA1">
        <w:tab/>
      </w:r>
      <w:r w:rsidRPr="00303BA1">
        <w:t>Journal of Veterinary Internal Medicine</w:t>
      </w:r>
      <w:r w:rsidR="00303BA1" w:rsidRPr="00303BA1">
        <w:t xml:space="preserve"> </w:t>
      </w:r>
      <w:r w:rsidR="00303BA1" w:rsidRPr="00303BA1">
        <w:rPr>
          <w:color w:val="000000"/>
          <w:shd w:val="clear" w:color="auto" w:fill="FFFFFF"/>
          <w:lang w:eastAsia="en-US"/>
        </w:rPr>
        <w:t>33, 335-349</w:t>
      </w:r>
      <w:r w:rsidR="00EF273A" w:rsidRPr="00303BA1">
        <w:t>.</w:t>
      </w:r>
    </w:p>
    <w:p w:rsidR="00303BA1" w:rsidRPr="00303BA1" w:rsidRDefault="00303BA1" w:rsidP="00303BA1">
      <w:pPr>
        <w:shd w:val="clear" w:color="auto" w:fill="FFFFFF"/>
      </w:pPr>
    </w:p>
    <w:p w:rsidR="00766F02" w:rsidRDefault="00766F02" w:rsidP="00303BA1">
      <w:r w:rsidRPr="00303BA1">
        <w:t>Eiler, H., Frank, N., Andrews, F.M., Oliver, J.W., Fecteau, K.A</w:t>
      </w:r>
      <w:r w:rsidR="00EA5D8C" w:rsidRPr="00303BA1">
        <w:t xml:space="preserve">., </w:t>
      </w:r>
      <w:r w:rsidRPr="00303BA1">
        <w:t>2005</w:t>
      </w:r>
      <w:r w:rsidR="00EA5D8C" w:rsidRPr="00303BA1">
        <w:t>.</w:t>
      </w:r>
      <w:r w:rsidRPr="00567373">
        <w:t xml:space="preserve"> Physiological </w:t>
      </w:r>
      <w:r w:rsidR="00A20AAE">
        <w:tab/>
      </w:r>
      <w:r w:rsidRPr="00567373">
        <w:t xml:space="preserve">assessment of blood glucose homeostasis via combined intravenous glucose and </w:t>
      </w:r>
      <w:r w:rsidR="00A20AAE">
        <w:tab/>
      </w:r>
      <w:r w:rsidRPr="00567373">
        <w:t>insulin testing in horses</w:t>
      </w:r>
      <w:r w:rsidR="00467DC4" w:rsidRPr="00567373">
        <w:t xml:space="preserve">. American Journal of Veterinary Research </w:t>
      </w:r>
      <w:r w:rsidRPr="00567373">
        <w:t>66, 1598-1604</w:t>
      </w:r>
      <w:r w:rsidR="00382F90" w:rsidRPr="00567373">
        <w:t>.</w:t>
      </w:r>
    </w:p>
    <w:p w:rsidR="00303BA1" w:rsidRPr="00567373" w:rsidRDefault="00303BA1" w:rsidP="00303BA1"/>
    <w:p w:rsidR="00A6597C" w:rsidRDefault="00B030B9" w:rsidP="00303BA1">
      <w:pPr>
        <w:shd w:val="clear" w:color="auto" w:fill="FFFFFF"/>
        <w:ind w:left="567" w:hanging="567"/>
      </w:pPr>
      <w:r w:rsidRPr="00567373">
        <w:t>Frank, N., Geor, R.J, Bailey, S.R., Durham, A.E., Johnson, P.J</w:t>
      </w:r>
      <w:r w:rsidR="00EA5D8C" w:rsidRPr="00567373">
        <w:t xml:space="preserve">., </w:t>
      </w:r>
      <w:r w:rsidRPr="00567373">
        <w:t>2010</w:t>
      </w:r>
      <w:r w:rsidR="00EA5D8C" w:rsidRPr="00567373">
        <w:t>.</w:t>
      </w:r>
      <w:r w:rsidRPr="00567373">
        <w:t xml:space="preserve"> </w:t>
      </w:r>
      <w:r w:rsidR="00D26DBC" w:rsidRPr="00567373">
        <w:t>E</w:t>
      </w:r>
      <w:r w:rsidRPr="00567373">
        <w:t xml:space="preserve">quine </w:t>
      </w:r>
      <w:r w:rsidR="00A20AAE">
        <w:tab/>
      </w:r>
      <w:r w:rsidR="004C4976" w:rsidRPr="00567373">
        <w:t>metabolic syndrome</w:t>
      </w:r>
      <w:r w:rsidR="00A67709" w:rsidRPr="00567373">
        <w:t>.</w:t>
      </w:r>
      <w:r w:rsidRPr="00567373">
        <w:t xml:space="preserve"> </w:t>
      </w:r>
      <w:r w:rsidR="00556003" w:rsidRPr="00567373">
        <w:t>Journal of Veterinary Internal Medicine</w:t>
      </w:r>
      <w:r w:rsidRPr="00567373">
        <w:t xml:space="preserve"> 24, 467-475. </w:t>
      </w:r>
    </w:p>
    <w:p w:rsidR="00303BA1" w:rsidRPr="00567373" w:rsidRDefault="00303BA1" w:rsidP="00303BA1">
      <w:pPr>
        <w:shd w:val="clear" w:color="auto" w:fill="FFFFFF"/>
        <w:ind w:left="567" w:hanging="567"/>
      </w:pPr>
    </w:p>
    <w:p w:rsidR="00621EDA" w:rsidRDefault="00621EDA" w:rsidP="00303BA1">
      <w:r w:rsidRPr="00567373">
        <w:t>Frank, N.</w:t>
      </w:r>
      <w:r w:rsidR="00EA5D8C" w:rsidRPr="00567373">
        <w:t>,</w:t>
      </w:r>
      <w:r w:rsidRPr="00567373">
        <w:t xml:space="preserve"> Tadros, E.M</w:t>
      </w:r>
      <w:r w:rsidR="00EA5D8C" w:rsidRPr="00567373">
        <w:t xml:space="preserve">., </w:t>
      </w:r>
      <w:r w:rsidRPr="00567373">
        <w:t>2014</w:t>
      </w:r>
      <w:r w:rsidR="00EA5D8C" w:rsidRPr="00567373">
        <w:t>.</w:t>
      </w:r>
      <w:r w:rsidRPr="00567373">
        <w:t xml:space="preserve"> Insulin </w:t>
      </w:r>
      <w:r w:rsidR="004C4976" w:rsidRPr="00567373">
        <w:t>dy</w:t>
      </w:r>
      <w:r w:rsidRPr="00567373">
        <w:t>sregulation</w:t>
      </w:r>
      <w:r w:rsidR="00422A69" w:rsidRPr="00567373">
        <w:t>.</w:t>
      </w:r>
      <w:r w:rsidRPr="00567373">
        <w:t xml:space="preserve"> </w:t>
      </w:r>
      <w:r w:rsidR="00D30D49" w:rsidRPr="00567373">
        <w:t>Equine Veterinary Journal</w:t>
      </w:r>
      <w:r w:rsidRPr="00567373">
        <w:t xml:space="preserve">. </w:t>
      </w:r>
      <w:r w:rsidR="00556003" w:rsidRPr="00567373">
        <w:t>46, 103-</w:t>
      </w:r>
      <w:r w:rsidR="00A20AAE">
        <w:tab/>
      </w:r>
      <w:r w:rsidR="00556003" w:rsidRPr="00567373">
        <w:t>122.</w:t>
      </w:r>
    </w:p>
    <w:p w:rsidR="00303BA1" w:rsidRPr="00567373" w:rsidRDefault="00303BA1" w:rsidP="00303BA1"/>
    <w:p w:rsidR="00766F02" w:rsidRDefault="00766F02" w:rsidP="00303BA1">
      <w:r w:rsidRPr="00567373">
        <w:t>Hackett, E.S., McCue, P.M</w:t>
      </w:r>
      <w:r w:rsidR="00EA5D8C" w:rsidRPr="00567373">
        <w:t xml:space="preserve">., </w:t>
      </w:r>
      <w:r w:rsidRPr="00567373">
        <w:t>2010</w:t>
      </w:r>
      <w:r w:rsidR="00EA5D8C" w:rsidRPr="00567373">
        <w:t>.</w:t>
      </w:r>
      <w:r w:rsidRPr="00567373">
        <w:t xml:space="preserve"> Evaluation of a veterinary glucometer for use in horses</w:t>
      </w:r>
      <w:r w:rsidR="00422A69" w:rsidRPr="00567373">
        <w:t>.</w:t>
      </w:r>
      <w:r w:rsidRPr="00567373">
        <w:t xml:space="preserve"> </w:t>
      </w:r>
      <w:r w:rsidR="00A20AAE">
        <w:tab/>
      </w:r>
      <w:r w:rsidR="00556003" w:rsidRPr="00567373">
        <w:t xml:space="preserve">Journal of Veterinary Internal Medicine </w:t>
      </w:r>
      <w:r w:rsidR="00382F90" w:rsidRPr="00567373">
        <w:t>24, 617-621.</w:t>
      </w:r>
    </w:p>
    <w:p w:rsidR="00303BA1" w:rsidRPr="00567373" w:rsidRDefault="00303BA1" w:rsidP="00303BA1"/>
    <w:p w:rsidR="00BB63F1" w:rsidRDefault="00BB63F1" w:rsidP="00303BA1">
      <w:r w:rsidRPr="00567373">
        <w:t xml:space="preserve">Henneke, D.R., Potter, G.D., Kreider, J.L. and Yeates, B.F., 1983. Relationship between </w:t>
      </w:r>
      <w:r w:rsidR="00A20AAE">
        <w:tab/>
      </w:r>
      <w:r w:rsidRPr="00567373">
        <w:t xml:space="preserve">condition score, physical measurements and body fat percentage in mares. Equine </w:t>
      </w:r>
      <w:r w:rsidR="00A20AAE">
        <w:tab/>
      </w:r>
      <w:r w:rsidRPr="00567373">
        <w:t>Veterinary Journal 15, 371-372.</w:t>
      </w:r>
    </w:p>
    <w:p w:rsidR="00303BA1" w:rsidRPr="00567373" w:rsidRDefault="00303BA1" w:rsidP="00303BA1"/>
    <w:p w:rsidR="00BB63F1" w:rsidRDefault="00FC5313" w:rsidP="00303BA1">
      <w:pPr>
        <w:pStyle w:val="CommentText"/>
        <w:rPr>
          <w:sz w:val="24"/>
          <w:szCs w:val="24"/>
        </w:rPr>
      </w:pPr>
      <w:r w:rsidRPr="00567373">
        <w:rPr>
          <w:sz w:val="24"/>
          <w:szCs w:val="24"/>
        </w:rPr>
        <w:t xml:space="preserve">Karikoski, N.P., McGowan, C.M., Singer, E.R., Asplin, K.E., Tulamo, R.M., Patterson-Kane, </w:t>
      </w:r>
      <w:r w:rsidR="00A20AAE">
        <w:rPr>
          <w:sz w:val="24"/>
          <w:szCs w:val="24"/>
        </w:rPr>
        <w:tab/>
      </w:r>
      <w:r w:rsidRPr="00567373">
        <w:rPr>
          <w:sz w:val="24"/>
          <w:szCs w:val="24"/>
        </w:rPr>
        <w:t xml:space="preserve">J.C., 2015. Pathology of natural cases of equine endocrinopathic laminitis associated </w:t>
      </w:r>
      <w:r w:rsidR="00A20AAE">
        <w:rPr>
          <w:sz w:val="24"/>
          <w:szCs w:val="24"/>
        </w:rPr>
        <w:tab/>
      </w:r>
      <w:r w:rsidRPr="00567373">
        <w:rPr>
          <w:sz w:val="24"/>
          <w:szCs w:val="24"/>
        </w:rPr>
        <w:t xml:space="preserve">with hyperinsulinemia. </w:t>
      </w:r>
      <w:r w:rsidRPr="00567373">
        <w:rPr>
          <w:iCs/>
          <w:sz w:val="24"/>
          <w:szCs w:val="24"/>
        </w:rPr>
        <w:t xml:space="preserve">Veterinary </w:t>
      </w:r>
      <w:r w:rsidR="0040056F" w:rsidRPr="00567373">
        <w:rPr>
          <w:iCs/>
          <w:sz w:val="24"/>
          <w:szCs w:val="24"/>
        </w:rPr>
        <w:t>P</w:t>
      </w:r>
      <w:r w:rsidRPr="00567373">
        <w:rPr>
          <w:iCs/>
          <w:sz w:val="24"/>
          <w:szCs w:val="24"/>
        </w:rPr>
        <w:t>athology</w:t>
      </w:r>
      <w:r w:rsidRPr="00567373">
        <w:rPr>
          <w:sz w:val="24"/>
          <w:szCs w:val="24"/>
        </w:rPr>
        <w:t xml:space="preserve"> </w:t>
      </w:r>
      <w:r w:rsidRPr="00567373">
        <w:rPr>
          <w:iCs/>
          <w:sz w:val="24"/>
          <w:szCs w:val="24"/>
        </w:rPr>
        <w:t>52</w:t>
      </w:r>
      <w:r w:rsidRPr="00567373">
        <w:rPr>
          <w:sz w:val="24"/>
          <w:szCs w:val="24"/>
        </w:rPr>
        <w:t xml:space="preserve">, 945-956. </w:t>
      </w:r>
    </w:p>
    <w:p w:rsidR="00303BA1" w:rsidRPr="00567373" w:rsidRDefault="00303BA1" w:rsidP="00303BA1">
      <w:pPr>
        <w:pStyle w:val="CommentText"/>
        <w:rPr>
          <w:sz w:val="24"/>
          <w:szCs w:val="24"/>
        </w:rPr>
      </w:pPr>
    </w:p>
    <w:p w:rsidR="00556003" w:rsidRDefault="00766F02" w:rsidP="00303BA1">
      <w:r w:rsidRPr="00567373">
        <w:t>Menzies-Gow, N.J., Harris, P.A., Elliott, J</w:t>
      </w:r>
      <w:r w:rsidR="00EA5D8C" w:rsidRPr="00567373">
        <w:t xml:space="preserve">., </w:t>
      </w:r>
      <w:r w:rsidRPr="00567373">
        <w:t>2016</w:t>
      </w:r>
      <w:r w:rsidR="00EA5D8C" w:rsidRPr="00567373">
        <w:t>.</w:t>
      </w:r>
      <w:r w:rsidRPr="00567373">
        <w:t xml:space="preserve"> Prospective cohort study evaluating risk </w:t>
      </w:r>
      <w:r w:rsidR="00A20AAE">
        <w:tab/>
      </w:r>
      <w:r w:rsidRPr="00567373">
        <w:t>factors for the development of pasture-associated laminitis in the United Kingdom</w:t>
      </w:r>
      <w:r w:rsidR="00467DC4" w:rsidRPr="00567373">
        <w:t>.</w:t>
      </w:r>
      <w:r w:rsidRPr="00567373">
        <w:t xml:space="preserve"> </w:t>
      </w:r>
      <w:r w:rsidR="00A20AAE">
        <w:tab/>
      </w:r>
      <w:r w:rsidR="00D30D49" w:rsidRPr="00567373">
        <w:t>Equine Veterinary Journal 49</w:t>
      </w:r>
      <w:r w:rsidRPr="00567373">
        <w:t xml:space="preserve">, </w:t>
      </w:r>
      <w:r w:rsidR="00D30D49" w:rsidRPr="00567373">
        <w:t>300-306</w:t>
      </w:r>
      <w:r w:rsidRPr="00567373">
        <w:t xml:space="preserve">. </w:t>
      </w:r>
    </w:p>
    <w:p w:rsidR="00303BA1" w:rsidRPr="00567373" w:rsidRDefault="00303BA1" w:rsidP="00303BA1"/>
    <w:p w:rsidR="00B030B9" w:rsidRDefault="00B030B9" w:rsidP="00303BA1">
      <w:r w:rsidRPr="00567373">
        <w:t>McGowan, C.M., Dugdale, A.H., Pinchbeck, G.L., Argo, C.McG</w:t>
      </w:r>
      <w:r w:rsidR="00EA5D8C" w:rsidRPr="00567373">
        <w:t xml:space="preserve">., </w:t>
      </w:r>
      <w:r w:rsidRPr="00567373">
        <w:t>2013</w:t>
      </w:r>
      <w:r w:rsidR="00EA5D8C" w:rsidRPr="00567373">
        <w:t>.</w:t>
      </w:r>
      <w:r w:rsidRPr="00567373">
        <w:t xml:space="preserve"> Dietary restriction </w:t>
      </w:r>
      <w:r w:rsidR="00A20AAE">
        <w:tab/>
      </w:r>
      <w:r w:rsidRPr="00567373">
        <w:t xml:space="preserve">in combination with a nutraceutical supplement for the management of equine </w:t>
      </w:r>
      <w:r w:rsidR="00A20AAE">
        <w:tab/>
      </w:r>
      <w:r w:rsidRPr="00567373">
        <w:t>metabolic syndrome in horses</w:t>
      </w:r>
      <w:r w:rsidR="00467DC4" w:rsidRPr="00567373">
        <w:t>.</w:t>
      </w:r>
      <w:r w:rsidRPr="00567373">
        <w:t xml:space="preserve"> </w:t>
      </w:r>
      <w:r w:rsidR="00D30D49" w:rsidRPr="00567373">
        <w:t>The Veterinary Journal</w:t>
      </w:r>
      <w:r w:rsidRPr="00567373">
        <w:t xml:space="preserve"> 196</w:t>
      </w:r>
      <w:r w:rsidR="00EA5D8C" w:rsidRPr="00567373">
        <w:t>,</w:t>
      </w:r>
      <w:r w:rsidRPr="00567373">
        <w:t xml:space="preserve"> 153-159. </w:t>
      </w:r>
    </w:p>
    <w:p w:rsidR="00303BA1" w:rsidRPr="00567373" w:rsidRDefault="00303BA1" w:rsidP="00303BA1"/>
    <w:p w:rsidR="00766F02" w:rsidRDefault="00766F02" w:rsidP="00303BA1">
      <w:pPr>
        <w:shd w:val="clear" w:color="auto" w:fill="FFFFFF"/>
      </w:pPr>
      <w:r w:rsidRPr="00567373">
        <w:t>McGregor-Argo, C</w:t>
      </w:r>
      <w:r w:rsidR="00EA5D8C" w:rsidRPr="00567373">
        <w:t xml:space="preserve">., </w:t>
      </w:r>
      <w:r w:rsidRPr="00567373">
        <w:t>2009</w:t>
      </w:r>
      <w:r w:rsidR="00B97910" w:rsidRPr="00567373">
        <w:t xml:space="preserve">. </w:t>
      </w:r>
      <w:r w:rsidRPr="00567373">
        <w:t xml:space="preserve">Appraising the portly pony: body condition and adiposity. The </w:t>
      </w:r>
      <w:r w:rsidR="00A20AAE">
        <w:tab/>
      </w:r>
      <w:r w:rsidRPr="00567373">
        <w:t>Veterinary Journal. 179</w:t>
      </w:r>
      <w:r w:rsidR="00EA5D8C" w:rsidRPr="00567373">
        <w:t>,</w:t>
      </w:r>
      <w:r w:rsidRPr="00567373">
        <w:t xml:space="preserve"> 158-60. </w:t>
      </w:r>
    </w:p>
    <w:p w:rsidR="00303BA1" w:rsidRPr="00567373" w:rsidRDefault="00303BA1" w:rsidP="00303BA1">
      <w:pPr>
        <w:shd w:val="clear" w:color="auto" w:fill="FFFFFF"/>
      </w:pPr>
    </w:p>
    <w:p w:rsidR="00F61B1F" w:rsidRDefault="00B030B9" w:rsidP="00303BA1">
      <w:r w:rsidRPr="00567373">
        <w:lastRenderedPageBreak/>
        <w:t>Morgan, R.A., McGowan, T.W., McGowan, C.M</w:t>
      </w:r>
      <w:r w:rsidR="00EA5D8C" w:rsidRPr="00567373">
        <w:t xml:space="preserve">., </w:t>
      </w:r>
      <w:r w:rsidRPr="00567373">
        <w:t>2014</w:t>
      </w:r>
      <w:r w:rsidR="00EA5D8C" w:rsidRPr="00567373">
        <w:t>.</w:t>
      </w:r>
      <w:r w:rsidRPr="00567373">
        <w:t xml:space="preserve"> Prevalence and risk factors for</w:t>
      </w:r>
      <w:r w:rsidR="00F61B1F" w:rsidRPr="00567373">
        <w:t xml:space="preserve"> </w:t>
      </w:r>
      <w:r w:rsidR="00A20AAE">
        <w:tab/>
      </w:r>
      <w:r w:rsidRPr="00567373">
        <w:t xml:space="preserve">hyperinsulinaemia in ponies in Queensland, Australia.  </w:t>
      </w:r>
      <w:r w:rsidR="00556003" w:rsidRPr="00567373">
        <w:t xml:space="preserve">Australian Veterinary Journal </w:t>
      </w:r>
      <w:r w:rsidR="00A20AAE">
        <w:tab/>
      </w:r>
      <w:r w:rsidRPr="00567373">
        <w:t>92</w:t>
      </w:r>
      <w:r w:rsidR="00EA5D8C" w:rsidRPr="00567373">
        <w:t>,</w:t>
      </w:r>
      <w:r w:rsidRPr="00567373">
        <w:t xml:space="preserve"> 101-6</w:t>
      </w:r>
      <w:r w:rsidR="00EA5D8C" w:rsidRPr="00567373">
        <w:t>.</w:t>
      </w:r>
    </w:p>
    <w:p w:rsidR="00303BA1" w:rsidRPr="00567373" w:rsidRDefault="00303BA1" w:rsidP="00303BA1"/>
    <w:p w:rsidR="009A20EF" w:rsidRDefault="00D13F14" w:rsidP="00303BA1">
      <w:r w:rsidRPr="00567373">
        <w:t>Morgan, R.A., Keen, J.A., McGowan, C.M</w:t>
      </w:r>
      <w:r w:rsidR="00EA5D8C" w:rsidRPr="00567373">
        <w:t xml:space="preserve">., </w:t>
      </w:r>
      <w:r w:rsidRPr="00567373">
        <w:t>2016</w:t>
      </w:r>
      <w:r w:rsidR="00EA5D8C" w:rsidRPr="00567373">
        <w:t>.</w:t>
      </w:r>
      <w:r w:rsidRPr="00567373">
        <w:t xml:space="preserve"> Treatment of equine metabolic syndrome:</w:t>
      </w:r>
      <w:r w:rsidR="00702E9B" w:rsidRPr="00567373">
        <w:t xml:space="preserve"> </w:t>
      </w:r>
      <w:r w:rsidR="00A20AAE">
        <w:tab/>
      </w:r>
      <w:r w:rsidR="004C4976" w:rsidRPr="00567373">
        <w:t>a</w:t>
      </w:r>
      <w:r w:rsidRPr="00567373">
        <w:t xml:space="preserve"> clinical case series</w:t>
      </w:r>
      <w:r w:rsidR="00467DC4" w:rsidRPr="00567373">
        <w:t>.</w:t>
      </w:r>
      <w:r w:rsidRPr="00567373">
        <w:t xml:space="preserve"> </w:t>
      </w:r>
      <w:r w:rsidR="00D30D49" w:rsidRPr="00567373">
        <w:t xml:space="preserve">Equine Veterinary Journal </w:t>
      </w:r>
      <w:r w:rsidRPr="00567373">
        <w:t>48</w:t>
      </w:r>
      <w:r w:rsidR="00556003" w:rsidRPr="00567373">
        <w:t>, 422-426.</w:t>
      </w:r>
    </w:p>
    <w:p w:rsidR="00303BA1" w:rsidRPr="00567373" w:rsidRDefault="00303BA1" w:rsidP="00303BA1"/>
    <w:p w:rsidR="00A1510A" w:rsidRDefault="00A1510A" w:rsidP="00303BA1">
      <w:r w:rsidRPr="00567373">
        <w:t xml:space="preserve">Obel, N., 1948. Studies on </w:t>
      </w:r>
      <w:r w:rsidR="004C4976" w:rsidRPr="00567373">
        <w:t>the histopathology of acute laminitis</w:t>
      </w:r>
      <w:r w:rsidRPr="00567373">
        <w:t xml:space="preserve">. Thesis, Doctor of </w:t>
      </w:r>
      <w:r w:rsidR="00A20AAE">
        <w:tab/>
      </w:r>
      <w:r w:rsidRPr="00567373">
        <w:t xml:space="preserve">Philosophy. Royal Veterinary College and the State Veterinary Medical Institute, </w:t>
      </w:r>
      <w:r w:rsidR="00A20AAE">
        <w:tab/>
      </w:r>
      <w:r w:rsidRPr="00567373">
        <w:t>Uppsala, Sweden.</w:t>
      </w:r>
    </w:p>
    <w:p w:rsidR="00303BA1" w:rsidRPr="00567373" w:rsidRDefault="00303BA1" w:rsidP="00303BA1"/>
    <w:p w:rsidR="00556003" w:rsidRDefault="00766F02" w:rsidP="00303BA1">
      <w:r w:rsidRPr="00567373">
        <w:t>Treiber, K.H., Kronfeld, D.S., Hess, T.M., Byrd, B.</w:t>
      </w:r>
      <w:r w:rsidR="00EA5D8C" w:rsidRPr="00567373">
        <w:t xml:space="preserve">M., Splan, R.K., Staniar, W.B., </w:t>
      </w:r>
      <w:r w:rsidRPr="00567373">
        <w:t xml:space="preserve">2006. </w:t>
      </w:r>
      <w:r w:rsidR="00A20AAE">
        <w:tab/>
      </w:r>
      <w:r w:rsidRPr="00567373">
        <w:t xml:space="preserve">Evaluation of genetic and metabolic predispositions and nutritional risk factors for </w:t>
      </w:r>
      <w:r w:rsidR="00A20AAE">
        <w:tab/>
      </w:r>
      <w:r w:rsidRPr="00567373">
        <w:t>pasture-associated laminitis in ponies</w:t>
      </w:r>
      <w:r w:rsidR="00467DC4" w:rsidRPr="00567373">
        <w:t>.</w:t>
      </w:r>
      <w:r w:rsidRPr="00567373">
        <w:t xml:space="preserve"> </w:t>
      </w:r>
      <w:r w:rsidR="00467DC4" w:rsidRPr="00567373">
        <w:rPr>
          <w:shd w:val="clear" w:color="auto" w:fill="FFFFFF"/>
        </w:rPr>
        <w:t xml:space="preserve">Journal of the American Veterinary Medical </w:t>
      </w:r>
      <w:r w:rsidR="00A20AAE">
        <w:rPr>
          <w:shd w:val="clear" w:color="auto" w:fill="FFFFFF"/>
        </w:rPr>
        <w:tab/>
      </w:r>
      <w:r w:rsidR="00467DC4" w:rsidRPr="00567373">
        <w:rPr>
          <w:shd w:val="clear" w:color="auto" w:fill="FFFFFF"/>
        </w:rPr>
        <w:t>Association</w:t>
      </w:r>
      <w:r w:rsidRPr="00567373">
        <w:t xml:space="preserve"> </w:t>
      </w:r>
      <w:r w:rsidR="00EA5D8C" w:rsidRPr="00567373">
        <w:t>228</w:t>
      </w:r>
      <w:r w:rsidRPr="00567373">
        <w:t xml:space="preserve">, 1538-1545. </w:t>
      </w:r>
    </w:p>
    <w:p w:rsidR="00303BA1" w:rsidRPr="00567373" w:rsidRDefault="00303BA1" w:rsidP="00303BA1"/>
    <w:p w:rsidR="00621EDA" w:rsidRPr="00567373" w:rsidRDefault="00766F02" w:rsidP="00303BA1">
      <w:pPr>
        <w:rPr>
          <w:bCs/>
        </w:rPr>
      </w:pPr>
      <w:r w:rsidRPr="00567373">
        <w:t>van Weeren, P.R., Back, W</w:t>
      </w:r>
      <w:r w:rsidR="00EA5D8C" w:rsidRPr="00567373">
        <w:t xml:space="preserve">., </w:t>
      </w:r>
      <w:r w:rsidRPr="00567373">
        <w:t>2016</w:t>
      </w:r>
      <w:r w:rsidR="00EA5D8C" w:rsidRPr="00567373">
        <w:t>.</w:t>
      </w:r>
      <w:r w:rsidRPr="00567373">
        <w:t xml:space="preserve"> Musculoskeletal </w:t>
      </w:r>
      <w:r w:rsidR="004C4976" w:rsidRPr="00567373">
        <w:t xml:space="preserve">disease in aged horses and its </w:t>
      </w:r>
      <w:r w:rsidR="00A20AAE">
        <w:tab/>
      </w:r>
      <w:r w:rsidR="004C4976" w:rsidRPr="00567373">
        <w:t>management</w:t>
      </w:r>
      <w:r w:rsidRPr="00567373">
        <w:t xml:space="preserve">. </w:t>
      </w:r>
      <w:r w:rsidR="00467DC4" w:rsidRPr="00567373">
        <w:t>Veterinary Clinics of North America: Equine Practice</w:t>
      </w:r>
      <w:r w:rsidRPr="00567373">
        <w:t xml:space="preserve"> 32, 229-247. </w:t>
      </w:r>
    </w:p>
    <w:p w:rsidR="00B02DE3" w:rsidRPr="00567373" w:rsidRDefault="00621EDA" w:rsidP="0027012E">
      <w:pPr>
        <w:spacing w:afterLines="100" w:after="240" w:line="360" w:lineRule="auto"/>
        <w:rPr>
          <w:bCs/>
        </w:rPr>
      </w:pPr>
      <w:r w:rsidRPr="00567373">
        <w:rPr>
          <w:bCs/>
        </w:rPr>
        <w:br w:type="page"/>
      </w:r>
      <w:r w:rsidR="00EE28AD" w:rsidRPr="00E9277E">
        <w:rPr>
          <w:b/>
          <w:bCs/>
        </w:rPr>
        <w:lastRenderedPageBreak/>
        <w:t>T</w:t>
      </w:r>
      <w:r w:rsidR="00B02DE3" w:rsidRPr="00E9277E">
        <w:rPr>
          <w:b/>
          <w:bCs/>
        </w:rPr>
        <w:t>able 1</w:t>
      </w:r>
      <w:r w:rsidR="00FB19D6">
        <w:rPr>
          <w:b/>
          <w:bCs/>
        </w:rPr>
        <w:t>.</w:t>
      </w:r>
      <w:r w:rsidR="00B02DE3" w:rsidRPr="00567373">
        <w:rPr>
          <w:bCs/>
        </w:rPr>
        <w:br/>
      </w:r>
      <w:r w:rsidR="00E228FF" w:rsidRPr="00567373">
        <w:rPr>
          <w:bCs/>
        </w:rPr>
        <w:t>Fasted b</w:t>
      </w:r>
      <w:r w:rsidR="00B02DE3" w:rsidRPr="00567373">
        <w:rPr>
          <w:bCs/>
        </w:rPr>
        <w:t>asal insulin (</w:t>
      </w:r>
      <w:r w:rsidR="00E228FF" w:rsidRPr="00567373">
        <w:rPr>
          <w:bCs/>
        </w:rPr>
        <w:t>FI</w:t>
      </w:r>
      <w:r w:rsidR="00B02DE3" w:rsidRPr="00567373">
        <w:rPr>
          <w:bCs/>
        </w:rPr>
        <w:t xml:space="preserve">) and </w:t>
      </w:r>
      <w:r w:rsidR="007F54F3" w:rsidRPr="00567373">
        <w:rPr>
          <w:bCs/>
        </w:rPr>
        <w:t>c</w:t>
      </w:r>
      <w:r w:rsidR="00B02DE3" w:rsidRPr="00567373">
        <w:rPr>
          <w:bCs/>
        </w:rPr>
        <w:t xml:space="preserve">ombined </w:t>
      </w:r>
      <w:r w:rsidR="007F54F3" w:rsidRPr="00567373">
        <w:rPr>
          <w:bCs/>
        </w:rPr>
        <w:t>g</w:t>
      </w:r>
      <w:r w:rsidR="00B02DE3" w:rsidRPr="00567373">
        <w:rPr>
          <w:bCs/>
        </w:rPr>
        <w:t>lucose</w:t>
      </w:r>
      <w:r w:rsidR="005003BF" w:rsidRPr="00567373">
        <w:rPr>
          <w:bCs/>
        </w:rPr>
        <w:t>-</w:t>
      </w:r>
      <w:r w:rsidR="007F54F3" w:rsidRPr="00567373">
        <w:rPr>
          <w:bCs/>
        </w:rPr>
        <w:t>i</w:t>
      </w:r>
      <w:r w:rsidR="00B02DE3" w:rsidRPr="00567373">
        <w:rPr>
          <w:bCs/>
        </w:rPr>
        <w:t>nsulin</w:t>
      </w:r>
      <w:r w:rsidR="004445F7" w:rsidRPr="00567373">
        <w:rPr>
          <w:bCs/>
        </w:rPr>
        <w:t xml:space="preserve"> </w:t>
      </w:r>
      <w:r w:rsidR="007F54F3" w:rsidRPr="00567373">
        <w:rPr>
          <w:bCs/>
        </w:rPr>
        <w:t>t</w:t>
      </w:r>
      <w:r w:rsidR="00B02DE3" w:rsidRPr="00567373">
        <w:rPr>
          <w:bCs/>
        </w:rPr>
        <w:t>est (CGIT) results</w:t>
      </w:r>
      <w:r w:rsidR="00FB19D6">
        <w:rPr>
          <w:bCs/>
        </w:rPr>
        <w:t>.</w:t>
      </w:r>
    </w:p>
    <w:tbl>
      <w:tblPr>
        <w:tblW w:w="59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16"/>
        <w:gridCol w:w="1756"/>
        <w:gridCol w:w="1863"/>
        <w:gridCol w:w="771"/>
      </w:tblGrid>
      <w:tr w:rsidR="00677123" w:rsidRPr="00567373" w:rsidTr="00FB19D6">
        <w:trPr>
          <w:trHeight w:val="420"/>
        </w:trPr>
        <w:tc>
          <w:tcPr>
            <w:tcW w:w="1516" w:type="dxa"/>
            <w:tcBorders>
              <w:top w:val="single" w:sz="4" w:space="0" w:color="auto"/>
              <w:left w:val="nil"/>
              <w:bottom w:val="single" w:sz="4" w:space="0" w:color="auto"/>
            </w:tcBorders>
            <w:shd w:val="clear" w:color="auto" w:fill="auto"/>
            <w:noWrap/>
            <w:tcMar>
              <w:top w:w="15" w:type="dxa"/>
              <w:left w:w="15" w:type="dxa"/>
              <w:bottom w:w="0" w:type="dxa"/>
              <w:right w:w="15" w:type="dxa"/>
            </w:tcMar>
            <w:vAlign w:val="bottom"/>
            <w:hideMark/>
          </w:tcPr>
          <w:p w:rsidR="00B02DE3" w:rsidRPr="00567373" w:rsidRDefault="00B02DE3">
            <w:pPr>
              <w:spacing w:line="360" w:lineRule="auto"/>
              <w:jc w:val="center"/>
            </w:pPr>
          </w:p>
        </w:tc>
        <w:tc>
          <w:tcPr>
            <w:tcW w:w="1756"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B02DE3" w:rsidRPr="00A20AAE" w:rsidRDefault="00B02DE3">
            <w:pPr>
              <w:spacing w:line="360" w:lineRule="auto"/>
              <w:jc w:val="center"/>
            </w:pPr>
            <w:r w:rsidRPr="00A20AAE">
              <w:t>CGIT positive</w:t>
            </w:r>
          </w:p>
        </w:tc>
        <w:tc>
          <w:tcPr>
            <w:tcW w:w="1863"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B02DE3" w:rsidRPr="00A20AAE" w:rsidRDefault="00B02DE3">
            <w:pPr>
              <w:spacing w:line="360" w:lineRule="auto"/>
              <w:jc w:val="center"/>
            </w:pPr>
            <w:r w:rsidRPr="00A20AAE">
              <w:t>CGIT negative</w:t>
            </w:r>
          </w:p>
        </w:tc>
        <w:tc>
          <w:tcPr>
            <w:tcW w:w="771" w:type="dxa"/>
            <w:tcBorders>
              <w:top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B02DE3" w:rsidRPr="00567373" w:rsidRDefault="00B02DE3">
            <w:pPr>
              <w:spacing w:line="360" w:lineRule="auto"/>
              <w:jc w:val="center"/>
            </w:pPr>
            <w:r w:rsidRPr="00567373">
              <w:t>Total</w:t>
            </w:r>
          </w:p>
        </w:tc>
      </w:tr>
      <w:tr w:rsidR="00677123" w:rsidRPr="00567373" w:rsidTr="00567373">
        <w:trPr>
          <w:trHeight w:val="420"/>
        </w:trPr>
        <w:tc>
          <w:tcPr>
            <w:tcW w:w="0" w:type="auto"/>
            <w:tcBorders>
              <w:top w:val="single" w:sz="4" w:space="0" w:color="auto"/>
              <w:left w:val="nil"/>
            </w:tcBorders>
            <w:shd w:val="clear" w:color="auto" w:fill="FFFFFF" w:themeFill="background1"/>
            <w:noWrap/>
            <w:tcMar>
              <w:top w:w="15" w:type="dxa"/>
              <w:left w:w="15" w:type="dxa"/>
              <w:bottom w:w="0" w:type="dxa"/>
              <w:right w:w="15" w:type="dxa"/>
            </w:tcMar>
            <w:vAlign w:val="bottom"/>
            <w:hideMark/>
          </w:tcPr>
          <w:p w:rsidR="00B02DE3" w:rsidRPr="00A20AAE" w:rsidRDefault="00E228FF" w:rsidP="00807F9C">
            <w:pPr>
              <w:spacing w:line="360" w:lineRule="auto"/>
              <w:jc w:val="center"/>
            </w:pPr>
            <w:r w:rsidRPr="00A20AAE">
              <w:t>FI</w:t>
            </w:r>
            <w:r w:rsidR="00B02DE3" w:rsidRPr="00A20AAE">
              <w:t xml:space="preserve"> positive</w:t>
            </w:r>
          </w:p>
        </w:tc>
        <w:tc>
          <w:tcPr>
            <w:tcW w:w="0" w:type="auto"/>
            <w:tcBorders>
              <w:top w:val="single" w:sz="4" w:space="0" w:color="auto"/>
            </w:tcBorders>
            <w:shd w:val="clear" w:color="auto" w:fill="FFFFFF" w:themeFill="background1"/>
            <w:noWrap/>
            <w:tcMar>
              <w:top w:w="15" w:type="dxa"/>
              <w:left w:w="15" w:type="dxa"/>
              <w:bottom w:w="0" w:type="dxa"/>
              <w:right w:w="15" w:type="dxa"/>
            </w:tcMar>
            <w:vAlign w:val="bottom"/>
            <w:hideMark/>
          </w:tcPr>
          <w:p w:rsidR="00B02DE3" w:rsidRPr="00567373" w:rsidRDefault="00B02DE3">
            <w:pPr>
              <w:spacing w:line="360" w:lineRule="auto"/>
              <w:jc w:val="center"/>
            </w:pPr>
            <w:r w:rsidRPr="00567373">
              <w:t>12</w:t>
            </w:r>
          </w:p>
        </w:tc>
        <w:tc>
          <w:tcPr>
            <w:tcW w:w="0" w:type="auto"/>
            <w:tcBorders>
              <w:top w:val="single" w:sz="4" w:space="0" w:color="auto"/>
            </w:tcBorders>
            <w:shd w:val="clear" w:color="auto" w:fill="FFFFFF" w:themeFill="background1"/>
            <w:noWrap/>
            <w:tcMar>
              <w:top w:w="15" w:type="dxa"/>
              <w:left w:w="15" w:type="dxa"/>
              <w:bottom w:w="0" w:type="dxa"/>
              <w:right w:w="15" w:type="dxa"/>
            </w:tcMar>
            <w:vAlign w:val="bottom"/>
            <w:hideMark/>
          </w:tcPr>
          <w:p w:rsidR="00B02DE3" w:rsidRPr="00567373" w:rsidRDefault="00B02DE3">
            <w:pPr>
              <w:spacing w:line="360" w:lineRule="auto"/>
              <w:jc w:val="center"/>
            </w:pPr>
            <w:r w:rsidRPr="00567373">
              <w:t>0</w:t>
            </w:r>
          </w:p>
        </w:tc>
        <w:tc>
          <w:tcPr>
            <w:tcW w:w="0" w:type="auto"/>
            <w:tcBorders>
              <w:top w:val="single" w:sz="4" w:space="0" w:color="auto"/>
              <w:right w:val="nil"/>
            </w:tcBorders>
            <w:shd w:val="clear" w:color="auto" w:fill="FFFFFF" w:themeFill="background1"/>
            <w:noWrap/>
            <w:tcMar>
              <w:top w:w="15" w:type="dxa"/>
              <w:left w:w="15" w:type="dxa"/>
              <w:bottom w:w="0" w:type="dxa"/>
              <w:right w:w="15" w:type="dxa"/>
            </w:tcMar>
            <w:vAlign w:val="bottom"/>
            <w:hideMark/>
          </w:tcPr>
          <w:p w:rsidR="00B02DE3" w:rsidRPr="00567373" w:rsidRDefault="00B02DE3">
            <w:pPr>
              <w:spacing w:line="360" w:lineRule="auto"/>
              <w:jc w:val="center"/>
            </w:pPr>
            <w:r w:rsidRPr="00567373">
              <w:t>12</w:t>
            </w:r>
          </w:p>
        </w:tc>
      </w:tr>
      <w:tr w:rsidR="00677123" w:rsidRPr="00567373" w:rsidTr="00FB19D6">
        <w:trPr>
          <w:trHeight w:val="420"/>
        </w:trPr>
        <w:tc>
          <w:tcPr>
            <w:tcW w:w="0" w:type="auto"/>
            <w:tcBorders>
              <w:left w:val="nil"/>
              <w:bottom w:val="nil"/>
            </w:tcBorders>
            <w:shd w:val="clear" w:color="auto" w:fill="FFFFFF" w:themeFill="background1"/>
            <w:noWrap/>
            <w:tcMar>
              <w:top w:w="15" w:type="dxa"/>
              <w:left w:w="15" w:type="dxa"/>
              <w:bottom w:w="0" w:type="dxa"/>
              <w:right w:w="15" w:type="dxa"/>
            </w:tcMar>
            <w:vAlign w:val="bottom"/>
            <w:hideMark/>
          </w:tcPr>
          <w:p w:rsidR="00B02DE3" w:rsidRPr="00A20AAE" w:rsidRDefault="00E228FF" w:rsidP="00807F9C">
            <w:pPr>
              <w:spacing w:line="360" w:lineRule="auto"/>
              <w:jc w:val="center"/>
            </w:pPr>
            <w:r w:rsidRPr="00A20AAE">
              <w:t>FI</w:t>
            </w:r>
            <w:r w:rsidR="00B02DE3" w:rsidRPr="00A20AAE">
              <w:t xml:space="preserve"> negative</w:t>
            </w:r>
          </w:p>
        </w:tc>
        <w:tc>
          <w:tcPr>
            <w:tcW w:w="0" w:type="auto"/>
            <w:tcBorders>
              <w:bottom w:val="nil"/>
            </w:tcBorders>
            <w:shd w:val="clear" w:color="auto" w:fill="FFFFFF" w:themeFill="background1"/>
            <w:noWrap/>
            <w:tcMar>
              <w:top w:w="15" w:type="dxa"/>
              <w:left w:w="15" w:type="dxa"/>
              <w:bottom w:w="0" w:type="dxa"/>
              <w:right w:w="15" w:type="dxa"/>
            </w:tcMar>
            <w:vAlign w:val="bottom"/>
            <w:hideMark/>
          </w:tcPr>
          <w:p w:rsidR="00B02DE3" w:rsidRPr="00567373" w:rsidRDefault="00B02DE3">
            <w:pPr>
              <w:spacing w:line="360" w:lineRule="auto"/>
              <w:jc w:val="center"/>
            </w:pPr>
            <w:r w:rsidRPr="00567373">
              <w:t>70</w:t>
            </w:r>
          </w:p>
        </w:tc>
        <w:tc>
          <w:tcPr>
            <w:tcW w:w="0" w:type="auto"/>
            <w:tcBorders>
              <w:bottom w:val="nil"/>
            </w:tcBorders>
            <w:shd w:val="clear" w:color="auto" w:fill="FFFFFF" w:themeFill="background1"/>
            <w:noWrap/>
            <w:tcMar>
              <w:top w:w="15" w:type="dxa"/>
              <w:left w:w="15" w:type="dxa"/>
              <w:bottom w:w="0" w:type="dxa"/>
              <w:right w:w="15" w:type="dxa"/>
            </w:tcMar>
            <w:vAlign w:val="bottom"/>
            <w:hideMark/>
          </w:tcPr>
          <w:p w:rsidR="00B02DE3" w:rsidRPr="00567373" w:rsidRDefault="00B02DE3">
            <w:pPr>
              <w:spacing w:line="360" w:lineRule="auto"/>
              <w:jc w:val="center"/>
            </w:pPr>
            <w:r w:rsidRPr="00567373">
              <w:t>47</w:t>
            </w:r>
          </w:p>
        </w:tc>
        <w:tc>
          <w:tcPr>
            <w:tcW w:w="0" w:type="auto"/>
            <w:tcBorders>
              <w:bottom w:val="nil"/>
              <w:right w:val="nil"/>
            </w:tcBorders>
            <w:shd w:val="clear" w:color="auto" w:fill="FFFFFF" w:themeFill="background1"/>
            <w:noWrap/>
            <w:tcMar>
              <w:top w:w="15" w:type="dxa"/>
              <w:left w:w="15" w:type="dxa"/>
              <w:bottom w:w="0" w:type="dxa"/>
              <w:right w:w="15" w:type="dxa"/>
            </w:tcMar>
            <w:vAlign w:val="bottom"/>
            <w:hideMark/>
          </w:tcPr>
          <w:p w:rsidR="00B02DE3" w:rsidRPr="00567373" w:rsidRDefault="00B02DE3">
            <w:pPr>
              <w:spacing w:line="360" w:lineRule="auto"/>
              <w:jc w:val="center"/>
            </w:pPr>
            <w:r w:rsidRPr="00567373">
              <w:t>117</w:t>
            </w:r>
          </w:p>
        </w:tc>
      </w:tr>
      <w:tr w:rsidR="00677123" w:rsidRPr="00567373" w:rsidTr="00FB19D6">
        <w:trPr>
          <w:trHeight w:val="420"/>
        </w:trPr>
        <w:tc>
          <w:tcPr>
            <w:tcW w:w="0" w:type="auto"/>
            <w:tcBorders>
              <w:top w:val="nil"/>
              <w:left w:val="nil"/>
              <w:bottom w:val="single" w:sz="4" w:space="0" w:color="auto"/>
            </w:tcBorders>
            <w:shd w:val="clear" w:color="auto" w:fill="auto"/>
            <w:noWrap/>
            <w:tcMar>
              <w:top w:w="15" w:type="dxa"/>
              <w:left w:w="15" w:type="dxa"/>
              <w:bottom w:w="0" w:type="dxa"/>
              <w:right w:w="15" w:type="dxa"/>
            </w:tcMar>
            <w:vAlign w:val="bottom"/>
            <w:hideMark/>
          </w:tcPr>
          <w:p w:rsidR="00B02DE3" w:rsidRPr="00567373" w:rsidRDefault="00B02DE3" w:rsidP="00807F9C">
            <w:pPr>
              <w:spacing w:line="360" w:lineRule="auto"/>
              <w:jc w:val="center"/>
            </w:pPr>
            <w:r w:rsidRPr="00567373">
              <w:t>Total</w:t>
            </w:r>
          </w:p>
        </w:tc>
        <w:tc>
          <w:tcPr>
            <w:tcW w:w="0" w:type="auto"/>
            <w:tcBorders>
              <w:top w:val="nil"/>
              <w:bottom w:val="single" w:sz="4" w:space="0" w:color="auto"/>
            </w:tcBorders>
            <w:shd w:val="clear" w:color="auto" w:fill="auto"/>
            <w:noWrap/>
            <w:tcMar>
              <w:top w:w="15" w:type="dxa"/>
              <w:left w:w="15" w:type="dxa"/>
              <w:bottom w:w="0" w:type="dxa"/>
              <w:right w:w="15" w:type="dxa"/>
            </w:tcMar>
            <w:vAlign w:val="bottom"/>
            <w:hideMark/>
          </w:tcPr>
          <w:p w:rsidR="00B02DE3" w:rsidRPr="00567373" w:rsidRDefault="00B02DE3">
            <w:pPr>
              <w:spacing w:line="360" w:lineRule="auto"/>
              <w:jc w:val="center"/>
            </w:pPr>
            <w:r w:rsidRPr="00567373">
              <w:t>82</w:t>
            </w:r>
          </w:p>
        </w:tc>
        <w:tc>
          <w:tcPr>
            <w:tcW w:w="0" w:type="auto"/>
            <w:tcBorders>
              <w:top w:val="nil"/>
              <w:bottom w:val="single" w:sz="4" w:space="0" w:color="auto"/>
            </w:tcBorders>
            <w:shd w:val="clear" w:color="auto" w:fill="auto"/>
            <w:noWrap/>
            <w:tcMar>
              <w:top w:w="15" w:type="dxa"/>
              <w:left w:w="15" w:type="dxa"/>
              <w:bottom w:w="0" w:type="dxa"/>
              <w:right w:w="15" w:type="dxa"/>
            </w:tcMar>
            <w:vAlign w:val="bottom"/>
            <w:hideMark/>
          </w:tcPr>
          <w:p w:rsidR="00B02DE3" w:rsidRPr="00567373" w:rsidRDefault="00B02DE3">
            <w:pPr>
              <w:spacing w:line="360" w:lineRule="auto"/>
              <w:jc w:val="center"/>
            </w:pPr>
            <w:r w:rsidRPr="00567373">
              <w:t>47</w:t>
            </w:r>
          </w:p>
        </w:tc>
        <w:tc>
          <w:tcPr>
            <w:tcW w:w="0" w:type="auto"/>
            <w:tcBorders>
              <w:top w:val="nil"/>
              <w:bottom w:val="single" w:sz="4" w:space="0" w:color="auto"/>
              <w:right w:val="nil"/>
            </w:tcBorders>
            <w:shd w:val="clear" w:color="auto" w:fill="auto"/>
            <w:noWrap/>
            <w:tcMar>
              <w:top w:w="15" w:type="dxa"/>
              <w:left w:w="15" w:type="dxa"/>
              <w:bottom w:w="0" w:type="dxa"/>
              <w:right w:w="15" w:type="dxa"/>
            </w:tcMar>
            <w:vAlign w:val="bottom"/>
            <w:hideMark/>
          </w:tcPr>
          <w:p w:rsidR="00B02DE3" w:rsidRPr="00567373" w:rsidRDefault="00B02DE3">
            <w:pPr>
              <w:spacing w:line="360" w:lineRule="auto"/>
              <w:jc w:val="center"/>
            </w:pPr>
            <w:r w:rsidRPr="00567373">
              <w:t>129</w:t>
            </w:r>
            <w:r w:rsidR="005109C4" w:rsidRPr="00567373">
              <w:rPr>
                <w:vertAlign w:val="superscript"/>
              </w:rPr>
              <w:t>a</w:t>
            </w:r>
          </w:p>
        </w:tc>
      </w:tr>
    </w:tbl>
    <w:p w:rsidR="00120038" w:rsidRPr="00567373" w:rsidRDefault="005109C4" w:rsidP="00120038">
      <w:pPr>
        <w:shd w:val="clear" w:color="auto" w:fill="FFFFFF"/>
        <w:spacing w:before="75" w:after="75" w:line="360" w:lineRule="auto"/>
        <w:rPr>
          <w:bCs/>
        </w:rPr>
      </w:pPr>
      <w:r w:rsidRPr="00567373">
        <w:rPr>
          <w:bCs/>
          <w:vertAlign w:val="superscript"/>
        </w:rPr>
        <w:t>a</w:t>
      </w:r>
      <w:r w:rsidRPr="00567373">
        <w:rPr>
          <w:bCs/>
        </w:rPr>
        <w:t xml:space="preserve"> </w:t>
      </w:r>
      <w:r w:rsidRPr="00567373">
        <w:t>One animal was excluded from this analysis due to absence of FI measurement on the third CGIT test</w:t>
      </w:r>
      <w:r w:rsidR="00120038" w:rsidRPr="00567373">
        <w:rPr>
          <w:b/>
          <w:bCs/>
        </w:rPr>
        <w:br w:type="page"/>
      </w:r>
    </w:p>
    <w:p w:rsidR="00A1510A" w:rsidRPr="00567373" w:rsidRDefault="00A1510A" w:rsidP="00FB19D6">
      <w:pPr>
        <w:spacing w:line="480" w:lineRule="auto"/>
        <w:rPr>
          <w:b/>
          <w:bCs/>
        </w:rPr>
      </w:pPr>
      <w:r w:rsidRPr="00567373">
        <w:rPr>
          <w:b/>
          <w:bCs/>
        </w:rPr>
        <w:lastRenderedPageBreak/>
        <w:t>Figure legends</w:t>
      </w:r>
    </w:p>
    <w:p w:rsidR="00EE28AD" w:rsidRPr="00567373" w:rsidRDefault="001D18E0" w:rsidP="00FB19D6">
      <w:pPr>
        <w:spacing w:line="480" w:lineRule="auto"/>
        <w:rPr>
          <w:bCs/>
        </w:rPr>
      </w:pPr>
      <w:r w:rsidRPr="00567373">
        <w:rPr>
          <w:bCs/>
        </w:rPr>
        <w:t xml:space="preserve">Fig. </w:t>
      </w:r>
      <w:r w:rsidR="00EE28AD" w:rsidRPr="00567373">
        <w:rPr>
          <w:bCs/>
        </w:rPr>
        <w:t>1</w:t>
      </w:r>
      <w:r w:rsidR="0027012E">
        <w:rPr>
          <w:bCs/>
        </w:rPr>
        <w:t xml:space="preserve">. </w:t>
      </w:r>
      <w:r w:rsidR="00EE28AD" w:rsidRPr="00567373">
        <w:rPr>
          <w:bCs/>
        </w:rPr>
        <w:t xml:space="preserve">Scatterplots of fasted basal insulin with A) insulin at 45 </w:t>
      </w:r>
      <w:r w:rsidR="00984E23">
        <w:rPr>
          <w:bCs/>
        </w:rPr>
        <w:t>min</w:t>
      </w:r>
      <w:r w:rsidR="00EE28AD" w:rsidRPr="00567373">
        <w:rPr>
          <w:bCs/>
        </w:rPr>
        <w:t xml:space="preserve"> of the </w:t>
      </w:r>
      <w:r w:rsidR="00E27743" w:rsidRPr="00567373">
        <w:rPr>
          <w:bCs/>
        </w:rPr>
        <w:t>combined glucose-insulin test (</w:t>
      </w:r>
      <w:r w:rsidR="00EE28AD" w:rsidRPr="00567373">
        <w:rPr>
          <w:bCs/>
        </w:rPr>
        <w:t>CGIT</w:t>
      </w:r>
      <w:r w:rsidR="00FB19D6">
        <w:rPr>
          <w:bCs/>
        </w:rPr>
        <w:t xml:space="preserve">; </w:t>
      </w:r>
      <w:r w:rsidR="00EE28AD" w:rsidRPr="00A20AAE">
        <w:rPr>
          <w:bCs/>
          <w:i/>
        </w:rPr>
        <w:t>r</w:t>
      </w:r>
      <w:r w:rsidR="00EE28AD" w:rsidRPr="00567373">
        <w:rPr>
          <w:bCs/>
          <w:vertAlign w:val="subscript"/>
        </w:rPr>
        <w:t>s</w:t>
      </w:r>
      <w:r w:rsidR="00A20AAE">
        <w:rPr>
          <w:bCs/>
        </w:rPr>
        <w:t>=</w:t>
      </w:r>
      <w:r w:rsidR="00EE28AD" w:rsidRPr="00567373">
        <w:rPr>
          <w:bCs/>
        </w:rPr>
        <w:t xml:space="preserve">0.66); B) insulin at 75 </w:t>
      </w:r>
      <w:r w:rsidR="00984E23">
        <w:rPr>
          <w:bCs/>
        </w:rPr>
        <w:t>min</w:t>
      </w:r>
      <w:r w:rsidR="00EE28AD" w:rsidRPr="00567373">
        <w:rPr>
          <w:bCs/>
        </w:rPr>
        <w:t xml:space="preserve"> of the CGIT (</w:t>
      </w:r>
      <w:r w:rsidR="00EE28AD" w:rsidRPr="00A20AAE">
        <w:rPr>
          <w:bCs/>
          <w:i/>
        </w:rPr>
        <w:t>r</w:t>
      </w:r>
      <w:r w:rsidR="00EE28AD" w:rsidRPr="00567373">
        <w:rPr>
          <w:bCs/>
          <w:vertAlign w:val="subscript"/>
        </w:rPr>
        <w:t>s</w:t>
      </w:r>
      <w:r w:rsidR="00A20AAE">
        <w:rPr>
          <w:bCs/>
        </w:rPr>
        <w:t>=</w:t>
      </w:r>
      <w:r w:rsidR="00EE28AD" w:rsidRPr="00567373">
        <w:rPr>
          <w:bCs/>
        </w:rPr>
        <w:t xml:space="preserve">0.72) and C) glucose at 45 </w:t>
      </w:r>
      <w:r w:rsidR="00984E23">
        <w:rPr>
          <w:bCs/>
        </w:rPr>
        <w:t>min</w:t>
      </w:r>
      <w:r w:rsidR="00EE28AD" w:rsidRPr="00567373">
        <w:rPr>
          <w:bCs/>
        </w:rPr>
        <w:t xml:space="preserve"> of the CGIT (</w:t>
      </w:r>
      <w:r w:rsidR="00EE28AD" w:rsidRPr="00A20AAE">
        <w:rPr>
          <w:bCs/>
          <w:i/>
        </w:rPr>
        <w:t>r</w:t>
      </w:r>
      <w:r w:rsidR="00EE28AD" w:rsidRPr="00567373">
        <w:rPr>
          <w:bCs/>
          <w:vertAlign w:val="subscript"/>
        </w:rPr>
        <w:t>s</w:t>
      </w:r>
      <w:r w:rsidR="00A20AAE">
        <w:rPr>
          <w:bCs/>
        </w:rPr>
        <w:t>=</w:t>
      </w:r>
      <w:r w:rsidR="00EE28AD" w:rsidRPr="00567373">
        <w:rPr>
          <w:bCs/>
        </w:rPr>
        <w:t xml:space="preserve">0.53). </w:t>
      </w:r>
      <w:r w:rsidR="00B10EFC">
        <w:rPr>
          <w:bCs/>
        </w:rPr>
        <w:t>T</w:t>
      </w:r>
      <w:r w:rsidR="001F26CD" w:rsidRPr="00567373">
        <w:rPr>
          <w:bCs/>
        </w:rPr>
        <w:t>riangles</w:t>
      </w:r>
      <w:r w:rsidR="00EE28AD" w:rsidRPr="00567373">
        <w:rPr>
          <w:bCs/>
        </w:rPr>
        <w:t xml:space="preserve"> represent samples with a positive result using CGIT cut-offs </w:t>
      </w:r>
      <w:r w:rsidR="00EE28AD" w:rsidRPr="00567373">
        <w:t>(insulin ≥100 μIU/</w:t>
      </w:r>
      <w:r w:rsidR="00382F90" w:rsidRPr="00567373">
        <w:t>mL</w:t>
      </w:r>
      <w:r w:rsidR="00EE28AD" w:rsidRPr="00567373">
        <w:t xml:space="preserve"> and/or glucose &gt; baseline + 1mmol/L at 45 </w:t>
      </w:r>
      <w:r w:rsidR="00984E23">
        <w:t>min</w:t>
      </w:r>
      <w:r w:rsidR="00EE28AD" w:rsidRPr="00567373">
        <w:t xml:space="preserve">); </w:t>
      </w:r>
      <w:r w:rsidR="00B10EFC">
        <w:t>o</w:t>
      </w:r>
      <w:r w:rsidR="001F26CD" w:rsidRPr="00567373">
        <w:t>vals</w:t>
      </w:r>
      <w:r w:rsidR="00EE28AD" w:rsidRPr="00567373">
        <w:t xml:space="preserve"> represent samples with a negative CGIT result. </w:t>
      </w:r>
    </w:p>
    <w:p w:rsidR="006B2323" w:rsidRPr="00567373" w:rsidRDefault="006B2323" w:rsidP="00FB19D6">
      <w:pPr>
        <w:spacing w:line="480" w:lineRule="auto"/>
      </w:pPr>
    </w:p>
    <w:p w:rsidR="005109C4" w:rsidRPr="00567373" w:rsidRDefault="005109C4" w:rsidP="00FB19D6">
      <w:pPr>
        <w:spacing w:line="480" w:lineRule="auto"/>
      </w:pPr>
      <w:r w:rsidRPr="00567373">
        <w:rPr>
          <w:bCs/>
        </w:rPr>
        <w:t>Fig</w:t>
      </w:r>
      <w:r w:rsidR="001D18E0" w:rsidRPr="00567373">
        <w:rPr>
          <w:bCs/>
        </w:rPr>
        <w:t>.</w:t>
      </w:r>
      <w:r w:rsidRPr="00567373">
        <w:rPr>
          <w:bCs/>
        </w:rPr>
        <w:t xml:space="preserve"> 2</w:t>
      </w:r>
      <w:r w:rsidR="0027012E">
        <w:rPr>
          <w:bCs/>
        </w:rPr>
        <w:t xml:space="preserve">. </w:t>
      </w:r>
      <w:r w:rsidR="001D18E0" w:rsidRPr="00567373">
        <w:t>Plot showing sensitivity (</w:t>
      </w:r>
      <w:r w:rsidR="00A1510A" w:rsidRPr="00567373">
        <w:t>solid</w:t>
      </w:r>
      <w:r w:rsidR="001D18E0" w:rsidRPr="00567373">
        <w:t xml:space="preserve"> line) and specificity (</w:t>
      </w:r>
      <w:r w:rsidR="004445F7" w:rsidRPr="00567373">
        <w:t xml:space="preserve">wider </w:t>
      </w:r>
      <w:r w:rsidR="001D18E0" w:rsidRPr="00567373">
        <w:t xml:space="preserve">dotted line) of fasted insulin at a range of cut-off values, with reference to the </w:t>
      </w:r>
      <w:r w:rsidR="001D18E0" w:rsidRPr="00567373">
        <w:rPr>
          <w:bCs/>
        </w:rPr>
        <w:t>combined glucose-insulin test (CGIT)</w:t>
      </w:r>
      <w:r w:rsidR="001D18E0" w:rsidRPr="00567373">
        <w:t xml:space="preserve"> result. The solid black line indicates the recommended cut-off of 20 µIU/m</w:t>
      </w:r>
      <w:r w:rsidR="00B64CB3" w:rsidRPr="00567373">
        <w:t>L</w:t>
      </w:r>
      <w:r w:rsidR="001D18E0" w:rsidRPr="00567373">
        <w:t xml:space="preserve"> and the dashed black line indicates the cut-off derived in this study of 5.2 µIU/m</w:t>
      </w:r>
      <w:r w:rsidR="00B64CB3" w:rsidRPr="00567373">
        <w:t>L</w:t>
      </w:r>
      <w:r w:rsidR="001D18E0" w:rsidRPr="00567373">
        <w:t>.</w:t>
      </w:r>
      <w:r w:rsidR="001D18E0" w:rsidRPr="00567373" w:rsidDel="001D18E0">
        <w:rPr>
          <w:bCs/>
        </w:rPr>
        <w:t xml:space="preserve"> </w:t>
      </w:r>
    </w:p>
    <w:p w:rsidR="00FB19D6" w:rsidRPr="00567373" w:rsidRDefault="00FB19D6" w:rsidP="00FB19D6">
      <w:pPr>
        <w:spacing w:line="480" w:lineRule="auto"/>
      </w:pPr>
    </w:p>
    <w:sectPr w:rsidR="00FB19D6" w:rsidRPr="00567373" w:rsidSect="00610B10">
      <w:pgSz w:w="11906" w:h="16838" w:code="9"/>
      <w:pgMar w:top="1797" w:right="1440" w:bottom="1797"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289" w:rsidRDefault="00B24289" w:rsidP="003C24D9">
      <w:r>
        <w:separator/>
      </w:r>
    </w:p>
  </w:endnote>
  <w:endnote w:type="continuationSeparator" w:id="0">
    <w:p w:rsidR="00B24289" w:rsidRDefault="00B24289" w:rsidP="003C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289" w:rsidRDefault="00B24289" w:rsidP="003C24D9">
      <w:r>
        <w:separator/>
      </w:r>
    </w:p>
  </w:footnote>
  <w:footnote w:type="continuationSeparator" w:id="0">
    <w:p w:rsidR="00B24289" w:rsidRDefault="00B24289" w:rsidP="003C24D9">
      <w:r>
        <w:continuationSeparator/>
      </w:r>
    </w:p>
  </w:footnote>
  <w:footnote w:id="1">
    <w:p w:rsidR="001808B4" w:rsidRPr="00BB51DB" w:rsidRDefault="001808B4" w:rsidP="00BB51DB">
      <w:pPr>
        <w:spacing w:afterLines="100" w:after="240"/>
        <w:rPr>
          <w:sz w:val="20"/>
          <w:szCs w:val="20"/>
        </w:rPr>
      </w:pPr>
      <w:r w:rsidRPr="00BB51DB">
        <w:rPr>
          <w:rStyle w:val="FootnoteReference"/>
          <w:sz w:val="20"/>
          <w:szCs w:val="20"/>
        </w:rPr>
        <w:footnoteRef/>
      </w:r>
      <w:r w:rsidRPr="00BB51DB">
        <w:rPr>
          <w:sz w:val="20"/>
          <w:szCs w:val="20"/>
        </w:rPr>
        <w:t xml:space="preserve"> See: Epitools epidemiological calculators. </w:t>
      </w:r>
      <w:hyperlink r:id="rId1" w:history="1">
        <w:r w:rsidR="00BB51DB" w:rsidRPr="00BB51DB">
          <w:rPr>
            <w:rStyle w:val="Hyperlink"/>
            <w:sz w:val="20"/>
            <w:szCs w:val="20"/>
          </w:rPr>
          <w:t>http://epitools.ausvet.com.au</w:t>
        </w:r>
      </w:hyperlink>
      <w:r w:rsidR="00BB51DB" w:rsidRPr="00BB51DB">
        <w:rPr>
          <w:sz w:val="20"/>
          <w:szCs w:val="20"/>
        </w:rPr>
        <w:t xml:space="preserve"> (A</w:t>
      </w:r>
      <w:r w:rsidRPr="00BB51DB">
        <w:rPr>
          <w:sz w:val="20"/>
          <w:szCs w:val="20"/>
        </w:rPr>
        <w:t xml:space="preserve">ccessed 17 </w:t>
      </w:r>
      <w:r w:rsidR="00073405" w:rsidRPr="00BB51DB">
        <w:rPr>
          <w:sz w:val="20"/>
          <w:szCs w:val="20"/>
        </w:rPr>
        <w:t>January</w:t>
      </w:r>
      <w:r w:rsidRPr="00BB51DB">
        <w:rPr>
          <w:sz w:val="20"/>
          <w:szCs w:val="20"/>
        </w:rPr>
        <w:t xml:space="preserve"> 2019</w:t>
      </w:r>
      <w:r w:rsidR="00BB51DB" w:rsidRPr="00BB51DB">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EC6"/>
    <w:multiLevelType w:val="multilevel"/>
    <w:tmpl w:val="00BC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10CF6"/>
    <w:multiLevelType w:val="multilevel"/>
    <w:tmpl w:val="EA26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7629A3"/>
    <w:multiLevelType w:val="multilevel"/>
    <w:tmpl w:val="0BB0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54A82"/>
    <w:multiLevelType w:val="multilevel"/>
    <w:tmpl w:val="00BC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2166A9"/>
    <w:multiLevelType w:val="multilevel"/>
    <w:tmpl w:val="662E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706D3C"/>
    <w:multiLevelType w:val="multilevel"/>
    <w:tmpl w:val="C378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C24E01"/>
    <w:multiLevelType w:val="multilevel"/>
    <w:tmpl w:val="750E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626CCA"/>
    <w:multiLevelType w:val="multilevel"/>
    <w:tmpl w:val="BCC6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7642AA"/>
    <w:multiLevelType w:val="multilevel"/>
    <w:tmpl w:val="6FE4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047373"/>
    <w:multiLevelType w:val="multilevel"/>
    <w:tmpl w:val="9BBC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170B2B"/>
    <w:multiLevelType w:val="multilevel"/>
    <w:tmpl w:val="1EA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202A8A"/>
    <w:multiLevelType w:val="multilevel"/>
    <w:tmpl w:val="75D6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4A689E"/>
    <w:multiLevelType w:val="multilevel"/>
    <w:tmpl w:val="A24A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C83CFA"/>
    <w:multiLevelType w:val="hybridMultilevel"/>
    <w:tmpl w:val="63C62278"/>
    <w:lvl w:ilvl="0" w:tplc="03C4B996">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5EA52A86"/>
    <w:multiLevelType w:val="multilevel"/>
    <w:tmpl w:val="0B38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4A39E1"/>
    <w:multiLevelType w:val="multilevel"/>
    <w:tmpl w:val="6724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87118D"/>
    <w:multiLevelType w:val="multilevel"/>
    <w:tmpl w:val="F760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D17D21"/>
    <w:multiLevelType w:val="multilevel"/>
    <w:tmpl w:val="2452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9419EF"/>
    <w:multiLevelType w:val="multilevel"/>
    <w:tmpl w:val="4F00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3853E2"/>
    <w:multiLevelType w:val="hybridMultilevel"/>
    <w:tmpl w:val="82DCAF9E"/>
    <w:lvl w:ilvl="0" w:tplc="AFE4614C">
      <w:start w:val="1"/>
      <w:numFmt w:val="bullet"/>
      <w:lvlText w:val="•"/>
      <w:lvlJc w:val="left"/>
      <w:pPr>
        <w:tabs>
          <w:tab w:val="num" w:pos="720"/>
        </w:tabs>
        <w:ind w:left="720" w:hanging="360"/>
      </w:pPr>
      <w:rPr>
        <w:rFonts w:ascii="Arial" w:hAnsi="Arial" w:hint="default"/>
      </w:rPr>
    </w:lvl>
    <w:lvl w:ilvl="1" w:tplc="35E892AC" w:tentative="1">
      <w:start w:val="1"/>
      <w:numFmt w:val="bullet"/>
      <w:lvlText w:val="•"/>
      <w:lvlJc w:val="left"/>
      <w:pPr>
        <w:tabs>
          <w:tab w:val="num" w:pos="1440"/>
        </w:tabs>
        <w:ind w:left="1440" w:hanging="360"/>
      </w:pPr>
      <w:rPr>
        <w:rFonts w:ascii="Arial" w:hAnsi="Arial" w:hint="default"/>
      </w:rPr>
    </w:lvl>
    <w:lvl w:ilvl="2" w:tplc="71B2522A" w:tentative="1">
      <w:start w:val="1"/>
      <w:numFmt w:val="bullet"/>
      <w:lvlText w:val="•"/>
      <w:lvlJc w:val="left"/>
      <w:pPr>
        <w:tabs>
          <w:tab w:val="num" w:pos="2160"/>
        </w:tabs>
        <w:ind w:left="2160" w:hanging="360"/>
      </w:pPr>
      <w:rPr>
        <w:rFonts w:ascii="Arial" w:hAnsi="Arial" w:hint="default"/>
      </w:rPr>
    </w:lvl>
    <w:lvl w:ilvl="3" w:tplc="852A0DEE" w:tentative="1">
      <w:start w:val="1"/>
      <w:numFmt w:val="bullet"/>
      <w:lvlText w:val="•"/>
      <w:lvlJc w:val="left"/>
      <w:pPr>
        <w:tabs>
          <w:tab w:val="num" w:pos="2880"/>
        </w:tabs>
        <w:ind w:left="2880" w:hanging="360"/>
      </w:pPr>
      <w:rPr>
        <w:rFonts w:ascii="Arial" w:hAnsi="Arial" w:hint="default"/>
      </w:rPr>
    </w:lvl>
    <w:lvl w:ilvl="4" w:tplc="A3CC3C12" w:tentative="1">
      <w:start w:val="1"/>
      <w:numFmt w:val="bullet"/>
      <w:lvlText w:val="•"/>
      <w:lvlJc w:val="left"/>
      <w:pPr>
        <w:tabs>
          <w:tab w:val="num" w:pos="3600"/>
        </w:tabs>
        <w:ind w:left="3600" w:hanging="360"/>
      </w:pPr>
      <w:rPr>
        <w:rFonts w:ascii="Arial" w:hAnsi="Arial" w:hint="default"/>
      </w:rPr>
    </w:lvl>
    <w:lvl w:ilvl="5" w:tplc="D66201B2" w:tentative="1">
      <w:start w:val="1"/>
      <w:numFmt w:val="bullet"/>
      <w:lvlText w:val="•"/>
      <w:lvlJc w:val="left"/>
      <w:pPr>
        <w:tabs>
          <w:tab w:val="num" w:pos="4320"/>
        </w:tabs>
        <w:ind w:left="4320" w:hanging="360"/>
      </w:pPr>
      <w:rPr>
        <w:rFonts w:ascii="Arial" w:hAnsi="Arial" w:hint="default"/>
      </w:rPr>
    </w:lvl>
    <w:lvl w:ilvl="6" w:tplc="86B2EC4A" w:tentative="1">
      <w:start w:val="1"/>
      <w:numFmt w:val="bullet"/>
      <w:lvlText w:val="•"/>
      <w:lvlJc w:val="left"/>
      <w:pPr>
        <w:tabs>
          <w:tab w:val="num" w:pos="5040"/>
        </w:tabs>
        <w:ind w:left="5040" w:hanging="360"/>
      </w:pPr>
      <w:rPr>
        <w:rFonts w:ascii="Arial" w:hAnsi="Arial" w:hint="default"/>
      </w:rPr>
    </w:lvl>
    <w:lvl w:ilvl="7" w:tplc="8EA831F0" w:tentative="1">
      <w:start w:val="1"/>
      <w:numFmt w:val="bullet"/>
      <w:lvlText w:val="•"/>
      <w:lvlJc w:val="left"/>
      <w:pPr>
        <w:tabs>
          <w:tab w:val="num" w:pos="5760"/>
        </w:tabs>
        <w:ind w:left="5760" w:hanging="360"/>
      </w:pPr>
      <w:rPr>
        <w:rFonts w:ascii="Arial" w:hAnsi="Arial" w:hint="default"/>
      </w:rPr>
    </w:lvl>
    <w:lvl w:ilvl="8" w:tplc="2E829F0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ED5FC9"/>
    <w:multiLevelType w:val="multilevel"/>
    <w:tmpl w:val="DD4C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E31E2B"/>
    <w:multiLevelType w:val="multilevel"/>
    <w:tmpl w:val="3148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4E1452"/>
    <w:multiLevelType w:val="hybridMultilevel"/>
    <w:tmpl w:val="9FEC92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464A4B"/>
    <w:multiLevelType w:val="multilevel"/>
    <w:tmpl w:val="D21E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11407B"/>
    <w:multiLevelType w:val="hybridMultilevel"/>
    <w:tmpl w:val="FB408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5D22A7"/>
    <w:multiLevelType w:val="multilevel"/>
    <w:tmpl w:val="2F90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776C28"/>
    <w:multiLevelType w:val="multilevel"/>
    <w:tmpl w:val="BB24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1"/>
  </w:num>
  <w:num w:numId="3">
    <w:abstractNumId w:val="11"/>
  </w:num>
  <w:num w:numId="4">
    <w:abstractNumId w:val="0"/>
  </w:num>
  <w:num w:numId="5">
    <w:abstractNumId w:val="3"/>
  </w:num>
  <w:num w:numId="6">
    <w:abstractNumId w:val="19"/>
  </w:num>
  <w:num w:numId="7">
    <w:abstractNumId w:val="17"/>
  </w:num>
  <w:num w:numId="8">
    <w:abstractNumId w:val="1"/>
  </w:num>
  <w:num w:numId="9">
    <w:abstractNumId w:val="6"/>
  </w:num>
  <w:num w:numId="10">
    <w:abstractNumId w:val="25"/>
  </w:num>
  <w:num w:numId="11">
    <w:abstractNumId w:val="4"/>
  </w:num>
  <w:num w:numId="12">
    <w:abstractNumId w:val="20"/>
  </w:num>
  <w:num w:numId="13">
    <w:abstractNumId w:val="23"/>
  </w:num>
  <w:num w:numId="14">
    <w:abstractNumId w:val="10"/>
  </w:num>
  <w:num w:numId="15">
    <w:abstractNumId w:val="14"/>
  </w:num>
  <w:num w:numId="16">
    <w:abstractNumId w:val="9"/>
  </w:num>
  <w:num w:numId="17">
    <w:abstractNumId w:val="15"/>
  </w:num>
  <w:num w:numId="18">
    <w:abstractNumId w:val="16"/>
  </w:num>
  <w:num w:numId="19">
    <w:abstractNumId w:val="2"/>
  </w:num>
  <w:num w:numId="20">
    <w:abstractNumId w:val="5"/>
  </w:num>
  <w:num w:numId="21">
    <w:abstractNumId w:val="18"/>
  </w:num>
  <w:num w:numId="22">
    <w:abstractNumId w:val="8"/>
  </w:num>
  <w:num w:numId="23">
    <w:abstractNumId w:val="7"/>
  </w:num>
  <w:num w:numId="24">
    <w:abstractNumId w:val="12"/>
  </w:num>
  <w:num w:numId="25">
    <w:abstractNumId w:val="22"/>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DC"/>
    <w:rsid w:val="00001F78"/>
    <w:rsid w:val="00002A92"/>
    <w:rsid w:val="00004D11"/>
    <w:rsid w:val="00005EBD"/>
    <w:rsid w:val="00011E4C"/>
    <w:rsid w:val="00016694"/>
    <w:rsid w:val="000171C4"/>
    <w:rsid w:val="00021D25"/>
    <w:rsid w:val="000221BA"/>
    <w:rsid w:val="00023A67"/>
    <w:rsid w:val="0002602A"/>
    <w:rsid w:val="0002780B"/>
    <w:rsid w:val="000310DD"/>
    <w:rsid w:val="00031431"/>
    <w:rsid w:val="00031777"/>
    <w:rsid w:val="000324F6"/>
    <w:rsid w:val="00032B80"/>
    <w:rsid w:val="00036DBE"/>
    <w:rsid w:val="00041334"/>
    <w:rsid w:val="000434FD"/>
    <w:rsid w:val="00043928"/>
    <w:rsid w:val="00045D6C"/>
    <w:rsid w:val="00045E2B"/>
    <w:rsid w:val="00046022"/>
    <w:rsid w:val="00047366"/>
    <w:rsid w:val="000548C0"/>
    <w:rsid w:val="00054AD2"/>
    <w:rsid w:val="00054CB7"/>
    <w:rsid w:val="000552DB"/>
    <w:rsid w:val="000567E8"/>
    <w:rsid w:val="00061192"/>
    <w:rsid w:val="000613AA"/>
    <w:rsid w:val="000648D9"/>
    <w:rsid w:val="00073405"/>
    <w:rsid w:val="00074561"/>
    <w:rsid w:val="0007466C"/>
    <w:rsid w:val="00074A50"/>
    <w:rsid w:val="00074BE9"/>
    <w:rsid w:val="00075D0A"/>
    <w:rsid w:val="000774FF"/>
    <w:rsid w:val="00082385"/>
    <w:rsid w:val="00082C76"/>
    <w:rsid w:val="00083FBE"/>
    <w:rsid w:val="000862E2"/>
    <w:rsid w:val="00087F6A"/>
    <w:rsid w:val="0009343D"/>
    <w:rsid w:val="00095640"/>
    <w:rsid w:val="00096254"/>
    <w:rsid w:val="00097D8F"/>
    <w:rsid w:val="000A3594"/>
    <w:rsid w:val="000A603F"/>
    <w:rsid w:val="000A626B"/>
    <w:rsid w:val="000A7652"/>
    <w:rsid w:val="000A7FA3"/>
    <w:rsid w:val="000B1C93"/>
    <w:rsid w:val="000B2482"/>
    <w:rsid w:val="000B293C"/>
    <w:rsid w:val="000B317B"/>
    <w:rsid w:val="000B641A"/>
    <w:rsid w:val="000B73B8"/>
    <w:rsid w:val="000B768F"/>
    <w:rsid w:val="000C0E0C"/>
    <w:rsid w:val="000C1F1C"/>
    <w:rsid w:val="000C2AD1"/>
    <w:rsid w:val="000C32CF"/>
    <w:rsid w:val="000C4351"/>
    <w:rsid w:val="000C6816"/>
    <w:rsid w:val="000C78F6"/>
    <w:rsid w:val="000D2816"/>
    <w:rsid w:val="000D2C1E"/>
    <w:rsid w:val="000D6AC2"/>
    <w:rsid w:val="000D6B42"/>
    <w:rsid w:val="000E5FA2"/>
    <w:rsid w:val="000E63D7"/>
    <w:rsid w:val="000E7A64"/>
    <w:rsid w:val="000F498A"/>
    <w:rsid w:val="000F54E3"/>
    <w:rsid w:val="000F690B"/>
    <w:rsid w:val="000F7C73"/>
    <w:rsid w:val="00100E90"/>
    <w:rsid w:val="001027E4"/>
    <w:rsid w:val="00103F7B"/>
    <w:rsid w:val="0010438B"/>
    <w:rsid w:val="00111F98"/>
    <w:rsid w:val="001151FC"/>
    <w:rsid w:val="00117ED0"/>
    <w:rsid w:val="00120038"/>
    <w:rsid w:val="00120B37"/>
    <w:rsid w:val="00121CF4"/>
    <w:rsid w:val="00124095"/>
    <w:rsid w:val="001248E8"/>
    <w:rsid w:val="00125789"/>
    <w:rsid w:val="001264D6"/>
    <w:rsid w:val="0013039E"/>
    <w:rsid w:val="00132576"/>
    <w:rsid w:val="00132AAD"/>
    <w:rsid w:val="0013641C"/>
    <w:rsid w:val="0014085E"/>
    <w:rsid w:val="0014100F"/>
    <w:rsid w:val="001445C6"/>
    <w:rsid w:val="00150007"/>
    <w:rsid w:val="00154143"/>
    <w:rsid w:val="0015520A"/>
    <w:rsid w:val="00157B25"/>
    <w:rsid w:val="00160F2E"/>
    <w:rsid w:val="00161807"/>
    <w:rsid w:val="00165E29"/>
    <w:rsid w:val="00166BC1"/>
    <w:rsid w:val="001672F9"/>
    <w:rsid w:val="001705DE"/>
    <w:rsid w:val="0017208E"/>
    <w:rsid w:val="00172CA1"/>
    <w:rsid w:val="001756DD"/>
    <w:rsid w:val="00176315"/>
    <w:rsid w:val="0017716D"/>
    <w:rsid w:val="00180258"/>
    <w:rsid w:val="0018071E"/>
    <w:rsid w:val="001808B4"/>
    <w:rsid w:val="00182811"/>
    <w:rsid w:val="00182D82"/>
    <w:rsid w:val="0018413A"/>
    <w:rsid w:val="0018701A"/>
    <w:rsid w:val="00193F5B"/>
    <w:rsid w:val="001973DC"/>
    <w:rsid w:val="001A1E0D"/>
    <w:rsid w:val="001A56DA"/>
    <w:rsid w:val="001A6CC5"/>
    <w:rsid w:val="001B00BE"/>
    <w:rsid w:val="001B1A04"/>
    <w:rsid w:val="001B45BB"/>
    <w:rsid w:val="001B5EE6"/>
    <w:rsid w:val="001B61AE"/>
    <w:rsid w:val="001B745B"/>
    <w:rsid w:val="001B7AD9"/>
    <w:rsid w:val="001C1106"/>
    <w:rsid w:val="001C2335"/>
    <w:rsid w:val="001C65E8"/>
    <w:rsid w:val="001D0975"/>
    <w:rsid w:val="001D18E0"/>
    <w:rsid w:val="001D1A40"/>
    <w:rsid w:val="001D425A"/>
    <w:rsid w:val="001D6059"/>
    <w:rsid w:val="001D7770"/>
    <w:rsid w:val="001E3D01"/>
    <w:rsid w:val="001E504F"/>
    <w:rsid w:val="001E6E99"/>
    <w:rsid w:val="001E7CF0"/>
    <w:rsid w:val="001F0EDD"/>
    <w:rsid w:val="001F26CD"/>
    <w:rsid w:val="001F4E9B"/>
    <w:rsid w:val="001F7103"/>
    <w:rsid w:val="00202125"/>
    <w:rsid w:val="00205E68"/>
    <w:rsid w:val="00206745"/>
    <w:rsid w:val="0020695A"/>
    <w:rsid w:val="0021029B"/>
    <w:rsid w:val="002107F8"/>
    <w:rsid w:val="002137E5"/>
    <w:rsid w:val="00215819"/>
    <w:rsid w:val="0021650D"/>
    <w:rsid w:val="00216660"/>
    <w:rsid w:val="002206F9"/>
    <w:rsid w:val="002316EA"/>
    <w:rsid w:val="00232963"/>
    <w:rsid w:val="00234060"/>
    <w:rsid w:val="00234C9A"/>
    <w:rsid w:val="0023777A"/>
    <w:rsid w:val="00240B4D"/>
    <w:rsid w:val="00242379"/>
    <w:rsid w:val="0024281D"/>
    <w:rsid w:val="002431A6"/>
    <w:rsid w:val="002471C7"/>
    <w:rsid w:val="0025139C"/>
    <w:rsid w:val="002516D9"/>
    <w:rsid w:val="002520E8"/>
    <w:rsid w:val="0025451A"/>
    <w:rsid w:val="002565DB"/>
    <w:rsid w:val="00260B35"/>
    <w:rsid w:val="00261D86"/>
    <w:rsid w:val="00264A4D"/>
    <w:rsid w:val="0026588C"/>
    <w:rsid w:val="0027012E"/>
    <w:rsid w:val="0027060F"/>
    <w:rsid w:val="00271BC4"/>
    <w:rsid w:val="002730BA"/>
    <w:rsid w:val="00274B86"/>
    <w:rsid w:val="0027773B"/>
    <w:rsid w:val="00281AEB"/>
    <w:rsid w:val="0028295C"/>
    <w:rsid w:val="002829F0"/>
    <w:rsid w:val="00292395"/>
    <w:rsid w:val="002943B4"/>
    <w:rsid w:val="00297810"/>
    <w:rsid w:val="002A1B77"/>
    <w:rsid w:val="002A2A9D"/>
    <w:rsid w:val="002A36A9"/>
    <w:rsid w:val="002A771A"/>
    <w:rsid w:val="002B39B0"/>
    <w:rsid w:val="002B46B2"/>
    <w:rsid w:val="002B5050"/>
    <w:rsid w:val="002B5599"/>
    <w:rsid w:val="002B593B"/>
    <w:rsid w:val="002B61F9"/>
    <w:rsid w:val="002B719E"/>
    <w:rsid w:val="002B7C42"/>
    <w:rsid w:val="002C0358"/>
    <w:rsid w:val="002C105C"/>
    <w:rsid w:val="002C2855"/>
    <w:rsid w:val="002C74DD"/>
    <w:rsid w:val="002D0F25"/>
    <w:rsid w:val="002D21EC"/>
    <w:rsid w:val="002D30F2"/>
    <w:rsid w:val="002D4BE5"/>
    <w:rsid w:val="002D53DA"/>
    <w:rsid w:val="002D54B6"/>
    <w:rsid w:val="002D5EEF"/>
    <w:rsid w:val="002E06C3"/>
    <w:rsid w:val="002E21D2"/>
    <w:rsid w:val="002E5C2F"/>
    <w:rsid w:val="002F4585"/>
    <w:rsid w:val="002F5F91"/>
    <w:rsid w:val="002F5FB8"/>
    <w:rsid w:val="00303BA1"/>
    <w:rsid w:val="00305A3F"/>
    <w:rsid w:val="00306080"/>
    <w:rsid w:val="003066B0"/>
    <w:rsid w:val="003106E3"/>
    <w:rsid w:val="00323486"/>
    <w:rsid w:val="00324CD3"/>
    <w:rsid w:val="00326CB5"/>
    <w:rsid w:val="00327E1B"/>
    <w:rsid w:val="003328F8"/>
    <w:rsid w:val="003335EF"/>
    <w:rsid w:val="00335178"/>
    <w:rsid w:val="00336A26"/>
    <w:rsid w:val="0034073E"/>
    <w:rsid w:val="0034643D"/>
    <w:rsid w:val="00346B2B"/>
    <w:rsid w:val="00346EB0"/>
    <w:rsid w:val="003509E6"/>
    <w:rsid w:val="00351BA6"/>
    <w:rsid w:val="00355644"/>
    <w:rsid w:val="00362B31"/>
    <w:rsid w:val="00363973"/>
    <w:rsid w:val="003640A1"/>
    <w:rsid w:val="0036538D"/>
    <w:rsid w:val="00367055"/>
    <w:rsid w:val="00372A5A"/>
    <w:rsid w:val="00372ADE"/>
    <w:rsid w:val="00377094"/>
    <w:rsid w:val="00377723"/>
    <w:rsid w:val="00381230"/>
    <w:rsid w:val="00382F90"/>
    <w:rsid w:val="003849AC"/>
    <w:rsid w:val="00385754"/>
    <w:rsid w:val="00393201"/>
    <w:rsid w:val="003979B5"/>
    <w:rsid w:val="003A0FAC"/>
    <w:rsid w:val="003A2E14"/>
    <w:rsid w:val="003A344B"/>
    <w:rsid w:val="003A3A4E"/>
    <w:rsid w:val="003B021D"/>
    <w:rsid w:val="003B0496"/>
    <w:rsid w:val="003B0BD0"/>
    <w:rsid w:val="003B1140"/>
    <w:rsid w:val="003B1B00"/>
    <w:rsid w:val="003B441A"/>
    <w:rsid w:val="003B742F"/>
    <w:rsid w:val="003B7577"/>
    <w:rsid w:val="003C24D9"/>
    <w:rsid w:val="003C437E"/>
    <w:rsid w:val="003C47A1"/>
    <w:rsid w:val="003C4AAA"/>
    <w:rsid w:val="003C508D"/>
    <w:rsid w:val="003C5F2E"/>
    <w:rsid w:val="003C63F7"/>
    <w:rsid w:val="003D0D15"/>
    <w:rsid w:val="003D30FB"/>
    <w:rsid w:val="003D44C9"/>
    <w:rsid w:val="003D7AC6"/>
    <w:rsid w:val="003E3DDD"/>
    <w:rsid w:val="003E6038"/>
    <w:rsid w:val="003F0E80"/>
    <w:rsid w:val="003F1496"/>
    <w:rsid w:val="003F2A8A"/>
    <w:rsid w:val="003F2F5B"/>
    <w:rsid w:val="0040056F"/>
    <w:rsid w:val="00400D97"/>
    <w:rsid w:val="00402F02"/>
    <w:rsid w:val="0040448E"/>
    <w:rsid w:val="00404BB4"/>
    <w:rsid w:val="00405E71"/>
    <w:rsid w:val="00411848"/>
    <w:rsid w:val="00414525"/>
    <w:rsid w:val="00414CA1"/>
    <w:rsid w:val="00415395"/>
    <w:rsid w:val="00416266"/>
    <w:rsid w:val="004200FD"/>
    <w:rsid w:val="00421136"/>
    <w:rsid w:val="004225FB"/>
    <w:rsid w:val="0042278E"/>
    <w:rsid w:val="00422A69"/>
    <w:rsid w:val="00425C15"/>
    <w:rsid w:val="00427232"/>
    <w:rsid w:val="00430805"/>
    <w:rsid w:val="004315E3"/>
    <w:rsid w:val="00431B39"/>
    <w:rsid w:val="00435F28"/>
    <w:rsid w:val="004400B0"/>
    <w:rsid w:val="00441134"/>
    <w:rsid w:val="00441520"/>
    <w:rsid w:val="004415E1"/>
    <w:rsid w:val="00442EA3"/>
    <w:rsid w:val="004436F3"/>
    <w:rsid w:val="004445F7"/>
    <w:rsid w:val="004516B0"/>
    <w:rsid w:val="00454EF7"/>
    <w:rsid w:val="00455B5B"/>
    <w:rsid w:val="004564A8"/>
    <w:rsid w:val="00456AD6"/>
    <w:rsid w:val="00460621"/>
    <w:rsid w:val="00464E06"/>
    <w:rsid w:val="00465C4A"/>
    <w:rsid w:val="0046617D"/>
    <w:rsid w:val="00467DC4"/>
    <w:rsid w:val="00472164"/>
    <w:rsid w:val="004739D5"/>
    <w:rsid w:val="00473B36"/>
    <w:rsid w:val="004746E0"/>
    <w:rsid w:val="0047504A"/>
    <w:rsid w:val="00482A99"/>
    <w:rsid w:val="004845FD"/>
    <w:rsid w:val="004863C4"/>
    <w:rsid w:val="00487D64"/>
    <w:rsid w:val="00491861"/>
    <w:rsid w:val="00492149"/>
    <w:rsid w:val="004962A1"/>
    <w:rsid w:val="004A2650"/>
    <w:rsid w:val="004A4243"/>
    <w:rsid w:val="004A4735"/>
    <w:rsid w:val="004A64C9"/>
    <w:rsid w:val="004A7215"/>
    <w:rsid w:val="004A79F3"/>
    <w:rsid w:val="004B0CF3"/>
    <w:rsid w:val="004B12E6"/>
    <w:rsid w:val="004B2A99"/>
    <w:rsid w:val="004B4755"/>
    <w:rsid w:val="004B5B4A"/>
    <w:rsid w:val="004B68FD"/>
    <w:rsid w:val="004B7369"/>
    <w:rsid w:val="004C00C0"/>
    <w:rsid w:val="004C0C22"/>
    <w:rsid w:val="004C24E3"/>
    <w:rsid w:val="004C4976"/>
    <w:rsid w:val="004C4FDF"/>
    <w:rsid w:val="004C741A"/>
    <w:rsid w:val="004D422D"/>
    <w:rsid w:val="004D5838"/>
    <w:rsid w:val="004D5888"/>
    <w:rsid w:val="004D5F32"/>
    <w:rsid w:val="004D6FF5"/>
    <w:rsid w:val="004E1631"/>
    <w:rsid w:val="004F0E10"/>
    <w:rsid w:val="004F5C0A"/>
    <w:rsid w:val="005003BF"/>
    <w:rsid w:val="0050292B"/>
    <w:rsid w:val="00504FF7"/>
    <w:rsid w:val="005109C4"/>
    <w:rsid w:val="00512451"/>
    <w:rsid w:val="005130F4"/>
    <w:rsid w:val="005165FC"/>
    <w:rsid w:val="00520D4D"/>
    <w:rsid w:val="00520F62"/>
    <w:rsid w:val="0052195D"/>
    <w:rsid w:val="00521F77"/>
    <w:rsid w:val="00522C4E"/>
    <w:rsid w:val="005256B7"/>
    <w:rsid w:val="005258B4"/>
    <w:rsid w:val="00526D6C"/>
    <w:rsid w:val="005270FE"/>
    <w:rsid w:val="0052754A"/>
    <w:rsid w:val="00533F92"/>
    <w:rsid w:val="00534994"/>
    <w:rsid w:val="005360E1"/>
    <w:rsid w:val="00540CC0"/>
    <w:rsid w:val="0054122E"/>
    <w:rsid w:val="00541C8B"/>
    <w:rsid w:val="005433C6"/>
    <w:rsid w:val="00543679"/>
    <w:rsid w:val="00543E26"/>
    <w:rsid w:val="0054412E"/>
    <w:rsid w:val="005443E9"/>
    <w:rsid w:val="00545591"/>
    <w:rsid w:val="0054599E"/>
    <w:rsid w:val="00546547"/>
    <w:rsid w:val="0054719D"/>
    <w:rsid w:val="00551704"/>
    <w:rsid w:val="00551CFD"/>
    <w:rsid w:val="0055209A"/>
    <w:rsid w:val="00552AC2"/>
    <w:rsid w:val="005540EF"/>
    <w:rsid w:val="005548A7"/>
    <w:rsid w:val="00556003"/>
    <w:rsid w:val="005612E0"/>
    <w:rsid w:val="00561968"/>
    <w:rsid w:val="00564C0A"/>
    <w:rsid w:val="00566C2D"/>
    <w:rsid w:val="00567373"/>
    <w:rsid w:val="0056738B"/>
    <w:rsid w:val="0056770A"/>
    <w:rsid w:val="00570D90"/>
    <w:rsid w:val="00572031"/>
    <w:rsid w:val="00572A28"/>
    <w:rsid w:val="00574768"/>
    <w:rsid w:val="00574AF0"/>
    <w:rsid w:val="005753C9"/>
    <w:rsid w:val="0057593B"/>
    <w:rsid w:val="005759C5"/>
    <w:rsid w:val="00576AD3"/>
    <w:rsid w:val="005777AB"/>
    <w:rsid w:val="00577BA1"/>
    <w:rsid w:val="00581968"/>
    <w:rsid w:val="00582A3F"/>
    <w:rsid w:val="00583258"/>
    <w:rsid w:val="00583955"/>
    <w:rsid w:val="005855C2"/>
    <w:rsid w:val="005908D9"/>
    <w:rsid w:val="00590D7A"/>
    <w:rsid w:val="005920F1"/>
    <w:rsid w:val="00595A48"/>
    <w:rsid w:val="00596BD2"/>
    <w:rsid w:val="005A1E89"/>
    <w:rsid w:val="005A26D3"/>
    <w:rsid w:val="005A4885"/>
    <w:rsid w:val="005A4C51"/>
    <w:rsid w:val="005B1E5E"/>
    <w:rsid w:val="005B2C46"/>
    <w:rsid w:val="005B3292"/>
    <w:rsid w:val="005B35ED"/>
    <w:rsid w:val="005B3E4F"/>
    <w:rsid w:val="005B4637"/>
    <w:rsid w:val="005B4B4E"/>
    <w:rsid w:val="005B581F"/>
    <w:rsid w:val="005B774F"/>
    <w:rsid w:val="005C19A3"/>
    <w:rsid w:val="005C3AF0"/>
    <w:rsid w:val="005C6CE2"/>
    <w:rsid w:val="005C7361"/>
    <w:rsid w:val="005D2E7D"/>
    <w:rsid w:val="005D4620"/>
    <w:rsid w:val="005D77DB"/>
    <w:rsid w:val="005E10F3"/>
    <w:rsid w:val="005F19CB"/>
    <w:rsid w:val="005F4561"/>
    <w:rsid w:val="005F4619"/>
    <w:rsid w:val="005F7E43"/>
    <w:rsid w:val="00604008"/>
    <w:rsid w:val="00610B10"/>
    <w:rsid w:val="00610C47"/>
    <w:rsid w:val="00611C83"/>
    <w:rsid w:val="00612A31"/>
    <w:rsid w:val="0061679B"/>
    <w:rsid w:val="00621EDA"/>
    <w:rsid w:val="00622964"/>
    <w:rsid w:val="00624D34"/>
    <w:rsid w:val="006270DB"/>
    <w:rsid w:val="006307D9"/>
    <w:rsid w:val="00631C7B"/>
    <w:rsid w:val="0063550C"/>
    <w:rsid w:val="0063782E"/>
    <w:rsid w:val="00641B18"/>
    <w:rsid w:val="00641BBD"/>
    <w:rsid w:val="006429AA"/>
    <w:rsid w:val="0064624F"/>
    <w:rsid w:val="0065093E"/>
    <w:rsid w:val="00652A87"/>
    <w:rsid w:val="0066208F"/>
    <w:rsid w:val="00662503"/>
    <w:rsid w:val="006638F8"/>
    <w:rsid w:val="00663DFF"/>
    <w:rsid w:val="006655FF"/>
    <w:rsid w:val="0066562E"/>
    <w:rsid w:val="00665B69"/>
    <w:rsid w:val="00667EA4"/>
    <w:rsid w:val="00674435"/>
    <w:rsid w:val="00676E15"/>
    <w:rsid w:val="00677123"/>
    <w:rsid w:val="0068392B"/>
    <w:rsid w:val="00686A21"/>
    <w:rsid w:val="00686E16"/>
    <w:rsid w:val="00686FF5"/>
    <w:rsid w:val="00687DDA"/>
    <w:rsid w:val="006942E2"/>
    <w:rsid w:val="006959CC"/>
    <w:rsid w:val="006973E4"/>
    <w:rsid w:val="006A08D9"/>
    <w:rsid w:val="006A3948"/>
    <w:rsid w:val="006A441F"/>
    <w:rsid w:val="006B2323"/>
    <w:rsid w:val="006B28A3"/>
    <w:rsid w:val="006B6714"/>
    <w:rsid w:val="006B677C"/>
    <w:rsid w:val="006B716D"/>
    <w:rsid w:val="006C196F"/>
    <w:rsid w:val="006C27C0"/>
    <w:rsid w:val="006C37E2"/>
    <w:rsid w:val="006C5271"/>
    <w:rsid w:val="006C6B86"/>
    <w:rsid w:val="006D2252"/>
    <w:rsid w:val="006D2D88"/>
    <w:rsid w:val="006D7BAF"/>
    <w:rsid w:val="006E4F37"/>
    <w:rsid w:val="006E6816"/>
    <w:rsid w:val="006E7F8A"/>
    <w:rsid w:val="006F3912"/>
    <w:rsid w:val="006F6463"/>
    <w:rsid w:val="006F771B"/>
    <w:rsid w:val="007014F8"/>
    <w:rsid w:val="007028D2"/>
    <w:rsid w:val="00702E9B"/>
    <w:rsid w:val="00703747"/>
    <w:rsid w:val="00704EA5"/>
    <w:rsid w:val="007071E6"/>
    <w:rsid w:val="007120EB"/>
    <w:rsid w:val="007160AC"/>
    <w:rsid w:val="007162EA"/>
    <w:rsid w:val="00721A1A"/>
    <w:rsid w:val="007246B9"/>
    <w:rsid w:val="00724C1E"/>
    <w:rsid w:val="007271AD"/>
    <w:rsid w:val="0072769A"/>
    <w:rsid w:val="00727D3A"/>
    <w:rsid w:val="00730CA0"/>
    <w:rsid w:val="0073134F"/>
    <w:rsid w:val="007321E7"/>
    <w:rsid w:val="007352D9"/>
    <w:rsid w:val="00740199"/>
    <w:rsid w:val="007417B7"/>
    <w:rsid w:val="00744C58"/>
    <w:rsid w:val="007460B1"/>
    <w:rsid w:val="0074756B"/>
    <w:rsid w:val="00750AC4"/>
    <w:rsid w:val="0075205F"/>
    <w:rsid w:val="00753379"/>
    <w:rsid w:val="00753504"/>
    <w:rsid w:val="007536D6"/>
    <w:rsid w:val="0075451C"/>
    <w:rsid w:val="007566EC"/>
    <w:rsid w:val="00756DE1"/>
    <w:rsid w:val="00757D1E"/>
    <w:rsid w:val="00760762"/>
    <w:rsid w:val="00760AE2"/>
    <w:rsid w:val="00766F02"/>
    <w:rsid w:val="007766D7"/>
    <w:rsid w:val="00776D27"/>
    <w:rsid w:val="00784642"/>
    <w:rsid w:val="00786E3F"/>
    <w:rsid w:val="00787A3F"/>
    <w:rsid w:val="00790468"/>
    <w:rsid w:val="007919B4"/>
    <w:rsid w:val="00792CA1"/>
    <w:rsid w:val="007A032D"/>
    <w:rsid w:val="007A0F0C"/>
    <w:rsid w:val="007A372A"/>
    <w:rsid w:val="007A4E28"/>
    <w:rsid w:val="007A5E53"/>
    <w:rsid w:val="007A6EEA"/>
    <w:rsid w:val="007A7A91"/>
    <w:rsid w:val="007B531F"/>
    <w:rsid w:val="007C0605"/>
    <w:rsid w:val="007C0F93"/>
    <w:rsid w:val="007C3C88"/>
    <w:rsid w:val="007C3FBB"/>
    <w:rsid w:val="007C7607"/>
    <w:rsid w:val="007D2814"/>
    <w:rsid w:val="007D4286"/>
    <w:rsid w:val="007D4CC0"/>
    <w:rsid w:val="007D528D"/>
    <w:rsid w:val="007D5773"/>
    <w:rsid w:val="007D7F0B"/>
    <w:rsid w:val="007E2784"/>
    <w:rsid w:val="007E4914"/>
    <w:rsid w:val="007E492C"/>
    <w:rsid w:val="007E51BC"/>
    <w:rsid w:val="007E52C5"/>
    <w:rsid w:val="007F1221"/>
    <w:rsid w:val="007F2EAE"/>
    <w:rsid w:val="007F4971"/>
    <w:rsid w:val="007F4B16"/>
    <w:rsid w:val="007F54F3"/>
    <w:rsid w:val="007F57B8"/>
    <w:rsid w:val="007F7B5E"/>
    <w:rsid w:val="008006C8"/>
    <w:rsid w:val="0080164A"/>
    <w:rsid w:val="00805C28"/>
    <w:rsid w:val="00807CEA"/>
    <w:rsid w:val="00807F9C"/>
    <w:rsid w:val="00810153"/>
    <w:rsid w:val="008111B0"/>
    <w:rsid w:val="00811F27"/>
    <w:rsid w:val="00813FE9"/>
    <w:rsid w:val="008140B7"/>
    <w:rsid w:val="00816662"/>
    <w:rsid w:val="008229F7"/>
    <w:rsid w:val="00822CE6"/>
    <w:rsid w:val="0082659D"/>
    <w:rsid w:val="00831A08"/>
    <w:rsid w:val="00835FDD"/>
    <w:rsid w:val="00840FD0"/>
    <w:rsid w:val="00842125"/>
    <w:rsid w:val="008429CC"/>
    <w:rsid w:val="0084300F"/>
    <w:rsid w:val="008435BB"/>
    <w:rsid w:val="00845D9F"/>
    <w:rsid w:val="00852141"/>
    <w:rsid w:val="008525E9"/>
    <w:rsid w:val="00852864"/>
    <w:rsid w:val="00852B02"/>
    <w:rsid w:val="0086474D"/>
    <w:rsid w:val="00864C12"/>
    <w:rsid w:val="00865212"/>
    <w:rsid w:val="008653BD"/>
    <w:rsid w:val="008705E6"/>
    <w:rsid w:val="00871CB2"/>
    <w:rsid w:val="008751F0"/>
    <w:rsid w:val="00875C1C"/>
    <w:rsid w:val="008816C5"/>
    <w:rsid w:val="00883A47"/>
    <w:rsid w:val="00886660"/>
    <w:rsid w:val="008868D0"/>
    <w:rsid w:val="00887416"/>
    <w:rsid w:val="008912BF"/>
    <w:rsid w:val="00892911"/>
    <w:rsid w:val="00896CEC"/>
    <w:rsid w:val="008A32AB"/>
    <w:rsid w:val="008A38A7"/>
    <w:rsid w:val="008A4749"/>
    <w:rsid w:val="008A6E66"/>
    <w:rsid w:val="008A780B"/>
    <w:rsid w:val="008B2FF7"/>
    <w:rsid w:val="008B6745"/>
    <w:rsid w:val="008C2262"/>
    <w:rsid w:val="008C505F"/>
    <w:rsid w:val="008C7C69"/>
    <w:rsid w:val="008D19C4"/>
    <w:rsid w:val="008D1C68"/>
    <w:rsid w:val="008D1DB5"/>
    <w:rsid w:val="008D484D"/>
    <w:rsid w:val="008D6618"/>
    <w:rsid w:val="008F039A"/>
    <w:rsid w:val="008F15FD"/>
    <w:rsid w:val="008F212D"/>
    <w:rsid w:val="008F5C8D"/>
    <w:rsid w:val="008F7318"/>
    <w:rsid w:val="00900E37"/>
    <w:rsid w:val="00902683"/>
    <w:rsid w:val="00907227"/>
    <w:rsid w:val="0091261E"/>
    <w:rsid w:val="00916EFE"/>
    <w:rsid w:val="009211C9"/>
    <w:rsid w:val="00922D1A"/>
    <w:rsid w:val="00922F03"/>
    <w:rsid w:val="00923A1C"/>
    <w:rsid w:val="00923CF0"/>
    <w:rsid w:val="009270D7"/>
    <w:rsid w:val="00930675"/>
    <w:rsid w:val="00930A4B"/>
    <w:rsid w:val="00931511"/>
    <w:rsid w:val="00931523"/>
    <w:rsid w:val="0093256E"/>
    <w:rsid w:val="00935E0B"/>
    <w:rsid w:val="00936D8A"/>
    <w:rsid w:val="00936E7F"/>
    <w:rsid w:val="0094059D"/>
    <w:rsid w:val="009429F4"/>
    <w:rsid w:val="00944223"/>
    <w:rsid w:val="00944EDE"/>
    <w:rsid w:val="00945196"/>
    <w:rsid w:val="00946ADD"/>
    <w:rsid w:val="0095029B"/>
    <w:rsid w:val="00950A7A"/>
    <w:rsid w:val="009511F8"/>
    <w:rsid w:val="00956C2F"/>
    <w:rsid w:val="009578D8"/>
    <w:rsid w:val="00960E20"/>
    <w:rsid w:val="009611AD"/>
    <w:rsid w:val="009638A8"/>
    <w:rsid w:val="0096392C"/>
    <w:rsid w:val="00965E5B"/>
    <w:rsid w:val="00970607"/>
    <w:rsid w:val="00971D81"/>
    <w:rsid w:val="0097257C"/>
    <w:rsid w:val="0097271E"/>
    <w:rsid w:val="0097362C"/>
    <w:rsid w:val="00973863"/>
    <w:rsid w:val="009839BF"/>
    <w:rsid w:val="009843A3"/>
    <w:rsid w:val="00984571"/>
    <w:rsid w:val="0098495F"/>
    <w:rsid w:val="00984E1A"/>
    <w:rsid w:val="00984E23"/>
    <w:rsid w:val="009911A4"/>
    <w:rsid w:val="009917B3"/>
    <w:rsid w:val="00991AFD"/>
    <w:rsid w:val="009955A3"/>
    <w:rsid w:val="0099600E"/>
    <w:rsid w:val="00996A18"/>
    <w:rsid w:val="009A20EF"/>
    <w:rsid w:val="009A5973"/>
    <w:rsid w:val="009A5EDE"/>
    <w:rsid w:val="009A7900"/>
    <w:rsid w:val="009B10BD"/>
    <w:rsid w:val="009B10EB"/>
    <w:rsid w:val="009B14E4"/>
    <w:rsid w:val="009B1574"/>
    <w:rsid w:val="009B3666"/>
    <w:rsid w:val="009B606F"/>
    <w:rsid w:val="009B6169"/>
    <w:rsid w:val="009B6725"/>
    <w:rsid w:val="009C15EC"/>
    <w:rsid w:val="009C4DC6"/>
    <w:rsid w:val="009C5F70"/>
    <w:rsid w:val="009C7F22"/>
    <w:rsid w:val="009D272C"/>
    <w:rsid w:val="009D2D16"/>
    <w:rsid w:val="009D4F48"/>
    <w:rsid w:val="009D7B43"/>
    <w:rsid w:val="009E1E8F"/>
    <w:rsid w:val="009E2977"/>
    <w:rsid w:val="009E5890"/>
    <w:rsid w:val="009E5F9C"/>
    <w:rsid w:val="009E7234"/>
    <w:rsid w:val="009F02E6"/>
    <w:rsid w:val="009F08F4"/>
    <w:rsid w:val="009F4331"/>
    <w:rsid w:val="009F789E"/>
    <w:rsid w:val="00A00FBB"/>
    <w:rsid w:val="00A02026"/>
    <w:rsid w:val="00A051E9"/>
    <w:rsid w:val="00A05255"/>
    <w:rsid w:val="00A0689C"/>
    <w:rsid w:val="00A07683"/>
    <w:rsid w:val="00A10B05"/>
    <w:rsid w:val="00A11820"/>
    <w:rsid w:val="00A11B2F"/>
    <w:rsid w:val="00A133F1"/>
    <w:rsid w:val="00A1510A"/>
    <w:rsid w:val="00A20AAE"/>
    <w:rsid w:val="00A21E0B"/>
    <w:rsid w:val="00A2351C"/>
    <w:rsid w:val="00A248AD"/>
    <w:rsid w:val="00A27016"/>
    <w:rsid w:val="00A278CC"/>
    <w:rsid w:val="00A27A43"/>
    <w:rsid w:val="00A34E3E"/>
    <w:rsid w:val="00A3556D"/>
    <w:rsid w:val="00A37AC8"/>
    <w:rsid w:val="00A419CB"/>
    <w:rsid w:val="00A44587"/>
    <w:rsid w:val="00A476DC"/>
    <w:rsid w:val="00A47D83"/>
    <w:rsid w:val="00A50034"/>
    <w:rsid w:val="00A50AB2"/>
    <w:rsid w:val="00A54811"/>
    <w:rsid w:val="00A633CC"/>
    <w:rsid w:val="00A63878"/>
    <w:rsid w:val="00A65661"/>
    <w:rsid w:val="00A657CD"/>
    <w:rsid w:val="00A6597C"/>
    <w:rsid w:val="00A664F4"/>
    <w:rsid w:val="00A67709"/>
    <w:rsid w:val="00A67724"/>
    <w:rsid w:val="00A67861"/>
    <w:rsid w:val="00A75BF7"/>
    <w:rsid w:val="00A82274"/>
    <w:rsid w:val="00A842B0"/>
    <w:rsid w:val="00A847F8"/>
    <w:rsid w:val="00A86614"/>
    <w:rsid w:val="00A92C46"/>
    <w:rsid w:val="00A942FA"/>
    <w:rsid w:val="00A9481A"/>
    <w:rsid w:val="00A95FE7"/>
    <w:rsid w:val="00A965F0"/>
    <w:rsid w:val="00A96AA6"/>
    <w:rsid w:val="00A97407"/>
    <w:rsid w:val="00A97901"/>
    <w:rsid w:val="00AA0AC3"/>
    <w:rsid w:val="00AA3237"/>
    <w:rsid w:val="00AA34FD"/>
    <w:rsid w:val="00AA42C0"/>
    <w:rsid w:val="00AA785F"/>
    <w:rsid w:val="00AA7FB8"/>
    <w:rsid w:val="00AB1621"/>
    <w:rsid w:val="00AB177A"/>
    <w:rsid w:val="00AB18A7"/>
    <w:rsid w:val="00AB1A8E"/>
    <w:rsid w:val="00AB1EB2"/>
    <w:rsid w:val="00AB2C17"/>
    <w:rsid w:val="00AB4376"/>
    <w:rsid w:val="00AB4FE3"/>
    <w:rsid w:val="00AB5E4B"/>
    <w:rsid w:val="00AB7A93"/>
    <w:rsid w:val="00AC128C"/>
    <w:rsid w:val="00AC256C"/>
    <w:rsid w:val="00AC339B"/>
    <w:rsid w:val="00AC3A08"/>
    <w:rsid w:val="00AD0CDA"/>
    <w:rsid w:val="00AD3A8F"/>
    <w:rsid w:val="00AD40F4"/>
    <w:rsid w:val="00AD4D94"/>
    <w:rsid w:val="00AE1580"/>
    <w:rsid w:val="00AE1A42"/>
    <w:rsid w:val="00AE2A13"/>
    <w:rsid w:val="00AE2ADC"/>
    <w:rsid w:val="00AF3814"/>
    <w:rsid w:val="00B014D0"/>
    <w:rsid w:val="00B0269F"/>
    <w:rsid w:val="00B02809"/>
    <w:rsid w:val="00B02DE3"/>
    <w:rsid w:val="00B030B9"/>
    <w:rsid w:val="00B033D0"/>
    <w:rsid w:val="00B0377E"/>
    <w:rsid w:val="00B05433"/>
    <w:rsid w:val="00B060E7"/>
    <w:rsid w:val="00B0704A"/>
    <w:rsid w:val="00B10889"/>
    <w:rsid w:val="00B10DFD"/>
    <w:rsid w:val="00B10EFC"/>
    <w:rsid w:val="00B11A45"/>
    <w:rsid w:val="00B130A0"/>
    <w:rsid w:val="00B138E1"/>
    <w:rsid w:val="00B1770F"/>
    <w:rsid w:val="00B2329D"/>
    <w:rsid w:val="00B24289"/>
    <w:rsid w:val="00B25B04"/>
    <w:rsid w:val="00B27F74"/>
    <w:rsid w:val="00B27FA9"/>
    <w:rsid w:val="00B30045"/>
    <w:rsid w:val="00B300E3"/>
    <w:rsid w:val="00B30AA0"/>
    <w:rsid w:val="00B32E7D"/>
    <w:rsid w:val="00B3453A"/>
    <w:rsid w:val="00B345BE"/>
    <w:rsid w:val="00B367FB"/>
    <w:rsid w:val="00B369FB"/>
    <w:rsid w:val="00B4494C"/>
    <w:rsid w:val="00B47706"/>
    <w:rsid w:val="00B535A6"/>
    <w:rsid w:val="00B55B53"/>
    <w:rsid w:val="00B55B88"/>
    <w:rsid w:val="00B56929"/>
    <w:rsid w:val="00B57243"/>
    <w:rsid w:val="00B60258"/>
    <w:rsid w:val="00B60519"/>
    <w:rsid w:val="00B621A8"/>
    <w:rsid w:val="00B627CB"/>
    <w:rsid w:val="00B62E55"/>
    <w:rsid w:val="00B64CB3"/>
    <w:rsid w:val="00B6564E"/>
    <w:rsid w:val="00B72DBF"/>
    <w:rsid w:val="00B735DB"/>
    <w:rsid w:val="00B73DA3"/>
    <w:rsid w:val="00B7492E"/>
    <w:rsid w:val="00B74D3F"/>
    <w:rsid w:val="00B75B9F"/>
    <w:rsid w:val="00B75DB2"/>
    <w:rsid w:val="00B8108C"/>
    <w:rsid w:val="00B812F6"/>
    <w:rsid w:val="00B83780"/>
    <w:rsid w:val="00B846FF"/>
    <w:rsid w:val="00B878BD"/>
    <w:rsid w:val="00B91D11"/>
    <w:rsid w:val="00B93973"/>
    <w:rsid w:val="00B93F2D"/>
    <w:rsid w:val="00B952AF"/>
    <w:rsid w:val="00B95A0E"/>
    <w:rsid w:val="00B97910"/>
    <w:rsid w:val="00B97DFD"/>
    <w:rsid w:val="00BA08FB"/>
    <w:rsid w:val="00BA3840"/>
    <w:rsid w:val="00BA43D5"/>
    <w:rsid w:val="00BA492F"/>
    <w:rsid w:val="00BA58EE"/>
    <w:rsid w:val="00BA6E61"/>
    <w:rsid w:val="00BB1C1D"/>
    <w:rsid w:val="00BB51DB"/>
    <w:rsid w:val="00BB63F1"/>
    <w:rsid w:val="00BB7901"/>
    <w:rsid w:val="00BB7E8E"/>
    <w:rsid w:val="00BC0CA4"/>
    <w:rsid w:val="00BC2122"/>
    <w:rsid w:val="00BC3F28"/>
    <w:rsid w:val="00BC5E58"/>
    <w:rsid w:val="00BC6DDD"/>
    <w:rsid w:val="00BD0FAC"/>
    <w:rsid w:val="00BD5081"/>
    <w:rsid w:val="00BD51EB"/>
    <w:rsid w:val="00BD65A4"/>
    <w:rsid w:val="00BD6C99"/>
    <w:rsid w:val="00BD7019"/>
    <w:rsid w:val="00BE056D"/>
    <w:rsid w:val="00BE06AA"/>
    <w:rsid w:val="00BE26CD"/>
    <w:rsid w:val="00BE2F57"/>
    <w:rsid w:val="00BE3A48"/>
    <w:rsid w:val="00BE3EE0"/>
    <w:rsid w:val="00BE73DF"/>
    <w:rsid w:val="00BF0644"/>
    <w:rsid w:val="00BF092C"/>
    <w:rsid w:val="00BF1C76"/>
    <w:rsid w:val="00BF2591"/>
    <w:rsid w:val="00BF483F"/>
    <w:rsid w:val="00BF546B"/>
    <w:rsid w:val="00BF58FF"/>
    <w:rsid w:val="00BF6127"/>
    <w:rsid w:val="00BF69EF"/>
    <w:rsid w:val="00C033BC"/>
    <w:rsid w:val="00C0354E"/>
    <w:rsid w:val="00C07917"/>
    <w:rsid w:val="00C10950"/>
    <w:rsid w:val="00C10F94"/>
    <w:rsid w:val="00C1393E"/>
    <w:rsid w:val="00C141D2"/>
    <w:rsid w:val="00C15C4A"/>
    <w:rsid w:val="00C16115"/>
    <w:rsid w:val="00C17B87"/>
    <w:rsid w:val="00C20043"/>
    <w:rsid w:val="00C2064B"/>
    <w:rsid w:val="00C216D5"/>
    <w:rsid w:val="00C22A85"/>
    <w:rsid w:val="00C23AD5"/>
    <w:rsid w:val="00C25493"/>
    <w:rsid w:val="00C25D41"/>
    <w:rsid w:val="00C25EE7"/>
    <w:rsid w:val="00C27C1F"/>
    <w:rsid w:val="00C31158"/>
    <w:rsid w:val="00C3117A"/>
    <w:rsid w:val="00C4513B"/>
    <w:rsid w:val="00C516BC"/>
    <w:rsid w:val="00C51F87"/>
    <w:rsid w:val="00C5279A"/>
    <w:rsid w:val="00C52BB8"/>
    <w:rsid w:val="00C555A9"/>
    <w:rsid w:val="00C57C11"/>
    <w:rsid w:val="00C61F1C"/>
    <w:rsid w:val="00C62AE6"/>
    <w:rsid w:val="00C62CBA"/>
    <w:rsid w:val="00C62F84"/>
    <w:rsid w:val="00C63DFE"/>
    <w:rsid w:val="00C65AEA"/>
    <w:rsid w:val="00C70B47"/>
    <w:rsid w:val="00C76E34"/>
    <w:rsid w:val="00C77B54"/>
    <w:rsid w:val="00C81FC4"/>
    <w:rsid w:val="00C82764"/>
    <w:rsid w:val="00C83306"/>
    <w:rsid w:val="00C83FDB"/>
    <w:rsid w:val="00C8614E"/>
    <w:rsid w:val="00C9471F"/>
    <w:rsid w:val="00C96E97"/>
    <w:rsid w:val="00CA0EED"/>
    <w:rsid w:val="00CA6076"/>
    <w:rsid w:val="00CA63DF"/>
    <w:rsid w:val="00CA6FCB"/>
    <w:rsid w:val="00CA78F7"/>
    <w:rsid w:val="00CB19DE"/>
    <w:rsid w:val="00CB2650"/>
    <w:rsid w:val="00CB45BD"/>
    <w:rsid w:val="00CB4765"/>
    <w:rsid w:val="00CB6C31"/>
    <w:rsid w:val="00CC0114"/>
    <w:rsid w:val="00CC3D36"/>
    <w:rsid w:val="00CC411A"/>
    <w:rsid w:val="00CC5565"/>
    <w:rsid w:val="00CC711D"/>
    <w:rsid w:val="00CC7D89"/>
    <w:rsid w:val="00CD4F43"/>
    <w:rsid w:val="00CD5055"/>
    <w:rsid w:val="00CD5565"/>
    <w:rsid w:val="00CD6138"/>
    <w:rsid w:val="00CE0E11"/>
    <w:rsid w:val="00CE0F62"/>
    <w:rsid w:val="00CE40A0"/>
    <w:rsid w:val="00CE7BBE"/>
    <w:rsid w:val="00CF0E81"/>
    <w:rsid w:val="00CF24C6"/>
    <w:rsid w:val="00CF3A46"/>
    <w:rsid w:val="00CF45A1"/>
    <w:rsid w:val="00CF6F3B"/>
    <w:rsid w:val="00CF7FF8"/>
    <w:rsid w:val="00D00C39"/>
    <w:rsid w:val="00D00EED"/>
    <w:rsid w:val="00D036D8"/>
    <w:rsid w:val="00D03B8A"/>
    <w:rsid w:val="00D0725F"/>
    <w:rsid w:val="00D106B4"/>
    <w:rsid w:val="00D10818"/>
    <w:rsid w:val="00D10CE0"/>
    <w:rsid w:val="00D12FA2"/>
    <w:rsid w:val="00D13824"/>
    <w:rsid w:val="00D13F14"/>
    <w:rsid w:val="00D1584F"/>
    <w:rsid w:val="00D172F9"/>
    <w:rsid w:val="00D217AD"/>
    <w:rsid w:val="00D23BF4"/>
    <w:rsid w:val="00D26DBC"/>
    <w:rsid w:val="00D30D49"/>
    <w:rsid w:val="00D324F6"/>
    <w:rsid w:val="00D3339F"/>
    <w:rsid w:val="00D35AE3"/>
    <w:rsid w:val="00D35D3D"/>
    <w:rsid w:val="00D36126"/>
    <w:rsid w:val="00D40858"/>
    <w:rsid w:val="00D412A2"/>
    <w:rsid w:val="00D417ED"/>
    <w:rsid w:val="00D445EF"/>
    <w:rsid w:val="00D45341"/>
    <w:rsid w:val="00D5429C"/>
    <w:rsid w:val="00D57C2E"/>
    <w:rsid w:val="00D617E0"/>
    <w:rsid w:val="00D61A1A"/>
    <w:rsid w:val="00D62011"/>
    <w:rsid w:val="00D65920"/>
    <w:rsid w:val="00D66483"/>
    <w:rsid w:val="00D7365A"/>
    <w:rsid w:val="00D75094"/>
    <w:rsid w:val="00D76278"/>
    <w:rsid w:val="00D772EE"/>
    <w:rsid w:val="00D77D1A"/>
    <w:rsid w:val="00D80D77"/>
    <w:rsid w:val="00D81255"/>
    <w:rsid w:val="00D849D8"/>
    <w:rsid w:val="00D85BDD"/>
    <w:rsid w:val="00D86521"/>
    <w:rsid w:val="00D868C2"/>
    <w:rsid w:val="00D86D58"/>
    <w:rsid w:val="00D87F1C"/>
    <w:rsid w:val="00D87F20"/>
    <w:rsid w:val="00D90736"/>
    <w:rsid w:val="00D92352"/>
    <w:rsid w:val="00D92BA7"/>
    <w:rsid w:val="00D945A9"/>
    <w:rsid w:val="00DA2A33"/>
    <w:rsid w:val="00DA2AF5"/>
    <w:rsid w:val="00DA3E66"/>
    <w:rsid w:val="00DA42F5"/>
    <w:rsid w:val="00DA4AEA"/>
    <w:rsid w:val="00DA4DDD"/>
    <w:rsid w:val="00DA6F29"/>
    <w:rsid w:val="00DA776F"/>
    <w:rsid w:val="00DB0565"/>
    <w:rsid w:val="00DB2714"/>
    <w:rsid w:val="00DB5458"/>
    <w:rsid w:val="00DB79B3"/>
    <w:rsid w:val="00DC05A1"/>
    <w:rsid w:val="00DC06F3"/>
    <w:rsid w:val="00DC0EC8"/>
    <w:rsid w:val="00DC1FDF"/>
    <w:rsid w:val="00DC21AB"/>
    <w:rsid w:val="00DC5C06"/>
    <w:rsid w:val="00DC5D4C"/>
    <w:rsid w:val="00DD182E"/>
    <w:rsid w:val="00DD1FD7"/>
    <w:rsid w:val="00DD3991"/>
    <w:rsid w:val="00DD4139"/>
    <w:rsid w:val="00DD50D6"/>
    <w:rsid w:val="00DD5B90"/>
    <w:rsid w:val="00DD633F"/>
    <w:rsid w:val="00DD78D3"/>
    <w:rsid w:val="00DD7B4E"/>
    <w:rsid w:val="00DE0ACD"/>
    <w:rsid w:val="00DE38EF"/>
    <w:rsid w:val="00DE6E48"/>
    <w:rsid w:val="00DF0923"/>
    <w:rsid w:val="00DF1DD3"/>
    <w:rsid w:val="00DF1FDC"/>
    <w:rsid w:val="00DF2860"/>
    <w:rsid w:val="00DF351A"/>
    <w:rsid w:val="00DF5893"/>
    <w:rsid w:val="00E00479"/>
    <w:rsid w:val="00E013AA"/>
    <w:rsid w:val="00E031C5"/>
    <w:rsid w:val="00E0395B"/>
    <w:rsid w:val="00E1040A"/>
    <w:rsid w:val="00E105BC"/>
    <w:rsid w:val="00E10BA5"/>
    <w:rsid w:val="00E10F86"/>
    <w:rsid w:val="00E12ED0"/>
    <w:rsid w:val="00E130A1"/>
    <w:rsid w:val="00E15067"/>
    <w:rsid w:val="00E218C8"/>
    <w:rsid w:val="00E21A83"/>
    <w:rsid w:val="00E228FF"/>
    <w:rsid w:val="00E2714F"/>
    <w:rsid w:val="00E27743"/>
    <w:rsid w:val="00E27830"/>
    <w:rsid w:val="00E27CF4"/>
    <w:rsid w:val="00E308DF"/>
    <w:rsid w:val="00E30C23"/>
    <w:rsid w:val="00E30CC0"/>
    <w:rsid w:val="00E310A5"/>
    <w:rsid w:val="00E3663C"/>
    <w:rsid w:val="00E3760F"/>
    <w:rsid w:val="00E40453"/>
    <w:rsid w:val="00E406C9"/>
    <w:rsid w:val="00E41748"/>
    <w:rsid w:val="00E41FEC"/>
    <w:rsid w:val="00E44093"/>
    <w:rsid w:val="00E47B3F"/>
    <w:rsid w:val="00E50C7C"/>
    <w:rsid w:val="00E52EFE"/>
    <w:rsid w:val="00E53696"/>
    <w:rsid w:val="00E53AEB"/>
    <w:rsid w:val="00E5429F"/>
    <w:rsid w:val="00E5498F"/>
    <w:rsid w:val="00E54ACC"/>
    <w:rsid w:val="00E55211"/>
    <w:rsid w:val="00E56769"/>
    <w:rsid w:val="00E576DD"/>
    <w:rsid w:val="00E61742"/>
    <w:rsid w:val="00E634AD"/>
    <w:rsid w:val="00E63DC8"/>
    <w:rsid w:val="00E66536"/>
    <w:rsid w:val="00E7119D"/>
    <w:rsid w:val="00E744A8"/>
    <w:rsid w:val="00E75DFC"/>
    <w:rsid w:val="00E76AB2"/>
    <w:rsid w:val="00E83D7D"/>
    <w:rsid w:val="00E859A4"/>
    <w:rsid w:val="00E8736F"/>
    <w:rsid w:val="00E92000"/>
    <w:rsid w:val="00E92383"/>
    <w:rsid w:val="00E9277E"/>
    <w:rsid w:val="00E929E4"/>
    <w:rsid w:val="00E942ED"/>
    <w:rsid w:val="00E948F2"/>
    <w:rsid w:val="00E9572A"/>
    <w:rsid w:val="00EA0ED3"/>
    <w:rsid w:val="00EA1449"/>
    <w:rsid w:val="00EA583C"/>
    <w:rsid w:val="00EA5D8C"/>
    <w:rsid w:val="00EB0B89"/>
    <w:rsid w:val="00EB2015"/>
    <w:rsid w:val="00EB37D3"/>
    <w:rsid w:val="00EB38F4"/>
    <w:rsid w:val="00EB41B4"/>
    <w:rsid w:val="00EB5C89"/>
    <w:rsid w:val="00EB6511"/>
    <w:rsid w:val="00EB7AC4"/>
    <w:rsid w:val="00EC4F08"/>
    <w:rsid w:val="00EC5F54"/>
    <w:rsid w:val="00EC6C5E"/>
    <w:rsid w:val="00EC7122"/>
    <w:rsid w:val="00ED1951"/>
    <w:rsid w:val="00ED2F50"/>
    <w:rsid w:val="00ED48FA"/>
    <w:rsid w:val="00ED5A59"/>
    <w:rsid w:val="00ED6C21"/>
    <w:rsid w:val="00EE20F6"/>
    <w:rsid w:val="00EE28AD"/>
    <w:rsid w:val="00EE5346"/>
    <w:rsid w:val="00EE66DB"/>
    <w:rsid w:val="00EE6703"/>
    <w:rsid w:val="00EF0F19"/>
    <w:rsid w:val="00EF273A"/>
    <w:rsid w:val="00EF321D"/>
    <w:rsid w:val="00EF38A9"/>
    <w:rsid w:val="00EF3AFB"/>
    <w:rsid w:val="00EF61F1"/>
    <w:rsid w:val="00EF7A37"/>
    <w:rsid w:val="00F02D60"/>
    <w:rsid w:val="00F05125"/>
    <w:rsid w:val="00F118D8"/>
    <w:rsid w:val="00F1640A"/>
    <w:rsid w:val="00F173FB"/>
    <w:rsid w:val="00F21B74"/>
    <w:rsid w:val="00F254AE"/>
    <w:rsid w:val="00F27791"/>
    <w:rsid w:val="00F31480"/>
    <w:rsid w:val="00F316C4"/>
    <w:rsid w:val="00F33353"/>
    <w:rsid w:val="00F333DC"/>
    <w:rsid w:val="00F40048"/>
    <w:rsid w:val="00F425C2"/>
    <w:rsid w:val="00F4743F"/>
    <w:rsid w:val="00F500B4"/>
    <w:rsid w:val="00F52224"/>
    <w:rsid w:val="00F53AD8"/>
    <w:rsid w:val="00F53DF8"/>
    <w:rsid w:val="00F56725"/>
    <w:rsid w:val="00F57206"/>
    <w:rsid w:val="00F579FA"/>
    <w:rsid w:val="00F57B46"/>
    <w:rsid w:val="00F60EC0"/>
    <w:rsid w:val="00F61387"/>
    <w:rsid w:val="00F61B1F"/>
    <w:rsid w:val="00F659F0"/>
    <w:rsid w:val="00F6621A"/>
    <w:rsid w:val="00F748F3"/>
    <w:rsid w:val="00F758EC"/>
    <w:rsid w:val="00F76B7F"/>
    <w:rsid w:val="00F774A7"/>
    <w:rsid w:val="00F801B6"/>
    <w:rsid w:val="00F80706"/>
    <w:rsid w:val="00F84590"/>
    <w:rsid w:val="00F86B64"/>
    <w:rsid w:val="00F87634"/>
    <w:rsid w:val="00F87F62"/>
    <w:rsid w:val="00F903C6"/>
    <w:rsid w:val="00F92266"/>
    <w:rsid w:val="00F9363E"/>
    <w:rsid w:val="00F95E85"/>
    <w:rsid w:val="00FA05AA"/>
    <w:rsid w:val="00FA32FD"/>
    <w:rsid w:val="00FA591C"/>
    <w:rsid w:val="00FB14BE"/>
    <w:rsid w:val="00FB17E4"/>
    <w:rsid w:val="00FB1864"/>
    <w:rsid w:val="00FB19D6"/>
    <w:rsid w:val="00FB1D0D"/>
    <w:rsid w:val="00FB2DB0"/>
    <w:rsid w:val="00FB4A29"/>
    <w:rsid w:val="00FB5413"/>
    <w:rsid w:val="00FB68F7"/>
    <w:rsid w:val="00FC5313"/>
    <w:rsid w:val="00FC5F51"/>
    <w:rsid w:val="00FC67CD"/>
    <w:rsid w:val="00FC7CC4"/>
    <w:rsid w:val="00FD1B3A"/>
    <w:rsid w:val="00FD2AD4"/>
    <w:rsid w:val="00FD35A5"/>
    <w:rsid w:val="00FD615D"/>
    <w:rsid w:val="00FE5C2D"/>
    <w:rsid w:val="00FE7469"/>
    <w:rsid w:val="00FF34EA"/>
    <w:rsid w:val="00FF3630"/>
    <w:rsid w:val="00FF3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13E8"/>
  <w15:docId w15:val="{38699081-C40B-F24D-8480-E5EE53B8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D9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6538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054C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20D4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498F"/>
  </w:style>
  <w:style w:type="paragraph" w:styleId="ListParagraph">
    <w:name w:val="List Paragraph"/>
    <w:basedOn w:val="Normal"/>
    <w:uiPriority w:val="34"/>
    <w:qFormat/>
    <w:rsid w:val="00CE7BBE"/>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17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5B0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25B04"/>
    <w:rPr>
      <w:rFonts w:ascii="Tahoma" w:hAnsi="Tahoma" w:cs="Tahoma"/>
      <w:sz w:val="16"/>
      <w:szCs w:val="16"/>
    </w:rPr>
  </w:style>
  <w:style w:type="paragraph" w:styleId="NormalWeb">
    <w:name w:val="Normal (Web)"/>
    <w:basedOn w:val="Normal"/>
    <w:uiPriority w:val="99"/>
    <w:semiHidden/>
    <w:unhideWhenUsed/>
    <w:rsid w:val="00234060"/>
    <w:pPr>
      <w:spacing w:before="100" w:beforeAutospacing="1" w:after="100" w:afterAutospacing="1"/>
    </w:pPr>
  </w:style>
  <w:style w:type="character" w:styleId="CommentReference">
    <w:name w:val="annotation reference"/>
    <w:basedOn w:val="DefaultParagraphFont"/>
    <w:uiPriority w:val="99"/>
    <w:semiHidden/>
    <w:unhideWhenUsed/>
    <w:rsid w:val="005B4B4E"/>
    <w:rPr>
      <w:sz w:val="16"/>
      <w:szCs w:val="16"/>
    </w:rPr>
  </w:style>
  <w:style w:type="paragraph" w:styleId="CommentText">
    <w:name w:val="annotation text"/>
    <w:basedOn w:val="Normal"/>
    <w:link w:val="CommentTextChar"/>
    <w:uiPriority w:val="99"/>
    <w:unhideWhenUsed/>
    <w:rsid w:val="005B4B4E"/>
    <w:rPr>
      <w:sz w:val="20"/>
      <w:szCs w:val="20"/>
    </w:rPr>
  </w:style>
  <w:style w:type="character" w:customStyle="1" w:styleId="CommentTextChar">
    <w:name w:val="Comment Text Char"/>
    <w:basedOn w:val="DefaultParagraphFont"/>
    <w:link w:val="CommentText"/>
    <w:uiPriority w:val="99"/>
    <w:rsid w:val="005B4B4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4B4E"/>
    <w:rPr>
      <w:b/>
      <w:bCs/>
    </w:rPr>
  </w:style>
  <w:style w:type="character" w:customStyle="1" w:styleId="CommentSubjectChar">
    <w:name w:val="Comment Subject Char"/>
    <w:basedOn w:val="CommentTextChar"/>
    <w:link w:val="CommentSubject"/>
    <w:uiPriority w:val="99"/>
    <w:semiHidden/>
    <w:rsid w:val="005B4B4E"/>
    <w:rPr>
      <w:rFonts w:ascii="Times New Roman" w:eastAsia="Times New Roman" w:hAnsi="Times New Roman" w:cs="Times New Roman"/>
      <w:b/>
      <w:bCs/>
      <w:sz w:val="20"/>
      <w:szCs w:val="20"/>
      <w:lang w:eastAsia="en-GB"/>
    </w:rPr>
  </w:style>
  <w:style w:type="paragraph" w:styleId="Revision">
    <w:name w:val="Revision"/>
    <w:hidden/>
    <w:uiPriority w:val="99"/>
    <w:semiHidden/>
    <w:rsid w:val="002E5C2F"/>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6538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6538D"/>
    <w:rPr>
      <w:color w:val="0000FF"/>
      <w:u w:val="single"/>
    </w:rPr>
  </w:style>
  <w:style w:type="paragraph" w:customStyle="1" w:styleId="copyright">
    <w:name w:val="copyright"/>
    <w:basedOn w:val="Normal"/>
    <w:rsid w:val="0036538D"/>
    <w:pPr>
      <w:spacing w:before="100" w:beforeAutospacing="1" w:after="100" w:afterAutospacing="1"/>
    </w:pPr>
  </w:style>
  <w:style w:type="character" w:styleId="LineNumber">
    <w:name w:val="line number"/>
    <w:basedOn w:val="DefaultParagraphFont"/>
    <w:uiPriority w:val="99"/>
    <w:semiHidden/>
    <w:unhideWhenUsed/>
    <w:rsid w:val="00A92C46"/>
  </w:style>
  <w:style w:type="paragraph" w:styleId="EndnoteText">
    <w:name w:val="endnote text"/>
    <w:basedOn w:val="Normal"/>
    <w:link w:val="EndnoteTextChar"/>
    <w:uiPriority w:val="99"/>
    <w:semiHidden/>
    <w:unhideWhenUsed/>
    <w:rsid w:val="003C24D9"/>
    <w:rPr>
      <w:sz w:val="20"/>
      <w:szCs w:val="20"/>
    </w:rPr>
  </w:style>
  <w:style w:type="character" w:customStyle="1" w:styleId="EndnoteTextChar">
    <w:name w:val="Endnote Text Char"/>
    <w:basedOn w:val="DefaultParagraphFont"/>
    <w:link w:val="EndnoteText"/>
    <w:uiPriority w:val="99"/>
    <w:semiHidden/>
    <w:rsid w:val="003C24D9"/>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3C24D9"/>
    <w:rPr>
      <w:vertAlign w:val="superscript"/>
    </w:rPr>
  </w:style>
  <w:style w:type="paragraph" w:styleId="Header">
    <w:name w:val="header"/>
    <w:basedOn w:val="Normal"/>
    <w:link w:val="HeaderChar"/>
    <w:uiPriority w:val="99"/>
    <w:unhideWhenUsed/>
    <w:rsid w:val="00351BA6"/>
    <w:pPr>
      <w:tabs>
        <w:tab w:val="center" w:pos="4513"/>
        <w:tab w:val="right" w:pos="9026"/>
      </w:tabs>
    </w:pPr>
  </w:style>
  <w:style w:type="character" w:customStyle="1" w:styleId="HeaderChar">
    <w:name w:val="Header Char"/>
    <w:basedOn w:val="DefaultParagraphFont"/>
    <w:link w:val="Header"/>
    <w:uiPriority w:val="99"/>
    <w:rsid w:val="00351BA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51BA6"/>
    <w:pPr>
      <w:tabs>
        <w:tab w:val="center" w:pos="4513"/>
        <w:tab w:val="right" w:pos="9026"/>
      </w:tabs>
    </w:pPr>
  </w:style>
  <w:style w:type="character" w:customStyle="1" w:styleId="FooterChar">
    <w:name w:val="Footer Char"/>
    <w:basedOn w:val="DefaultParagraphFont"/>
    <w:link w:val="Footer"/>
    <w:uiPriority w:val="99"/>
    <w:rsid w:val="00351BA6"/>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54CB7"/>
    <w:rPr>
      <w:rFonts w:asciiTheme="majorHAnsi" w:eastAsiaTheme="majorEastAsia" w:hAnsiTheme="majorHAnsi" w:cstheme="majorBidi"/>
      <w:b/>
      <w:bCs/>
      <w:color w:val="4F81BD" w:themeColor="accent1"/>
      <w:sz w:val="26"/>
      <w:szCs w:val="26"/>
      <w:lang w:eastAsia="en-GB"/>
    </w:rPr>
  </w:style>
  <w:style w:type="character" w:customStyle="1" w:styleId="title-text">
    <w:name w:val="title-text"/>
    <w:basedOn w:val="DefaultParagraphFont"/>
    <w:rsid w:val="00054CB7"/>
  </w:style>
  <w:style w:type="character" w:customStyle="1" w:styleId="sr-only">
    <w:name w:val="sr-only"/>
    <w:basedOn w:val="DefaultParagraphFont"/>
    <w:rsid w:val="00054CB7"/>
  </w:style>
  <w:style w:type="character" w:customStyle="1" w:styleId="text">
    <w:name w:val="text"/>
    <w:basedOn w:val="DefaultParagraphFont"/>
    <w:rsid w:val="00054CB7"/>
  </w:style>
  <w:style w:type="character" w:customStyle="1" w:styleId="author-ref">
    <w:name w:val="author-ref"/>
    <w:basedOn w:val="DefaultParagraphFont"/>
    <w:rsid w:val="00054CB7"/>
  </w:style>
  <w:style w:type="character" w:styleId="FollowedHyperlink">
    <w:name w:val="FollowedHyperlink"/>
    <w:basedOn w:val="DefaultParagraphFont"/>
    <w:uiPriority w:val="99"/>
    <w:semiHidden/>
    <w:unhideWhenUsed/>
    <w:rsid w:val="00EC6C5E"/>
    <w:rPr>
      <w:color w:val="800080" w:themeColor="followedHyperlink"/>
      <w:u w:val="single"/>
    </w:rPr>
  </w:style>
  <w:style w:type="character" w:customStyle="1" w:styleId="Heading4Char">
    <w:name w:val="Heading 4 Char"/>
    <w:basedOn w:val="DefaultParagraphFont"/>
    <w:link w:val="Heading4"/>
    <w:uiPriority w:val="9"/>
    <w:semiHidden/>
    <w:rsid w:val="00520D4D"/>
    <w:rPr>
      <w:rFonts w:asciiTheme="majorHAnsi" w:eastAsiaTheme="majorEastAsia" w:hAnsiTheme="majorHAnsi" w:cstheme="majorBidi"/>
      <w:i/>
      <w:iCs/>
      <w:color w:val="365F91" w:themeColor="accent1" w:themeShade="BF"/>
      <w:sz w:val="24"/>
      <w:szCs w:val="24"/>
      <w:lang w:eastAsia="en-GB"/>
    </w:rPr>
  </w:style>
  <w:style w:type="character" w:customStyle="1" w:styleId="nlmstring-name">
    <w:name w:val="nlm_string-name"/>
    <w:basedOn w:val="DefaultParagraphFont"/>
    <w:rsid w:val="0082659D"/>
  </w:style>
  <w:style w:type="character" w:customStyle="1" w:styleId="journalname">
    <w:name w:val="journalname"/>
    <w:basedOn w:val="DefaultParagraphFont"/>
    <w:rsid w:val="0082659D"/>
  </w:style>
  <w:style w:type="character" w:customStyle="1" w:styleId="year">
    <w:name w:val="year"/>
    <w:basedOn w:val="DefaultParagraphFont"/>
    <w:rsid w:val="0082659D"/>
  </w:style>
  <w:style w:type="character" w:customStyle="1" w:styleId="volume">
    <w:name w:val="volume"/>
    <w:basedOn w:val="DefaultParagraphFont"/>
    <w:rsid w:val="0082659D"/>
  </w:style>
  <w:style w:type="character" w:customStyle="1" w:styleId="issue">
    <w:name w:val="issue"/>
    <w:basedOn w:val="DefaultParagraphFont"/>
    <w:rsid w:val="0082659D"/>
  </w:style>
  <w:style w:type="character" w:customStyle="1" w:styleId="page">
    <w:name w:val="page"/>
    <w:basedOn w:val="DefaultParagraphFont"/>
    <w:rsid w:val="0082659D"/>
  </w:style>
  <w:style w:type="paragraph" w:styleId="FootnoteText">
    <w:name w:val="footnote text"/>
    <w:basedOn w:val="Normal"/>
    <w:link w:val="FootnoteTextChar"/>
    <w:uiPriority w:val="99"/>
    <w:semiHidden/>
    <w:unhideWhenUsed/>
    <w:rsid w:val="001808B4"/>
    <w:rPr>
      <w:sz w:val="20"/>
      <w:szCs w:val="20"/>
    </w:rPr>
  </w:style>
  <w:style w:type="character" w:customStyle="1" w:styleId="FootnoteTextChar">
    <w:name w:val="Footnote Text Char"/>
    <w:basedOn w:val="DefaultParagraphFont"/>
    <w:link w:val="FootnoteText"/>
    <w:uiPriority w:val="99"/>
    <w:semiHidden/>
    <w:rsid w:val="001808B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808B4"/>
    <w:rPr>
      <w:vertAlign w:val="superscript"/>
    </w:rPr>
  </w:style>
  <w:style w:type="character" w:customStyle="1" w:styleId="UnresolvedMention">
    <w:name w:val="Unresolved Mention"/>
    <w:basedOn w:val="DefaultParagraphFont"/>
    <w:uiPriority w:val="99"/>
    <w:semiHidden/>
    <w:unhideWhenUsed/>
    <w:rsid w:val="00BB5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11">
      <w:bodyDiv w:val="1"/>
      <w:marLeft w:val="0"/>
      <w:marRight w:val="0"/>
      <w:marTop w:val="0"/>
      <w:marBottom w:val="0"/>
      <w:divBdr>
        <w:top w:val="none" w:sz="0" w:space="0" w:color="auto"/>
        <w:left w:val="none" w:sz="0" w:space="0" w:color="auto"/>
        <w:bottom w:val="none" w:sz="0" w:space="0" w:color="auto"/>
        <w:right w:val="none" w:sz="0" w:space="0" w:color="auto"/>
      </w:divBdr>
    </w:div>
    <w:div w:id="9186429">
      <w:bodyDiv w:val="1"/>
      <w:marLeft w:val="0"/>
      <w:marRight w:val="0"/>
      <w:marTop w:val="0"/>
      <w:marBottom w:val="0"/>
      <w:divBdr>
        <w:top w:val="none" w:sz="0" w:space="0" w:color="auto"/>
        <w:left w:val="none" w:sz="0" w:space="0" w:color="auto"/>
        <w:bottom w:val="none" w:sz="0" w:space="0" w:color="auto"/>
        <w:right w:val="none" w:sz="0" w:space="0" w:color="auto"/>
      </w:divBdr>
    </w:div>
    <w:div w:id="86773666">
      <w:bodyDiv w:val="1"/>
      <w:marLeft w:val="0"/>
      <w:marRight w:val="0"/>
      <w:marTop w:val="0"/>
      <w:marBottom w:val="0"/>
      <w:divBdr>
        <w:top w:val="none" w:sz="0" w:space="0" w:color="auto"/>
        <w:left w:val="none" w:sz="0" w:space="0" w:color="auto"/>
        <w:bottom w:val="none" w:sz="0" w:space="0" w:color="auto"/>
        <w:right w:val="none" w:sz="0" w:space="0" w:color="auto"/>
      </w:divBdr>
      <w:divsChild>
        <w:div w:id="533352881">
          <w:marLeft w:val="0"/>
          <w:marRight w:val="0"/>
          <w:marTop w:val="0"/>
          <w:marBottom w:val="0"/>
          <w:divBdr>
            <w:top w:val="none" w:sz="0" w:space="0" w:color="auto"/>
            <w:left w:val="none" w:sz="0" w:space="0" w:color="auto"/>
            <w:bottom w:val="none" w:sz="0" w:space="0" w:color="auto"/>
            <w:right w:val="none" w:sz="0" w:space="0" w:color="auto"/>
          </w:divBdr>
        </w:div>
        <w:div w:id="349912425">
          <w:marLeft w:val="0"/>
          <w:marRight w:val="0"/>
          <w:marTop w:val="0"/>
          <w:marBottom w:val="0"/>
          <w:divBdr>
            <w:top w:val="none" w:sz="0" w:space="0" w:color="auto"/>
            <w:left w:val="none" w:sz="0" w:space="0" w:color="auto"/>
            <w:bottom w:val="none" w:sz="0" w:space="0" w:color="auto"/>
            <w:right w:val="none" w:sz="0" w:space="0" w:color="auto"/>
          </w:divBdr>
        </w:div>
      </w:divsChild>
    </w:div>
    <w:div w:id="179441758">
      <w:bodyDiv w:val="1"/>
      <w:marLeft w:val="0"/>
      <w:marRight w:val="0"/>
      <w:marTop w:val="0"/>
      <w:marBottom w:val="0"/>
      <w:divBdr>
        <w:top w:val="none" w:sz="0" w:space="0" w:color="auto"/>
        <w:left w:val="none" w:sz="0" w:space="0" w:color="auto"/>
        <w:bottom w:val="none" w:sz="0" w:space="0" w:color="auto"/>
        <w:right w:val="none" w:sz="0" w:space="0" w:color="auto"/>
      </w:divBdr>
      <w:divsChild>
        <w:div w:id="703867311">
          <w:marLeft w:val="0"/>
          <w:marRight w:val="0"/>
          <w:marTop w:val="0"/>
          <w:marBottom w:val="0"/>
          <w:divBdr>
            <w:top w:val="none" w:sz="0" w:space="0" w:color="auto"/>
            <w:left w:val="none" w:sz="0" w:space="0" w:color="auto"/>
            <w:bottom w:val="none" w:sz="0" w:space="0" w:color="auto"/>
            <w:right w:val="none" w:sz="0" w:space="0" w:color="auto"/>
          </w:divBdr>
        </w:div>
        <w:div w:id="1091392679">
          <w:marLeft w:val="0"/>
          <w:marRight w:val="0"/>
          <w:marTop w:val="0"/>
          <w:marBottom w:val="0"/>
          <w:divBdr>
            <w:top w:val="none" w:sz="0" w:space="0" w:color="auto"/>
            <w:left w:val="none" w:sz="0" w:space="0" w:color="auto"/>
            <w:bottom w:val="none" w:sz="0" w:space="0" w:color="auto"/>
            <w:right w:val="none" w:sz="0" w:space="0" w:color="auto"/>
          </w:divBdr>
        </w:div>
        <w:div w:id="1133787053">
          <w:marLeft w:val="0"/>
          <w:marRight w:val="0"/>
          <w:marTop w:val="0"/>
          <w:marBottom w:val="0"/>
          <w:divBdr>
            <w:top w:val="none" w:sz="0" w:space="0" w:color="auto"/>
            <w:left w:val="none" w:sz="0" w:space="0" w:color="auto"/>
            <w:bottom w:val="none" w:sz="0" w:space="0" w:color="auto"/>
            <w:right w:val="none" w:sz="0" w:space="0" w:color="auto"/>
          </w:divBdr>
        </w:div>
      </w:divsChild>
    </w:div>
    <w:div w:id="228417659">
      <w:bodyDiv w:val="1"/>
      <w:marLeft w:val="0"/>
      <w:marRight w:val="0"/>
      <w:marTop w:val="0"/>
      <w:marBottom w:val="0"/>
      <w:divBdr>
        <w:top w:val="none" w:sz="0" w:space="0" w:color="auto"/>
        <w:left w:val="none" w:sz="0" w:space="0" w:color="auto"/>
        <w:bottom w:val="none" w:sz="0" w:space="0" w:color="auto"/>
        <w:right w:val="none" w:sz="0" w:space="0" w:color="auto"/>
      </w:divBdr>
    </w:div>
    <w:div w:id="303854389">
      <w:bodyDiv w:val="1"/>
      <w:marLeft w:val="0"/>
      <w:marRight w:val="0"/>
      <w:marTop w:val="0"/>
      <w:marBottom w:val="0"/>
      <w:divBdr>
        <w:top w:val="none" w:sz="0" w:space="0" w:color="auto"/>
        <w:left w:val="none" w:sz="0" w:space="0" w:color="auto"/>
        <w:bottom w:val="none" w:sz="0" w:space="0" w:color="auto"/>
        <w:right w:val="none" w:sz="0" w:space="0" w:color="auto"/>
      </w:divBdr>
    </w:div>
    <w:div w:id="394160289">
      <w:bodyDiv w:val="1"/>
      <w:marLeft w:val="0"/>
      <w:marRight w:val="0"/>
      <w:marTop w:val="0"/>
      <w:marBottom w:val="0"/>
      <w:divBdr>
        <w:top w:val="none" w:sz="0" w:space="0" w:color="auto"/>
        <w:left w:val="none" w:sz="0" w:space="0" w:color="auto"/>
        <w:bottom w:val="none" w:sz="0" w:space="0" w:color="auto"/>
        <w:right w:val="none" w:sz="0" w:space="0" w:color="auto"/>
      </w:divBdr>
      <w:divsChild>
        <w:div w:id="74741476">
          <w:marLeft w:val="0"/>
          <w:marRight w:val="0"/>
          <w:marTop w:val="0"/>
          <w:marBottom w:val="0"/>
          <w:divBdr>
            <w:top w:val="none" w:sz="0" w:space="0" w:color="auto"/>
            <w:left w:val="none" w:sz="0" w:space="0" w:color="auto"/>
            <w:bottom w:val="none" w:sz="0" w:space="0" w:color="auto"/>
            <w:right w:val="none" w:sz="0" w:space="0" w:color="auto"/>
          </w:divBdr>
        </w:div>
        <w:div w:id="722827780">
          <w:marLeft w:val="0"/>
          <w:marRight w:val="0"/>
          <w:marTop w:val="0"/>
          <w:marBottom w:val="0"/>
          <w:divBdr>
            <w:top w:val="none" w:sz="0" w:space="0" w:color="auto"/>
            <w:left w:val="none" w:sz="0" w:space="0" w:color="auto"/>
            <w:bottom w:val="none" w:sz="0" w:space="0" w:color="auto"/>
            <w:right w:val="none" w:sz="0" w:space="0" w:color="auto"/>
          </w:divBdr>
        </w:div>
      </w:divsChild>
    </w:div>
    <w:div w:id="490340543">
      <w:bodyDiv w:val="1"/>
      <w:marLeft w:val="0"/>
      <w:marRight w:val="0"/>
      <w:marTop w:val="0"/>
      <w:marBottom w:val="0"/>
      <w:divBdr>
        <w:top w:val="none" w:sz="0" w:space="0" w:color="auto"/>
        <w:left w:val="none" w:sz="0" w:space="0" w:color="auto"/>
        <w:bottom w:val="none" w:sz="0" w:space="0" w:color="auto"/>
        <w:right w:val="none" w:sz="0" w:space="0" w:color="auto"/>
      </w:divBdr>
      <w:divsChild>
        <w:div w:id="1290673351">
          <w:marLeft w:val="547"/>
          <w:marRight w:val="0"/>
          <w:marTop w:val="154"/>
          <w:marBottom w:val="0"/>
          <w:divBdr>
            <w:top w:val="none" w:sz="0" w:space="0" w:color="auto"/>
            <w:left w:val="none" w:sz="0" w:space="0" w:color="auto"/>
            <w:bottom w:val="none" w:sz="0" w:space="0" w:color="auto"/>
            <w:right w:val="none" w:sz="0" w:space="0" w:color="auto"/>
          </w:divBdr>
        </w:div>
      </w:divsChild>
    </w:div>
    <w:div w:id="497580947">
      <w:bodyDiv w:val="1"/>
      <w:marLeft w:val="0"/>
      <w:marRight w:val="0"/>
      <w:marTop w:val="0"/>
      <w:marBottom w:val="0"/>
      <w:divBdr>
        <w:top w:val="none" w:sz="0" w:space="0" w:color="auto"/>
        <w:left w:val="none" w:sz="0" w:space="0" w:color="auto"/>
        <w:bottom w:val="none" w:sz="0" w:space="0" w:color="auto"/>
        <w:right w:val="none" w:sz="0" w:space="0" w:color="auto"/>
      </w:divBdr>
    </w:div>
    <w:div w:id="497816407">
      <w:bodyDiv w:val="1"/>
      <w:marLeft w:val="0"/>
      <w:marRight w:val="0"/>
      <w:marTop w:val="0"/>
      <w:marBottom w:val="0"/>
      <w:divBdr>
        <w:top w:val="none" w:sz="0" w:space="0" w:color="auto"/>
        <w:left w:val="none" w:sz="0" w:space="0" w:color="auto"/>
        <w:bottom w:val="none" w:sz="0" w:space="0" w:color="auto"/>
        <w:right w:val="none" w:sz="0" w:space="0" w:color="auto"/>
      </w:divBdr>
    </w:div>
    <w:div w:id="532234874">
      <w:bodyDiv w:val="1"/>
      <w:marLeft w:val="0"/>
      <w:marRight w:val="0"/>
      <w:marTop w:val="0"/>
      <w:marBottom w:val="0"/>
      <w:divBdr>
        <w:top w:val="none" w:sz="0" w:space="0" w:color="auto"/>
        <w:left w:val="none" w:sz="0" w:space="0" w:color="auto"/>
        <w:bottom w:val="none" w:sz="0" w:space="0" w:color="auto"/>
        <w:right w:val="none" w:sz="0" w:space="0" w:color="auto"/>
      </w:divBdr>
      <w:divsChild>
        <w:div w:id="391926926">
          <w:marLeft w:val="0"/>
          <w:marRight w:val="0"/>
          <w:marTop w:val="0"/>
          <w:marBottom w:val="0"/>
          <w:divBdr>
            <w:top w:val="none" w:sz="0" w:space="0" w:color="auto"/>
            <w:left w:val="none" w:sz="0" w:space="0" w:color="auto"/>
            <w:bottom w:val="none" w:sz="0" w:space="0" w:color="auto"/>
            <w:right w:val="none" w:sz="0" w:space="0" w:color="auto"/>
          </w:divBdr>
        </w:div>
        <w:div w:id="875697805">
          <w:marLeft w:val="0"/>
          <w:marRight w:val="0"/>
          <w:marTop w:val="0"/>
          <w:marBottom w:val="0"/>
          <w:divBdr>
            <w:top w:val="none" w:sz="0" w:space="0" w:color="auto"/>
            <w:left w:val="none" w:sz="0" w:space="0" w:color="auto"/>
            <w:bottom w:val="none" w:sz="0" w:space="0" w:color="auto"/>
            <w:right w:val="none" w:sz="0" w:space="0" w:color="auto"/>
          </w:divBdr>
        </w:div>
        <w:div w:id="1881551141">
          <w:marLeft w:val="0"/>
          <w:marRight w:val="0"/>
          <w:marTop w:val="0"/>
          <w:marBottom w:val="0"/>
          <w:divBdr>
            <w:top w:val="none" w:sz="0" w:space="0" w:color="auto"/>
            <w:left w:val="none" w:sz="0" w:space="0" w:color="auto"/>
            <w:bottom w:val="none" w:sz="0" w:space="0" w:color="auto"/>
            <w:right w:val="none" w:sz="0" w:space="0" w:color="auto"/>
          </w:divBdr>
        </w:div>
        <w:div w:id="1912931186">
          <w:marLeft w:val="0"/>
          <w:marRight w:val="0"/>
          <w:marTop w:val="0"/>
          <w:marBottom w:val="0"/>
          <w:divBdr>
            <w:top w:val="none" w:sz="0" w:space="0" w:color="auto"/>
            <w:left w:val="none" w:sz="0" w:space="0" w:color="auto"/>
            <w:bottom w:val="none" w:sz="0" w:space="0" w:color="auto"/>
            <w:right w:val="none" w:sz="0" w:space="0" w:color="auto"/>
          </w:divBdr>
        </w:div>
      </w:divsChild>
    </w:div>
    <w:div w:id="592477894">
      <w:bodyDiv w:val="1"/>
      <w:marLeft w:val="0"/>
      <w:marRight w:val="0"/>
      <w:marTop w:val="0"/>
      <w:marBottom w:val="0"/>
      <w:divBdr>
        <w:top w:val="none" w:sz="0" w:space="0" w:color="auto"/>
        <w:left w:val="none" w:sz="0" w:space="0" w:color="auto"/>
        <w:bottom w:val="none" w:sz="0" w:space="0" w:color="auto"/>
        <w:right w:val="none" w:sz="0" w:space="0" w:color="auto"/>
      </w:divBdr>
    </w:div>
    <w:div w:id="638803792">
      <w:bodyDiv w:val="1"/>
      <w:marLeft w:val="0"/>
      <w:marRight w:val="0"/>
      <w:marTop w:val="0"/>
      <w:marBottom w:val="0"/>
      <w:divBdr>
        <w:top w:val="none" w:sz="0" w:space="0" w:color="auto"/>
        <w:left w:val="none" w:sz="0" w:space="0" w:color="auto"/>
        <w:bottom w:val="none" w:sz="0" w:space="0" w:color="auto"/>
        <w:right w:val="none" w:sz="0" w:space="0" w:color="auto"/>
      </w:divBdr>
    </w:div>
    <w:div w:id="675692824">
      <w:bodyDiv w:val="1"/>
      <w:marLeft w:val="0"/>
      <w:marRight w:val="0"/>
      <w:marTop w:val="0"/>
      <w:marBottom w:val="0"/>
      <w:divBdr>
        <w:top w:val="none" w:sz="0" w:space="0" w:color="auto"/>
        <w:left w:val="none" w:sz="0" w:space="0" w:color="auto"/>
        <w:bottom w:val="none" w:sz="0" w:space="0" w:color="auto"/>
        <w:right w:val="none" w:sz="0" w:space="0" w:color="auto"/>
      </w:divBdr>
      <w:divsChild>
        <w:div w:id="1277635104">
          <w:marLeft w:val="0"/>
          <w:marRight w:val="0"/>
          <w:marTop w:val="0"/>
          <w:marBottom w:val="0"/>
          <w:divBdr>
            <w:top w:val="none" w:sz="0" w:space="0" w:color="auto"/>
            <w:left w:val="none" w:sz="0" w:space="0" w:color="auto"/>
            <w:bottom w:val="none" w:sz="0" w:space="0" w:color="auto"/>
            <w:right w:val="none" w:sz="0" w:space="0" w:color="auto"/>
          </w:divBdr>
        </w:div>
      </w:divsChild>
    </w:div>
    <w:div w:id="726801734">
      <w:bodyDiv w:val="1"/>
      <w:marLeft w:val="0"/>
      <w:marRight w:val="0"/>
      <w:marTop w:val="0"/>
      <w:marBottom w:val="0"/>
      <w:divBdr>
        <w:top w:val="none" w:sz="0" w:space="0" w:color="auto"/>
        <w:left w:val="none" w:sz="0" w:space="0" w:color="auto"/>
        <w:bottom w:val="none" w:sz="0" w:space="0" w:color="auto"/>
        <w:right w:val="none" w:sz="0" w:space="0" w:color="auto"/>
      </w:divBdr>
    </w:div>
    <w:div w:id="812409100">
      <w:bodyDiv w:val="1"/>
      <w:marLeft w:val="0"/>
      <w:marRight w:val="0"/>
      <w:marTop w:val="0"/>
      <w:marBottom w:val="0"/>
      <w:divBdr>
        <w:top w:val="none" w:sz="0" w:space="0" w:color="auto"/>
        <w:left w:val="none" w:sz="0" w:space="0" w:color="auto"/>
        <w:bottom w:val="none" w:sz="0" w:space="0" w:color="auto"/>
        <w:right w:val="none" w:sz="0" w:space="0" w:color="auto"/>
      </w:divBdr>
      <w:divsChild>
        <w:div w:id="1450128519">
          <w:marLeft w:val="0"/>
          <w:marRight w:val="0"/>
          <w:marTop w:val="0"/>
          <w:marBottom w:val="0"/>
          <w:divBdr>
            <w:top w:val="none" w:sz="0" w:space="0" w:color="auto"/>
            <w:left w:val="none" w:sz="0" w:space="0" w:color="auto"/>
            <w:bottom w:val="none" w:sz="0" w:space="0" w:color="auto"/>
            <w:right w:val="none" w:sz="0" w:space="0" w:color="auto"/>
          </w:divBdr>
        </w:div>
        <w:div w:id="1462385193">
          <w:marLeft w:val="0"/>
          <w:marRight w:val="0"/>
          <w:marTop w:val="0"/>
          <w:marBottom w:val="0"/>
          <w:divBdr>
            <w:top w:val="none" w:sz="0" w:space="0" w:color="auto"/>
            <w:left w:val="none" w:sz="0" w:space="0" w:color="auto"/>
            <w:bottom w:val="none" w:sz="0" w:space="0" w:color="auto"/>
            <w:right w:val="none" w:sz="0" w:space="0" w:color="auto"/>
          </w:divBdr>
        </w:div>
      </w:divsChild>
    </w:div>
    <w:div w:id="840389634">
      <w:bodyDiv w:val="1"/>
      <w:marLeft w:val="0"/>
      <w:marRight w:val="0"/>
      <w:marTop w:val="0"/>
      <w:marBottom w:val="0"/>
      <w:divBdr>
        <w:top w:val="none" w:sz="0" w:space="0" w:color="auto"/>
        <w:left w:val="none" w:sz="0" w:space="0" w:color="auto"/>
        <w:bottom w:val="none" w:sz="0" w:space="0" w:color="auto"/>
        <w:right w:val="none" w:sz="0" w:space="0" w:color="auto"/>
      </w:divBdr>
      <w:divsChild>
        <w:div w:id="1207252221">
          <w:marLeft w:val="0"/>
          <w:marRight w:val="0"/>
          <w:marTop w:val="0"/>
          <w:marBottom w:val="0"/>
          <w:divBdr>
            <w:top w:val="none" w:sz="0" w:space="0" w:color="auto"/>
            <w:left w:val="none" w:sz="0" w:space="0" w:color="auto"/>
            <w:bottom w:val="none" w:sz="0" w:space="0" w:color="auto"/>
            <w:right w:val="none" w:sz="0" w:space="0" w:color="auto"/>
          </w:divBdr>
        </w:div>
        <w:div w:id="1625116709">
          <w:marLeft w:val="0"/>
          <w:marRight w:val="0"/>
          <w:marTop w:val="0"/>
          <w:marBottom w:val="0"/>
          <w:divBdr>
            <w:top w:val="none" w:sz="0" w:space="0" w:color="auto"/>
            <w:left w:val="none" w:sz="0" w:space="0" w:color="auto"/>
            <w:bottom w:val="none" w:sz="0" w:space="0" w:color="auto"/>
            <w:right w:val="none" w:sz="0" w:space="0" w:color="auto"/>
          </w:divBdr>
        </w:div>
      </w:divsChild>
    </w:div>
    <w:div w:id="997879043">
      <w:bodyDiv w:val="1"/>
      <w:marLeft w:val="0"/>
      <w:marRight w:val="0"/>
      <w:marTop w:val="0"/>
      <w:marBottom w:val="0"/>
      <w:divBdr>
        <w:top w:val="none" w:sz="0" w:space="0" w:color="auto"/>
        <w:left w:val="none" w:sz="0" w:space="0" w:color="auto"/>
        <w:bottom w:val="none" w:sz="0" w:space="0" w:color="auto"/>
        <w:right w:val="none" w:sz="0" w:space="0" w:color="auto"/>
      </w:divBdr>
    </w:div>
    <w:div w:id="1059550593">
      <w:bodyDiv w:val="1"/>
      <w:marLeft w:val="0"/>
      <w:marRight w:val="0"/>
      <w:marTop w:val="0"/>
      <w:marBottom w:val="0"/>
      <w:divBdr>
        <w:top w:val="none" w:sz="0" w:space="0" w:color="auto"/>
        <w:left w:val="none" w:sz="0" w:space="0" w:color="auto"/>
        <w:bottom w:val="none" w:sz="0" w:space="0" w:color="auto"/>
        <w:right w:val="none" w:sz="0" w:space="0" w:color="auto"/>
      </w:divBdr>
    </w:div>
    <w:div w:id="1072000645">
      <w:bodyDiv w:val="1"/>
      <w:marLeft w:val="0"/>
      <w:marRight w:val="0"/>
      <w:marTop w:val="0"/>
      <w:marBottom w:val="0"/>
      <w:divBdr>
        <w:top w:val="none" w:sz="0" w:space="0" w:color="auto"/>
        <w:left w:val="none" w:sz="0" w:space="0" w:color="auto"/>
        <w:bottom w:val="none" w:sz="0" w:space="0" w:color="auto"/>
        <w:right w:val="none" w:sz="0" w:space="0" w:color="auto"/>
      </w:divBdr>
      <w:divsChild>
        <w:div w:id="2706647">
          <w:marLeft w:val="0"/>
          <w:marRight w:val="0"/>
          <w:marTop w:val="0"/>
          <w:marBottom w:val="0"/>
          <w:divBdr>
            <w:top w:val="none" w:sz="0" w:space="0" w:color="auto"/>
            <w:left w:val="none" w:sz="0" w:space="0" w:color="auto"/>
            <w:bottom w:val="none" w:sz="0" w:space="0" w:color="auto"/>
            <w:right w:val="none" w:sz="0" w:space="0" w:color="auto"/>
          </w:divBdr>
        </w:div>
        <w:div w:id="97144142">
          <w:marLeft w:val="0"/>
          <w:marRight w:val="0"/>
          <w:marTop w:val="0"/>
          <w:marBottom w:val="0"/>
          <w:divBdr>
            <w:top w:val="none" w:sz="0" w:space="0" w:color="auto"/>
            <w:left w:val="none" w:sz="0" w:space="0" w:color="auto"/>
            <w:bottom w:val="none" w:sz="0" w:space="0" w:color="auto"/>
            <w:right w:val="none" w:sz="0" w:space="0" w:color="auto"/>
          </w:divBdr>
        </w:div>
        <w:div w:id="918949997">
          <w:marLeft w:val="0"/>
          <w:marRight w:val="0"/>
          <w:marTop w:val="0"/>
          <w:marBottom w:val="0"/>
          <w:divBdr>
            <w:top w:val="none" w:sz="0" w:space="0" w:color="auto"/>
            <w:left w:val="none" w:sz="0" w:space="0" w:color="auto"/>
            <w:bottom w:val="none" w:sz="0" w:space="0" w:color="auto"/>
            <w:right w:val="none" w:sz="0" w:space="0" w:color="auto"/>
          </w:divBdr>
        </w:div>
        <w:div w:id="1018851594">
          <w:marLeft w:val="0"/>
          <w:marRight w:val="0"/>
          <w:marTop w:val="0"/>
          <w:marBottom w:val="0"/>
          <w:divBdr>
            <w:top w:val="none" w:sz="0" w:space="0" w:color="auto"/>
            <w:left w:val="none" w:sz="0" w:space="0" w:color="auto"/>
            <w:bottom w:val="none" w:sz="0" w:space="0" w:color="auto"/>
            <w:right w:val="none" w:sz="0" w:space="0" w:color="auto"/>
          </w:divBdr>
        </w:div>
        <w:div w:id="1154567500">
          <w:marLeft w:val="0"/>
          <w:marRight w:val="0"/>
          <w:marTop w:val="0"/>
          <w:marBottom w:val="0"/>
          <w:divBdr>
            <w:top w:val="none" w:sz="0" w:space="0" w:color="auto"/>
            <w:left w:val="none" w:sz="0" w:space="0" w:color="auto"/>
            <w:bottom w:val="none" w:sz="0" w:space="0" w:color="auto"/>
            <w:right w:val="none" w:sz="0" w:space="0" w:color="auto"/>
          </w:divBdr>
        </w:div>
        <w:div w:id="1168835491">
          <w:marLeft w:val="0"/>
          <w:marRight w:val="0"/>
          <w:marTop w:val="0"/>
          <w:marBottom w:val="0"/>
          <w:divBdr>
            <w:top w:val="none" w:sz="0" w:space="0" w:color="auto"/>
            <w:left w:val="none" w:sz="0" w:space="0" w:color="auto"/>
            <w:bottom w:val="none" w:sz="0" w:space="0" w:color="auto"/>
            <w:right w:val="none" w:sz="0" w:space="0" w:color="auto"/>
          </w:divBdr>
        </w:div>
        <w:div w:id="1722750652">
          <w:marLeft w:val="0"/>
          <w:marRight w:val="0"/>
          <w:marTop w:val="0"/>
          <w:marBottom w:val="0"/>
          <w:divBdr>
            <w:top w:val="none" w:sz="0" w:space="0" w:color="auto"/>
            <w:left w:val="none" w:sz="0" w:space="0" w:color="auto"/>
            <w:bottom w:val="none" w:sz="0" w:space="0" w:color="auto"/>
            <w:right w:val="none" w:sz="0" w:space="0" w:color="auto"/>
          </w:divBdr>
        </w:div>
        <w:div w:id="1915359790">
          <w:marLeft w:val="0"/>
          <w:marRight w:val="0"/>
          <w:marTop w:val="0"/>
          <w:marBottom w:val="0"/>
          <w:divBdr>
            <w:top w:val="none" w:sz="0" w:space="0" w:color="auto"/>
            <w:left w:val="none" w:sz="0" w:space="0" w:color="auto"/>
            <w:bottom w:val="none" w:sz="0" w:space="0" w:color="auto"/>
            <w:right w:val="none" w:sz="0" w:space="0" w:color="auto"/>
          </w:divBdr>
        </w:div>
      </w:divsChild>
    </w:div>
    <w:div w:id="1085145755">
      <w:bodyDiv w:val="1"/>
      <w:marLeft w:val="0"/>
      <w:marRight w:val="0"/>
      <w:marTop w:val="0"/>
      <w:marBottom w:val="0"/>
      <w:divBdr>
        <w:top w:val="none" w:sz="0" w:space="0" w:color="auto"/>
        <w:left w:val="none" w:sz="0" w:space="0" w:color="auto"/>
        <w:bottom w:val="none" w:sz="0" w:space="0" w:color="auto"/>
        <w:right w:val="none" w:sz="0" w:space="0" w:color="auto"/>
      </w:divBdr>
      <w:divsChild>
        <w:div w:id="94056653">
          <w:marLeft w:val="0"/>
          <w:marRight w:val="0"/>
          <w:marTop w:val="0"/>
          <w:marBottom w:val="0"/>
          <w:divBdr>
            <w:top w:val="none" w:sz="0" w:space="0" w:color="auto"/>
            <w:left w:val="none" w:sz="0" w:space="0" w:color="auto"/>
            <w:bottom w:val="none" w:sz="0" w:space="0" w:color="auto"/>
            <w:right w:val="none" w:sz="0" w:space="0" w:color="auto"/>
          </w:divBdr>
        </w:div>
      </w:divsChild>
    </w:div>
    <w:div w:id="1138298924">
      <w:bodyDiv w:val="1"/>
      <w:marLeft w:val="0"/>
      <w:marRight w:val="0"/>
      <w:marTop w:val="0"/>
      <w:marBottom w:val="0"/>
      <w:divBdr>
        <w:top w:val="none" w:sz="0" w:space="0" w:color="auto"/>
        <w:left w:val="none" w:sz="0" w:space="0" w:color="auto"/>
        <w:bottom w:val="none" w:sz="0" w:space="0" w:color="auto"/>
        <w:right w:val="none" w:sz="0" w:space="0" w:color="auto"/>
      </w:divBdr>
      <w:divsChild>
        <w:div w:id="3092887">
          <w:marLeft w:val="0"/>
          <w:marRight w:val="0"/>
          <w:marTop w:val="0"/>
          <w:marBottom w:val="0"/>
          <w:divBdr>
            <w:top w:val="none" w:sz="0" w:space="0" w:color="auto"/>
            <w:left w:val="none" w:sz="0" w:space="0" w:color="auto"/>
            <w:bottom w:val="none" w:sz="0" w:space="0" w:color="auto"/>
            <w:right w:val="none" w:sz="0" w:space="0" w:color="auto"/>
          </w:divBdr>
        </w:div>
        <w:div w:id="19671257">
          <w:marLeft w:val="0"/>
          <w:marRight w:val="0"/>
          <w:marTop w:val="0"/>
          <w:marBottom w:val="0"/>
          <w:divBdr>
            <w:top w:val="none" w:sz="0" w:space="0" w:color="auto"/>
            <w:left w:val="none" w:sz="0" w:space="0" w:color="auto"/>
            <w:bottom w:val="none" w:sz="0" w:space="0" w:color="auto"/>
            <w:right w:val="none" w:sz="0" w:space="0" w:color="auto"/>
          </w:divBdr>
        </w:div>
        <w:div w:id="54550927">
          <w:marLeft w:val="0"/>
          <w:marRight w:val="0"/>
          <w:marTop w:val="0"/>
          <w:marBottom w:val="0"/>
          <w:divBdr>
            <w:top w:val="none" w:sz="0" w:space="0" w:color="auto"/>
            <w:left w:val="none" w:sz="0" w:space="0" w:color="auto"/>
            <w:bottom w:val="none" w:sz="0" w:space="0" w:color="auto"/>
            <w:right w:val="none" w:sz="0" w:space="0" w:color="auto"/>
          </w:divBdr>
        </w:div>
        <w:div w:id="64183588">
          <w:marLeft w:val="0"/>
          <w:marRight w:val="0"/>
          <w:marTop w:val="0"/>
          <w:marBottom w:val="0"/>
          <w:divBdr>
            <w:top w:val="none" w:sz="0" w:space="0" w:color="auto"/>
            <w:left w:val="none" w:sz="0" w:space="0" w:color="auto"/>
            <w:bottom w:val="none" w:sz="0" w:space="0" w:color="auto"/>
            <w:right w:val="none" w:sz="0" w:space="0" w:color="auto"/>
          </w:divBdr>
        </w:div>
        <w:div w:id="66152219">
          <w:marLeft w:val="0"/>
          <w:marRight w:val="0"/>
          <w:marTop w:val="0"/>
          <w:marBottom w:val="0"/>
          <w:divBdr>
            <w:top w:val="none" w:sz="0" w:space="0" w:color="auto"/>
            <w:left w:val="none" w:sz="0" w:space="0" w:color="auto"/>
            <w:bottom w:val="none" w:sz="0" w:space="0" w:color="auto"/>
            <w:right w:val="none" w:sz="0" w:space="0" w:color="auto"/>
          </w:divBdr>
        </w:div>
        <w:div w:id="71901050">
          <w:marLeft w:val="0"/>
          <w:marRight w:val="0"/>
          <w:marTop w:val="0"/>
          <w:marBottom w:val="0"/>
          <w:divBdr>
            <w:top w:val="none" w:sz="0" w:space="0" w:color="auto"/>
            <w:left w:val="none" w:sz="0" w:space="0" w:color="auto"/>
            <w:bottom w:val="none" w:sz="0" w:space="0" w:color="auto"/>
            <w:right w:val="none" w:sz="0" w:space="0" w:color="auto"/>
          </w:divBdr>
        </w:div>
        <w:div w:id="84421336">
          <w:marLeft w:val="0"/>
          <w:marRight w:val="0"/>
          <w:marTop w:val="0"/>
          <w:marBottom w:val="0"/>
          <w:divBdr>
            <w:top w:val="none" w:sz="0" w:space="0" w:color="auto"/>
            <w:left w:val="none" w:sz="0" w:space="0" w:color="auto"/>
            <w:bottom w:val="none" w:sz="0" w:space="0" w:color="auto"/>
            <w:right w:val="none" w:sz="0" w:space="0" w:color="auto"/>
          </w:divBdr>
        </w:div>
        <w:div w:id="116031093">
          <w:marLeft w:val="0"/>
          <w:marRight w:val="0"/>
          <w:marTop w:val="0"/>
          <w:marBottom w:val="0"/>
          <w:divBdr>
            <w:top w:val="none" w:sz="0" w:space="0" w:color="auto"/>
            <w:left w:val="none" w:sz="0" w:space="0" w:color="auto"/>
            <w:bottom w:val="none" w:sz="0" w:space="0" w:color="auto"/>
            <w:right w:val="none" w:sz="0" w:space="0" w:color="auto"/>
          </w:divBdr>
        </w:div>
        <w:div w:id="131093861">
          <w:marLeft w:val="0"/>
          <w:marRight w:val="0"/>
          <w:marTop w:val="0"/>
          <w:marBottom w:val="0"/>
          <w:divBdr>
            <w:top w:val="none" w:sz="0" w:space="0" w:color="auto"/>
            <w:left w:val="none" w:sz="0" w:space="0" w:color="auto"/>
            <w:bottom w:val="none" w:sz="0" w:space="0" w:color="auto"/>
            <w:right w:val="none" w:sz="0" w:space="0" w:color="auto"/>
          </w:divBdr>
        </w:div>
        <w:div w:id="138152074">
          <w:marLeft w:val="0"/>
          <w:marRight w:val="0"/>
          <w:marTop w:val="0"/>
          <w:marBottom w:val="0"/>
          <w:divBdr>
            <w:top w:val="none" w:sz="0" w:space="0" w:color="auto"/>
            <w:left w:val="none" w:sz="0" w:space="0" w:color="auto"/>
            <w:bottom w:val="none" w:sz="0" w:space="0" w:color="auto"/>
            <w:right w:val="none" w:sz="0" w:space="0" w:color="auto"/>
          </w:divBdr>
        </w:div>
        <w:div w:id="149251778">
          <w:marLeft w:val="0"/>
          <w:marRight w:val="0"/>
          <w:marTop w:val="0"/>
          <w:marBottom w:val="0"/>
          <w:divBdr>
            <w:top w:val="none" w:sz="0" w:space="0" w:color="auto"/>
            <w:left w:val="none" w:sz="0" w:space="0" w:color="auto"/>
            <w:bottom w:val="none" w:sz="0" w:space="0" w:color="auto"/>
            <w:right w:val="none" w:sz="0" w:space="0" w:color="auto"/>
          </w:divBdr>
        </w:div>
        <w:div w:id="166944389">
          <w:marLeft w:val="0"/>
          <w:marRight w:val="0"/>
          <w:marTop w:val="0"/>
          <w:marBottom w:val="0"/>
          <w:divBdr>
            <w:top w:val="none" w:sz="0" w:space="0" w:color="auto"/>
            <w:left w:val="none" w:sz="0" w:space="0" w:color="auto"/>
            <w:bottom w:val="none" w:sz="0" w:space="0" w:color="auto"/>
            <w:right w:val="none" w:sz="0" w:space="0" w:color="auto"/>
          </w:divBdr>
        </w:div>
        <w:div w:id="177546344">
          <w:marLeft w:val="0"/>
          <w:marRight w:val="0"/>
          <w:marTop w:val="0"/>
          <w:marBottom w:val="0"/>
          <w:divBdr>
            <w:top w:val="none" w:sz="0" w:space="0" w:color="auto"/>
            <w:left w:val="none" w:sz="0" w:space="0" w:color="auto"/>
            <w:bottom w:val="none" w:sz="0" w:space="0" w:color="auto"/>
            <w:right w:val="none" w:sz="0" w:space="0" w:color="auto"/>
          </w:divBdr>
        </w:div>
        <w:div w:id="229266716">
          <w:marLeft w:val="0"/>
          <w:marRight w:val="0"/>
          <w:marTop w:val="0"/>
          <w:marBottom w:val="0"/>
          <w:divBdr>
            <w:top w:val="none" w:sz="0" w:space="0" w:color="auto"/>
            <w:left w:val="none" w:sz="0" w:space="0" w:color="auto"/>
            <w:bottom w:val="none" w:sz="0" w:space="0" w:color="auto"/>
            <w:right w:val="none" w:sz="0" w:space="0" w:color="auto"/>
          </w:divBdr>
        </w:div>
        <w:div w:id="254049251">
          <w:marLeft w:val="0"/>
          <w:marRight w:val="0"/>
          <w:marTop w:val="0"/>
          <w:marBottom w:val="0"/>
          <w:divBdr>
            <w:top w:val="none" w:sz="0" w:space="0" w:color="auto"/>
            <w:left w:val="none" w:sz="0" w:space="0" w:color="auto"/>
            <w:bottom w:val="none" w:sz="0" w:space="0" w:color="auto"/>
            <w:right w:val="none" w:sz="0" w:space="0" w:color="auto"/>
          </w:divBdr>
        </w:div>
        <w:div w:id="279381156">
          <w:marLeft w:val="0"/>
          <w:marRight w:val="0"/>
          <w:marTop w:val="0"/>
          <w:marBottom w:val="0"/>
          <w:divBdr>
            <w:top w:val="none" w:sz="0" w:space="0" w:color="auto"/>
            <w:left w:val="none" w:sz="0" w:space="0" w:color="auto"/>
            <w:bottom w:val="none" w:sz="0" w:space="0" w:color="auto"/>
            <w:right w:val="none" w:sz="0" w:space="0" w:color="auto"/>
          </w:divBdr>
        </w:div>
        <w:div w:id="319963467">
          <w:marLeft w:val="0"/>
          <w:marRight w:val="0"/>
          <w:marTop w:val="0"/>
          <w:marBottom w:val="0"/>
          <w:divBdr>
            <w:top w:val="none" w:sz="0" w:space="0" w:color="auto"/>
            <w:left w:val="none" w:sz="0" w:space="0" w:color="auto"/>
            <w:bottom w:val="none" w:sz="0" w:space="0" w:color="auto"/>
            <w:right w:val="none" w:sz="0" w:space="0" w:color="auto"/>
          </w:divBdr>
        </w:div>
        <w:div w:id="334190526">
          <w:marLeft w:val="0"/>
          <w:marRight w:val="0"/>
          <w:marTop w:val="0"/>
          <w:marBottom w:val="0"/>
          <w:divBdr>
            <w:top w:val="none" w:sz="0" w:space="0" w:color="auto"/>
            <w:left w:val="none" w:sz="0" w:space="0" w:color="auto"/>
            <w:bottom w:val="none" w:sz="0" w:space="0" w:color="auto"/>
            <w:right w:val="none" w:sz="0" w:space="0" w:color="auto"/>
          </w:divBdr>
        </w:div>
        <w:div w:id="349987908">
          <w:marLeft w:val="0"/>
          <w:marRight w:val="0"/>
          <w:marTop w:val="0"/>
          <w:marBottom w:val="0"/>
          <w:divBdr>
            <w:top w:val="none" w:sz="0" w:space="0" w:color="auto"/>
            <w:left w:val="none" w:sz="0" w:space="0" w:color="auto"/>
            <w:bottom w:val="none" w:sz="0" w:space="0" w:color="auto"/>
            <w:right w:val="none" w:sz="0" w:space="0" w:color="auto"/>
          </w:divBdr>
        </w:div>
        <w:div w:id="356976321">
          <w:marLeft w:val="0"/>
          <w:marRight w:val="0"/>
          <w:marTop w:val="0"/>
          <w:marBottom w:val="0"/>
          <w:divBdr>
            <w:top w:val="none" w:sz="0" w:space="0" w:color="auto"/>
            <w:left w:val="none" w:sz="0" w:space="0" w:color="auto"/>
            <w:bottom w:val="none" w:sz="0" w:space="0" w:color="auto"/>
            <w:right w:val="none" w:sz="0" w:space="0" w:color="auto"/>
          </w:divBdr>
        </w:div>
        <w:div w:id="361133027">
          <w:marLeft w:val="0"/>
          <w:marRight w:val="0"/>
          <w:marTop w:val="0"/>
          <w:marBottom w:val="0"/>
          <w:divBdr>
            <w:top w:val="none" w:sz="0" w:space="0" w:color="auto"/>
            <w:left w:val="none" w:sz="0" w:space="0" w:color="auto"/>
            <w:bottom w:val="none" w:sz="0" w:space="0" w:color="auto"/>
            <w:right w:val="none" w:sz="0" w:space="0" w:color="auto"/>
          </w:divBdr>
        </w:div>
        <w:div w:id="366806532">
          <w:marLeft w:val="0"/>
          <w:marRight w:val="0"/>
          <w:marTop w:val="0"/>
          <w:marBottom w:val="0"/>
          <w:divBdr>
            <w:top w:val="none" w:sz="0" w:space="0" w:color="auto"/>
            <w:left w:val="none" w:sz="0" w:space="0" w:color="auto"/>
            <w:bottom w:val="none" w:sz="0" w:space="0" w:color="auto"/>
            <w:right w:val="none" w:sz="0" w:space="0" w:color="auto"/>
          </w:divBdr>
        </w:div>
        <w:div w:id="370300027">
          <w:marLeft w:val="0"/>
          <w:marRight w:val="0"/>
          <w:marTop w:val="0"/>
          <w:marBottom w:val="0"/>
          <w:divBdr>
            <w:top w:val="none" w:sz="0" w:space="0" w:color="auto"/>
            <w:left w:val="none" w:sz="0" w:space="0" w:color="auto"/>
            <w:bottom w:val="none" w:sz="0" w:space="0" w:color="auto"/>
            <w:right w:val="none" w:sz="0" w:space="0" w:color="auto"/>
          </w:divBdr>
        </w:div>
        <w:div w:id="395788959">
          <w:marLeft w:val="0"/>
          <w:marRight w:val="0"/>
          <w:marTop w:val="0"/>
          <w:marBottom w:val="0"/>
          <w:divBdr>
            <w:top w:val="none" w:sz="0" w:space="0" w:color="auto"/>
            <w:left w:val="none" w:sz="0" w:space="0" w:color="auto"/>
            <w:bottom w:val="none" w:sz="0" w:space="0" w:color="auto"/>
            <w:right w:val="none" w:sz="0" w:space="0" w:color="auto"/>
          </w:divBdr>
        </w:div>
        <w:div w:id="421993186">
          <w:marLeft w:val="0"/>
          <w:marRight w:val="0"/>
          <w:marTop w:val="0"/>
          <w:marBottom w:val="0"/>
          <w:divBdr>
            <w:top w:val="none" w:sz="0" w:space="0" w:color="auto"/>
            <w:left w:val="none" w:sz="0" w:space="0" w:color="auto"/>
            <w:bottom w:val="none" w:sz="0" w:space="0" w:color="auto"/>
            <w:right w:val="none" w:sz="0" w:space="0" w:color="auto"/>
          </w:divBdr>
        </w:div>
        <w:div w:id="522132353">
          <w:marLeft w:val="0"/>
          <w:marRight w:val="0"/>
          <w:marTop w:val="0"/>
          <w:marBottom w:val="0"/>
          <w:divBdr>
            <w:top w:val="none" w:sz="0" w:space="0" w:color="auto"/>
            <w:left w:val="none" w:sz="0" w:space="0" w:color="auto"/>
            <w:bottom w:val="none" w:sz="0" w:space="0" w:color="auto"/>
            <w:right w:val="none" w:sz="0" w:space="0" w:color="auto"/>
          </w:divBdr>
        </w:div>
        <w:div w:id="548299672">
          <w:marLeft w:val="0"/>
          <w:marRight w:val="0"/>
          <w:marTop w:val="0"/>
          <w:marBottom w:val="0"/>
          <w:divBdr>
            <w:top w:val="none" w:sz="0" w:space="0" w:color="auto"/>
            <w:left w:val="none" w:sz="0" w:space="0" w:color="auto"/>
            <w:bottom w:val="none" w:sz="0" w:space="0" w:color="auto"/>
            <w:right w:val="none" w:sz="0" w:space="0" w:color="auto"/>
          </w:divBdr>
        </w:div>
        <w:div w:id="552932369">
          <w:marLeft w:val="0"/>
          <w:marRight w:val="0"/>
          <w:marTop w:val="0"/>
          <w:marBottom w:val="0"/>
          <w:divBdr>
            <w:top w:val="none" w:sz="0" w:space="0" w:color="auto"/>
            <w:left w:val="none" w:sz="0" w:space="0" w:color="auto"/>
            <w:bottom w:val="none" w:sz="0" w:space="0" w:color="auto"/>
            <w:right w:val="none" w:sz="0" w:space="0" w:color="auto"/>
          </w:divBdr>
        </w:div>
        <w:div w:id="558052695">
          <w:marLeft w:val="0"/>
          <w:marRight w:val="0"/>
          <w:marTop w:val="0"/>
          <w:marBottom w:val="0"/>
          <w:divBdr>
            <w:top w:val="none" w:sz="0" w:space="0" w:color="auto"/>
            <w:left w:val="none" w:sz="0" w:space="0" w:color="auto"/>
            <w:bottom w:val="none" w:sz="0" w:space="0" w:color="auto"/>
            <w:right w:val="none" w:sz="0" w:space="0" w:color="auto"/>
          </w:divBdr>
        </w:div>
        <w:div w:id="562836143">
          <w:marLeft w:val="0"/>
          <w:marRight w:val="0"/>
          <w:marTop w:val="0"/>
          <w:marBottom w:val="0"/>
          <w:divBdr>
            <w:top w:val="none" w:sz="0" w:space="0" w:color="auto"/>
            <w:left w:val="none" w:sz="0" w:space="0" w:color="auto"/>
            <w:bottom w:val="none" w:sz="0" w:space="0" w:color="auto"/>
            <w:right w:val="none" w:sz="0" w:space="0" w:color="auto"/>
          </w:divBdr>
        </w:div>
        <w:div w:id="579677589">
          <w:marLeft w:val="0"/>
          <w:marRight w:val="0"/>
          <w:marTop w:val="0"/>
          <w:marBottom w:val="0"/>
          <w:divBdr>
            <w:top w:val="none" w:sz="0" w:space="0" w:color="auto"/>
            <w:left w:val="none" w:sz="0" w:space="0" w:color="auto"/>
            <w:bottom w:val="none" w:sz="0" w:space="0" w:color="auto"/>
            <w:right w:val="none" w:sz="0" w:space="0" w:color="auto"/>
          </w:divBdr>
        </w:div>
        <w:div w:id="584806774">
          <w:marLeft w:val="0"/>
          <w:marRight w:val="0"/>
          <w:marTop w:val="0"/>
          <w:marBottom w:val="0"/>
          <w:divBdr>
            <w:top w:val="none" w:sz="0" w:space="0" w:color="auto"/>
            <w:left w:val="none" w:sz="0" w:space="0" w:color="auto"/>
            <w:bottom w:val="none" w:sz="0" w:space="0" w:color="auto"/>
            <w:right w:val="none" w:sz="0" w:space="0" w:color="auto"/>
          </w:divBdr>
        </w:div>
        <w:div w:id="589119308">
          <w:marLeft w:val="0"/>
          <w:marRight w:val="0"/>
          <w:marTop w:val="0"/>
          <w:marBottom w:val="0"/>
          <w:divBdr>
            <w:top w:val="none" w:sz="0" w:space="0" w:color="auto"/>
            <w:left w:val="none" w:sz="0" w:space="0" w:color="auto"/>
            <w:bottom w:val="none" w:sz="0" w:space="0" w:color="auto"/>
            <w:right w:val="none" w:sz="0" w:space="0" w:color="auto"/>
          </w:divBdr>
        </w:div>
        <w:div w:id="592516870">
          <w:marLeft w:val="0"/>
          <w:marRight w:val="0"/>
          <w:marTop w:val="0"/>
          <w:marBottom w:val="0"/>
          <w:divBdr>
            <w:top w:val="none" w:sz="0" w:space="0" w:color="auto"/>
            <w:left w:val="none" w:sz="0" w:space="0" w:color="auto"/>
            <w:bottom w:val="none" w:sz="0" w:space="0" w:color="auto"/>
            <w:right w:val="none" w:sz="0" w:space="0" w:color="auto"/>
          </w:divBdr>
        </w:div>
        <w:div w:id="599339444">
          <w:marLeft w:val="0"/>
          <w:marRight w:val="0"/>
          <w:marTop w:val="0"/>
          <w:marBottom w:val="0"/>
          <w:divBdr>
            <w:top w:val="none" w:sz="0" w:space="0" w:color="auto"/>
            <w:left w:val="none" w:sz="0" w:space="0" w:color="auto"/>
            <w:bottom w:val="none" w:sz="0" w:space="0" w:color="auto"/>
            <w:right w:val="none" w:sz="0" w:space="0" w:color="auto"/>
          </w:divBdr>
        </w:div>
        <w:div w:id="617371977">
          <w:marLeft w:val="0"/>
          <w:marRight w:val="0"/>
          <w:marTop w:val="0"/>
          <w:marBottom w:val="0"/>
          <w:divBdr>
            <w:top w:val="none" w:sz="0" w:space="0" w:color="auto"/>
            <w:left w:val="none" w:sz="0" w:space="0" w:color="auto"/>
            <w:bottom w:val="none" w:sz="0" w:space="0" w:color="auto"/>
            <w:right w:val="none" w:sz="0" w:space="0" w:color="auto"/>
          </w:divBdr>
        </w:div>
        <w:div w:id="661157488">
          <w:marLeft w:val="0"/>
          <w:marRight w:val="0"/>
          <w:marTop w:val="0"/>
          <w:marBottom w:val="0"/>
          <w:divBdr>
            <w:top w:val="none" w:sz="0" w:space="0" w:color="auto"/>
            <w:left w:val="none" w:sz="0" w:space="0" w:color="auto"/>
            <w:bottom w:val="none" w:sz="0" w:space="0" w:color="auto"/>
            <w:right w:val="none" w:sz="0" w:space="0" w:color="auto"/>
          </w:divBdr>
        </w:div>
        <w:div w:id="682630592">
          <w:marLeft w:val="0"/>
          <w:marRight w:val="0"/>
          <w:marTop w:val="0"/>
          <w:marBottom w:val="0"/>
          <w:divBdr>
            <w:top w:val="none" w:sz="0" w:space="0" w:color="auto"/>
            <w:left w:val="none" w:sz="0" w:space="0" w:color="auto"/>
            <w:bottom w:val="none" w:sz="0" w:space="0" w:color="auto"/>
            <w:right w:val="none" w:sz="0" w:space="0" w:color="auto"/>
          </w:divBdr>
        </w:div>
        <w:div w:id="689601814">
          <w:marLeft w:val="0"/>
          <w:marRight w:val="0"/>
          <w:marTop w:val="0"/>
          <w:marBottom w:val="0"/>
          <w:divBdr>
            <w:top w:val="none" w:sz="0" w:space="0" w:color="auto"/>
            <w:left w:val="none" w:sz="0" w:space="0" w:color="auto"/>
            <w:bottom w:val="none" w:sz="0" w:space="0" w:color="auto"/>
            <w:right w:val="none" w:sz="0" w:space="0" w:color="auto"/>
          </w:divBdr>
        </w:div>
        <w:div w:id="697123395">
          <w:marLeft w:val="0"/>
          <w:marRight w:val="0"/>
          <w:marTop w:val="0"/>
          <w:marBottom w:val="0"/>
          <w:divBdr>
            <w:top w:val="none" w:sz="0" w:space="0" w:color="auto"/>
            <w:left w:val="none" w:sz="0" w:space="0" w:color="auto"/>
            <w:bottom w:val="none" w:sz="0" w:space="0" w:color="auto"/>
            <w:right w:val="none" w:sz="0" w:space="0" w:color="auto"/>
          </w:divBdr>
        </w:div>
        <w:div w:id="704990062">
          <w:marLeft w:val="0"/>
          <w:marRight w:val="0"/>
          <w:marTop w:val="0"/>
          <w:marBottom w:val="0"/>
          <w:divBdr>
            <w:top w:val="none" w:sz="0" w:space="0" w:color="auto"/>
            <w:left w:val="none" w:sz="0" w:space="0" w:color="auto"/>
            <w:bottom w:val="none" w:sz="0" w:space="0" w:color="auto"/>
            <w:right w:val="none" w:sz="0" w:space="0" w:color="auto"/>
          </w:divBdr>
        </w:div>
        <w:div w:id="709382226">
          <w:marLeft w:val="0"/>
          <w:marRight w:val="0"/>
          <w:marTop w:val="0"/>
          <w:marBottom w:val="0"/>
          <w:divBdr>
            <w:top w:val="none" w:sz="0" w:space="0" w:color="auto"/>
            <w:left w:val="none" w:sz="0" w:space="0" w:color="auto"/>
            <w:bottom w:val="none" w:sz="0" w:space="0" w:color="auto"/>
            <w:right w:val="none" w:sz="0" w:space="0" w:color="auto"/>
          </w:divBdr>
        </w:div>
        <w:div w:id="715469876">
          <w:marLeft w:val="0"/>
          <w:marRight w:val="0"/>
          <w:marTop w:val="0"/>
          <w:marBottom w:val="0"/>
          <w:divBdr>
            <w:top w:val="none" w:sz="0" w:space="0" w:color="auto"/>
            <w:left w:val="none" w:sz="0" w:space="0" w:color="auto"/>
            <w:bottom w:val="none" w:sz="0" w:space="0" w:color="auto"/>
            <w:right w:val="none" w:sz="0" w:space="0" w:color="auto"/>
          </w:divBdr>
        </w:div>
        <w:div w:id="717826551">
          <w:marLeft w:val="0"/>
          <w:marRight w:val="0"/>
          <w:marTop w:val="0"/>
          <w:marBottom w:val="0"/>
          <w:divBdr>
            <w:top w:val="none" w:sz="0" w:space="0" w:color="auto"/>
            <w:left w:val="none" w:sz="0" w:space="0" w:color="auto"/>
            <w:bottom w:val="none" w:sz="0" w:space="0" w:color="auto"/>
            <w:right w:val="none" w:sz="0" w:space="0" w:color="auto"/>
          </w:divBdr>
        </w:div>
        <w:div w:id="757681100">
          <w:marLeft w:val="0"/>
          <w:marRight w:val="0"/>
          <w:marTop w:val="0"/>
          <w:marBottom w:val="0"/>
          <w:divBdr>
            <w:top w:val="none" w:sz="0" w:space="0" w:color="auto"/>
            <w:left w:val="none" w:sz="0" w:space="0" w:color="auto"/>
            <w:bottom w:val="none" w:sz="0" w:space="0" w:color="auto"/>
            <w:right w:val="none" w:sz="0" w:space="0" w:color="auto"/>
          </w:divBdr>
        </w:div>
        <w:div w:id="765612788">
          <w:marLeft w:val="0"/>
          <w:marRight w:val="0"/>
          <w:marTop w:val="0"/>
          <w:marBottom w:val="0"/>
          <w:divBdr>
            <w:top w:val="none" w:sz="0" w:space="0" w:color="auto"/>
            <w:left w:val="none" w:sz="0" w:space="0" w:color="auto"/>
            <w:bottom w:val="none" w:sz="0" w:space="0" w:color="auto"/>
            <w:right w:val="none" w:sz="0" w:space="0" w:color="auto"/>
          </w:divBdr>
        </w:div>
        <w:div w:id="769086364">
          <w:marLeft w:val="0"/>
          <w:marRight w:val="0"/>
          <w:marTop w:val="0"/>
          <w:marBottom w:val="0"/>
          <w:divBdr>
            <w:top w:val="none" w:sz="0" w:space="0" w:color="auto"/>
            <w:left w:val="none" w:sz="0" w:space="0" w:color="auto"/>
            <w:bottom w:val="none" w:sz="0" w:space="0" w:color="auto"/>
            <w:right w:val="none" w:sz="0" w:space="0" w:color="auto"/>
          </w:divBdr>
        </w:div>
        <w:div w:id="775905164">
          <w:marLeft w:val="0"/>
          <w:marRight w:val="0"/>
          <w:marTop w:val="0"/>
          <w:marBottom w:val="0"/>
          <w:divBdr>
            <w:top w:val="none" w:sz="0" w:space="0" w:color="auto"/>
            <w:left w:val="none" w:sz="0" w:space="0" w:color="auto"/>
            <w:bottom w:val="none" w:sz="0" w:space="0" w:color="auto"/>
            <w:right w:val="none" w:sz="0" w:space="0" w:color="auto"/>
          </w:divBdr>
        </w:div>
        <w:div w:id="821385454">
          <w:marLeft w:val="0"/>
          <w:marRight w:val="0"/>
          <w:marTop w:val="0"/>
          <w:marBottom w:val="0"/>
          <w:divBdr>
            <w:top w:val="none" w:sz="0" w:space="0" w:color="auto"/>
            <w:left w:val="none" w:sz="0" w:space="0" w:color="auto"/>
            <w:bottom w:val="none" w:sz="0" w:space="0" w:color="auto"/>
            <w:right w:val="none" w:sz="0" w:space="0" w:color="auto"/>
          </w:divBdr>
        </w:div>
        <w:div w:id="887109188">
          <w:marLeft w:val="0"/>
          <w:marRight w:val="0"/>
          <w:marTop w:val="0"/>
          <w:marBottom w:val="0"/>
          <w:divBdr>
            <w:top w:val="none" w:sz="0" w:space="0" w:color="auto"/>
            <w:left w:val="none" w:sz="0" w:space="0" w:color="auto"/>
            <w:bottom w:val="none" w:sz="0" w:space="0" w:color="auto"/>
            <w:right w:val="none" w:sz="0" w:space="0" w:color="auto"/>
          </w:divBdr>
        </w:div>
        <w:div w:id="916402112">
          <w:marLeft w:val="0"/>
          <w:marRight w:val="0"/>
          <w:marTop w:val="0"/>
          <w:marBottom w:val="0"/>
          <w:divBdr>
            <w:top w:val="none" w:sz="0" w:space="0" w:color="auto"/>
            <w:left w:val="none" w:sz="0" w:space="0" w:color="auto"/>
            <w:bottom w:val="none" w:sz="0" w:space="0" w:color="auto"/>
            <w:right w:val="none" w:sz="0" w:space="0" w:color="auto"/>
          </w:divBdr>
        </w:div>
        <w:div w:id="927739046">
          <w:marLeft w:val="0"/>
          <w:marRight w:val="0"/>
          <w:marTop w:val="0"/>
          <w:marBottom w:val="0"/>
          <w:divBdr>
            <w:top w:val="none" w:sz="0" w:space="0" w:color="auto"/>
            <w:left w:val="none" w:sz="0" w:space="0" w:color="auto"/>
            <w:bottom w:val="none" w:sz="0" w:space="0" w:color="auto"/>
            <w:right w:val="none" w:sz="0" w:space="0" w:color="auto"/>
          </w:divBdr>
        </w:div>
        <w:div w:id="931161515">
          <w:marLeft w:val="0"/>
          <w:marRight w:val="0"/>
          <w:marTop w:val="0"/>
          <w:marBottom w:val="0"/>
          <w:divBdr>
            <w:top w:val="none" w:sz="0" w:space="0" w:color="auto"/>
            <w:left w:val="none" w:sz="0" w:space="0" w:color="auto"/>
            <w:bottom w:val="none" w:sz="0" w:space="0" w:color="auto"/>
            <w:right w:val="none" w:sz="0" w:space="0" w:color="auto"/>
          </w:divBdr>
        </w:div>
        <w:div w:id="931358927">
          <w:marLeft w:val="0"/>
          <w:marRight w:val="0"/>
          <w:marTop w:val="0"/>
          <w:marBottom w:val="0"/>
          <w:divBdr>
            <w:top w:val="none" w:sz="0" w:space="0" w:color="auto"/>
            <w:left w:val="none" w:sz="0" w:space="0" w:color="auto"/>
            <w:bottom w:val="none" w:sz="0" w:space="0" w:color="auto"/>
            <w:right w:val="none" w:sz="0" w:space="0" w:color="auto"/>
          </w:divBdr>
        </w:div>
        <w:div w:id="936861443">
          <w:marLeft w:val="0"/>
          <w:marRight w:val="0"/>
          <w:marTop w:val="0"/>
          <w:marBottom w:val="0"/>
          <w:divBdr>
            <w:top w:val="none" w:sz="0" w:space="0" w:color="auto"/>
            <w:left w:val="none" w:sz="0" w:space="0" w:color="auto"/>
            <w:bottom w:val="none" w:sz="0" w:space="0" w:color="auto"/>
            <w:right w:val="none" w:sz="0" w:space="0" w:color="auto"/>
          </w:divBdr>
        </w:div>
        <w:div w:id="982849292">
          <w:marLeft w:val="0"/>
          <w:marRight w:val="0"/>
          <w:marTop w:val="0"/>
          <w:marBottom w:val="0"/>
          <w:divBdr>
            <w:top w:val="none" w:sz="0" w:space="0" w:color="auto"/>
            <w:left w:val="none" w:sz="0" w:space="0" w:color="auto"/>
            <w:bottom w:val="none" w:sz="0" w:space="0" w:color="auto"/>
            <w:right w:val="none" w:sz="0" w:space="0" w:color="auto"/>
          </w:divBdr>
        </w:div>
        <w:div w:id="986133897">
          <w:marLeft w:val="0"/>
          <w:marRight w:val="0"/>
          <w:marTop w:val="0"/>
          <w:marBottom w:val="0"/>
          <w:divBdr>
            <w:top w:val="none" w:sz="0" w:space="0" w:color="auto"/>
            <w:left w:val="none" w:sz="0" w:space="0" w:color="auto"/>
            <w:bottom w:val="none" w:sz="0" w:space="0" w:color="auto"/>
            <w:right w:val="none" w:sz="0" w:space="0" w:color="auto"/>
          </w:divBdr>
        </w:div>
        <w:div w:id="994380947">
          <w:marLeft w:val="0"/>
          <w:marRight w:val="0"/>
          <w:marTop w:val="0"/>
          <w:marBottom w:val="0"/>
          <w:divBdr>
            <w:top w:val="none" w:sz="0" w:space="0" w:color="auto"/>
            <w:left w:val="none" w:sz="0" w:space="0" w:color="auto"/>
            <w:bottom w:val="none" w:sz="0" w:space="0" w:color="auto"/>
            <w:right w:val="none" w:sz="0" w:space="0" w:color="auto"/>
          </w:divBdr>
        </w:div>
        <w:div w:id="1017344896">
          <w:marLeft w:val="0"/>
          <w:marRight w:val="0"/>
          <w:marTop w:val="0"/>
          <w:marBottom w:val="0"/>
          <w:divBdr>
            <w:top w:val="none" w:sz="0" w:space="0" w:color="auto"/>
            <w:left w:val="none" w:sz="0" w:space="0" w:color="auto"/>
            <w:bottom w:val="none" w:sz="0" w:space="0" w:color="auto"/>
            <w:right w:val="none" w:sz="0" w:space="0" w:color="auto"/>
          </w:divBdr>
        </w:div>
        <w:div w:id="1017463362">
          <w:marLeft w:val="0"/>
          <w:marRight w:val="0"/>
          <w:marTop w:val="0"/>
          <w:marBottom w:val="0"/>
          <w:divBdr>
            <w:top w:val="none" w:sz="0" w:space="0" w:color="auto"/>
            <w:left w:val="none" w:sz="0" w:space="0" w:color="auto"/>
            <w:bottom w:val="none" w:sz="0" w:space="0" w:color="auto"/>
            <w:right w:val="none" w:sz="0" w:space="0" w:color="auto"/>
          </w:divBdr>
        </w:div>
        <w:div w:id="1044989860">
          <w:marLeft w:val="0"/>
          <w:marRight w:val="0"/>
          <w:marTop w:val="0"/>
          <w:marBottom w:val="0"/>
          <w:divBdr>
            <w:top w:val="none" w:sz="0" w:space="0" w:color="auto"/>
            <w:left w:val="none" w:sz="0" w:space="0" w:color="auto"/>
            <w:bottom w:val="none" w:sz="0" w:space="0" w:color="auto"/>
            <w:right w:val="none" w:sz="0" w:space="0" w:color="auto"/>
          </w:divBdr>
        </w:div>
        <w:div w:id="1058746954">
          <w:marLeft w:val="0"/>
          <w:marRight w:val="0"/>
          <w:marTop w:val="0"/>
          <w:marBottom w:val="0"/>
          <w:divBdr>
            <w:top w:val="none" w:sz="0" w:space="0" w:color="auto"/>
            <w:left w:val="none" w:sz="0" w:space="0" w:color="auto"/>
            <w:bottom w:val="none" w:sz="0" w:space="0" w:color="auto"/>
            <w:right w:val="none" w:sz="0" w:space="0" w:color="auto"/>
          </w:divBdr>
        </w:div>
        <w:div w:id="1083139187">
          <w:marLeft w:val="0"/>
          <w:marRight w:val="0"/>
          <w:marTop w:val="0"/>
          <w:marBottom w:val="0"/>
          <w:divBdr>
            <w:top w:val="none" w:sz="0" w:space="0" w:color="auto"/>
            <w:left w:val="none" w:sz="0" w:space="0" w:color="auto"/>
            <w:bottom w:val="none" w:sz="0" w:space="0" w:color="auto"/>
            <w:right w:val="none" w:sz="0" w:space="0" w:color="auto"/>
          </w:divBdr>
        </w:div>
        <w:div w:id="1093011574">
          <w:marLeft w:val="0"/>
          <w:marRight w:val="0"/>
          <w:marTop w:val="0"/>
          <w:marBottom w:val="0"/>
          <w:divBdr>
            <w:top w:val="none" w:sz="0" w:space="0" w:color="auto"/>
            <w:left w:val="none" w:sz="0" w:space="0" w:color="auto"/>
            <w:bottom w:val="none" w:sz="0" w:space="0" w:color="auto"/>
            <w:right w:val="none" w:sz="0" w:space="0" w:color="auto"/>
          </w:divBdr>
        </w:div>
        <w:div w:id="1113861299">
          <w:marLeft w:val="0"/>
          <w:marRight w:val="0"/>
          <w:marTop w:val="0"/>
          <w:marBottom w:val="0"/>
          <w:divBdr>
            <w:top w:val="none" w:sz="0" w:space="0" w:color="auto"/>
            <w:left w:val="none" w:sz="0" w:space="0" w:color="auto"/>
            <w:bottom w:val="none" w:sz="0" w:space="0" w:color="auto"/>
            <w:right w:val="none" w:sz="0" w:space="0" w:color="auto"/>
          </w:divBdr>
        </w:div>
        <w:div w:id="1120999923">
          <w:marLeft w:val="0"/>
          <w:marRight w:val="0"/>
          <w:marTop w:val="0"/>
          <w:marBottom w:val="0"/>
          <w:divBdr>
            <w:top w:val="none" w:sz="0" w:space="0" w:color="auto"/>
            <w:left w:val="none" w:sz="0" w:space="0" w:color="auto"/>
            <w:bottom w:val="none" w:sz="0" w:space="0" w:color="auto"/>
            <w:right w:val="none" w:sz="0" w:space="0" w:color="auto"/>
          </w:divBdr>
        </w:div>
        <w:div w:id="1129395173">
          <w:marLeft w:val="0"/>
          <w:marRight w:val="0"/>
          <w:marTop w:val="0"/>
          <w:marBottom w:val="0"/>
          <w:divBdr>
            <w:top w:val="none" w:sz="0" w:space="0" w:color="auto"/>
            <w:left w:val="none" w:sz="0" w:space="0" w:color="auto"/>
            <w:bottom w:val="none" w:sz="0" w:space="0" w:color="auto"/>
            <w:right w:val="none" w:sz="0" w:space="0" w:color="auto"/>
          </w:divBdr>
        </w:div>
        <w:div w:id="1175263933">
          <w:marLeft w:val="0"/>
          <w:marRight w:val="0"/>
          <w:marTop w:val="0"/>
          <w:marBottom w:val="0"/>
          <w:divBdr>
            <w:top w:val="none" w:sz="0" w:space="0" w:color="auto"/>
            <w:left w:val="none" w:sz="0" w:space="0" w:color="auto"/>
            <w:bottom w:val="none" w:sz="0" w:space="0" w:color="auto"/>
            <w:right w:val="none" w:sz="0" w:space="0" w:color="auto"/>
          </w:divBdr>
        </w:div>
        <w:div w:id="1187792293">
          <w:marLeft w:val="0"/>
          <w:marRight w:val="0"/>
          <w:marTop w:val="0"/>
          <w:marBottom w:val="0"/>
          <w:divBdr>
            <w:top w:val="none" w:sz="0" w:space="0" w:color="auto"/>
            <w:left w:val="none" w:sz="0" w:space="0" w:color="auto"/>
            <w:bottom w:val="none" w:sz="0" w:space="0" w:color="auto"/>
            <w:right w:val="none" w:sz="0" w:space="0" w:color="auto"/>
          </w:divBdr>
        </w:div>
        <w:div w:id="1195924720">
          <w:marLeft w:val="0"/>
          <w:marRight w:val="0"/>
          <w:marTop w:val="0"/>
          <w:marBottom w:val="0"/>
          <w:divBdr>
            <w:top w:val="none" w:sz="0" w:space="0" w:color="auto"/>
            <w:left w:val="none" w:sz="0" w:space="0" w:color="auto"/>
            <w:bottom w:val="none" w:sz="0" w:space="0" w:color="auto"/>
            <w:right w:val="none" w:sz="0" w:space="0" w:color="auto"/>
          </w:divBdr>
        </w:div>
        <w:div w:id="1205753858">
          <w:marLeft w:val="0"/>
          <w:marRight w:val="0"/>
          <w:marTop w:val="0"/>
          <w:marBottom w:val="0"/>
          <w:divBdr>
            <w:top w:val="none" w:sz="0" w:space="0" w:color="auto"/>
            <w:left w:val="none" w:sz="0" w:space="0" w:color="auto"/>
            <w:bottom w:val="none" w:sz="0" w:space="0" w:color="auto"/>
            <w:right w:val="none" w:sz="0" w:space="0" w:color="auto"/>
          </w:divBdr>
        </w:div>
        <w:div w:id="1213997632">
          <w:marLeft w:val="0"/>
          <w:marRight w:val="0"/>
          <w:marTop w:val="0"/>
          <w:marBottom w:val="0"/>
          <w:divBdr>
            <w:top w:val="none" w:sz="0" w:space="0" w:color="auto"/>
            <w:left w:val="none" w:sz="0" w:space="0" w:color="auto"/>
            <w:bottom w:val="none" w:sz="0" w:space="0" w:color="auto"/>
            <w:right w:val="none" w:sz="0" w:space="0" w:color="auto"/>
          </w:divBdr>
        </w:div>
        <w:div w:id="1239170071">
          <w:marLeft w:val="0"/>
          <w:marRight w:val="0"/>
          <w:marTop w:val="0"/>
          <w:marBottom w:val="0"/>
          <w:divBdr>
            <w:top w:val="none" w:sz="0" w:space="0" w:color="auto"/>
            <w:left w:val="none" w:sz="0" w:space="0" w:color="auto"/>
            <w:bottom w:val="none" w:sz="0" w:space="0" w:color="auto"/>
            <w:right w:val="none" w:sz="0" w:space="0" w:color="auto"/>
          </w:divBdr>
        </w:div>
        <w:div w:id="1271862615">
          <w:marLeft w:val="0"/>
          <w:marRight w:val="0"/>
          <w:marTop w:val="0"/>
          <w:marBottom w:val="0"/>
          <w:divBdr>
            <w:top w:val="none" w:sz="0" w:space="0" w:color="auto"/>
            <w:left w:val="none" w:sz="0" w:space="0" w:color="auto"/>
            <w:bottom w:val="none" w:sz="0" w:space="0" w:color="auto"/>
            <w:right w:val="none" w:sz="0" w:space="0" w:color="auto"/>
          </w:divBdr>
        </w:div>
        <w:div w:id="1303922698">
          <w:marLeft w:val="0"/>
          <w:marRight w:val="0"/>
          <w:marTop w:val="0"/>
          <w:marBottom w:val="0"/>
          <w:divBdr>
            <w:top w:val="none" w:sz="0" w:space="0" w:color="auto"/>
            <w:left w:val="none" w:sz="0" w:space="0" w:color="auto"/>
            <w:bottom w:val="none" w:sz="0" w:space="0" w:color="auto"/>
            <w:right w:val="none" w:sz="0" w:space="0" w:color="auto"/>
          </w:divBdr>
        </w:div>
        <w:div w:id="1311321448">
          <w:marLeft w:val="0"/>
          <w:marRight w:val="0"/>
          <w:marTop w:val="0"/>
          <w:marBottom w:val="0"/>
          <w:divBdr>
            <w:top w:val="none" w:sz="0" w:space="0" w:color="auto"/>
            <w:left w:val="none" w:sz="0" w:space="0" w:color="auto"/>
            <w:bottom w:val="none" w:sz="0" w:space="0" w:color="auto"/>
            <w:right w:val="none" w:sz="0" w:space="0" w:color="auto"/>
          </w:divBdr>
        </w:div>
        <w:div w:id="1320840332">
          <w:marLeft w:val="0"/>
          <w:marRight w:val="0"/>
          <w:marTop w:val="0"/>
          <w:marBottom w:val="0"/>
          <w:divBdr>
            <w:top w:val="none" w:sz="0" w:space="0" w:color="auto"/>
            <w:left w:val="none" w:sz="0" w:space="0" w:color="auto"/>
            <w:bottom w:val="none" w:sz="0" w:space="0" w:color="auto"/>
            <w:right w:val="none" w:sz="0" w:space="0" w:color="auto"/>
          </w:divBdr>
        </w:div>
        <w:div w:id="1374500407">
          <w:marLeft w:val="0"/>
          <w:marRight w:val="0"/>
          <w:marTop w:val="0"/>
          <w:marBottom w:val="0"/>
          <w:divBdr>
            <w:top w:val="none" w:sz="0" w:space="0" w:color="auto"/>
            <w:left w:val="none" w:sz="0" w:space="0" w:color="auto"/>
            <w:bottom w:val="none" w:sz="0" w:space="0" w:color="auto"/>
            <w:right w:val="none" w:sz="0" w:space="0" w:color="auto"/>
          </w:divBdr>
        </w:div>
        <w:div w:id="1425569074">
          <w:marLeft w:val="0"/>
          <w:marRight w:val="0"/>
          <w:marTop w:val="0"/>
          <w:marBottom w:val="0"/>
          <w:divBdr>
            <w:top w:val="none" w:sz="0" w:space="0" w:color="auto"/>
            <w:left w:val="none" w:sz="0" w:space="0" w:color="auto"/>
            <w:bottom w:val="none" w:sz="0" w:space="0" w:color="auto"/>
            <w:right w:val="none" w:sz="0" w:space="0" w:color="auto"/>
          </w:divBdr>
        </w:div>
        <w:div w:id="1436050430">
          <w:marLeft w:val="0"/>
          <w:marRight w:val="0"/>
          <w:marTop w:val="0"/>
          <w:marBottom w:val="0"/>
          <w:divBdr>
            <w:top w:val="none" w:sz="0" w:space="0" w:color="auto"/>
            <w:left w:val="none" w:sz="0" w:space="0" w:color="auto"/>
            <w:bottom w:val="none" w:sz="0" w:space="0" w:color="auto"/>
            <w:right w:val="none" w:sz="0" w:space="0" w:color="auto"/>
          </w:divBdr>
        </w:div>
        <w:div w:id="1447196959">
          <w:marLeft w:val="0"/>
          <w:marRight w:val="0"/>
          <w:marTop w:val="0"/>
          <w:marBottom w:val="0"/>
          <w:divBdr>
            <w:top w:val="none" w:sz="0" w:space="0" w:color="auto"/>
            <w:left w:val="none" w:sz="0" w:space="0" w:color="auto"/>
            <w:bottom w:val="none" w:sz="0" w:space="0" w:color="auto"/>
            <w:right w:val="none" w:sz="0" w:space="0" w:color="auto"/>
          </w:divBdr>
        </w:div>
        <w:div w:id="1455901902">
          <w:marLeft w:val="0"/>
          <w:marRight w:val="0"/>
          <w:marTop w:val="0"/>
          <w:marBottom w:val="0"/>
          <w:divBdr>
            <w:top w:val="none" w:sz="0" w:space="0" w:color="auto"/>
            <w:left w:val="none" w:sz="0" w:space="0" w:color="auto"/>
            <w:bottom w:val="none" w:sz="0" w:space="0" w:color="auto"/>
            <w:right w:val="none" w:sz="0" w:space="0" w:color="auto"/>
          </w:divBdr>
        </w:div>
        <w:div w:id="1456407777">
          <w:marLeft w:val="0"/>
          <w:marRight w:val="0"/>
          <w:marTop w:val="0"/>
          <w:marBottom w:val="0"/>
          <w:divBdr>
            <w:top w:val="none" w:sz="0" w:space="0" w:color="auto"/>
            <w:left w:val="none" w:sz="0" w:space="0" w:color="auto"/>
            <w:bottom w:val="none" w:sz="0" w:space="0" w:color="auto"/>
            <w:right w:val="none" w:sz="0" w:space="0" w:color="auto"/>
          </w:divBdr>
        </w:div>
        <w:div w:id="1458448154">
          <w:marLeft w:val="0"/>
          <w:marRight w:val="0"/>
          <w:marTop w:val="0"/>
          <w:marBottom w:val="0"/>
          <w:divBdr>
            <w:top w:val="none" w:sz="0" w:space="0" w:color="auto"/>
            <w:left w:val="none" w:sz="0" w:space="0" w:color="auto"/>
            <w:bottom w:val="none" w:sz="0" w:space="0" w:color="auto"/>
            <w:right w:val="none" w:sz="0" w:space="0" w:color="auto"/>
          </w:divBdr>
        </w:div>
        <w:div w:id="1480074181">
          <w:marLeft w:val="0"/>
          <w:marRight w:val="0"/>
          <w:marTop w:val="0"/>
          <w:marBottom w:val="0"/>
          <w:divBdr>
            <w:top w:val="none" w:sz="0" w:space="0" w:color="auto"/>
            <w:left w:val="none" w:sz="0" w:space="0" w:color="auto"/>
            <w:bottom w:val="none" w:sz="0" w:space="0" w:color="auto"/>
            <w:right w:val="none" w:sz="0" w:space="0" w:color="auto"/>
          </w:divBdr>
        </w:div>
        <w:div w:id="1481384907">
          <w:marLeft w:val="0"/>
          <w:marRight w:val="0"/>
          <w:marTop w:val="0"/>
          <w:marBottom w:val="0"/>
          <w:divBdr>
            <w:top w:val="none" w:sz="0" w:space="0" w:color="auto"/>
            <w:left w:val="none" w:sz="0" w:space="0" w:color="auto"/>
            <w:bottom w:val="none" w:sz="0" w:space="0" w:color="auto"/>
            <w:right w:val="none" w:sz="0" w:space="0" w:color="auto"/>
          </w:divBdr>
        </w:div>
        <w:div w:id="1482117687">
          <w:marLeft w:val="0"/>
          <w:marRight w:val="0"/>
          <w:marTop w:val="0"/>
          <w:marBottom w:val="0"/>
          <w:divBdr>
            <w:top w:val="none" w:sz="0" w:space="0" w:color="auto"/>
            <w:left w:val="none" w:sz="0" w:space="0" w:color="auto"/>
            <w:bottom w:val="none" w:sz="0" w:space="0" w:color="auto"/>
            <w:right w:val="none" w:sz="0" w:space="0" w:color="auto"/>
          </w:divBdr>
        </w:div>
        <w:div w:id="1491214285">
          <w:marLeft w:val="0"/>
          <w:marRight w:val="0"/>
          <w:marTop w:val="0"/>
          <w:marBottom w:val="0"/>
          <w:divBdr>
            <w:top w:val="none" w:sz="0" w:space="0" w:color="auto"/>
            <w:left w:val="none" w:sz="0" w:space="0" w:color="auto"/>
            <w:bottom w:val="none" w:sz="0" w:space="0" w:color="auto"/>
            <w:right w:val="none" w:sz="0" w:space="0" w:color="auto"/>
          </w:divBdr>
        </w:div>
        <w:div w:id="1528248455">
          <w:marLeft w:val="0"/>
          <w:marRight w:val="0"/>
          <w:marTop w:val="0"/>
          <w:marBottom w:val="0"/>
          <w:divBdr>
            <w:top w:val="none" w:sz="0" w:space="0" w:color="auto"/>
            <w:left w:val="none" w:sz="0" w:space="0" w:color="auto"/>
            <w:bottom w:val="none" w:sz="0" w:space="0" w:color="auto"/>
            <w:right w:val="none" w:sz="0" w:space="0" w:color="auto"/>
          </w:divBdr>
        </w:div>
        <w:div w:id="1550875112">
          <w:marLeft w:val="0"/>
          <w:marRight w:val="0"/>
          <w:marTop w:val="0"/>
          <w:marBottom w:val="0"/>
          <w:divBdr>
            <w:top w:val="none" w:sz="0" w:space="0" w:color="auto"/>
            <w:left w:val="none" w:sz="0" w:space="0" w:color="auto"/>
            <w:bottom w:val="none" w:sz="0" w:space="0" w:color="auto"/>
            <w:right w:val="none" w:sz="0" w:space="0" w:color="auto"/>
          </w:divBdr>
        </w:div>
        <w:div w:id="1579559600">
          <w:marLeft w:val="0"/>
          <w:marRight w:val="0"/>
          <w:marTop w:val="0"/>
          <w:marBottom w:val="0"/>
          <w:divBdr>
            <w:top w:val="none" w:sz="0" w:space="0" w:color="auto"/>
            <w:left w:val="none" w:sz="0" w:space="0" w:color="auto"/>
            <w:bottom w:val="none" w:sz="0" w:space="0" w:color="auto"/>
            <w:right w:val="none" w:sz="0" w:space="0" w:color="auto"/>
          </w:divBdr>
        </w:div>
        <w:div w:id="1593080812">
          <w:marLeft w:val="0"/>
          <w:marRight w:val="0"/>
          <w:marTop w:val="0"/>
          <w:marBottom w:val="0"/>
          <w:divBdr>
            <w:top w:val="none" w:sz="0" w:space="0" w:color="auto"/>
            <w:left w:val="none" w:sz="0" w:space="0" w:color="auto"/>
            <w:bottom w:val="none" w:sz="0" w:space="0" w:color="auto"/>
            <w:right w:val="none" w:sz="0" w:space="0" w:color="auto"/>
          </w:divBdr>
        </w:div>
        <w:div w:id="1632445435">
          <w:marLeft w:val="0"/>
          <w:marRight w:val="0"/>
          <w:marTop w:val="0"/>
          <w:marBottom w:val="0"/>
          <w:divBdr>
            <w:top w:val="none" w:sz="0" w:space="0" w:color="auto"/>
            <w:left w:val="none" w:sz="0" w:space="0" w:color="auto"/>
            <w:bottom w:val="none" w:sz="0" w:space="0" w:color="auto"/>
            <w:right w:val="none" w:sz="0" w:space="0" w:color="auto"/>
          </w:divBdr>
        </w:div>
        <w:div w:id="1640526943">
          <w:marLeft w:val="0"/>
          <w:marRight w:val="0"/>
          <w:marTop w:val="0"/>
          <w:marBottom w:val="0"/>
          <w:divBdr>
            <w:top w:val="none" w:sz="0" w:space="0" w:color="auto"/>
            <w:left w:val="none" w:sz="0" w:space="0" w:color="auto"/>
            <w:bottom w:val="none" w:sz="0" w:space="0" w:color="auto"/>
            <w:right w:val="none" w:sz="0" w:space="0" w:color="auto"/>
          </w:divBdr>
        </w:div>
        <w:div w:id="1664973029">
          <w:marLeft w:val="0"/>
          <w:marRight w:val="0"/>
          <w:marTop w:val="0"/>
          <w:marBottom w:val="0"/>
          <w:divBdr>
            <w:top w:val="none" w:sz="0" w:space="0" w:color="auto"/>
            <w:left w:val="none" w:sz="0" w:space="0" w:color="auto"/>
            <w:bottom w:val="none" w:sz="0" w:space="0" w:color="auto"/>
            <w:right w:val="none" w:sz="0" w:space="0" w:color="auto"/>
          </w:divBdr>
        </w:div>
        <w:div w:id="1669675652">
          <w:marLeft w:val="0"/>
          <w:marRight w:val="0"/>
          <w:marTop w:val="0"/>
          <w:marBottom w:val="0"/>
          <w:divBdr>
            <w:top w:val="none" w:sz="0" w:space="0" w:color="auto"/>
            <w:left w:val="none" w:sz="0" w:space="0" w:color="auto"/>
            <w:bottom w:val="none" w:sz="0" w:space="0" w:color="auto"/>
            <w:right w:val="none" w:sz="0" w:space="0" w:color="auto"/>
          </w:divBdr>
        </w:div>
        <w:div w:id="1675451620">
          <w:marLeft w:val="0"/>
          <w:marRight w:val="0"/>
          <w:marTop w:val="0"/>
          <w:marBottom w:val="0"/>
          <w:divBdr>
            <w:top w:val="none" w:sz="0" w:space="0" w:color="auto"/>
            <w:left w:val="none" w:sz="0" w:space="0" w:color="auto"/>
            <w:bottom w:val="none" w:sz="0" w:space="0" w:color="auto"/>
            <w:right w:val="none" w:sz="0" w:space="0" w:color="auto"/>
          </w:divBdr>
        </w:div>
        <w:div w:id="1681196287">
          <w:marLeft w:val="0"/>
          <w:marRight w:val="0"/>
          <w:marTop w:val="0"/>
          <w:marBottom w:val="0"/>
          <w:divBdr>
            <w:top w:val="none" w:sz="0" w:space="0" w:color="auto"/>
            <w:left w:val="none" w:sz="0" w:space="0" w:color="auto"/>
            <w:bottom w:val="none" w:sz="0" w:space="0" w:color="auto"/>
            <w:right w:val="none" w:sz="0" w:space="0" w:color="auto"/>
          </w:divBdr>
        </w:div>
        <w:div w:id="1686785924">
          <w:marLeft w:val="0"/>
          <w:marRight w:val="0"/>
          <w:marTop w:val="0"/>
          <w:marBottom w:val="0"/>
          <w:divBdr>
            <w:top w:val="none" w:sz="0" w:space="0" w:color="auto"/>
            <w:left w:val="none" w:sz="0" w:space="0" w:color="auto"/>
            <w:bottom w:val="none" w:sz="0" w:space="0" w:color="auto"/>
            <w:right w:val="none" w:sz="0" w:space="0" w:color="auto"/>
          </w:divBdr>
        </w:div>
        <w:div w:id="1703901400">
          <w:marLeft w:val="0"/>
          <w:marRight w:val="0"/>
          <w:marTop w:val="0"/>
          <w:marBottom w:val="0"/>
          <w:divBdr>
            <w:top w:val="none" w:sz="0" w:space="0" w:color="auto"/>
            <w:left w:val="none" w:sz="0" w:space="0" w:color="auto"/>
            <w:bottom w:val="none" w:sz="0" w:space="0" w:color="auto"/>
            <w:right w:val="none" w:sz="0" w:space="0" w:color="auto"/>
          </w:divBdr>
        </w:div>
        <w:div w:id="1718045932">
          <w:marLeft w:val="0"/>
          <w:marRight w:val="0"/>
          <w:marTop w:val="0"/>
          <w:marBottom w:val="0"/>
          <w:divBdr>
            <w:top w:val="none" w:sz="0" w:space="0" w:color="auto"/>
            <w:left w:val="none" w:sz="0" w:space="0" w:color="auto"/>
            <w:bottom w:val="none" w:sz="0" w:space="0" w:color="auto"/>
            <w:right w:val="none" w:sz="0" w:space="0" w:color="auto"/>
          </w:divBdr>
        </w:div>
        <w:div w:id="1767117890">
          <w:marLeft w:val="0"/>
          <w:marRight w:val="0"/>
          <w:marTop w:val="0"/>
          <w:marBottom w:val="0"/>
          <w:divBdr>
            <w:top w:val="none" w:sz="0" w:space="0" w:color="auto"/>
            <w:left w:val="none" w:sz="0" w:space="0" w:color="auto"/>
            <w:bottom w:val="none" w:sz="0" w:space="0" w:color="auto"/>
            <w:right w:val="none" w:sz="0" w:space="0" w:color="auto"/>
          </w:divBdr>
        </w:div>
        <w:div w:id="1769236312">
          <w:marLeft w:val="0"/>
          <w:marRight w:val="0"/>
          <w:marTop w:val="0"/>
          <w:marBottom w:val="0"/>
          <w:divBdr>
            <w:top w:val="none" w:sz="0" w:space="0" w:color="auto"/>
            <w:left w:val="none" w:sz="0" w:space="0" w:color="auto"/>
            <w:bottom w:val="none" w:sz="0" w:space="0" w:color="auto"/>
            <w:right w:val="none" w:sz="0" w:space="0" w:color="auto"/>
          </w:divBdr>
        </w:div>
        <w:div w:id="1774084927">
          <w:marLeft w:val="0"/>
          <w:marRight w:val="0"/>
          <w:marTop w:val="0"/>
          <w:marBottom w:val="0"/>
          <w:divBdr>
            <w:top w:val="none" w:sz="0" w:space="0" w:color="auto"/>
            <w:left w:val="none" w:sz="0" w:space="0" w:color="auto"/>
            <w:bottom w:val="none" w:sz="0" w:space="0" w:color="auto"/>
            <w:right w:val="none" w:sz="0" w:space="0" w:color="auto"/>
          </w:divBdr>
        </w:div>
        <w:div w:id="1774788375">
          <w:marLeft w:val="0"/>
          <w:marRight w:val="0"/>
          <w:marTop w:val="0"/>
          <w:marBottom w:val="0"/>
          <w:divBdr>
            <w:top w:val="none" w:sz="0" w:space="0" w:color="auto"/>
            <w:left w:val="none" w:sz="0" w:space="0" w:color="auto"/>
            <w:bottom w:val="none" w:sz="0" w:space="0" w:color="auto"/>
            <w:right w:val="none" w:sz="0" w:space="0" w:color="auto"/>
          </w:divBdr>
        </w:div>
        <w:div w:id="1796563601">
          <w:marLeft w:val="0"/>
          <w:marRight w:val="0"/>
          <w:marTop w:val="0"/>
          <w:marBottom w:val="0"/>
          <w:divBdr>
            <w:top w:val="none" w:sz="0" w:space="0" w:color="auto"/>
            <w:left w:val="none" w:sz="0" w:space="0" w:color="auto"/>
            <w:bottom w:val="none" w:sz="0" w:space="0" w:color="auto"/>
            <w:right w:val="none" w:sz="0" w:space="0" w:color="auto"/>
          </w:divBdr>
        </w:div>
        <w:div w:id="1808205314">
          <w:marLeft w:val="0"/>
          <w:marRight w:val="0"/>
          <w:marTop w:val="0"/>
          <w:marBottom w:val="0"/>
          <w:divBdr>
            <w:top w:val="none" w:sz="0" w:space="0" w:color="auto"/>
            <w:left w:val="none" w:sz="0" w:space="0" w:color="auto"/>
            <w:bottom w:val="none" w:sz="0" w:space="0" w:color="auto"/>
            <w:right w:val="none" w:sz="0" w:space="0" w:color="auto"/>
          </w:divBdr>
        </w:div>
        <w:div w:id="1855874038">
          <w:marLeft w:val="0"/>
          <w:marRight w:val="0"/>
          <w:marTop w:val="0"/>
          <w:marBottom w:val="0"/>
          <w:divBdr>
            <w:top w:val="none" w:sz="0" w:space="0" w:color="auto"/>
            <w:left w:val="none" w:sz="0" w:space="0" w:color="auto"/>
            <w:bottom w:val="none" w:sz="0" w:space="0" w:color="auto"/>
            <w:right w:val="none" w:sz="0" w:space="0" w:color="auto"/>
          </w:divBdr>
        </w:div>
        <w:div w:id="1857427923">
          <w:marLeft w:val="0"/>
          <w:marRight w:val="0"/>
          <w:marTop w:val="0"/>
          <w:marBottom w:val="0"/>
          <w:divBdr>
            <w:top w:val="none" w:sz="0" w:space="0" w:color="auto"/>
            <w:left w:val="none" w:sz="0" w:space="0" w:color="auto"/>
            <w:bottom w:val="none" w:sz="0" w:space="0" w:color="auto"/>
            <w:right w:val="none" w:sz="0" w:space="0" w:color="auto"/>
          </w:divBdr>
        </w:div>
        <w:div w:id="1867253994">
          <w:marLeft w:val="0"/>
          <w:marRight w:val="0"/>
          <w:marTop w:val="0"/>
          <w:marBottom w:val="0"/>
          <w:divBdr>
            <w:top w:val="none" w:sz="0" w:space="0" w:color="auto"/>
            <w:left w:val="none" w:sz="0" w:space="0" w:color="auto"/>
            <w:bottom w:val="none" w:sz="0" w:space="0" w:color="auto"/>
            <w:right w:val="none" w:sz="0" w:space="0" w:color="auto"/>
          </w:divBdr>
        </w:div>
        <w:div w:id="1876039123">
          <w:marLeft w:val="0"/>
          <w:marRight w:val="0"/>
          <w:marTop w:val="0"/>
          <w:marBottom w:val="0"/>
          <w:divBdr>
            <w:top w:val="none" w:sz="0" w:space="0" w:color="auto"/>
            <w:left w:val="none" w:sz="0" w:space="0" w:color="auto"/>
            <w:bottom w:val="none" w:sz="0" w:space="0" w:color="auto"/>
            <w:right w:val="none" w:sz="0" w:space="0" w:color="auto"/>
          </w:divBdr>
        </w:div>
        <w:div w:id="1890071293">
          <w:marLeft w:val="0"/>
          <w:marRight w:val="0"/>
          <w:marTop w:val="0"/>
          <w:marBottom w:val="0"/>
          <w:divBdr>
            <w:top w:val="none" w:sz="0" w:space="0" w:color="auto"/>
            <w:left w:val="none" w:sz="0" w:space="0" w:color="auto"/>
            <w:bottom w:val="none" w:sz="0" w:space="0" w:color="auto"/>
            <w:right w:val="none" w:sz="0" w:space="0" w:color="auto"/>
          </w:divBdr>
        </w:div>
        <w:div w:id="1906987770">
          <w:marLeft w:val="0"/>
          <w:marRight w:val="0"/>
          <w:marTop w:val="0"/>
          <w:marBottom w:val="0"/>
          <w:divBdr>
            <w:top w:val="none" w:sz="0" w:space="0" w:color="auto"/>
            <w:left w:val="none" w:sz="0" w:space="0" w:color="auto"/>
            <w:bottom w:val="none" w:sz="0" w:space="0" w:color="auto"/>
            <w:right w:val="none" w:sz="0" w:space="0" w:color="auto"/>
          </w:divBdr>
        </w:div>
        <w:div w:id="1919825854">
          <w:marLeft w:val="0"/>
          <w:marRight w:val="0"/>
          <w:marTop w:val="0"/>
          <w:marBottom w:val="0"/>
          <w:divBdr>
            <w:top w:val="none" w:sz="0" w:space="0" w:color="auto"/>
            <w:left w:val="none" w:sz="0" w:space="0" w:color="auto"/>
            <w:bottom w:val="none" w:sz="0" w:space="0" w:color="auto"/>
            <w:right w:val="none" w:sz="0" w:space="0" w:color="auto"/>
          </w:divBdr>
        </w:div>
        <w:div w:id="1933974388">
          <w:marLeft w:val="0"/>
          <w:marRight w:val="0"/>
          <w:marTop w:val="0"/>
          <w:marBottom w:val="0"/>
          <w:divBdr>
            <w:top w:val="none" w:sz="0" w:space="0" w:color="auto"/>
            <w:left w:val="none" w:sz="0" w:space="0" w:color="auto"/>
            <w:bottom w:val="none" w:sz="0" w:space="0" w:color="auto"/>
            <w:right w:val="none" w:sz="0" w:space="0" w:color="auto"/>
          </w:divBdr>
        </w:div>
        <w:div w:id="1939478698">
          <w:marLeft w:val="0"/>
          <w:marRight w:val="0"/>
          <w:marTop w:val="0"/>
          <w:marBottom w:val="0"/>
          <w:divBdr>
            <w:top w:val="none" w:sz="0" w:space="0" w:color="auto"/>
            <w:left w:val="none" w:sz="0" w:space="0" w:color="auto"/>
            <w:bottom w:val="none" w:sz="0" w:space="0" w:color="auto"/>
            <w:right w:val="none" w:sz="0" w:space="0" w:color="auto"/>
          </w:divBdr>
        </w:div>
        <w:div w:id="1940942845">
          <w:marLeft w:val="0"/>
          <w:marRight w:val="0"/>
          <w:marTop w:val="0"/>
          <w:marBottom w:val="0"/>
          <w:divBdr>
            <w:top w:val="none" w:sz="0" w:space="0" w:color="auto"/>
            <w:left w:val="none" w:sz="0" w:space="0" w:color="auto"/>
            <w:bottom w:val="none" w:sz="0" w:space="0" w:color="auto"/>
            <w:right w:val="none" w:sz="0" w:space="0" w:color="auto"/>
          </w:divBdr>
        </w:div>
        <w:div w:id="1957515614">
          <w:marLeft w:val="0"/>
          <w:marRight w:val="0"/>
          <w:marTop w:val="0"/>
          <w:marBottom w:val="0"/>
          <w:divBdr>
            <w:top w:val="none" w:sz="0" w:space="0" w:color="auto"/>
            <w:left w:val="none" w:sz="0" w:space="0" w:color="auto"/>
            <w:bottom w:val="none" w:sz="0" w:space="0" w:color="auto"/>
            <w:right w:val="none" w:sz="0" w:space="0" w:color="auto"/>
          </w:divBdr>
        </w:div>
        <w:div w:id="1966082420">
          <w:marLeft w:val="0"/>
          <w:marRight w:val="0"/>
          <w:marTop w:val="0"/>
          <w:marBottom w:val="0"/>
          <w:divBdr>
            <w:top w:val="none" w:sz="0" w:space="0" w:color="auto"/>
            <w:left w:val="none" w:sz="0" w:space="0" w:color="auto"/>
            <w:bottom w:val="none" w:sz="0" w:space="0" w:color="auto"/>
            <w:right w:val="none" w:sz="0" w:space="0" w:color="auto"/>
          </w:divBdr>
        </w:div>
        <w:div w:id="2080126577">
          <w:marLeft w:val="0"/>
          <w:marRight w:val="0"/>
          <w:marTop w:val="0"/>
          <w:marBottom w:val="0"/>
          <w:divBdr>
            <w:top w:val="none" w:sz="0" w:space="0" w:color="auto"/>
            <w:left w:val="none" w:sz="0" w:space="0" w:color="auto"/>
            <w:bottom w:val="none" w:sz="0" w:space="0" w:color="auto"/>
            <w:right w:val="none" w:sz="0" w:space="0" w:color="auto"/>
          </w:divBdr>
        </w:div>
        <w:div w:id="2089766658">
          <w:marLeft w:val="0"/>
          <w:marRight w:val="0"/>
          <w:marTop w:val="0"/>
          <w:marBottom w:val="0"/>
          <w:divBdr>
            <w:top w:val="none" w:sz="0" w:space="0" w:color="auto"/>
            <w:left w:val="none" w:sz="0" w:space="0" w:color="auto"/>
            <w:bottom w:val="none" w:sz="0" w:space="0" w:color="auto"/>
            <w:right w:val="none" w:sz="0" w:space="0" w:color="auto"/>
          </w:divBdr>
        </w:div>
      </w:divsChild>
    </w:div>
    <w:div w:id="1161969064">
      <w:bodyDiv w:val="1"/>
      <w:marLeft w:val="0"/>
      <w:marRight w:val="0"/>
      <w:marTop w:val="0"/>
      <w:marBottom w:val="0"/>
      <w:divBdr>
        <w:top w:val="none" w:sz="0" w:space="0" w:color="auto"/>
        <w:left w:val="none" w:sz="0" w:space="0" w:color="auto"/>
        <w:bottom w:val="none" w:sz="0" w:space="0" w:color="auto"/>
        <w:right w:val="none" w:sz="0" w:space="0" w:color="auto"/>
      </w:divBdr>
    </w:div>
    <w:div w:id="1186018528">
      <w:bodyDiv w:val="1"/>
      <w:marLeft w:val="0"/>
      <w:marRight w:val="0"/>
      <w:marTop w:val="0"/>
      <w:marBottom w:val="0"/>
      <w:divBdr>
        <w:top w:val="none" w:sz="0" w:space="0" w:color="auto"/>
        <w:left w:val="none" w:sz="0" w:space="0" w:color="auto"/>
        <w:bottom w:val="none" w:sz="0" w:space="0" w:color="auto"/>
        <w:right w:val="none" w:sz="0" w:space="0" w:color="auto"/>
      </w:divBdr>
    </w:div>
    <w:div w:id="1279872995">
      <w:bodyDiv w:val="1"/>
      <w:marLeft w:val="0"/>
      <w:marRight w:val="0"/>
      <w:marTop w:val="0"/>
      <w:marBottom w:val="0"/>
      <w:divBdr>
        <w:top w:val="none" w:sz="0" w:space="0" w:color="auto"/>
        <w:left w:val="none" w:sz="0" w:space="0" w:color="auto"/>
        <w:bottom w:val="none" w:sz="0" w:space="0" w:color="auto"/>
        <w:right w:val="none" w:sz="0" w:space="0" w:color="auto"/>
      </w:divBdr>
      <w:divsChild>
        <w:div w:id="1253395837">
          <w:marLeft w:val="0"/>
          <w:marRight w:val="0"/>
          <w:marTop w:val="0"/>
          <w:marBottom w:val="0"/>
          <w:divBdr>
            <w:top w:val="none" w:sz="0" w:space="0" w:color="auto"/>
            <w:left w:val="none" w:sz="0" w:space="0" w:color="auto"/>
            <w:bottom w:val="none" w:sz="0" w:space="0" w:color="auto"/>
            <w:right w:val="none" w:sz="0" w:space="0" w:color="auto"/>
          </w:divBdr>
        </w:div>
      </w:divsChild>
    </w:div>
    <w:div w:id="1345522058">
      <w:bodyDiv w:val="1"/>
      <w:marLeft w:val="0"/>
      <w:marRight w:val="0"/>
      <w:marTop w:val="0"/>
      <w:marBottom w:val="0"/>
      <w:divBdr>
        <w:top w:val="none" w:sz="0" w:space="0" w:color="auto"/>
        <w:left w:val="none" w:sz="0" w:space="0" w:color="auto"/>
        <w:bottom w:val="none" w:sz="0" w:space="0" w:color="auto"/>
        <w:right w:val="none" w:sz="0" w:space="0" w:color="auto"/>
      </w:divBdr>
    </w:div>
    <w:div w:id="1351178146">
      <w:bodyDiv w:val="1"/>
      <w:marLeft w:val="0"/>
      <w:marRight w:val="0"/>
      <w:marTop w:val="0"/>
      <w:marBottom w:val="0"/>
      <w:divBdr>
        <w:top w:val="none" w:sz="0" w:space="0" w:color="auto"/>
        <w:left w:val="none" w:sz="0" w:space="0" w:color="auto"/>
        <w:bottom w:val="none" w:sz="0" w:space="0" w:color="auto"/>
        <w:right w:val="none" w:sz="0" w:space="0" w:color="auto"/>
      </w:divBdr>
      <w:divsChild>
        <w:div w:id="1221408032">
          <w:marLeft w:val="0"/>
          <w:marRight w:val="0"/>
          <w:marTop w:val="0"/>
          <w:marBottom w:val="0"/>
          <w:divBdr>
            <w:top w:val="none" w:sz="0" w:space="0" w:color="auto"/>
            <w:left w:val="none" w:sz="0" w:space="0" w:color="auto"/>
            <w:bottom w:val="none" w:sz="0" w:space="0" w:color="auto"/>
            <w:right w:val="none" w:sz="0" w:space="0" w:color="auto"/>
          </w:divBdr>
        </w:div>
        <w:div w:id="379860314">
          <w:marLeft w:val="0"/>
          <w:marRight w:val="0"/>
          <w:marTop w:val="0"/>
          <w:marBottom w:val="0"/>
          <w:divBdr>
            <w:top w:val="none" w:sz="0" w:space="0" w:color="auto"/>
            <w:left w:val="none" w:sz="0" w:space="0" w:color="auto"/>
            <w:bottom w:val="none" w:sz="0" w:space="0" w:color="auto"/>
            <w:right w:val="none" w:sz="0" w:space="0" w:color="auto"/>
          </w:divBdr>
        </w:div>
      </w:divsChild>
    </w:div>
    <w:div w:id="1411272839">
      <w:bodyDiv w:val="1"/>
      <w:marLeft w:val="0"/>
      <w:marRight w:val="0"/>
      <w:marTop w:val="0"/>
      <w:marBottom w:val="0"/>
      <w:divBdr>
        <w:top w:val="none" w:sz="0" w:space="0" w:color="auto"/>
        <w:left w:val="none" w:sz="0" w:space="0" w:color="auto"/>
        <w:bottom w:val="none" w:sz="0" w:space="0" w:color="auto"/>
        <w:right w:val="none" w:sz="0" w:space="0" w:color="auto"/>
      </w:divBdr>
    </w:div>
    <w:div w:id="1591818290">
      <w:bodyDiv w:val="1"/>
      <w:marLeft w:val="0"/>
      <w:marRight w:val="0"/>
      <w:marTop w:val="0"/>
      <w:marBottom w:val="0"/>
      <w:divBdr>
        <w:top w:val="none" w:sz="0" w:space="0" w:color="auto"/>
        <w:left w:val="none" w:sz="0" w:space="0" w:color="auto"/>
        <w:bottom w:val="none" w:sz="0" w:space="0" w:color="auto"/>
        <w:right w:val="none" w:sz="0" w:space="0" w:color="auto"/>
      </w:divBdr>
      <w:divsChild>
        <w:div w:id="1850172168">
          <w:marLeft w:val="0"/>
          <w:marRight w:val="0"/>
          <w:marTop w:val="0"/>
          <w:marBottom w:val="0"/>
          <w:divBdr>
            <w:top w:val="none" w:sz="0" w:space="0" w:color="auto"/>
            <w:left w:val="none" w:sz="0" w:space="0" w:color="auto"/>
            <w:bottom w:val="none" w:sz="0" w:space="0" w:color="auto"/>
            <w:right w:val="none" w:sz="0" w:space="0" w:color="auto"/>
          </w:divBdr>
        </w:div>
      </w:divsChild>
    </w:div>
    <w:div w:id="1595359013">
      <w:bodyDiv w:val="1"/>
      <w:marLeft w:val="0"/>
      <w:marRight w:val="0"/>
      <w:marTop w:val="0"/>
      <w:marBottom w:val="0"/>
      <w:divBdr>
        <w:top w:val="none" w:sz="0" w:space="0" w:color="auto"/>
        <w:left w:val="none" w:sz="0" w:space="0" w:color="auto"/>
        <w:bottom w:val="none" w:sz="0" w:space="0" w:color="auto"/>
        <w:right w:val="none" w:sz="0" w:space="0" w:color="auto"/>
      </w:divBdr>
    </w:div>
    <w:div w:id="1609388814">
      <w:bodyDiv w:val="1"/>
      <w:marLeft w:val="0"/>
      <w:marRight w:val="0"/>
      <w:marTop w:val="0"/>
      <w:marBottom w:val="0"/>
      <w:divBdr>
        <w:top w:val="none" w:sz="0" w:space="0" w:color="auto"/>
        <w:left w:val="none" w:sz="0" w:space="0" w:color="auto"/>
        <w:bottom w:val="none" w:sz="0" w:space="0" w:color="auto"/>
        <w:right w:val="none" w:sz="0" w:space="0" w:color="auto"/>
      </w:divBdr>
    </w:div>
    <w:div w:id="1658990907">
      <w:bodyDiv w:val="1"/>
      <w:marLeft w:val="0"/>
      <w:marRight w:val="0"/>
      <w:marTop w:val="0"/>
      <w:marBottom w:val="0"/>
      <w:divBdr>
        <w:top w:val="none" w:sz="0" w:space="0" w:color="auto"/>
        <w:left w:val="none" w:sz="0" w:space="0" w:color="auto"/>
        <w:bottom w:val="none" w:sz="0" w:space="0" w:color="auto"/>
        <w:right w:val="none" w:sz="0" w:space="0" w:color="auto"/>
      </w:divBdr>
      <w:divsChild>
        <w:div w:id="393898424">
          <w:marLeft w:val="0"/>
          <w:marRight w:val="0"/>
          <w:marTop w:val="0"/>
          <w:marBottom w:val="0"/>
          <w:divBdr>
            <w:top w:val="none" w:sz="0" w:space="0" w:color="auto"/>
            <w:left w:val="none" w:sz="0" w:space="0" w:color="auto"/>
            <w:bottom w:val="none" w:sz="0" w:space="0" w:color="auto"/>
            <w:right w:val="none" w:sz="0" w:space="0" w:color="auto"/>
          </w:divBdr>
        </w:div>
        <w:div w:id="1423919488">
          <w:marLeft w:val="0"/>
          <w:marRight w:val="0"/>
          <w:marTop w:val="0"/>
          <w:marBottom w:val="0"/>
          <w:divBdr>
            <w:top w:val="none" w:sz="0" w:space="0" w:color="auto"/>
            <w:left w:val="none" w:sz="0" w:space="0" w:color="auto"/>
            <w:bottom w:val="none" w:sz="0" w:space="0" w:color="auto"/>
            <w:right w:val="none" w:sz="0" w:space="0" w:color="auto"/>
          </w:divBdr>
        </w:div>
      </w:divsChild>
    </w:div>
    <w:div w:id="1680036133">
      <w:bodyDiv w:val="1"/>
      <w:marLeft w:val="0"/>
      <w:marRight w:val="0"/>
      <w:marTop w:val="0"/>
      <w:marBottom w:val="0"/>
      <w:divBdr>
        <w:top w:val="none" w:sz="0" w:space="0" w:color="auto"/>
        <w:left w:val="none" w:sz="0" w:space="0" w:color="auto"/>
        <w:bottom w:val="none" w:sz="0" w:space="0" w:color="auto"/>
        <w:right w:val="none" w:sz="0" w:space="0" w:color="auto"/>
      </w:divBdr>
    </w:div>
    <w:div w:id="1689527165">
      <w:bodyDiv w:val="1"/>
      <w:marLeft w:val="0"/>
      <w:marRight w:val="0"/>
      <w:marTop w:val="0"/>
      <w:marBottom w:val="0"/>
      <w:divBdr>
        <w:top w:val="none" w:sz="0" w:space="0" w:color="auto"/>
        <w:left w:val="none" w:sz="0" w:space="0" w:color="auto"/>
        <w:bottom w:val="none" w:sz="0" w:space="0" w:color="auto"/>
        <w:right w:val="none" w:sz="0" w:space="0" w:color="auto"/>
      </w:divBdr>
      <w:divsChild>
        <w:div w:id="1613703657">
          <w:marLeft w:val="0"/>
          <w:marRight w:val="0"/>
          <w:marTop w:val="0"/>
          <w:marBottom w:val="0"/>
          <w:divBdr>
            <w:top w:val="none" w:sz="0" w:space="0" w:color="auto"/>
            <w:left w:val="none" w:sz="0" w:space="0" w:color="auto"/>
            <w:bottom w:val="none" w:sz="0" w:space="0" w:color="auto"/>
            <w:right w:val="none" w:sz="0" w:space="0" w:color="auto"/>
          </w:divBdr>
        </w:div>
      </w:divsChild>
    </w:div>
    <w:div w:id="1829440106">
      <w:bodyDiv w:val="1"/>
      <w:marLeft w:val="0"/>
      <w:marRight w:val="0"/>
      <w:marTop w:val="0"/>
      <w:marBottom w:val="0"/>
      <w:divBdr>
        <w:top w:val="none" w:sz="0" w:space="0" w:color="auto"/>
        <w:left w:val="none" w:sz="0" w:space="0" w:color="auto"/>
        <w:bottom w:val="none" w:sz="0" w:space="0" w:color="auto"/>
        <w:right w:val="none" w:sz="0" w:space="0" w:color="auto"/>
      </w:divBdr>
      <w:divsChild>
        <w:div w:id="1460998865">
          <w:marLeft w:val="0"/>
          <w:marRight w:val="0"/>
          <w:marTop w:val="120"/>
          <w:marBottom w:val="360"/>
          <w:divBdr>
            <w:top w:val="none" w:sz="0" w:space="0" w:color="auto"/>
            <w:left w:val="none" w:sz="0" w:space="0" w:color="auto"/>
            <w:bottom w:val="none" w:sz="0" w:space="0" w:color="auto"/>
            <w:right w:val="none" w:sz="0" w:space="0" w:color="auto"/>
          </w:divBdr>
          <w:divsChild>
            <w:div w:id="1780442222">
              <w:marLeft w:val="0"/>
              <w:marRight w:val="0"/>
              <w:marTop w:val="0"/>
              <w:marBottom w:val="0"/>
              <w:divBdr>
                <w:top w:val="none" w:sz="0" w:space="0" w:color="auto"/>
                <w:left w:val="none" w:sz="0" w:space="0" w:color="auto"/>
                <w:bottom w:val="none" w:sz="0" w:space="0" w:color="auto"/>
                <w:right w:val="none" w:sz="0" w:space="0" w:color="auto"/>
              </w:divBdr>
            </w:div>
            <w:div w:id="18015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965">
      <w:bodyDiv w:val="1"/>
      <w:marLeft w:val="0"/>
      <w:marRight w:val="0"/>
      <w:marTop w:val="0"/>
      <w:marBottom w:val="0"/>
      <w:divBdr>
        <w:top w:val="none" w:sz="0" w:space="0" w:color="auto"/>
        <w:left w:val="none" w:sz="0" w:space="0" w:color="auto"/>
        <w:bottom w:val="none" w:sz="0" w:space="0" w:color="auto"/>
        <w:right w:val="none" w:sz="0" w:space="0" w:color="auto"/>
      </w:divBdr>
      <w:divsChild>
        <w:div w:id="1136335653">
          <w:marLeft w:val="0"/>
          <w:marRight w:val="0"/>
          <w:marTop w:val="0"/>
          <w:marBottom w:val="0"/>
          <w:divBdr>
            <w:top w:val="none" w:sz="0" w:space="0" w:color="auto"/>
            <w:left w:val="none" w:sz="0" w:space="0" w:color="auto"/>
            <w:bottom w:val="none" w:sz="0" w:space="0" w:color="auto"/>
            <w:right w:val="none" w:sz="0" w:space="0" w:color="auto"/>
          </w:divBdr>
        </w:div>
        <w:div w:id="1526938044">
          <w:marLeft w:val="0"/>
          <w:marRight w:val="0"/>
          <w:marTop w:val="0"/>
          <w:marBottom w:val="0"/>
          <w:divBdr>
            <w:top w:val="none" w:sz="0" w:space="0" w:color="auto"/>
            <w:left w:val="none" w:sz="0" w:space="0" w:color="auto"/>
            <w:bottom w:val="none" w:sz="0" w:space="0" w:color="auto"/>
            <w:right w:val="none" w:sz="0" w:space="0" w:color="auto"/>
          </w:divBdr>
        </w:div>
        <w:div w:id="1827894997">
          <w:marLeft w:val="0"/>
          <w:marRight w:val="0"/>
          <w:marTop w:val="0"/>
          <w:marBottom w:val="0"/>
          <w:divBdr>
            <w:top w:val="none" w:sz="0" w:space="0" w:color="auto"/>
            <w:left w:val="none" w:sz="0" w:space="0" w:color="auto"/>
            <w:bottom w:val="none" w:sz="0" w:space="0" w:color="auto"/>
            <w:right w:val="none" w:sz="0" w:space="0" w:color="auto"/>
          </w:divBdr>
        </w:div>
        <w:div w:id="2057585908">
          <w:marLeft w:val="0"/>
          <w:marRight w:val="0"/>
          <w:marTop w:val="0"/>
          <w:marBottom w:val="0"/>
          <w:divBdr>
            <w:top w:val="none" w:sz="0" w:space="0" w:color="auto"/>
            <w:left w:val="none" w:sz="0" w:space="0" w:color="auto"/>
            <w:bottom w:val="none" w:sz="0" w:space="0" w:color="auto"/>
            <w:right w:val="none" w:sz="0" w:space="0" w:color="auto"/>
          </w:divBdr>
        </w:div>
      </w:divsChild>
    </w:div>
    <w:div w:id="1963880805">
      <w:bodyDiv w:val="1"/>
      <w:marLeft w:val="0"/>
      <w:marRight w:val="0"/>
      <w:marTop w:val="0"/>
      <w:marBottom w:val="0"/>
      <w:divBdr>
        <w:top w:val="none" w:sz="0" w:space="0" w:color="auto"/>
        <w:left w:val="none" w:sz="0" w:space="0" w:color="auto"/>
        <w:bottom w:val="none" w:sz="0" w:space="0" w:color="auto"/>
        <w:right w:val="none" w:sz="0" w:space="0" w:color="auto"/>
      </w:divBdr>
    </w:div>
    <w:div w:id="1968001559">
      <w:bodyDiv w:val="1"/>
      <w:marLeft w:val="0"/>
      <w:marRight w:val="0"/>
      <w:marTop w:val="0"/>
      <w:marBottom w:val="0"/>
      <w:divBdr>
        <w:top w:val="none" w:sz="0" w:space="0" w:color="auto"/>
        <w:left w:val="none" w:sz="0" w:space="0" w:color="auto"/>
        <w:bottom w:val="none" w:sz="0" w:space="0" w:color="auto"/>
        <w:right w:val="none" w:sz="0" w:space="0" w:color="auto"/>
      </w:divBdr>
    </w:div>
    <w:div w:id="2011519521">
      <w:bodyDiv w:val="1"/>
      <w:marLeft w:val="0"/>
      <w:marRight w:val="0"/>
      <w:marTop w:val="0"/>
      <w:marBottom w:val="0"/>
      <w:divBdr>
        <w:top w:val="none" w:sz="0" w:space="0" w:color="auto"/>
        <w:left w:val="none" w:sz="0" w:space="0" w:color="auto"/>
        <w:bottom w:val="none" w:sz="0" w:space="0" w:color="auto"/>
        <w:right w:val="none" w:sz="0" w:space="0" w:color="auto"/>
      </w:divBdr>
    </w:div>
    <w:div w:id="2021852367">
      <w:bodyDiv w:val="1"/>
      <w:marLeft w:val="0"/>
      <w:marRight w:val="0"/>
      <w:marTop w:val="0"/>
      <w:marBottom w:val="0"/>
      <w:divBdr>
        <w:top w:val="none" w:sz="0" w:space="0" w:color="auto"/>
        <w:left w:val="none" w:sz="0" w:space="0" w:color="auto"/>
        <w:bottom w:val="none" w:sz="0" w:space="0" w:color="auto"/>
        <w:right w:val="none" w:sz="0" w:space="0" w:color="auto"/>
      </w:divBdr>
      <w:divsChild>
        <w:div w:id="211383525">
          <w:marLeft w:val="0"/>
          <w:marRight w:val="0"/>
          <w:marTop w:val="0"/>
          <w:marBottom w:val="0"/>
          <w:divBdr>
            <w:top w:val="none" w:sz="0" w:space="0" w:color="auto"/>
            <w:left w:val="none" w:sz="0" w:space="0" w:color="auto"/>
            <w:bottom w:val="none" w:sz="0" w:space="0" w:color="auto"/>
            <w:right w:val="none" w:sz="0" w:space="0" w:color="auto"/>
          </w:divBdr>
        </w:div>
        <w:div w:id="241304595">
          <w:marLeft w:val="0"/>
          <w:marRight w:val="0"/>
          <w:marTop w:val="0"/>
          <w:marBottom w:val="120"/>
          <w:divBdr>
            <w:top w:val="none" w:sz="0" w:space="0" w:color="auto"/>
            <w:left w:val="none" w:sz="0" w:space="0" w:color="auto"/>
            <w:bottom w:val="none" w:sz="0" w:space="0" w:color="auto"/>
            <w:right w:val="none" w:sz="0" w:space="0" w:color="auto"/>
          </w:divBdr>
          <w:divsChild>
            <w:div w:id="94059107">
              <w:marLeft w:val="0"/>
              <w:marRight w:val="0"/>
              <w:marTop w:val="0"/>
              <w:marBottom w:val="0"/>
              <w:divBdr>
                <w:top w:val="none" w:sz="0" w:space="0" w:color="auto"/>
                <w:left w:val="none" w:sz="0" w:space="0" w:color="auto"/>
                <w:bottom w:val="none" w:sz="0" w:space="0" w:color="auto"/>
                <w:right w:val="none" w:sz="0" w:space="0" w:color="auto"/>
              </w:divBdr>
              <w:divsChild>
                <w:div w:id="1153526068">
                  <w:marLeft w:val="0"/>
                  <w:marRight w:val="0"/>
                  <w:marTop w:val="0"/>
                  <w:marBottom w:val="0"/>
                  <w:divBdr>
                    <w:top w:val="none" w:sz="0" w:space="0" w:color="auto"/>
                    <w:left w:val="none" w:sz="0" w:space="0" w:color="auto"/>
                    <w:bottom w:val="none" w:sz="0" w:space="0" w:color="auto"/>
                    <w:right w:val="none" w:sz="0" w:space="0" w:color="auto"/>
                  </w:divBdr>
                  <w:divsChild>
                    <w:div w:id="4938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2176">
          <w:marLeft w:val="0"/>
          <w:marRight w:val="0"/>
          <w:marTop w:val="0"/>
          <w:marBottom w:val="120"/>
          <w:divBdr>
            <w:top w:val="none" w:sz="0" w:space="0" w:color="auto"/>
            <w:left w:val="none" w:sz="0" w:space="0" w:color="auto"/>
            <w:bottom w:val="single" w:sz="12" w:space="9" w:color="EBEBEB"/>
            <w:right w:val="none" w:sz="0" w:space="0" w:color="auto"/>
          </w:divBdr>
          <w:divsChild>
            <w:div w:id="1580480114">
              <w:marLeft w:val="0"/>
              <w:marRight w:val="0"/>
              <w:marTop w:val="100"/>
              <w:marBottom w:val="100"/>
              <w:divBdr>
                <w:top w:val="none" w:sz="0" w:space="0" w:color="auto"/>
                <w:left w:val="none" w:sz="0" w:space="0" w:color="auto"/>
                <w:bottom w:val="none" w:sz="0" w:space="0" w:color="auto"/>
                <w:right w:val="none" w:sz="0" w:space="0" w:color="auto"/>
              </w:divBdr>
              <w:divsChild>
                <w:div w:id="3708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1587">
          <w:marLeft w:val="0"/>
          <w:marRight w:val="0"/>
          <w:marTop w:val="0"/>
          <w:marBottom w:val="0"/>
          <w:divBdr>
            <w:top w:val="none" w:sz="0" w:space="0" w:color="auto"/>
            <w:left w:val="none" w:sz="0" w:space="0" w:color="auto"/>
            <w:bottom w:val="none" w:sz="0" w:space="0" w:color="auto"/>
            <w:right w:val="none" w:sz="0" w:space="0" w:color="auto"/>
          </w:divBdr>
        </w:div>
      </w:divsChild>
    </w:div>
    <w:div w:id="2055958926">
      <w:bodyDiv w:val="1"/>
      <w:marLeft w:val="0"/>
      <w:marRight w:val="0"/>
      <w:marTop w:val="0"/>
      <w:marBottom w:val="0"/>
      <w:divBdr>
        <w:top w:val="none" w:sz="0" w:space="0" w:color="auto"/>
        <w:left w:val="none" w:sz="0" w:space="0" w:color="auto"/>
        <w:bottom w:val="none" w:sz="0" w:space="0" w:color="auto"/>
        <w:right w:val="none" w:sz="0" w:space="0" w:color="auto"/>
      </w:divBdr>
    </w:div>
    <w:div w:id="2076003758">
      <w:bodyDiv w:val="1"/>
      <w:marLeft w:val="0"/>
      <w:marRight w:val="0"/>
      <w:marTop w:val="0"/>
      <w:marBottom w:val="0"/>
      <w:divBdr>
        <w:top w:val="none" w:sz="0" w:space="0" w:color="auto"/>
        <w:left w:val="none" w:sz="0" w:space="0" w:color="auto"/>
        <w:bottom w:val="none" w:sz="0" w:space="0" w:color="auto"/>
        <w:right w:val="none" w:sz="0" w:space="0" w:color="auto"/>
      </w:divBdr>
    </w:div>
    <w:div w:id="2144805377">
      <w:bodyDiv w:val="1"/>
      <w:marLeft w:val="0"/>
      <w:marRight w:val="0"/>
      <w:marTop w:val="0"/>
      <w:marBottom w:val="0"/>
      <w:divBdr>
        <w:top w:val="none" w:sz="0" w:space="0" w:color="auto"/>
        <w:left w:val="none" w:sz="0" w:space="0" w:color="auto"/>
        <w:bottom w:val="none" w:sz="0" w:space="0" w:color="auto"/>
        <w:right w:val="none" w:sz="0" w:space="0" w:color="auto"/>
      </w:divBdr>
      <w:divsChild>
        <w:div w:id="2005938462">
          <w:marLeft w:val="0"/>
          <w:marRight w:val="0"/>
          <w:marTop w:val="0"/>
          <w:marBottom w:val="0"/>
          <w:divBdr>
            <w:top w:val="none" w:sz="0" w:space="0" w:color="auto"/>
            <w:left w:val="none" w:sz="0" w:space="0" w:color="auto"/>
            <w:bottom w:val="none" w:sz="0" w:space="0" w:color="auto"/>
            <w:right w:val="none" w:sz="0" w:space="0" w:color="auto"/>
          </w:divBdr>
        </w:div>
        <w:div w:id="184774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McGowan@liverpoo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pitools.ausve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3F64E-1BBB-4C88-88E3-248E5269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4734</Words>
  <Characters>26984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Olley</dc:creator>
  <cp:lastModifiedBy>McGowan, Cathy</cp:lastModifiedBy>
  <cp:revision>2</cp:revision>
  <cp:lastPrinted>2018-10-04T15:40:00Z</cp:lastPrinted>
  <dcterms:created xsi:type="dcterms:W3CDTF">2019-07-28T14:22:00Z</dcterms:created>
  <dcterms:modified xsi:type="dcterms:W3CDTF">2019-07-28T14:22:00Z</dcterms:modified>
</cp:coreProperties>
</file>